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DE888F" w14:textId="77777777" w:rsidR="00FF5607" w:rsidRPr="00FF5607" w:rsidRDefault="00FF5607" w:rsidP="00FF5607">
      <w:pPr>
        <w:spacing w:after="120" w:line="240" w:lineRule="auto"/>
        <w:jc w:val="both"/>
        <w:rPr>
          <w:rFonts w:ascii="Garamond" w:eastAsia="Calibri" w:hAnsi="Garamond" w:cs="Times New Roman"/>
          <w:b/>
          <w:bCs/>
          <w:sz w:val="24"/>
          <w:szCs w:val="24"/>
        </w:rPr>
      </w:pPr>
      <w:bookmarkStart w:id="0" w:name="_Hlk149041928"/>
      <w:r w:rsidRPr="00FF5607">
        <w:rPr>
          <w:rFonts w:ascii="Garamond" w:eastAsia="Calibri" w:hAnsi="Garamond" w:cs="Times New Roman"/>
          <w:b/>
          <w:bCs/>
          <w:sz w:val="24"/>
          <w:szCs w:val="24"/>
        </w:rPr>
        <w:t xml:space="preserve">A critical review of Plutarch’s arguments for divination in </w:t>
      </w:r>
      <w:r w:rsidRPr="00FF5607">
        <w:rPr>
          <w:rFonts w:ascii="Garamond" w:eastAsia="Calibri" w:hAnsi="Garamond" w:cs="Times New Roman"/>
          <w:b/>
          <w:bCs/>
          <w:i/>
          <w:iCs/>
          <w:sz w:val="24"/>
          <w:szCs w:val="24"/>
        </w:rPr>
        <w:t>De defectu oraculorum</w:t>
      </w:r>
      <w:r w:rsidRPr="00FF5607">
        <w:rPr>
          <w:rFonts w:ascii="Garamond" w:eastAsia="Calibri" w:hAnsi="Garamond" w:cs="Times New Roman"/>
          <w:b/>
          <w:bCs/>
          <w:sz w:val="24"/>
          <w:szCs w:val="24"/>
        </w:rPr>
        <w:t xml:space="preserve"> (On the </w:t>
      </w:r>
      <w:bookmarkStart w:id="1" w:name="_GoBack"/>
      <w:bookmarkEnd w:id="1"/>
      <w:r w:rsidRPr="00FF5607">
        <w:rPr>
          <w:rFonts w:ascii="Garamond" w:eastAsia="Calibri" w:hAnsi="Garamond" w:cs="Times New Roman"/>
          <w:b/>
          <w:bCs/>
          <w:sz w:val="24"/>
          <w:szCs w:val="24"/>
        </w:rPr>
        <w:t>obsolescence of oracles)</w:t>
      </w:r>
    </w:p>
    <w:p w14:paraId="53DE8890" w14:textId="77777777" w:rsidR="00FF5607" w:rsidRPr="00FF5607" w:rsidRDefault="00FF5607" w:rsidP="00FF5607">
      <w:pPr>
        <w:spacing w:after="120" w:line="240" w:lineRule="auto"/>
        <w:jc w:val="both"/>
        <w:rPr>
          <w:rFonts w:ascii="Garamond" w:eastAsia="Calibri" w:hAnsi="Garamond" w:cs="Times New Roman"/>
          <w:b/>
          <w:bCs/>
          <w:sz w:val="24"/>
          <w:szCs w:val="24"/>
        </w:rPr>
      </w:pPr>
      <w:r w:rsidRPr="00FF5607">
        <w:rPr>
          <w:rFonts w:ascii="Garamond" w:eastAsia="Calibri" w:hAnsi="Garamond" w:cs="Times New Roman"/>
          <w:b/>
          <w:bCs/>
          <w:sz w:val="24"/>
          <w:szCs w:val="24"/>
        </w:rPr>
        <w:t>Introduction</w:t>
      </w:r>
    </w:p>
    <w:p w14:paraId="53DE8891" w14:textId="77777777" w:rsidR="00FF5607" w:rsidRPr="00FF5607" w:rsidRDefault="00FF5607" w:rsidP="00FF5607">
      <w:pPr>
        <w:spacing w:after="120" w:line="240" w:lineRule="auto"/>
        <w:jc w:val="both"/>
        <w:rPr>
          <w:rFonts w:ascii="Garamond" w:eastAsia="Calibri" w:hAnsi="Garamond" w:cs="Times New Roman"/>
          <w:sz w:val="24"/>
          <w:szCs w:val="24"/>
        </w:rPr>
      </w:pPr>
      <w:r w:rsidRPr="00FF5607">
        <w:rPr>
          <w:rFonts w:ascii="Garamond" w:eastAsia="Calibri" w:hAnsi="Garamond" w:cs="Times New Roman"/>
          <w:sz w:val="24"/>
          <w:szCs w:val="24"/>
        </w:rPr>
        <w:t xml:space="preserve">This essay reviews the arguments put forward by Plutarch in favour of divination and especially in support of oracles as presented in his work the </w:t>
      </w:r>
      <w:r w:rsidRPr="00FF5607">
        <w:rPr>
          <w:rFonts w:ascii="Garamond" w:eastAsia="Calibri" w:hAnsi="Garamond" w:cs="Times New Roman"/>
          <w:i/>
          <w:iCs/>
          <w:sz w:val="24"/>
          <w:szCs w:val="24"/>
        </w:rPr>
        <w:t>De defectu oraculorum</w:t>
      </w:r>
      <w:r w:rsidRPr="00FF5607">
        <w:rPr>
          <w:rFonts w:ascii="Garamond" w:eastAsia="Calibri" w:hAnsi="Garamond" w:cs="Times New Roman"/>
          <w:sz w:val="24"/>
          <w:szCs w:val="24"/>
        </w:rPr>
        <w:t xml:space="preserve"> (the obsolescence of oracles)</w:t>
      </w:r>
      <w:r w:rsidRPr="00FF5607">
        <w:rPr>
          <w:rFonts w:ascii="Garamond" w:eastAsia="Calibri" w:hAnsi="Garamond" w:cs="Times New Roman"/>
          <w:sz w:val="24"/>
          <w:szCs w:val="24"/>
          <w:vertAlign w:val="superscript"/>
        </w:rPr>
        <w:footnoteReference w:id="1"/>
      </w:r>
      <w:r w:rsidRPr="00FF5607">
        <w:rPr>
          <w:rFonts w:ascii="Garamond" w:eastAsia="Calibri" w:hAnsi="Garamond" w:cs="Times New Roman"/>
          <w:sz w:val="24"/>
          <w:szCs w:val="24"/>
        </w:rPr>
        <w:t xml:space="preserve">. Significantly, the text represents one of two major but contrasting works which survive from the Roman period, the other being Cicero’s earlier first century BCE text, </w:t>
      </w:r>
      <w:r w:rsidRPr="00FF5607">
        <w:rPr>
          <w:rFonts w:ascii="Garamond" w:eastAsia="Calibri" w:hAnsi="Garamond" w:cs="Times New Roman"/>
          <w:i/>
          <w:iCs/>
          <w:sz w:val="24"/>
          <w:szCs w:val="24"/>
        </w:rPr>
        <w:t>De Divinatione</w:t>
      </w:r>
      <w:r w:rsidRPr="00FF5607">
        <w:rPr>
          <w:rFonts w:ascii="Garamond" w:eastAsia="Calibri" w:hAnsi="Garamond" w:cs="Times New Roman"/>
          <w:sz w:val="24"/>
          <w:szCs w:val="24"/>
        </w:rPr>
        <w:t xml:space="preserve"> (On Divination)</w:t>
      </w:r>
      <w:r w:rsidRPr="00FF5607">
        <w:rPr>
          <w:rFonts w:ascii="Garamond" w:eastAsia="Calibri" w:hAnsi="Garamond" w:cs="Times New Roman"/>
          <w:sz w:val="24"/>
          <w:szCs w:val="24"/>
          <w:vertAlign w:val="superscript"/>
        </w:rPr>
        <w:footnoteReference w:id="2"/>
      </w:r>
      <w:r w:rsidRPr="00FF5607">
        <w:rPr>
          <w:rFonts w:ascii="Garamond" w:eastAsia="Calibri" w:hAnsi="Garamond" w:cs="Times New Roman"/>
          <w:sz w:val="24"/>
          <w:szCs w:val="24"/>
        </w:rPr>
        <w:t xml:space="preserve">, which is structured rather differently and reaches very different conclusions. </w:t>
      </w:r>
    </w:p>
    <w:p w14:paraId="53DE8892" w14:textId="77777777" w:rsidR="00FF5607" w:rsidRPr="00FF5607" w:rsidRDefault="00FF5607" w:rsidP="00FF5607">
      <w:pPr>
        <w:spacing w:after="120" w:line="240" w:lineRule="auto"/>
        <w:jc w:val="both"/>
        <w:rPr>
          <w:rFonts w:ascii="Garamond" w:eastAsia="Calibri" w:hAnsi="Garamond" w:cs="Times New Roman"/>
          <w:sz w:val="24"/>
          <w:szCs w:val="24"/>
        </w:rPr>
      </w:pPr>
      <w:r w:rsidRPr="00FF5607">
        <w:rPr>
          <w:rFonts w:ascii="Garamond" w:eastAsia="Calibri" w:hAnsi="Garamond" w:cs="Times New Roman"/>
          <w:sz w:val="24"/>
          <w:szCs w:val="24"/>
        </w:rPr>
        <w:t xml:space="preserve">The following essay commences with a brief background section comprising an introduction to Plutarch, which is in turn followed by a concise overview of oracles in the Roman and Greek world. The next section is concerned with critique of the </w:t>
      </w:r>
      <w:r w:rsidRPr="00FF5607">
        <w:rPr>
          <w:rFonts w:ascii="Garamond" w:eastAsia="Calibri" w:hAnsi="Garamond" w:cs="Times New Roman"/>
          <w:i/>
          <w:iCs/>
          <w:sz w:val="24"/>
          <w:szCs w:val="24"/>
        </w:rPr>
        <w:t xml:space="preserve">De defectu oraculorum. </w:t>
      </w:r>
      <w:r w:rsidRPr="00FF5607">
        <w:rPr>
          <w:rFonts w:ascii="Garamond" w:eastAsia="Calibri" w:hAnsi="Garamond" w:cs="Times New Roman"/>
          <w:sz w:val="24"/>
          <w:szCs w:val="24"/>
        </w:rPr>
        <w:t>It starts</w:t>
      </w:r>
      <w:r w:rsidRPr="00FF5607">
        <w:rPr>
          <w:rFonts w:ascii="Garamond" w:eastAsia="Calibri" w:hAnsi="Garamond" w:cs="Times New Roman"/>
          <w:i/>
          <w:iCs/>
          <w:sz w:val="24"/>
          <w:szCs w:val="24"/>
        </w:rPr>
        <w:t xml:space="preserve"> </w:t>
      </w:r>
      <w:r w:rsidRPr="00FF5607">
        <w:rPr>
          <w:rFonts w:ascii="Garamond" w:eastAsia="Calibri" w:hAnsi="Garamond" w:cs="Times New Roman"/>
          <w:sz w:val="24"/>
          <w:szCs w:val="24"/>
        </w:rPr>
        <w:t xml:space="preserve">with a consideration of the overall structure of the work, </w:t>
      </w:r>
      <w:r w:rsidRPr="00374E51">
        <w:rPr>
          <w:rFonts w:ascii="Garamond" w:eastAsia="Calibri" w:hAnsi="Garamond" w:cs="Times New Roman"/>
          <w:sz w:val="24"/>
          <w:szCs w:val="24"/>
        </w:rPr>
        <w:t>which is turn followed</w:t>
      </w:r>
      <w:r w:rsidRPr="00FF5607">
        <w:rPr>
          <w:rFonts w:ascii="Garamond" w:eastAsia="Calibri" w:hAnsi="Garamond" w:cs="Times New Roman"/>
          <w:sz w:val="24"/>
          <w:szCs w:val="24"/>
        </w:rPr>
        <w:t xml:space="preserve"> by a review of the arguments made by the dialogue. The essay finishes with a concise concluding section, which sums up the preceding section.</w:t>
      </w:r>
    </w:p>
    <w:p w14:paraId="53DE8893" w14:textId="77777777" w:rsidR="00FF5607" w:rsidRPr="00FF5607" w:rsidRDefault="00FF5607" w:rsidP="00FF5607">
      <w:pPr>
        <w:spacing w:after="120" w:line="240" w:lineRule="auto"/>
        <w:jc w:val="both"/>
        <w:rPr>
          <w:rFonts w:ascii="Garamond" w:eastAsia="Calibri" w:hAnsi="Garamond" w:cs="Times New Roman"/>
          <w:b/>
          <w:bCs/>
          <w:sz w:val="24"/>
          <w:szCs w:val="24"/>
        </w:rPr>
      </w:pPr>
      <w:r w:rsidRPr="00FF5607">
        <w:rPr>
          <w:rFonts w:ascii="Garamond" w:eastAsia="Calibri" w:hAnsi="Garamond" w:cs="Times New Roman"/>
          <w:b/>
          <w:bCs/>
          <w:sz w:val="24"/>
          <w:szCs w:val="24"/>
        </w:rPr>
        <w:t>Background</w:t>
      </w:r>
    </w:p>
    <w:p w14:paraId="53DE8894" w14:textId="77777777" w:rsidR="00FF5607" w:rsidRPr="00FF5607" w:rsidRDefault="00FF5607" w:rsidP="00FF5607">
      <w:pPr>
        <w:spacing w:after="120" w:line="240" w:lineRule="auto"/>
        <w:jc w:val="both"/>
        <w:rPr>
          <w:rFonts w:ascii="Garamond" w:eastAsia="Calibri" w:hAnsi="Garamond" w:cs="Times New Roman"/>
          <w:i/>
          <w:iCs/>
          <w:sz w:val="24"/>
          <w:szCs w:val="24"/>
        </w:rPr>
      </w:pPr>
      <w:r w:rsidRPr="00FF5607">
        <w:rPr>
          <w:rFonts w:ascii="Garamond" w:eastAsia="Calibri" w:hAnsi="Garamond" w:cs="Times New Roman"/>
          <w:i/>
          <w:iCs/>
          <w:sz w:val="24"/>
          <w:szCs w:val="24"/>
        </w:rPr>
        <w:t>Plutarch</w:t>
      </w:r>
    </w:p>
    <w:p w14:paraId="53DE8895" w14:textId="77777777" w:rsidR="00FF5607" w:rsidRPr="00FF5607" w:rsidRDefault="00FF5607" w:rsidP="00FF5607">
      <w:pPr>
        <w:spacing w:after="120" w:line="240" w:lineRule="auto"/>
        <w:jc w:val="both"/>
        <w:rPr>
          <w:rFonts w:ascii="Garamond" w:eastAsia="Calibri" w:hAnsi="Garamond" w:cs="Times New Roman"/>
          <w:sz w:val="24"/>
          <w:szCs w:val="24"/>
        </w:rPr>
      </w:pPr>
      <w:r w:rsidRPr="00FF5607">
        <w:rPr>
          <w:rFonts w:ascii="Garamond" w:eastAsia="Calibri" w:hAnsi="Garamond" w:cs="Times New Roman"/>
          <w:sz w:val="24"/>
          <w:szCs w:val="24"/>
        </w:rPr>
        <w:t>Plutarch was born in the region of Boeotia in central Greece, into a prominent local family sometime before 50 CE</w:t>
      </w:r>
      <w:r w:rsidRPr="00FF5607">
        <w:rPr>
          <w:rFonts w:ascii="Garamond" w:eastAsia="Calibri" w:hAnsi="Garamond" w:cs="Times New Roman"/>
          <w:sz w:val="24"/>
          <w:szCs w:val="24"/>
          <w:vertAlign w:val="superscript"/>
        </w:rPr>
        <w:footnoteReference w:id="3"/>
      </w:r>
      <w:r w:rsidRPr="00FF5607">
        <w:rPr>
          <w:rFonts w:ascii="Garamond" w:eastAsia="Calibri" w:hAnsi="Garamond" w:cs="Times New Roman"/>
          <w:sz w:val="24"/>
          <w:szCs w:val="24"/>
        </w:rPr>
        <w:t>, and is thought to have died around 120 CE; although the date is uncertain. He spent most of his life in his birthplace of Chaeronea, although was well travelled being educated in Athens, before travelling around the eastern Mediterranean and living for a time in Rome, where he is said to have lectured in Greek. Plutarch was a philosopher, who followed the teachings of Plato</w:t>
      </w:r>
      <w:r w:rsidRPr="00FF5607">
        <w:rPr>
          <w:rFonts w:ascii="Garamond" w:eastAsia="Calibri" w:hAnsi="Garamond" w:cs="Times New Roman"/>
          <w:sz w:val="24"/>
          <w:szCs w:val="24"/>
          <w:vertAlign w:val="superscript"/>
        </w:rPr>
        <w:footnoteReference w:id="4"/>
      </w:r>
      <w:r w:rsidRPr="00FF5607">
        <w:rPr>
          <w:rFonts w:ascii="Garamond" w:eastAsia="Calibri" w:hAnsi="Garamond" w:cs="Times New Roman"/>
          <w:sz w:val="24"/>
          <w:szCs w:val="24"/>
        </w:rPr>
        <w:t xml:space="preserve">, and was an enormously voluminous writer with over 200 philosophical and historical texts attributed to him, around half of which, including fifty of his </w:t>
      </w:r>
      <w:r w:rsidRPr="00FF5607">
        <w:rPr>
          <w:rFonts w:ascii="Garamond" w:eastAsia="Calibri" w:hAnsi="Garamond" w:cs="Times New Roman"/>
          <w:i/>
          <w:iCs/>
          <w:sz w:val="24"/>
          <w:szCs w:val="24"/>
        </w:rPr>
        <w:t>Lives</w:t>
      </w:r>
      <w:r w:rsidRPr="00FF5607">
        <w:rPr>
          <w:rFonts w:ascii="Garamond" w:eastAsia="Calibri" w:hAnsi="Garamond" w:cs="Times New Roman"/>
          <w:sz w:val="24"/>
          <w:szCs w:val="24"/>
        </w:rPr>
        <w:t xml:space="preserve"> survive to this day</w:t>
      </w:r>
      <w:r w:rsidRPr="00FF5607">
        <w:rPr>
          <w:rFonts w:ascii="Garamond" w:eastAsia="Calibri" w:hAnsi="Garamond" w:cs="Times New Roman"/>
          <w:sz w:val="24"/>
          <w:szCs w:val="24"/>
          <w:vertAlign w:val="superscript"/>
        </w:rPr>
        <w:footnoteReference w:id="5"/>
      </w:r>
      <w:r w:rsidRPr="00FF5607">
        <w:rPr>
          <w:rFonts w:ascii="Garamond" w:eastAsia="Calibri" w:hAnsi="Garamond" w:cs="Times New Roman"/>
          <w:sz w:val="24"/>
          <w:szCs w:val="24"/>
        </w:rPr>
        <w:t xml:space="preserve">. </w:t>
      </w:r>
    </w:p>
    <w:p w14:paraId="53DE8896" w14:textId="77777777" w:rsidR="00FF5607" w:rsidRPr="00FF5607" w:rsidRDefault="00FF5607" w:rsidP="00FF5607">
      <w:pPr>
        <w:spacing w:after="120" w:line="240" w:lineRule="auto"/>
        <w:jc w:val="both"/>
        <w:rPr>
          <w:rFonts w:ascii="Garamond" w:eastAsia="Calibri" w:hAnsi="Garamond" w:cs="Times New Roman"/>
          <w:sz w:val="24"/>
          <w:szCs w:val="24"/>
        </w:rPr>
      </w:pPr>
      <w:r w:rsidRPr="00FF5607">
        <w:rPr>
          <w:rFonts w:ascii="Garamond" w:eastAsia="Calibri" w:hAnsi="Garamond" w:cs="Times New Roman"/>
          <w:sz w:val="24"/>
          <w:szCs w:val="24"/>
        </w:rPr>
        <w:t>In addition to being a prodigious writer, Plutarch was also a religious functionary at the oracle of Delphi, where he officiated as a priest of Apollos around 90 CE</w:t>
      </w:r>
      <w:r w:rsidRPr="00FF5607">
        <w:rPr>
          <w:rFonts w:ascii="Garamond" w:eastAsia="Calibri" w:hAnsi="Garamond" w:cs="Times New Roman"/>
          <w:sz w:val="24"/>
          <w:szCs w:val="24"/>
          <w:vertAlign w:val="superscript"/>
        </w:rPr>
        <w:footnoteReference w:id="6"/>
      </w:r>
      <w:r w:rsidRPr="00FF5607">
        <w:rPr>
          <w:rFonts w:ascii="Garamond" w:eastAsia="Calibri" w:hAnsi="Garamond" w:cs="Times New Roman"/>
          <w:sz w:val="24"/>
          <w:szCs w:val="24"/>
        </w:rPr>
        <w:t>, and as Stephan Schröder has pointed out his writings show a recurrent interest in divination</w:t>
      </w:r>
      <w:r w:rsidRPr="00FF5607">
        <w:rPr>
          <w:rFonts w:ascii="Garamond" w:eastAsia="Calibri" w:hAnsi="Garamond" w:cs="Times New Roman"/>
          <w:sz w:val="24"/>
          <w:szCs w:val="24"/>
          <w:vertAlign w:val="superscript"/>
        </w:rPr>
        <w:footnoteReference w:id="7"/>
      </w:r>
      <w:r w:rsidRPr="00FF5607">
        <w:rPr>
          <w:rFonts w:ascii="Garamond" w:eastAsia="Calibri" w:hAnsi="Garamond" w:cs="Times New Roman"/>
          <w:sz w:val="24"/>
          <w:szCs w:val="24"/>
        </w:rPr>
        <w:t xml:space="preserve">. Indeed, both of his surviving works, </w:t>
      </w:r>
      <w:r w:rsidRPr="00FF5607">
        <w:rPr>
          <w:rFonts w:ascii="Garamond" w:eastAsia="Calibri" w:hAnsi="Garamond" w:cs="Times New Roman"/>
          <w:i/>
          <w:iCs/>
          <w:sz w:val="24"/>
          <w:szCs w:val="24"/>
        </w:rPr>
        <w:t>De Pythiae oraculis</w:t>
      </w:r>
      <w:r w:rsidRPr="00FF5607">
        <w:rPr>
          <w:rFonts w:ascii="Garamond" w:eastAsia="Calibri" w:hAnsi="Garamond" w:cs="Times New Roman"/>
          <w:sz w:val="24"/>
          <w:szCs w:val="24"/>
        </w:rPr>
        <w:t xml:space="preserve"> and </w:t>
      </w:r>
      <w:r w:rsidRPr="00FF5607">
        <w:rPr>
          <w:rFonts w:ascii="Garamond" w:eastAsia="Calibri" w:hAnsi="Garamond" w:cs="Times New Roman"/>
          <w:i/>
          <w:iCs/>
          <w:sz w:val="24"/>
          <w:szCs w:val="24"/>
        </w:rPr>
        <w:t>De defectu oraculorum</w:t>
      </w:r>
      <w:r w:rsidRPr="00FF5607">
        <w:rPr>
          <w:rFonts w:ascii="Garamond" w:eastAsia="Calibri" w:hAnsi="Garamond" w:cs="Times New Roman"/>
          <w:sz w:val="24"/>
          <w:szCs w:val="24"/>
        </w:rPr>
        <w:t>, which are specifically concerned with oracles are closely concerned with Delphi, although as Schröder has also noted, neither work systematically expounds how the oracle actually functioned.</w:t>
      </w:r>
    </w:p>
    <w:p w14:paraId="53DE8897" w14:textId="706A6305" w:rsidR="00FF5607" w:rsidRPr="00FF5607" w:rsidRDefault="00FF5607" w:rsidP="00FF5607">
      <w:pPr>
        <w:spacing w:after="120" w:line="240" w:lineRule="auto"/>
        <w:jc w:val="both"/>
        <w:rPr>
          <w:rFonts w:ascii="Garamond" w:eastAsia="Calibri" w:hAnsi="Garamond" w:cs="Times New Roman"/>
          <w:sz w:val="24"/>
          <w:szCs w:val="24"/>
        </w:rPr>
      </w:pPr>
      <w:r w:rsidRPr="00E37DEF">
        <w:rPr>
          <w:rFonts w:ascii="Garamond" w:eastAsia="Calibri" w:hAnsi="Garamond" w:cs="Times New Roman"/>
          <w:sz w:val="24"/>
          <w:szCs w:val="24"/>
        </w:rPr>
        <w:t>By contrast with Cicero, who despite being an augur was no true believer in divination</w:t>
      </w:r>
      <w:r w:rsidRPr="00E37DEF">
        <w:rPr>
          <w:rFonts w:ascii="Garamond" w:eastAsia="Calibri" w:hAnsi="Garamond" w:cs="Times New Roman"/>
          <w:sz w:val="24"/>
          <w:szCs w:val="24"/>
          <w:vertAlign w:val="superscript"/>
        </w:rPr>
        <w:footnoteReference w:id="8"/>
      </w:r>
      <w:r w:rsidRPr="00E37DEF">
        <w:rPr>
          <w:rFonts w:ascii="Garamond" w:eastAsia="Calibri" w:hAnsi="Garamond" w:cs="Times New Roman"/>
          <w:sz w:val="24"/>
          <w:szCs w:val="24"/>
        </w:rPr>
        <w:t>, Plutarch did not hold the post for the kudos that it conferred upon him</w:t>
      </w:r>
      <w:r w:rsidR="00E37DEF">
        <w:rPr>
          <w:rFonts w:ascii="Garamond" w:eastAsia="Calibri" w:hAnsi="Garamond" w:cs="Times New Roman"/>
          <w:sz w:val="24"/>
          <w:szCs w:val="24"/>
        </w:rPr>
        <w:t>.</w:t>
      </w:r>
      <w:r w:rsidRPr="00FF5607">
        <w:rPr>
          <w:rFonts w:ascii="Garamond" w:eastAsia="Calibri" w:hAnsi="Garamond" w:cs="Times New Roman"/>
          <w:sz w:val="24"/>
          <w:szCs w:val="24"/>
        </w:rPr>
        <w:t xml:space="preserve"> He was instead a philosopher who </w:t>
      </w:r>
      <w:r w:rsidRPr="00FF5607">
        <w:rPr>
          <w:rFonts w:ascii="Garamond" w:eastAsia="Calibri" w:hAnsi="Garamond" w:cs="Times New Roman"/>
          <w:sz w:val="24"/>
          <w:szCs w:val="24"/>
        </w:rPr>
        <w:lastRenderedPageBreak/>
        <w:t>was both deeply pious and a firm believer in the efficacy of oracles</w:t>
      </w:r>
      <w:r w:rsidRPr="00CB584C">
        <w:rPr>
          <w:rFonts w:ascii="Garamond" w:eastAsia="Calibri" w:hAnsi="Garamond" w:cs="Times New Roman"/>
          <w:sz w:val="24"/>
          <w:szCs w:val="24"/>
          <w:vertAlign w:val="superscript"/>
        </w:rPr>
        <w:footnoteReference w:id="9"/>
      </w:r>
      <w:r w:rsidR="00DB7B80">
        <w:rPr>
          <w:rFonts w:ascii="Garamond" w:eastAsia="Calibri" w:hAnsi="Garamond" w:cs="Times New Roman"/>
          <w:sz w:val="24"/>
          <w:szCs w:val="24"/>
        </w:rPr>
        <w:t>. Plutarch</w:t>
      </w:r>
      <w:r w:rsidRPr="00CB584C">
        <w:rPr>
          <w:rFonts w:ascii="Garamond" w:eastAsia="Calibri" w:hAnsi="Garamond" w:cs="Times New Roman"/>
          <w:sz w:val="24"/>
          <w:szCs w:val="24"/>
        </w:rPr>
        <w:t xml:space="preserve"> was</w:t>
      </w:r>
      <w:r w:rsidRPr="00FF5607">
        <w:rPr>
          <w:rFonts w:ascii="Garamond" w:eastAsia="Calibri" w:hAnsi="Garamond" w:cs="Times New Roman"/>
          <w:sz w:val="24"/>
          <w:szCs w:val="24"/>
        </w:rPr>
        <w:t xml:space="preserve"> clearly concerned with how they worked and with providing explanations as to why they could decline. </w:t>
      </w:r>
    </w:p>
    <w:p w14:paraId="53DE8898" w14:textId="77777777" w:rsidR="00FF5607" w:rsidRPr="00FF5607" w:rsidRDefault="00FF5607" w:rsidP="00FF5607">
      <w:pPr>
        <w:spacing w:after="120" w:line="240" w:lineRule="auto"/>
        <w:jc w:val="both"/>
        <w:rPr>
          <w:rFonts w:ascii="Garamond" w:eastAsia="Calibri" w:hAnsi="Garamond" w:cs="Times New Roman"/>
          <w:i/>
          <w:iCs/>
          <w:sz w:val="24"/>
          <w:szCs w:val="24"/>
        </w:rPr>
      </w:pPr>
      <w:r w:rsidRPr="00FF5607">
        <w:rPr>
          <w:rFonts w:ascii="Garamond" w:eastAsia="Calibri" w:hAnsi="Garamond" w:cs="Times New Roman"/>
          <w:i/>
          <w:iCs/>
          <w:sz w:val="24"/>
          <w:szCs w:val="24"/>
        </w:rPr>
        <w:t>Oracles and Delphi</w:t>
      </w:r>
    </w:p>
    <w:p w14:paraId="53DE8899" w14:textId="699631AB" w:rsidR="00FF5607" w:rsidRPr="00FF5607" w:rsidRDefault="00FF5607" w:rsidP="00FF5607">
      <w:pPr>
        <w:spacing w:after="120" w:line="240" w:lineRule="auto"/>
        <w:jc w:val="both"/>
        <w:rPr>
          <w:rFonts w:ascii="Garamond" w:eastAsia="Calibri" w:hAnsi="Garamond" w:cs="Times New Roman"/>
          <w:sz w:val="24"/>
          <w:szCs w:val="24"/>
        </w:rPr>
      </w:pPr>
      <w:r w:rsidRPr="00FF5607">
        <w:rPr>
          <w:rFonts w:ascii="Garamond" w:eastAsia="Calibri" w:hAnsi="Garamond" w:cs="Times New Roman"/>
          <w:sz w:val="24"/>
          <w:szCs w:val="24"/>
        </w:rPr>
        <w:t xml:space="preserve">Divination is an ancient and widespread way of exploring the unseen world, with diviners using a range of oracular means to obtain answers to </w:t>
      </w:r>
      <w:r w:rsidR="00CB584C" w:rsidRPr="00FF5607">
        <w:rPr>
          <w:rFonts w:ascii="Garamond" w:eastAsia="Calibri" w:hAnsi="Garamond" w:cs="Times New Roman"/>
          <w:sz w:val="24"/>
          <w:szCs w:val="24"/>
        </w:rPr>
        <w:t xml:space="preserve">Oracles are known </w:t>
      </w:r>
      <w:r w:rsidRPr="00FF5607">
        <w:rPr>
          <w:rFonts w:ascii="Garamond" w:eastAsia="Calibri" w:hAnsi="Garamond" w:cs="Times New Roman"/>
          <w:sz w:val="24"/>
          <w:szCs w:val="24"/>
        </w:rPr>
        <w:t>questions</w:t>
      </w:r>
      <w:r w:rsidRPr="00FF5607">
        <w:rPr>
          <w:rFonts w:ascii="Garamond" w:eastAsia="Calibri" w:hAnsi="Garamond" w:cs="Times New Roman"/>
          <w:sz w:val="24"/>
          <w:szCs w:val="24"/>
          <w:vertAlign w:val="superscript"/>
        </w:rPr>
        <w:footnoteReference w:id="10"/>
      </w:r>
      <w:r w:rsidRPr="00FF5607">
        <w:rPr>
          <w:rFonts w:ascii="Garamond" w:eastAsia="Calibri" w:hAnsi="Garamond" w:cs="Times New Roman"/>
          <w:sz w:val="24"/>
          <w:szCs w:val="24"/>
        </w:rPr>
        <w:t>. to have been used in ancient Egypt and Mesopotamia since at least the late third and throughout the first millennium BCE</w:t>
      </w:r>
      <w:r w:rsidRPr="00FF5607">
        <w:rPr>
          <w:rFonts w:ascii="Garamond" w:eastAsia="Calibri" w:hAnsi="Garamond" w:cs="Times New Roman"/>
          <w:sz w:val="24"/>
          <w:szCs w:val="24"/>
          <w:vertAlign w:val="superscript"/>
        </w:rPr>
        <w:footnoteReference w:id="11"/>
      </w:r>
      <w:r w:rsidRPr="00FF5607">
        <w:rPr>
          <w:rFonts w:ascii="Garamond" w:eastAsia="Calibri" w:hAnsi="Garamond" w:cs="Times New Roman"/>
          <w:sz w:val="24"/>
          <w:szCs w:val="24"/>
        </w:rPr>
        <w:t xml:space="preserve"> and divinatory practices were established in the Greek world many centuries before Plutarch. From around the eighth century BCE, however, there were major changes to the organisation of the Greek religious landscape</w:t>
      </w:r>
      <w:r w:rsidRPr="00FF5607">
        <w:rPr>
          <w:rFonts w:ascii="Garamond" w:eastAsia="Calibri" w:hAnsi="Garamond" w:cs="Times New Roman"/>
          <w:sz w:val="24"/>
          <w:szCs w:val="24"/>
          <w:vertAlign w:val="superscript"/>
        </w:rPr>
        <w:footnoteReference w:id="12"/>
      </w:r>
      <w:r w:rsidRPr="00FF5607">
        <w:rPr>
          <w:rFonts w:ascii="Garamond" w:eastAsia="Calibri" w:hAnsi="Garamond" w:cs="Times New Roman"/>
          <w:sz w:val="24"/>
          <w:szCs w:val="24"/>
        </w:rPr>
        <w:t>. New temples were constructed including those at Delphi, but in spite of the fact that there was a defined pantheon, with attendant priests and seers there was no written liturgy, and Greek religion was closely bound up with both magical practices (including animal sacrifice) and divination, which involved direct interaction with the gods. Divination can therefore be viewed as one of the pillars of Greek religion</w:t>
      </w:r>
      <w:r w:rsidRPr="00FF5607">
        <w:rPr>
          <w:rFonts w:ascii="Garamond" w:eastAsia="Calibri" w:hAnsi="Garamond" w:cs="Times New Roman"/>
          <w:sz w:val="24"/>
          <w:szCs w:val="24"/>
          <w:vertAlign w:val="superscript"/>
        </w:rPr>
        <w:footnoteReference w:id="13"/>
      </w:r>
      <w:r w:rsidRPr="00FF5607">
        <w:rPr>
          <w:rFonts w:ascii="Garamond" w:eastAsia="Calibri" w:hAnsi="Garamond" w:cs="Times New Roman"/>
          <w:sz w:val="24"/>
          <w:szCs w:val="24"/>
        </w:rPr>
        <w:t xml:space="preserve"> and oracles, which were often located within temple complexes, were found across the Greek and Roman world, where they were used to consult the gods about the future</w:t>
      </w:r>
      <w:r w:rsidRPr="00FF5607">
        <w:rPr>
          <w:rFonts w:ascii="Garamond" w:eastAsia="Calibri" w:hAnsi="Garamond" w:cs="Times New Roman"/>
          <w:sz w:val="24"/>
          <w:szCs w:val="24"/>
          <w:vertAlign w:val="superscript"/>
        </w:rPr>
        <w:footnoteReference w:id="14"/>
      </w:r>
      <w:r w:rsidRPr="00FF5607">
        <w:rPr>
          <w:rFonts w:ascii="Garamond" w:eastAsia="Calibri" w:hAnsi="Garamond" w:cs="Times New Roman"/>
          <w:sz w:val="24"/>
          <w:szCs w:val="24"/>
        </w:rPr>
        <w:t>. Questions asked of oracles could range from the personal to matters of state. Unlike many forms of divination such as the oracles that are used by the Azande to solve problems</w:t>
      </w:r>
      <w:r w:rsidRPr="00FF5607">
        <w:rPr>
          <w:rFonts w:ascii="Garamond" w:eastAsia="Calibri" w:hAnsi="Garamond" w:cs="Times New Roman"/>
          <w:sz w:val="24"/>
          <w:szCs w:val="24"/>
          <w:vertAlign w:val="superscript"/>
        </w:rPr>
        <w:footnoteReference w:id="15"/>
      </w:r>
      <w:r w:rsidRPr="00FF5607">
        <w:rPr>
          <w:rFonts w:ascii="Garamond" w:eastAsia="Calibri" w:hAnsi="Garamond" w:cs="Times New Roman"/>
          <w:sz w:val="24"/>
          <w:szCs w:val="24"/>
        </w:rPr>
        <w:t xml:space="preserve">, or other forms of foretelling like augury, which was favoured in </w:t>
      </w:r>
      <w:r w:rsidR="00CD73A5" w:rsidRPr="00DB7B80">
        <w:rPr>
          <w:rFonts w:ascii="Garamond" w:eastAsia="Calibri" w:hAnsi="Garamond" w:cs="Times New Roman"/>
          <w:sz w:val="24"/>
          <w:szCs w:val="24"/>
        </w:rPr>
        <w:t>the</w:t>
      </w:r>
      <w:r w:rsidR="00CD73A5">
        <w:rPr>
          <w:rFonts w:ascii="Garamond" w:eastAsia="Calibri" w:hAnsi="Garamond" w:cs="Times New Roman"/>
          <w:sz w:val="24"/>
          <w:szCs w:val="24"/>
        </w:rPr>
        <w:t xml:space="preserve"> </w:t>
      </w:r>
      <w:r w:rsidRPr="00FF5607">
        <w:rPr>
          <w:rFonts w:ascii="Garamond" w:eastAsia="Calibri" w:hAnsi="Garamond" w:cs="Times New Roman"/>
          <w:sz w:val="24"/>
          <w:szCs w:val="24"/>
        </w:rPr>
        <w:t>Roman world, communication took the form of oral pronouncements, often in verse which was delivered via the medium of a priest or in the case of Delphi a priestess</w:t>
      </w:r>
      <w:r w:rsidRPr="00FF5607">
        <w:rPr>
          <w:rFonts w:ascii="Garamond" w:eastAsia="Calibri" w:hAnsi="Garamond" w:cs="Times New Roman"/>
          <w:sz w:val="24"/>
          <w:szCs w:val="24"/>
          <w:vertAlign w:val="superscript"/>
        </w:rPr>
        <w:footnoteReference w:id="16"/>
      </w:r>
      <w:r w:rsidRPr="00FF5607">
        <w:rPr>
          <w:rFonts w:ascii="Garamond" w:eastAsia="Calibri" w:hAnsi="Garamond" w:cs="Times New Roman"/>
          <w:sz w:val="24"/>
          <w:szCs w:val="24"/>
        </w:rPr>
        <w:t>, known as the Pythia who would speak to the consultee with the voice of the God Apollo, who in an almost shamanic way had occupied her body and provided the ocular voice. As Derek Collins has noted, however, the responses rarely showed the shining personality of Apollo, which is evident in contemporary Greek literature</w:t>
      </w:r>
      <w:r w:rsidRPr="00FF5607">
        <w:rPr>
          <w:rFonts w:ascii="Garamond" w:eastAsia="Calibri" w:hAnsi="Garamond" w:cs="Times New Roman"/>
          <w:sz w:val="24"/>
          <w:szCs w:val="24"/>
          <w:vertAlign w:val="superscript"/>
        </w:rPr>
        <w:footnoteReference w:id="17"/>
      </w:r>
      <w:r w:rsidRPr="00FF5607">
        <w:rPr>
          <w:rFonts w:ascii="Garamond" w:eastAsia="Calibri" w:hAnsi="Garamond" w:cs="Times New Roman"/>
          <w:sz w:val="24"/>
          <w:szCs w:val="24"/>
        </w:rPr>
        <w:t>. Instead the responses took the form of cryptic verses, which could be difficult to interpret.</w:t>
      </w:r>
    </w:p>
    <w:p w14:paraId="53DE889A" w14:textId="0F6707D4" w:rsidR="00FF5607" w:rsidRPr="00FF5607" w:rsidRDefault="00FF5607" w:rsidP="00FF5607">
      <w:pPr>
        <w:spacing w:after="120" w:line="240" w:lineRule="auto"/>
        <w:jc w:val="both"/>
        <w:rPr>
          <w:rFonts w:ascii="Garamond" w:eastAsia="Calibri" w:hAnsi="Garamond" w:cs="Times New Roman"/>
          <w:sz w:val="24"/>
          <w:szCs w:val="24"/>
        </w:rPr>
      </w:pPr>
      <w:r w:rsidRPr="00FF5607">
        <w:rPr>
          <w:rFonts w:ascii="Garamond" w:eastAsia="Calibri" w:hAnsi="Garamond" w:cs="Times New Roman"/>
          <w:sz w:val="24"/>
          <w:szCs w:val="24"/>
        </w:rPr>
        <w:t>The oracle at Delphi, where Plutarch officiated</w:t>
      </w:r>
      <w:r w:rsidR="00CD73A5">
        <w:rPr>
          <w:rFonts w:ascii="Garamond" w:eastAsia="Calibri" w:hAnsi="Garamond" w:cs="Times New Roman"/>
          <w:sz w:val="24"/>
          <w:szCs w:val="24"/>
        </w:rPr>
        <w:t xml:space="preserve"> </w:t>
      </w:r>
      <w:r w:rsidR="00CD73A5" w:rsidRPr="00DB7B80">
        <w:rPr>
          <w:rFonts w:ascii="Garamond" w:eastAsia="Calibri" w:hAnsi="Garamond" w:cs="Times New Roman"/>
          <w:sz w:val="24"/>
          <w:szCs w:val="24"/>
        </w:rPr>
        <w:t>as</w:t>
      </w:r>
      <w:r w:rsidRPr="00FF5607">
        <w:rPr>
          <w:rFonts w:ascii="Garamond" w:eastAsia="Calibri" w:hAnsi="Garamond" w:cs="Times New Roman"/>
          <w:sz w:val="24"/>
          <w:szCs w:val="24"/>
        </w:rPr>
        <w:t xml:space="preserve"> a priest, was one of the most renowned in the ancient Mediterranean world. Herodotus writing in the fifth century BCE, for example, refers to Delphi on several occasions throughout his </w:t>
      </w:r>
      <w:r w:rsidRPr="00FF5607">
        <w:rPr>
          <w:rFonts w:ascii="Garamond" w:eastAsia="Calibri" w:hAnsi="Garamond" w:cs="Times New Roman"/>
          <w:i/>
          <w:iCs/>
          <w:sz w:val="24"/>
          <w:szCs w:val="24"/>
        </w:rPr>
        <w:t>Histories</w:t>
      </w:r>
      <w:r w:rsidRPr="00FF5607">
        <w:rPr>
          <w:rFonts w:ascii="Garamond" w:eastAsia="Calibri" w:hAnsi="Garamond" w:cs="Times New Roman"/>
          <w:sz w:val="24"/>
          <w:szCs w:val="24"/>
        </w:rPr>
        <w:t xml:space="preserve">. It was evidently a place where rulers and important people from across the Mediterranean world and beyond would travel, to consult the oracle for guidance over major matters of state and military ventures. This is perhaps most </w:t>
      </w:r>
      <w:r w:rsidRPr="00FF5607">
        <w:rPr>
          <w:rFonts w:ascii="Garamond" w:eastAsia="Calibri" w:hAnsi="Garamond" w:cs="Times New Roman"/>
          <w:sz w:val="24"/>
          <w:szCs w:val="24"/>
        </w:rPr>
        <w:lastRenderedPageBreak/>
        <w:t>famously illustrated by Croesus, king of Lydia, whose interpretation of the oracle led to disastrous results for himself and the destruction of his kingdom</w:t>
      </w:r>
      <w:r w:rsidRPr="00FF5607">
        <w:rPr>
          <w:rFonts w:ascii="Garamond" w:eastAsia="Calibri" w:hAnsi="Garamond" w:cs="Times New Roman"/>
          <w:sz w:val="24"/>
          <w:szCs w:val="24"/>
          <w:vertAlign w:val="superscript"/>
        </w:rPr>
        <w:footnoteReference w:id="18"/>
      </w:r>
      <w:r w:rsidRPr="00FF5607">
        <w:rPr>
          <w:rFonts w:ascii="Garamond" w:eastAsia="Calibri" w:hAnsi="Garamond" w:cs="Times New Roman"/>
          <w:sz w:val="24"/>
          <w:szCs w:val="24"/>
        </w:rPr>
        <w:t xml:space="preserve">. </w:t>
      </w:r>
    </w:p>
    <w:p w14:paraId="53DE889B" w14:textId="77777777" w:rsidR="00FF5607" w:rsidRPr="00FF5607" w:rsidRDefault="00FF5607" w:rsidP="00FF5607">
      <w:pPr>
        <w:spacing w:after="120" w:line="240" w:lineRule="auto"/>
        <w:jc w:val="both"/>
        <w:rPr>
          <w:rFonts w:ascii="Garamond" w:eastAsia="Calibri" w:hAnsi="Garamond" w:cs="Times New Roman"/>
          <w:sz w:val="24"/>
          <w:szCs w:val="24"/>
        </w:rPr>
      </w:pPr>
      <w:r w:rsidRPr="00FF5607">
        <w:rPr>
          <w:rFonts w:ascii="Garamond" w:eastAsia="Calibri" w:hAnsi="Garamond" w:cs="Times New Roman"/>
          <w:sz w:val="24"/>
          <w:szCs w:val="24"/>
        </w:rPr>
        <w:t>By the first century CE, however, the number of Pythia at Delphi had decreased from three during its heyday in the fifth century BCE to just one priestess, who apparently was no longer able to give her answers in verse</w:t>
      </w:r>
      <w:r w:rsidRPr="00FF5607">
        <w:rPr>
          <w:rFonts w:ascii="Garamond" w:eastAsia="Calibri" w:hAnsi="Garamond" w:cs="Times New Roman"/>
          <w:sz w:val="24"/>
          <w:szCs w:val="24"/>
          <w:vertAlign w:val="superscript"/>
        </w:rPr>
        <w:footnoteReference w:id="19"/>
      </w:r>
      <w:r w:rsidRPr="00FF5607">
        <w:rPr>
          <w:rFonts w:ascii="Garamond" w:eastAsia="Calibri" w:hAnsi="Garamond" w:cs="Times New Roman"/>
          <w:sz w:val="24"/>
          <w:szCs w:val="24"/>
        </w:rPr>
        <w:t>. Furthermore, there appeared to be, at least to Plutarch, a more widespread problem of a declining number of functioning oracles across the Greek world</w:t>
      </w:r>
      <w:r w:rsidRPr="00FF5607">
        <w:rPr>
          <w:rFonts w:ascii="Garamond" w:eastAsia="Calibri" w:hAnsi="Garamond" w:cs="Times New Roman"/>
          <w:sz w:val="24"/>
          <w:szCs w:val="24"/>
          <w:vertAlign w:val="superscript"/>
        </w:rPr>
        <w:footnoteReference w:id="20"/>
      </w:r>
      <w:r w:rsidRPr="00FF5607">
        <w:rPr>
          <w:rFonts w:ascii="Garamond" w:eastAsia="Calibri" w:hAnsi="Garamond" w:cs="Times New Roman"/>
          <w:sz w:val="24"/>
          <w:szCs w:val="24"/>
        </w:rPr>
        <w:t xml:space="preserve">. It is this perception of an oracular decline, and the provision of explanations for this situation which motivates Plutarch’s </w:t>
      </w:r>
      <w:r w:rsidRPr="00FF5607">
        <w:rPr>
          <w:rFonts w:ascii="Garamond" w:eastAsia="Calibri" w:hAnsi="Garamond" w:cs="Times New Roman"/>
          <w:i/>
          <w:iCs/>
          <w:sz w:val="24"/>
          <w:szCs w:val="24"/>
        </w:rPr>
        <w:t>De</w:t>
      </w:r>
      <w:r w:rsidRPr="00FF5607">
        <w:rPr>
          <w:rFonts w:ascii="Garamond" w:eastAsia="Calibri" w:hAnsi="Garamond" w:cs="Times New Roman"/>
          <w:sz w:val="24"/>
          <w:szCs w:val="24"/>
        </w:rPr>
        <w:t xml:space="preserve"> </w:t>
      </w:r>
      <w:r w:rsidRPr="00FF5607">
        <w:rPr>
          <w:rFonts w:ascii="Garamond" w:eastAsia="Calibri" w:hAnsi="Garamond" w:cs="Times New Roman"/>
          <w:i/>
          <w:iCs/>
          <w:sz w:val="24"/>
          <w:szCs w:val="24"/>
        </w:rPr>
        <w:t>defectu oraculorum.</w:t>
      </w:r>
    </w:p>
    <w:p w14:paraId="53DE889C" w14:textId="77777777" w:rsidR="00FF5607" w:rsidRPr="00FF5607" w:rsidRDefault="00FF5607" w:rsidP="00FF5607">
      <w:pPr>
        <w:spacing w:after="120" w:line="240" w:lineRule="auto"/>
        <w:jc w:val="both"/>
        <w:rPr>
          <w:rFonts w:ascii="Garamond" w:eastAsia="Calibri" w:hAnsi="Garamond" w:cs="Times New Roman"/>
          <w:b/>
          <w:bCs/>
          <w:sz w:val="24"/>
          <w:szCs w:val="24"/>
        </w:rPr>
      </w:pPr>
      <w:r w:rsidRPr="00FF5607">
        <w:rPr>
          <w:rFonts w:ascii="Garamond" w:eastAsia="Calibri" w:hAnsi="Garamond" w:cs="Times New Roman"/>
          <w:b/>
          <w:bCs/>
          <w:i/>
          <w:iCs/>
          <w:sz w:val="24"/>
          <w:szCs w:val="24"/>
        </w:rPr>
        <w:t>De defectu oraculorum, a critique</w:t>
      </w:r>
    </w:p>
    <w:p w14:paraId="53DE889D" w14:textId="77777777" w:rsidR="00FF5607" w:rsidRPr="00FF5607" w:rsidRDefault="00FF5607" w:rsidP="00FF5607">
      <w:pPr>
        <w:spacing w:after="120" w:line="240" w:lineRule="auto"/>
        <w:jc w:val="both"/>
        <w:rPr>
          <w:rFonts w:ascii="Garamond" w:eastAsia="Calibri" w:hAnsi="Garamond" w:cs="Times New Roman"/>
          <w:i/>
          <w:iCs/>
          <w:sz w:val="24"/>
          <w:szCs w:val="24"/>
        </w:rPr>
      </w:pPr>
      <w:r w:rsidRPr="00FF5607">
        <w:rPr>
          <w:rFonts w:ascii="Garamond" w:eastAsia="Calibri" w:hAnsi="Garamond" w:cs="Times New Roman"/>
          <w:i/>
          <w:iCs/>
          <w:sz w:val="24"/>
          <w:szCs w:val="24"/>
        </w:rPr>
        <w:t>The structure of the work</w:t>
      </w:r>
    </w:p>
    <w:bookmarkEnd w:id="0"/>
    <w:p w14:paraId="53DE889E" w14:textId="77777777" w:rsidR="00FF5607" w:rsidRPr="00FF5607" w:rsidRDefault="00FF5607" w:rsidP="00FF5607">
      <w:pPr>
        <w:spacing w:after="120" w:line="240" w:lineRule="auto"/>
        <w:jc w:val="both"/>
        <w:rPr>
          <w:rFonts w:ascii="Garamond" w:eastAsia="Calibri" w:hAnsi="Garamond" w:cs="Times New Roman"/>
          <w:sz w:val="24"/>
          <w:szCs w:val="24"/>
        </w:rPr>
      </w:pPr>
      <w:r w:rsidRPr="00FF5607">
        <w:rPr>
          <w:rFonts w:ascii="Garamond" w:eastAsia="Calibri" w:hAnsi="Garamond" w:cs="Times New Roman"/>
          <w:sz w:val="24"/>
          <w:szCs w:val="24"/>
        </w:rPr>
        <w:t xml:space="preserve">Around 90 CE, Plutarch wrote </w:t>
      </w:r>
      <w:r w:rsidRPr="00FF5607">
        <w:rPr>
          <w:rFonts w:ascii="Garamond" w:eastAsia="Calibri" w:hAnsi="Garamond" w:cs="Times New Roman"/>
          <w:i/>
          <w:iCs/>
          <w:sz w:val="24"/>
          <w:szCs w:val="24"/>
        </w:rPr>
        <w:t>De</w:t>
      </w:r>
      <w:r w:rsidRPr="00FF5607">
        <w:rPr>
          <w:rFonts w:ascii="Garamond" w:eastAsia="Calibri" w:hAnsi="Garamond" w:cs="Times New Roman"/>
          <w:sz w:val="24"/>
          <w:szCs w:val="24"/>
        </w:rPr>
        <w:t xml:space="preserve"> </w:t>
      </w:r>
      <w:r w:rsidRPr="00FF5607">
        <w:rPr>
          <w:rFonts w:ascii="Garamond" w:eastAsia="Calibri" w:hAnsi="Garamond" w:cs="Times New Roman"/>
          <w:i/>
          <w:iCs/>
          <w:sz w:val="24"/>
          <w:szCs w:val="24"/>
        </w:rPr>
        <w:t>defectu oraculorum</w:t>
      </w:r>
      <w:r w:rsidRPr="00FF5607">
        <w:rPr>
          <w:rFonts w:ascii="Garamond" w:eastAsia="Calibri" w:hAnsi="Garamond" w:cs="Times New Roman"/>
          <w:sz w:val="24"/>
          <w:szCs w:val="24"/>
        </w:rPr>
        <w:t xml:space="preserve">, a work which attempts to address the apparent reason for a decline in the number of functioning oracles and it also acts as a rebuttal to Cicero’s </w:t>
      </w:r>
      <w:r w:rsidRPr="00FF5607">
        <w:rPr>
          <w:rFonts w:ascii="Garamond" w:eastAsia="Calibri" w:hAnsi="Garamond" w:cs="Times New Roman"/>
          <w:i/>
          <w:iCs/>
          <w:sz w:val="24"/>
          <w:szCs w:val="24"/>
        </w:rPr>
        <w:t>De divinatione</w:t>
      </w:r>
      <w:r w:rsidRPr="00FF5607">
        <w:rPr>
          <w:rFonts w:ascii="Garamond" w:eastAsia="Calibri" w:hAnsi="Garamond" w:cs="Times New Roman"/>
          <w:sz w:val="24"/>
          <w:szCs w:val="24"/>
        </w:rPr>
        <w:t xml:space="preserve">, which had been written around one hundred and fifty years before in </w:t>
      </w:r>
      <w:r w:rsidRPr="00FF5607">
        <w:rPr>
          <w:rFonts w:ascii="Garamond" w:eastAsia="Calibri" w:hAnsi="Garamond" w:cs="Times New Roman"/>
          <w:i/>
          <w:iCs/>
          <w:sz w:val="24"/>
          <w:szCs w:val="24"/>
        </w:rPr>
        <w:t>circa</w:t>
      </w:r>
      <w:r w:rsidRPr="00FF5607">
        <w:rPr>
          <w:rFonts w:ascii="Garamond" w:eastAsia="Calibri" w:hAnsi="Garamond" w:cs="Times New Roman"/>
          <w:sz w:val="24"/>
          <w:szCs w:val="24"/>
        </w:rPr>
        <w:t xml:space="preserve"> 45 BCE</w:t>
      </w:r>
      <w:r w:rsidRPr="00FF5607">
        <w:rPr>
          <w:rFonts w:ascii="Garamond" w:eastAsia="Calibri" w:hAnsi="Garamond" w:cs="Times New Roman"/>
          <w:sz w:val="24"/>
          <w:szCs w:val="24"/>
          <w:vertAlign w:val="superscript"/>
        </w:rPr>
        <w:footnoteReference w:id="21"/>
      </w:r>
      <w:r w:rsidRPr="00FF5607">
        <w:rPr>
          <w:rFonts w:ascii="Garamond" w:eastAsia="Calibri" w:hAnsi="Garamond" w:cs="Times New Roman"/>
          <w:sz w:val="24"/>
          <w:szCs w:val="24"/>
        </w:rPr>
        <w:t>, and had argued against the efficacy of divination</w:t>
      </w:r>
      <w:r w:rsidRPr="00FF5607">
        <w:rPr>
          <w:rFonts w:ascii="Garamond" w:eastAsia="Calibri" w:hAnsi="Garamond" w:cs="Times New Roman"/>
          <w:sz w:val="24"/>
          <w:szCs w:val="24"/>
          <w:vertAlign w:val="superscript"/>
        </w:rPr>
        <w:footnoteReference w:id="22"/>
      </w:r>
      <w:r w:rsidRPr="00FF5607">
        <w:rPr>
          <w:rFonts w:ascii="Garamond" w:eastAsia="Calibri" w:hAnsi="Garamond" w:cs="Times New Roman"/>
          <w:sz w:val="24"/>
          <w:szCs w:val="24"/>
        </w:rPr>
        <w:t xml:space="preserve">. </w:t>
      </w:r>
    </w:p>
    <w:p w14:paraId="53DE889F" w14:textId="5EAB4866" w:rsidR="00FF5607" w:rsidRPr="00FF5607" w:rsidRDefault="00FF5607" w:rsidP="00FF5607">
      <w:pPr>
        <w:spacing w:after="120" w:line="240" w:lineRule="auto"/>
        <w:jc w:val="both"/>
        <w:rPr>
          <w:rFonts w:ascii="Garamond" w:eastAsia="Calibri" w:hAnsi="Garamond" w:cs="Times New Roman"/>
          <w:sz w:val="24"/>
          <w:szCs w:val="24"/>
        </w:rPr>
      </w:pPr>
      <w:r w:rsidRPr="00FF5607">
        <w:rPr>
          <w:rFonts w:ascii="Garamond" w:eastAsia="Calibri" w:hAnsi="Garamond" w:cs="Times New Roman"/>
          <w:sz w:val="24"/>
          <w:szCs w:val="24"/>
        </w:rPr>
        <w:t xml:space="preserve">By contrast with Cicero, who had arranged his work in a legalistic oratorial style in two books comprising the case for followed by the case against divination, Plutarch instead opted for a philosophical dialogue, which is closer in style to the earlier Greek writings, such as Plato’s </w:t>
      </w:r>
      <w:r w:rsidRPr="00FF5607">
        <w:rPr>
          <w:rFonts w:ascii="Garamond" w:eastAsia="Calibri" w:hAnsi="Garamond" w:cs="Times New Roman"/>
          <w:i/>
          <w:iCs/>
          <w:sz w:val="24"/>
          <w:szCs w:val="24"/>
        </w:rPr>
        <w:t>Symposium</w:t>
      </w:r>
      <w:r w:rsidRPr="00FF5607">
        <w:rPr>
          <w:rFonts w:ascii="Garamond" w:eastAsia="Calibri" w:hAnsi="Garamond" w:cs="Times New Roman"/>
          <w:sz w:val="24"/>
          <w:szCs w:val="24"/>
          <w:vertAlign w:val="superscript"/>
        </w:rPr>
        <w:footnoteReference w:id="23"/>
      </w:r>
      <w:r w:rsidRPr="00FF5607">
        <w:rPr>
          <w:rFonts w:ascii="Garamond" w:eastAsia="Calibri" w:hAnsi="Garamond" w:cs="Times New Roman"/>
          <w:sz w:val="24"/>
          <w:szCs w:val="24"/>
        </w:rPr>
        <w:t xml:space="preserve">, which Elsa Simonetti has posited is mainly written in an apologetic tone, intending to </w:t>
      </w:r>
      <w:r w:rsidRPr="00CB584C">
        <w:rPr>
          <w:rFonts w:ascii="Garamond" w:eastAsia="Calibri" w:hAnsi="Garamond" w:cs="Times New Roman"/>
          <w:sz w:val="24"/>
          <w:szCs w:val="24"/>
        </w:rPr>
        <w:t>‘prevent</w:t>
      </w:r>
      <w:r w:rsidR="00CB584C">
        <w:rPr>
          <w:rFonts w:ascii="Garamond" w:eastAsia="Calibri" w:hAnsi="Garamond" w:cs="Times New Roman"/>
          <w:sz w:val="24"/>
          <w:szCs w:val="24"/>
        </w:rPr>
        <w:t xml:space="preserve"> </w:t>
      </w:r>
      <w:r w:rsidRPr="00FF5607">
        <w:rPr>
          <w:rFonts w:ascii="Garamond" w:eastAsia="Calibri" w:hAnsi="Garamond" w:cs="Times New Roman"/>
          <w:sz w:val="24"/>
          <w:szCs w:val="24"/>
        </w:rPr>
        <w:t>that the oracular crisis destroys human belief in the existence of the deity, and in its providential and beneficent character’</w:t>
      </w:r>
      <w:r w:rsidRPr="00FF5607">
        <w:rPr>
          <w:rFonts w:ascii="Garamond" w:eastAsia="Calibri" w:hAnsi="Garamond" w:cs="Times New Roman"/>
          <w:sz w:val="24"/>
          <w:szCs w:val="24"/>
          <w:vertAlign w:val="superscript"/>
        </w:rPr>
        <w:footnoteReference w:id="24"/>
      </w:r>
      <w:r w:rsidRPr="00FF5607">
        <w:rPr>
          <w:rFonts w:ascii="Garamond" w:eastAsia="Calibri" w:hAnsi="Garamond" w:cs="Times New Roman"/>
          <w:sz w:val="24"/>
          <w:szCs w:val="24"/>
        </w:rPr>
        <w:t>. The significant differences in structure and style between the two works is in fact perhaps not unexpected given Plutarch’s cultural background as a student of Plato, and Cicero’s occupation as a lawyer, and indeed his own admission that the Romans did not really do philosophy</w:t>
      </w:r>
      <w:r w:rsidRPr="00FF5607">
        <w:rPr>
          <w:rFonts w:ascii="Garamond" w:eastAsia="Calibri" w:hAnsi="Garamond" w:cs="Times New Roman"/>
          <w:sz w:val="24"/>
          <w:szCs w:val="24"/>
          <w:vertAlign w:val="superscript"/>
        </w:rPr>
        <w:footnoteReference w:id="25"/>
      </w:r>
      <w:r w:rsidRPr="00FF5607">
        <w:rPr>
          <w:rFonts w:ascii="Garamond" w:eastAsia="Calibri" w:hAnsi="Garamond" w:cs="Times New Roman"/>
          <w:sz w:val="24"/>
          <w:szCs w:val="24"/>
        </w:rPr>
        <w:t>. Indeed, Simonetti suggests that the dialogue resembles the argumentative structure which is typical of a philosophical commentary</w:t>
      </w:r>
      <w:r w:rsidR="00CB584C">
        <w:rPr>
          <w:rFonts w:ascii="Garamond" w:eastAsia="Calibri" w:hAnsi="Garamond" w:cs="Times New Roman"/>
          <w:sz w:val="24"/>
          <w:szCs w:val="24"/>
        </w:rPr>
        <w:t xml:space="preserve"> </w:t>
      </w:r>
      <w:r w:rsidR="00574BEC" w:rsidRPr="00E220DE">
        <w:rPr>
          <w:rFonts w:ascii="Garamond" w:eastAsia="Calibri" w:hAnsi="Garamond" w:cs="Times New Roman"/>
          <w:sz w:val="24"/>
          <w:szCs w:val="24"/>
        </w:rPr>
        <w:t>and</w:t>
      </w:r>
      <w:r w:rsidR="00574BEC" w:rsidRPr="00CB584C">
        <w:rPr>
          <w:rFonts w:ascii="Garamond" w:eastAsia="Calibri" w:hAnsi="Garamond" w:cs="Times New Roman"/>
          <w:sz w:val="24"/>
          <w:szCs w:val="24"/>
        </w:rPr>
        <w:t xml:space="preserve"> which</w:t>
      </w:r>
      <w:r w:rsidR="00574BEC">
        <w:rPr>
          <w:rFonts w:ascii="Garamond" w:eastAsia="Calibri" w:hAnsi="Garamond" w:cs="Times New Roman"/>
          <w:sz w:val="24"/>
          <w:szCs w:val="24"/>
        </w:rPr>
        <w:t xml:space="preserve"> </w:t>
      </w:r>
      <w:r w:rsidRPr="00FF5607">
        <w:rPr>
          <w:rFonts w:ascii="Garamond" w:eastAsia="Calibri" w:hAnsi="Garamond" w:cs="Times New Roman"/>
          <w:sz w:val="24"/>
          <w:szCs w:val="24"/>
        </w:rPr>
        <w:t>was common during Plutarch’s age</w:t>
      </w:r>
      <w:r w:rsidRPr="00FF5607">
        <w:rPr>
          <w:rFonts w:ascii="Garamond" w:eastAsia="Calibri" w:hAnsi="Garamond" w:cs="Times New Roman"/>
          <w:sz w:val="24"/>
          <w:szCs w:val="24"/>
          <w:vertAlign w:val="superscript"/>
        </w:rPr>
        <w:footnoteReference w:id="26"/>
      </w:r>
      <w:r w:rsidRPr="00FF5607">
        <w:rPr>
          <w:rFonts w:ascii="Garamond" w:eastAsia="Calibri" w:hAnsi="Garamond" w:cs="Times New Roman"/>
          <w:sz w:val="24"/>
          <w:szCs w:val="24"/>
        </w:rPr>
        <w:t>.</w:t>
      </w:r>
    </w:p>
    <w:p w14:paraId="53DE88A0" w14:textId="5D3A892A" w:rsidR="00FF5607" w:rsidRPr="00FF5607" w:rsidRDefault="00FF5607" w:rsidP="00FF5607">
      <w:pPr>
        <w:spacing w:after="120" w:line="240" w:lineRule="auto"/>
        <w:jc w:val="both"/>
        <w:rPr>
          <w:rFonts w:ascii="Garamond" w:eastAsia="Calibri" w:hAnsi="Garamond" w:cs="Times New Roman"/>
          <w:sz w:val="24"/>
          <w:szCs w:val="24"/>
        </w:rPr>
      </w:pPr>
      <w:r w:rsidRPr="00FF5607">
        <w:rPr>
          <w:rFonts w:ascii="Garamond" w:eastAsia="Calibri" w:hAnsi="Garamond" w:cs="Times New Roman"/>
          <w:sz w:val="24"/>
          <w:szCs w:val="24"/>
        </w:rPr>
        <w:t>Plutarch’s dialogue takes the form of a fictional meeting of a group of men at Delphi, who espouse a range of opinions, to resolve the issue at hand. Simonetti has suggested that all but one of these characters, Didymus Planetiades were religious men who were initiated into the mysteries</w:t>
      </w:r>
      <w:r w:rsidRPr="00FF5607">
        <w:rPr>
          <w:rFonts w:ascii="Garamond" w:eastAsia="Calibri" w:hAnsi="Garamond" w:cs="Times New Roman"/>
          <w:sz w:val="24"/>
          <w:szCs w:val="24"/>
          <w:vertAlign w:val="superscript"/>
        </w:rPr>
        <w:footnoteReference w:id="27"/>
      </w:r>
      <w:r w:rsidRPr="00FF5607">
        <w:rPr>
          <w:rFonts w:ascii="Garamond" w:eastAsia="Calibri" w:hAnsi="Garamond" w:cs="Times New Roman"/>
          <w:sz w:val="24"/>
          <w:szCs w:val="24"/>
        </w:rPr>
        <w:t>. Indeed, this outsider quickly departs from the proceedings after making an unpopular remarks ridiculing oracles and has no further part to play in the discussion (Section 412–413</w:t>
      </w:r>
      <w:r w:rsidR="00756424">
        <w:rPr>
          <w:rFonts w:ascii="Garamond" w:eastAsia="Calibri" w:hAnsi="Garamond" w:cs="Times New Roman"/>
          <w:sz w:val="24"/>
          <w:szCs w:val="24"/>
        </w:rPr>
        <w:t>, 7</w:t>
      </w:r>
      <w:r w:rsidRPr="00FF5607">
        <w:rPr>
          <w:rFonts w:ascii="Garamond" w:eastAsia="Calibri" w:hAnsi="Garamond" w:cs="Times New Roman"/>
          <w:sz w:val="24"/>
          <w:szCs w:val="24"/>
        </w:rPr>
        <w:t>)</w:t>
      </w:r>
      <w:r w:rsidRPr="00FF5607">
        <w:rPr>
          <w:rFonts w:ascii="Garamond" w:eastAsia="Calibri" w:hAnsi="Garamond" w:cs="Times New Roman"/>
          <w:sz w:val="24"/>
          <w:szCs w:val="24"/>
          <w:vertAlign w:val="superscript"/>
        </w:rPr>
        <w:footnoteReference w:id="28"/>
      </w:r>
      <w:r w:rsidRPr="00FF5607">
        <w:rPr>
          <w:rFonts w:ascii="Garamond" w:eastAsia="Calibri" w:hAnsi="Garamond" w:cs="Times New Roman"/>
          <w:sz w:val="24"/>
          <w:szCs w:val="24"/>
        </w:rPr>
        <w:t xml:space="preserve">, and the possibility that oracles may not work at all, is not considered further. </w:t>
      </w:r>
    </w:p>
    <w:p w14:paraId="53DE88A1" w14:textId="77777777" w:rsidR="00FF5607" w:rsidRPr="00FF5607" w:rsidRDefault="00FF5607" w:rsidP="00FF5607">
      <w:pPr>
        <w:spacing w:after="120" w:line="240" w:lineRule="auto"/>
        <w:jc w:val="both"/>
        <w:rPr>
          <w:rFonts w:ascii="Garamond" w:eastAsia="Calibri" w:hAnsi="Garamond" w:cs="Times New Roman"/>
          <w:sz w:val="24"/>
          <w:szCs w:val="24"/>
        </w:rPr>
      </w:pPr>
      <w:r w:rsidRPr="00FF5607">
        <w:rPr>
          <w:rFonts w:ascii="Garamond" w:eastAsia="Calibri" w:hAnsi="Garamond" w:cs="Times New Roman"/>
          <w:sz w:val="24"/>
          <w:szCs w:val="24"/>
        </w:rPr>
        <w:t xml:space="preserve">The conversation is structured so that it is Lamprias who has the leading role and it is he who relates the text. It is worth noting that Lamprias was in actuality Plutarch’s brother and he was also </w:t>
      </w:r>
      <w:r w:rsidRPr="00FF5607">
        <w:rPr>
          <w:rFonts w:ascii="Garamond" w:eastAsia="Calibri" w:hAnsi="Garamond" w:cs="Times New Roman"/>
          <w:sz w:val="24"/>
          <w:szCs w:val="24"/>
        </w:rPr>
        <w:lastRenderedPageBreak/>
        <w:t>an officiary at Delphi. As such, his opinions are sometimes considered to represent those of Plutarch</w:t>
      </w:r>
      <w:r w:rsidRPr="00FF5607">
        <w:rPr>
          <w:rFonts w:ascii="Garamond" w:eastAsia="Calibri" w:hAnsi="Garamond" w:cs="Times New Roman"/>
          <w:sz w:val="24"/>
          <w:szCs w:val="24"/>
          <w:vertAlign w:val="superscript"/>
        </w:rPr>
        <w:footnoteReference w:id="29"/>
      </w:r>
      <w:r w:rsidRPr="00FF5607">
        <w:rPr>
          <w:rFonts w:ascii="Garamond" w:eastAsia="Calibri" w:hAnsi="Garamond" w:cs="Times New Roman"/>
          <w:sz w:val="24"/>
          <w:szCs w:val="24"/>
        </w:rPr>
        <w:t xml:space="preserve"> and at least one of his statements, the rebuttal of Didymus, could very plausibly be taken to be in keeping with Plutarch’s own views</w:t>
      </w:r>
      <w:r w:rsidRPr="00FF5607">
        <w:rPr>
          <w:rFonts w:ascii="Garamond" w:eastAsia="Calibri" w:hAnsi="Garamond" w:cs="Times New Roman"/>
          <w:sz w:val="24"/>
          <w:szCs w:val="24"/>
          <w:vertAlign w:val="superscript"/>
        </w:rPr>
        <w:footnoteReference w:id="30"/>
      </w:r>
      <w:r w:rsidRPr="00FF5607">
        <w:rPr>
          <w:rFonts w:ascii="Garamond" w:eastAsia="Calibri" w:hAnsi="Garamond" w:cs="Times New Roman"/>
          <w:sz w:val="24"/>
          <w:szCs w:val="24"/>
        </w:rPr>
        <w:t>. Regardless of this possibility, it is clear that the work is structured to support the use of oracles, and as Simonetti argues, it substantiates and legitimises the hypothesis of demonology</w:t>
      </w:r>
      <w:r w:rsidRPr="00FF5607">
        <w:rPr>
          <w:rFonts w:ascii="Garamond" w:eastAsia="Calibri" w:hAnsi="Garamond" w:cs="Times New Roman"/>
          <w:sz w:val="24"/>
          <w:szCs w:val="24"/>
          <w:vertAlign w:val="superscript"/>
        </w:rPr>
        <w:footnoteReference w:id="31"/>
      </w:r>
      <w:r w:rsidRPr="00FF5607">
        <w:rPr>
          <w:rFonts w:ascii="Garamond" w:eastAsia="Calibri" w:hAnsi="Garamond" w:cs="Times New Roman"/>
          <w:sz w:val="24"/>
          <w:szCs w:val="24"/>
        </w:rPr>
        <w:t>, with none of the main characters arguing against their efficacy.</w:t>
      </w:r>
    </w:p>
    <w:p w14:paraId="53DE88A2" w14:textId="7259B292" w:rsidR="00FF5607" w:rsidRPr="00FF5607" w:rsidRDefault="00FF5607" w:rsidP="00FF5607">
      <w:pPr>
        <w:spacing w:after="120" w:line="240" w:lineRule="auto"/>
        <w:jc w:val="both"/>
        <w:rPr>
          <w:rFonts w:ascii="Garamond" w:eastAsia="Calibri" w:hAnsi="Garamond" w:cs="Times New Roman"/>
          <w:sz w:val="24"/>
          <w:szCs w:val="24"/>
        </w:rPr>
      </w:pPr>
      <w:r w:rsidRPr="00FF5607">
        <w:rPr>
          <w:rFonts w:ascii="Garamond" w:eastAsia="Calibri" w:hAnsi="Garamond" w:cs="Times New Roman"/>
          <w:sz w:val="24"/>
          <w:szCs w:val="24"/>
        </w:rPr>
        <w:t xml:space="preserve">The rather meandering discursive framework of the dialogue, however, means that </w:t>
      </w:r>
      <w:r w:rsidR="00574BEC" w:rsidRPr="00E220DE">
        <w:rPr>
          <w:rFonts w:ascii="Garamond" w:eastAsia="Calibri" w:hAnsi="Garamond" w:cs="Times New Roman"/>
          <w:sz w:val="24"/>
          <w:szCs w:val="24"/>
        </w:rPr>
        <w:t>the</w:t>
      </w:r>
      <w:r w:rsidR="00574BEC">
        <w:rPr>
          <w:rFonts w:ascii="Garamond" w:eastAsia="Calibri" w:hAnsi="Garamond" w:cs="Times New Roman"/>
          <w:sz w:val="24"/>
          <w:szCs w:val="24"/>
        </w:rPr>
        <w:t xml:space="preserve"> </w:t>
      </w:r>
      <w:r w:rsidRPr="00FF5607">
        <w:rPr>
          <w:rFonts w:ascii="Garamond" w:eastAsia="Calibri" w:hAnsi="Garamond" w:cs="Times New Roman"/>
          <w:sz w:val="24"/>
          <w:szCs w:val="24"/>
        </w:rPr>
        <w:t>central subject matter of discussion takes up a relatively small percentage of the overall work, which is most fully described between Sections 431 and 438</w:t>
      </w:r>
      <w:r w:rsidRPr="00FF5607">
        <w:rPr>
          <w:rFonts w:ascii="Garamond" w:eastAsia="Calibri" w:hAnsi="Garamond" w:cs="Times New Roman"/>
          <w:sz w:val="24"/>
          <w:szCs w:val="24"/>
          <w:vertAlign w:val="superscript"/>
        </w:rPr>
        <w:footnoteReference w:id="32"/>
      </w:r>
      <w:r w:rsidRPr="00FF5607">
        <w:rPr>
          <w:rFonts w:ascii="Garamond" w:eastAsia="Calibri" w:hAnsi="Garamond" w:cs="Times New Roman"/>
          <w:sz w:val="24"/>
          <w:szCs w:val="24"/>
        </w:rPr>
        <w:t>. This digressive style, as the translator Frank Cole Babbitt notes, makes for difficult reading in places</w:t>
      </w:r>
      <w:r w:rsidRPr="00FF5607">
        <w:rPr>
          <w:rFonts w:ascii="Garamond" w:eastAsia="Calibri" w:hAnsi="Garamond" w:cs="Times New Roman"/>
          <w:sz w:val="24"/>
          <w:szCs w:val="24"/>
          <w:vertAlign w:val="superscript"/>
        </w:rPr>
        <w:footnoteReference w:id="33"/>
      </w:r>
      <w:r w:rsidRPr="00FF5607">
        <w:rPr>
          <w:rFonts w:ascii="Garamond" w:eastAsia="Calibri" w:hAnsi="Garamond" w:cs="Times New Roman"/>
          <w:sz w:val="24"/>
          <w:szCs w:val="24"/>
        </w:rPr>
        <w:t>, as the company ‘grope around’</w:t>
      </w:r>
      <w:r w:rsidRPr="00FF5607">
        <w:rPr>
          <w:rFonts w:ascii="Garamond" w:eastAsia="Calibri" w:hAnsi="Garamond" w:cs="Times New Roman"/>
          <w:sz w:val="24"/>
          <w:szCs w:val="24"/>
          <w:vertAlign w:val="superscript"/>
        </w:rPr>
        <w:footnoteReference w:id="34"/>
      </w:r>
      <w:r w:rsidRPr="00FF5607">
        <w:rPr>
          <w:rFonts w:ascii="Garamond" w:eastAsia="Calibri" w:hAnsi="Garamond" w:cs="Times New Roman"/>
          <w:sz w:val="24"/>
          <w:szCs w:val="24"/>
        </w:rPr>
        <w:t xml:space="preserve"> the subject matter. Consequently the arguments are less focussed than those presented in Cicero’s </w:t>
      </w:r>
      <w:r w:rsidRPr="00FF5607">
        <w:rPr>
          <w:rFonts w:ascii="Garamond" w:eastAsia="Calibri" w:hAnsi="Garamond" w:cs="Times New Roman"/>
          <w:i/>
          <w:iCs/>
          <w:sz w:val="24"/>
          <w:szCs w:val="24"/>
        </w:rPr>
        <w:t>De divinatione</w:t>
      </w:r>
      <w:r w:rsidRPr="00FF5607">
        <w:rPr>
          <w:rFonts w:ascii="Garamond" w:eastAsia="Calibri" w:hAnsi="Garamond" w:cs="Times New Roman"/>
          <w:sz w:val="24"/>
          <w:szCs w:val="24"/>
        </w:rPr>
        <w:t xml:space="preserve"> and lack clear conclusions. Nonetheless, the work does demonstrate Plutarch’s beliefs and provide </w:t>
      </w:r>
      <w:r w:rsidR="00574BEC" w:rsidRPr="00FF5607">
        <w:rPr>
          <w:rFonts w:ascii="Garamond" w:eastAsia="Calibri" w:hAnsi="Garamond" w:cs="Times New Roman"/>
          <w:sz w:val="24"/>
          <w:szCs w:val="24"/>
        </w:rPr>
        <w:t>a</w:t>
      </w:r>
      <w:r w:rsidRPr="00FF5607">
        <w:rPr>
          <w:rFonts w:ascii="Garamond" w:eastAsia="Calibri" w:hAnsi="Garamond" w:cs="Times New Roman"/>
          <w:sz w:val="24"/>
          <w:szCs w:val="24"/>
        </w:rPr>
        <w:t xml:space="preserve"> unique insight into how oracles were perceived to work in the first century CE.</w:t>
      </w:r>
    </w:p>
    <w:p w14:paraId="53DE88A3" w14:textId="77777777" w:rsidR="00FF5607" w:rsidRPr="00FF5607" w:rsidRDefault="00FF5607" w:rsidP="00FF5607">
      <w:pPr>
        <w:spacing w:after="120" w:line="240" w:lineRule="auto"/>
        <w:jc w:val="both"/>
        <w:rPr>
          <w:rFonts w:ascii="Garamond" w:eastAsia="Calibri" w:hAnsi="Garamond" w:cs="Times New Roman"/>
          <w:i/>
          <w:iCs/>
          <w:sz w:val="24"/>
          <w:szCs w:val="24"/>
        </w:rPr>
      </w:pPr>
      <w:r w:rsidRPr="00FF5607">
        <w:rPr>
          <w:rFonts w:ascii="Garamond" w:eastAsia="Calibri" w:hAnsi="Garamond" w:cs="Times New Roman"/>
          <w:i/>
          <w:iCs/>
          <w:sz w:val="24"/>
          <w:szCs w:val="24"/>
        </w:rPr>
        <w:t>De defectu oraculorum; the arguments for oracles and explanations for their workings</w:t>
      </w:r>
    </w:p>
    <w:p w14:paraId="53DE88A4" w14:textId="7D810284" w:rsidR="00FF5607" w:rsidRPr="00FF5607" w:rsidRDefault="00FF5607" w:rsidP="00FF5607">
      <w:pPr>
        <w:spacing w:after="120" w:line="240" w:lineRule="auto"/>
        <w:jc w:val="both"/>
        <w:rPr>
          <w:rFonts w:ascii="Garamond" w:eastAsia="Calibri" w:hAnsi="Garamond" w:cs="Times New Roman"/>
          <w:sz w:val="24"/>
          <w:szCs w:val="24"/>
        </w:rPr>
      </w:pPr>
      <w:r w:rsidRPr="00FF5607">
        <w:rPr>
          <w:rFonts w:ascii="Garamond" w:eastAsia="Calibri" w:hAnsi="Garamond" w:cs="Times New Roman"/>
          <w:sz w:val="24"/>
          <w:szCs w:val="24"/>
        </w:rPr>
        <w:t>After a brief discussion on other matters, Lamprias raises the subject of oracles (Section 411–412</w:t>
      </w:r>
      <w:r w:rsidR="00AA2AA6">
        <w:rPr>
          <w:rFonts w:ascii="Garamond" w:eastAsia="Calibri" w:hAnsi="Garamond" w:cs="Times New Roman"/>
          <w:sz w:val="24"/>
          <w:szCs w:val="24"/>
        </w:rPr>
        <w:t xml:space="preserve">, </w:t>
      </w:r>
      <w:r w:rsidR="009C3950">
        <w:rPr>
          <w:rFonts w:ascii="Garamond" w:eastAsia="Calibri" w:hAnsi="Garamond" w:cs="Times New Roman"/>
          <w:sz w:val="24"/>
          <w:szCs w:val="24"/>
        </w:rPr>
        <w:t>5</w:t>
      </w:r>
      <w:r w:rsidRPr="00FF5607">
        <w:rPr>
          <w:rFonts w:ascii="Garamond" w:eastAsia="Calibri" w:hAnsi="Garamond" w:cs="Times New Roman"/>
          <w:sz w:val="24"/>
          <w:szCs w:val="24"/>
        </w:rPr>
        <w:t>). He starts by asking Cleombrotus to ‘tell us all about the ‘oracle’. This opens a short dialogue whereby it is stated and agreed that all ‘but one or two’ of the oracles of Boeotia have disappeared and they have become ‘utterly weak’. These statements act as a framing device for arguments to be put forward by the group to discuss and explain this perceived demise.</w:t>
      </w:r>
    </w:p>
    <w:p w14:paraId="53DE88A5" w14:textId="1DC8601C" w:rsidR="00FF5607" w:rsidRPr="00FF5607" w:rsidRDefault="00FF5607" w:rsidP="00FF5607">
      <w:pPr>
        <w:spacing w:after="120" w:line="240" w:lineRule="auto"/>
        <w:jc w:val="both"/>
        <w:rPr>
          <w:rFonts w:ascii="Garamond" w:eastAsia="Calibri" w:hAnsi="Garamond" w:cs="Times New Roman"/>
          <w:sz w:val="24"/>
          <w:szCs w:val="24"/>
        </w:rPr>
      </w:pPr>
      <w:r w:rsidRPr="00FF5607">
        <w:rPr>
          <w:rFonts w:ascii="Garamond" w:eastAsia="Calibri" w:hAnsi="Garamond" w:cs="Times New Roman"/>
          <w:sz w:val="24"/>
          <w:szCs w:val="24"/>
        </w:rPr>
        <w:t>The first argument made is that there has been a general decline in the population of Greece, (Section 413–414</w:t>
      </w:r>
      <w:r w:rsidR="00655201">
        <w:rPr>
          <w:rFonts w:ascii="Garamond" w:eastAsia="Calibri" w:hAnsi="Garamond" w:cs="Times New Roman"/>
          <w:sz w:val="24"/>
          <w:szCs w:val="24"/>
        </w:rPr>
        <w:t>, 8</w:t>
      </w:r>
      <w:r w:rsidRPr="00FF5607">
        <w:rPr>
          <w:rFonts w:ascii="Garamond" w:eastAsia="Calibri" w:hAnsi="Garamond" w:cs="Times New Roman"/>
          <w:sz w:val="24"/>
          <w:szCs w:val="24"/>
        </w:rPr>
        <w:t>)</w:t>
      </w:r>
      <w:r w:rsidRPr="00FF5607">
        <w:rPr>
          <w:rFonts w:ascii="Garamond" w:eastAsia="Calibri" w:hAnsi="Garamond" w:cs="Times New Roman"/>
          <w:sz w:val="24"/>
          <w:szCs w:val="24"/>
          <w:vertAlign w:val="superscript"/>
        </w:rPr>
        <w:footnoteReference w:id="35"/>
      </w:r>
      <w:r w:rsidRPr="00FF5607">
        <w:rPr>
          <w:rFonts w:ascii="Garamond" w:eastAsia="Calibri" w:hAnsi="Garamond" w:cs="Times New Roman"/>
          <w:sz w:val="24"/>
          <w:szCs w:val="24"/>
        </w:rPr>
        <w:t xml:space="preserve"> and Ammonius notes, in support of this, the decrease in the number of fighting men available when compared to the days of Herodotus centuries earlier. The inference being from this exchange that there is less need for large numbers of oracles or priests, when there are fewer people needing to consult them. In the absence of any actual population figures for this period, the accuracy of this suggestion is difficult to determine. Howe</w:t>
      </w:r>
      <w:r w:rsidR="00CB584C">
        <w:rPr>
          <w:rFonts w:ascii="Garamond" w:eastAsia="Calibri" w:hAnsi="Garamond" w:cs="Times New Roman"/>
          <w:sz w:val="24"/>
          <w:szCs w:val="24"/>
        </w:rPr>
        <w:t xml:space="preserve">ver, given that the </w:t>
      </w:r>
      <w:r w:rsidR="00CB584C" w:rsidRPr="00446274">
        <w:rPr>
          <w:rFonts w:ascii="Garamond" w:eastAsia="Calibri" w:hAnsi="Garamond" w:cs="Times New Roman"/>
          <w:sz w:val="24"/>
          <w:szCs w:val="24"/>
        </w:rPr>
        <w:t>internecine</w:t>
      </w:r>
      <w:r w:rsidR="00CB584C">
        <w:rPr>
          <w:rFonts w:ascii="Garamond" w:eastAsia="Calibri" w:hAnsi="Garamond" w:cs="Times New Roman"/>
          <w:sz w:val="24"/>
          <w:szCs w:val="24"/>
        </w:rPr>
        <w:t xml:space="preserve"> </w:t>
      </w:r>
      <w:r w:rsidRPr="00FF5607">
        <w:rPr>
          <w:rFonts w:ascii="Garamond" w:eastAsia="Calibri" w:hAnsi="Garamond" w:cs="Times New Roman"/>
          <w:sz w:val="24"/>
          <w:szCs w:val="24"/>
        </w:rPr>
        <w:t xml:space="preserve">inter-city state wars of earlier centuries were absent during the centuries of </w:t>
      </w:r>
      <w:r w:rsidRPr="00543858">
        <w:rPr>
          <w:rFonts w:ascii="Garamond" w:eastAsia="Calibri" w:hAnsi="Garamond" w:cs="Times New Roman"/>
          <w:sz w:val="24"/>
          <w:szCs w:val="24"/>
        </w:rPr>
        <w:t>the</w:t>
      </w:r>
      <w:r w:rsidRPr="00FF5607">
        <w:rPr>
          <w:rFonts w:ascii="Garamond" w:eastAsia="Calibri" w:hAnsi="Garamond" w:cs="Times New Roman"/>
          <w:sz w:val="24"/>
          <w:szCs w:val="24"/>
        </w:rPr>
        <w:t xml:space="preserve"> Roman peace, this seems unlikely, and Herodotus’s citation of troop numbers should perhaps be treated with a degree of scepticism. Given that population decline is not mentioned subsequently or revisited in Lamprias’s concluding statements, it seems that this suggestion did not warrant further consideration.</w:t>
      </w:r>
    </w:p>
    <w:p w14:paraId="53DE88A6" w14:textId="5BDB1645" w:rsidR="00FF5607" w:rsidRPr="00FF5607" w:rsidRDefault="00CB584C" w:rsidP="00FF5607">
      <w:pPr>
        <w:spacing w:after="120" w:line="240" w:lineRule="auto"/>
        <w:jc w:val="both"/>
        <w:rPr>
          <w:rFonts w:ascii="Garamond" w:eastAsia="Calibri" w:hAnsi="Garamond" w:cs="Times New Roman"/>
          <w:sz w:val="24"/>
          <w:szCs w:val="24"/>
        </w:rPr>
      </w:pPr>
      <w:r>
        <w:rPr>
          <w:rFonts w:ascii="Garamond" w:eastAsia="Calibri" w:hAnsi="Garamond" w:cs="Times New Roman"/>
          <w:sz w:val="24"/>
          <w:szCs w:val="24"/>
        </w:rPr>
        <w:t>After, some digression,</w:t>
      </w:r>
      <w:r w:rsidR="00FF5607" w:rsidRPr="00FF5607">
        <w:rPr>
          <w:rFonts w:ascii="Garamond" w:eastAsia="Calibri" w:hAnsi="Garamond" w:cs="Times New Roman"/>
          <w:sz w:val="24"/>
          <w:szCs w:val="24"/>
        </w:rPr>
        <w:t xml:space="preserve"> the suggestion arises that it is not always the gods themselves but is instead the demi gods or daimones who are the intermediaries between the gods and humans and they are in fact in charge of oracles (</w:t>
      </w:r>
      <w:r w:rsidR="00D13CFE">
        <w:rPr>
          <w:rFonts w:ascii="Garamond" w:eastAsia="Calibri" w:hAnsi="Garamond" w:cs="Times New Roman"/>
          <w:sz w:val="24"/>
          <w:szCs w:val="24"/>
        </w:rPr>
        <w:t>S</w:t>
      </w:r>
      <w:r w:rsidR="00FF5607" w:rsidRPr="00FF5607">
        <w:rPr>
          <w:rFonts w:ascii="Garamond" w:eastAsia="Calibri" w:hAnsi="Garamond" w:cs="Times New Roman"/>
          <w:sz w:val="24"/>
          <w:szCs w:val="24"/>
        </w:rPr>
        <w:t>ection 418–419</w:t>
      </w:r>
      <w:r w:rsidR="00D13CFE">
        <w:rPr>
          <w:rFonts w:ascii="Garamond" w:eastAsia="Calibri" w:hAnsi="Garamond" w:cs="Times New Roman"/>
          <w:sz w:val="24"/>
          <w:szCs w:val="24"/>
        </w:rPr>
        <w:t>, 16</w:t>
      </w:r>
      <w:r w:rsidR="00FF5607" w:rsidRPr="00FF5607">
        <w:rPr>
          <w:rFonts w:ascii="Garamond" w:eastAsia="Calibri" w:hAnsi="Garamond" w:cs="Times New Roman"/>
          <w:sz w:val="24"/>
          <w:szCs w:val="24"/>
        </w:rPr>
        <w:t xml:space="preserve">). Cleombrotus suggests that it is these daimones who operate the oracles as agents for the gods, and these beings, although much longer lived than humans are not immortal and have finite lives. Consequently, the death of such daimones is responsible for the silencing of oracles, and their removal to </w:t>
      </w:r>
      <w:r w:rsidR="00FF5607" w:rsidRPr="00FF5607">
        <w:rPr>
          <w:rFonts w:ascii="Garamond" w:eastAsia="Calibri" w:hAnsi="Garamond" w:cs="Times New Roman" w:hint="eastAsia"/>
          <w:sz w:val="24"/>
          <w:szCs w:val="24"/>
        </w:rPr>
        <w:t>another place for the loss of prophetic power</w:t>
      </w:r>
      <w:r w:rsidR="00FF5607" w:rsidRPr="00FF5607">
        <w:rPr>
          <w:rFonts w:ascii="Garamond" w:eastAsia="Calibri" w:hAnsi="Garamond" w:cs="Times New Roman"/>
          <w:sz w:val="24"/>
          <w:szCs w:val="24"/>
          <w:vertAlign w:val="superscript"/>
        </w:rPr>
        <w:footnoteReference w:id="36"/>
      </w:r>
      <w:r w:rsidR="00FF5607" w:rsidRPr="00FF5607">
        <w:rPr>
          <w:rFonts w:ascii="Garamond" w:eastAsia="Calibri" w:hAnsi="Garamond" w:cs="Times New Roman"/>
          <w:sz w:val="24"/>
          <w:szCs w:val="24"/>
        </w:rPr>
        <w:t>. In support of this argument, the much quoted death of the demi god Pan heard by mariners who were passing the island of Paxi is related by Philip as evidence for daimone mortality</w:t>
      </w:r>
      <w:r w:rsidR="00FF5607" w:rsidRPr="00FF5607">
        <w:rPr>
          <w:rFonts w:ascii="Garamond" w:eastAsia="Calibri" w:hAnsi="Garamond" w:cs="Times New Roman"/>
          <w:sz w:val="24"/>
          <w:szCs w:val="24"/>
          <w:vertAlign w:val="superscript"/>
        </w:rPr>
        <w:footnoteReference w:id="37"/>
      </w:r>
      <w:r w:rsidR="00FF5607" w:rsidRPr="00FF5607">
        <w:rPr>
          <w:rFonts w:ascii="Garamond" w:eastAsia="Calibri" w:hAnsi="Garamond" w:cs="Times New Roman"/>
          <w:sz w:val="24"/>
          <w:szCs w:val="24"/>
        </w:rPr>
        <w:t>. This quotation was popular with much later Christian writers as evidence for Chri</w:t>
      </w:r>
      <w:r>
        <w:rPr>
          <w:rFonts w:ascii="Garamond" w:eastAsia="Calibri" w:hAnsi="Garamond" w:cs="Times New Roman"/>
          <w:sz w:val="24"/>
          <w:szCs w:val="24"/>
        </w:rPr>
        <w:t>st’s influence on the demise of</w:t>
      </w:r>
      <w:r w:rsidR="00FF5607" w:rsidRPr="00FF5607">
        <w:rPr>
          <w:rFonts w:ascii="Garamond" w:eastAsia="Calibri" w:hAnsi="Garamond" w:cs="Times New Roman"/>
          <w:sz w:val="24"/>
          <w:szCs w:val="24"/>
        </w:rPr>
        <w:t xml:space="preserve"> both oracles and pagan deities</w:t>
      </w:r>
      <w:r w:rsidR="00FF5607" w:rsidRPr="00FF5607">
        <w:rPr>
          <w:rFonts w:ascii="Garamond" w:eastAsia="Calibri" w:hAnsi="Garamond" w:cs="Times New Roman"/>
          <w:sz w:val="24"/>
          <w:szCs w:val="24"/>
          <w:vertAlign w:val="superscript"/>
        </w:rPr>
        <w:footnoteReference w:id="38"/>
      </w:r>
      <w:r w:rsidR="00FF5607" w:rsidRPr="00FF5607">
        <w:rPr>
          <w:rFonts w:ascii="Garamond" w:eastAsia="Calibri" w:hAnsi="Garamond" w:cs="Times New Roman"/>
          <w:sz w:val="24"/>
          <w:szCs w:val="24"/>
        </w:rPr>
        <w:t xml:space="preserve">, however, as Stoneman points out the </w:t>
      </w:r>
      <w:r w:rsidR="00FF5607" w:rsidRPr="00FF5607">
        <w:rPr>
          <w:rFonts w:ascii="Garamond" w:eastAsia="Calibri" w:hAnsi="Garamond" w:cs="Times New Roman"/>
          <w:sz w:val="24"/>
          <w:szCs w:val="24"/>
        </w:rPr>
        <w:lastRenderedPageBreak/>
        <w:t>Christianity had little influence in the Roman world in the first century CE, and Christ would have been completely unknown to Plutarch</w:t>
      </w:r>
      <w:r w:rsidR="00FF5607" w:rsidRPr="00FF5607">
        <w:rPr>
          <w:rFonts w:ascii="Garamond" w:eastAsia="Calibri" w:hAnsi="Garamond" w:cs="Times New Roman"/>
          <w:sz w:val="24"/>
          <w:szCs w:val="24"/>
          <w:vertAlign w:val="superscript"/>
        </w:rPr>
        <w:footnoteReference w:id="39"/>
      </w:r>
      <w:r w:rsidR="00FF5607" w:rsidRPr="00FF5607">
        <w:rPr>
          <w:rFonts w:ascii="Garamond" w:eastAsia="Calibri" w:hAnsi="Garamond" w:cs="Times New Roman"/>
          <w:sz w:val="24"/>
          <w:szCs w:val="24"/>
        </w:rPr>
        <w:t>.</w:t>
      </w:r>
    </w:p>
    <w:p w14:paraId="53DE88A7" w14:textId="67AA01D8" w:rsidR="00FF5607" w:rsidRPr="00FF5607" w:rsidRDefault="00FF5607" w:rsidP="00FF5607">
      <w:pPr>
        <w:spacing w:after="120" w:line="240" w:lineRule="auto"/>
        <w:jc w:val="both"/>
        <w:rPr>
          <w:rFonts w:ascii="Garamond" w:eastAsia="Calibri" w:hAnsi="Garamond" w:cs="Times New Roman"/>
          <w:sz w:val="24"/>
          <w:szCs w:val="24"/>
        </w:rPr>
      </w:pPr>
      <w:r w:rsidRPr="00FF5607">
        <w:rPr>
          <w:rFonts w:ascii="Garamond" w:eastAsia="Calibri" w:hAnsi="Garamond" w:cs="Times New Roman"/>
          <w:sz w:val="24"/>
          <w:szCs w:val="24"/>
        </w:rPr>
        <w:t>There then follows a long and meandering discourse on a range of matters, including information on the British Isles and the number of worlds, before the consideration of demi gods and the nature of prophesy is returned to again (Section 431</w:t>
      </w:r>
      <w:r w:rsidR="00287F53">
        <w:rPr>
          <w:rFonts w:ascii="Garamond" w:eastAsia="Calibri" w:hAnsi="Garamond" w:cs="Times New Roman"/>
          <w:sz w:val="24"/>
          <w:szCs w:val="24"/>
        </w:rPr>
        <w:t>, 37</w:t>
      </w:r>
      <w:r w:rsidRPr="00FF5607">
        <w:rPr>
          <w:rFonts w:ascii="Garamond" w:eastAsia="Calibri" w:hAnsi="Garamond" w:cs="Times New Roman"/>
          <w:sz w:val="24"/>
          <w:szCs w:val="24"/>
        </w:rPr>
        <w:t>)</w:t>
      </w:r>
      <w:r w:rsidRPr="00FF5607">
        <w:rPr>
          <w:rFonts w:ascii="Garamond" w:eastAsia="Calibri" w:hAnsi="Garamond" w:cs="Times New Roman"/>
          <w:sz w:val="24"/>
          <w:szCs w:val="24"/>
          <w:vertAlign w:val="superscript"/>
        </w:rPr>
        <w:footnoteReference w:id="40"/>
      </w:r>
      <w:r w:rsidRPr="00FF5607">
        <w:rPr>
          <w:rFonts w:ascii="Garamond" w:eastAsia="Calibri" w:hAnsi="Garamond" w:cs="Times New Roman"/>
          <w:sz w:val="24"/>
          <w:szCs w:val="24"/>
        </w:rPr>
        <w:t xml:space="preserve">, with Demetrius remarking that ‘when the demi gods withdraw and forsake the oracles these lie idle and inarticulate like the instruments of musicians…’. This leads to the discussion about the oracles work and the nature of the daimones themselves, their relationship to the gods and emanations from the earth, which preoccupies the reminder of the work. </w:t>
      </w:r>
    </w:p>
    <w:p w14:paraId="53DE88A8" w14:textId="2040D6F2" w:rsidR="00FF5607" w:rsidRPr="00FF5607" w:rsidRDefault="00FF5607" w:rsidP="00FF5607">
      <w:pPr>
        <w:spacing w:after="120" w:line="240" w:lineRule="auto"/>
        <w:jc w:val="both"/>
        <w:rPr>
          <w:rFonts w:ascii="Garamond" w:eastAsia="Calibri" w:hAnsi="Garamond" w:cs="Times New Roman"/>
          <w:sz w:val="24"/>
          <w:szCs w:val="24"/>
        </w:rPr>
      </w:pPr>
      <w:r w:rsidRPr="00FF5607">
        <w:rPr>
          <w:rFonts w:ascii="Garamond" w:eastAsia="Calibri" w:hAnsi="Garamond" w:cs="Times New Roman"/>
          <w:sz w:val="24"/>
          <w:szCs w:val="24"/>
        </w:rPr>
        <w:t xml:space="preserve">This discourse commences with the rhetorical question from Ammonius that the daimones are in fact the souls of the dead. In response to which Lamprias agrees that daimones are souls of the dead, and this is evident in the abilities of individuals to prophesise, stating that ‘we </w:t>
      </w:r>
      <w:r w:rsidR="00752353" w:rsidRPr="00FF5607">
        <w:rPr>
          <w:rFonts w:ascii="Garamond" w:eastAsia="Calibri" w:hAnsi="Garamond" w:cs="Times New Roman"/>
          <w:sz w:val="24"/>
          <w:szCs w:val="24"/>
        </w:rPr>
        <w:t>ought</w:t>
      </w:r>
      <w:r w:rsidRPr="00FF5607">
        <w:rPr>
          <w:rFonts w:ascii="Garamond" w:eastAsia="Calibri" w:hAnsi="Garamond" w:cs="Times New Roman"/>
          <w:sz w:val="24"/>
          <w:szCs w:val="24"/>
        </w:rPr>
        <w:t xml:space="preserve"> not feel surprised or incredulous at this, though we see naught else, that faculty which is the complement of prophecy’ (</w:t>
      </w:r>
      <w:r w:rsidR="009229AF">
        <w:rPr>
          <w:rFonts w:ascii="Garamond" w:eastAsia="Calibri" w:hAnsi="Garamond" w:cs="Times New Roman"/>
          <w:sz w:val="24"/>
          <w:szCs w:val="24"/>
        </w:rPr>
        <w:t>S</w:t>
      </w:r>
      <w:r w:rsidRPr="00FF5607">
        <w:rPr>
          <w:rFonts w:ascii="Garamond" w:eastAsia="Calibri" w:hAnsi="Garamond" w:cs="Times New Roman"/>
          <w:sz w:val="24"/>
          <w:szCs w:val="24"/>
        </w:rPr>
        <w:t>ection 432</w:t>
      </w:r>
      <w:r w:rsidR="005B71D7">
        <w:rPr>
          <w:rFonts w:ascii="Garamond" w:eastAsia="Calibri" w:hAnsi="Garamond" w:cs="Times New Roman"/>
          <w:sz w:val="24"/>
          <w:szCs w:val="24"/>
        </w:rPr>
        <w:t>, 39</w:t>
      </w:r>
      <w:r w:rsidRPr="00FF5607">
        <w:rPr>
          <w:rFonts w:ascii="Garamond" w:eastAsia="Calibri" w:hAnsi="Garamond" w:cs="Times New Roman"/>
          <w:sz w:val="24"/>
          <w:szCs w:val="24"/>
        </w:rPr>
        <w:t>)</w:t>
      </w:r>
      <w:r w:rsidRPr="00FF5607">
        <w:rPr>
          <w:rFonts w:ascii="Garamond" w:eastAsia="Calibri" w:hAnsi="Garamond" w:cs="Times New Roman"/>
          <w:sz w:val="24"/>
          <w:szCs w:val="24"/>
          <w:vertAlign w:val="superscript"/>
        </w:rPr>
        <w:footnoteReference w:id="41"/>
      </w:r>
      <w:r w:rsidRPr="00FF5607">
        <w:rPr>
          <w:rFonts w:ascii="Garamond" w:eastAsia="Calibri" w:hAnsi="Garamond" w:cs="Times New Roman"/>
          <w:sz w:val="24"/>
          <w:szCs w:val="24"/>
        </w:rPr>
        <w:t xml:space="preserve">. He argues that the body obscures the prophetic power of the </w:t>
      </w:r>
      <w:r w:rsidR="00CB584C" w:rsidRPr="00FF5607">
        <w:rPr>
          <w:rFonts w:ascii="Garamond" w:eastAsia="Calibri" w:hAnsi="Garamond" w:cs="Times New Roman"/>
          <w:sz w:val="24"/>
          <w:szCs w:val="24"/>
        </w:rPr>
        <w:t>soul’s</w:t>
      </w:r>
      <w:r w:rsidRPr="00FF5607">
        <w:rPr>
          <w:rFonts w:ascii="Garamond" w:eastAsia="Calibri" w:hAnsi="Garamond" w:cs="Times New Roman"/>
          <w:sz w:val="24"/>
          <w:szCs w:val="24"/>
        </w:rPr>
        <w:t xml:space="preserve"> vision but that it can be seen in dreams and at the hour of death, or through emanations or </w:t>
      </w:r>
      <w:r w:rsidRPr="00FF5607">
        <w:rPr>
          <w:rFonts w:ascii="Garamond" w:eastAsia="Calibri" w:hAnsi="Garamond" w:cs="Times New Roman"/>
          <w:i/>
          <w:iCs/>
          <w:sz w:val="24"/>
          <w:szCs w:val="24"/>
        </w:rPr>
        <w:t>pneuma</w:t>
      </w:r>
      <w:r w:rsidRPr="00FF5607">
        <w:rPr>
          <w:rFonts w:ascii="Garamond" w:eastAsia="Calibri" w:hAnsi="Garamond" w:cs="Times New Roman"/>
          <w:sz w:val="24"/>
          <w:szCs w:val="24"/>
        </w:rPr>
        <w:t xml:space="preserve"> from the earth, which inspire and dispose souls to inspiration and impressions of the future (Section 433</w:t>
      </w:r>
      <w:r w:rsidR="00A35D24">
        <w:rPr>
          <w:rFonts w:ascii="Garamond" w:eastAsia="Calibri" w:hAnsi="Garamond" w:cs="Times New Roman"/>
          <w:sz w:val="24"/>
          <w:szCs w:val="24"/>
        </w:rPr>
        <w:t>, 42</w:t>
      </w:r>
      <w:r w:rsidRPr="00FF5607">
        <w:rPr>
          <w:rFonts w:ascii="Garamond" w:eastAsia="Calibri" w:hAnsi="Garamond" w:cs="Times New Roman"/>
          <w:sz w:val="24"/>
          <w:szCs w:val="24"/>
        </w:rPr>
        <w:t>)</w:t>
      </w:r>
      <w:r w:rsidRPr="00FF5607">
        <w:rPr>
          <w:rFonts w:ascii="Garamond" w:eastAsia="Calibri" w:hAnsi="Garamond" w:cs="Times New Roman"/>
          <w:sz w:val="24"/>
          <w:szCs w:val="24"/>
          <w:vertAlign w:val="superscript"/>
        </w:rPr>
        <w:footnoteReference w:id="42"/>
      </w:r>
      <w:r w:rsidRPr="00FF5607">
        <w:rPr>
          <w:rFonts w:ascii="Garamond" w:eastAsia="Calibri" w:hAnsi="Garamond" w:cs="Times New Roman"/>
          <w:sz w:val="24"/>
          <w:szCs w:val="24"/>
        </w:rPr>
        <w:t xml:space="preserve">. </w:t>
      </w:r>
    </w:p>
    <w:p w14:paraId="53DE88A9" w14:textId="6FAD885D" w:rsidR="00FF5607" w:rsidRPr="00FF5607" w:rsidRDefault="00FF5607" w:rsidP="00FF5607">
      <w:pPr>
        <w:spacing w:after="120" w:line="240" w:lineRule="auto"/>
        <w:jc w:val="both"/>
        <w:rPr>
          <w:rFonts w:ascii="Garamond" w:eastAsia="Calibri" w:hAnsi="Garamond" w:cs="Times New Roman"/>
          <w:sz w:val="24"/>
          <w:szCs w:val="24"/>
        </w:rPr>
      </w:pPr>
      <w:r w:rsidRPr="00FF5607">
        <w:rPr>
          <w:rFonts w:ascii="Garamond" w:eastAsia="Calibri" w:hAnsi="Garamond" w:cs="Times New Roman"/>
          <w:sz w:val="24"/>
          <w:szCs w:val="24"/>
        </w:rPr>
        <w:t xml:space="preserve">As evidence of how some places exude </w:t>
      </w:r>
      <w:r w:rsidRPr="00FF5607">
        <w:rPr>
          <w:rFonts w:ascii="Garamond" w:eastAsia="Calibri" w:hAnsi="Garamond" w:cs="Times New Roman"/>
          <w:i/>
          <w:iCs/>
          <w:sz w:val="24"/>
          <w:szCs w:val="24"/>
        </w:rPr>
        <w:t>pneuma</w:t>
      </w:r>
      <w:r w:rsidRPr="00FF5607">
        <w:rPr>
          <w:rFonts w:ascii="Garamond" w:eastAsia="Calibri" w:hAnsi="Garamond" w:cs="Times New Roman"/>
          <w:sz w:val="24"/>
          <w:szCs w:val="24"/>
        </w:rPr>
        <w:t xml:space="preserve">, Lamprias then gives the example of the Delphi where a shepherd accidently fell into the special place of the oracle, and following this event was able to give inspired utterances. The </w:t>
      </w:r>
      <w:r w:rsidRPr="00FF5607">
        <w:rPr>
          <w:rFonts w:ascii="Garamond" w:eastAsia="Calibri" w:hAnsi="Garamond" w:cs="Times New Roman"/>
          <w:i/>
          <w:iCs/>
          <w:sz w:val="24"/>
          <w:szCs w:val="24"/>
        </w:rPr>
        <w:t>pneuma</w:t>
      </w:r>
      <w:r w:rsidRPr="00FF5607">
        <w:rPr>
          <w:rFonts w:ascii="Garamond" w:eastAsia="Calibri" w:hAnsi="Garamond" w:cs="Times New Roman"/>
          <w:sz w:val="24"/>
          <w:szCs w:val="24"/>
        </w:rPr>
        <w:t xml:space="preserve"> or emanations, however, themselves may, it is suggested be subjects to fluctuation and drying up. Analogies are made with the drying up of lakes or the exhaustion of mines, and earthquakes and other meteorological events are given as factors which could cause a sudden drying up of the oracular source (Sections 433–434)</w:t>
      </w:r>
      <w:r w:rsidRPr="00FF5607">
        <w:rPr>
          <w:rFonts w:ascii="Garamond" w:eastAsia="Calibri" w:hAnsi="Garamond" w:cs="Times New Roman"/>
          <w:sz w:val="24"/>
          <w:szCs w:val="24"/>
          <w:vertAlign w:val="superscript"/>
        </w:rPr>
        <w:footnoteReference w:id="43"/>
      </w:r>
      <w:r w:rsidRPr="00FF5607">
        <w:rPr>
          <w:rFonts w:ascii="Garamond" w:eastAsia="Calibri" w:hAnsi="Garamond" w:cs="Times New Roman"/>
          <w:sz w:val="24"/>
          <w:szCs w:val="24"/>
        </w:rPr>
        <w:t xml:space="preserve">.  After a story in which Demetrius gives an example of the efficacy of the oracle at Mopsus, Ammonius again returns to question Lamprias about how the discussion has transferred prophesy from the gods to demi gods and then to emanations from the earth. He invites Lamprias to respond with </w:t>
      </w:r>
      <w:r w:rsidRPr="00C84223">
        <w:rPr>
          <w:rFonts w:ascii="Garamond" w:eastAsia="Calibri" w:hAnsi="Garamond" w:cs="Times New Roman"/>
          <w:sz w:val="24"/>
          <w:szCs w:val="24"/>
        </w:rPr>
        <w:t>regard to role the gods</w:t>
      </w:r>
      <w:r w:rsidRPr="00FF5607">
        <w:rPr>
          <w:rFonts w:ascii="Garamond" w:eastAsia="Calibri" w:hAnsi="Garamond" w:cs="Times New Roman"/>
          <w:sz w:val="24"/>
          <w:szCs w:val="24"/>
        </w:rPr>
        <w:t xml:space="preserve">, and especially with </w:t>
      </w:r>
      <w:r w:rsidR="00C84223">
        <w:rPr>
          <w:rFonts w:ascii="Garamond" w:eastAsia="Calibri" w:hAnsi="Garamond" w:cs="Times New Roman"/>
          <w:sz w:val="24"/>
          <w:szCs w:val="24"/>
        </w:rPr>
        <w:t>respect</w:t>
      </w:r>
      <w:r w:rsidR="00C84223" w:rsidRPr="00FF5607">
        <w:rPr>
          <w:rFonts w:ascii="Garamond" w:eastAsia="Calibri" w:hAnsi="Garamond" w:cs="Times New Roman"/>
          <w:sz w:val="24"/>
          <w:szCs w:val="24"/>
        </w:rPr>
        <w:t xml:space="preserve"> </w:t>
      </w:r>
      <w:r w:rsidRPr="00FF5607">
        <w:rPr>
          <w:rFonts w:ascii="Garamond" w:eastAsia="Calibri" w:hAnsi="Garamond" w:cs="Times New Roman"/>
          <w:sz w:val="24"/>
          <w:szCs w:val="24"/>
        </w:rPr>
        <w:t>to Apollo (Sections 434–435). Lamprias’s answer forms the concluding part of the discussion with a final extended speech which is intended to unify the foregoing discussion (Sections 435–437)</w:t>
      </w:r>
      <w:r w:rsidRPr="00FF5607">
        <w:rPr>
          <w:rFonts w:ascii="Garamond" w:eastAsia="Calibri" w:hAnsi="Garamond" w:cs="Times New Roman"/>
          <w:sz w:val="24"/>
          <w:szCs w:val="24"/>
          <w:vertAlign w:val="superscript"/>
        </w:rPr>
        <w:footnoteReference w:id="44"/>
      </w:r>
      <w:r w:rsidRPr="00FF5607">
        <w:rPr>
          <w:rFonts w:ascii="Garamond" w:eastAsia="Calibri" w:hAnsi="Garamond" w:cs="Times New Roman"/>
          <w:sz w:val="24"/>
          <w:szCs w:val="24"/>
        </w:rPr>
        <w:t xml:space="preserve">. He denies that the prophetic art is godless and sets out </w:t>
      </w:r>
      <w:r w:rsidRPr="00642B02">
        <w:rPr>
          <w:rFonts w:ascii="Garamond" w:eastAsia="Calibri" w:hAnsi="Garamond" w:cs="Times New Roman"/>
          <w:sz w:val="24"/>
          <w:szCs w:val="24"/>
        </w:rPr>
        <w:t>to unite</w:t>
      </w:r>
      <w:r w:rsidRPr="00FF5607">
        <w:rPr>
          <w:rFonts w:ascii="Garamond" w:eastAsia="Calibri" w:hAnsi="Garamond" w:cs="Times New Roman"/>
          <w:sz w:val="24"/>
          <w:szCs w:val="24"/>
        </w:rPr>
        <w:t xml:space="preserve"> the concepts of the preceding discussion; the role of the gods and the daimones and their relationship to the emanations from the earth. The daimones are said to be watchmen, guards and overseers who have the task of controlling the constitution of the emanation, which provide the Pythia with her divinatory capabilities. Above all, however, is the god (Apollo at Delphi), who as Schröder summarises</w:t>
      </w:r>
      <w:r w:rsidRPr="00FF5607">
        <w:rPr>
          <w:rFonts w:ascii="Garamond" w:eastAsia="Calibri" w:hAnsi="Garamond" w:cs="Times New Roman"/>
          <w:sz w:val="24"/>
          <w:szCs w:val="24"/>
          <w:vertAlign w:val="superscript"/>
        </w:rPr>
        <w:footnoteReference w:id="45"/>
      </w:r>
      <w:r w:rsidRPr="00FF5607">
        <w:rPr>
          <w:rFonts w:ascii="Garamond" w:eastAsia="Calibri" w:hAnsi="Garamond" w:cs="Times New Roman"/>
          <w:sz w:val="24"/>
          <w:szCs w:val="24"/>
        </w:rPr>
        <w:t xml:space="preserve"> indicates ‘through signs during the sacrificial ritual preceding the consultation of the oracle whether this consultation is admissible’. But, as Lamprias concludes </w:t>
      </w:r>
      <w:r w:rsidR="00C418CC">
        <w:rPr>
          <w:rFonts w:ascii="Garamond" w:eastAsia="Calibri" w:hAnsi="Garamond" w:cs="Times New Roman"/>
          <w:sz w:val="24"/>
          <w:szCs w:val="24"/>
        </w:rPr>
        <w:t xml:space="preserve">that </w:t>
      </w:r>
      <w:r w:rsidRPr="00FF5607">
        <w:rPr>
          <w:rFonts w:ascii="Garamond" w:eastAsia="Calibri" w:hAnsi="Garamond" w:cs="Times New Roman"/>
          <w:sz w:val="24"/>
          <w:szCs w:val="24"/>
        </w:rPr>
        <w:t>(Section 438</w:t>
      </w:r>
      <w:r w:rsidR="008A34FD">
        <w:rPr>
          <w:rFonts w:ascii="Garamond" w:eastAsia="Calibri" w:hAnsi="Garamond" w:cs="Times New Roman"/>
          <w:sz w:val="24"/>
          <w:szCs w:val="24"/>
        </w:rPr>
        <w:t>, 51</w:t>
      </w:r>
      <w:r w:rsidRPr="00FF5607">
        <w:rPr>
          <w:rFonts w:ascii="Garamond" w:eastAsia="Calibri" w:hAnsi="Garamond" w:cs="Times New Roman"/>
          <w:sz w:val="24"/>
          <w:szCs w:val="24"/>
        </w:rPr>
        <w:t>)</w:t>
      </w:r>
      <w:r w:rsidR="00C418CC">
        <w:rPr>
          <w:rFonts w:ascii="Garamond" w:eastAsia="Calibri" w:hAnsi="Garamond" w:cs="Times New Roman"/>
          <w:sz w:val="24"/>
          <w:szCs w:val="24"/>
        </w:rPr>
        <w:t xml:space="preserve"> </w:t>
      </w:r>
      <w:r w:rsidRPr="00DA3B2D">
        <w:rPr>
          <w:rFonts w:ascii="Garamond" w:eastAsia="Calibri" w:hAnsi="Garamond" w:cs="Times New Roman"/>
          <w:sz w:val="24"/>
          <w:szCs w:val="24"/>
        </w:rPr>
        <w:t>although the power</w:t>
      </w:r>
      <w:r w:rsidRPr="00FF5607">
        <w:rPr>
          <w:rFonts w:ascii="Garamond" w:eastAsia="Calibri" w:hAnsi="Garamond" w:cs="Times New Roman"/>
          <w:sz w:val="24"/>
          <w:szCs w:val="24"/>
        </w:rPr>
        <w:t xml:space="preserve"> from the gods and demi gods is divine it neither ‘imperishable nor ageless’, and like all things between ‘earth and the moon, become wearied out’. </w:t>
      </w:r>
    </w:p>
    <w:p w14:paraId="53DE88AA" w14:textId="23D55AC6" w:rsidR="00FF5607" w:rsidRPr="00FF5607" w:rsidRDefault="00FF5607" w:rsidP="00FF5607">
      <w:pPr>
        <w:spacing w:after="120" w:line="240" w:lineRule="auto"/>
        <w:jc w:val="both"/>
        <w:rPr>
          <w:rFonts w:ascii="Garamond" w:eastAsia="Calibri" w:hAnsi="Garamond" w:cs="Times New Roman"/>
          <w:sz w:val="24"/>
          <w:szCs w:val="24"/>
        </w:rPr>
      </w:pPr>
      <w:r w:rsidRPr="00FF5607">
        <w:rPr>
          <w:rFonts w:ascii="Garamond" w:eastAsia="Calibri" w:hAnsi="Garamond" w:cs="Times New Roman"/>
          <w:sz w:val="24"/>
          <w:szCs w:val="24"/>
        </w:rPr>
        <w:t>The work concludes with a rather inconclusive, even melancholic statement</w:t>
      </w:r>
      <w:r w:rsidRPr="00FF5607">
        <w:rPr>
          <w:rFonts w:ascii="Garamond" w:eastAsia="Calibri" w:hAnsi="Garamond" w:cs="Times New Roman"/>
          <w:sz w:val="24"/>
          <w:szCs w:val="24"/>
          <w:vertAlign w:val="superscript"/>
        </w:rPr>
        <w:footnoteReference w:id="46"/>
      </w:r>
      <w:r w:rsidRPr="00FF5607">
        <w:rPr>
          <w:rFonts w:ascii="Garamond" w:eastAsia="Calibri" w:hAnsi="Garamond" w:cs="Times New Roman"/>
          <w:sz w:val="24"/>
          <w:szCs w:val="24"/>
        </w:rPr>
        <w:t xml:space="preserve"> which invites the reader to reflect upon these matters for themselves as they ‘contain much to which objections might be made’</w:t>
      </w:r>
      <w:r w:rsidR="0097263B">
        <w:rPr>
          <w:rFonts w:ascii="Garamond" w:eastAsia="Calibri" w:hAnsi="Garamond" w:cs="Times New Roman"/>
          <w:sz w:val="24"/>
          <w:szCs w:val="24"/>
        </w:rPr>
        <w:t xml:space="preserve"> </w:t>
      </w:r>
      <w:r w:rsidR="0097263B" w:rsidRPr="0097263B">
        <w:rPr>
          <w:rFonts w:ascii="Garamond" w:eastAsia="Calibri" w:hAnsi="Garamond" w:cs="Times New Roman"/>
          <w:sz w:val="24"/>
          <w:szCs w:val="24"/>
        </w:rPr>
        <w:t>(Section 438</w:t>
      </w:r>
      <w:r w:rsidR="0097263B">
        <w:rPr>
          <w:rFonts w:ascii="Garamond" w:eastAsia="Calibri" w:hAnsi="Garamond" w:cs="Times New Roman"/>
          <w:sz w:val="24"/>
          <w:szCs w:val="24"/>
        </w:rPr>
        <w:t xml:space="preserve">, </w:t>
      </w:r>
      <w:r w:rsidR="008A34FD">
        <w:rPr>
          <w:rFonts w:ascii="Garamond" w:eastAsia="Calibri" w:hAnsi="Garamond" w:cs="Times New Roman"/>
          <w:sz w:val="24"/>
          <w:szCs w:val="24"/>
        </w:rPr>
        <w:t>52</w:t>
      </w:r>
      <w:r w:rsidR="0097263B" w:rsidRPr="0097263B">
        <w:rPr>
          <w:rFonts w:ascii="Garamond" w:eastAsia="Calibri" w:hAnsi="Garamond" w:cs="Times New Roman"/>
          <w:sz w:val="24"/>
          <w:szCs w:val="24"/>
        </w:rPr>
        <w:t>)</w:t>
      </w:r>
      <w:r w:rsidRPr="00FF5607">
        <w:rPr>
          <w:rFonts w:ascii="Garamond" w:eastAsia="Calibri" w:hAnsi="Garamond" w:cs="Times New Roman"/>
          <w:sz w:val="24"/>
          <w:szCs w:val="24"/>
        </w:rPr>
        <w:t xml:space="preserve">. This ending is rather different from Cicero’s robust conclusion to book two of </w:t>
      </w:r>
      <w:r w:rsidRPr="00FF5607">
        <w:rPr>
          <w:rFonts w:ascii="Garamond" w:eastAsia="Calibri" w:hAnsi="Garamond" w:cs="Times New Roman"/>
          <w:i/>
          <w:iCs/>
          <w:sz w:val="24"/>
          <w:szCs w:val="24"/>
        </w:rPr>
        <w:t xml:space="preserve">De Divinatione </w:t>
      </w:r>
      <w:r w:rsidRPr="00FF5607">
        <w:rPr>
          <w:rFonts w:ascii="Garamond" w:eastAsia="Calibri" w:hAnsi="Garamond" w:cs="Times New Roman"/>
          <w:sz w:val="24"/>
          <w:szCs w:val="24"/>
        </w:rPr>
        <w:t xml:space="preserve">(Sections 149–150), with its ‘weeding out of superstition’. The final </w:t>
      </w:r>
      <w:r w:rsidRPr="00FF5607">
        <w:rPr>
          <w:rFonts w:ascii="Garamond" w:eastAsia="Calibri" w:hAnsi="Garamond" w:cs="Times New Roman"/>
          <w:sz w:val="24"/>
          <w:szCs w:val="24"/>
        </w:rPr>
        <w:lastRenderedPageBreak/>
        <w:t xml:space="preserve">pulling back from reaching an absolute conclusion renders the preceding argument rather equivocal, </w:t>
      </w:r>
      <w:r w:rsidRPr="00B83D18">
        <w:rPr>
          <w:rFonts w:ascii="Garamond" w:eastAsia="Calibri" w:hAnsi="Garamond" w:cs="Times New Roman"/>
          <w:sz w:val="24"/>
          <w:szCs w:val="24"/>
        </w:rPr>
        <w:t xml:space="preserve">and </w:t>
      </w:r>
      <w:r w:rsidR="00B83D18" w:rsidRPr="00B83D18">
        <w:rPr>
          <w:rFonts w:ascii="Garamond" w:eastAsia="Calibri" w:hAnsi="Garamond" w:cs="Times New Roman"/>
          <w:sz w:val="24"/>
          <w:szCs w:val="24"/>
        </w:rPr>
        <w:t xml:space="preserve">as </w:t>
      </w:r>
      <w:r w:rsidRPr="00B83D18">
        <w:rPr>
          <w:rFonts w:ascii="Garamond" w:eastAsia="Calibri" w:hAnsi="Garamond" w:cs="Times New Roman"/>
          <w:sz w:val="24"/>
          <w:szCs w:val="24"/>
        </w:rPr>
        <w:t xml:space="preserve">Schröder has </w:t>
      </w:r>
      <w:r w:rsidR="009D5D5D">
        <w:rPr>
          <w:rFonts w:ascii="Garamond" w:eastAsia="Calibri" w:hAnsi="Garamond" w:cs="Times New Roman"/>
          <w:sz w:val="24"/>
          <w:szCs w:val="24"/>
        </w:rPr>
        <w:t>stated,</w:t>
      </w:r>
      <w:r w:rsidRPr="00B83D18">
        <w:rPr>
          <w:rFonts w:ascii="Garamond" w:eastAsia="Calibri" w:hAnsi="Garamond" w:cs="Times New Roman"/>
          <w:sz w:val="24"/>
          <w:szCs w:val="24"/>
        </w:rPr>
        <w:t xml:space="preserve"> it does not look a</w:t>
      </w:r>
      <w:r w:rsidRPr="00FF5607">
        <w:rPr>
          <w:rFonts w:ascii="Garamond" w:eastAsia="Calibri" w:hAnsi="Garamond" w:cs="Times New Roman"/>
          <w:sz w:val="24"/>
          <w:szCs w:val="24"/>
        </w:rPr>
        <w:t xml:space="preserve">s if ‘Plutarch himself was </w:t>
      </w:r>
      <w:r w:rsidR="00B83D18">
        <w:rPr>
          <w:rFonts w:ascii="Garamond" w:eastAsia="Calibri" w:hAnsi="Garamond" w:cs="Times New Roman"/>
          <w:sz w:val="24"/>
          <w:szCs w:val="24"/>
        </w:rPr>
        <w:t xml:space="preserve">entirely </w:t>
      </w:r>
      <w:r w:rsidRPr="00FF5607">
        <w:rPr>
          <w:rFonts w:ascii="Garamond" w:eastAsia="Calibri" w:hAnsi="Garamond" w:cs="Times New Roman"/>
          <w:sz w:val="24"/>
          <w:szCs w:val="24"/>
        </w:rPr>
        <w:t>convinced of the importance of the daimones for divination, much less for the Delphic Oracle in particular’</w:t>
      </w:r>
      <w:r w:rsidRPr="00FF5607">
        <w:rPr>
          <w:rFonts w:ascii="Garamond" w:eastAsia="Calibri" w:hAnsi="Garamond" w:cs="Times New Roman"/>
          <w:sz w:val="24"/>
          <w:szCs w:val="24"/>
          <w:vertAlign w:val="superscript"/>
        </w:rPr>
        <w:footnoteReference w:id="47"/>
      </w:r>
      <w:r w:rsidRPr="00FF5607">
        <w:rPr>
          <w:rFonts w:ascii="Garamond" w:eastAsia="Calibri" w:hAnsi="Garamond" w:cs="Times New Roman"/>
          <w:sz w:val="24"/>
          <w:szCs w:val="24"/>
        </w:rPr>
        <w:t xml:space="preserve"> and neither does he fully commit </w:t>
      </w:r>
      <w:r w:rsidRPr="00FF5607">
        <w:rPr>
          <w:rFonts w:ascii="Garamond" w:eastAsia="Calibri" w:hAnsi="Garamond" w:cs="Times New Roman"/>
          <w:i/>
          <w:iCs/>
          <w:sz w:val="24"/>
          <w:szCs w:val="24"/>
        </w:rPr>
        <w:t>pneuma</w:t>
      </w:r>
      <w:r w:rsidRPr="00FF5607">
        <w:rPr>
          <w:rFonts w:ascii="Garamond" w:eastAsia="Calibri" w:hAnsi="Garamond" w:cs="Times New Roman"/>
          <w:sz w:val="24"/>
          <w:szCs w:val="24"/>
        </w:rPr>
        <w:t xml:space="preserve"> or emanations from the earth being responsible for the prophetic power of the Pythia. It may be, as Simonetti suggests, that Lamprias’s final argument </w:t>
      </w:r>
      <w:r w:rsidR="00A92F32">
        <w:rPr>
          <w:rFonts w:ascii="Garamond" w:eastAsia="Calibri" w:hAnsi="Garamond" w:cs="Times New Roman"/>
          <w:sz w:val="24"/>
          <w:szCs w:val="24"/>
        </w:rPr>
        <w:t>repr</w:t>
      </w:r>
      <w:r w:rsidR="00FA5898">
        <w:rPr>
          <w:rFonts w:ascii="Garamond" w:eastAsia="Calibri" w:hAnsi="Garamond" w:cs="Times New Roman"/>
          <w:sz w:val="24"/>
          <w:szCs w:val="24"/>
        </w:rPr>
        <w:t>esents</w:t>
      </w:r>
      <w:r w:rsidRPr="00FF5607">
        <w:rPr>
          <w:rFonts w:ascii="Garamond" w:eastAsia="Calibri" w:hAnsi="Garamond" w:cs="Times New Roman"/>
          <w:sz w:val="24"/>
          <w:szCs w:val="24"/>
        </w:rPr>
        <w:t xml:space="preserve"> a well-balanced </w:t>
      </w:r>
      <w:r w:rsidRPr="004F382A">
        <w:rPr>
          <w:rFonts w:ascii="Garamond" w:eastAsia="Calibri" w:hAnsi="Garamond" w:cs="Times New Roman"/>
          <w:sz w:val="24"/>
          <w:szCs w:val="24"/>
        </w:rPr>
        <w:t xml:space="preserve">and rational account, which </w:t>
      </w:r>
      <w:r w:rsidR="00FA5898">
        <w:rPr>
          <w:rFonts w:ascii="Garamond" w:eastAsia="Calibri" w:hAnsi="Garamond" w:cs="Times New Roman"/>
          <w:sz w:val="24"/>
          <w:szCs w:val="24"/>
        </w:rPr>
        <w:t xml:space="preserve">was </w:t>
      </w:r>
      <w:r w:rsidRPr="004F382A">
        <w:rPr>
          <w:rFonts w:ascii="Garamond" w:eastAsia="Calibri" w:hAnsi="Garamond" w:cs="Times New Roman"/>
          <w:sz w:val="24"/>
          <w:szCs w:val="24"/>
        </w:rPr>
        <w:t>in fact the outcome of Plutarch’s own search</w:t>
      </w:r>
      <w:r w:rsidRPr="008C2F51">
        <w:rPr>
          <w:rFonts w:ascii="Garamond" w:eastAsia="Calibri" w:hAnsi="Garamond" w:cs="Times New Roman"/>
          <w:sz w:val="24"/>
          <w:szCs w:val="24"/>
        </w:rPr>
        <w:t>, as a believer and a philosopher to find a ‘middle path between atheism and superstition’</w:t>
      </w:r>
      <w:r w:rsidRPr="00FF5607">
        <w:rPr>
          <w:rFonts w:ascii="Garamond" w:eastAsia="Calibri" w:hAnsi="Garamond" w:cs="Times New Roman"/>
          <w:sz w:val="24"/>
          <w:szCs w:val="24"/>
          <w:vertAlign w:val="superscript"/>
        </w:rPr>
        <w:footnoteReference w:id="48"/>
      </w:r>
      <w:r w:rsidRPr="00FF5607">
        <w:rPr>
          <w:rFonts w:ascii="Garamond" w:eastAsia="Calibri" w:hAnsi="Garamond" w:cs="Times New Roman"/>
          <w:sz w:val="24"/>
          <w:szCs w:val="24"/>
        </w:rPr>
        <w:t>. However, the effect is to make his arguments less assertive or clear cut, and the reader is left to make their own minds up and reach their personal conclusions.</w:t>
      </w:r>
    </w:p>
    <w:p w14:paraId="53DE88AB" w14:textId="77777777" w:rsidR="00FF5607" w:rsidRPr="00FF5607" w:rsidRDefault="00FF5607" w:rsidP="00FF5607">
      <w:pPr>
        <w:spacing w:after="120" w:line="240" w:lineRule="auto"/>
        <w:jc w:val="both"/>
        <w:rPr>
          <w:rFonts w:ascii="Garamond" w:eastAsia="Calibri" w:hAnsi="Garamond" w:cs="Times New Roman"/>
          <w:b/>
          <w:bCs/>
          <w:sz w:val="24"/>
          <w:szCs w:val="24"/>
        </w:rPr>
      </w:pPr>
      <w:r w:rsidRPr="00FF5607">
        <w:rPr>
          <w:rFonts w:ascii="Garamond" w:eastAsia="Calibri" w:hAnsi="Garamond" w:cs="Times New Roman"/>
          <w:b/>
          <w:bCs/>
          <w:sz w:val="24"/>
          <w:szCs w:val="24"/>
        </w:rPr>
        <w:t>Conclusion</w:t>
      </w:r>
    </w:p>
    <w:p w14:paraId="53DE88AC" w14:textId="1B78B0D5" w:rsidR="00FF5607" w:rsidRPr="00FF5607" w:rsidRDefault="00FF5607" w:rsidP="00FF5607">
      <w:pPr>
        <w:spacing w:after="120" w:line="240" w:lineRule="auto"/>
        <w:jc w:val="both"/>
        <w:rPr>
          <w:rFonts w:ascii="Garamond" w:eastAsia="Calibri" w:hAnsi="Garamond" w:cs="Times New Roman"/>
          <w:sz w:val="24"/>
          <w:szCs w:val="24"/>
        </w:rPr>
      </w:pPr>
      <w:r w:rsidRPr="00FF5607">
        <w:rPr>
          <w:rFonts w:ascii="Garamond" w:eastAsia="Calibri" w:hAnsi="Garamond" w:cs="Times New Roman"/>
          <w:sz w:val="24"/>
          <w:szCs w:val="24"/>
        </w:rPr>
        <w:t xml:space="preserve">In conclusion, the </w:t>
      </w:r>
      <w:r w:rsidRPr="00FF5607">
        <w:rPr>
          <w:rFonts w:ascii="Garamond" w:eastAsia="Calibri" w:hAnsi="Garamond" w:cs="Times New Roman"/>
          <w:i/>
          <w:iCs/>
          <w:sz w:val="24"/>
          <w:szCs w:val="24"/>
        </w:rPr>
        <w:t xml:space="preserve">De defectu oraculorum </w:t>
      </w:r>
      <w:r w:rsidRPr="00FF5607">
        <w:rPr>
          <w:rFonts w:ascii="Garamond" w:eastAsia="Calibri" w:hAnsi="Garamond" w:cs="Times New Roman"/>
          <w:sz w:val="24"/>
          <w:szCs w:val="24"/>
        </w:rPr>
        <w:t xml:space="preserve">is a discursive work, which to most modern audiences </w:t>
      </w:r>
      <w:r w:rsidR="004F382A" w:rsidRPr="008C2F51">
        <w:rPr>
          <w:rFonts w:ascii="Garamond" w:eastAsia="Calibri" w:hAnsi="Garamond" w:cs="Times New Roman"/>
          <w:sz w:val="24"/>
          <w:szCs w:val="24"/>
        </w:rPr>
        <w:t>take</w:t>
      </w:r>
      <w:r w:rsidR="008C2F51">
        <w:rPr>
          <w:rFonts w:ascii="Garamond" w:eastAsia="Calibri" w:hAnsi="Garamond" w:cs="Times New Roman"/>
          <w:sz w:val="24"/>
          <w:szCs w:val="24"/>
        </w:rPr>
        <w:t>s</w:t>
      </w:r>
      <w:r w:rsidRPr="00FF5607">
        <w:rPr>
          <w:rFonts w:ascii="Garamond" w:eastAsia="Calibri" w:hAnsi="Garamond" w:cs="Times New Roman"/>
          <w:sz w:val="24"/>
          <w:szCs w:val="24"/>
        </w:rPr>
        <w:t xml:space="preserve"> an awfully long time to reach its relatively limited number of key points, that for the most part are neither extensive nor theoretically complex. The lack of debate is especially marked, as by contrast with </w:t>
      </w:r>
      <w:r w:rsidRPr="00FF5607">
        <w:rPr>
          <w:rFonts w:ascii="Garamond" w:eastAsia="SimSun" w:hAnsi="Garamond" w:cs="Times New Roman"/>
          <w:i/>
          <w:iCs/>
          <w:sz w:val="24"/>
          <w:szCs w:val="24"/>
          <w:lang w:eastAsia="zh-CN"/>
        </w:rPr>
        <w:t>De divinatione</w:t>
      </w:r>
      <w:r w:rsidRPr="00FF5607">
        <w:rPr>
          <w:rFonts w:ascii="Garamond" w:eastAsia="Calibri" w:hAnsi="Garamond" w:cs="Times New Roman"/>
          <w:sz w:val="24"/>
          <w:szCs w:val="24"/>
        </w:rPr>
        <w:t xml:space="preserve">, there is not even a pretence of an opposition </w:t>
      </w:r>
      <w:r w:rsidRPr="008C2F51">
        <w:rPr>
          <w:rFonts w:ascii="Garamond" w:eastAsia="Calibri" w:hAnsi="Garamond" w:cs="Times New Roman"/>
          <w:sz w:val="24"/>
          <w:szCs w:val="24"/>
        </w:rPr>
        <w:t xml:space="preserve">case. </w:t>
      </w:r>
      <w:r w:rsidR="008C2F51" w:rsidRPr="008C2F51">
        <w:rPr>
          <w:rFonts w:ascii="Garamond" w:eastAsia="Calibri" w:hAnsi="Garamond" w:cs="Times New Roman"/>
          <w:sz w:val="24"/>
          <w:szCs w:val="24"/>
        </w:rPr>
        <w:t>A</w:t>
      </w:r>
      <w:r w:rsidRPr="008C2F51">
        <w:rPr>
          <w:rFonts w:ascii="Garamond" w:eastAsia="Calibri" w:hAnsi="Garamond" w:cs="Times New Roman"/>
          <w:sz w:val="24"/>
          <w:szCs w:val="24"/>
        </w:rPr>
        <w:t>s</w:t>
      </w:r>
      <w:r w:rsidRPr="00FF5607">
        <w:rPr>
          <w:rFonts w:ascii="Garamond" w:eastAsia="Calibri" w:hAnsi="Garamond" w:cs="Times New Roman"/>
          <w:sz w:val="24"/>
          <w:szCs w:val="24"/>
        </w:rPr>
        <w:t xml:space="preserve"> the only sceptic of the oracles, Didymus Planetiades, is quickly written out. The rest of the work therefore comprises ruminations between religious believers and the purpose of the work is largely a discussion between theologians who do not wish to question the veracity of oracular divination, only debate at length how it might work, with attempts to meld the roles of different beings (Gods, daimones, emanations and the Pythia) together. But even here, there is considerable equivocation, and it is easy to be in agreement with Schröder’s viewpoint that Plutarch’s work is essentially a Platonic School treatise which ‘neither presents </w:t>
      </w:r>
      <w:r w:rsidRPr="00FF5607">
        <w:rPr>
          <w:rFonts w:ascii="Garamond" w:eastAsia="PalatinoLinotype-Roman" w:hAnsi="Garamond" w:cs="PalatinoLinotype-Roman"/>
          <w:sz w:val="24"/>
          <w:szCs w:val="24"/>
          <w:lang w:eastAsia="en-GB"/>
        </w:rPr>
        <w:t>a theory</w:t>
      </w:r>
      <w:r w:rsidRPr="00FF5607">
        <w:rPr>
          <w:rFonts w:ascii="Garamond" w:eastAsia="Calibri" w:hAnsi="Garamond" w:cs="Times New Roman"/>
          <w:sz w:val="24"/>
          <w:szCs w:val="24"/>
        </w:rPr>
        <w:t xml:space="preserve"> </w:t>
      </w:r>
      <w:r w:rsidRPr="00FF5607">
        <w:rPr>
          <w:rFonts w:ascii="Garamond" w:eastAsia="PalatinoLinotype-Roman" w:hAnsi="Garamond" w:cs="PalatinoLinotype-Roman"/>
          <w:sz w:val="24"/>
          <w:szCs w:val="24"/>
          <w:lang w:eastAsia="en-GB"/>
        </w:rPr>
        <w:t xml:space="preserve">about the role of </w:t>
      </w:r>
      <w:r w:rsidRPr="00FF5607">
        <w:rPr>
          <w:rFonts w:ascii="Garamond" w:eastAsia="PalatinoLinotype-Italic" w:hAnsi="Garamond" w:cs="PalatinoLinotype-Italic"/>
          <w:sz w:val="24"/>
          <w:szCs w:val="24"/>
          <w:lang w:eastAsia="en-GB"/>
        </w:rPr>
        <w:t>daimones</w:t>
      </w:r>
      <w:r w:rsidRPr="00FF5607">
        <w:rPr>
          <w:rFonts w:ascii="Garamond" w:eastAsia="PalatinoLinotype-Italic" w:hAnsi="Garamond" w:cs="PalatinoLinotype-Italic"/>
          <w:i/>
          <w:iCs/>
          <w:sz w:val="24"/>
          <w:szCs w:val="24"/>
          <w:lang w:eastAsia="en-GB"/>
        </w:rPr>
        <w:t xml:space="preserve"> </w:t>
      </w:r>
      <w:r w:rsidRPr="00FF5607">
        <w:rPr>
          <w:rFonts w:ascii="Garamond" w:eastAsia="PalatinoLinotype-Roman" w:hAnsi="Garamond" w:cs="PalatinoLinotype-Roman"/>
          <w:sz w:val="24"/>
          <w:szCs w:val="24"/>
          <w:lang w:eastAsia="en-GB"/>
        </w:rPr>
        <w:t>in the process of inspiration of which he was</w:t>
      </w:r>
      <w:r w:rsidRPr="00FF5607">
        <w:rPr>
          <w:rFonts w:ascii="Garamond" w:eastAsia="Calibri" w:hAnsi="Garamond" w:cs="Times New Roman"/>
          <w:sz w:val="24"/>
          <w:szCs w:val="24"/>
        </w:rPr>
        <w:t xml:space="preserve"> </w:t>
      </w:r>
      <w:r w:rsidRPr="00FF5607">
        <w:rPr>
          <w:rFonts w:ascii="Garamond" w:eastAsia="PalatinoLinotype-Roman" w:hAnsi="Garamond" w:cs="PalatinoLinotype-Roman"/>
          <w:sz w:val="24"/>
          <w:szCs w:val="24"/>
          <w:lang w:eastAsia="en-GB"/>
        </w:rPr>
        <w:t>convinced himself, or a system of doctrines on divination or inspiration in</w:t>
      </w:r>
      <w:r w:rsidRPr="00FF5607">
        <w:rPr>
          <w:rFonts w:ascii="Garamond" w:eastAsia="Calibri" w:hAnsi="Garamond" w:cs="Times New Roman"/>
          <w:sz w:val="24"/>
          <w:szCs w:val="24"/>
        </w:rPr>
        <w:t xml:space="preserve"> </w:t>
      </w:r>
      <w:r w:rsidRPr="00FF5607">
        <w:rPr>
          <w:rFonts w:ascii="Garamond" w:eastAsia="PalatinoLinotype-Roman" w:hAnsi="Garamond" w:cs="PalatinoLinotype-Roman"/>
          <w:sz w:val="24"/>
          <w:szCs w:val="24"/>
          <w:lang w:eastAsia="en-GB"/>
        </w:rPr>
        <w:t>general. What we are dealing with in his case, is on the one hand a firm</w:t>
      </w:r>
      <w:r w:rsidRPr="00FF5607">
        <w:rPr>
          <w:rFonts w:ascii="Garamond" w:eastAsia="Calibri" w:hAnsi="Garamond" w:cs="Times New Roman"/>
          <w:sz w:val="24"/>
          <w:szCs w:val="24"/>
        </w:rPr>
        <w:t xml:space="preserve"> </w:t>
      </w:r>
      <w:r w:rsidRPr="00FF5607">
        <w:rPr>
          <w:rFonts w:ascii="Garamond" w:eastAsia="PalatinoLinotype-Roman" w:hAnsi="Garamond" w:cs="PalatinoLinotype-Roman"/>
          <w:sz w:val="24"/>
          <w:szCs w:val="24"/>
          <w:lang w:eastAsia="en-GB"/>
        </w:rPr>
        <w:t>belief in divination as it had always been practised and in the providence</w:t>
      </w:r>
      <w:r w:rsidRPr="00FF5607">
        <w:rPr>
          <w:rFonts w:ascii="Garamond" w:eastAsia="Calibri" w:hAnsi="Garamond" w:cs="Times New Roman"/>
          <w:sz w:val="24"/>
          <w:szCs w:val="24"/>
        </w:rPr>
        <w:t xml:space="preserve"> </w:t>
      </w:r>
      <w:r w:rsidRPr="00FF5607">
        <w:rPr>
          <w:rFonts w:ascii="Garamond" w:eastAsia="PalatinoLinotype-Roman" w:hAnsi="Garamond" w:cs="PalatinoLinotype-Roman"/>
          <w:sz w:val="24"/>
          <w:szCs w:val="24"/>
          <w:lang w:eastAsia="en-GB"/>
        </w:rPr>
        <w:t>of a god shown by it, and on the other a determination to defend this belief</w:t>
      </w:r>
      <w:r w:rsidRPr="00FF5607">
        <w:rPr>
          <w:rFonts w:ascii="Garamond" w:eastAsia="Calibri" w:hAnsi="Garamond" w:cs="Times New Roman"/>
          <w:sz w:val="24"/>
          <w:szCs w:val="24"/>
        </w:rPr>
        <w:t xml:space="preserve"> </w:t>
      </w:r>
      <w:r w:rsidRPr="00FF5607">
        <w:rPr>
          <w:rFonts w:ascii="Garamond" w:eastAsia="PalatinoLinotype-Roman" w:hAnsi="Garamond" w:cs="PalatinoLinotype-Roman"/>
          <w:sz w:val="24"/>
          <w:szCs w:val="24"/>
          <w:lang w:eastAsia="en-GB"/>
        </w:rPr>
        <w:t>against a</w:t>
      </w:r>
      <w:r w:rsidRPr="00FF5607">
        <w:rPr>
          <w:rFonts w:ascii="Garamond" w:eastAsia="Yu Gothic" w:hAnsi="Garamond" w:cs="Yu Gothic"/>
          <w:sz w:val="24"/>
          <w:szCs w:val="24"/>
          <w:lang w:eastAsia="en-GB"/>
        </w:rPr>
        <w:t>tt</w:t>
      </w:r>
      <w:r w:rsidRPr="00FF5607">
        <w:rPr>
          <w:rFonts w:ascii="Garamond" w:eastAsia="PalatinoLinotype-Roman" w:hAnsi="Garamond" w:cs="PalatinoLinotype-Roman"/>
          <w:sz w:val="24"/>
          <w:szCs w:val="24"/>
          <w:lang w:eastAsia="en-GB"/>
        </w:rPr>
        <w:t>acks as well as possible by presenting hypothetically plausible</w:t>
      </w:r>
      <w:r w:rsidRPr="00FF5607">
        <w:rPr>
          <w:rFonts w:ascii="Garamond" w:eastAsia="Calibri" w:hAnsi="Garamond" w:cs="Times New Roman"/>
          <w:sz w:val="24"/>
          <w:szCs w:val="24"/>
        </w:rPr>
        <w:t xml:space="preserve"> </w:t>
      </w:r>
      <w:r w:rsidRPr="00FF5607">
        <w:rPr>
          <w:rFonts w:ascii="Garamond" w:eastAsia="PalatinoLinotype-Roman" w:hAnsi="Garamond" w:cs="PalatinoLinotype-Roman"/>
          <w:sz w:val="24"/>
          <w:szCs w:val="24"/>
          <w:lang w:eastAsia="en-GB"/>
        </w:rPr>
        <w:t>arguments’</w:t>
      </w:r>
      <w:r w:rsidRPr="00FF5607">
        <w:rPr>
          <w:rFonts w:ascii="Garamond" w:eastAsia="PalatinoLinotype-Roman" w:hAnsi="Garamond" w:cs="PalatinoLinotype-Roman"/>
          <w:sz w:val="24"/>
          <w:szCs w:val="24"/>
          <w:vertAlign w:val="superscript"/>
          <w:lang w:eastAsia="en-GB"/>
        </w:rPr>
        <w:footnoteReference w:id="49"/>
      </w:r>
      <w:r w:rsidRPr="00FF5607">
        <w:rPr>
          <w:rFonts w:ascii="Garamond" w:eastAsia="PalatinoLinotype-Roman" w:hAnsi="Garamond" w:cs="PalatinoLinotype-Roman"/>
          <w:sz w:val="24"/>
          <w:szCs w:val="24"/>
          <w:lang w:eastAsia="en-GB"/>
        </w:rPr>
        <w:t>.</w:t>
      </w:r>
      <w:r w:rsidRPr="00FF5607">
        <w:rPr>
          <w:rFonts w:ascii="PalatinoLinotype-Roman" w:eastAsia="PalatinoLinotype-Roman" w:hAnsi="Times New Roman" w:cs="PalatinoLinotype-Roman"/>
          <w:lang w:eastAsia="en-GB"/>
        </w:rPr>
        <w:t xml:space="preserve"> </w:t>
      </w:r>
    </w:p>
    <w:p w14:paraId="53DE88AD" w14:textId="77777777" w:rsidR="00FF5607" w:rsidRPr="00FF5607" w:rsidRDefault="00FF5607" w:rsidP="00FF5607">
      <w:pPr>
        <w:spacing w:after="120" w:line="240" w:lineRule="auto"/>
        <w:jc w:val="both"/>
        <w:rPr>
          <w:rFonts w:ascii="Garamond" w:eastAsia="Calibri" w:hAnsi="Garamond" w:cs="Times New Roman"/>
          <w:sz w:val="24"/>
          <w:szCs w:val="24"/>
        </w:rPr>
      </w:pPr>
      <w:r w:rsidRPr="00FF5607">
        <w:rPr>
          <w:rFonts w:ascii="Garamond" w:eastAsia="Calibri" w:hAnsi="Garamond" w:cs="Times New Roman"/>
          <w:sz w:val="24"/>
          <w:szCs w:val="24"/>
        </w:rPr>
        <w:t>Finally, it is worth briefly noting that Plutarch’s original concern that oracles were in the process of decline proved to be misplaced. The first century CE did not witness a decline in divination. As noted above, Christianity had made little impact in the Roman world during that time, and the temple at Delphi seems to have stood into the fifth century CE</w:t>
      </w:r>
      <w:r w:rsidRPr="00FF5607">
        <w:rPr>
          <w:rFonts w:ascii="Garamond" w:eastAsia="Calibri" w:hAnsi="Garamond" w:cs="Times New Roman"/>
          <w:sz w:val="24"/>
          <w:szCs w:val="24"/>
          <w:vertAlign w:val="superscript"/>
        </w:rPr>
        <w:footnoteReference w:id="50"/>
      </w:r>
      <w:r w:rsidRPr="00FF5607">
        <w:rPr>
          <w:rFonts w:ascii="Garamond" w:eastAsia="Calibri" w:hAnsi="Garamond" w:cs="Times New Roman"/>
          <w:sz w:val="24"/>
          <w:szCs w:val="24"/>
        </w:rPr>
        <w:t>. It was not until late in the fourth century CE, after the emperors had formally adopted Christianity, that pagan divinatory practices within the Roman world became proscribed and the oracles, at least in the classical world, were silenced.</w:t>
      </w:r>
    </w:p>
    <w:p w14:paraId="53DE88AE" w14:textId="77777777" w:rsidR="00FF5607" w:rsidRPr="00FF5607" w:rsidRDefault="00FF5607" w:rsidP="00FF5607">
      <w:pPr>
        <w:spacing w:after="120" w:line="240" w:lineRule="auto"/>
        <w:jc w:val="both"/>
        <w:rPr>
          <w:rFonts w:ascii="Garamond" w:eastAsia="Calibri" w:hAnsi="Garamond" w:cs="Times New Roman"/>
          <w:b/>
          <w:bCs/>
          <w:sz w:val="24"/>
          <w:szCs w:val="24"/>
        </w:rPr>
      </w:pPr>
      <w:r w:rsidRPr="00FF5607">
        <w:rPr>
          <w:rFonts w:ascii="Garamond" w:eastAsia="Calibri" w:hAnsi="Garamond" w:cs="Times New Roman"/>
          <w:b/>
          <w:bCs/>
          <w:sz w:val="24"/>
          <w:szCs w:val="24"/>
        </w:rPr>
        <w:t>Bibliography</w:t>
      </w:r>
    </w:p>
    <w:p w14:paraId="53DE88AF" w14:textId="77777777" w:rsidR="00FF5607" w:rsidRPr="00FF5607" w:rsidRDefault="00FF5607" w:rsidP="00FF5607">
      <w:pPr>
        <w:widowControl w:val="0"/>
        <w:autoSpaceDE w:val="0"/>
        <w:autoSpaceDN w:val="0"/>
        <w:adjustRightInd w:val="0"/>
        <w:spacing w:after="120" w:line="240" w:lineRule="auto"/>
        <w:jc w:val="both"/>
        <w:rPr>
          <w:rFonts w:ascii="Garamond" w:eastAsia="SimSun" w:hAnsi="Garamond" w:cs="Times New Roman"/>
          <w:sz w:val="24"/>
          <w:szCs w:val="24"/>
          <w:lang w:eastAsia="zh-CN"/>
        </w:rPr>
      </w:pPr>
      <w:bookmarkStart w:id="2" w:name="_Hlk151313398"/>
      <w:r w:rsidRPr="00FF5607">
        <w:rPr>
          <w:rFonts w:ascii="Garamond" w:eastAsia="SimSun" w:hAnsi="Garamond" w:cs="Times New Roman"/>
          <w:sz w:val="24"/>
          <w:szCs w:val="24"/>
          <w:lang w:eastAsia="zh-CN"/>
        </w:rPr>
        <w:t xml:space="preserve">Cicero, </w:t>
      </w:r>
      <w:r w:rsidRPr="00FF5607">
        <w:rPr>
          <w:rFonts w:ascii="Garamond" w:eastAsia="SimSun" w:hAnsi="Garamond" w:cs="Times New Roman"/>
          <w:i/>
          <w:iCs/>
          <w:sz w:val="24"/>
          <w:szCs w:val="24"/>
          <w:lang w:eastAsia="zh-CN"/>
        </w:rPr>
        <w:t xml:space="preserve">On Divination </w:t>
      </w:r>
      <w:r w:rsidRPr="00FF5607">
        <w:rPr>
          <w:rFonts w:ascii="Garamond" w:eastAsia="SimSun" w:hAnsi="Garamond" w:cs="Times New Roman"/>
          <w:sz w:val="24"/>
          <w:szCs w:val="24"/>
          <w:lang w:eastAsia="zh-CN"/>
        </w:rPr>
        <w:t>(</w:t>
      </w:r>
      <w:r w:rsidRPr="00FF5607">
        <w:rPr>
          <w:rFonts w:ascii="Garamond" w:eastAsia="SimSun" w:hAnsi="Garamond" w:cs="Times New Roman"/>
          <w:i/>
          <w:iCs/>
          <w:sz w:val="24"/>
          <w:szCs w:val="24"/>
          <w:lang w:eastAsia="zh-CN"/>
        </w:rPr>
        <w:t>De divinatione</w:t>
      </w:r>
      <w:r w:rsidRPr="00FF5607">
        <w:rPr>
          <w:rFonts w:ascii="Garamond" w:eastAsia="SimSun" w:hAnsi="Garamond" w:cs="Times New Roman"/>
          <w:sz w:val="24"/>
          <w:szCs w:val="24"/>
          <w:lang w:eastAsia="zh-CN"/>
        </w:rPr>
        <w:t>): W. A. Falconer (ed. And trans.), (Loeb Classical Library, Cambridge, MA: Harvard University Press, vol. XX, 1923)</w:t>
      </w:r>
    </w:p>
    <w:p w14:paraId="53DE88B0" w14:textId="77777777" w:rsidR="00FF5607" w:rsidRPr="00FF5607" w:rsidRDefault="00FF5607" w:rsidP="00FF5607">
      <w:pPr>
        <w:widowControl w:val="0"/>
        <w:autoSpaceDE w:val="0"/>
        <w:autoSpaceDN w:val="0"/>
        <w:adjustRightInd w:val="0"/>
        <w:spacing w:after="120" w:line="240" w:lineRule="auto"/>
        <w:jc w:val="both"/>
        <w:rPr>
          <w:rFonts w:ascii="Garamond" w:eastAsia="Calibri" w:hAnsi="Garamond" w:cs="Garamond"/>
          <w:sz w:val="24"/>
          <w:szCs w:val="24"/>
        </w:rPr>
      </w:pPr>
      <w:r w:rsidRPr="00FF5607">
        <w:rPr>
          <w:rFonts w:ascii="Garamond" w:eastAsia="Calibri" w:hAnsi="Garamond" w:cs="Garamond"/>
          <w:sz w:val="24"/>
          <w:szCs w:val="24"/>
        </w:rPr>
        <w:t xml:space="preserve">Collins, Derek, </w:t>
      </w:r>
      <w:r w:rsidRPr="00FF5607">
        <w:rPr>
          <w:rFonts w:ascii="Garamond" w:eastAsia="Calibri" w:hAnsi="Garamond" w:cs="Garamond"/>
          <w:i/>
          <w:iCs/>
          <w:sz w:val="24"/>
          <w:szCs w:val="24"/>
        </w:rPr>
        <w:t>Magic in the Ancient Greek World</w:t>
      </w:r>
      <w:r w:rsidRPr="00FF5607">
        <w:rPr>
          <w:rFonts w:ascii="Garamond" w:eastAsia="Calibri" w:hAnsi="Garamond" w:cs="Garamond"/>
          <w:sz w:val="24"/>
          <w:szCs w:val="24"/>
        </w:rPr>
        <w:t>, (Oxford: Blackwell, 2008)</w:t>
      </w:r>
    </w:p>
    <w:p w14:paraId="53DE88B1" w14:textId="77777777" w:rsidR="00FF5607" w:rsidRPr="00FF5607" w:rsidRDefault="00FF5607" w:rsidP="00FF5607">
      <w:pPr>
        <w:widowControl w:val="0"/>
        <w:autoSpaceDE w:val="0"/>
        <w:autoSpaceDN w:val="0"/>
        <w:adjustRightInd w:val="0"/>
        <w:spacing w:after="120" w:line="240" w:lineRule="auto"/>
        <w:jc w:val="both"/>
        <w:rPr>
          <w:rFonts w:ascii="Garamond" w:eastAsia="SimSun" w:hAnsi="Garamond" w:cs="Times New Roman"/>
          <w:sz w:val="24"/>
          <w:szCs w:val="24"/>
          <w:lang w:eastAsia="zh-CN"/>
        </w:rPr>
      </w:pPr>
      <w:r w:rsidRPr="00FF5607">
        <w:rPr>
          <w:rFonts w:ascii="Garamond" w:eastAsia="SimSun" w:hAnsi="Garamond" w:cs="Times New Roman"/>
          <w:sz w:val="24"/>
          <w:szCs w:val="24"/>
          <w:lang w:eastAsia="zh-CN"/>
        </w:rPr>
        <w:t xml:space="preserve">Copenhaver, Brian, </w:t>
      </w:r>
      <w:r w:rsidRPr="00FF5607">
        <w:rPr>
          <w:rFonts w:ascii="Garamond" w:eastAsia="SimSun" w:hAnsi="Garamond" w:cs="Times New Roman"/>
          <w:i/>
          <w:iCs/>
          <w:sz w:val="24"/>
          <w:szCs w:val="24"/>
          <w:lang w:eastAsia="zh-CN"/>
        </w:rPr>
        <w:t>The Book of Magic: From Antiquity to the Enlightenment</w:t>
      </w:r>
      <w:r w:rsidRPr="00FF5607">
        <w:rPr>
          <w:rFonts w:ascii="Garamond" w:eastAsia="SimSun" w:hAnsi="Garamond" w:cs="Times New Roman"/>
          <w:sz w:val="24"/>
          <w:szCs w:val="24"/>
          <w:lang w:eastAsia="zh-CN"/>
        </w:rPr>
        <w:t>, (London: Penguin, 2020)</w:t>
      </w:r>
    </w:p>
    <w:p w14:paraId="53DE88B2" w14:textId="77777777" w:rsidR="00FF5607" w:rsidRPr="00FF5607" w:rsidRDefault="00FF5607" w:rsidP="00FF5607">
      <w:pPr>
        <w:widowControl w:val="0"/>
        <w:autoSpaceDE w:val="0"/>
        <w:autoSpaceDN w:val="0"/>
        <w:adjustRightInd w:val="0"/>
        <w:spacing w:after="120" w:line="240" w:lineRule="auto"/>
        <w:jc w:val="both"/>
        <w:rPr>
          <w:rFonts w:ascii="Garamond" w:eastAsia="SimSun" w:hAnsi="Garamond" w:cs="Times New Roman"/>
          <w:sz w:val="24"/>
          <w:szCs w:val="24"/>
          <w:lang w:eastAsia="zh-CN"/>
        </w:rPr>
      </w:pPr>
      <w:r w:rsidRPr="00FF5607">
        <w:rPr>
          <w:rFonts w:ascii="Garamond" w:eastAsia="SimSun" w:hAnsi="Garamond" w:cs="Times New Roman"/>
          <w:sz w:val="24"/>
          <w:szCs w:val="24"/>
          <w:lang w:eastAsia="zh-CN"/>
        </w:rPr>
        <w:t xml:space="preserve">Dunand, Françoise, and Christiane Zivie-Coche, Of Men and Gods, in </w:t>
      </w:r>
      <w:r w:rsidRPr="00FF5607">
        <w:rPr>
          <w:rFonts w:ascii="Garamond" w:eastAsia="SimSun" w:hAnsi="Garamond" w:cs="Times New Roman"/>
          <w:i/>
          <w:iCs/>
          <w:sz w:val="24"/>
          <w:szCs w:val="24"/>
          <w:lang w:eastAsia="zh-CN"/>
        </w:rPr>
        <w:t>Gods and Men in Egypt: 3000 BCE to 395 CE</w:t>
      </w:r>
      <w:r w:rsidRPr="00FF5607">
        <w:rPr>
          <w:rFonts w:ascii="Garamond" w:eastAsia="SimSun" w:hAnsi="Garamond" w:cs="Times New Roman"/>
          <w:sz w:val="24"/>
          <w:szCs w:val="24"/>
          <w:lang w:eastAsia="zh-CN"/>
        </w:rPr>
        <w:t>, (David Lorton, trans.) (Ithaca: Cornell University Press, 2004)</w:t>
      </w:r>
    </w:p>
    <w:p w14:paraId="53DE88B3" w14:textId="77777777" w:rsidR="00FF5607" w:rsidRPr="00FF5607" w:rsidRDefault="00FF5607" w:rsidP="00FF5607">
      <w:pPr>
        <w:widowControl w:val="0"/>
        <w:autoSpaceDE w:val="0"/>
        <w:autoSpaceDN w:val="0"/>
        <w:adjustRightInd w:val="0"/>
        <w:spacing w:after="120" w:line="240" w:lineRule="auto"/>
        <w:jc w:val="both"/>
        <w:rPr>
          <w:rFonts w:ascii="Garamond" w:eastAsia="Calibri" w:hAnsi="Garamond" w:cs="Garamond"/>
          <w:sz w:val="24"/>
          <w:szCs w:val="24"/>
        </w:rPr>
      </w:pPr>
      <w:r w:rsidRPr="00FF5607">
        <w:rPr>
          <w:rFonts w:ascii="Garamond" w:eastAsia="SimSun" w:hAnsi="Garamond" w:cs="Times New Roman"/>
          <w:sz w:val="24"/>
          <w:szCs w:val="24"/>
          <w:lang w:eastAsia="zh-CN"/>
        </w:rPr>
        <w:t xml:space="preserve">Evans-Pritchard, Edward, Evan, </w:t>
      </w:r>
      <w:r w:rsidRPr="00FF5607">
        <w:rPr>
          <w:rFonts w:ascii="Garamond" w:eastAsia="SimSun" w:hAnsi="Garamond" w:cs="Times New Roman"/>
          <w:i/>
          <w:iCs/>
          <w:sz w:val="24"/>
          <w:szCs w:val="24"/>
          <w:lang w:eastAsia="zh-CN"/>
        </w:rPr>
        <w:t>Witchcraft, Oracles and Magic among the Azande</w:t>
      </w:r>
      <w:r w:rsidRPr="00FF5607">
        <w:rPr>
          <w:rFonts w:ascii="Garamond" w:eastAsia="SimSun" w:hAnsi="Garamond" w:cs="Times New Roman"/>
          <w:sz w:val="24"/>
          <w:szCs w:val="24"/>
          <w:lang w:eastAsia="zh-CN"/>
        </w:rPr>
        <w:t xml:space="preserve"> (Oxford: Clarendon Press, 1976 (first edn. 1937)</w:t>
      </w:r>
    </w:p>
    <w:p w14:paraId="53DE88B4" w14:textId="77777777" w:rsidR="00FF5607" w:rsidRPr="00FF5607" w:rsidRDefault="00FF5607" w:rsidP="00FF5607">
      <w:pPr>
        <w:spacing w:after="120" w:line="240" w:lineRule="auto"/>
        <w:jc w:val="both"/>
        <w:rPr>
          <w:rFonts w:ascii="Garamond" w:eastAsia="Times New Roman" w:hAnsi="Garamond" w:cs="Arial"/>
          <w:sz w:val="24"/>
          <w:szCs w:val="32"/>
          <w:lang w:eastAsia="en-GB"/>
        </w:rPr>
      </w:pPr>
      <w:r w:rsidRPr="00FF5607">
        <w:rPr>
          <w:rFonts w:ascii="Garamond" w:eastAsia="Times New Roman" w:hAnsi="Garamond" w:cs="Arial"/>
          <w:sz w:val="24"/>
          <w:szCs w:val="32"/>
          <w:lang w:eastAsia="en-GB"/>
        </w:rPr>
        <w:lastRenderedPageBreak/>
        <w:t xml:space="preserve">Gosden, Christopher, </w:t>
      </w:r>
      <w:r w:rsidRPr="00FF5607">
        <w:rPr>
          <w:rFonts w:ascii="Garamond" w:eastAsia="Times New Roman" w:hAnsi="Garamond" w:cs="Arial"/>
          <w:i/>
          <w:iCs/>
          <w:sz w:val="24"/>
          <w:szCs w:val="32"/>
          <w:lang w:eastAsia="en-GB"/>
        </w:rPr>
        <w:t>The History of Magic: From Alchemy to Witchcraft, from the Ice Age to the Present</w:t>
      </w:r>
      <w:r w:rsidRPr="00FF5607">
        <w:rPr>
          <w:rFonts w:ascii="Garamond" w:eastAsia="Times New Roman" w:hAnsi="Garamond" w:cs="Arial"/>
          <w:sz w:val="24"/>
          <w:szCs w:val="32"/>
          <w:lang w:eastAsia="en-GB"/>
        </w:rPr>
        <w:t xml:space="preserve"> (London: Penguin, 2020)</w:t>
      </w:r>
    </w:p>
    <w:p w14:paraId="53DE88B5" w14:textId="77777777" w:rsidR="00FF5607" w:rsidRPr="00FF5607" w:rsidRDefault="00FF5607" w:rsidP="00FF5607">
      <w:pPr>
        <w:widowControl w:val="0"/>
        <w:autoSpaceDE w:val="0"/>
        <w:autoSpaceDN w:val="0"/>
        <w:adjustRightInd w:val="0"/>
        <w:spacing w:after="120" w:line="240" w:lineRule="auto"/>
        <w:jc w:val="both"/>
        <w:rPr>
          <w:rFonts w:ascii="Garamond" w:eastAsia="Calibri" w:hAnsi="Garamond" w:cs="Garamond"/>
          <w:sz w:val="24"/>
          <w:szCs w:val="24"/>
        </w:rPr>
      </w:pPr>
      <w:r w:rsidRPr="00FF5607">
        <w:rPr>
          <w:rFonts w:ascii="Garamond" w:eastAsia="Calibri" w:hAnsi="Garamond" w:cs="Garamond"/>
          <w:sz w:val="24"/>
          <w:szCs w:val="24"/>
        </w:rPr>
        <w:t xml:space="preserve">Grant, Michael, </w:t>
      </w:r>
      <w:r w:rsidRPr="00FF5607">
        <w:rPr>
          <w:rFonts w:ascii="Garamond" w:eastAsia="Calibri" w:hAnsi="Garamond" w:cs="Garamond"/>
          <w:i/>
          <w:iCs/>
          <w:sz w:val="24"/>
          <w:szCs w:val="24"/>
        </w:rPr>
        <w:t>Readings in the Classical Historians</w:t>
      </w:r>
      <w:r w:rsidRPr="00FF5607">
        <w:rPr>
          <w:rFonts w:ascii="Garamond" w:eastAsia="Calibri" w:hAnsi="Garamond" w:cs="Garamond"/>
          <w:sz w:val="24"/>
          <w:szCs w:val="24"/>
        </w:rPr>
        <w:t xml:space="preserve"> (New York: Scribner’s, 1992)</w:t>
      </w:r>
    </w:p>
    <w:p w14:paraId="53DE88B6" w14:textId="77777777" w:rsidR="00FF5607" w:rsidRPr="00FF5607" w:rsidRDefault="00FF5607" w:rsidP="00FF5607">
      <w:pPr>
        <w:widowControl w:val="0"/>
        <w:autoSpaceDE w:val="0"/>
        <w:autoSpaceDN w:val="0"/>
        <w:adjustRightInd w:val="0"/>
        <w:spacing w:after="120" w:line="240" w:lineRule="auto"/>
        <w:jc w:val="both"/>
        <w:rPr>
          <w:rFonts w:ascii="Garamond" w:eastAsia="Calibri" w:hAnsi="Garamond" w:cs="Garamond"/>
          <w:sz w:val="24"/>
          <w:szCs w:val="24"/>
        </w:rPr>
      </w:pPr>
      <w:r w:rsidRPr="00FF5607">
        <w:rPr>
          <w:rFonts w:ascii="Garamond" w:eastAsia="Calibri" w:hAnsi="Garamond" w:cs="Garamond"/>
          <w:sz w:val="24"/>
          <w:szCs w:val="24"/>
        </w:rPr>
        <w:t xml:space="preserve">Greenwood, Susan, </w:t>
      </w:r>
      <w:r w:rsidRPr="00FF5607">
        <w:rPr>
          <w:rFonts w:ascii="Garamond" w:eastAsia="Calibri" w:hAnsi="Garamond" w:cs="Garamond"/>
          <w:i/>
          <w:iCs/>
          <w:sz w:val="24"/>
          <w:szCs w:val="24"/>
        </w:rPr>
        <w:t>The anthropology of magic</w:t>
      </w:r>
      <w:r w:rsidRPr="00FF5607">
        <w:rPr>
          <w:rFonts w:ascii="Garamond" w:eastAsia="Calibri" w:hAnsi="Garamond" w:cs="Garamond"/>
          <w:sz w:val="24"/>
          <w:szCs w:val="24"/>
        </w:rPr>
        <w:t xml:space="preserve"> (Oxford: Berg, 2009)</w:t>
      </w:r>
    </w:p>
    <w:p w14:paraId="53DE88B7" w14:textId="77777777" w:rsidR="00FF5607" w:rsidRPr="00FF5607" w:rsidRDefault="00FF5607" w:rsidP="00FF5607">
      <w:pPr>
        <w:widowControl w:val="0"/>
        <w:autoSpaceDE w:val="0"/>
        <w:autoSpaceDN w:val="0"/>
        <w:adjustRightInd w:val="0"/>
        <w:spacing w:after="120" w:line="240" w:lineRule="auto"/>
        <w:jc w:val="both"/>
        <w:rPr>
          <w:rFonts w:ascii="Garamond" w:eastAsia="Calibri" w:hAnsi="Garamond" w:cs="Garamond"/>
          <w:sz w:val="24"/>
          <w:szCs w:val="24"/>
        </w:rPr>
      </w:pPr>
      <w:r w:rsidRPr="00FF5607">
        <w:rPr>
          <w:rFonts w:ascii="Garamond" w:eastAsia="Calibri" w:hAnsi="Garamond" w:cs="Garamond"/>
          <w:sz w:val="24"/>
          <w:szCs w:val="24"/>
        </w:rPr>
        <w:t xml:space="preserve">Hägg Thomas, Plutarch and his Parallel Lives: Ethical biography, in </w:t>
      </w:r>
      <w:r w:rsidRPr="00FF5607">
        <w:rPr>
          <w:rFonts w:ascii="Garamond" w:eastAsia="Calibri" w:hAnsi="Garamond" w:cs="Garamond"/>
          <w:i/>
          <w:iCs/>
          <w:sz w:val="24"/>
          <w:szCs w:val="24"/>
        </w:rPr>
        <w:t>The Art of Biography in Antiquity</w:t>
      </w:r>
      <w:r w:rsidRPr="00FF5607">
        <w:rPr>
          <w:rFonts w:ascii="Garamond" w:eastAsia="Calibri" w:hAnsi="Garamond" w:cs="Garamond"/>
          <w:sz w:val="24"/>
          <w:szCs w:val="24"/>
        </w:rPr>
        <w:t>, (Cambridge: Cambridge University Press, 2012), 239–281</w:t>
      </w:r>
    </w:p>
    <w:p w14:paraId="53DE88B8" w14:textId="77777777" w:rsidR="00FF5607" w:rsidRPr="00FF5607" w:rsidRDefault="00FF5607" w:rsidP="00FF5607">
      <w:pPr>
        <w:widowControl w:val="0"/>
        <w:autoSpaceDE w:val="0"/>
        <w:autoSpaceDN w:val="0"/>
        <w:adjustRightInd w:val="0"/>
        <w:spacing w:after="120" w:line="240" w:lineRule="auto"/>
        <w:jc w:val="both"/>
        <w:rPr>
          <w:rFonts w:ascii="Garamond" w:eastAsia="Calibri" w:hAnsi="Garamond" w:cs="Garamond"/>
          <w:sz w:val="24"/>
          <w:szCs w:val="24"/>
        </w:rPr>
      </w:pPr>
      <w:r w:rsidRPr="00FF5607">
        <w:rPr>
          <w:rFonts w:ascii="Garamond" w:eastAsia="Calibri" w:hAnsi="Garamond" w:cs="Garamond"/>
          <w:sz w:val="24"/>
          <w:szCs w:val="24"/>
        </w:rPr>
        <w:t xml:space="preserve">Herodotus, </w:t>
      </w:r>
      <w:r w:rsidRPr="00FF5607">
        <w:rPr>
          <w:rFonts w:ascii="Garamond" w:eastAsia="Calibri" w:hAnsi="Garamond" w:cs="Garamond"/>
          <w:i/>
          <w:iCs/>
          <w:sz w:val="24"/>
          <w:szCs w:val="24"/>
        </w:rPr>
        <w:t>Histories</w:t>
      </w:r>
      <w:r w:rsidRPr="00FF5607">
        <w:rPr>
          <w:rFonts w:ascii="Garamond" w:eastAsia="Calibri" w:hAnsi="Garamond" w:cs="Garamond"/>
          <w:sz w:val="24"/>
          <w:szCs w:val="24"/>
        </w:rPr>
        <w:t>, Aubrey de Selincourt (trans.) and John Marincola (rev.) (London: Penguin, 2003)</w:t>
      </w:r>
    </w:p>
    <w:p w14:paraId="53DE88B9" w14:textId="77777777" w:rsidR="00FF5607" w:rsidRPr="00FF5607" w:rsidRDefault="00FF5607" w:rsidP="00FF5607">
      <w:pPr>
        <w:widowControl w:val="0"/>
        <w:autoSpaceDE w:val="0"/>
        <w:autoSpaceDN w:val="0"/>
        <w:adjustRightInd w:val="0"/>
        <w:spacing w:after="120" w:line="240" w:lineRule="auto"/>
        <w:jc w:val="both"/>
        <w:rPr>
          <w:rFonts w:ascii="Garamond" w:eastAsia="Calibri" w:hAnsi="Garamond" w:cs="Garamond"/>
          <w:sz w:val="24"/>
          <w:szCs w:val="24"/>
        </w:rPr>
      </w:pPr>
      <w:r w:rsidRPr="00FF5607">
        <w:rPr>
          <w:rFonts w:ascii="Garamond" w:eastAsia="Calibri" w:hAnsi="Garamond" w:cs="Garamond"/>
          <w:sz w:val="24"/>
          <w:szCs w:val="24"/>
        </w:rPr>
        <w:t xml:space="preserve">Jackson, Peter, Apparitions and Apparatuses: On the Framing and Staging of Religious Events, </w:t>
      </w:r>
      <w:r w:rsidRPr="00FF5607">
        <w:rPr>
          <w:rFonts w:ascii="Garamond" w:eastAsia="Calibri" w:hAnsi="Garamond" w:cs="Garamond"/>
          <w:i/>
          <w:iCs/>
          <w:sz w:val="24"/>
          <w:szCs w:val="24"/>
        </w:rPr>
        <w:t>Method and Theory in the Study of Religion</w:t>
      </w:r>
      <w:r w:rsidRPr="00FF5607">
        <w:rPr>
          <w:rFonts w:ascii="Garamond" w:eastAsia="Calibri" w:hAnsi="Garamond" w:cs="Garamond"/>
          <w:sz w:val="24"/>
          <w:szCs w:val="24"/>
        </w:rPr>
        <w:t xml:space="preserve"> 24 (2012), pp 291-300</w:t>
      </w:r>
    </w:p>
    <w:p w14:paraId="53DE88BA" w14:textId="77777777" w:rsidR="00FF5607" w:rsidRPr="00FF5607" w:rsidRDefault="00FF5607" w:rsidP="00FF5607">
      <w:pPr>
        <w:widowControl w:val="0"/>
        <w:autoSpaceDE w:val="0"/>
        <w:autoSpaceDN w:val="0"/>
        <w:adjustRightInd w:val="0"/>
        <w:spacing w:after="120" w:line="240" w:lineRule="auto"/>
        <w:jc w:val="both"/>
        <w:rPr>
          <w:rFonts w:ascii="Garamond" w:eastAsia="Calibri" w:hAnsi="Garamond" w:cs="Garamond"/>
          <w:sz w:val="24"/>
          <w:szCs w:val="24"/>
        </w:rPr>
      </w:pPr>
      <w:r w:rsidRPr="00FF5607">
        <w:rPr>
          <w:rFonts w:ascii="Garamond" w:eastAsia="Calibri" w:hAnsi="Garamond" w:cs="Garamond"/>
          <w:sz w:val="24"/>
          <w:szCs w:val="24"/>
        </w:rPr>
        <w:t xml:space="preserve">Mossman, Judith, Introduction, in Thomas North (trans.), </w:t>
      </w:r>
      <w:r w:rsidRPr="00FF5607">
        <w:rPr>
          <w:rFonts w:ascii="Garamond" w:eastAsia="Calibri" w:hAnsi="Garamond" w:cs="Garamond"/>
          <w:i/>
          <w:iCs/>
          <w:sz w:val="24"/>
          <w:szCs w:val="24"/>
        </w:rPr>
        <w:t>Plutarch: Selected Lives of the Noble Grecians and Romans</w:t>
      </w:r>
      <w:r w:rsidRPr="00FF5607">
        <w:rPr>
          <w:rFonts w:ascii="Garamond" w:eastAsia="Calibri" w:hAnsi="Garamond" w:cs="Garamond"/>
          <w:sz w:val="24"/>
          <w:szCs w:val="24"/>
        </w:rPr>
        <w:t>, (Ware: Wordsworth Classic, 1998), pp. i–xxii</w:t>
      </w:r>
    </w:p>
    <w:p w14:paraId="53DE88BB" w14:textId="77777777" w:rsidR="00FF5607" w:rsidRPr="00FF5607" w:rsidRDefault="00FF5607" w:rsidP="00FF5607">
      <w:pPr>
        <w:widowControl w:val="0"/>
        <w:autoSpaceDE w:val="0"/>
        <w:autoSpaceDN w:val="0"/>
        <w:adjustRightInd w:val="0"/>
        <w:spacing w:after="120" w:line="240" w:lineRule="auto"/>
        <w:jc w:val="both"/>
        <w:rPr>
          <w:rFonts w:ascii="Garamond" w:eastAsia="Calibri" w:hAnsi="Garamond" w:cs="Garamond"/>
          <w:sz w:val="24"/>
          <w:szCs w:val="24"/>
        </w:rPr>
      </w:pPr>
      <w:r w:rsidRPr="00FF5607">
        <w:rPr>
          <w:rFonts w:ascii="Garamond" w:eastAsia="Calibri" w:hAnsi="Garamond" w:cs="Garamond"/>
          <w:sz w:val="24"/>
          <w:szCs w:val="24"/>
        </w:rPr>
        <w:t xml:space="preserve">Nock, Arthur Darby, Religious Attitudes of the Ancient Greeks, </w:t>
      </w:r>
      <w:r w:rsidRPr="00FF5607">
        <w:rPr>
          <w:rFonts w:ascii="Garamond" w:eastAsia="Calibri" w:hAnsi="Garamond" w:cs="Garamond"/>
          <w:i/>
          <w:iCs/>
          <w:sz w:val="24"/>
          <w:szCs w:val="24"/>
        </w:rPr>
        <w:t>Proceedings of the American Philosophical Society</w:t>
      </w:r>
      <w:r w:rsidRPr="00FF5607">
        <w:rPr>
          <w:rFonts w:ascii="Garamond" w:eastAsia="Calibri" w:hAnsi="Garamond" w:cs="Garamond"/>
          <w:sz w:val="24"/>
          <w:szCs w:val="24"/>
        </w:rPr>
        <w:t xml:space="preserve"> 85 (1942), 472–482</w:t>
      </w:r>
    </w:p>
    <w:p w14:paraId="53DE88BC" w14:textId="77777777" w:rsidR="00FF5607" w:rsidRPr="00FF5607" w:rsidRDefault="00FF5607" w:rsidP="00FF5607">
      <w:pPr>
        <w:widowControl w:val="0"/>
        <w:autoSpaceDE w:val="0"/>
        <w:autoSpaceDN w:val="0"/>
        <w:adjustRightInd w:val="0"/>
        <w:spacing w:after="120" w:line="240" w:lineRule="auto"/>
        <w:jc w:val="both"/>
        <w:rPr>
          <w:rFonts w:ascii="Garamond" w:eastAsia="Calibri" w:hAnsi="Garamond" w:cs="Garamond"/>
          <w:sz w:val="24"/>
          <w:szCs w:val="24"/>
        </w:rPr>
      </w:pPr>
      <w:r w:rsidRPr="00FF5607">
        <w:rPr>
          <w:rFonts w:ascii="Garamond" w:eastAsia="Calibri" w:hAnsi="Garamond" w:cs="Garamond"/>
          <w:sz w:val="24"/>
          <w:szCs w:val="24"/>
        </w:rPr>
        <w:t xml:space="preserve">Plato, </w:t>
      </w:r>
      <w:r w:rsidRPr="00FF5607">
        <w:rPr>
          <w:rFonts w:ascii="Garamond" w:eastAsia="Calibri" w:hAnsi="Garamond" w:cs="Garamond"/>
          <w:i/>
          <w:iCs/>
          <w:sz w:val="24"/>
          <w:szCs w:val="24"/>
        </w:rPr>
        <w:t>The Symposium</w:t>
      </w:r>
      <w:r w:rsidRPr="00FF5607">
        <w:rPr>
          <w:rFonts w:ascii="Garamond" w:eastAsia="Calibri" w:hAnsi="Garamond" w:cs="Garamond"/>
          <w:sz w:val="24"/>
          <w:szCs w:val="24"/>
        </w:rPr>
        <w:t>, Walter Hamilton (trans.) (London: Penguin, 1973)</w:t>
      </w:r>
    </w:p>
    <w:p w14:paraId="53DE88BD" w14:textId="77777777" w:rsidR="00FF5607" w:rsidRPr="00FF5607" w:rsidRDefault="00FF5607" w:rsidP="00FF5607">
      <w:pPr>
        <w:widowControl w:val="0"/>
        <w:autoSpaceDE w:val="0"/>
        <w:autoSpaceDN w:val="0"/>
        <w:adjustRightInd w:val="0"/>
        <w:spacing w:after="120" w:line="240" w:lineRule="auto"/>
        <w:jc w:val="both"/>
        <w:rPr>
          <w:rFonts w:ascii="Garamond" w:eastAsia="Calibri" w:hAnsi="Garamond" w:cs="Garamond"/>
          <w:sz w:val="24"/>
          <w:szCs w:val="24"/>
        </w:rPr>
      </w:pPr>
      <w:r w:rsidRPr="00FF5607">
        <w:rPr>
          <w:rFonts w:ascii="Garamond" w:eastAsia="Calibri" w:hAnsi="Garamond" w:cs="Garamond"/>
          <w:sz w:val="24"/>
          <w:szCs w:val="24"/>
        </w:rPr>
        <w:t xml:space="preserve">Plutarch, </w:t>
      </w:r>
      <w:r w:rsidRPr="00FF5607">
        <w:rPr>
          <w:rFonts w:ascii="Garamond" w:eastAsia="Calibri" w:hAnsi="Garamond" w:cs="Garamond"/>
          <w:i/>
          <w:iCs/>
          <w:sz w:val="24"/>
          <w:szCs w:val="24"/>
        </w:rPr>
        <w:t>The Obsolescence of Oracles (De defectu oraculorum)</w:t>
      </w:r>
      <w:r w:rsidRPr="00FF5607">
        <w:rPr>
          <w:rFonts w:ascii="Garamond" w:eastAsia="Calibri" w:hAnsi="Garamond" w:cs="Garamond"/>
          <w:sz w:val="24"/>
          <w:szCs w:val="24"/>
        </w:rPr>
        <w:t>: Frank Cole Babbitt (trans.) (Loeb Classical Library, Moralia vol. V, Cambridge, MA: Harvard University Press, 1936)</w:t>
      </w:r>
    </w:p>
    <w:p w14:paraId="53DE88BE" w14:textId="77777777" w:rsidR="00FF5607" w:rsidRPr="00FF5607" w:rsidRDefault="00FF5607" w:rsidP="00FF5607">
      <w:pPr>
        <w:widowControl w:val="0"/>
        <w:autoSpaceDE w:val="0"/>
        <w:autoSpaceDN w:val="0"/>
        <w:adjustRightInd w:val="0"/>
        <w:spacing w:after="120" w:line="240" w:lineRule="auto"/>
        <w:jc w:val="both"/>
        <w:rPr>
          <w:rFonts w:ascii="Garamond" w:eastAsia="Calibri" w:hAnsi="Garamond" w:cs="Garamond"/>
          <w:sz w:val="24"/>
          <w:szCs w:val="24"/>
        </w:rPr>
      </w:pPr>
      <w:r w:rsidRPr="00FF5607">
        <w:rPr>
          <w:rFonts w:ascii="Garamond" w:eastAsia="Calibri" w:hAnsi="Garamond" w:cs="Garamond"/>
          <w:sz w:val="24"/>
          <w:szCs w:val="24"/>
        </w:rPr>
        <w:t xml:space="preserve">Rochberg, Francesca,  Heaven and Earth: Divine-Human Relations in Mesopotamian Celestial Divination. In Noegel, Scott (ed.), </w:t>
      </w:r>
      <w:r w:rsidRPr="00FF5607">
        <w:rPr>
          <w:rFonts w:ascii="Garamond" w:eastAsia="Calibri" w:hAnsi="Garamond" w:cs="Garamond"/>
          <w:i/>
          <w:iCs/>
          <w:sz w:val="24"/>
          <w:szCs w:val="24"/>
        </w:rPr>
        <w:t>Prayer, Magic, and the Stars in the Ancient and Late Antique World</w:t>
      </w:r>
      <w:r w:rsidRPr="00FF5607">
        <w:rPr>
          <w:rFonts w:ascii="Garamond" w:eastAsia="Calibri" w:hAnsi="Garamond" w:cs="Garamond"/>
          <w:sz w:val="24"/>
          <w:szCs w:val="24"/>
        </w:rPr>
        <w:t xml:space="preserve"> (Philadelphia: Pennsylvania State University Press, 2003), pp. 169–185</w:t>
      </w:r>
    </w:p>
    <w:p w14:paraId="53DE88BF" w14:textId="77777777" w:rsidR="00FF5607" w:rsidRPr="00FF5607" w:rsidRDefault="00FF5607" w:rsidP="00FF5607">
      <w:pPr>
        <w:widowControl w:val="0"/>
        <w:autoSpaceDE w:val="0"/>
        <w:autoSpaceDN w:val="0"/>
        <w:adjustRightInd w:val="0"/>
        <w:spacing w:after="120" w:line="240" w:lineRule="auto"/>
        <w:jc w:val="both"/>
        <w:rPr>
          <w:rFonts w:ascii="Garamond" w:eastAsia="Calibri" w:hAnsi="Garamond" w:cs="Garamond"/>
          <w:sz w:val="24"/>
          <w:szCs w:val="24"/>
        </w:rPr>
      </w:pPr>
      <w:r w:rsidRPr="00FF5607">
        <w:rPr>
          <w:rFonts w:ascii="Garamond" w:eastAsia="Calibri" w:hAnsi="Garamond" w:cs="Garamond"/>
          <w:sz w:val="24"/>
          <w:szCs w:val="24"/>
        </w:rPr>
        <w:t xml:space="preserve">Schröder, Stephan, Plutarch on Oracles and Divine Inspiration, in H-G. Nesselrath, ed., </w:t>
      </w:r>
      <w:r w:rsidRPr="00FF5607">
        <w:rPr>
          <w:rFonts w:ascii="Garamond" w:eastAsia="Calibri" w:hAnsi="Garamond" w:cs="Garamond"/>
          <w:i/>
          <w:iCs/>
          <w:sz w:val="24"/>
          <w:szCs w:val="24"/>
        </w:rPr>
        <w:t>Plutarch: On the Daimonion of Socrates</w:t>
      </w:r>
      <w:r w:rsidRPr="00FF5607">
        <w:rPr>
          <w:rFonts w:ascii="Garamond" w:eastAsia="Calibri" w:hAnsi="Garamond" w:cs="Garamond"/>
          <w:sz w:val="24"/>
          <w:szCs w:val="24"/>
        </w:rPr>
        <w:t>, (Tübingen: Mohr Siebeck, 2010), pp. 145–168</w:t>
      </w:r>
    </w:p>
    <w:p w14:paraId="53DE88C0" w14:textId="77777777" w:rsidR="00FF5607" w:rsidRPr="00FF5607" w:rsidRDefault="00FF5607" w:rsidP="00FF5607">
      <w:pPr>
        <w:widowControl w:val="0"/>
        <w:autoSpaceDE w:val="0"/>
        <w:autoSpaceDN w:val="0"/>
        <w:adjustRightInd w:val="0"/>
        <w:spacing w:after="120" w:line="240" w:lineRule="auto"/>
        <w:jc w:val="both"/>
        <w:rPr>
          <w:rFonts w:ascii="Garamond" w:eastAsia="Calibri" w:hAnsi="Garamond" w:cs="Garamond"/>
          <w:sz w:val="24"/>
          <w:szCs w:val="24"/>
        </w:rPr>
      </w:pPr>
      <w:r w:rsidRPr="00FF5607">
        <w:rPr>
          <w:rFonts w:ascii="Garamond" w:eastAsia="Calibri" w:hAnsi="Garamond" w:cs="Garamond"/>
          <w:sz w:val="24"/>
          <w:szCs w:val="24"/>
        </w:rPr>
        <w:t xml:space="preserve">Simonetti, Elsa, G, </w:t>
      </w:r>
      <w:r w:rsidRPr="00FF5607">
        <w:rPr>
          <w:rFonts w:ascii="Garamond" w:eastAsia="Calibri" w:hAnsi="Garamond" w:cs="Garamond"/>
          <w:i/>
          <w:iCs/>
          <w:sz w:val="24"/>
          <w:szCs w:val="24"/>
        </w:rPr>
        <w:t>A Perfect Medium? Oracular Divination in the Thought of Plutarch</w:t>
      </w:r>
      <w:r w:rsidRPr="00FF5607">
        <w:rPr>
          <w:rFonts w:ascii="Garamond" w:eastAsia="Calibri" w:hAnsi="Garamond" w:cs="Garamond"/>
          <w:sz w:val="24"/>
          <w:szCs w:val="24"/>
        </w:rPr>
        <w:t>, (Leuven: Leuven University Press, 2017)</w:t>
      </w:r>
    </w:p>
    <w:p w14:paraId="53DE88C1" w14:textId="77777777" w:rsidR="00FF5607" w:rsidRPr="00FF5607" w:rsidRDefault="00FF5607" w:rsidP="00FF5607">
      <w:pPr>
        <w:widowControl w:val="0"/>
        <w:autoSpaceDE w:val="0"/>
        <w:autoSpaceDN w:val="0"/>
        <w:adjustRightInd w:val="0"/>
        <w:spacing w:after="120" w:line="240" w:lineRule="auto"/>
        <w:jc w:val="both"/>
        <w:rPr>
          <w:rFonts w:ascii="Garamond" w:eastAsia="SimSun" w:hAnsi="Garamond" w:cs="Times New Roman"/>
          <w:sz w:val="24"/>
          <w:szCs w:val="24"/>
          <w:lang w:eastAsia="zh-CN"/>
        </w:rPr>
      </w:pPr>
      <w:r w:rsidRPr="00FF5607">
        <w:rPr>
          <w:rFonts w:ascii="Garamond" w:eastAsia="SimSun" w:hAnsi="Garamond" w:cs="Times New Roman"/>
          <w:sz w:val="24"/>
          <w:szCs w:val="24"/>
          <w:lang w:eastAsia="zh-CN"/>
        </w:rPr>
        <w:t xml:space="preserve">Stoneman, Richard, </w:t>
      </w:r>
      <w:r w:rsidRPr="00FF5607">
        <w:rPr>
          <w:rFonts w:ascii="Garamond" w:eastAsia="SimSun" w:hAnsi="Garamond" w:cs="Times New Roman"/>
          <w:i/>
          <w:iCs/>
          <w:sz w:val="24"/>
          <w:szCs w:val="24"/>
          <w:lang w:eastAsia="zh-CN"/>
        </w:rPr>
        <w:t>The Ancient Oracles: Making the gods speak</w:t>
      </w:r>
      <w:r w:rsidRPr="00FF5607">
        <w:rPr>
          <w:rFonts w:ascii="Garamond" w:eastAsia="SimSun" w:hAnsi="Garamond" w:cs="Times New Roman"/>
          <w:sz w:val="24"/>
          <w:szCs w:val="24"/>
          <w:lang w:eastAsia="zh-CN"/>
        </w:rPr>
        <w:t>, (Yale University Press, 2011)</w:t>
      </w:r>
    </w:p>
    <w:bookmarkEnd w:id="2"/>
    <w:p w14:paraId="53DE88C2" w14:textId="77777777" w:rsidR="00172B75" w:rsidRDefault="00172B75"/>
    <w:sectPr w:rsidR="00172B75">
      <w:headerReference w:type="even" r:id="rId7"/>
      <w:headerReference w:type="default" r:id="rId8"/>
      <w:headerReference w:type="firs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5D03C81" w14:textId="77777777" w:rsidR="00422264" w:rsidRDefault="00422264" w:rsidP="00FF5607">
      <w:pPr>
        <w:spacing w:after="0" w:line="240" w:lineRule="auto"/>
      </w:pPr>
      <w:r>
        <w:separator/>
      </w:r>
    </w:p>
  </w:endnote>
  <w:endnote w:type="continuationSeparator" w:id="0">
    <w:p w14:paraId="69F6C569" w14:textId="77777777" w:rsidR="00422264" w:rsidRDefault="00422264" w:rsidP="00FF56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Garamond">
    <w:panose1 w:val="02020404030301010803"/>
    <w:charset w:val="00"/>
    <w:family w:val="roman"/>
    <w:pitch w:val="variable"/>
    <w:sig w:usb0="00000287" w:usb1="00000000" w:usb2="00000000" w:usb3="00000000" w:csb0="0000009F" w:csb1="00000000"/>
  </w:font>
  <w:font w:name="PalatinoLinotype-Roman">
    <w:altName w:val="Yu Gothic"/>
    <w:panose1 w:val="00000000000000000000"/>
    <w:charset w:val="80"/>
    <w:family w:val="auto"/>
    <w:notTrueType/>
    <w:pitch w:val="default"/>
    <w:sig w:usb0="00000001" w:usb1="08070000" w:usb2="00000010" w:usb3="00000000" w:csb0="00020000" w:csb1="00000000"/>
  </w:font>
  <w:font w:name="PalatinoLinotype-Italic">
    <w:altName w:val="Yu Gothic"/>
    <w:panose1 w:val="00000000000000000000"/>
    <w:charset w:val="80"/>
    <w:family w:val="auto"/>
    <w:notTrueType/>
    <w:pitch w:val="default"/>
    <w:sig w:usb0="00000001" w:usb1="08070000" w:usb2="00000010" w:usb3="00000000" w:csb0="00020000" w:csb1="00000000"/>
  </w:font>
  <w:font w:name="Yu Gothic">
    <w:altName w:val="游ゴシック"/>
    <w:panose1 w:val="020B04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6A05FCB" w14:textId="77777777" w:rsidR="00422264" w:rsidRDefault="00422264" w:rsidP="00FF5607">
      <w:pPr>
        <w:spacing w:after="0" w:line="240" w:lineRule="auto"/>
      </w:pPr>
      <w:r>
        <w:separator/>
      </w:r>
    </w:p>
  </w:footnote>
  <w:footnote w:type="continuationSeparator" w:id="0">
    <w:p w14:paraId="5C2AAD95" w14:textId="77777777" w:rsidR="00422264" w:rsidRDefault="00422264" w:rsidP="00FF5607">
      <w:pPr>
        <w:spacing w:after="0" w:line="240" w:lineRule="auto"/>
      </w:pPr>
      <w:r>
        <w:continuationSeparator/>
      </w:r>
    </w:p>
  </w:footnote>
  <w:footnote w:id="1">
    <w:p w14:paraId="53DE88C7" w14:textId="77777777" w:rsidR="00FF5607" w:rsidRDefault="00FF5607" w:rsidP="00FF5607">
      <w:pPr>
        <w:pStyle w:val="FootnoteText"/>
      </w:pPr>
      <w:r>
        <w:rPr>
          <w:rStyle w:val="FootnoteReference"/>
        </w:rPr>
        <w:footnoteRef/>
      </w:r>
      <w:r>
        <w:t xml:space="preserve"> </w:t>
      </w:r>
      <w:r w:rsidRPr="00DC3116">
        <w:t xml:space="preserve">Plutarch, </w:t>
      </w:r>
      <w:r w:rsidRPr="006A1173">
        <w:rPr>
          <w:i/>
          <w:iCs/>
        </w:rPr>
        <w:t>The Obsolescence of Oracles (De defectu oraculorum)</w:t>
      </w:r>
      <w:r w:rsidRPr="00DC3116">
        <w:t>: Frank Cole Babbitt (trans.) (Loeb Classical Library, Moralia vol. V, Cambridge, MA: Harvard University Press, 1936)</w:t>
      </w:r>
    </w:p>
  </w:footnote>
  <w:footnote w:id="2">
    <w:p w14:paraId="53DE88C8" w14:textId="77777777" w:rsidR="00FF5607" w:rsidRDefault="00FF5607" w:rsidP="00FF5607">
      <w:pPr>
        <w:pStyle w:val="FootnoteText"/>
      </w:pPr>
      <w:r>
        <w:rPr>
          <w:rStyle w:val="FootnoteReference"/>
        </w:rPr>
        <w:footnoteRef/>
      </w:r>
      <w:r>
        <w:t xml:space="preserve"> </w:t>
      </w:r>
      <w:r w:rsidRPr="00D23BDF">
        <w:t xml:space="preserve">Cicero, </w:t>
      </w:r>
      <w:r w:rsidRPr="00D23BDF">
        <w:rPr>
          <w:i/>
          <w:iCs/>
        </w:rPr>
        <w:t>On Divination (De divinatione)</w:t>
      </w:r>
      <w:r w:rsidRPr="00D23BDF">
        <w:t xml:space="preserve">: W. A. Falconer (ed. </w:t>
      </w:r>
      <w:r>
        <w:t>a</w:t>
      </w:r>
      <w:r w:rsidRPr="00D23BDF">
        <w:t>nd tr</w:t>
      </w:r>
      <w:r>
        <w:t>an</w:t>
      </w:r>
      <w:r w:rsidRPr="00D23BDF">
        <w:t>s.), (Loeb Classical Library, Cambridge, MA: Harvard University Press, vol. XX, 1923).</w:t>
      </w:r>
    </w:p>
  </w:footnote>
  <w:footnote w:id="3">
    <w:p w14:paraId="53DE88C9" w14:textId="77777777" w:rsidR="00FF5607" w:rsidRDefault="00FF5607" w:rsidP="00FF5607">
      <w:pPr>
        <w:pStyle w:val="FootnoteText"/>
      </w:pPr>
      <w:r>
        <w:rPr>
          <w:rStyle w:val="FootnoteReference"/>
        </w:rPr>
        <w:footnoteRef/>
      </w:r>
      <w:r>
        <w:t xml:space="preserve"> </w:t>
      </w:r>
      <w:r w:rsidRPr="00AC2DAA">
        <w:t>Grant, M</w:t>
      </w:r>
      <w:r>
        <w:t>ichael</w:t>
      </w:r>
      <w:r w:rsidRPr="00AC2DAA">
        <w:t xml:space="preserve">, </w:t>
      </w:r>
      <w:r w:rsidRPr="00AC2DAA">
        <w:rPr>
          <w:i/>
          <w:iCs/>
        </w:rPr>
        <w:t>Readings in the Classical Historians</w:t>
      </w:r>
      <w:r w:rsidRPr="00AC2DAA">
        <w:t xml:space="preserve"> (New York: Scribner’s, 1992)</w:t>
      </w:r>
      <w:r>
        <w:t>, pp. 403-406</w:t>
      </w:r>
    </w:p>
  </w:footnote>
  <w:footnote w:id="4">
    <w:p w14:paraId="53DE88CA" w14:textId="77777777" w:rsidR="00FF5607" w:rsidRDefault="00FF5607" w:rsidP="00FF5607">
      <w:pPr>
        <w:pStyle w:val="FootnoteText"/>
      </w:pPr>
      <w:r>
        <w:rPr>
          <w:rStyle w:val="FootnoteReference"/>
        </w:rPr>
        <w:footnoteRef/>
      </w:r>
      <w:r>
        <w:t xml:space="preserve"> </w:t>
      </w:r>
      <w:r w:rsidRPr="005269D4">
        <w:t xml:space="preserve">Stoneman, Richard, </w:t>
      </w:r>
      <w:r w:rsidRPr="005269D4">
        <w:rPr>
          <w:i/>
          <w:iCs/>
        </w:rPr>
        <w:t>The Ancient Oracles: Making the gods speak</w:t>
      </w:r>
      <w:r w:rsidRPr="005269D4">
        <w:t>, (Yale University Press, 2011), p 1</w:t>
      </w:r>
      <w:r>
        <w:t>74</w:t>
      </w:r>
    </w:p>
  </w:footnote>
  <w:footnote w:id="5">
    <w:p w14:paraId="53DE88CB" w14:textId="77777777" w:rsidR="00FF5607" w:rsidRDefault="00FF5607" w:rsidP="00FF5607">
      <w:pPr>
        <w:pStyle w:val="FootnoteText"/>
      </w:pPr>
      <w:r>
        <w:rPr>
          <w:rStyle w:val="FootnoteReference"/>
        </w:rPr>
        <w:footnoteRef/>
      </w:r>
      <w:r>
        <w:t xml:space="preserve"> </w:t>
      </w:r>
      <w:r w:rsidRPr="008A720A">
        <w:t>Hägg T</w:t>
      </w:r>
      <w:r>
        <w:t>homas,</w:t>
      </w:r>
      <w:r w:rsidRPr="008A720A">
        <w:t xml:space="preserve"> Plutarch and his</w:t>
      </w:r>
      <w:r>
        <w:t xml:space="preserve"> </w:t>
      </w:r>
      <w:r w:rsidRPr="008A720A">
        <w:t>Parallel Lives: Ethical biography</w:t>
      </w:r>
      <w:r>
        <w:t xml:space="preserve">, in </w:t>
      </w:r>
      <w:r w:rsidRPr="009F32A0">
        <w:rPr>
          <w:i/>
          <w:iCs/>
        </w:rPr>
        <w:t>The Art of Biography in Antiquity</w:t>
      </w:r>
      <w:r>
        <w:t>,</w:t>
      </w:r>
      <w:r w:rsidRPr="008A720A">
        <w:t xml:space="preserve"> </w:t>
      </w:r>
      <w:r>
        <w:t xml:space="preserve">(Cambridge, </w:t>
      </w:r>
      <w:r w:rsidRPr="008A720A">
        <w:t>Cambridge University Press</w:t>
      </w:r>
      <w:r>
        <w:t>,</w:t>
      </w:r>
      <w:r w:rsidRPr="008A720A">
        <w:t xml:space="preserve"> 2012</w:t>
      </w:r>
      <w:r>
        <w:t xml:space="preserve">), </w:t>
      </w:r>
      <w:r w:rsidRPr="008A720A">
        <w:t>239</w:t>
      </w:r>
      <w:r>
        <w:t>–</w:t>
      </w:r>
      <w:r w:rsidRPr="008A720A">
        <w:t>281</w:t>
      </w:r>
    </w:p>
  </w:footnote>
  <w:footnote w:id="6">
    <w:p w14:paraId="53DE88CC" w14:textId="77777777" w:rsidR="00FF5607" w:rsidRDefault="00FF5607" w:rsidP="00FF5607">
      <w:pPr>
        <w:pStyle w:val="FootnoteText"/>
      </w:pPr>
      <w:r>
        <w:rPr>
          <w:rStyle w:val="FootnoteReference"/>
        </w:rPr>
        <w:footnoteRef/>
      </w:r>
      <w:r>
        <w:t xml:space="preserve"> </w:t>
      </w:r>
      <w:r w:rsidRPr="00D45E43">
        <w:t xml:space="preserve">Jackson, Peter, Apparitions and Apparatuses: On the Framing and Staging of Religious Events, </w:t>
      </w:r>
      <w:r w:rsidRPr="00D45E43">
        <w:rPr>
          <w:i/>
          <w:iCs/>
        </w:rPr>
        <w:t>Method and Theory in the Study of Religion</w:t>
      </w:r>
      <w:r w:rsidRPr="00D45E43">
        <w:t xml:space="preserve"> 24 (2012), pp 291-300</w:t>
      </w:r>
    </w:p>
  </w:footnote>
  <w:footnote w:id="7">
    <w:p w14:paraId="53DE88CD" w14:textId="77777777" w:rsidR="00FF5607" w:rsidRDefault="00FF5607" w:rsidP="00FF5607">
      <w:pPr>
        <w:pStyle w:val="FootnoteText"/>
      </w:pPr>
      <w:r>
        <w:rPr>
          <w:rStyle w:val="FootnoteReference"/>
        </w:rPr>
        <w:footnoteRef/>
      </w:r>
      <w:r>
        <w:t xml:space="preserve"> </w:t>
      </w:r>
      <w:r w:rsidRPr="00E775F9">
        <w:t xml:space="preserve">Schröder, Stephan, Plutarch on Oracles and Divine Inspiration, in H-G. Nesselrath, ed., </w:t>
      </w:r>
      <w:r w:rsidRPr="00E775F9">
        <w:rPr>
          <w:i/>
          <w:iCs/>
        </w:rPr>
        <w:t>Plutarch: On the Daimonion of Socrates</w:t>
      </w:r>
      <w:r w:rsidRPr="00E775F9">
        <w:t>, (Tübingen: Mohr Siebeck, 2010), pp. 145–168</w:t>
      </w:r>
    </w:p>
  </w:footnote>
  <w:footnote w:id="8">
    <w:p w14:paraId="53DE88CE" w14:textId="77777777" w:rsidR="00FF5607" w:rsidRDefault="00FF5607" w:rsidP="00FF5607">
      <w:pPr>
        <w:pStyle w:val="FootnoteText"/>
      </w:pPr>
      <w:r>
        <w:rPr>
          <w:rStyle w:val="FootnoteReference"/>
        </w:rPr>
        <w:footnoteRef/>
      </w:r>
      <w:r>
        <w:t xml:space="preserve"> </w:t>
      </w:r>
      <w:r w:rsidRPr="00C25FD6">
        <w:t xml:space="preserve">Copenhaver, Brian, </w:t>
      </w:r>
      <w:r w:rsidRPr="00C25FD6">
        <w:rPr>
          <w:i/>
          <w:iCs/>
        </w:rPr>
        <w:t>The Book of Magic: From Antiquity to the Enlightenment</w:t>
      </w:r>
      <w:r w:rsidRPr="00C25FD6">
        <w:t>, (London: Penguin, 2020)</w:t>
      </w:r>
      <w:r>
        <w:t>, p 121</w:t>
      </w:r>
    </w:p>
  </w:footnote>
  <w:footnote w:id="9">
    <w:p w14:paraId="53DE88CF" w14:textId="77777777" w:rsidR="00FF5607" w:rsidRDefault="00FF5607" w:rsidP="00FF5607">
      <w:pPr>
        <w:pStyle w:val="FootnoteText"/>
      </w:pPr>
      <w:r>
        <w:rPr>
          <w:rStyle w:val="FootnoteReference"/>
        </w:rPr>
        <w:footnoteRef/>
      </w:r>
      <w:r>
        <w:t xml:space="preserve"> </w:t>
      </w:r>
      <w:r w:rsidRPr="00347855">
        <w:t xml:space="preserve">Nock, Arthur Darby, Religious Attitudes of the Ancient Greeks, </w:t>
      </w:r>
      <w:r w:rsidRPr="00347855">
        <w:rPr>
          <w:i/>
          <w:iCs/>
        </w:rPr>
        <w:t>Proceedings of the American Philosophical Society</w:t>
      </w:r>
      <w:r w:rsidRPr="00347855">
        <w:t xml:space="preserve"> 85 (1942), 472-482</w:t>
      </w:r>
    </w:p>
  </w:footnote>
  <w:footnote w:id="10">
    <w:p w14:paraId="53DE88D0" w14:textId="77777777" w:rsidR="00FF5607" w:rsidRDefault="00FF5607" w:rsidP="00FF5607">
      <w:pPr>
        <w:pStyle w:val="FootnoteText"/>
      </w:pPr>
      <w:r>
        <w:rPr>
          <w:rStyle w:val="FootnoteReference"/>
        </w:rPr>
        <w:footnoteRef/>
      </w:r>
      <w:r>
        <w:t xml:space="preserve"> </w:t>
      </w:r>
      <w:r w:rsidRPr="00FD62B8">
        <w:t>Greenwood, S</w:t>
      </w:r>
      <w:r>
        <w:t>usan,</w:t>
      </w:r>
      <w:r w:rsidRPr="00FD62B8">
        <w:t xml:space="preserve"> </w:t>
      </w:r>
      <w:r w:rsidRPr="00FD62B8">
        <w:rPr>
          <w:i/>
          <w:iCs/>
        </w:rPr>
        <w:t>The anthropology of magic</w:t>
      </w:r>
      <w:r w:rsidRPr="00FD62B8">
        <w:t xml:space="preserve"> </w:t>
      </w:r>
      <w:r>
        <w:t>(</w:t>
      </w:r>
      <w:r w:rsidRPr="00FD62B8">
        <w:t>Oxford: Berg</w:t>
      </w:r>
      <w:r>
        <w:t>, 2009), p 112</w:t>
      </w:r>
    </w:p>
  </w:footnote>
  <w:footnote w:id="11">
    <w:p w14:paraId="53DE88D1" w14:textId="77777777" w:rsidR="00FF5607" w:rsidRDefault="00FF5607" w:rsidP="00FF5607">
      <w:pPr>
        <w:pStyle w:val="FootnoteText"/>
      </w:pPr>
      <w:r>
        <w:rPr>
          <w:rStyle w:val="FootnoteReference"/>
        </w:rPr>
        <w:footnoteRef/>
      </w:r>
      <w:r>
        <w:t xml:space="preserve"> </w:t>
      </w:r>
      <w:r w:rsidRPr="005A6FE2">
        <w:t>Dunand, Françoise, and Christiane Zivie-Coche</w:t>
      </w:r>
      <w:r>
        <w:t>,</w:t>
      </w:r>
      <w:r w:rsidRPr="00CE7E86">
        <w:t xml:space="preserve"> Of Men and Gods</w:t>
      </w:r>
      <w:r>
        <w:t>, in</w:t>
      </w:r>
      <w:r w:rsidRPr="005A6FE2">
        <w:t xml:space="preserve"> </w:t>
      </w:r>
      <w:r w:rsidRPr="005A6FE2">
        <w:rPr>
          <w:i/>
          <w:iCs/>
        </w:rPr>
        <w:t>Gods and Men in Egypt: 3000 BCE to 395 CE</w:t>
      </w:r>
      <w:r w:rsidRPr="005A6FE2">
        <w:t>. Translated by David Lorton</w:t>
      </w:r>
      <w:r>
        <w:t>, (</w:t>
      </w:r>
      <w:r w:rsidRPr="005A6FE2">
        <w:t>Ithaca: Cornell University Press, 2004</w:t>
      </w:r>
      <w:r>
        <w:t xml:space="preserve">); </w:t>
      </w:r>
      <w:r w:rsidRPr="00DC5AAB">
        <w:t xml:space="preserve">Gosden, Christopher, </w:t>
      </w:r>
      <w:r w:rsidRPr="00DC5AAB">
        <w:rPr>
          <w:i/>
          <w:iCs/>
        </w:rPr>
        <w:t>The History of Magic: From Alchemy to Witchcraft, from the Ice Age to the Present</w:t>
      </w:r>
      <w:r w:rsidRPr="00DC5AAB">
        <w:t xml:space="preserve"> (London: Penguin, 2020), pp. </w:t>
      </w:r>
      <w:r>
        <w:t xml:space="preserve">89-91; </w:t>
      </w:r>
      <w:r w:rsidRPr="00C52537">
        <w:t xml:space="preserve">Rochberg, Francesca,  Heaven and Earth: Divine-Human Relations in Mesopotamian Celestial Divination. In Noegel, Scott (ed.), </w:t>
      </w:r>
      <w:r w:rsidRPr="00C52537">
        <w:rPr>
          <w:i/>
          <w:iCs/>
        </w:rPr>
        <w:t>Prayer, Magic, and the Stars in the Ancient and Late Antique World</w:t>
      </w:r>
      <w:r w:rsidRPr="00C52537">
        <w:t xml:space="preserve"> (Philadelphia: Pennsylvania State University Press, 2003)</w:t>
      </w:r>
      <w:r>
        <w:t xml:space="preserve"> </w:t>
      </w:r>
    </w:p>
  </w:footnote>
  <w:footnote w:id="12">
    <w:p w14:paraId="53DE88D2" w14:textId="77777777" w:rsidR="00FF5607" w:rsidRDefault="00FF5607" w:rsidP="00FF5607">
      <w:pPr>
        <w:pStyle w:val="FootnoteText"/>
      </w:pPr>
      <w:r>
        <w:rPr>
          <w:rStyle w:val="FootnoteReference"/>
        </w:rPr>
        <w:footnoteRef/>
      </w:r>
      <w:r>
        <w:t xml:space="preserve"> </w:t>
      </w:r>
      <w:r w:rsidRPr="00DC5AAB">
        <w:t xml:space="preserve">Gosden, Christopher, </w:t>
      </w:r>
      <w:r w:rsidRPr="00DC5AAB">
        <w:rPr>
          <w:i/>
          <w:iCs/>
        </w:rPr>
        <w:t>The History of Magic: From Alchemy to Witchcraft, from the Ice Age to the Present</w:t>
      </w:r>
      <w:r w:rsidRPr="00DC5AAB">
        <w:t>, pp. 269-274</w:t>
      </w:r>
    </w:p>
  </w:footnote>
  <w:footnote w:id="13">
    <w:p w14:paraId="53DE88D3" w14:textId="77777777" w:rsidR="00FF5607" w:rsidRDefault="00FF5607" w:rsidP="00FF5607">
      <w:pPr>
        <w:pStyle w:val="FootnoteText"/>
      </w:pPr>
      <w:r>
        <w:rPr>
          <w:rStyle w:val="FootnoteReference"/>
        </w:rPr>
        <w:footnoteRef/>
      </w:r>
      <w:r>
        <w:t xml:space="preserve"> </w:t>
      </w:r>
      <w:r w:rsidRPr="00243392">
        <w:t>Stoneman, Ri</w:t>
      </w:r>
      <w:r>
        <w:t>chard</w:t>
      </w:r>
      <w:r w:rsidRPr="00243392">
        <w:t xml:space="preserve">, </w:t>
      </w:r>
      <w:r w:rsidRPr="00320D7F">
        <w:rPr>
          <w:i/>
          <w:iCs/>
        </w:rPr>
        <w:t>The Ancient Oracles: Making the gods speak</w:t>
      </w:r>
      <w:r>
        <w:t>, p 1</w:t>
      </w:r>
    </w:p>
  </w:footnote>
  <w:footnote w:id="14">
    <w:p w14:paraId="53DE88D4" w14:textId="77777777" w:rsidR="00FF5607" w:rsidRDefault="00FF5607" w:rsidP="00FF5607">
      <w:pPr>
        <w:pStyle w:val="FootnoteText"/>
      </w:pPr>
      <w:r>
        <w:rPr>
          <w:rStyle w:val="FootnoteReference"/>
        </w:rPr>
        <w:footnoteRef/>
      </w:r>
      <w:r>
        <w:t xml:space="preserve"> </w:t>
      </w:r>
      <w:r w:rsidRPr="006207F2">
        <w:t>Gosden, C</w:t>
      </w:r>
      <w:r>
        <w:t>hristopher</w:t>
      </w:r>
      <w:r w:rsidRPr="006207F2">
        <w:t xml:space="preserve">, </w:t>
      </w:r>
      <w:r w:rsidRPr="006207F2">
        <w:rPr>
          <w:i/>
          <w:iCs/>
        </w:rPr>
        <w:t>The History of Magic: From Alchemy to Witchcraft, from the Ice Age to the Prese</w:t>
      </w:r>
      <w:r>
        <w:rPr>
          <w:i/>
          <w:iCs/>
        </w:rPr>
        <w:t>nt</w:t>
      </w:r>
      <w:r>
        <w:t>, pp. 269-274</w:t>
      </w:r>
    </w:p>
  </w:footnote>
  <w:footnote w:id="15">
    <w:p w14:paraId="53DE88D5" w14:textId="77777777" w:rsidR="00FF5607" w:rsidRDefault="00FF5607" w:rsidP="00FF5607">
      <w:pPr>
        <w:pStyle w:val="FootnoteText"/>
      </w:pPr>
      <w:r>
        <w:rPr>
          <w:rStyle w:val="FootnoteReference"/>
        </w:rPr>
        <w:footnoteRef/>
      </w:r>
      <w:r>
        <w:t xml:space="preserve"> </w:t>
      </w:r>
      <w:r w:rsidRPr="0006032B">
        <w:t>Evans-Pritchard, E</w:t>
      </w:r>
      <w:r>
        <w:t xml:space="preserve">dward </w:t>
      </w:r>
      <w:r w:rsidRPr="0006032B">
        <w:t>E</w:t>
      </w:r>
      <w:r>
        <w:t>vans</w:t>
      </w:r>
      <w:r w:rsidRPr="0006032B">
        <w:t xml:space="preserve">. Witchcraft, </w:t>
      </w:r>
      <w:r w:rsidRPr="0006032B">
        <w:rPr>
          <w:i/>
          <w:iCs/>
        </w:rPr>
        <w:t>Oracles and Magic among the Azande</w:t>
      </w:r>
      <w:r w:rsidRPr="0006032B">
        <w:t xml:space="preserve"> (Oxford: Clarendon Press, 1976 (first edn. 1937)</w:t>
      </w:r>
    </w:p>
  </w:footnote>
  <w:footnote w:id="16">
    <w:p w14:paraId="53DE88D6" w14:textId="77777777" w:rsidR="00FF5607" w:rsidRDefault="00FF5607" w:rsidP="00FF5607">
      <w:pPr>
        <w:pStyle w:val="FootnoteText"/>
      </w:pPr>
      <w:r>
        <w:rPr>
          <w:rStyle w:val="FootnoteReference"/>
        </w:rPr>
        <w:footnoteRef/>
      </w:r>
      <w:r>
        <w:t xml:space="preserve"> </w:t>
      </w:r>
      <w:r w:rsidRPr="00243392">
        <w:t>Stoneman, Ri</w:t>
      </w:r>
      <w:r>
        <w:t>chard</w:t>
      </w:r>
      <w:r w:rsidRPr="00243392">
        <w:t xml:space="preserve">, </w:t>
      </w:r>
      <w:r w:rsidRPr="00320D7F">
        <w:rPr>
          <w:i/>
          <w:iCs/>
        </w:rPr>
        <w:t>The Ancient Oracles: Making the gods speak</w:t>
      </w:r>
      <w:r>
        <w:t>, pp 13-14</w:t>
      </w:r>
    </w:p>
  </w:footnote>
  <w:footnote w:id="17">
    <w:p w14:paraId="53DE88D7" w14:textId="77777777" w:rsidR="00FF5607" w:rsidRDefault="00FF5607" w:rsidP="00FF5607">
      <w:pPr>
        <w:pStyle w:val="FootnoteText"/>
      </w:pPr>
      <w:r>
        <w:rPr>
          <w:rStyle w:val="FootnoteReference"/>
        </w:rPr>
        <w:footnoteRef/>
      </w:r>
      <w:r>
        <w:t xml:space="preserve"> </w:t>
      </w:r>
      <w:r w:rsidRPr="00AD2FB5">
        <w:t xml:space="preserve">Collins, </w:t>
      </w:r>
      <w:r w:rsidRPr="004479B8">
        <w:rPr>
          <w:i/>
          <w:iCs/>
        </w:rPr>
        <w:t>Derek, Magic in the Ancient Greek World</w:t>
      </w:r>
      <w:r w:rsidRPr="00AD2FB5">
        <w:t xml:space="preserve">, </w:t>
      </w:r>
      <w:r>
        <w:t>(</w:t>
      </w:r>
      <w:r w:rsidRPr="00AD2FB5">
        <w:t>Oxford: Blackwell, 2008</w:t>
      </w:r>
      <w:r>
        <w:t>), pp. 10, 37</w:t>
      </w:r>
    </w:p>
  </w:footnote>
  <w:footnote w:id="18">
    <w:p w14:paraId="53DE88D8" w14:textId="77777777" w:rsidR="00FF5607" w:rsidRDefault="00FF5607" w:rsidP="00FF5607">
      <w:pPr>
        <w:pStyle w:val="FootnoteText"/>
      </w:pPr>
      <w:r>
        <w:rPr>
          <w:rStyle w:val="FootnoteReference"/>
        </w:rPr>
        <w:footnoteRef/>
      </w:r>
      <w:r>
        <w:t xml:space="preserve"> </w:t>
      </w:r>
      <w:r w:rsidRPr="00F84E30">
        <w:t xml:space="preserve">Herodotus, </w:t>
      </w:r>
      <w:r w:rsidRPr="00F84E30">
        <w:rPr>
          <w:i/>
          <w:iCs/>
        </w:rPr>
        <w:t>Histories</w:t>
      </w:r>
      <w:r w:rsidRPr="00F84E30">
        <w:t xml:space="preserve">, </w:t>
      </w:r>
      <w:r>
        <w:t>Aubrey de Selincourt</w:t>
      </w:r>
      <w:r w:rsidRPr="008D7D54">
        <w:t xml:space="preserve"> (trans.)</w:t>
      </w:r>
      <w:r>
        <w:t>, John Marincola (rev.)</w:t>
      </w:r>
      <w:r w:rsidRPr="008D7D54">
        <w:t xml:space="preserve"> (London: Penguin, </w:t>
      </w:r>
      <w:r>
        <w:t>200</w:t>
      </w:r>
      <w:r w:rsidRPr="008D7D54">
        <w:t>3)</w:t>
      </w:r>
      <w:r>
        <w:t>, pp. 21-22 and pp. 42-43.</w:t>
      </w:r>
    </w:p>
  </w:footnote>
  <w:footnote w:id="19">
    <w:p w14:paraId="53DE88D9" w14:textId="77777777" w:rsidR="00FF5607" w:rsidRDefault="00FF5607" w:rsidP="00FF5607">
      <w:pPr>
        <w:pStyle w:val="FootnoteText"/>
      </w:pPr>
      <w:r>
        <w:rPr>
          <w:rStyle w:val="FootnoteReference"/>
        </w:rPr>
        <w:footnoteRef/>
      </w:r>
      <w:r>
        <w:t xml:space="preserve"> </w:t>
      </w:r>
      <w:r w:rsidRPr="00E0410B">
        <w:t xml:space="preserve">Stoneman, Richard, </w:t>
      </w:r>
      <w:r w:rsidRPr="008A1966">
        <w:rPr>
          <w:i/>
          <w:iCs/>
        </w:rPr>
        <w:t>The Ancient Oracles: Making the gods speak</w:t>
      </w:r>
      <w:r w:rsidRPr="00E0410B">
        <w:t xml:space="preserve">, p </w:t>
      </w:r>
      <w:r>
        <w:t>172</w:t>
      </w:r>
    </w:p>
  </w:footnote>
  <w:footnote w:id="20">
    <w:p w14:paraId="53DE88DA" w14:textId="77777777" w:rsidR="00FF5607" w:rsidRDefault="00FF5607" w:rsidP="00FF5607">
      <w:pPr>
        <w:pStyle w:val="FootnoteText"/>
      </w:pPr>
      <w:r>
        <w:rPr>
          <w:rStyle w:val="FootnoteReference"/>
        </w:rPr>
        <w:footnoteRef/>
      </w:r>
      <w:r>
        <w:t xml:space="preserve"> </w:t>
      </w:r>
      <w:r w:rsidRPr="00817249">
        <w:t>Schröder, Stephan, Plutarch on Oracles and Divine Inspiration</w:t>
      </w:r>
      <w:r>
        <w:t>, p 153</w:t>
      </w:r>
    </w:p>
  </w:footnote>
  <w:footnote w:id="21">
    <w:p w14:paraId="53DE88DB" w14:textId="77777777" w:rsidR="00FF5607" w:rsidRDefault="00FF5607" w:rsidP="00FF5607">
      <w:pPr>
        <w:pStyle w:val="FootnoteText"/>
      </w:pPr>
      <w:r>
        <w:rPr>
          <w:rStyle w:val="FootnoteReference"/>
        </w:rPr>
        <w:footnoteRef/>
      </w:r>
      <w:r>
        <w:t xml:space="preserve"> </w:t>
      </w:r>
      <w:r w:rsidRPr="00E54BCF">
        <w:t xml:space="preserve">Cicero, </w:t>
      </w:r>
      <w:r w:rsidRPr="00E54BCF">
        <w:rPr>
          <w:i/>
          <w:iCs/>
        </w:rPr>
        <w:t>On Divination (De divinatione)</w:t>
      </w:r>
    </w:p>
  </w:footnote>
  <w:footnote w:id="22">
    <w:p w14:paraId="53DE88DC" w14:textId="77777777" w:rsidR="00FF5607" w:rsidRPr="00F17D6A" w:rsidRDefault="00FF5607" w:rsidP="00FF5607">
      <w:pPr>
        <w:pStyle w:val="FootnoteText"/>
        <w:rPr>
          <w:i/>
          <w:iCs/>
        </w:rPr>
      </w:pPr>
      <w:r>
        <w:rPr>
          <w:rStyle w:val="FootnoteReference"/>
        </w:rPr>
        <w:footnoteRef/>
      </w:r>
      <w:r>
        <w:t xml:space="preserve"> </w:t>
      </w:r>
      <w:r w:rsidRPr="00F17D6A">
        <w:t xml:space="preserve">Jackson, Peter, Apparitions and Apparatuses: On the Framing and Staging of Religious Events, </w:t>
      </w:r>
      <w:r w:rsidRPr="00F17D6A">
        <w:rPr>
          <w:i/>
          <w:iCs/>
        </w:rPr>
        <w:t>Method and Theory in the Study of Religion</w:t>
      </w:r>
    </w:p>
  </w:footnote>
  <w:footnote w:id="23">
    <w:p w14:paraId="53DE88DD" w14:textId="77777777" w:rsidR="00FF5607" w:rsidRDefault="00FF5607" w:rsidP="00FF5607">
      <w:pPr>
        <w:pStyle w:val="FootnoteText"/>
      </w:pPr>
      <w:r>
        <w:rPr>
          <w:rStyle w:val="FootnoteReference"/>
        </w:rPr>
        <w:footnoteRef/>
      </w:r>
      <w:r>
        <w:t xml:space="preserve"> </w:t>
      </w:r>
      <w:r w:rsidRPr="006B109B">
        <w:t xml:space="preserve">Plato, </w:t>
      </w:r>
      <w:r w:rsidRPr="006B109B">
        <w:rPr>
          <w:i/>
          <w:iCs/>
        </w:rPr>
        <w:t>The Symposium</w:t>
      </w:r>
      <w:r w:rsidRPr="006B109B">
        <w:t>: Walter Hamilton (trans.) (London: Penguin, 1973)</w:t>
      </w:r>
    </w:p>
  </w:footnote>
  <w:footnote w:id="24">
    <w:p w14:paraId="53DE88DE" w14:textId="77777777" w:rsidR="00FF5607" w:rsidRDefault="00FF5607" w:rsidP="00FF5607">
      <w:pPr>
        <w:pStyle w:val="FootnoteText"/>
      </w:pPr>
      <w:r>
        <w:rPr>
          <w:rStyle w:val="FootnoteReference"/>
        </w:rPr>
        <w:footnoteRef/>
      </w:r>
      <w:r>
        <w:t xml:space="preserve"> </w:t>
      </w:r>
      <w:r w:rsidRPr="001133C1">
        <w:t xml:space="preserve">Simonetti, Elsa, G, </w:t>
      </w:r>
      <w:r w:rsidRPr="001133C1">
        <w:rPr>
          <w:i/>
          <w:iCs/>
        </w:rPr>
        <w:t>A Perfect Medium? Oracular Divination in the Thought of Plutarch</w:t>
      </w:r>
      <w:r w:rsidRPr="001133C1">
        <w:t xml:space="preserve">, (Leuven: Leuven University Press, 2017), </w:t>
      </w:r>
      <w:r>
        <w:t>59</w:t>
      </w:r>
    </w:p>
  </w:footnote>
  <w:footnote w:id="25">
    <w:p w14:paraId="53DE88DF" w14:textId="77777777" w:rsidR="00FF5607" w:rsidRDefault="00FF5607" w:rsidP="00FF5607">
      <w:pPr>
        <w:pStyle w:val="FootnoteText"/>
      </w:pPr>
      <w:r>
        <w:rPr>
          <w:rStyle w:val="FootnoteReference"/>
        </w:rPr>
        <w:footnoteRef/>
      </w:r>
      <w:r>
        <w:t xml:space="preserve"> </w:t>
      </w:r>
      <w:r w:rsidRPr="00C9530A">
        <w:t xml:space="preserve">Mossman, Judith, Introduction, in Thomas North (trans.), </w:t>
      </w:r>
      <w:r w:rsidRPr="00220629">
        <w:rPr>
          <w:i/>
          <w:iCs/>
        </w:rPr>
        <w:t>Plutarch: Selected Lives of the Noble Grecians and Romans</w:t>
      </w:r>
      <w:r w:rsidRPr="00C9530A">
        <w:t xml:space="preserve">, (Ware: Wordsworth Classic, 1998), pp. </w:t>
      </w:r>
      <w:r>
        <w:t>ix</w:t>
      </w:r>
    </w:p>
  </w:footnote>
  <w:footnote w:id="26">
    <w:p w14:paraId="53DE88E0" w14:textId="77777777" w:rsidR="00FF5607" w:rsidRDefault="00FF5607" w:rsidP="00FF5607">
      <w:pPr>
        <w:pStyle w:val="FootnoteText"/>
      </w:pPr>
      <w:r>
        <w:rPr>
          <w:rStyle w:val="FootnoteReference"/>
        </w:rPr>
        <w:footnoteRef/>
      </w:r>
      <w:r>
        <w:t xml:space="preserve"> </w:t>
      </w:r>
      <w:r w:rsidRPr="005C08E9">
        <w:t>Simonetti, Elsa</w:t>
      </w:r>
      <w:r>
        <w:t>,</w:t>
      </w:r>
      <w:r w:rsidRPr="005C08E9">
        <w:t xml:space="preserve"> G, </w:t>
      </w:r>
      <w:r w:rsidRPr="005C08E9">
        <w:rPr>
          <w:i/>
          <w:iCs/>
        </w:rPr>
        <w:t>A Perfect Medium? Oracular Divination in the Thought of Plutarch</w:t>
      </w:r>
      <w:r>
        <w:t>, 97</w:t>
      </w:r>
    </w:p>
  </w:footnote>
  <w:footnote w:id="27">
    <w:p w14:paraId="53DE88E1" w14:textId="77777777" w:rsidR="00FF5607" w:rsidRDefault="00FF5607" w:rsidP="00FF5607">
      <w:pPr>
        <w:pStyle w:val="FootnoteText"/>
      </w:pPr>
      <w:r>
        <w:rPr>
          <w:rStyle w:val="FootnoteReference"/>
        </w:rPr>
        <w:footnoteRef/>
      </w:r>
      <w:r>
        <w:t xml:space="preserve"> </w:t>
      </w:r>
      <w:r w:rsidRPr="005C08E9">
        <w:t>Simonetti, Elsa</w:t>
      </w:r>
      <w:r>
        <w:t>,</w:t>
      </w:r>
      <w:r w:rsidRPr="005C08E9">
        <w:t xml:space="preserve"> G, </w:t>
      </w:r>
      <w:r w:rsidRPr="005C08E9">
        <w:rPr>
          <w:i/>
          <w:iCs/>
        </w:rPr>
        <w:t>A Perfect Medium? Oracular Divination in the Thought of Plutarch</w:t>
      </w:r>
      <w:r>
        <w:t>, 61</w:t>
      </w:r>
    </w:p>
  </w:footnote>
  <w:footnote w:id="28">
    <w:p w14:paraId="53DE88E2" w14:textId="77777777" w:rsidR="00FF5607" w:rsidRDefault="00FF5607" w:rsidP="00FF5607">
      <w:pPr>
        <w:pStyle w:val="FootnoteText"/>
      </w:pPr>
      <w:r>
        <w:rPr>
          <w:rStyle w:val="FootnoteReference"/>
        </w:rPr>
        <w:footnoteRef/>
      </w:r>
      <w:r>
        <w:t xml:space="preserve"> </w:t>
      </w:r>
      <w:r w:rsidRPr="00AB3FB7">
        <w:t>Schröder, Stephan, Plutarch on Oracles and Divine Inspiration, p</w:t>
      </w:r>
      <w:r>
        <w:t xml:space="preserve"> 155; </w:t>
      </w:r>
      <w:r w:rsidRPr="00E85D7C">
        <w:t xml:space="preserve">Plutarch, </w:t>
      </w:r>
      <w:r w:rsidRPr="00E85D7C">
        <w:rPr>
          <w:i/>
          <w:iCs/>
        </w:rPr>
        <w:t>The Obsolescence of Oracles</w:t>
      </w:r>
      <w:r w:rsidRPr="00E85D7C">
        <w:t xml:space="preserve"> (De defectu oraculorum), p</w:t>
      </w:r>
      <w:r>
        <w:t>p. 367–369</w:t>
      </w:r>
    </w:p>
  </w:footnote>
  <w:footnote w:id="29">
    <w:p w14:paraId="53DE88E3" w14:textId="77777777" w:rsidR="00FF5607" w:rsidRDefault="00FF5607" w:rsidP="00FF5607">
      <w:pPr>
        <w:pStyle w:val="FootnoteText"/>
      </w:pPr>
      <w:r>
        <w:rPr>
          <w:rStyle w:val="FootnoteReference"/>
        </w:rPr>
        <w:footnoteRef/>
      </w:r>
      <w:r>
        <w:t xml:space="preserve"> </w:t>
      </w:r>
      <w:r w:rsidRPr="00E0410B">
        <w:t xml:space="preserve">Stoneman, Richard, </w:t>
      </w:r>
      <w:r w:rsidRPr="008A1966">
        <w:rPr>
          <w:i/>
          <w:iCs/>
        </w:rPr>
        <w:t>The Ancient Oracles: Making the gods speak</w:t>
      </w:r>
      <w:r w:rsidRPr="00E0410B">
        <w:t xml:space="preserve">, p </w:t>
      </w:r>
      <w:r>
        <w:t>176</w:t>
      </w:r>
    </w:p>
  </w:footnote>
  <w:footnote w:id="30">
    <w:p w14:paraId="53DE88E4" w14:textId="77777777" w:rsidR="00FF5607" w:rsidRDefault="00FF5607" w:rsidP="00FF5607">
      <w:pPr>
        <w:pStyle w:val="FootnoteText"/>
      </w:pPr>
      <w:r>
        <w:rPr>
          <w:rStyle w:val="FootnoteReference"/>
        </w:rPr>
        <w:footnoteRef/>
      </w:r>
      <w:r>
        <w:t xml:space="preserve"> </w:t>
      </w:r>
      <w:r w:rsidRPr="00620A66">
        <w:t xml:space="preserve">Simonetti, Elsa, G, </w:t>
      </w:r>
      <w:r w:rsidRPr="00620A66">
        <w:rPr>
          <w:i/>
          <w:iCs/>
        </w:rPr>
        <w:t>A Perfect Medium? Oracular Divination in the Thought of Plutarch</w:t>
      </w:r>
      <w:r w:rsidRPr="00620A66">
        <w:t xml:space="preserve">, </w:t>
      </w:r>
      <w:r>
        <w:t xml:space="preserve">p </w:t>
      </w:r>
      <w:r w:rsidRPr="00620A66">
        <w:t>6</w:t>
      </w:r>
      <w:r>
        <w:t>4</w:t>
      </w:r>
    </w:p>
  </w:footnote>
  <w:footnote w:id="31">
    <w:p w14:paraId="53DE88E5" w14:textId="77777777" w:rsidR="00FF5607" w:rsidRDefault="00FF5607" w:rsidP="00FF5607">
      <w:pPr>
        <w:pStyle w:val="FootnoteText"/>
      </w:pPr>
      <w:r>
        <w:rPr>
          <w:rStyle w:val="FootnoteReference"/>
        </w:rPr>
        <w:footnoteRef/>
      </w:r>
      <w:r>
        <w:t xml:space="preserve"> </w:t>
      </w:r>
      <w:r w:rsidRPr="005C08E9">
        <w:t>Simonetti, Elsa</w:t>
      </w:r>
      <w:r>
        <w:t>,</w:t>
      </w:r>
      <w:r w:rsidRPr="005C08E9">
        <w:t xml:space="preserve"> G, </w:t>
      </w:r>
      <w:r w:rsidRPr="005C08E9">
        <w:rPr>
          <w:i/>
          <w:iCs/>
        </w:rPr>
        <w:t>A Perfect Medium? Oracular Divination in the Thought of Plutarch</w:t>
      </w:r>
      <w:r w:rsidRPr="005C08E9">
        <w:t>,</w:t>
      </w:r>
      <w:r>
        <w:t xml:space="preserve"> p 60</w:t>
      </w:r>
    </w:p>
  </w:footnote>
  <w:footnote w:id="32">
    <w:p w14:paraId="53DE88E6" w14:textId="77777777" w:rsidR="00FF5607" w:rsidRDefault="00FF5607" w:rsidP="00FF5607">
      <w:pPr>
        <w:pStyle w:val="FootnoteText"/>
      </w:pPr>
      <w:r>
        <w:rPr>
          <w:rStyle w:val="FootnoteReference"/>
        </w:rPr>
        <w:footnoteRef/>
      </w:r>
      <w:r>
        <w:t xml:space="preserve"> </w:t>
      </w:r>
      <w:r w:rsidRPr="00545FB7">
        <w:t xml:space="preserve">Plutarch, </w:t>
      </w:r>
      <w:r w:rsidRPr="00545FB7">
        <w:rPr>
          <w:i/>
          <w:iCs/>
        </w:rPr>
        <w:t>The Obsolescence of Oracles</w:t>
      </w:r>
      <w:r w:rsidRPr="00545FB7">
        <w:t xml:space="preserve"> (De defectu oraculorum), p</w:t>
      </w:r>
      <w:r>
        <w:t>p 561–501</w:t>
      </w:r>
    </w:p>
  </w:footnote>
  <w:footnote w:id="33">
    <w:p w14:paraId="53DE88E7" w14:textId="77777777" w:rsidR="00FF5607" w:rsidRDefault="00FF5607" w:rsidP="00FF5607">
      <w:pPr>
        <w:pStyle w:val="FootnoteText"/>
      </w:pPr>
      <w:r>
        <w:rPr>
          <w:rStyle w:val="FootnoteReference"/>
        </w:rPr>
        <w:footnoteRef/>
      </w:r>
      <w:r>
        <w:t xml:space="preserve"> </w:t>
      </w:r>
      <w:r w:rsidRPr="004517E6">
        <w:t xml:space="preserve">Plutarch, </w:t>
      </w:r>
      <w:r w:rsidRPr="00A51F9B">
        <w:rPr>
          <w:i/>
          <w:iCs/>
        </w:rPr>
        <w:t>The Obsolescence of Oracles (De defectu oraculorum)</w:t>
      </w:r>
      <w:r>
        <w:t>, p 349</w:t>
      </w:r>
    </w:p>
  </w:footnote>
  <w:footnote w:id="34">
    <w:p w14:paraId="53DE88E8" w14:textId="77777777" w:rsidR="00FF5607" w:rsidRDefault="00FF5607" w:rsidP="00FF5607">
      <w:pPr>
        <w:pStyle w:val="FootnoteText"/>
      </w:pPr>
      <w:r>
        <w:rPr>
          <w:rStyle w:val="FootnoteReference"/>
        </w:rPr>
        <w:footnoteRef/>
      </w:r>
      <w:r>
        <w:t xml:space="preserve"> </w:t>
      </w:r>
      <w:r w:rsidRPr="00543A8C">
        <w:t xml:space="preserve">Schröder, Stephan, Plutarch on Oracles and Divine Inspiration, p </w:t>
      </w:r>
      <w:r>
        <w:t>153</w:t>
      </w:r>
    </w:p>
  </w:footnote>
  <w:footnote w:id="35">
    <w:p w14:paraId="53DE88E9" w14:textId="77777777" w:rsidR="00FF5607" w:rsidRPr="00127B80" w:rsidRDefault="00FF5607" w:rsidP="00FF5607">
      <w:pPr>
        <w:pStyle w:val="FootnoteText"/>
      </w:pPr>
      <w:r>
        <w:rPr>
          <w:rStyle w:val="FootnoteReference"/>
        </w:rPr>
        <w:footnoteRef/>
      </w:r>
      <w:r>
        <w:t xml:space="preserve"> </w:t>
      </w:r>
      <w:r w:rsidRPr="00127B80">
        <w:t xml:space="preserve">Plutarch, </w:t>
      </w:r>
      <w:r w:rsidRPr="00127B80">
        <w:rPr>
          <w:i/>
          <w:iCs/>
        </w:rPr>
        <w:t>The Obsolescence of Oracles (De defectu oraculorum)</w:t>
      </w:r>
      <w:r>
        <w:t>, pp. 373-375.</w:t>
      </w:r>
    </w:p>
  </w:footnote>
  <w:footnote w:id="36">
    <w:p w14:paraId="53DE88EA" w14:textId="77777777" w:rsidR="00FF5607" w:rsidRDefault="00FF5607" w:rsidP="00FF5607">
      <w:pPr>
        <w:pStyle w:val="FootnoteText"/>
      </w:pPr>
      <w:r>
        <w:rPr>
          <w:rStyle w:val="FootnoteReference"/>
        </w:rPr>
        <w:footnoteRef/>
      </w:r>
      <w:r>
        <w:t xml:space="preserve"> </w:t>
      </w:r>
      <w:r w:rsidRPr="004A5E1C">
        <w:t>Schröder, Stephan, Plutarch on Oracles and Divine Inspiration, p 15</w:t>
      </w:r>
      <w:r>
        <w:t>4</w:t>
      </w:r>
    </w:p>
  </w:footnote>
  <w:footnote w:id="37">
    <w:p w14:paraId="53DE88EB" w14:textId="77777777" w:rsidR="00FF5607" w:rsidRDefault="00FF5607" w:rsidP="00FF5607">
      <w:pPr>
        <w:pStyle w:val="FootnoteText"/>
      </w:pPr>
      <w:r>
        <w:rPr>
          <w:rStyle w:val="FootnoteReference"/>
        </w:rPr>
        <w:footnoteRef/>
      </w:r>
      <w:r>
        <w:t xml:space="preserve"> </w:t>
      </w:r>
      <w:r w:rsidRPr="009657EF">
        <w:t xml:space="preserve">Plutarch, </w:t>
      </w:r>
      <w:r w:rsidRPr="009657EF">
        <w:rPr>
          <w:i/>
          <w:iCs/>
        </w:rPr>
        <w:t>The Obsolescence of Oracles (De defectu oraculorum)</w:t>
      </w:r>
      <w:r w:rsidRPr="009657EF">
        <w:t>, pp.</w:t>
      </w:r>
      <w:r>
        <w:t xml:space="preserve"> 401</w:t>
      </w:r>
      <w:r w:rsidRPr="009657EF">
        <w:t>-</w:t>
      </w:r>
      <w:r>
        <w:t>403</w:t>
      </w:r>
      <w:r w:rsidRPr="009657EF">
        <w:t>.</w:t>
      </w:r>
    </w:p>
  </w:footnote>
  <w:footnote w:id="38">
    <w:p w14:paraId="53DE88EC" w14:textId="77777777" w:rsidR="00FF5607" w:rsidRDefault="00FF5607" w:rsidP="00FF5607">
      <w:pPr>
        <w:pStyle w:val="FootnoteText"/>
      </w:pPr>
      <w:r>
        <w:rPr>
          <w:rStyle w:val="FootnoteReference"/>
        </w:rPr>
        <w:footnoteRef/>
      </w:r>
      <w:r>
        <w:t xml:space="preserve"> </w:t>
      </w:r>
      <w:r w:rsidRPr="00BF0CD3">
        <w:t xml:space="preserve">Copenhaver, Brian, </w:t>
      </w:r>
      <w:r w:rsidRPr="00BF0CD3">
        <w:rPr>
          <w:i/>
          <w:iCs/>
        </w:rPr>
        <w:t>The Book of Magic: From Antiquity to the Enlightenment</w:t>
      </w:r>
      <w:r w:rsidRPr="00BF0CD3">
        <w:t xml:space="preserve">, p </w:t>
      </w:r>
      <w:r>
        <w:t>23</w:t>
      </w:r>
      <w:r w:rsidRPr="00BF0CD3">
        <w:t>1</w:t>
      </w:r>
    </w:p>
  </w:footnote>
  <w:footnote w:id="39">
    <w:p w14:paraId="53DE88ED" w14:textId="77777777" w:rsidR="00FF5607" w:rsidRDefault="00FF5607" w:rsidP="00FF5607">
      <w:pPr>
        <w:pStyle w:val="FootnoteText"/>
      </w:pPr>
      <w:r>
        <w:rPr>
          <w:rStyle w:val="FootnoteReference"/>
        </w:rPr>
        <w:footnoteRef/>
      </w:r>
      <w:r>
        <w:t xml:space="preserve"> </w:t>
      </w:r>
      <w:r w:rsidRPr="00C64146">
        <w:t xml:space="preserve">Stoneman, Richard, </w:t>
      </w:r>
      <w:r w:rsidRPr="00C64146">
        <w:rPr>
          <w:i/>
          <w:iCs/>
        </w:rPr>
        <w:t>The Ancient Oracles: Making the gods speak</w:t>
      </w:r>
      <w:r w:rsidRPr="00C64146">
        <w:t>, p 1</w:t>
      </w:r>
      <w:r>
        <w:t>79</w:t>
      </w:r>
    </w:p>
  </w:footnote>
  <w:footnote w:id="40">
    <w:p w14:paraId="53DE88EE" w14:textId="77777777" w:rsidR="00FF5607" w:rsidRDefault="00FF5607" w:rsidP="00FF5607">
      <w:pPr>
        <w:pStyle w:val="FootnoteText"/>
      </w:pPr>
      <w:r>
        <w:rPr>
          <w:rStyle w:val="FootnoteReference"/>
        </w:rPr>
        <w:footnoteRef/>
      </w:r>
      <w:r>
        <w:t xml:space="preserve"> </w:t>
      </w:r>
      <w:r w:rsidRPr="00127B80">
        <w:t xml:space="preserve">Plutarch, </w:t>
      </w:r>
      <w:r w:rsidRPr="00127B80">
        <w:rPr>
          <w:i/>
          <w:iCs/>
        </w:rPr>
        <w:t>The Obsolescence of Oracles (De defectu oraculorum)</w:t>
      </w:r>
      <w:r>
        <w:t>, pp. 461-465</w:t>
      </w:r>
    </w:p>
  </w:footnote>
  <w:footnote w:id="41">
    <w:p w14:paraId="53DE88EF" w14:textId="77777777" w:rsidR="00FF5607" w:rsidRDefault="00FF5607" w:rsidP="00FF5607">
      <w:pPr>
        <w:pStyle w:val="FootnoteText"/>
      </w:pPr>
      <w:r>
        <w:rPr>
          <w:rStyle w:val="FootnoteReference"/>
        </w:rPr>
        <w:footnoteRef/>
      </w:r>
      <w:r>
        <w:t xml:space="preserve"> </w:t>
      </w:r>
      <w:r w:rsidRPr="00127B80">
        <w:t xml:space="preserve">Plutarch, </w:t>
      </w:r>
      <w:r w:rsidRPr="00127B80">
        <w:rPr>
          <w:i/>
          <w:iCs/>
        </w:rPr>
        <w:t>The Obsolescence of Oracles (De defectu oraculorum)</w:t>
      </w:r>
      <w:r>
        <w:t>, p 467</w:t>
      </w:r>
    </w:p>
  </w:footnote>
  <w:footnote w:id="42">
    <w:p w14:paraId="53DE88F0" w14:textId="77777777" w:rsidR="00FF5607" w:rsidRDefault="00FF5607" w:rsidP="00FF5607">
      <w:pPr>
        <w:pStyle w:val="FootnoteText"/>
      </w:pPr>
      <w:r>
        <w:rPr>
          <w:rStyle w:val="FootnoteReference"/>
        </w:rPr>
        <w:footnoteRef/>
      </w:r>
      <w:r>
        <w:t xml:space="preserve"> </w:t>
      </w:r>
      <w:r w:rsidRPr="0059682B">
        <w:t xml:space="preserve">Plutarch, </w:t>
      </w:r>
      <w:r w:rsidRPr="0059682B">
        <w:rPr>
          <w:i/>
          <w:iCs/>
        </w:rPr>
        <w:t>The Obsolescence of Oracles (De defectu oraculorum)</w:t>
      </w:r>
      <w:r w:rsidRPr="0059682B">
        <w:t>, p</w:t>
      </w:r>
      <w:r>
        <w:t xml:space="preserve"> </w:t>
      </w:r>
      <w:r w:rsidRPr="0059682B">
        <w:t>4</w:t>
      </w:r>
      <w:r>
        <w:t>73</w:t>
      </w:r>
    </w:p>
  </w:footnote>
  <w:footnote w:id="43">
    <w:p w14:paraId="53DE88F1" w14:textId="77777777" w:rsidR="00FF5607" w:rsidRDefault="00FF5607" w:rsidP="00FF5607">
      <w:pPr>
        <w:pStyle w:val="FootnoteText"/>
      </w:pPr>
      <w:r>
        <w:rPr>
          <w:rStyle w:val="FootnoteReference"/>
        </w:rPr>
        <w:footnoteRef/>
      </w:r>
      <w:r>
        <w:t xml:space="preserve"> </w:t>
      </w:r>
      <w:r w:rsidRPr="001A5757">
        <w:t xml:space="preserve">Plutarch, </w:t>
      </w:r>
      <w:r w:rsidRPr="005E3735">
        <w:rPr>
          <w:i/>
          <w:iCs/>
        </w:rPr>
        <w:t>The Obsolescence of Oracles (De defectu oraculorum)</w:t>
      </w:r>
      <w:r w:rsidRPr="001A5757">
        <w:t>, pp.</w:t>
      </w:r>
      <w:r>
        <w:t xml:space="preserve"> </w:t>
      </w:r>
      <w:r w:rsidRPr="001A5757">
        <w:t>47</w:t>
      </w:r>
      <w:r>
        <w:t>7-481</w:t>
      </w:r>
    </w:p>
  </w:footnote>
  <w:footnote w:id="44">
    <w:p w14:paraId="53DE88F2" w14:textId="77777777" w:rsidR="00FF5607" w:rsidRDefault="00FF5607" w:rsidP="00FF5607">
      <w:pPr>
        <w:pStyle w:val="FootnoteText"/>
      </w:pPr>
      <w:r>
        <w:rPr>
          <w:rStyle w:val="FootnoteReference"/>
        </w:rPr>
        <w:footnoteRef/>
      </w:r>
      <w:r>
        <w:t xml:space="preserve"> </w:t>
      </w:r>
      <w:r w:rsidRPr="001A5757">
        <w:t xml:space="preserve">Plutarch, </w:t>
      </w:r>
      <w:r w:rsidRPr="005E3735">
        <w:rPr>
          <w:i/>
          <w:iCs/>
        </w:rPr>
        <w:t>The Obsolescence of Oracles (De defectu oraculorum)</w:t>
      </w:r>
      <w:r w:rsidRPr="001A5757">
        <w:t>, pp.</w:t>
      </w:r>
      <w:r>
        <w:t xml:space="preserve"> </w:t>
      </w:r>
      <w:r w:rsidRPr="001A5757">
        <w:t>4</w:t>
      </w:r>
      <w:r>
        <w:t>87-500</w:t>
      </w:r>
    </w:p>
  </w:footnote>
  <w:footnote w:id="45">
    <w:p w14:paraId="53DE88F3" w14:textId="77777777" w:rsidR="00FF5607" w:rsidRDefault="00FF5607" w:rsidP="00FF5607">
      <w:pPr>
        <w:pStyle w:val="FootnoteText"/>
      </w:pPr>
      <w:r>
        <w:rPr>
          <w:rStyle w:val="FootnoteReference"/>
        </w:rPr>
        <w:footnoteRef/>
      </w:r>
      <w:r>
        <w:t xml:space="preserve"> </w:t>
      </w:r>
      <w:r w:rsidRPr="006D2C61">
        <w:t>Schröder, Stephan</w:t>
      </w:r>
      <w:r w:rsidRPr="00A20BB8">
        <w:rPr>
          <w:i/>
          <w:iCs/>
        </w:rPr>
        <w:t>, Plutarch on Oracles and Divine Inspiration</w:t>
      </w:r>
      <w:r w:rsidRPr="006D2C61">
        <w:t>, p 15</w:t>
      </w:r>
      <w:r>
        <w:t>5</w:t>
      </w:r>
    </w:p>
  </w:footnote>
  <w:footnote w:id="46">
    <w:p w14:paraId="53DE88F4" w14:textId="77777777" w:rsidR="00FF5607" w:rsidRDefault="00FF5607" w:rsidP="00FF5607">
      <w:pPr>
        <w:pStyle w:val="FootnoteText"/>
      </w:pPr>
      <w:r>
        <w:rPr>
          <w:rStyle w:val="FootnoteReference"/>
        </w:rPr>
        <w:footnoteRef/>
      </w:r>
      <w:r>
        <w:t xml:space="preserve"> </w:t>
      </w:r>
      <w:r w:rsidRPr="00844B62">
        <w:t xml:space="preserve">Stoneman, Richard, </w:t>
      </w:r>
      <w:r w:rsidRPr="00844B62">
        <w:rPr>
          <w:i/>
          <w:iCs/>
        </w:rPr>
        <w:t>The Ancient Oracles: Making the gods speak</w:t>
      </w:r>
      <w:r w:rsidRPr="00844B62">
        <w:t>, p 17</w:t>
      </w:r>
      <w:r>
        <w:t>8</w:t>
      </w:r>
    </w:p>
  </w:footnote>
  <w:footnote w:id="47">
    <w:p w14:paraId="53DE88F5" w14:textId="77777777" w:rsidR="00FF5607" w:rsidRDefault="00FF5607" w:rsidP="00FF5607">
      <w:pPr>
        <w:pStyle w:val="FootnoteText"/>
      </w:pPr>
      <w:r>
        <w:rPr>
          <w:rStyle w:val="FootnoteReference"/>
        </w:rPr>
        <w:footnoteRef/>
      </w:r>
      <w:r>
        <w:t xml:space="preserve"> </w:t>
      </w:r>
      <w:r w:rsidRPr="00202304">
        <w:t xml:space="preserve">Schröder, Stephan, </w:t>
      </w:r>
      <w:r w:rsidRPr="00202304">
        <w:rPr>
          <w:i/>
          <w:iCs/>
        </w:rPr>
        <w:t>Plutarch on Oracles and Divine Inspiration</w:t>
      </w:r>
      <w:r w:rsidRPr="00202304">
        <w:t>, p 15</w:t>
      </w:r>
      <w:r>
        <w:t>7</w:t>
      </w:r>
    </w:p>
  </w:footnote>
  <w:footnote w:id="48">
    <w:p w14:paraId="53DE88F6" w14:textId="77777777" w:rsidR="00FF5607" w:rsidRDefault="00FF5607" w:rsidP="00FF5607">
      <w:pPr>
        <w:pStyle w:val="FootnoteText"/>
      </w:pPr>
      <w:r>
        <w:rPr>
          <w:rStyle w:val="FootnoteReference"/>
        </w:rPr>
        <w:footnoteRef/>
      </w:r>
      <w:r>
        <w:t xml:space="preserve"> </w:t>
      </w:r>
      <w:r w:rsidRPr="005C08E9">
        <w:t>Simonetti, Elsa</w:t>
      </w:r>
      <w:r>
        <w:t>,</w:t>
      </w:r>
      <w:r w:rsidRPr="005C08E9">
        <w:t xml:space="preserve"> G, </w:t>
      </w:r>
      <w:r w:rsidRPr="005C08E9">
        <w:rPr>
          <w:i/>
          <w:iCs/>
        </w:rPr>
        <w:t>A Perfect Medium? Oracular Divination in the Thought of Plutarch</w:t>
      </w:r>
      <w:r>
        <w:t>, 220</w:t>
      </w:r>
    </w:p>
  </w:footnote>
  <w:footnote w:id="49">
    <w:p w14:paraId="53DE88F7" w14:textId="77777777" w:rsidR="00FF5607" w:rsidRDefault="00FF5607" w:rsidP="00FF5607">
      <w:pPr>
        <w:pStyle w:val="FootnoteText"/>
      </w:pPr>
      <w:r>
        <w:rPr>
          <w:rStyle w:val="FootnoteReference"/>
        </w:rPr>
        <w:footnoteRef/>
      </w:r>
      <w:r>
        <w:t xml:space="preserve"> </w:t>
      </w:r>
      <w:r w:rsidRPr="00202304">
        <w:t xml:space="preserve">Schröder, Stephan, </w:t>
      </w:r>
      <w:r w:rsidRPr="00202304">
        <w:rPr>
          <w:i/>
          <w:iCs/>
        </w:rPr>
        <w:t>Plutarch on Oracles and Divine Inspiration</w:t>
      </w:r>
      <w:r w:rsidRPr="00202304">
        <w:t>, p 1</w:t>
      </w:r>
      <w:r>
        <w:t>68</w:t>
      </w:r>
    </w:p>
  </w:footnote>
  <w:footnote w:id="50">
    <w:p w14:paraId="53DE88F8" w14:textId="77777777" w:rsidR="00FF5607" w:rsidRDefault="00FF5607" w:rsidP="00FF5607">
      <w:pPr>
        <w:pStyle w:val="FootnoteText"/>
      </w:pPr>
      <w:r>
        <w:rPr>
          <w:rStyle w:val="FootnoteReference"/>
        </w:rPr>
        <w:footnoteRef/>
      </w:r>
      <w:r>
        <w:t xml:space="preserve"> </w:t>
      </w:r>
      <w:r w:rsidRPr="00844B62">
        <w:t xml:space="preserve">Stoneman, Richard, </w:t>
      </w:r>
      <w:r w:rsidRPr="00844B62">
        <w:rPr>
          <w:i/>
          <w:iCs/>
        </w:rPr>
        <w:t>The Ancient Oracles: Making the gods speak</w:t>
      </w:r>
      <w:r w:rsidRPr="00844B62">
        <w:t>, p</w:t>
      </w:r>
      <w:r>
        <w:t>p. 199–202</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7D9DCD4" w14:textId="00F51ACD" w:rsidR="00D43367" w:rsidRDefault="00D43367">
    <w:pPr>
      <w:pStyle w:val="Header"/>
    </w:pPr>
    <w:r>
      <w:rPr>
        <w:noProof/>
        <w:lang w:val="en-GB" w:eastAsia="en-GB"/>
      </w:rPr>
      <mc:AlternateContent>
        <mc:Choice Requires="wps">
          <w:drawing>
            <wp:anchor distT="0" distB="0" distL="0" distR="0" simplePos="0" relativeHeight="251659264" behindDoc="0" locked="0" layoutInCell="1" allowOverlap="1" wp14:anchorId="5611D841" wp14:editId="777A50FE">
              <wp:simplePos x="635" y="635"/>
              <wp:positionH relativeFrom="page">
                <wp:align>right</wp:align>
              </wp:positionH>
              <wp:positionV relativeFrom="page">
                <wp:align>top</wp:align>
              </wp:positionV>
              <wp:extent cx="443865" cy="443865"/>
              <wp:effectExtent l="0" t="0" r="0" b="4445"/>
              <wp:wrapNone/>
              <wp:docPr id="2" name="Text Box 2" descr="Information Classification: PUBLIC">
                <a:extLst xmlns:a="http://schemas.openxmlformats.org/drawingml/2006/main">
                  <a:ext uri="{5AE41FA2-C0FF-4470-9BD4-5FADCA87CBE2}">
                    <aclsh:classification xmlns:aclsh="http://schemas.microsoft.com/office/drawing/2020/classificationShape"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4456626" w14:textId="056CA051" w:rsidR="00D43367" w:rsidRPr="00D43367" w:rsidRDefault="00D43367" w:rsidP="00D43367">
                          <w:pPr>
                            <w:spacing w:after="0"/>
                            <w:rPr>
                              <w:rFonts w:ascii="Calibri" w:eastAsia="Calibri" w:hAnsi="Calibri" w:cs="Calibri"/>
                              <w:noProof/>
                              <w:color w:val="317100"/>
                              <w:sz w:val="20"/>
                              <w:szCs w:val="20"/>
                            </w:rPr>
                          </w:pPr>
                          <w:r w:rsidRPr="00D43367">
                            <w:rPr>
                              <w:rFonts w:ascii="Calibri" w:eastAsia="Calibri" w:hAnsi="Calibri" w:cs="Calibri"/>
                              <w:noProof/>
                              <w:color w:val="317100"/>
                              <w:sz w:val="20"/>
                              <w:szCs w:val="20"/>
                            </w:rPr>
                            <w:t>Information Classification: PUBLIC</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5611D841" id="_x0000_t202" coordsize="21600,21600" o:spt="202" path="m,l,21600r21600,l21600,xe">
              <v:stroke joinstyle="miter"/>
              <v:path gradientshapeok="t" o:connecttype="rect"/>
            </v:shapetype>
            <v:shape id="Text Box 2" o:spid="_x0000_s1026" type="#_x0000_t202" alt="Information Classification: PUBLIC" style="position:absolute;margin-left:-16.25pt;margin-top:0;width:34.95pt;height:34.95pt;z-index:251659264;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" filled="f" stroked="f">
              <v:fill o:detectmouseclick="t"/>
              <v:textbox style="mso-fit-shape-to-text:t" inset="0,15pt,20pt,0">
                <w:txbxContent>
                  <w:p w14:paraId="54456626" w14:textId="056CA051" w:rsidR="00D43367" w:rsidRPr="00D43367" w:rsidRDefault="00D43367" w:rsidP="00D43367">
                    <w:pPr>
                      <w:spacing w:after="0"/>
                      <w:rPr>
                        <w:rFonts w:ascii="Calibri" w:eastAsia="Calibri" w:hAnsi="Calibri" w:cs="Calibri"/>
                        <w:noProof/>
                        <w:color w:val="317100"/>
                        <w:sz w:val="20"/>
                        <w:szCs w:val="20"/>
                      </w:rPr>
                    </w:pPr>
                    <w:r w:rsidRPr="00D43367">
                      <w:rPr>
                        <w:rFonts w:ascii="Calibri" w:eastAsia="Calibri" w:hAnsi="Calibri" w:cs="Calibri"/>
                        <w:noProof/>
                        <w:color w:val="317100"/>
                        <w:sz w:val="20"/>
                        <w:szCs w:val="20"/>
                      </w:rPr>
                      <w:t>Information Classification: PUBLIC</w:t>
                    </w:r>
                  </w:p>
                </w:txbxContent>
              </v:textbox>
              <w10:wrap anchorx="page" anchory="page"/>
            </v:shape>
          </w:pict>
        </mc:Fallback>
      </mc:AlternateConten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DFAB49E" w14:textId="5D4458B8" w:rsidR="00D43367" w:rsidRDefault="00D43367">
    <w:pPr>
      <w:pStyle w:val="Header"/>
    </w:pPr>
    <w:r>
      <w:rPr>
        <w:noProof/>
        <w:lang w:val="en-GB" w:eastAsia="en-GB"/>
      </w:rPr>
      <mc:AlternateContent>
        <mc:Choice Requires="wps">
          <w:drawing>
            <wp:anchor distT="0" distB="0" distL="0" distR="0" simplePos="0" relativeHeight="251660288" behindDoc="0" locked="0" layoutInCell="1" allowOverlap="1" wp14:anchorId="220C6B34" wp14:editId="655FA088">
              <wp:simplePos x="914400" y="447675"/>
              <wp:positionH relativeFrom="page">
                <wp:align>right</wp:align>
              </wp:positionH>
              <wp:positionV relativeFrom="page">
                <wp:align>top</wp:align>
              </wp:positionV>
              <wp:extent cx="443865" cy="443865"/>
              <wp:effectExtent l="0" t="0" r="0" b="4445"/>
              <wp:wrapNone/>
              <wp:docPr id="3" name="Text Box 3" descr="Information Classification: PUBLIC">
                <a:extLst xmlns:a="http://schemas.openxmlformats.org/drawingml/2006/main">
                  <a:ext uri="{5AE41FA2-C0FF-4470-9BD4-5FADCA87CBE2}">
                    <aclsh:classification xmlns:aclsh="http://schemas.microsoft.com/office/drawing/2020/classificationShape"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E402CA8" w14:textId="2A3702A9" w:rsidR="00D43367" w:rsidRPr="00D43367" w:rsidRDefault="00D43367" w:rsidP="00D43367">
                          <w:pPr>
                            <w:spacing w:after="0"/>
                            <w:rPr>
                              <w:rFonts w:ascii="Calibri" w:eastAsia="Calibri" w:hAnsi="Calibri" w:cs="Calibri"/>
                              <w:noProof/>
                              <w:color w:val="317100"/>
                              <w:sz w:val="20"/>
                              <w:szCs w:val="20"/>
                            </w:rPr>
                          </w:pP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220C6B34" id="_x0000_t202" coordsize="21600,21600" o:spt="202" path="m,l,21600r21600,l21600,xe">
              <v:stroke joinstyle="miter"/>
              <v:path gradientshapeok="t" o:connecttype="rect"/>
            </v:shapetype>
            <v:shape id="Text Box 3" o:spid="_x0000_s1027" type="#_x0000_t202" alt="Information Classification: PUBLIC" style="position:absolute;margin-left:-16.25pt;margin-top:0;width:34.95pt;height:34.95pt;z-index:251660288;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" filled="f" stroked="f">
              <v:textbox style="mso-fit-shape-to-text:t" inset="0,15pt,20pt,0">
                <w:txbxContent>
                  <w:p w14:paraId="7E402CA8" w14:textId="2A3702A9" w:rsidR="00D43367" w:rsidRPr="00D43367" w:rsidRDefault="00D43367" w:rsidP="00D43367">
                    <w:pPr>
                      <w:spacing w:after="0"/>
                      <w:rPr>
                        <w:rFonts w:ascii="Calibri" w:eastAsia="Calibri" w:hAnsi="Calibri" w:cs="Calibri"/>
                        <w:noProof/>
                        <w:color w:val="317100"/>
                        <w:sz w:val="20"/>
                        <w:szCs w:val="20"/>
                      </w:rPr>
                    </w:pPr>
                  </w:p>
                </w:txbxContent>
              </v:textbox>
              <w10:wrap anchorx="page" anchory="page"/>
            </v:shape>
          </w:pict>
        </mc:Fallback>
      </mc:AlternateConten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2FF9EF4" w14:textId="584F159F" w:rsidR="00D43367" w:rsidRDefault="00D43367">
    <w:pPr>
      <w:pStyle w:val="Header"/>
    </w:pPr>
    <w:r>
      <w:rPr>
        <w:noProof/>
        <w:lang w:val="en-GB" w:eastAsia="en-GB"/>
      </w:rPr>
      <mc:AlternateContent>
        <mc:Choice Requires="wps">
          <w:drawing>
            <wp:anchor distT="0" distB="0" distL="0" distR="0" simplePos="0" relativeHeight="251658240" behindDoc="0" locked="0" layoutInCell="1" allowOverlap="1" wp14:anchorId="6CFD4BD3" wp14:editId="3185BE93">
              <wp:simplePos x="635" y="635"/>
              <wp:positionH relativeFrom="page">
                <wp:align>right</wp:align>
              </wp:positionH>
              <wp:positionV relativeFrom="page">
                <wp:align>top</wp:align>
              </wp:positionV>
              <wp:extent cx="443865" cy="443865"/>
              <wp:effectExtent l="0" t="0" r="0" b="4445"/>
              <wp:wrapNone/>
              <wp:docPr id="1" name="Text Box 1" descr="Information Classification: PUBLIC">
                <a:extLst xmlns:a="http://schemas.openxmlformats.org/drawingml/2006/main">
                  <a:ext uri="{5AE41FA2-C0FF-4470-9BD4-5FADCA87CBE2}">
                    <aclsh:classification xmlns:aclsh="http://schemas.microsoft.com/office/drawing/2020/classificationShape"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63715CF9" w14:textId="0F08B9AA" w:rsidR="00D43367" w:rsidRPr="00D43367" w:rsidRDefault="00D43367" w:rsidP="00D43367">
                          <w:pPr>
                            <w:spacing w:after="0"/>
                            <w:rPr>
                              <w:rFonts w:ascii="Calibri" w:eastAsia="Calibri" w:hAnsi="Calibri" w:cs="Calibri"/>
                              <w:noProof/>
                              <w:color w:val="317100"/>
                              <w:sz w:val="20"/>
                              <w:szCs w:val="20"/>
                            </w:rPr>
                          </w:pPr>
                          <w:r w:rsidRPr="00D43367">
                            <w:rPr>
                              <w:rFonts w:ascii="Calibri" w:eastAsia="Calibri" w:hAnsi="Calibri" w:cs="Calibri"/>
                              <w:noProof/>
                              <w:color w:val="317100"/>
                              <w:sz w:val="20"/>
                              <w:szCs w:val="20"/>
                            </w:rPr>
                            <w:t>Information Classification: PUBLIC</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6CFD4BD3" id="_x0000_t202" coordsize="21600,21600" o:spt="202" path="m,l,21600r21600,l21600,xe">
              <v:stroke joinstyle="miter"/>
              <v:path gradientshapeok="t" o:connecttype="rect"/>
            </v:shapetype>
            <v:shape id="Text Box 1" o:spid="_x0000_s1028" type="#_x0000_t202" alt="Information Classification: PUBLIC" style="position:absolute;margin-left:-16.25pt;margin-top:0;width:34.95pt;height:34.95pt;z-index:251658240;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" filled="f" stroked="f">
              <v:fill o:detectmouseclick="t"/>
              <v:textbox style="mso-fit-shape-to-text:t" inset="0,15pt,20pt,0">
                <w:txbxContent>
                  <w:p w14:paraId="63715CF9" w14:textId="0F08B9AA" w:rsidR="00D43367" w:rsidRPr="00D43367" w:rsidRDefault="00D43367" w:rsidP="00D43367">
                    <w:pPr>
                      <w:spacing w:after="0"/>
                      <w:rPr>
                        <w:rFonts w:ascii="Calibri" w:eastAsia="Calibri" w:hAnsi="Calibri" w:cs="Calibri"/>
                        <w:noProof/>
                        <w:color w:val="317100"/>
                        <w:sz w:val="20"/>
                        <w:szCs w:val="20"/>
                      </w:rPr>
                    </w:pPr>
                    <w:r w:rsidRPr="00D43367">
                      <w:rPr>
                        <w:rFonts w:ascii="Calibri" w:eastAsia="Calibri" w:hAnsi="Calibri" w:cs="Calibri"/>
                        <w:noProof/>
                        <w:color w:val="317100"/>
                        <w:sz w:val="20"/>
                        <w:szCs w:val="20"/>
                      </w:rPr>
                      <w:t>Information Classification: PUBLIC</w:t>
                    </w:r>
                  </w:p>
                </w:txbxContent>
              </v:textbox>
              <w10:wrap anchorx="page" anchory="page"/>
            </v:shape>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1"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8"/>
  </w:num>
  <w:num w:numId="2">
    <w:abstractNumId w:val="20"/>
  </w:num>
  <w:num w:numId="3">
    <w:abstractNumId w:val="9"/>
  </w:num>
  <w:num w:numId="4">
    <w:abstractNumId w:val="6"/>
  </w:num>
  <w:num w:numId="5">
    <w:abstractNumId w:val="2"/>
  </w:num>
  <w:num w:numId="6">
    <w:abstractNumId w:val="4"/>
  </w:num>
  <w:num w:numId="7">
    <w:abstractNumId w:val="13"/>
  </w:num>
  <w:num w:numId="8">
    <w:abstractNumId w:val="21"/>
  </w:num>
  <w:num w:numId="9">
    <w:abstractNumId w:val="23"/>
  </w:num>
  <w:num w:numId="10">
    <w:abstractNumId w:val="5"/>
  </w:num>
  <w:num w:numId="11">
    <w:abstractNumId w:val="19"/>
  </w:num>
  <w:num w:numId="12">
    <w:abstractNumId w:val="22"/>
  </w:num>
  <w:num w:numId="13">
    <w:abstractNumId w:val="11"/>
  </w:num>
  <w:num w:numId="14">
    <w:abstractNumId w:val="14"/>
  </w:num>
  <w:num w:numId="15">
    <w:abstractNumId w:val="16"/>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0"/>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2"/>
  </w:num>
  <w:num w:numId="20">
    <w:abstractNumId w:val="17"/>
  </w:num>
  <w:num w:numId="21">
    <w:abstractNumId w:val="3"/>
  </w:num>
  <w:num w:numId="22">
    <w:abstractNumId w:val="7"/>
  </w:num>
  <w:num w:numId="23">
    <w:abstractNumId w:val="15"/>
  </w:num>
  <w:num w:numId="24">
    <w:abstractNumId w:val="8"/>
  </w:num>
  <w:num w:numId="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446E"/>
    <w:rsid w:val="00061739"/>
    <w:rsid w:val="00124118"/>
    <w:rsid w:val="00132FF8"/>
    <w:rsid w:val="00172B75"/>
    <w:rsid w:val="001F4595"/>
    <w:rsid w:val="00287F53"/>
    <w:rsid w:val="00374E51"/>
    <w:rsid w:val="00422264"/>
    <w:rsid w:val="00423B82"/>
    <w:rsid w:val="00446274"/>
    <w:rsid w:val="004F382A"/>
    <w:rsid w:val="00543858"/>
    <w:rsid w:val="00574BEC"/>
    <w:rsid w:val="005B71D7"/>
    <w:rsid w:val="00642B02"/>
    <w:rsid w:val="00655201"/>
    <w:rsid w:val="006649D0"/>
    <w:rsid w:val="00671B33"/>
    <w:rsid w:val="00737AE4"/>
    <w:rsid w:val="00752353"/>
    <w:rsid w:val="00756424"/>
    <w:rsid w:val="00860912"/>
    <w:rsid w:val="008A34FD"/>
    <w:rsid w:val="008C2F51"/>
    <w:rsid w:val="008C6705"/>
    <w:rsid w:val="009229AF"/>
    <w:rsid w:val="009455F0"/>
    <w:rsid w:val="0097263B"/>
    <w:rsid w:val="009C3950"/>
    <w:rsid w:val="009D5D5D"/>
    <w:rsid w:val="00A014D9"/>
    <w:rsid w:val="00A35D24"/>
    <w:rsid w:val="00A92F32"/>
    <w:rsid w:val="00AA2AA6"/>
    <w:rsid w:val="00B83D18"/>
    <w:rsid w:val="00C418CC"/>
    <w:rsid w:val="00C84223"/>
    <w:rsid w:val="00CB584C"/>
    <w:rsid w:val="00CD73A5"/>
    <w:rsid w:val="00D13CFE"/>
    <w:rsid w:val="00D3446E"/>
    <w:rsid w:val="00D43367"/>
    <w:rsid w:val="00DA3B2D"/>
    <w:rsid w:val="00DB7B80"/>
    <w:rsid w:val="00E220DE"/>
    <w:rsid w:val="00E37DEF"/>
    <w:rsid w:val="00FA5898"/>
    <w:rsid w:val="00FF56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3DE888E"/>
  <w15:chartTrackingRefBased/>
  <w15:docId w15:val="{2DA9B4E1-2276-4EFE-9510-4A3740815F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iPriority="0"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0"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FF5607"/>
    <w:pPr>
      <w:keepNext/>
      <w:spacing w:before="240" w:after="60" w:line="240" w:lineRule="auto"/>
      <w:outlineLvl w:val="0"/>
    </w:pPr>
    <w:rPr>
      <w:rFonts w:ascii="Arial" w:eastAsia="SimSun" w:hAnsi="Arial" w:cs="Arial"/>
      <w:b/>
      <w:bCs/>
      <w:kern w:val="32"/>
      <w:sz w:val="32"/>
      <w:szCs w:val="32"/>
      <w:lang w:eastAsia="zh-CN"/>
    </w:rPr>
  </w:style>
  <w:style w:type="paragraph" w:styleId="Heading2">
    <w:name w:val="heading 2"/>
    <w:basedOn w:val="Normal"/>
    <w:next w:val="Normal"/>
    <w:link w:val="Heading2Char"/>
    <w:qFormat/>
    <w:rsid w:val="00FF5607"/>
    <w:pPr>
      <w:keepNext/>
      <w:spacing w:before="240" w:after="60" w:line="240" w:lineRule="auto"/>
      <w:outlineLvl w:val="1"/>
    </w:pPr>
    <w:rPr>
      <w:rFonts w:ascii="Arial" w:eastAsia="SimSun" w:hAnsi="Arial" w:cs="Arial"/>
      <w:b/>
      <w:bCs/>
      <w:i/>
      <w:iCs/>
      <w:sz w:val="28"/>
      <w:szCs w:val="28"/>
      <w:lang w:eastAsia="zh-CN"/>
    </w:rPr>
  </w:style>
  <w:style w:type="paragraph" w:styleId="Heading3">
    <w:name w:val="heading 3"/>
    <w:basedOn w:val="Normal"/>
    <w:link w:val="Heading3Char"/>
    <w:qFormat/>
    <w:rsid w:val="00FF5607"/>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F5607"/>
    <w:rPr>
      <w:rFonts w:ascii="Arial" w:eastAsia="SimSun" w:hAnsi="Arial" w:cs="Arial"/>
      <w:b/>
      <w:bCs/>
      <w:kern w:val="32"/>
      <w:sz w:val="32"/>
      <w:szCs w:val="32"/>
      <w:lang w:eastAsia="zh-CN"/>
    </w:rPr>
  </w:style>
  <w:style w:type="character" w:customStyle="1" w:styleId="Heading2Char">
    <w:name w:val="Heading 2 Char"/>
    <w:basedOn w:val="DefaultParagraphFont"/>
    <w:link w:val="Heading2"/>
    <w:rsid w:val="00FF5607"/>
    <w:rPr>
      <w:rFonts w:ascii="Arial" w:eastAsia="SimSun" w:hAnsi="Arial" w:cs="Arial"/>
      <w:b/>
      <w:bCs/>
      <w:i/>
      <w:iCs/>
      <w:sz w:val="28"/>
      <w:szCs w:val="28"/>
      <w:lang w:eastAsia="zh-CN"/>
    </w:rPr>
  </w:style>
  <w:style w:type="character" w:customStyle="1" w:styleId="Heading3Char">
    <w:name w:val="Heading 3 Char"/>
    <w:basedOn w:val="DefaultParagraphFont"/>
    <w:link w:val="Heading3"/>
    <w:rsid w:val="00FF5607"/>
    <w:rPr>
      <w:rFonts w:ascii="Tahoma" w:eastAsia="SimSun" w:hAnsi="Tahoma" w:cs="Tahoma"/>
      <w:b/>
      <w:bCs/>
      <w:sz w:val="20"/>
      <w:szCs w:val="20"/>
      <w:lang w:eastAsia="zh-CN"/>
    </w:rPr>
  </w:style>
  <w:style w:type="numbering" w:customStyle="1" w:styleId="NoList1">
    <w:name w:val="No List1"/>
    <w:next w:val="NoList"/>
    <w:uiPriority w:val="99"/>
    <w:semiHidden/>
    <w:unhideWhenUsed/>
    <w:rsid w:val="00FF5607"/>
  </w:style>
  <w:style w:type="paragraph" w:styleId="NormalWeb">
    <w:name w:val="Normal (Web)"/>
    <w:basedOn w:val="Normal"/>
    <w:rsid w:val="00FF5607"/>
    <w:pPr>
      <w:spacing w:before="100" w:beforeAutospacing="1" w:after="100" w:afterAutospacing="1" w:line="240" w:lineRule="auto"/>
    </w:pPr>
    <w:rPr>
      <w:rFonts w:ascii="Georgia" w:eastAsia="SimSun" w:hAnsi="Georgia" w:cs="Times New Roman"/>
      <w:color w:val="000000"/>
      <w:sz w:val="21"/>
      <w:szCs w:val="21"/>
      <w:lang w:eastAsia="zh-CN"/>
    </w:rPr>
  </w:style>
  <w:style w:type="character" w:styleId="CommentReference">
    <w:name w:val="annotation reference"/>
    <w:rsid w:val="00FF5607"/>
    <w:rPr>
      <w:sz w:val="16"/>
      <w:szCs w:val="16"/>
    </w:rPr>
  </w:style>
  <w:style w:type="paragraph" w:styleId="CommentText">
    <w:name w:val="annotation text"/>
    <w:basedOn w:val="Normal"/>
    <w:link w:val="CommentTextChar"/>
    <w:rsid w:val="00FF5607"/>
    <w:pPr>
      <w:spacing w:after="0" w:line="240" w:lineRule="auto"/>
    </w:pPr>
    <w:rPr>
      <w:rFonts w:ascii="Times New Roman" w:eastAsia="SimSun" w:hAnsi="Times New Roman" w:cs="Times New Roman"/>
      <w:sz w:val="20"/>
      <w:szCs w:val="20"/>
      <w:lang w:val="x-none" w:eastAsia="zh-CN"/>
    </w:rPr>
  </w:style>
  <w:style w:type="character" w:customStyle="1" w:styleId="CommentTextChar">
    <w:name w:val="Comment Text Char"/>
    <w:basedOn w:val="DefaultParagraphFont"/>
    <w:link w:val="CommentText"/>
    <w:rsid w:val="00FF5607"/>
    <w:rPr>
      <w:rFonts w:ascii="Times New Roman" w:eastAsia="SimSun" w:hAnsi="Times New Roman" w:cs="Times New Roman"/>
      <w:sz w:val="20"/>
      <w:szCs w:val="20"/>
      <w:lang w:val="x-none" w:eastAsia="zh-CN"/>
    </w:rPr>
  </w:style>
  <w:style w:type="paragraph" w:styleId="CommentSubject">
    <w:name w:val="annotation subject"/>
    <w:basedOn w:val="CommentText"/>
    <w:next w:val="CommentText"/>
    <w:link w:val="CommentSubjectChar"/>
    <w:rsid w:val="00FF5607"/>
    <w:rPr>
      <w:b/>
      <w:bCs/>
    </w:rPr>
  </w:style>
  <w:style w:type="character" w:customStyle="1" w:styleId="CommentSubjectChar">
    <w:name w:val="Comment Subject Char"/>
    <w:basedOn w:val="CommentTextChar"/>
    <w:link w:val="CommentSubject"/>
    <w:rsid w:val="00FF5607"/>
    <w:rPr>
      <w:rFonts w:ascii="Times New Roman" w:eastAsia="SimSun" w:hAnsi="Times New Roman" w:cs="Times New Roman"/>
      <w:b/>
      <w:bCs/>
      <w:sz w:val="20"/>
      <w:szCs w:val="20"/>
      <w:lang w:val="x-none" w:eastAsia="zh-CN"/>
    </w:rPr>
  </w:style>
  <w:style w:type="paragraph" w:styleId="BalloonText">
    <w:name w:val="Balloon Text"/>
    <w:basedOn w:val="Normal"/>
    <w:link w:val="BalloonTextChar"/>
    <w:rsid w:val="00FF5607"/>
    <w:pPr>
      <w:spacing w:after="0" w:line="240" w:lineRule="auto"/>
    </w:pPr>
    <w:rPr>
      <w:rFonts w:ascii="Tahoma" w:eastAsia="SimSun" w:hAnsi="Tahoma" w:cs="Times New Roman"/>
      <w:sz w:val="16"/>
      <w:szCs w:val="16"/>
      <w:lang w:val="x-none" w:eastAsia="zh-CN"/>
    </w:rPr>
  </w:style>
  <w:style w:type="character" w:customStyle="1" w:styleId="BalloonTextChar">
    <w:name w:val="Balloon Text Char"/>
    <w:basedOn w:val="DefaultParagraphFont"/>
    <w:link w:val="BalloonText"/>
    <w:rsid w:val="00FF5607"/>
    <w:rPr>
      <w:rFonts w:ascii="Tahoma" w:eastAsia="SimSun" w:hAnsi="Tahoma" w:cs="Times New Roman"/>
      <w:sz w:val="16"/>
      <w:szCs w:val="16"/>
      <w:lang w:val="x-none" w:eastAsia="zh-CN"/>
    </w:rPr>
  </w:style>
  <w:style w:type="paragraph" w:styleId="Header">
    <w:name w:val="header"/>
    <w:basedOn w:val="Normal"/>
    <w:link w:val="HeaderChar"/>
    <w:uiPriority w:val="99"/>
    <w:unhideWhenUsed/>
    <w:rsid w:val="00FF5607"/>
    <w:pPr>
      <w:tabs>
        <w:tab w:val="center" w:pos="4513"/>
        <w:tab w:val="right" w:pos="9026"/>
      </w:tabs>
      <w:spacing w:after="0" w:line="240" w:lineRule="auto"/>
    </w:pPr>
    <w:rPr>
      <w:rFonts w:ascii="Trebuchet MS" w:eastAsia="Calibri" w:hAnsi="Trebuchet MS" w:cs="Times New Roman"/>
      <w:szCs w:val="20"/>
      <w:lang w:val="x-none"/>
    </w:rPr>
  </w:style>
  <w:style w:type="character" w:customStyle="1" w:styleId="HeaderChar">
    <w:name w:val="Header Char"/>
    <w:basedOn w:val="DefaultParagraphFont"/>
    <w:link w:val="Header"/>
    <w:uiPriority w:val="99"/>
    <w:rsid w:val="00FF5607"/>
    <w:rPr>
      <w:rFonts w:ascii="Trebuchet MS" w:eastAsia="Calibri" w:hAnsi="Trebuchet MS" w:cs="Times New Roman"/>
      <w:szCs w:val="20"/>
      <w:lang w:val="x-none"/>
    </w:rPr>
  </w:style>
  <w:style w:type="paragraph" w:styleId="Footer">
    <w:name w:val="footer"/>
    <w:basedOn w:val="Normal"/>
    <w:link w:val="FooterChar"/>
    <w:uiPriority w:val="99"/>
    <w:rsid w:val="00FF5607"/>
    <w:pPr>
      <w:tabs>
        <w:tab w:val="center" w:pos="4513"/>
        <w:tab w:val="right" w:pos="9026"/>
      </w:tabs>
      <w:spacing w:after="0" w:line="240" w:lineRule="auto"/>
    </w:pPr>
    <w:rPr>
      <w:rFonts w:ascii="Times New Roman" w:eastAsia="SimSun" w:hAnsi="Times New Roman" w:cs="Times New Roman"/>
      <w:sz w:val="24"/>
      <w:szCs w:val="24"/>
      <w:lang w:val="x-none" w:eastAsia="zh-CN"/>
    </w:rPr>
  </w:style>
  <w:style w:type="character" w:customStyle="1" w:styleId="FooterChar">
    <w:name w:val="Footer Char"/>
    <w:basedOn w:val="DefaultParagraphFont"/>
    <w:link w:val="Footer"/>
    <w:uiPriority w:val="99"/>
    <w:rsid w:val="00FF5607"/>
    <w:rPr>
      <w:rFonts w:ascii="Times New Roman" w:eastAsia="SimSun" w:hAnsi="Times New Roman" w:cs="Times New Roman"/>
      <w:sz w:val="24"/>
      <w:szCs w:val="24"/>
      <w:lang w:val="x-none" w:eastAsia="zh-CN"/>
    </w:rPr>
  </w:style>
  <w:style w:type="table" w:styleId="TableGrid">
    <w:name w:val="Table Grid"/>
    <w:basedOn w:val="TableNormal"/>
    <w:rsid w:val="00FF5607"/>
    <w:pPr>
      <w:spacing w:after="0" w:line="240" w:lineRule="auto"/>
    </w:pPr>
    <w:rPr>
      <w:rFonts w:ascii="Times New Roman" w:eastAsia="SimSun" w:hAnsi="Times New Roman" w:cs="Times New Roman"/>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numbering" w:customStyle="1" w:styleId="NoList11">
    <w:name w:val="No List11"/>
    <w:next w:val="NoList"/>
    <w:uiPriority w:val="99"/>
    <w:semiHidden/>
    <w:unhideWhenUsed/>
    <w:rsid w:val="00FF5607"/>
  </w:style>
  <w:style w:type="paragraph" w:styleId="EndnoteText">
    <w:name w:val="endnote text"/>
    <w:basedOn w:val="Normal"/>
    <w:link w:val="EndnoteTextChar"/>
    <w:uiPriority w:val="99"/>
    <w:unhideWhenUsed/>
    <w:rsid w:val="00FF5607"/>
    <w:pPr>
      <w:spacing w:after="0" w:line="240" w:lineRule="auto"/>
    </w:pPr>
    <w:rPr>
      <w:rFonts w:ascii="Calibri" w:eastAsia="Calibri" w:hAnsi="Calibri" w:cs="Times New Roman"/>
      <w:sz w:val="20"/>
      <w:szCs w:val="20"/>
    </w:rPr>
  </w:style>
  <w:style w:type="character" w:customStyle="1" w:styleId="EndnoteTextChar">
    <w:name w:val="Endnote Text Char"/>
    <w:basedOn w:val="DefaultParagraphFont"/>
    <w:link w:val="EndnoteText"/>
    <w:uiPriority w:val="99"/>
    <w:rsid w:val="00FF5607"/>
    <w:rPr>
      <w:rFonts w:ascii="Calibri" w:eastAsia="Calibri" w:hAnsi="Calibri" w:cs="Times New Roman"/>
      <w:sz w:val="20"/>
      <w:szCs w:val="20"/>
    </w:rPr>
  </w:style>
  <w:style w:type="character" w:styleId="EndnoteReference">
    <w:name w:val="endnote reference"/>
    <w:uiPriority w:val="99"/>
    <w:unhideWhenUsed/>
    <w:rsid w:val="00FF5607"/>
    <w:rPr>
      <w:vertAlign w:val="superscript"/>
    </w:rPr>
  </w:style>
  <w:style w:type="paragraph" w:styleId="FootnoteText">
    <w:name w:val="footnote text"/>
    <w:basedOn w:val="Normal"/>
    <w:link w:val="FootnoteTextChar"/>
    <w:uiPriority w:val="99"/>
    <w:unhideWhenUsed/>
    <w:rsid w:val="00FF5607"/>
    <w:pPr>
      <w:spacing w:after="0" w:line="240" w:lineRule="auto"/>
    </w:pPr>
    <w:rPr>
      <w:rFonts w:ascii="Calibri" w:eastAsia="Calibri" w:hAnsi="Calibri" w:cs="Times New Roman"/>
      <w:sz w:val="20"/>
      <w:szCs w:val="20"/>
    </w:rPr>
  </w:style>
  <w:style w:type="character" w:customStyle="1" w:styleId="FootnoteTextChar">
    <w:name w:val="Footnote Text Char"/>
    <w:basedOn w:val="DefaultParagraphFont"/>
    <w:link w:val="FootnoteText"/>
    <w:uiPriority w:val="99"/>
    <w:rsid w:val="00FF5607"/>
    <w:rPr>
      <w:rFonts w:ascii="Calibri" w:eastAsia="Calibri" w:hAnsi="Calibri" w:cs="Times New Roman"/>
      <w:sz w:val="20"/>
      <w:szCs w:val="20"/>
    </w:rPr>
  </w:style>
  <w:style w:type="character" w:styleId="FootnoteReference">
    <w:name w:val="footnote reference"/>
    <w:uiPriority w:val="99"/>
    <w:unhideWhenUsed/>
    <w:rsid w:val="00FF5607"/>
    <w:rPr>
      <w:vertAlign w:val="superscript"/>
    </w:rPr>
  </w:style>
  <w:style w:type="character" w:styleId="Hyperlink">
    <w:name w:val="Hyperlink"/>
    <w:basedOn w:val="DefaultParagraphFont"/>
    <w:rsid w:val="00FF5607"/>
    <w:rPr>
      <w:color w:val="0563C1" w:themeColor="hyperlink"/>
      <w:u w:val="single"/>
    </w:rPr>
  </w:style>
  <w:style w:type="character" w:customStyle="1" w:styleId="UnresolvedMention1">
    <w:name w:val="Unresolved Mention1"/>
    <w:basedOn w:val="DefaultParagraphFont"/>
    <w:uiPriority w:val="99"/>
    <w:semiHidden/>
    <w:unhideWhenUsed/>
    <w:rsid w:val="00FF5607"/>
    <w:rPr>
      <w:color w:val="605E5C"/>
      <w:shd w:val="clear" w:color="auto" w:fill="E1DFDD"/>
    </w:rPr>
  </w:style>
  <w:style w:type="character" w:styleId="FollowedHyperlink">
    <w:name w:val="FollowedHyperlink"/>
    <w:basedOn w:val="DefaultParagraphFont"/>
    <w:rsid w:val="00FF5607"/>
    <w:rPr>
      <w:color w:val="954F72" w:themeColor="followedHyperlink"/>
      <w:u w:val="single"/>
    </w:rPr>
  </w:style>
  <w:style w:type="paragraph" w:styleId="Revision">
    <w:name w:val="Revision"/>
    <w:hidden/>
    <w:uiPriority w:val="99"/>
    <w:semiHidden/>
    <w:rsid w:val="00FF5607"/>
    <w:pPr>
      <w:spacing w:after="0" w:line="240" w:lineRule="auto"/>
    </w:pPr>
    <w:rPr>
      <w:rFonts w:ascii="Times New Roman" w:eastAsia="SimSun" w:hAnsi="Times New Roman" w:cs="Times New Roman"/>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3112</Words>
  <Characters>17745</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annaljones@talktalk.net</dc:creator>
  <cp:keywords/>
  <dc:description/>
  <cp:lastModifiedBy>Andy Jones</cp:lastModifiedBy>
  <cp:revision>2</cp:revision>
  <dcterms:created xsi:type="dcterms:W3CDTF">2024-03-10T17:57:00Z</dcterms:created>
  <dcterms:modified xsi:type="dcterms:W3CDTF">2024-03-10T17:57:00Z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1,2,3</vt:lpwstr>
  </property>
  <property fmtid="{D5CDD505-2E9C-101B-9397-08002B2CF9AE}" pid="3" name="ClassificationContentMarkingHeaderFontProps">
    <vt:lpwstr>#317100,10,Calibri</vt:lpwstr>
  </property>
  <property fmtid="{D5CDD505-2E9C-101B-9397-08002B2CF9AE}" pid="4" name="ClassificationContentMarkingHeaderText">
    <vt:lpwstr>Information Classification: PUBLIC</vt:lpwstr>
  </property>
  <property fmtid="{D5CDD505-2E9C-101B-9397-08002B2CF9AE}" pid="5" name="MSIP_Label_bee4c20f-5817-432f-84ac-80a373257ed1_Enabled">
    <vt:lpwstr>true</vt:lpwstr>
  </property>
  <property fmtid="{D5CDD505-2E9C-101B-9397-08002B2CF9AE}" pid="6" name="MSIP_Label_bee4c20f-5817-432f-84ac-80a373257ed1_SetDate">
    <vt:lpwstr>2024-03-10T16:53:26Z</vt:lpwstr>
  </property>
  <property fmtid="{D5CDD505-2E9C-101B-9397-08002B2CF9AE}" pid="7" name="MSIP_Label_bee4c20f-5817-432f-84ac-80a373257ed1_Method">
    <vt:lpwstr>Privileged</vt:lpwstr>
  </property>
  <property fmtid="{D5CDD505-2E9C-101B-9397-08002B2CF9AE}" pid="8" name="MSIP_Label_bee4c20f-5817-432f-84ac-80a373257ed1_Name">
    <vt:lpwstr>bee4c20f-5817-432f-84ac-80a373257ed1</vt:lpwstr>
  </property>
  <property fmtid="{D5CDD505-2E9C-101B-9397-08002B2CF9AE}" pid="9" name="MSIP_Label_bee4c20f-5817-432f-84ac-80a373257ed1_SiteId">
    <vt:lpwstr>efaa16aa-d1de-4d58-ba2e-2833fdfdd29f</vt:lpwstr>
  </property>
  <property fmtid="{D5CDD505-2E9C-101B-9397-08002B2CF9AE}" pid="10" name="MSIP_Label_bee4c20f-5817-432f-84ac-80a373257ed1_ActionId">
    <vt:lpwstr>5b5c6b18-eabe-4b59-a888-a30cb73dbffe</vt:lpwstr>
  </property>
  <property fmtid="{D5CDD505-2E9C-101B-9397-08002B2CF9AE}" pid="11" name="MSIP_Label_bee4c20f-5817-432f-84ac-80a373257ed1_ContentBits">
    <vt:lpwstr>1</vt:lpwstr>
  </property>
</Properties>
</file>