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ED0" w:rsidRPr="00B817A5" w:rsidRDefault="00B817A5" w:rsidP="00555DEC">
      <w:pPr>
        <w:spacing w:after="100" w:afterAutospacing="1" w:line="480" w:lineRule="auto"/>
        <w:ind w:left="708"/>
        <w:rPr>
          <w:sz w:val="26"/>
          <w:szCs w:val="26"/>
        </w:rPr>
      </w:pPr>
      <w:r>
        <w:rPr>
          <w:sz w:val="26"/>
          <w:szCs w:val="26"/>
        </w:rPr>
        <w:t>Reaction to</w:t>
      </w:r>
      <w:r w:rsidR="00BB4ED0" w:rsidRPr="00B817A5">
        <w:rPr>
          <w:sz w:val="26"/>
          <w:szCs w:val="26"/>
        </w:rPr>
        <w:t xml:space="preserve"> </w:t>
      </w:r>
      <w:r w:rsidRPr="001C0D66">
        <w:rPr>
          <w:sz w:val="26"/>
          <w:szCs w:val="26"/>
        </w:rPr>
        <w:t>"</w:t>
      </w:r>
      <w:r w:rsidR="00BB4ED0" w:rsidRPr="00B817A5">
        <w:rPr>
          <w:sz w:val="26"/>
          <w:szCs w:val="26"/>
        </w:rPr>
        <w:t>Al-Ghazali, The Rescuer from Error</w:t>
      </w:r>
      <w:r w:rsidRPr="00B817A5">
        <w:rPr>
          <w:sz w:val="26"/>
          <w:szCs w:val="26"/>
        </w:rPr>
        <w:t>"</w:t>
      </w:r>
      <w:r w:rsidR="00BB4ED0" w:rsidRPr="00B817A5">
        <w:rPr>
          <w:sz w:val="26"/>
          <w:szCs w:val="26"/>
        </w:rPr>
        <w:t xml:space="preserve"> from </w:t>
      </w:r>
      <w:r w:rsidR="00BB4ED0" w:rsidRPr="00B817A5">
        <w:rPr>
          <w:i/>
          <w:sz w:val="26"/>
          <w:szCs w:val="26"/>
        </w:rPr>
        <w:t>Medieval Islamic Philosophical Writings,</w:t>
      </w:r>
      <w:r w:rsidR="00BB4ED0" w:rsidRPr="00B817A5">
        <w:rPr>
          <w:sz w:val="26"/>
          <w:szCs w:val="26"/>
        </w:rPr>
        <w:t xml:space="preserve"> ed. M.A. Khalidi, 2005, Cambridge University Press</w:t>
      </w:r>
    </w:p>
    <w:p w:rsidR="00BB4ED0" w:rsidRDefault="00BB4ED0" w:rsidP="00555DEC">
      <w:pPr>
        <w:pStyle w:val="Standard"/>
        <w:spacing w:line="480" w:lineRule="auto"/>
        <w:rPr>
          <w:rFonts w:hint="eastAsia"/>
          <w:color w:val="CC00CC"/>
        </w:rPr>
      </w:pPr>
    </w:p>
    <w:p w:rsidR="0033705B" w:rsidRPr="005B2C08" w:rsidRDefault="00B66245" w:rsidP="00555DEC">
      <w:pPr>
        <w:pStyle w:val="NormalWeb"/>
        <w:spacing w:line="480" w:lineRule="auto"/>
      </w:pPr>
      <w:r>
        <w:t>For decades and centuries, interprete</w:t>
      </w:r>
      <w:bookmarkStart w:id="0" w:name="_GoBack"/>
      <w:bookmarkEnd w:id="0"/>
      <w:r>
        <w:t>rs have endeavored to understand Al-Ghazali (d.1111) as a person beyond just a name and lines of text, aiming to translate</w:t>
      </w:r>
      <w:r w:rsidR="005B2C08">
        <w:t xml:space="preserve"> and present</w:t>
      </w:r>
      <w:r>
        <w:t xml:space="preserve"> ancient texts in the most accurate way possible. </w:t>
      </w:r>
      <w:r w:rsidR="00247CD1">
        <w:t xml:space="preserve">One important source for understanding him is his work </w:t>
      </w:r>
      <w:r w:rsidR="00247CD1" w:rsidRPr="00247CD1">
        <w:rPr>
          <w:i/>
        </w:rPr>
        <w:t>The Rescuer from Error</w:t>
      </w:r>
      <w:r w:rsidR="00247CD1">
        <w:t>, which has long been considered his intellectual autobiography.</w:t>
      </w:r>
    </w:p>
    <w:p w:rsidR="0033705B" w:rsidRPr="00534DC6" w:rsidRDefault="0033705B" w:rsidP="00555DEC">
      <w:pPr>
        <w:pStyle w:val="ListParagraph"/>
        <w:numPr>
          <w:ilvl w:val="0"/>
          <w:numId w:val="1"/>
        </w:numPr>
        <w:spacing w:after="100" w:afterAutospacing="1" w:line="480" w:lineRule="auto"/>
        <w:rPr>
          <w:rFonts w:ascii="Liberation Serif" w:eastAsia="Songti SC" w:hAnsi="Liberation Serif" w:cs="Arial Unicode MS" w:hint="eastAsia"/>
          <w:b/>
          <w:kern w:val="3"/>
          <w:lang w:val="en-GB" w:eastAsia="zh-CN" w:bidi="hi-IN"/>
        </w:rPr>
      </w:pPr>
    </w:p>
    <w:p w:rsidR="00247CD1" w:rsidRPr="001B2A58" w:rsidRDefault="00247CD1" w:rsidP="00555DEC">
      <w:pPr>
        <w:spacing w:after="100" w:afterAutospacing="1" w:line="480" w:lineRule="auto"/>
      </w:pPr>
      <w:r>
        <w:t xml:space="preserve">Translating words is relatively simple. The situation becomes significantly more complex when dealing with thoughts, nuances, and concepts. Furthermore, understanding can be further complicated by the background of the subject themselves. To illustrate the complexity of comprehending the teachings of such an exceptional thinker, one might naturally refer to Al-Ghazali's </w:t>
      </w:r>
      <w:r w:rsidRPr="007777D0">
        <w:rPr>
          <w:i/>
        </w:rPr>
        <w:t>magnum opus</w:t>
      </w:r>
      <w:r>
        <w:t>, which was publicly burned in Cordoba during his lifetime (1109). This act, most likely driven by political reasons, was made possible by the interpretative space within the teachings, enabling them to be turned against themselves and inviting hostility. Similarly, while Al-Ghazali is still regarded today as one of the most influential authors in the Islamic world, another part of the Muslim world sees Al-Ghazali's teachings as the root of societal stagnation (Bacik, 2021).</w:t>
      </w:r>
    </w:p>
    <w:p w:rsidR="00B66245" w:rsidRDefault="007777D0" w:rsidP="00555DEC">
      <w:pPr>
        <w:spacing w:after="100" w:afterAutospacing="1" w:line="480" w:lineRule="auto"/>
      </w:pPr>
      <w:r w:rsidRPr="007777D0">
        <w:t>One source of confusion is his</w:t>
      </w:r>
      <w:r w:rsidR="004F055B" w:rsidRPr="007777D0">
        <w:t xml:space="preserve"> </w:t>
      </w:r>
      <w:r w:rsidR="004F055B" w:rsidRPr="007777D0">
        <w:rPr>
          <w:i/>
        </w:rPr>
        <w:t xml:space="preserve">The Rescurer...  </w:t>
      </w:r>
      <w:r w:rsidR="009E40BE" w:rsidRPr="007777D0">
        <w:t xml:space="preserve">Much </w:t>
      </w:r>
      <w:r w:rsidR="009E40BE">
        <w:t xml:space="preserve">of Al-Ghazali's works existed in Latin translations already in the Middle Ages (Sharif 1963:1382), but the first known translation of </w:t>
      </w:r>
      <w:r w:rsidR="009E40BE" w:rsidRPr="00B66245">
        <w:rPr>
          <w:i/>
        </w:rPr>
        <w:t>The Rescuer...</w:t>
      </w:r>
      <w:r w:rsidR="009E40BE">
        <w:t xml:space="preserve"> into European </w:t>
      </w:r>
      <w:r w:rsidR="009E40BE" w:rsidRPr="007777D0">
        <w:t xml:space="preserve">languages supposedly dates back to 1842, translated by August Schmölders (Garden 2014:3) </w:t>
      </w:r>
      <w:r w:rsidRPr="007777D0">
        <w:rPr>
          <w:i/>
        </w:rPr>
        <w:t>The R</w:t>
      </w:r>
      <w:r w:rsidR="009E40BE" w:rsidRPr="007777D0">
        <w:rPr>
          <w:i/>
        </w:rPr>
        <w:t>escurer</w:t>
      </w:r>
      <w:r w:rsidR="009E40BE" w:rsidRPr="007777D0">
        <w:t xml:space="preserve">... </w:t>
      </w:r>
      <w:r w:rsidR="00B66245" w:rsidRPr="007777D0">
        <w:t xml:space="preserve">began </w:t>
      </w:r>
      <w:r w:rsidR="00B66245">
        <w:t>soon to be compared t</w:t>
      </w:r>
      <w:r w:rsidR="009E40BE">
        <w:t xml:space="preserve">o Augustine of Hippo's (d.430) </w:t>
      </w:r>
      <w:r w:rsidR="00B66245" w:rsidRPr="009E40BE">
        <w:rPr>
          <w:i/>
        </w:rPr>
        <w:t>Confessions,</w:t>
      </w:r>
      <w:r w:rsidR="004F055B" w:rsidRPr="009E40BE">
        <w:rPr>
          <w:i/>
        </w:rPr>
        <w:t>.</w:t>
      </w:r>
      <w:r w:rsidR="009E40BE" w:rsidRPr="009E40BE">
        <w:rPr>
          <w:i/>
        </w:rPr>
        <w:t>.</w:t>
      </w:r>
      <w:r w:rsidR="00B66245" w:rsidRPr="00B817A5">
        <w:t xml:space="preserve"> </w:t>
      </w:r>
      <w:r w:rsidR="004F055B" w:rsidRPr="00B817A5">
        <w:t>F</w:t>
      </w:r>
      <w:r w:rsidR="00B66245" w:rsidRPr="00B817A5">
        <w:t xml:space="preserve">ollowing </w:t>
      </w:r>
      <w:r w:rsidR="00B66245">
        <w:t xml:space="preserve">Augustine's example, </w:t>
      </w:r>
      <w:r w:rsidR="00B66245">
        <w:rPr>
          <w:i/>
        </w:rPr>
        <w:t>The Rescuer...</w:t>
      </w:r>
      <w:r w:rsidR="00B66245">
        <w:t xml:space="preserve"> was also </w:t>
      </w:r>
      <w:r w:rsidR="00B66245">
        <w:lastRenderedPageBreak/>
        <w:t xml:space="preserve">classified as something akin to an intellectual autobiography, a form it was exactly supposed to resemble at the time of writing. Subsequently, interpreters attempted to integrate </w:t>
      </w:r>
      <w:r w:rsidR="00B66245">
        <w:rPr>
          <w:i/>
        </w:rPr>
        <w:t>The Rescuer...</w:t>
      </w:r>
      <w:r w:rsidR="00B66245">
        <w:t xml:space="preserve"> into their own conception of Al-Ghazali to gain assistance and objectivity in presenting his works and the image of the author's worldview based on them to readers from other languages and cultures.</w:t>
      </w:r>
    </w:p>
    <w:p w:rsidR="005C3053" w:rsidRPr="00B0711B" w:rsidRDefault="00B66245" w:rsidP="00555DEC">
      <w:pPr>
        <w:pStyle w:val="NormalWeb"/>
        <w:spacing w:line="480" w:lineRule="auto"/>
      </w:pPr>
      <w:r w:rsidRPr="00B0711B">
        <w:t xml:space="preserve">The </w:t>
      </w:r>
      <w:r w:rsidR="00C7491E">
        <w:t xml:space="preserve">written </w:t>
      </w:r>
      <w:r w:rsidRPr="00B0711B">
        <w:t>word</w:t>
      </w:r>
      <w:r w:rsidR="00C7491E">
        <w:t>, however,</w:t>
      </w:r>
      <w:r w:rsidRPr="00B0711B">
        <w:t xml:space="preserve"> does not reflect objective reality nor is it a prerequisite or determining factor for the existence of objective reality </w:t>
      </w:r>
      <w:r w:rsidRPr="00E053FD">
        <w:rPr>
          <w:i/>
        </w:rPr>
        <w:t>per se</w:t>
      </w:r>
      <w:r w:rsidRPr="00B0711B">
        <w:t>. The word is a rationalization of subjective or subjectively preferred relation</w:t>
      </w:r>
      <w:r w:rsidR="005C3053" w:rsidRPr="00B0711B">
        <w:t xml:space="preserve"> and reflects the cognitive experience arising from isolated contact</w:t>
      </w:r>
      <w:r w:rsidRPr="00B0711B">
        <w:t>.</w:t>
      </w:r>
      <w:r w:rsidR="005C3053" w:rsidRPr="00B0711B">
        <w:t xml:space="preserve"> </w:t>
      </w:r>
      <w:r w:rsidR="007777D0">
        <w:t>Even in his younger years, Al-Ghazali had to, considering his own position, regard words as the sole means of justifying the choices of those in power.</w:t>
      </w:r>
    </w:p>
    <w:p w:rsidR="004F055B" w:rsidRPr="007777D0" w:rsidRDefault="004F055B" w:rsidP="00555DEC">
      <w:pPr>
        <w:pStyle w:val="NormalWeb"/>
        <w:spacing w:line="480" w:lineRule="auto"/>
      </w:pPr>
      <w:r w:rsidRPr="000D5B2D">
        <w:t>In case of</w:t>
      </w:r>
      <w:r w:rsidR="009455DB" w:rsidRPr="000D5B2D">
        <w:t xml:space="preserve"> </w:t>
      </w:r>
      <w:r w:rsidR="007777D0" w:rsidRPr="000D5B2D">
        <w:t>later</w:t>
      </w:r>
      <w:r w:rsidRPr="000D5B2D">
        <w:t xml:space="preserve"> </w:t>
      </w:r>
      <w:r w:rsidRPr="000D5B2D">
        <w:rPr>
          <w:i/>
        </w:rPr>
        <w:t>The Rescurer</w:t>
      </w:r>
      <w:r w:rsidRPr="000D5B2D">
        <w:t>...,</w:t>
      </w:r>
      <w:r w:rsidR="000A1311" w:rsidRPr="000D5B2D">
        <w:t xml:space="preserve"> the word was a tool that </w:t>
      </w:r>
      <w:r w:rsidRPr="000D5B2D">
        <w:t>was used to sway the benevolence of the ruler, the later Sultan of the Seljuq Empire, Sanjar (d1157), to repulse the hostile complaints against Al-Ghazali himself. The mental pressure caused by violent deaths of the many patrons who among other sympathies favored Al-Ghazali but died later under inexplicable circumstances (Alexander 2020:66-67) must be considered very real.</w:t>
      </w:r>
      <w:r w:rsidR="0098647A" w:rsidRPr="007777D0">
        <w:t xml:space="preserve"> </w:t>
      </w:r>
    </w:p>
    <w:p w:rsidR="000D5B2D" w:rsidRDefault="007777D0" w:rsidP="00555DEC">
      <w:pPr>
        <w:pStyle w:val="NormalWeb"/>
        <w:spacing w:line="480" w:lineRule="auto"/>
      </w:pPr>
      <w:r w:rsidRPr="00F83960">
        <w:t xml:space="preserve">Some of the opposition to Al-Ghazali stemmed from his earlier youthful </w:t>
      </w:r>
      <w:r w:rsidR="000D5B2D" w:rsidRPr="00F83960">
        <w:t xml:space="preserve">and careless </w:t>
      </w:r>
      <w:r w:rsidR="00F83960" w:rsidRPr="00F83960">
        <w:t xml:space="preserve">outspokenness. </w:t>
      </w:r>
      <w:r w:rsidR="00B817A5">
        <w:t xml:space="preserve">On the other hand there was an element of </w:t>
      </w:r>
      <w:r w:rsidR="00F83960">
        <w:t>uncertainty surround</w:t>
      </w:r>
      <w:r w:rsidR="00B817A5">
        <w:t>ing</w:t>
      </w:r>
      <w:r w:rsidR="00F83960">
        <w:t xml:space="preserve"> his </w:t>
      </w:r>
      <w:r w:rsidR="00B817A5">
        <w:t>naturally</w:t>
      </w:r>
      <w:r w:rsidR="00F83960">
        <w:t xml:space="preserve"> evolving views.</w:t>
      </w:r>
      <w:r>
        <w:t xml:space="preserve"> Therefore, Al-G</w:t>
      </w:r>
      <w:r w:rsidR="000D5B2D">
        <w:t xml:space="preserve">hazali chose in </w:t>
      </w:r>
      <w:r w:rsidR="000D5B2D" w:rsidRPr="000D5B2D">
        <w:rPr>
          <w:i/>
        </w:rPr>
        <w:t>The Rescuer...</w:t>
      </w:r>
      <w:r>
        <w:t xml:space="preserve"> not to delve into details but to opt for peace and submission—preferring, declaratively, the safer position of a mystical practitioner over any further theoretical debates. To demonstrate this, he chose the path of describing his intellectual development, during which he analyzed several possible sources of truth such as philosophy and jurisprudence, finding none of them sufficient in capability or objectivity, and thus not worth further energy. </w:t>
      </w:r>
    </w:p>
    <w:p w:rsidR="000D5B2D" w:rsidRDefault="00B868FB" w:rsidP="00555DEC">
      <w:pPr>
        <w:pStyle w:val="NormalWeb"/>
        <w:spacing w:line="480" w:lineRule="auto"/>
      </w:pPr>
      <w:r>
        <w:lastRenderedPageBreak/>
        <w:t xml:space="preserve">Seale (1968:13) describes the contemporary tradition through Abu 'Abd Al-Rahman Al-Sulami (d1021), who identified three dominant groups among the pious and learned in society. The first group, he describes as legal experts devoted to jurisprudence, collecting laws and guidelines for practical life, preserving and teaching them. </w:t>
      </w:r>
      <w:r w:rsidR="007777D0">
        <w:t xml:space="preserve">The teachings of the first group were exoteric, and their interest, accordingly, was directed towards the worldly sphere. </w:t>
      </w:r>
      <w:r w:rsidR="000D5B2D" w:rsidRPr="00B868FB">
        <w:t>T</w:t>
      </w:r>
      <w:r w:rsidR="007777D0" w:rsidRPr="00B868FB">
        <w:t>heir elitism based on their perception of the divine, he sees as</w:t>
      </w:r>
      <w:r w:rsidRPr="00B868FB">
        <w:t xml:space="preserve"> rather</w:t>
      </w:r>
      <w:r w:rsidR="007777D0" w:rsidRPr="00B868FB">
        <w:t xml:space="preserve"> limited.</w:t>
      </w:r>
      <w:r w:rsidR="007777D0">
        <w:t xml:space="preserve"> Seale places the second group, according to his interpretation of Al-Sulami, as partially possessing mystical knowledge but s</w:t>
      </w:r>
      <w:r w:rsidR="000D5B2D">
        <w:t>till behaving conformistically</w:t>
      </w:r>
      <w:r w:rsidR="007777D0">
        <w:t>, and the third group as directly communicating with God and living a seemingly dual life</w:t>
      </w:r>
      <w:r w:rsidR="000D5B2D">
        <w:t xml:space="preserve"> partly</w:t>
      </w:r>
      <w:r w:rsidR="007777D0">
        <w:t xml:space="preserve"> incomprehensible to outsiders, known as Malamatiya.</w:t>
      </w:r>
    </w:p>
    <w:p w:rsidR="00E737E9" w:rsidRDefault="007777D0" w:rsidP="00555DEC">
      <w:pPr>
        <w:pStyle w:val="NormalWeb"/>
        <w:spacing w:line="480" w:lineRule="auto"/>
      </w:pPr>
      <w:r w:rsidRPr="00E737E9">
        <w:t xml:space="preserve">One of the known sources of dangerous tensions was related to Al-Ghazali's </w:t>
      </w:r>
      <w:r w:rsidR="000D5B2D" w:rsidRPr="00E737E9">
        <w:t xml:space="preserve">earlier expressed </w:t>
      </w:r>
      <w:r w:rsidRPr="00E737E9">
        <w:t xml:space="preserve">position regarding the dominant Hanafi legal </w:t>
      </w:r>
      <w:r w:rsidR="000D5B2D" w:rsidRPr="00E737E9">
        <w:t xml:space="preserve">religious </w:t>
      </w:r>
      <w:r w:rsidRPr="00E737E9">
        <w:t xml:space="preserve">school and its founder Abu Hanifa. </w:t>
      </w:r>
      <w:r w:rsidRPr="000D5B2D">
        <w:t>Therefore,</w:t>
      </w:r>
      <w:r>
        <w:t xml:space="preserve"> Al-Ghazali preferred the </w:t>
      </w:r>
      <w:r w:rsidR="000D5B2D">
        <w:t xml:space="preserve">immediate </w:t>
      </w:r>
      <w:r>
        <w:t xml:space="preserve">closeness to God attributed to mystics, as the charge of heresy was life-threatening in his situation. Similarly, mystics were also distant from worldly goods and interests, and therefore also from the potentially threatening attitudes of other contenders. </w:t>
      </w:r>
      <w:r w:rsidR="00B817A5">
        <w:t xml:space="preserve">Therefore, </w:t>
      </w:r>
      <w:r>
        <w:t xml:space="preserve">Al-Ghazali </w:t>
      </w:r>
      <w:r w:rsidR="000D5B2D">
        <w:t xml:space="preserve">also </w:t>
      </w:r>
      <w:r>
        <w:t>sought his release from social obligations by clearly directing his focus towards the 'safer' end of the spectrum. The danger was real, as the occurrence of violent deaths among representatives of power extended to scholars as well. For example,</w:t>
      </w:r>
      <w:r w:rsidR="00715CAC">
        <w:t xml:space="preserve"> Al-Ghazali asked earlier his younger brother to teach in his place in the </w:t>
      </w:r>
      <w:r w:rsidR="00715CAC" w:rsidRPr="00715CAC">
        <w:t>Nezamiya</w:t>
      </w:r>
      <w:r w:rsidR="00715CAC">
        <w:t xml:space="preserve"> of </w:t>
      </w:r>
      <w:r w:rsidR="00715CAC" w:rsidRPr="00715CAC">
        <w:t>Baghdad</w:t>
      </w:r>
      <w:r w:rsidR="00715CAC">
        <w:t xml:space="preserve"> and assume responsibility during his absence.</w:t>
      </w:r>
      <w:r>
        <w:t xml:space="preserve"> </w:t>
      </w:r>
      <w:r w:rsidR="00715CAC">
        <w:t>But his</w:t>
      </w:r>
      <w:r>
        <w:t xml:space="preserve"> younger brother's student 'Ayn al-Qudat al-Hamadhanı (d1131) was</w:t>
      </w:r>
      <w:r w:rsidR="00715CAC">
        <w:t xml:space="preserve"> later</w:t>
      </w:r>
      <w:r>
        <w:t xml:space="preserve"> executed for his</w:t>
      </w:r>
      <w:r w:rsidR="000D5B2D">
        <w:t xml:space="preserve"> allegedly</w:t>
      </w:r>
      <w:r>
        <w:t xml:space="preserve"> inappropriate religious views. </w:t>
      </w:r>
    </w:p>
    <w:p w:rsidR="00E737E9" w:rsidRDefault="00B868FB" w:rsidP="00555DEC">
      <w:pPr>
        <w:pStyle w:val="NormalWeb"/>
        <w:spacing w:line="480" w:lineRule="auto"/>
      </w:pPr>
      <w:r>
        <w:t xml:space="preserve">Garden (Ibid:158-159) places the writing of 'The Rescuer...' in the immediate aftermath of the assassination of the vizier Fakhr al-Mulk (d1105), who was the elder son of Al-Ghazali's </w:t>
      </w:r>
      <w:r>
        <w:lastRenderedPageBreak/>
        <w:t xml:space="preserve">former patron and legendary statesman, Nizam al-Mulk (d1092), </w:t>
      </w:r>
      <w:r w:rsidR="00F31F99">
        <w:t>who</w:t>
      </w:r>
      <w:r>
        <w:t xml:space="preserve"> was also assassinated, to secure his position in front of ruler Sanjar. </w:t>
      </w:r>
      <w:r w:rsidR="007777D0">
        <w:t>Sanjar was interested in ending the conflict among his prominent subjects</w:t>
      </w:r>
      <w:r>
        <w:t xml:space="preserve"> Abu Hanifa and Al-Ghazali</w:t>
      </w:r>
      <w:r w:rsidR="007777D0">
        <w:t xml:space="preserve"> and wanted, in addition to the initial text</w:t>
      </w:r>
      <w:r w:rsidR="00E737E9">
        <w:t xml:space="preserve"> of </w:t>
      </w:r>
      <w:r w:rsidR="00E737E9" w:rsidRPr="00E737E9">
        <w:rPr>
          <w:i/>
        </w:rPr>
        <w:t>The Rescurer...</w:t>
      </w:r>
      <w:r w:rsidR="007777D0" w:rsidRPr="00E737E9">
        <w:rPr>
          <w:i/>
        </w:rPr>
        <w:t>,</w:t>
      </w:r>
      <w:r w:rsidR="007777D0">
        <w:t xml:space="preserve"> further additions, which were subsequently circulated in writing within the empire. With his interpretation, Garden (ibid) draws a line between the interpretation by Josef van Ess</w:t>
      </w:r>
      <w:r w:rsidR="00E737E9">
        <w:t>, who is</w:t>
      </w:r>
      <w:r w:rsidR="00E737E9" w:rsidRPr="00E737E9">
        <w:t xml:space="preserve"> </w:t>
      </w:r>
      <w:r w:rsidR="00E737E9">
        <w:t xml:space="preserve">also attempting to clarify contradictions and regarded </w:t>
      </w:r>
      <w:r w:rsidR="00E737E9" w:rsidRPr="00E737E9">
        <w:rPr>
          <w:i/>
        </w:rPr>
        <w:t>The Rescuer...</w:t>
      </w:r>
      <w:r w:rsidR="007777D0">
        <w:t xml:space="preserve"> as </w:t>
      </w:r>
      <w:r w:rsidR="00F31F99" w:rsidRPr="00FE4E0B">
        <w:t>"</w:t>
      </w:r>
      <w:r w:rsidR="007777D0">
        <w:t>nothing but a great apology</w:t>
      </w:r>
      <w:r w:rsidR="00F31F99" w:rsidRPr="00FE4E0B">
        <w:t>"</w:t>
      </w:r>
      <w:r w:rsidR="00F31F99">
        <w:t xml:space="preserve"> </w:t>
      </w:r>
      <w:r w:rsidR="00F31F99">
        <w:t>(ibid:158)</w:t>
      </w:r>
      <w:r w:rsidR="007777D0">
        <w:t xml:space="preserve">. </w:t>
      </w:r>
    </w:p>
    <w:p w:rsidR="00FE2F41" w:rsidRPr="00702B03" w:rsidRDefault="007777D0" w:rsidP="00555DEC">
      <w:pPr>
        <w:pStyle w:val="NormalWeb"/>
        <w:spacing w:line="480" w:lineRule="auto"/>
      </w:pPr>
      <w:r>
        <w:t>Therefore, in addition to shifting emphases, which can be exemplified by an excessively critical attitude towards philosophers, prompting Ibn Rushd (d1198) to write his famo</w:t>
      </w:r>
      <w:r w:rsidR="00E737E9">
        <w:t xml:space="preserve">us rebuttal </w:t>
      </w:r>
      <w:r w:rsidR="00E737E9" w:rsidRPr="00E737E9">
        <w:rPr>
          <w:i/>
        </w:rPr>
        <w:t>Tahafut al-Tahafut</w:t>
      </w:r>
      <w:r w:rsidR="00E737E9">
        <w:rPr>
          <w:i/>
        </w:rPr>
        <w:t xml:space="preserve"> </w:t>
      </w:r>
      <w:r w:rsidR="00E737E9" w:rsidRPr="00E737E9">
        <w:t>on Al-Ghazali</w:t>
      </w:r>
      <w:r w:rsidR="00E737E9">
        <w:t xml:space="preserve">, </w:t>
      </w:r>
      <w:r w:rsidRPr="00E737E9">
        <w:rPr>
          <w:i/>
        </w:rPr>
        <w:t>The Rescuer...</w:t>
      </w:r>
      <w:r>
        <w:t xml:space="preserve"> is the only work of Al-Ghazali's where he unequivocally associates himself with Sufism. Garden highlight</w:t>
      </w:r>
      <w:r w:rsidR="00F31F99">
        <w:t xml:space="preserve">s other elements alongside the </w:t>
      </w:r>
      <w:r w:rsidR="00F31F99" w:rsidRPr="00FE4E0B">
        <w:t>"</w:t>
      </w:r>
      <w:r>
        <w:t>misguiding</w:t>
      </w:r>
      <w:r w:rsidR="00F31F99" w:rsidRPr="00FE4E0B">
        <w:t>"</w:t>
      </w:r>
      <w:r w:rsidR="00F31F99">
        <w:t xml:space="preserve"> (ibid:170)</w:t>
      </w:r>
      <w:r>
        <w:t xml:space="preserve"> ones, which he characterizes as </w:t>
      </w:r>
      <w:r w:rsidR="00F31F99" w:rsidRPr="00FE4E0B">
        <w:t>"</w:t>
      </w:r>
      <w:r>
        <w:t>closest to outright falsehood</w:t>
      </w:r>
      <w:r w:rsidR="00F31F99" w:rsidRPr="00FE4E0B">
        <w:t>"</w:t>
      </w:r>
      <w:r>
        <w:t xml:space="preserve"> (ibid:171).</w:t>
      </w:r>
    </w:p>
    <w:p w:rsidR="007B2DE9" w:rsidRDefault="007B2DE9" w:rsidP="00555DEC">
      <w:pPr>
        <w:pStyle w:val="NormalWeb"/>
        <w:spacing w:line="480" w:lineRule="auto"/>
      </w:pPr>
      <w:r>
        <w:t xml:space="preserve">In the summary of Islamic philosophical thought by the Pakistan Philosophical Congress, while drawing parallels between the autobiographical styles used in the works of Al-Ghazali and Descartes, they also exercise caution by stating that there is a lack of evidence regarding whether </w:t>
      </w:r>
      <w:r w:rsidRPr="007B2DE9">
        <w:rPr>
          <w:i/>
        </w:rPr>
        <w:t>The Rescuer</w:t>
      </w:r>
      <w:r>
        <w:t xml:space="preserve">... had reached Latin by the time of Descartes at all (Sharif, 1963:1382). Even more, understanding their comparative treatment is not at all straightforward, because if we consider the declarative stance of </w:t>
      </w:r>
      <w:r w:rsidRPr="007B2DE9">
        <w:rPr>
          <w:i/>
        </w:rPr>
        <w:t>The Rescuer...</w:t>
      </w:r>
      <w:r>
        <w:t>, Al-Ghazali claims to be a mystic. Descartes, however, did not consider himself a mystic. Despite his close friend's interest in mysticism, Descartes rejected the popular Rosicrucians' mystic</w:t>
      </w:r>
      <w:r w:rsidR="00702B03">
        <w:t>ism of his time (Watson, 2024).</w:t>
      </w:r>
    </w:p>
    <w:p w:rsidR="00702B03" w:rsidRDefault="00702B03" w:rsidP="00555DEC">
      <w:pPr>
        <w:pStyle w:val="NormalWeb"/>
        <w:numPr>
          <w:ilvl w:val="0"/>
          <w:numId w:val="1"/>
        </w:numPr>
        <w:spacing w:line="480" w:lineRule="auto"/>
      </w:pPr>
    </w:p>
    <w:p w:rsidR="00702B03" w:rsidRDefault="00702B03" w:rsidP="00555DEC">
      <w:pPr>
        <w:pStyle w:val="NormalWeb"/>
        <w:spacing w:line="480" w:lineRule="auto"/>
      </w:pPr>
      <w:r>
        <w:lastRenderedPageBreak/>
        <w:t xml:space="preserve">For many interpreters, </w:t>
      </w:r>
      <w:r w:rsidRPr="007B2DE9">
        <w:rPr>
          <w:i/>
        </w:rPr>
        <w:t>The Rescuer...</w:t>
      </w:r>
      <w:r>
        <w:t xml:space="preserve"> has been regarded as the quintessence of Al-Ghazali's works and thought. Clearly, ignorance of the background of </w:t>
      </w:r>
      <w:r w:rsidRPr="00F31F99">
        <w:rPr>
          <w:i/>
        </w:rPr>
        <w:t>The Rescuer...</w:t>
      </w:r>
      <w:r>
        <w:t xml:space="preserve"> complicates the understanding of Al-Ghazali's integrated worldview within his intellectual legacy. Confusion regarding the background, content, intended audience, and planned function of </w:t>
      </w:r>
      <w:r w:rsidRPr="007B2DE9">
        <w:rPr>
          <w:i/>
        </w:rPr>
        <w:t>The Rescuer...</w:t>
      </w:r>
      <w:r>
        <w:t xml:space="preserve"> adds doubt to subsequent interpreters' precise understanding. Any confusion can be understood as entropy, containing an inherent tendency for inevitable growth. Uncertainty in Al-Ghazali's translations or rather interpretations may not be readily apparent but can often be detected, both in terms of used terminology and on a conceptual level.</w:t>
      </w:r>
    </w:p>
    <w:p w:rsidR="00812827" w:rsidRDefault="002D6952" w:rsidP="00555DEC">
      <w:pPr>
        <w:spacing w:after="100" w:afterAutospacing="1" w:line="480" w:lineRule="auto"/>
      </w:pPr>
      <w:r>
        <w:t xml:space="preserve">Translating and interpreting Al-Ghazali has by no means been an easy task, and </w:t>
      </w:r>
      <w:r w:rsidRPr="002D6952">
        <w:rPr>
          <w:i/>
        </w:rPr>
        <w:t>The Rescuer...</w:t>
      </w:r>
      <w:r>
        <w:t xml:space="preserve"> has provided abundant food for thought throughout history.</w:t>
      </w:r>
    </w:p>
    <w:p w:rsidR="002D6952" w:rsidRDefault="002D6952" w:rsidP="00555DEC">
      <w:pPr>
        <w:spacing w:after="100" w:afterAutospacing="1" w:line="480" w:lineRule="auto"/>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Default="002D6952" w:rsidP="002D6952">
      <w:pPr>
        <w:spacing w:after="100" w:afterAutospacing="1"/>
      </w:pPr>
    </w:p>
    <w:p w:rsidR="002D6952" w:rsidRPr="0013625A" w:rsidRDefault="00A75686" w:rsidP="002D6952">
      <w:pPr>
        <w:spacing w:before="100" w:beforeAutospacing="1" w:after="100" w:afterAutospacing="1"/>
        <w:rPr>
          <w:b/>
          <w:sz w:val="28"/>
          <w:szCs w:val="28"/>
        </w:rPr>
      </w:pPr>
      <w:r>
        <w:rPr>
          <w:b/>
          <w:sz w:val="28"/>
          <w:szCs w:val="28"/>
        </w:rPr>
        <w:t>References</w:t>
      </w:r>
      <w:r w:rsidR="002D6952" w:rsidRPr="0013625A">
        <w:rPr>
          <w:b/>
          <w:sz w:val="28"/>
          <w:szCs w:val="28"/>
        </w:rPr>
        <w:t>:</w:t>
      </w:r>
    </w:p>
    <w:p w:rsidR="002D6952" w:rsidRPr="0013625A" w:rsidRDefault="002D6952" w:rsidP="002D6952">
      <w:pPr>
        <w:autoSpaceDE w:val="0"/>
        <w:autoSpaceDN w:val="0"/>
        <w:adjustRightInd w:val="0"/>
      </w:pPr>
      <w:r w:rsidRPr="0013625A">
        <w:t xml:space="preserve">Alexander, M.S. </w:t>
      </w:r>
      <w:r w:rsidRPr="00FE4E0B">
        <w:t>"</w:t>
      </w:r>
      <w:r w:rsidRPr="0013625A">
        <w:t>Abu Hamid Al- Ghazali. The Greatest Midlife Crisis in the History of Islam</w:t>
      </w:r>
      <w:r w:rsidRPr="00FE4E0B">
        <w:t>"</w:t>
      </w:r>
      <w:r w:rsidRPr="0013625A">
        <w:t xml:space="preserve"> from </w:t>
      </w:r>
      <w:r w:rsidRPr="0013625A">
        <w:rPr>
          <w:i/>
        </w:rPr>
        <w:t xml:space="preserve">Making Peace with the Universe. Personal Crisis and Spiritual Healing, </w:t>
      </w:r>
      <w:r w:rsidRPr="0013625A">
        <w:t>Columbia University Press, NY, 2020. ISBN 9780231552707</w:t>
      </w:r>
    </w:p>
    <w:p w:rsidR="002D6952" w:rsidRDefault="002D6952" w:rsidP="002D6952">
      <w:pPr>
        <w:spacing w:before="100" w:beforeAutospacing="1"/>
        <w:rPr>
          <w:rFonts w:eastAsiaTheme="minorHAnsi" w:cstheme="minorBidi"/>
        </w:rPr>
      </w:pPr>
      <w:r w:rsidRPr="0013625A">
        <w:rPr>
          <w:rFonts w:eastAsiaTheme="minorHAnsi" w:cstheme="minorBidi"/>
        </w:rPr>
        <w:t>Bacik, G. "Contemporary Rationalist Islam in Turkey. The Religious Opposition to Sunni Revival" 2021, I.B. TAURIS - Bloomsbury Publishing Plc ISBN-13: 978-0-7556-3676-1</w:t>
      </w:r>
    </w:p>
    <w:p w:rsidR="002D6952" w:rsidRDefault="002D6952" w:rsidP="002D6952">
      <w:pPr>
        <w:autoSpaceDE w:val="0"/>
        <w:autoSpaceDN w:val="0"/>
        <w:adjustRightInd w:val="0"/>
      </w:pPr>
    </w:p>
    <w:p w:rsidR="002D6952" w:rsidRDefault="002D6952" w:rsidP="002D6952">
      <w:pPr>
        <w:autoSpaceDE w:val="0"/>
        <w:autoSpaceDN w:val="0"/>
        <w:adjustRightInd w:val="0"/>
      </w:pPr>
      <w:r w:rsidRPr="0036519F">
        <w:t xml:space="preserve">Garden, K. </w:t>
      </w:r>
      <w:r w:rsidRPr="00FE4E0B">
        <w:t>"</w:t>
      </w:r>
      <w:r w:rsidRPr="0036519F">
        <w:t>The first Islamic reviver : Abu Hamid al-Ghazali and his Revival of the religious sciences</w:t>
      </w:r>
      <w:r w:rsidRPr="00FE4E0B">
        <w:t>"</w:t>
      </w:r>
      <w:r w:rsidRPr="0036519F">
        <w:t>, Oxford University Press, USA 2014, ISBN 978–0–19–998962–1</w:t>
      </w:r>
    </w:p>
    <w:p w:rsidR="002D6952" w:rsidRPr="0013625A" w:rsidRDefault="002D6952" w:rsidP="002D6952">
      <w:pPr>
        <w:spacing w:before="100" w:beforeAutospacing="1"/>
        <w:rPr>
          <w:rFonts w:eastAsiaTheme="minorHAnsi"/>
        </w:rPr>
      </w:pPr>
      <w:r w:rsidRPr="0013625A">
        <w:rPr>
          <w:rFonts w:eastAsiaTheme="minorHAnsi"/>
        </w:rPr>
        <w:t xml:space="preserve">Khalidi, M. A., ed. Al-Ghazali, </w:t>
      </w:r>
      <w:r w:rsidRPr="00FE4E0B">
        <w:t>"</w:t>
      </w:r>
      <w:r w:rsidRPr="0013625A">
        <w:rPr>
          <w:rFonts w:eastAsiaTheme="minorHAnsi"/>
        </w:rPr>
        <w:t>The Rescuer from Error</w:t>
      </w:r>
      <w:r w:rsidRPr="00FE4E0B">
        <w:t>"</w:t>
      </w:r>
      <w:r>
        <w:rPr>
          <w:rFonts w:asciiTheme="minorHAnsi" w:eastAsiaTheme="minorHAnsi" w:hAnsiTheme="minorHAnsi" w:cstheme="minorBidi"/>
          <w:sz w:val="22"/>
          <w:szCs w:val="22"/>
        </w:rPr>
        <w:t xml:space="preserve"> from </w:t>
      </w:r>
      <w:r w:rsidRPr="0013625A">
        <w:rPr>
          <w:rFonts w:eastAsiaTheme="minorHAnsi"/>
          <w:i/>
        </w:rPr>
        <w:t>Medieval Islamic</w:t>
      </w:r>
      <w:r w:rsidRPr="0013625A">
        <w:rPr>
          <w:rFonts w:asciiTheme="minorHAnsi" w:eastAsiaTheme="minorHAnsi" w:hAnsiTheme="minorHAnsi" w:cstheme="minorBidi"/>
          <w:i/>
          <w:sz w:val="22"/>
          <w:szCs w:val="22"/>
        </w:rPr>
        <w:t xml:space="preserve"> </w:t>
      </w:r>
      <w:r w:rsidRPr="0013625A">
        <w:rPr>
          <w:rFonts w:eastAsiaTheme="minorHAnsi"/>
          <w:i/>
        </w:rPr>
        <w:t>Philosophical</w:t>
      </w:r>
      <w:r w:rsidRPr="0013625A">
        <w:rPr>
          <w:rFonts w:asciiTheme="minorHAnsi" w:eastAsiaTheme="minorHAnsi" w:hAnsiTheme="minorHAnsi" w:cstheme="minorBidi"/>
          <w:i/>
          <w:sz w:val="22"/>
          <w:szCs w:val="22"/>
        </w:rPr>
        <w:t xml:space="preserve"> </w:t>
      </w:r>
      <w:r w:rsidRPr="0013625A">
        <w:rPr>
          <w:rFonts w:eastAsiaTheme="minorHAnsi"/>
          <w:i/>
        </w:rPr>
        <w:t>Writings</w:t>
      </w:r>
      <w:r>
        <w:rPr>
          <w:rFonts w:eastAsiaTheme="minorHAnsi"/>
        </w:rPr>
        <w:t>,</w:t>
      </w:r>
      <w:r w:rsidRPr="0013625A">
        <w:rPr>
          <w:rFonts w:eastAsiaTheme="minorHAnsi"/>
        </w:rPr>
        <w:t xml:space="preserve"> Cambridge University Press, UK, 2005. https://doi.org/10.1017/CBO9780511811050</w:t>
      </w:r>
    </w:p>
    <w:p w:rsidR="002D6952" w:rsidRDefault="002D6952" w:rsidP="002D6952">
      <w:pPr>
        <w:autoSpaceDE w:val="0"/>
        <w:autoSpaceDN w:val="0"/>
        <w:adjustRightInd w:val="0"/>
        <w:rPr>
          <w:color w:val="0000FF"/>
        </w:rPr>
      </w:pPr>
    </w:p>
    <w:p w:rsidR="002D6952" w:rsidRPr="002D6952" w:rsidRDefault="002D6952" w:rsidP="002D6952">
      <w:pPr>
        <w:autoSpaceDE w:val="0"/>
        <w:autoSpaceDN w:val="0"/>
        <w:adjustRightInd w:val="0"/>
      </w:pPr>
      <w:r w:rsidRPr="00702B03">
        <w:rPr>
          <w:rStyle w:val="Emphasis"/>
          <w:i w:val="0"/>
        </w:rPr>
        <w:t>Seale</w:t>
      </w:r>
      <w:r w:rsidRPr="00702B03">
        <w:rPr>
          <w:i/>
        </w:rPr>
        <w:t xml:space="preserve">, </w:t>
      </w:r>
      <w:r w:rsidRPr="00702B03">
        <w:rPr>
          <w:rStyle w:val="Emphasis"/>
          <w:i w:val="0"/>
        </w:rPr>
        <w:t>M.S</w:t>
      </w:r>
      <w:r w:rsidRPr="00702B03">
        <w:rPr>
          <w:i/>
        </w:rPr>
        <w:t>. “</w:t>
      </w:r>
      <w:r>
        <w:t xml:space="preserve">The </w:t>
      </w:r>
      <w:r w:rsidRPr="002D6952">
        <w:rPr>
          <w:rStyle w:val="Emphasis"/>
          <w:i w:val="0"/>
        </w:rPr>
        <w:t>Ethics</w:t>
      </w:r>
      <w:r w:rsidRPr="002D6952">
        <w:rPr>
          <w:i/>
        </w:rPr>
        <w:t xml:space="preserve"> </w:t>
      </w:r>
      <w:r w:rsidRPr="002D6952">
        <w:t xml:space="preserve">of Malamatiya </w:t>
      </w:r>
      <w:r w:rsidRPr="002D6952">
        <w:rPr>
          <w:rStyle w:val="Emphasis"/>
          <w:i w:val="0"/>
        </w:rPr>
        <w:t>Sufism</w:t>
      </w:r>
      <w:r w:rsidRPr="002D6952">
        <w:rPr>
          <w:i/>
        </w:rPr>
        <w:t xml:space="preserve"> </w:t>
      </w:r>
      <w:r w:rsidRPr="002D6952">
        <w:t>and the</w:t>
      </w:r>
      <w:r w:rsidRPr="002D6952">
        <w:rPr>
          <w:i/>
        </w:rPr>
        <w:t xml:space="preserve"> </w:t>
      </w:r>
      <w:r w:rsidRPr="002D6952">
        <w:rPr>
          <w:rStyle w:val="Emphasis"/>
          <w:i w:val="0"/>
        </w:rPr>
        <w:t>Sermon</w:t>
      </w:r>
      <w:r w:rsidRPr="002D6952">
        <w:rPr>
          <w:i/>
        </w:rPr>
        <w:t xml:space="preserve"> </w:t>
      </w:r>
      <w:r w:rsidRPr="002D6952">
        <w:t xml:space="preserve">of the </w:t>
      </w:r>
      <w:r w:rsidRPr="002D6952">
        <w:rPr>
          <w:rStyle w:val="Emphasis"/>
          <w:i w:val="0"/>
        </w:rPr>
        <w:t>Mount</w:t>
      </w:r>
      <w:r w:rsidRPr="002D6952">
        <w:rPr>
          <w:i/>
        </w:rPr>
        <w:t>.” Moslem</w:t>
      </w:r>
      <w:r>
        <w:t xml:space="preserve"> </w:t>
      </w:r>
      <w:r>
        <w:rPr>
          <w:rStyle w:val="Emphasis"/>
        </w:rPr>
        <w:t>World</w:t>
      </w:r>
      <w:r>
        <w:t xml:space="preserve"> 58: 12-23. Hartford International, 1968</w:t>
      </w:r>
    </w:p>
    <w:p w:rsidR="002D6952" w:rsidRDefault="002D6952" w:rsidP="002D6952">
      <w:pPr>
        <w:rPr>
          <w:rFonts w:ascii="ScalaPro-Regular" w:eastAsiaTheme="minorHAnsi" w:hAnsi="ScalaPro-Regular" w:cs="ScalaPro-Regular"/>
          <w:sz w:val="16"/>
          <w:szCs w:val="16"/>
        </w:rPr>
      </w:pPr>
    </w:p>
    <w:p w:rsidR="002D6952" w:rsidRDefault="002D6952" w:rsidP="002D6952">
      <w:pPr>
        <w:autoSpaceDE w:val="0"/>
        <w:autoSpaceDN w:val="0"/>
        <w:adjustRightInd w:val="0"/>
        <w:rPr>
          <w:rFonts w:ascii="CenturySchoolbook-Bold" w:eastAsiaTheme="minorHAnsi" w:hAnsi="CenturySchoolbook-Bold" w:cs="CenturySchoolbook-Bold"/>
          <w:b/>
          <w:bCs/>
          <w:sz w:val="33"/>
          <w:szCs w:val="33"/>
        </w:rPr>
      </w:pPr>
      <w:r w:rsidRPr="0036519F">
        <w:t>Sharif, M.M. ed</w:t>
      </w:r>
      <w:r>
        <w:t xml:space="preserve"> </w:t>
      </w:r>
      <w:r w:rsidRPr="00FE4E0B">
        <w:t>"</w:t>
      </w:r>
      <w:r w:rsidRPr="0036519F">
        <w:t>A History of Muslim Philosophy with Short Accounts of Other Disciplines and the Modern Renaissance in Muslim Lands</w:t>
      </w:r>
      <w:r w:rsidRPr="00FE4E0B">
        <w:t>"</w:t>
      </w:r>
      <w:r w:rsidRPr="0036519F">
        <w:t>, 1966, Otto Harrassowitz-Wiesbaden</w:t>
      </w:r>
    </w:p>
    <w:p w:rsidR="002D6952" w:rsidRDefault="002D6952" w:rsidP="002D6952">
      <w:pPr>
        <w:autoSpaceDE w:val="0"/>
        <w:autoSpaceDN w:val="0"/>
        <w:adjustRightInd w:val="0"/>
        <w:rPr>
          <w:rFonts w:ascii="CenturySchoolbook-Bold" w:eastAsiaTheme="minorHAnsi" w:hAnsi="CenturySchoolbook-Bold" w:cs="CenturySchoolbook-Bold"/>
          <w:b/>
          <w:bCs/>
          <w:sz w:val="33"/>
          <w:szCs w:val="33"/>
        </w:rPr>
      </w:pPr>
    </w:p>
    <w:p w:rsidR="002D6952" w:rsidRPr="009F371D" w:rsidRDefault="002D6952" w:rsidP="002D6952">
      <w:pPr>
        <w:autoSpaceDE w:val="0"/>
        <w:autoSpaceDN w:val="0"/>
        <w:adjustRightInd w:val="0"/>
      </w:pPr>
      <w:r w:rsidRPr="009F371D">
        <w:t>Watson, R.A. 2024</w:t>
      </w:r>
      <w:r>
        <w:t xml:space="preserve">, </w:t>
      </w:r>
      <w:r w:rsidRPr="00FE4E0B">
        <w:t>"</w:t>
      </w:r>
      <w:r w:rsidRPr="005B2C08">
        <w:t>Rene Descartes</w:t>
      </w:r>
      <w:r w:rsidRPr="00FE4E0B">
        <w:t>"</w:t>
      </w:r>
      <w:r>
        <w:t xml:space="preserve">, </w:t>
      </w:r>
      <w:hyperlink r:id="rId7" w:history="1">
        <w:r w:rsidRPr="00A65AFA">
          <w:rPr>
            <w:rStyle w:val="Hyperlink"/>
            <w:i/>
          </w:rPr>
          <w:t>https://www.britannica.com/biography/Rene-Descartes</w:t>
        </w:r>
      </w:hyperlink>
      <w:r>
        <w:t xml:space="preserve"> Accessed 07.05.</w:t>
      </w:r>
      <w:r w:rsidRPr="009F371D">
        <w:t>2024</w:t>
      </w:r>
    </w:p>
    <w:p w:rsidR="00F31F99" w:rsidRPr="009F371D" w:rsidRDefault="00F31F99">
      <w:pPr>
        <w:autoSpaceDE w:val="0"/>
        <w:autoSpaceDN w:val="0"/>
        <w:adjustRightInd w:val="0"/>
      </w:pPr>
    </w:p>
    <w:sectPr w:rsidR="00F31F99" w:rsidRPr="009F37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BA"/>
    <w:family w:val="modern"/>
    <w:pitch w:val="fixed"/>
    <w:sig w:usb0="E0002AFF" w:usb1="C0007843" w:usb2="00000009" w:usb3="00000000" w:csb0="000001FF" w:csb1="00000000"/>
  </w:font>
  <w:font w:name="Times New Roman">
    <w:altName w:val="Times New Roman PSMT"/>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Liberation Serif">
    <w:altName w:val="Times New Roman"/>
    <w:charset w:val="00"/>
    <w:family w:val="roman"/>
    <w:pitch w:val="variable"/>
  </w:font>
  <w:font w:name="Songti SC">
    <w:altName w:val="Arial Unicode MS"/>
    <w:charset w:val="86"/>
    <w:family w:val="auto"/>
    <w:pitch w:val="variable"/>
    <w:sig w:usb0="00000000"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ScalaPro-Regular">
    <w:panose1 w:val="00000000000000000000"/>
    <w:charset w:val="BA"/>
    <w:family w:val="auto"/>
    <w:notTrueType/>
    <w:pitch w:val="default"/>
    <w:sig w:usb0="00000005" w:usb1="00000000" w:usb2="00000000" w:usb3="00000000" w:csb0="00000080" w:csb1="00000000"/>
  </w:font>
  <w:font w:name="CenturySchoolbook-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FAC"/>
    <w:multiLevelType w:val="hybridMultilevel"/>
    <w:tmpl w:val="4BD0BCAC"/>
    <w:lvl w:ilvl="0" w:tplc="79623F46">
      <w:start w:val="1"/>
      <w:numFmt w:val="bullet"/>
      <w:lvlText w:val="▫"/>
      <w:lvlJc w:val="left"/>
      <w:pPr>
        <w:ind w:left="720" w:hanging="360"/>
      </w:pPr>
      <w:rPr>
        <w:rFonts w:ascii="Courier New" w:hAnsi="Courier New"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nsid w:val="47BB1EA3"/>
    <w:multiLevelType w:val="hybridMultilevel"/>
    <w:tmpl w:val="3198EE38"/>
    <w:lvl w:ilvl="0" w:tplc="79623F46">
      <w:start w:val="1"/>
      <w:numFmt w:val="bullet"/>
      <w:lvlText w:val="▫"/>
      <w:lvlJc w:val="left"/>
      <w:pPr>
        <w:ind w:left="720" w:hanging="360"/>
      </w:pPr>
      <w:rPr>
        <w:rFonts w:ascii="Courier New" w:hAnsi="Courier New"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6DE"/>
    <w:rsid w:val="00034EB8"/>
    <w:rsid w:val="000A1311"/>
    <w:rsid w:val="000A2D6A"/>
    <w:rsid w:val="000A5B47"/>
    <w:rsid w:val="000B37CB"/>
    <w:rsid w:val="000D4EEA"/>
    <w:rsid w:val="000D5B2D"/>
    <w:rsid w:val="00112375"/>
    <w:rsid w:val="00112BDA"/>
    <w:rsid w:val="00123185"/>
    <w:rsid w:val="00124A18"/>
    <w:rsid w:val="00134427"/>
    <w:rsid w:val="0013625A"/>
    <w:rsid w:val="0015552D"/>
    <w:rsid w:val="00161345"/>
    <w:rsid w:val="001675CD"/>
    <w:rsid w:val="00185FF5"/>
    <w:rsid w:val="001B2A58"/>
    <w:rsid w:val="001F3CA4"/>
    <w:rsid w:val="0020453F"/>
    <w:rsid w:val="0020561D"/>
    <w:rsid w:val="00210024"/>
    <w:rsid w:val="002147CB"/>
    <w:rsid w:val="0024718D"/>
    <w:rsid w:val="00247CD1"/>
    <w:rsid w:val="002C0DAB"/>
    <w:rsid w:val="002C3BB3"/>
    <w:rsid w:val="002D6952"/>
    <w:rsid w:val="002F169A"/>
    <w:rsid w:val="003159B2"/>
    <w:rsid w:val="0033705B"/>
    <w:rsid w:val="00353E26"/>
    <w:rsid w:val="0036519F"/>
    <w:rsid w:val="00387E25"/>
    <w:rsid w:val="003C2FCD"/>
    <w:rsid w:val="003F33CC"/>
    <w:rsid w:val="003F3890"/>
    <w:rsid w:val="00401223"/>
    <w:rsid w:val="00416616"/>
    <w:rsid w:val="0046095A"/>
    <w:rsid w:val="004661A3"/>
    <w:rsid w:val="00467C0A"/>
    <w:rsid w:val="00473242"/>
    <w:rsid w:val="00480D62"/>
    <w:rsid w:val="00481878"/>
    <w:rsid w:val="004B3225"/>
    <w:rsid w:val="004C7D27"/>
    <w:rsid w:val="004F055B"/>
    <w:rsid w:val="00500F00"/>
    <w:rsid w:val="005047F3"/>
    <w:rsid w:val="00534DC6"/>
    <w:rsid w:val="00540A2B"/>
    <w:rsid w:val="00544463"/>
    <w:rsid w:val="005474A4"/>
    <w:rsid w:val="00555DEC"/>
    <w:rsid w:val="0056441E"/>
    <w:rsid w:val="00571686"/>
    <w:rsid w:val="00582715"/>
    <w:rsid w:val="00582D3E"/>
    <w:rsid w:val="00590AB9"/>
    <w:rsid w:val="00591F5D"/>
    <w:rsid w:val="005A0760"/>
    <w:rsid w:val="005B2C08"/>
    <w:rsid w:val="005C3053"/>
    <w:rsid w:val="005C41A7"/>
    <w:rsid w:val="005D46EE"/>
    <w:rsid w:val="005F1190"/>
    <w:rsid w:val="00602DC8"/>
    <w:rsid w:val="00657939"/>
    <w:rsid w:val="00672943"/>
    <w:rsid w:val="00676BD9"/>
    <w:rsid w:val="0068095C"/>
    <w:rsid w:val="006D54E7"/>
    <w:rsid w:val="00702B03"/>
    <w:rsid w:val="00710011"/>
    <w:rsid w:val="00715CAC"/>
    <w:rsid w:val="00723FFA"/>
    <w:rsid w:val="007777D0"/>
    <w:rsid w:val="007A1460"/>
    <w:rsid w:val="007B2DE9"/>
    <w:rsid w:val="007E5666"/>
    <w:rsid w:val="007F65FE"/>
    <w:rsid w:val="007F7C03"/>
    <w:rsid w:val="00807623"/>
    <w:rsid w:val="00812827"/>
    <w:rsid w:val="00871166"/>
    <w:rsid w:val="008857B0"/>
    <w:rsid w:val="00893F5E"/>
    <w:rsid w:val="008B459E"/>
    <w:rsid w:val="008C43C9"/>
    <w:rsid w:val="008C4D4A"/>
    <w:rsid w:val="008D7A2F"/>
    <w:rsid w:val="00933C24"/>
    <w:rsid w:val="009455DB"/>
    <w:rsid w:val="00975E4A"/>
    <w:rsid w:val="009846DE"/>
    <w:rsid w:val="0098647A"/>
    <w:rsid w:val="009B170D"/>
    <w:rsid w:val="009E40BE"/>
    <w:rsid w:val="009F371D"/>
    <w:rsid w:val="00A04216"/>
    <w:rsid w:val="00A111DC"/>
    <w:rsid w:val="00A14420"/>
    <w:rsid w:val="00A15EBE"/>
    <w:rsid w:val="00A369FB"/>
    <w:rsid w:val="00A41120"/>
    <w:rsid w:val="00A55E32"/>
    <w:rsid w:val="00A75686"/>
    <w:rsid w:val="00AA0A84"/>
    <w:rsid w:val="00AE585A"/>
    <w:rsid w:val="00AF0058"/>
    <w:rsid w:val="00AF3CBE"/>
    <w:rsid w:val="00B0711B"/>
    <w:rsid w:val="00B61AAA"/>
    <w:rsid w:val="00B66245"/>
    <w:rsid w:val="00B66C33"/>
    <w:rsid w:val="00B817A5"/>
    <w:rsid w:val="00B868FB"/>
    <w:rsid w:val="00BB4ED0"/>
    <w:rsid w:val="00BD6CF7"/>
    <w:rsid w:val="00BD77C0"/>
    <w:rsid w:val="00BE2364"/>
    <w:rsid w:val="00C06231"/>
    <w:rsid w:val="00C462DA"/>
    <w:rsid w:val="00C7491E"/>
    <w:rsid w:val="00C82454"/>
    <w:rsid w:val="00CA2ADE"/>
    <w:rsid w:val="00CB4BE1"/>
    <w:rsid w:val="00CC2393"/>
    <w:rsid w:val="00CD0C59"/>
    <w:rsid w:val="00CE1130"/>
    <w:rsid w:val="00CF4FFA"/>
    <w:rsid w:val="00D4623C"/>
    <w:rsid w:val="00D51735"/>
    <w:rsid w:val="00DA2369"/>
    <w:rsid w:val="00DA50FD"/>
    <w:rsid w:val="00E053FD"/>
    <w:rsid w:val="00E272B5"/>
    <w:rsid w:val="00E4317F"/>
    <w:rsid w:val="00E737E9"/>
    <w:rsid w:val="00EB11A0"/>
    <w:rsid w:val="00ED469B"/>
    <w:rsid w:val="00F25B2D"/>
    <w:rsid w:val="00F31F99"/>
    <w:rsid w:val="00F35BE6"/>
    <w:rsid w:val="00F478FF"/>
    <w:rsid w:val="00F73842"/>
    <w:rsid w:val="00F83960"/>
    <w:rsid w:val="00FA1B01"/>
    <w:rsid w:val="00FC530A"/>
    <w:rsid w:val="00FE2F41"/>
    <w:rsid w:val="00FE3C53"/>
    <w:rsid w:val="00FE409E"/>
    <w:rsid w:val="00FE4E0B"/>
    <w:rsid w:val="00FE71E4"/>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t-EE" w:bidi="ar-SA"/>
      </w:rPr>
    </w:rPrDefault>
    <w:pPrDefault>
      <w:pPr>
        <w:spacing w:before="100" w:before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95C"/>
    <w:pPr>
      <w:spacing w:before="0" w:beforeAutospacing="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9846DE"/>
    <w:pPr>
      <w:suppressAutoHyphens/>
      <w:autoSpaceDN w:val="0"/>
      <w:spacing w:before="0" w:beforeAutospacing="0"/>
      <w:textAlignment w:val="baseline"/>
    </w:pPr>
    <w:rPr>
      <w:rFonts w:ascii="Liberation Serif" w:eastAsia="Songti SC" w:hAnsi="Liberation Serif" w:cs="Arial Unicode MS"/>
      <w:kern w:val="3"/>
      <w:sz w:val="24"/>
      <w:szCs w:val="24"/>
      <w:lang w:val="en-GB" w:eastAsia="zh-CN" w:bidi="hi-IN"/>
    </w:rPr>
  </w:style>
  <w:style w:type="character" w:styleId="Hyperlink">
    <w:name w:val="Hyperlink"/>
    <w:basedOn w:val="DefaultParagraphFont"/>
    <w:uiPriority w:val="99"/>
    <w:unhideWhenUsed/>
    <w:rsid w:val="00500F00"/>
    <w:rPr>
      <w:color w:val="0000FF"/>
      <w:u w:val="single"/>
    </w:rPr>
  </w:style>
  <w:style w:type="paragraph" w:styleId="NormalWeb">
    <w:name w:val="Normal (Web)"/>
    <w:basedOn w:val="Normal"/>
    <w:uiPriority w:val="99"/>
    <w:unhideWhenUsed/>
    <w:rsid w:val="00B66245"/>
    <w:pPr>
      <w:spacing w:before="100" w:beforeAutospacing="1" w:after="100" w:afterAutospacing="1"/>
    </w:pPr>
  </w:style>
  <w:style w:type="character" w:customStyle="1" w:styleId="rynqvb">
    <w:name w:val="rynqvb"/>
    <w:basedOn w:val="DefaultParagraphFont"/>
    <w:rsid w:val="003F3890"/>
  </w:style>
  <w:style w:type="character" w:styleId="Emphasis">
    <w:name w:val="Emphasis"/>
    <w:basedOn w:val="DefaultParagraphFont"/>
    <w:uiPriority w:val="20"/>
    <w:qFormat/>
    <w:rsid w:val="00BD6CF7"/>
    <w:rPr>
      <w:i/>
      <w:iCs/>
    </w:rPr>
  </w:style>
  <w:style w:type="paragraph" w:styleId="ListParagraph">
    <w:name w:val="List Paragraph"/>
    <w:basedOn w:val="Normal"/>
    <w:uiPriority w:val="34"/>
    <w:qFormat/>
    <w:rsid w:val="00534D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t-EE" w:bidi="ar-SA"/>
      </w:rPr>
    </w:rPrDefault>
    <w:pPrDefault>
      <w:pPr>
        <w:spacing w:before="100" w:before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95C"/>
    <w:pPr>
      <w:spacing w:before="0" w:beforeAutospacing="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9846DE"/>
    <w:pPr>
      <w:suppressAutoHyphens/>
      <w:autoSpaceDN w:val="0"/>
      <w:spacing w:before="0" w:beforeAutospacing="0"/>
      <w:textAlignment w:val="baseline"/>
    </w:pPr>
    <w:rPr>
      <w:rFonts w:ascii="Liberation Serif" w:eastAsia="Songti SC" w:hAnsi="Liberation Serif" w:cs="Arial Unicode MS"/>
      <w:kern w:val="3"/>
      <w:sz w:val="24"/>
      <w:szCs w:val="24"/>
      <w:lang w:val="en-GB" w:eastAsia="zh-CN" w:bidi="hi-IN"/>
    </w:rPr>
  </w:style>
  <w:style w:type="character" w:styleId="Hyperlink">
    <w:name w:val="Hyperlink"/>
    <w:basedOn w:val="DefaultParagraphFont"/>
    <w:uiPriority w:val="99"/>
    <w:unhideWhenUsed/>
    <w:rsid w:val="00500F00"/>
    <w:rPr>
      <w:color w:val="0000FF"/>
      <w:u w:val="single"/>
    </w:rPr>
  </w:style>
  <w:style w:type="paragraph" w:styleId="NormalWeb">
    <w:name w:val="Normal (Web)"/>
    <w:basedOn w:val="Normal"/>
    <w:uiPriority w:val="99"/>
    <w:unhideWhenUsed/>
    <w:rsid w:val="00B66245"/>
    <w:pPr>
      <w:spacing w:before="100" w:beforeAutospacing="1" w:after="100" w:afterAutospacing="1"/>
    </w:pPr>
  </w:style>
  <w:style w:type="character" w:customStyle="1" w:styleId="rynqvb">
    <w:name w:val="rynqvb"/>
    <w:basedOn w:val="DefaultParagraphFont"/>
    <w:rsid w:val="003F3890"/>
  </w:style>
  <w:style w:type="character" w:styleId="Emphasis">
    <w:name w:val="Emphasis"/>
    <w:basedOn w:val="DefaultParagraphFont"/>
    <w:uiPriority w:val="20"/>
    <w:qFormat/>
    <w:rsid w:val="00BD6CF7"/>
    <w:rPr>
      <w:i/>
      <w:iCs/>
    </w:rPr>
  </w:style>
  <w:style w:type="paragraph" w:styleId="ListParagraph">
    <w:name w:val="List Paragraph"/>
    <w:basedOn w:val="Normal"/>
    <w:uiPriority w:val="34"/>
    <w:qFormat/>
    <w:rsid w:val="00534D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516347">
      <w:bodyDiv w:val="1"/>
      <w:marLeft w:val="0"/>
      <w:marRight w:val="0"/>
      <w:marTop w:val="0"/>
      <w:marBottom w:val="0"/>
      <w:divBdr>
        <w:top w:val="none" w:sz="0" w:space="0" w:color="auto"/>
        <w:left w:val="none" w:sz="0" w:space="0" w:color="auto"/>
        <w:bottom w:val="none" w:sz="0" w:space="0" w:color="auto"/>
        <w:right w:val="none" w:sz="0" w:space="0" w:color="auto"/>
      </w:divBdr>
      <w:divsChild>
        <w:div w:id="139006907">
          <w:marLeft w:val="0"/>
          <w:marRight w:val="0"/>
          <w:marTop w:val="0"/>
          <w:marBottom w:val="0"/>
          <w:divBdr>
            <w:top w:val="none" w:sz="0" w:space="0" w:color="auto"/>
            <w:left w:val="none" w:sz="0" w:space="0" w:color="auto"/>
            <w:bottom w:val="none" w:sz="0" w:space="0" w:color="auto"/>
            <w:right w:val="none" w:sz="0" w:space="0" w:color="auto"/>
          </w:divBdr>
        </w:div>
        <w:div w:id="1885209833">
          <w:marLeft w:val="0"/>
          <w:marRight w:val="0"/>
          <w:marTop w:val="0"/>
          <w:marBottom w:val="0"/>
          <w:divBdr>
            <w:top w:val="none" w:sz="0" w:space="0" w:color="auto"/>
            <w:left w:val="none" w:sz="0" w:space="0" w:color="auto"/>
            <w:bottom w:val="none" w:sz="0" w:space="0" w:color="auto"/>
            <w:right w:val="none" w:sz="0" w:space="0" w:color="auto"/>
          </w:divBdr>
        </w:div>
        <w:div w:id="1960457063">
          <w:marLeft w:val="0"/>
          <w:marRight w:val="0"/>
          <w:marTop w:val="0"/>
          <w:marBottom w:val="0"/>
          <w:divBdr>
            <w:top w:val="none" w:sz="0" w:space="0" w:color="auto"/>
            <w:left w:val="none" w:sz="0" w:space="0" w:color="auto"/>
            <w:bottom w:val="none" w:sz="0" w:space="0" w:color="auto"/>
            <w:right w:val="none" w:sz="0" w:space="0" w:color="auto"/>
          </w:divBdr>
        </w:div>
        <w:div w:id="7145042">
          <w:marLeft w:val="0"/>
          <w:marRight w:val="0"/>
          <w:marTop w:val="0"/>
          <w:marBottom w:val="0"/>
          <w:divBdr>
            <w:top w:val="none" w:sz="0" w:space="0" w:color="auto"/>
            <w:left w:val="none" w:sz="0" w:space="0" w:color="auto"/>
            <w:bottom w:val="none" w:sz="0" w:space="0" w:color="auto"/>
            <w:right w:val="none" w:sz="0" w:space="0" w:color="auto"/>
          </w:divBdr>
        </w:div>
        <w:div w:id="94327654">
          <w:marLeft w:val="0"/>
          <w:marRight w:val="0"/>
          <w:marTop w:val="0"/>
          <w:marBottom w:val="0"/>
          <w:divBdr>
            <w:top w:val="none" w:sz="0" w:space="0" w:color="auto"/>
            <w:left w:val="none" w:sz="0" w:space="0" w:color="auto"/>
            <w:bottom w:val="none" w:sz="0" w:space="0" w:color="auto"/>
            <w:right w:val="none" w:sz="0" w:space="0" w:color="auto"/>
          </w:divBdr>
        </w:div>
        <w:div w:id="54208894">
          <w:marLeft w:val="0"/>
          <w:marRight w:val="0"/>
          <w:marTop w:val="0"/>
          <w:marBottom w:val="0"/>
          <w:divBdr>
            <w:top w:val="none" w:sz="0" w:space="0" w:color="auto"/>
            <w:left w:val="none" w:sz="0" w:space="0" w:color="auto"/>
            <w:bottom w:val="none" w:sz="0" w:space="0" w:color="auto"/>
            <w:right w:val="none" w:sz="0" w:space="0" w:color="auto"/>
          </w:divBdr>
        </w:div>
        <w:div w:id="1725444352">
          <w:marLeft w:val="0"/>
          <w:marRight w:val="0"/>
          <w:marTop w:val="0"/>
          <w:marBottom w:val="0"/>
          <w:divBdr>
            <w:top w:val="none" w:sz="0" w:space="0" w:color="auto"/>
            <w:left w:val="none" w:sz="0" w:space="0" w:color="auto"/>
            <w:bottom w:val="none" w:sz="0" w:space="0" w:color="auto"/>
            <w:right w:val="none" w:sz="0" w:space="0" w:color="auto"/>
          </w:divBdr>
        </w:div>
        <w:div w:id="1782645435">
          <w:marLeft w:val="0"/>
          <w:marRight w:val="0"/>
          <w:marTop w:val="0"/>
          <w:marBottom w:val="0"/>
          <w:divBdr>
            <w:top w:val="none" w:sz="0" w:space="0" w:color="auto"/>
            <w:left w:val="none" w:sz="0" w:space="0" w:color="auto"/>
            <w:bottom w:val="none" w:sz="0" w:space="0" w:color="auto"/>
            <w:right w:val="none" w:sz="0" w:space="0" w:color="auto"/>
          </w:divBdr>
        </w:div>
        <w:div w:id="1107427718">
          <w:marLeft w:val="0"/>
          <w:marRight w:val="0"/>
          <w:marTop w:val="0"/>
          <w:marBottom w:val="0"/>
          <w:divBdr>
            <w:top w:val="none" w:sz="0" w:space="0" w:color="auto"/>
            <w:left w:val="none" w:sz="0" w:space="0" w:color="auto"/>
            <w:bottom w:val="none" w:sz="0" w:space="0" w:color="auto"/>
            <w:right w:val="none" w:sz="0" w:space="0" w:color="auto"/>
          </w:divBdr>
        </w:div>
      </w:divsChild>
    </w:div>
    <w:div w:id="351227046">
      <w:bodyDiv w:val="1"/>
      <w:marLeft w:val="0"/>
      <w:marRight w:val="0"/>
      <w:marTop w:val="0"/>
      <w:marBottom w:val="0"/>
      <w:divBdr>
        <w:top w:val="none" w:sz="0" w:space="0" w:color="auto"/>
        <w:left w:val="none" w:sz="0" w:space="0" w:color="auto"/>
        <w:bottom w:val="none" w:sz="0" w:space="0" w:color="auto"/>
        <w:right w:val="none" w:sz="0" w:space="0" w:color="auto"/>
      </w:divBdr>
    </w:div>
    <w:div w:id="460347621">
      <w:bodyDiv w:val="1"/>
      <w:marLeft w:val="0"/>
      <w:marRight w:val="0"/>
      <w:marTop w:val="0"/>
      <w:marBottom w:val="0"/>
      <w:divBdr>
        <w:top w:val="none" w:sz="0" w:space="0" w:color="auto"/>
        <w:left w:val="none" w:sz="0" w:space="0" w:color="auto"/>
        <w:bottom w:val="none" w:sz="0" w:space="0" w:color="auto"/>
        <w:right w:val="none" w:sz="0" w:space="0" w:color="auto"/>
      </w:divBdr>
      <w:divsChild>
        <w:div w:id="1031147959">
          <w:marLeft w:val="0"/>
          <w:marRight w:val="0"/>
          <w:marTop w:val="0"/>
          <w:marBottom w:val="0"/>
          <w:divBdr>
            <w:top w:val="none" w:sz="0" w:space="0" w:color="auto"/>
            <w:left w:val="none" w:sz="0" w:space="0" w:color="auto"/>
            <w:bottom w:val="none" w:sz="0" w:space="0" w:color="auto"/>
            <w:right w:val="none" w:sz="0" w:space="0" w:color="auto"/>
          </w:divBdr>
          <w:divsChild>
            <w:div w:id="1473869273">
              <w:marLeft w:val="0"/>
              <w:marRight w:val="0"/>
              <w:marTop w:val="0"/>
              <w:marBottom w:val="0"/>
              <w:divBdr>
                <w:top w:val="none" w:sz="0" w:space="0" w:color="auto"/>
                <w:left w:val="none" w:sz="0" w:space="0" w:color="auto"/>
                <w:bottom w:val="none" w:sz="0" w:space="0" w:color="auto"/>
                <w:right w:val="none" w:sz="0" w:space="0" w:color="auto"/>
              </w:divBdr>
              <w:divsChild>
                <w:div w:id="84575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53948">
      <w:bodyDiv w:val="1"/>
      <w:marLeft w:val="0"/>
      <w:marRight w:val="0"/>
      <w:marTop w:val="0"/>
      <w:marBottom w:val="0"/>
      <w:divBdr>
        <w:top w:val="none" w:sz="0" w:space="0" w:color="auto"/>
        <w:left w:val="none" w:sz="0" w:space="0" w:color="auto"/>
        <w:bottom w:val="none" w:sz="0" w:space="0" w:color="auto"/>
        <w:right w:val="none" w:sz="0" w:space="0" w:color="auto"/>
      </w:divBdr>
      <w:divsChild>
        <w:div w:id="376783094">
          <w:marLeft w:val="0"/>
          <w:marRight w:val="0"/>
          <w:marTop w:val="0"/>
          <w:marBottom w:val="0"/>
          <w:divBdr>
            <w:top w:val="none" w:sz="0" w:space="0" w:color="auto"/>
            <w:left w:val="none" w:sz="0" w:space="0" w:color="auto"/>
            <w:bottom w:val="none" w:sz="0" w:space="0" w:color="auto"/>
            <w:right w:val="none" w:sz="0" w:space="0" w:color="auto"/>
          </w:divBdr>
          <w:divsChild>
            <w:div w:id="1888446675">
              <w:marLeft w:val="0"/>
              <w:marRight w:val="0"/>
              <w:marTop w:val="0"/>
              <w:marBottom w:val="0"/>
              <w:divBdr>
                <w:top w:val="none" w:sz="0" w:space="0" w:color="auto"/>
                <w:left w:val="none" w:sz="0" w:space="0" w:color="auto"/>
                <w:bottom w:val="none" w:sz="0" w:space="0" w:color="auto"/>
                <w:right w:val="none" w:sz="0" w:space="0" w:color="auto"/>
              </w:divBdr>
              <w:divsChild>
                <w:div w:id="169630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826358">
      <w:bodyDiv w:val="1"/>
      <w:marLeft w:val="0"/>
      <w:marRight w:val="0"/>
      <w:marTop w:val="0"/>
      <w:marBottom w:val="0"/>
      <w:divBdr>
        <w:top w:val="none" w:sz="0" w:space="0" w:color="auto"/>
        <w:left w:val="none" w:sz="0" w:space="0" w:color="auto"/>
        <w:bottom w:val="none" w:sz="0" w:space="0" w:color="auto"/>
        <w:right w:val="none" w:sz="0" w:space="0" w:color="auto"/>
      </w:divBdr>
    </w:div>
    <w:div w:id="988679623">
      <w:bodyDiv w:val="1"/>
      <w:marLeft w:val="0"/>
      <w:marRight w:val="0"/>
      <w:marTop w:val="0"/>
      <w:marBottom w:val="0"/>
      <w:divBdr>
        <w:top w:val="none" w:sz="0" w:space="0" w:color="auto"/>
        <w:left w:val="none" w:sz="0" w:space="0" w:color="auto"/>
        <w:bottom w:val="none" w:sz="0" w:space="0" w:color="auto"/>
        <w:right w:val="none" w:sz="0" w:space="0" w:color="auto"/>
      </w:divBdr>
    </w:div>
    <w:div w:id="1790975045">
      <w:bodyDiv w:val="1"/>
      <w:marLeft w:val="0"/>
      <w:marRight w:val="0"/>
      <w:marTop w:val="0"/>
      <w:marBottom w:val="0"/>
      <w:divBdr>
        <w:top w:val="none" w:sz="0" w:space="0" w:color="auto"/>
        <w:left w:val="none" w:sz="0" w:space="0" w:color="auto"/>
        <w:bottom w:val="none" w:sz="0" w:space="0" w:color="auto"/>
        <w:right w:val="none" w:sz="0" w:space="0" w:color="auto"/>
      </w:divBdr>
    </w:div>
    <w:div w:id="1799570809">
      <w:bodyDiv w:val="1"/>
      <w:marLeft w:val="0"/>
      <w:marRight w:val="0"/>
      <w:marTop w:val="0"/>
      <w:marBottom w:val="0"/>
      <w:divBdr>
        <w:top w:val="none" w:sz="0" w:space="0" w:color="auto"/>
        <w:left w:val="none" w:sz="0" w:space="0" w:color="auto"/>
        <w:bottom w:val="none" w:sz="0" w:space="0" w:color="auto"/>
        <w:right w:val="none" w:sz="0" w:space="0" w:color="auto"/>
      </w:divBdr>
      <w:divsChild>
        <w:div w:id="1025908117">
          <w:marLeft w:val="0"/>
          <w:marRight w:val="0"/>
          <w:marTop w:val="0"/>
          <w:marBottom w:val="0"/>
          <w:divBdr>
            <w:top w:val="none" w:sz="0" w:space="0" w:color="auto"/>
            <w:left w:val="none" w:sz="0" w:space="0" w:color="auto"/>
            <w:bottom w:val="none" w:sz="0" w:space="0" w:color="auto"/>
            <w:right w:val="none" w:sz="0" w:space="0" w:color="auto"/>
          </w:divBdr>
          <w:divsChild>
            <w:div w:id="1531719388">
              <w:marLeft w:val="0"/>
              <w:marRight w:val="0"/>
              <w:marTop w:val="0"/>
              <w:marBottom w:val="0"/>
              <w:divBdr>
                <w:top w:val="none" w:sz="0" w:space="0" w:color="auto"/>
                <w:left w:val="none" w:sz="0" w:space="0" w:color="auto"/>
                <w:bottom w:val="none" w:sz="0" w:space="0" w:color="auto"/>
                <w:right w:val="none" w:sz="0" w:space="0" w:color="auto"/>
              </w:divBdr>
              <w:divsChild>
                <w:div w:id="51164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ritannica.com/biography/Rene-Descar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2BE62-3635-42AD-91C1-009D209E9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1439</Words>
  <Characters>8348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Andrus Tormi</dc:creator>
  <cp:lastModifiedBy>Andrus Tormi</cp:lastModifiedBy>
  <cp:revision>6</cp:revision>
  <dcterms:created xsi:type="dcterms:W3CDTF">2024-05-11T08:25:00Z</dcterms:created>
  <dcterms:modified xsi:type="dcterms:W3CDTF">2024-05-11T09:59:00Z</dcterms:modified>
</cp:coreProperties>
</file>