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480" w:after="0" w:line="360"/>
        <w:ind w:right="0" w:left="0" w:firstLine="0"/>
        <w:jc w:val="both"/>
        <w:rPr>
          <w:rFonts w:ascii="Times New Roman" w:hAnsi="Times New Roman" w:cs="Times New Roman" w:eastAsia="Times New Roman"/>
          <w:b/>
          <w:color w:val="365F91"/>
          <w:spacing w:val="0"/>
          <w:position w:val="0"/>
          <w:sz w:val="24"/>
          <w:shd w:fill="auto" w:val="clear"/>
        </w:rPr>
      </w:pPr>
      <w:r>
        <w:object w:dxaOrig="8950" w:dyaOrig="5892">
          <v:rect xmlns:o="urn:schemas-microsoft-com:office:office" xmlns:v="urn:schemas-microsoft-com:vml" id="rectole0000000000" style="width:447.500000pt;height:294.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76"/>
        <w:ind w:right="0" w:left="0" w:firstLine="0"/>
        <w:jc w:val="center"/>
        <w:rPr>
          <w:rFonts w:ascii="Calibri" w:hAnsi="Calibri" w:cs="Calibri" w:eastAsia="Calibri"/>
          <w:color w:val="auto"/>
          <w:spacing w:val="0"/>
          <w:position w:val="0"/>
          <w:sz w:val="24"/>
          <w:shd w:fill="auto" w:val="clear"/>
        </w:rPr>
      </w:pPr>
      <w:r>
        <w:rPr>
          <w:rFonts w:ascii="Cambria" w:hAnsi="Cambria" w:cs="Cambria" w:eastAsia="Cambria"/>
          <w:b/>
          <w:color w:val="auto"/>
          <w:spacing w:val="0"/>
          <w:position w:val="0"/>
          <w:sz w:val="24"/>
          <w:shd w:fill="auto" w:val="clear"/>
        </w:rPr>
        <w:t xml:space="preserve">Submitted by: </w:t>
      </w:r>
      <w:r>
        <w:rPr>
          <w:rFonts w:ascii="Calibri" w:hAnsi="Calibri" w:cs="Calibri" w:eastAsia="Calibri"/>
          <w:color w:val="auto"/>
          <w:spacing w:val="0"/>
          <w:position w:val="0"/>
          <w:sz w:val="24"/>
          <w:shd w:fill="auto" w:val="clear"/>
        </w:rPr>
        <w:t xml:space="preserve">Violeta Nicoleta Gheorghiu</w:t>
      </w:r>
    </w:p>
    <w:p>
      <w:pPr>
        <w:spacing w:before="0" w:after="200" w:line="276"/>
        <w:ind w:right="0" w:left="0" w:firstLine="0"/>
        <w:jc w:val="center"/>
        <w:rPr>
          <w:rFonts w:ascii="Cambria" w:hAnsi="Cambria" w:cs="Cambria" w:eastAsia="Cambria"/>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Student id number</w:t>
      </w:r>
      <w:r>
        <w:rPr>
          <w:rFonts w:ascii="Calibri" w:hAnsi="Calibri" w:cs="Calibri" w:eastAsia="Calibri"/>
          <w:color w:val="auto"/>
          <w:spacing w:val="0"/>
          <w:position w:val="0"/>
          <w:sz w:val="24"/>
          <w:shd w:fill="auto" w:val="clear"/>
        </w:rPr>
        <w:t xml:space="preserve">:1817473</w:t>
      </w:r>
    </w:p>
    <w:p>
      <w:pPr>
        <w:spacing w:before="0" w:after="200" w:line="276"/>
        <w:ind w:right="0" w:left="0" w:firstLine="0"/>
        <w:jc w:val="center"/>
        <w:rPr>
          <w:rFonts w:ascii="Segoe UI" w:hAnsi="Segoe UI" w:cs="Segoe UI" w:eastAsia="Segoe UI"/>
          <w:color w:val="00090E"/>
          <w:spacing w:val="0"/>
          <w:position w:val="0"/>
          <w:sz w:val="23"/>
          <w:shd w:fill="FBF7F5" w:val="clear"/>
        </w:rPr>
      </w:pPr>
      <w:r>
        <w:rPr>
          <w:rFonts w:ascii="Calibri" w:hAnsi="Calibri" w:cs="Calibri" w:eastAsia="Calibri"/>
          <w:b/>
          <w:color w:val="00090E"/>
          <w:spacing w:val="0"/>
          <w:position w:val="0"/>
          <w:sz w:val="24"/>
          <w:shd w:fill="FBF7F5" w:val="clear"/>
        </w:rPr>
        <w:t xml:space="preserve">Module Title</w:t>
      </w:r>
      <w:r>
        <w:rPr>
          <w:rFonts w:ascii="Calibri" w:hAnsi="Calibri" w:cs="Calibri" w:eastAsia="Calibri"/>
          <w:color w:val="00090E"/>
          <w:spacing w:val="0"/>
          <w:position w:val="0"/>
          <w:sz w:val="24"/>
          <w:shd w:fill="FBF7F5" w:val="clear"/>
        </w:rPr>
        <w:t xml:space="preserve">:Management Accounting</w:t>
      </w:r>
    </w:p>
    <w:p>
      <w:pPr>
        <w:spacing w:before="0" w:after="200" w:line="276"/>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 Assignment Title :</w:t>
      </w:r>
      <w:r>
        <w:rPr>
          <w:rFonts w:ascii="Calibri" w:hAnsi="Calibri" w:cs="Calibri" w:eastAsia="Calibri"/>
          <w:color w:val="auto"/>
          <w:spacing w:val="0"/>
          <w:position w:val="0"/>
          <w:sz w:val="22"/>
          <w:shd w:fill="auto" w:val="clear"/>
        </w:rPr>
        <w:t xml:space="preserve"> </w:t>
      </w:r>
      <w:r>
        <w:rPr>
          <w:rFonts w:ascii="Calibri" w:hAnsi="Calibri" w:cs="Calibri" w:eastAsia="Calibri"/>
          <w:color w:val="00090E"/>
          <w:spacing w:val="0"/>
          <w:position w:val="0"/>
          <w:sz w:val="24"/>
          <w:shd w:fill="FBF7F5" w:val="clear"/>
        </w:rPr>
        <w:t xml:space="preserve">Management Accounting</w:t>
      </w:r>
      <w:r>
        <w:rPr>
          <w:rFonts w:ascii="Calibri" w:hAnsi="Calibri" w:cs="Calibri" w:eastAsia="Calibri"/>
          <w:color w:val="auto"/>
          <w:spacing w:val="0"/>
          <w:position w:val="0"/>
          <w:sz w:val="24"/>
          <w:shd w:fill="auto" w:val="clear"/>
        </w:rPr>
        <w:t xml:space="preserve">(LCBB5002) A</w:t>
      </w:r>
      <w:r>
        <w:rPr>
          <w:rFonts w:ascii="Calibri" w:hAnsi="Calibri" w:cs="Calibri" w:eastAsia="Calibri"/>
          <w:color w:val="auto"/>
          <w:spacing w:val="0"/>
          <w:position w:val="0"/>
          <w:sz w:val="24"/>
          <w:shd w:fill="auto" w:val="clear"/>
        </w:rPr>
        <w:t xml:space="preserve">2</w:t>
      </w:r>
    </w:p>
    <w:p>
      <w:pPr>
        <w:spacing w:before="0" w:after="200" w:line="276"/>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Module Lecturer`s Name: </w:t>
      </w:r>
      <w:r>
        <w:rPr>
          <w:rFonts w:ascii="Calibri" w:hAnsi="Calibri" w:cs="Calibri" w:eastAsia="Calibri"/>
          <w:color w:val="auto"/>
          <w:spacing w:val="0"/>
          <w:position w:val="0"/>
          <w:sz w:val="24"/>
          <w:shd w:fill="auto" w:val="clear"/>
        </w:rPr>
        <w:t xml:space="preserve">Rexon Nting</w:t>
      </w:r>
    </w:p>
    <w:p>
      <w:pPr>
        <w:spacing w:before="0" w:after="200" w:line="276"/>
        <w:ind w:right="0" w:left="0" w:firstLine="0"/>
        <w:jc w:val="center"/>
        <w:rPr>
          <w:rFonts w:ascii="Calibri" w:hAnsi="Calibri" w:cs="Calibri" w:eastAsia="Calibri"/>
          <w:color w:val="auto"/>
          <w:spacing w:val="0"/>
          <w:position w:val="0"/>
          <w:sz w:val="24"/>
          <w:shd w:fill="auto" w:val="clear"/>
        </w:rPr>
      </w:pPr>
    </w:p>
    <w:p>
      <w:pPr>
        <w:spacing w:before="0" w:after="200" w:line="276"/>
        <w:ind w:right="0" w:left="0" w:firstLine="0"/>
        <w:jc w:val="both"/>
        <w:rPr>
          <w:rFonts w:ascii="Calibri" w:hAnsi="Calibri" w:cs="Calibri" w:eastAsia="Calibri"/>
          <w:color w:val="auto"/>
          <w:spacing w:val="0"/>
          <w:position w:val="0"/>
          <w:sz w:val="24"/>
          <w:shd w:fill="auto" w:val="clear"/>
        </w:rPr>
      </w:pPr>
    </w:p>
    <w:p>
      <w:pPr>
        <w:spacing w:before="0" w:after="400" w:line="240"/>
        <w:ind w:right="0" w:left="0" w:firstLine="0"/>
        <w:jc w:val="center"/>
        <w:rPr>
          <w:rFonts w:ascii="Calibri" w:hAnsi="Calibri" w:cs="Calibri" w:eastAsia="Calibri"/>
          <w:caps w:val="true"/>
          <w:color w:val="1F497D"/>
          <w:spacing w:val="30"/>
          <w:position w:val="0"/>
          <w:sz w:val="72"/>
          <w:shd w:fill="auto" w:val="clear"/>
        </w:rPr>
      </w:pPr>
      <w:r>
        <w:rPr>
          <w:rFonts w:ascii="Cambria" w:hAnsi="Cambria" w:cs="Cambria" w:eastAsia="Cambria"/>
          <w:caps w:val="true"/>
          <w:color w:val="1F497D"/>
          <w:spacing w:val="30"/>
          <w:position w:val="0"/>
          <w:sz w:val="72"/>
          <w:shd w:fill="auto" w:val="clear"/>
        </w:rPr>
        <w:t xml:space="preserve">Management Accounting</w:t>
      </w:r>
      <w:r>
        <w:rPr>
          <w:rFonts w:ascii="Calibri" w:hAnsi="Calibri" w:cs="Calibri" w:eastAsia="Calibri"/>
          <w:caps w:val="true"/>
          <w:color w:val="1F497D"/>
          <w:spacing w:val="30"/>
          <w:position w:val="0"/>
          <w:sz w:val="72"/>
          <w:shd w:fill="auto" w:val="clear"/>
        </w:rPr>
        <w:t xml:space="preserve"> </w:t>
      </w:r>
    </w:p>
    <w:p>
      <w:pPr>
        <w:spacing w:before="0" w:after="400" w:line="240"/>
        <w:ind w:right="0" w:left="0" w:firstLine="0"/>
        <w:jc w:val="center"/>
        <w:rPr>
          <w:rFonts w:ascii="Times New Roman" w:hAnsi="Times New Roman" w:cs="Times New Roman" w:eastAsia="Times New Roman"/>
          <w:color w:val="auto"/>
          <w:spacing w:val="0"/>
          <w:position w:val="0"/>
          <w:sz w:val="24"/>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Introduction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variance is the dissimilarity amid the actual amount and a planned or historical amount. Variance analysis is a step in the procedure of recognizing and clarifying the causes for diverse results (Landsman, 2001). Variance analysis is generally allied with a producer's product cost. Variance analysis is vital to support with handling budget by adjusting budgeted against actual cost. Variances amid planned and actual cost might lead to adjust the business goal, objective or tactics. This paper will discuss about the variance analysis and a company’s practical implication is also given. The decision based on the given data with variance analysis is done to give the management a suggestion about the actions they might take 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Main Body</w:t>
      </w:r>
    </w:p>
    <w:p>
      <w:pPr>
        <w:keepNext w:val="true"/>
        <w:keepLines w:val="true"/>
        <w:spacing w:before="200" w:after="0" w:line="276"/>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Part A</w:t>
      </w:r>
    </w:p>
    <w:p>
      <w:pPr>
        <w:numPr>
          <w:ilvl w:val="0"/>
          <w:numId w:val="9"/>
        </w:numPr>
        <w:spacing w:before="0" w:after="200" w:line="360"/>
        <w:ind w:right="0" w:left="1080" w:hanging="72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Sales Price Variance= (Actual Price- Standard Price) X Actual Volume</w:t>
      </w:r>
    </w:p>
    <w:tbl>
      <w:tblPr/>
      <w:tblGrid>
        <w:gridCol w:w="1596"/>
        <w:gridCol w:w="1596"/>
        <w:gridCol w:w="1596"/>
        <w:gridCol w:w="1596"/>
        <w:gridCol w:w="1596"/>
        <w:gridCol w:w="1596"/>
      </w:tblGrid>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Description </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Actual Price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Standard Price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Difference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Actual Volume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Sales Price Volume</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Chemical X</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850</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8500</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Chemical Y</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37</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30</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750</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5250</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Total Unit= 1600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Chemical X</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Actual sales volume:  850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Standard sales price was £35 per unit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actual sales price achieved in the second quarter were £45</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standard margin £25 per unit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Chemical 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Actual sales volume:  750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Standard sales price was £30 per unit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actual sales price achieved in the second quarter were £37</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standard margin £20 per unit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Sales Volume Contribution= (Actual Sales Volume- Budgeted Sales Volume) X Standard Margin</w:t>
      </w:r>
    </w:p>
    <w:tbl>
      <w:tblPr/>
      <w:tblGrid>
        <w:gridCol w:w="1596"/>
        <w:gridCol w:w="1596"/>
        <w:gridCol w:w="1596"/>
        <w:gridCol w:w="1596"/>
        <w:gridCol w:w="1596"/>
        <w:gridCol w:w="1596"/>
      </w:tblGrid>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Description </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Actual Sales Volume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Budgeted Sales Volume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Difference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Standard Margin</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Sales Volume Variance</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Chemical X</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850</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595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6375</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Chemical Y</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750</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595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3100</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37"/>
        </w:numPr>
        <w:spacing w:before="0" w:after="200" w:line="360"/>
        <w:ind w:right="0" w:left="1080" w:hanging="720"/>
        <w:jc w:val="both"/>
        <w:rPr>
          <w:rFonts w:ascii="Times New Roman" w:hAnsi="Times New Roman" w:cs="Times New Roman" w:eastAsia="Times New Roman"/>
          <w:color w:val="auto"/>
          <w:spacing w:val="0"/>
          <w:position w:val="0"/>
          <w:sz w:val="24"/>
          <w:shd w:fill="auto" w:val="clear"/>
        </w:rPr>
      </w:pPr>
    </w:p>
    <w:p>
      <w:pPr>
        <w:numPr>
          <w:ilvl w:val="0"/>
          <w:numId w:val="37"/>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Material Price Planning Variance= (Original Target Price- General Market Price at time of Purchase) X Quantity Purchased </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p>
    <w:tbl>
      <w:tblPr/>
      <w:tblGrid>
        <w:gridCol w:w="1596"/>
        <w:gridCol w:w="1596"/>
        <w:gridCol w:w="1596"/>
        <w:gridCol w:w="1596"/>
        <w:gridCol w:w="1596"/>
        <w:gridCol w:w="1596"/>
      </w:tblGrid>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Description </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Original Target Price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General Market Price at time of Purchase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Difference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Quantity Purchased</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Material Price Planning Variance</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Material of famaQ</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1600</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&lt;3200&gt;</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variance is in negative figure due to the increase in the material cost (Vincent, 2001). This is not any wastage; rather this is the cost XLG Company is incurring at time of pandemic. Following image shows the favorable variance and the unfavorable variance. </w:t>
      </w:r>
    </w:p>
    <w:p>
      <w:pPr>
        <w:keepNext w:val="true"/>
        <w:spacing w:before="0" w:after="200" w:line="360"/>
        <w:ind w:right="0" w:left="0" w:firstLine="0"/>
        <w:jc w:val="both"/>
        <w:rPr>
          <w:rFonts w:ascii="Calibri" w:hAnsi="Calibri" w:cs="Calibri" w:eastAsia="Calibri"/>
          <w:color w:val="auto"/>
          <w:spacing w:val="0"/>
          <w:position w:val="0"/>
          <w:sz w:val="22"/>
          <w:shd w:fill="auto" w:val="clear"/>
        </w:rPr>
      </w:pPr>
      <w:r>
        <w:object w:dxaOrig="8985" w:dyaOrig="3031">
          <v:rect xmlns:o="urn:schemas-microsoft-com:office:office" xmlns:v="urn:schemas-microsoft-com:vml" id="rectole0000000001" style="width:449.250000pt;height:151.5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200" w:line="240"/>
        <w:ind w:right="0" w:left="0" w:firstLine="0"/>
        <w:jc w:val="center"/>
        <w:rPr>
          <w:rFonts w:ascii="Times New Roman" w:hAnsi="Times New Roman" w:cs="Times New Roman" w:eastAsia="Times New Roman"/>
          <w:b/>
          <w:color w:val="4F81BD"/>
          <w:spacing w:val="0"/>
          <w:position w:val="0"/>
          <w:sz w:val="24"/>
          <w:shd w:fill="auto" w:val="clear"/>
        </w:rPr>
      </w:pPr>
      <w:r>
        <w:rPr>
          <w:rFonts w:ascii="Calibri" w:hAnsi="Calibri" w:cs="Calibri" w:eastAsia="Calibri"/>
          <w:b/>
          <w:color w:val="4F81BD"/>
          <w:spacing w:val="0"/>
          <w:position w:val="0"/>
          <w:sz w:val="18"/>
          <w:shd w:fill="auto" w:val="clear"/>
        </w:rPr>
        <w:t xml:space="preserve">Figure : Favorable Vs. Unfavorable Variance (Thomas, 2006)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the outcome is unfavorable, this is denoting to the sudden increase in the material cost that is the necessity to make the products of XLG Company. They cannot avoid this material and due to the pandemic, the costing of famaQ has also increased, therefore they raised the price. This situation cannot be evaded and XLG Company has to consider this with the higher price. </w:t>
      </w:r>
    </w:p>
    <w:p>
      <w:pPr>
        <w:numPr>
          <w:ilvl w:val="0"/>
          <w:numId w:val="54"/>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Material Price Operational Variance= (General Market Price at time of Purchase- Actual Price Paid) X Quantity Purchased</w:t>
      </w:r>
    </w:p>
    <w:tbl>
      <w:tblPr/>
      <w:tblGrid>
        <w:gridCol w:w="1596"/>
        <w:gridCol w:w="1596"/>
        <w:gridCol w:w="1596"/>
        <w:gridCol w:w="1596"/>
        <w:gridCol w:w="1596"/>
        <w:gridCol w:w="1596"/>
      </w:tblGrid>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Description </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General Market Price at time of Purchase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Actual Price Paid</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Difference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Quantity Purchased</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Material Price Operational Variance</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Material of famaQ</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4.5</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3.7</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1600</w:t>
            </w: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1280</w:t>
            </w:r>
          </w:p>
        </w:tc>
      </w:tr>
      <w:tr>
        <w:trPr>
          <w:trHeight w:val="1" w:hRule="atLeast"/>
          <w:jc w:val="left"/>
        </w:trPr>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15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r>
    </w:tbl>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 the figure is positive and this denotes that XLG Company is in a favorable condition. </w:t>
      </w:r>
    </w:p>
    <w:p>
      <w:pPr>
        <w:numPr>
          <w:ilvl w:val="0"/>
          <w:numId w:val="66"/>
        </w:numPr>
        <w:spacing w:before="0" w:after="200" w:line="360"/>
        <w:ind w:right="0" w:left="108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Following are some particulars from the analysis. </w:t>
      </w:r>
    </w:p>
    <w:p>
      <w:pPr>
        <w:spacing w:before="0" w:after="200" w:line="360"/>
        <w:ind w:right="0" w:left="1080" w:firstLine="0"/>
        <w:jc w:val="both"/>
        <w:rPr>
          <w:rFonts w:ascii="Times New Roman" w:hAnsi="Times New Roman" w:cs="Times New Roman" w:eastAsia="Times New Roman"/>
          <w:color w:val="auto"/>
          <w:spacing w:val="0"/>
          <w:position w:val="0"/>
          <w:sz w:val="24"/>
          <w:shd w:fill="auto" w:val="clear"/>
        </w:rPr>
      </w:pPr>
    </w:p>
    <w:p>
      <w:pPr>
        <w:numPr>
          <w:ilvl w:val="0"/>
          <w:numId w:val="6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Actual sales volume has gone up due to increased demand, thus purchasing manager is able to purchase more materials than budgeted. Although the material cost has increased, the sales have also increased as people are more aware of the hygiene. </w:t>
      </w:r>
    </w:p>
    <w:p>
      <w:pPr>
        <w:numPr>
          <w:ilvl w:val="0"/>
          <w:numId w:val="6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this we might have an unfavorable materials quantity variance; however we know what is driving it thereby enabling management to assess the purchasing managers’ performance fairly (Robert, 2002).</w:t>
      </w:r>
    </w:p>
    <w:p>
      <w:pPr>
        <w:numPr>
          <w:ilvl w:val="0"/>
          <w:numId w:val="68"/>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increased purchasing price of famaQ may also be considered. But this has very negligible impact. The Material Price Operational Variance is showing a positive balance. </w:t>
      </w: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Critical assessment of the benefits and demerits of using variances in decision making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aim of variance analysis is to offer applied pointer to the reasons of off-standard act so that management can advance operation, rise competence, utilize resource more effectually and decrease cost it trails that excessively intricate variance analysis which is not unstated, variance that are not replaced and variance which takes too long for calculation after the occasion does not satisfy the center aim of the method of standard costing. The appropriate use of variance analysis is a substantial means for an association to achieve the long-term objectives. When its accounting system distinguishes a variance, an association requires to comprehend the substantial influences of accounting not only in keeping the financial result, but also in the way of reaction to that variance can form management’s conduct towards the attainment of the goals. Many managers utilize variance analysis only to ascertain a short-term response and do not evaluate wherefore the variance occurred from a long-term viewpoint (Watts, 2001). A further long-term study of variance acknowledges a method that “is responsibility accounting in which power and responsibility for task is assigned downhill to those managers with the most power and influence over them. This is crucial for the managers to evaluate the reported variance with more than only a short-term view. Managers occasionally concentrate only on making figures for the present time. A noticeable cost variance could be a rise in the cost as a proportion of sales on an expanding basis. This divergence could imply that equipment is not functioning effectively and is rising total cost. Nevertheless, the cost of employing new, more effective equipment might be greater than restoring the existing equipment. In this case, the manager can go for the purchase of the materials as the sales have increased and the sales volume might be more in the near future. So this would be wise for the manager of this company to make a reformed decision and buy some extra materials. As this is the time of pandemic, the price might get risen more rapidly as per the demand. So it is better for the management to think about purchasing more materials.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can use the standard cost to make the budgets for the forthcoming time, applying the previous data to perhaps make variations to production element. Standard cost is a tool of measurement and can therefore be used to assess performances.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Following is a brief identification of the merits and the demerits of variance usage in decision making.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Merits </w:t>
      </w:r>
    </w:p>
    <w:p>
      <w:pPr>
        <w:numPr>
          <w:ilvl w:val="0"/>
          <w:numId w:val="7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Assessing mangers using events under their control e.g. buying cheaper materials</w:t>
      </w:r>
    </w:p>
    <w:p>
      <w:pPr>
        <w:numPr>
          <w:ilvl w:val="0"/>
          <w:numId w:val="7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Helps Managers in making efficient and forward -thinking decisions</w:t>
      </w:r>
    </w:p>
    <w:p>
      <w:pPr>
        <w:numPr>
          <w:ilvl w:val="0"/>
          <w:numId w:val="7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Acts as a control mechanism</w:t>
      </w:r>
    </w:p>
    <w:p>
      <w:pPr>
        <w:numPr>
          <w:ilvl w:val="0"/>
          <w:numId w:val="7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Facilitates assigning responsibility to relevant manager</w:t>
      </w:r>
    </w:p>
    <w:p>
      <w:pPr>
        <w:numPr>
          <w:ilvl w:val="0"/>
          <w:numId w:val="7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Highlights where wastage is occurring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Demerits</w:t>
      </w:r>
    </w:p>
    <w:p>
      <w:pPr>
        <w:numPr>
          <w:ilvl w:val="0"/>
          <w:numId w:val="7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encourages dysfunctional behavior </w:t>
      </w:r>
    </w:p>
    <w:p>
      <w:pPr>
        <w:numPr>
          <w:ilvl w:val="0"/>
          <w:numId w:val="7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allows for slack</w:t>
      </w:r>
    </w:p>
    <w:p>
      <w:pPr>
        <w:numPr>
          <w:ilvl w:val="0"/>
          <w:numId w:val="7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Difficult to trace causes of variances</w:t>
      </w:r>
    </w:p>
    <w:p>
      <w:pPr>
        <w:numPr>
          <w:ilvl w:val="0"/>
          <w:numId w:val="7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encourages a blame culture</w:t>
      </w:r>
    </w:p>
    <w:p>
      <w:pPr>
        <w:numPr>
          <w:ilvl w:val="0"/>
          <w:numId w:val="7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Time consuming to calculate and based on historic information (Zimmer, 2003).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Part B</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276"/>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Relevant Costing</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Relevant cost is a term used in managerial accounting that defines preventable cost that are experienced only when making particular business decision. The idea of relevant cost is used to reduce excessive information that could confuse the decision-making method. This idea of relevant cost is very useful for reducing unnecessary data from a specific decision-making method. Additionally, by reducing immaterial cost from a decision, management is prohibited from concentrating on data that might otherwise erroneously influence the decision.</w:t>
      </w:r>
    </w:p>
    <w:p>
      <w:pPr>
        <w:keepNext w:val="true"/>
        <w:keepLines w:val="true"/>
        <w:spacing w:before="200" w:after="0" w:line="276"/>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The time to form ‘make or buy’ decision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make-or-buy decision is the action of getting a tactical option among generating an item within (in-house supplier) or purchasing it on the outside (from outside suppliers). The buy side of the choice also is stated to as outsourcing. Make-or-buy decision generally arises when the firm that has established a complete product or part of the product or substantially changed a product or part of that is having problem with existing supplier or has declining capability or shifting demands. Purchase must be counted for as a substantial task, which requires to be counted as a part of the business development method to confirm that supply requirements are manifested in it. Strategic methods for a specific role, for instance sourcing, ought to be connected to other operational policies, related to policies for specific business unit and associated with the business level where there is apparent synergistic benefit (Pajares, 2003).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Moschuris (2007), the most crucial make or buy causes are costs and quality problem. Typically rationales for subcontracting might be lack of ability, lack of understanding, economic issue, managerial background issue, life cycles of the products or for instance administrative change. The conceptual model of such a choice features the connection among the significance of each cause and variation with organizational traits including the characteristics of the items or the services under make or buy probe. Organizational theory indicates that companies organized to deal with consistent and balanced markets will not be as efficient in intricate, fast changing and volatile environment. There are two apparently contradictory observations of the link between ecological ambiguity and organizational formation. According to the idea of contingency, companies must embrace ‘organic’ structure that is less dependent on conventional control, are decentralized and work with few layer and thinner span of controls. In divergence, an alternative view is that at higher level of ecosystem ambiguity, organizational decision-making procedures are characterized by a restriction of authorization. This means choices are made at high level of the organization by a small number of organizational participants. Conversely, many state that operations technologies are not important to organizational structures.</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object w:dxaOrig="7214" w:dyaOrig="5342">
          <v:rect xmlns:o="urn:schemas-microsoft-com:office:office" xmlns:v="urn:schemas-microsoft-com:vml" id="rectole0000000002" style="width:360.700000pt;height:267.1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Make or buy problems might be caused because of problem of the quality, consideration of cost, lack of capability, inadequate supplier performances, sales fluctuation, introduction of a new invention and alteration of an accessible invention. So the movement towards subcontracting actions in the value chain can be ascribed to the subsequent motives- </w:t>
      </w:r>
    </w:p>
    <w:p>
      <w:pPr>
        <w:numPr>
          <w:ilvl w:val="0"/>
          <w:numId w:val="83"/>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Most proficient resource</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Subcontracting policy is established on the best accessible basis (external or internal) being selected to execute the action or group of actions (Shivakumar, 2006).</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p>
    <w:p>
      <w:pPr>
        <w:numPr>
          <w:ilvl w:val="0"/>
          <w:numId w:val="85"/>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Enhanced flexibility</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firm believes it can be more compliant by subcontracting more actions rather than doing actions internally by being in a better situation to respond quickly to market shifts and be more reactive to client change.</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numPr>
          <w:ilvl w:val="0"/>
          <w:numId w:val="87"/>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Lessened risk exposures</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 subcontracting, the firm can reduce the level of risks (transforming fixed cost into variable cost). It is said that suppliers are better able to manage with demand variations out of economies of scale and have more capacity for alternate source for this additional capacity. </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p>
    <w:p>
      <w:pPr>
        <w:numPr>
          <w:ilvl w:val="0"/>
          <w:numId w:val="89"/>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Reduction of Cost</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some cases the action can be done at a low cost by outside supplier. </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p>
    <w:p>
      <w:pPr>
        <w:numPr>
          <w:ilvl w:val="0"/>
          <w:numId w:val="91"/>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Supplier management</w:t>
      </w:r>
    </w:p>
    <w:p>
      <w:pPr>
        <w:spacing w:before="0" w:after="200" w:line="36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said that it is feasible to lessen the level of risk linked with high bought-in substance by utilizing effective supplier management and collaboration building approach.</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decision to make or buy famaQ and the relevant costing criteria</w:t>
      </w: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famaQ meets the relevant costing criteria. As the cost is rising, this is also adjustable. In the pandemic time, it is quite possible that the cost of products will rise. Also, XLG Company is making more money by making more sales. Following is an image showing the balanced scorecard (Knight, 2000)</w:t>
      </w:r>
    </w:p>
    <w:p>
      <w:pPr>
        <w:keepNext w:val="true"/>
        <w:keepLines w:val="true"/>
        <w:spacing w:before="200" w:after="0" w:line="276"/>
        <w:ind w:right="0" w:left="0" w:firstLine="0"/>
        <w:jc w:val="both"/>
        <w:rPr>
          <w:rFonts w:ascii="Cambria" w:hAnsi="Cambria" w:cs="Cambria" w:eastAsia="Cambria"/>
          <w:b/>
          <w:color w:val="4F81BD"/>
          <w:spacing w:val="0"/>
          <w:position w:val="0"/>
          <w:sz w:val="26"/>
          <w:shd w:fill="auto" w:val="clear"/>
        </w:rPr>
      </w:pPr>
      <w:r>
        <w:rPr>
          <w:rFonts w:ascii="Cambria" w:hAnsi="Cambria" w:cs="Cambria" w:eastAsia="Cambria"/>
          <w:b/>
          <w:color w:val="4F81BD"/>
          <w:spacing w:val="0"/>
          <w:position w:val="0"/>
          <w:sz w:val="26"/>
          <w:shd w:fill="auto" w:val="clear"/>
        </w:rPr>
        <w:t xml:space="preserve">Balanced scorecard</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36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a system of strategic planning and management that groups use to: Converse what they are trying to achieve some goal. It is a method of looking at the organization that concentrates on the big-picture strategic goal. It also helps the companies’ managers to choose the right thing or decision to assess so that they can reach the goals. Habitually, firms have judged their fitness by how much money they make. Following is an image showing the perspectives of the BSC. So XLG Company management needs to understand this aspect and buy the materials. </w:t>
      </w:r>
    </w:p>
    <w:p>
      <w:pPr>
        <w:keepNext w:val="true"/>
        <w:spacing w:before="0" w:after="200" w:line="360"/>
        <w:ind w:right="0" w:left="0" w:firstLine="0"/>
        <w:jc w:val="center"/>
        <w:rPr>
          <w:rFonts w:ascii="Calibri" w:hAnsi="Calibri" w:cs="Calibri" w:eastAsia="Calibri"/>
          <w:color w:val="auto"/>
          <w:spacing w:val="0"/>
          <w:position w:val="0"/>
          <w:sz w:val="22"/>
          <w:shd w:fill="auto" w:val="clear"/>
        </w:rPr>
      </w:pPr>
      <w:r>
        <w:object w:dxaOrig="6235" w:dyaOrig="3960">
          <v:rect xmlns:o="urn:schemas-microsoft-com:office:office" xmlns:v="urn:schemas-microsoft-com:vml" id="rectole0000000003" style="width:311.750000pt;height:198.0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200" w:line="240"/>
        <w:ind w:right="0" w:left="0" w:firstLine="0"/>
        <w:jc w:val="center"/>
        <w:rPr>
          <w:rFonts w:ascii="Times New Roman" w:hAnsi="Times New Roman" w:cs="Times New Roman" w:eastAsia="Times New Roman"/>
          <w:b/>
          <w:color w:val="4F81BD"/>
          <w:spacing w:val="0"/>
          <w:position w:val="0"/>
          <w:sz w:val="24"/>
          <w:shd w:fill="auto" w:val="clear"/>
        </w:rPr>
      </w:pPr>
      <w:r>
        <w:rPr>
          <w:rFonts w:ascii="Calibri" w:hAnsi="Calibri" w:cs="Calibri" w:eastAsia="Calibri"/>
          <w:b/>
          <w:color w:val="4F81BD"/>
          <w:spacing w:val="0"/>
          <w:position w:val="0"/>
          <w:sz w:val="18"/>
          <w:shd w:fill="auto" w:val="clear"/>
        </w:rPr>
        <w:t xml:space="preserve">Figure : BSC (Montgomery, 1994)</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are important to consider. This helps the companies to make better and informed decision making. As the BSC allows a company to focus on the long run, this is easily said that pandemic is a very big problem and as of this time of the spread of Coronavirus, all the businesses are suffering, except few. So, this is wise to make a better decision thinking about the long run. In the long run, XLG Company will be in a winning situation, if they buy more materials from famaQ and this will help them boost their sales by a slight increase in the cost. This cost can be easily recovered (Navidi, 2006).</w:t>
      </w: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Decision making under risk</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the global pandemic is running, the risk is extremely high. People are losing jobs, many big companies are closing down and the global economy is affected highly. The pandemic has not yet gone and the vaccines for stopping thins virus, has also not been finalized. At this time, the risk is high and XLG Company needs to focus on the following key issued to make a better decision for the long run. Realizing that insecurity brings some level of split anxiety can help divulge some concepts for managing decision making in ambiguity. Here are some suggestions for XLG Company to consider for times of high decision ambiguity, like the time of this type of pandemic.</w:t>
      </w:r>
    </w:p>
    <w:p>
      <w:pPr>
        <w:numPr>
          <w:ilvl w:val="0"/>
          <w:numId w:val="10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Reducing the time horizon for decision. XLG Company can bridge to the coming days by taking small step, keep something familiar and reliable with every step.</w:t>
      </w:r>
    </w:p>
    <w:p>
      <w:pPr>
        <w:numPr>
          <w:ilvl w:val="0"/>
          <w:numId w:val="10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Learning as much as possible regarding option before selecting. Knowledge makes the new appear to be more conversant, lowering separation concern.</w:t>
      </w:r>
    </w:p>
    <w:p>
      <w:pPr>
        <w:numPr>
          <w:ilvl w:val="0"/>
          <w:numId w:val="10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Avoiding unnecessary risks. When the environment is offering lots of ambiguity, postpone risk that are in control. For example, stop taking extra unnecessary loan. </w:t>
      </w:r>
    </w:p>
    <w:p>
      <w:pPr>
        <w:numPr>
          <w:ilvl w:val="0"/>
          <w:numId w:val="10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Determining the worst-case situation. Fear of loss is greater when it is limitless. Realizing the severest is survivable can relieve this concern.</w:t>
      </w:r>
    </w:p>
    <w:p>
      <w:pPr>
        <w:numPr>
          <w:ilvl w:val="0"/>
          <w:numId w:val="10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Clarifying the indecision. Estimating the positive and negative consequence of the risks or ambiguity. Knowledge of the possible gain and loss can promote taking risk for good prospects (Navidi, 2006).</w:t>
      </w:r>
    </w:p>
    <w:p>
      <w:pPr>
        <w:numPr>
          <w:ilvl w:val="0"/>
          <w:numId w:val="10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Investing in keeping option open. Having a broad range of possibilities raises flexibility to adapt to the uncertain future. Alternatives can be lowered as knowledge is acquired.</w:t>
      </w:r>
    </w:p>
    <w:p>
      <w:pPr>
        <w:numPr>
          <w:ilvl w:val="0"/>
          <w:numId w:val="10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Avoiding emotional risk taking. To take risk for the right reasons based on clear, calm, and rational thought.</w:t>
      </w:r>
    </w:p>
    <w:p>
      <w:pPr>
        <w:numPr>
          <w:ilvl w:val="0"/>
          <w:numId w:val="102"/>
        </w:numPr>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Managing decision adaptively. Rise the monitoring and appraisals for the decision making in uncertainty.</w:t>
      </w: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Conclusion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Variance analysis and standard costing might inspire short-termism because of their intrinsic propensity towards short-range, computed aims and outcomes. A negative view of an administration’s variance analysis and standard costing procedure can also inspire other sub-optimal behavior amongst workers for example attempts to join budget slack. The behavioral matters related with variance analysis and standard costing could be accomplished by relating workers throughout the setting of financial plan so that they do not view the process as unfair. Variance analysis helps the managers to understand about the variation between their projected cost and actual cost. This is very important tool in decision making process and allows the managers with effectiveness while making decisions.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276"/>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Navidi, W. (2006). Statistics for Engineers and Scientists, McGraw-Hill, pg 14.</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Montgomery, D. C. (1994) Applied statistics and probability for engineers, page 201. John Wiley &amp; Sons New York</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Knight K. (2000), Mathematical Statistics, Chapman and Hall, New York. (proposition 2.11)</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Shivakumar, L. (2006). The role of accruals in asymmetrically timely gain and loss recognition. Journal of Accounting Research, (44), 207</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242. </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Landsman, R. (2001). The relevance of the value relevance literature for financial accounting standard setting: Another view. Journal of Accounting and Economics, 31 (Issue 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3),77</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104.</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Pajares, F. (2003). IFRS fair value measurement and accounting policy choice in the United Kingdom and Australia. The British Accounting Review, (1), 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21.</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Zimmer, I. (2003). Disclosure versus recognition: The case of asset revaluations. Asia-Pacific Journal of Accounting and Economics, 10 (1), 81-99. </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Vincent, L. (2001). Empirical research on accounting choice. Journal of Accounting and Economics, 31, 255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307.</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Thomas, B. (2006). The quality of fair value measures for property, plant, and equipment. Accounting Forum, 30 (1),43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59. </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Robert F. (2002). Financial and Managerial Accounting: The Basis for Business Decisions (p. 848) New York, NY: McGraw-Hill/Irwin. ISBN 0-07-239688-1.</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Watts, R. (2001). The relevance of the value-relevance literature for financial accounting standard setting. Journal of Accounting and Economics, 31 (1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3), 3</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75.</w:t>
      </w:r>
    </w:p>
    <w:p>
      <w:pPr>
        <w:numPr>
          <w:ilvl w:val="0"/>
          <w:numId w:val="109"/>
        </w:numPr>
        <w:spacing w:before="100" w:after="1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Moschuris, J. (2007). Triggering Mechanisms in Make</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or</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Buy Decisions: An Empirical Analysis. Available at:</w:t>
      </w:r>
    </w:p>
    <w:p>
      <w:pPr>
        <w:spacing w:before="100" w:after="100" w:line="360"/>
        <w:ind w:right="0" w:left="720" w:firstLine="0"/>
        <w:jc w:val="both"/>
        <w:rPr>
          <w:rFonts w:ascii="Times New Roman" w:hAnsi="Times New Roman" w:cs="Times New Roman" w:eastAsia="Times New Roman"/>
          <w:color w:val="auto"/>
          <w:spacing w:val="0"/>
          <w:position w:val="0"/>
          <w:sz w:val="24"/>
          <w:shd w:fill="auto" w:val="clear"/>
        </w:rPr>
      </w:pP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https://doi.org/10.1111/j.1745-493X.2007.00026.x</w:t>
        </w:r>
      </w:hyperlink>
    </w:p>
    <w:p>
      <w:pPr>
        <w:spacing w:before="100" w:after="100" w:line="360"/>
        <w:ind w:right="0" w:left="720" w:firstLine="0"/>
        <w:jc w:val="both"/>
        <w:rPr>
          <w:rFonts w:ascii="Times New Roman" w:hAnsi="Times New Roman" w:cs="Times New Roman" w:eastAsia="Times New Roman"/>
          <w:color w:val="auto"/>
          <w:spacing w:val="0"/>
          <w:position w:val="0"/>
          <w:sz w:val="24"/>
          <w:shd w:fill="auto" w:val="clear"/>
        </w:rPr>
      </w:pPr>
    </w:p>
    <w:p>
      <w:pPr>
        <w:tabs>
          <w:tab w:val="left" w:pos="3878" w:leader="none"/>
        </w:tabs>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tab/>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num w:numId="9">
    <w:abstractNumId w:val="78"/>
  </w:num>
  <w:num w:numId="37">
    <w:abstractNumId w:val="72"/>
  </w:num>
  <w:num w:numId="54">
    <w:abstractNumId w:val="66"/>
  </w:num>
  <w:num w:numId="66">
    <w:abstractNumId w:val="60"/>
  </w:num>
  <w:num w:numId="68">
    <w:abstractNumId w:val="54"/>
  </w:num>
  <w:num w:numId="71">
    <w:abstractNumId w:val="48"/>
  </w:num>
  <w:num w:numId="73">
    <w:abstractNumId w:val="42"/>
  </w:num>
  <w:num w:numId="83">
    <w:abstractNumId w:val="36"/>
  </w:num>
  <w:num w:numId="85">
    <w:abstractNumId w:val="30"/>
  </w:num>
  <w:num w:numId="87">
    <w:abstractNumId w:val="24"/>
  </w:num>
  <w:num w:numId="89">
    <w:abstractNumId w:val="18"/>
  </w:num>
  <w:num w:numId="91">
    <w:abstractNumId w:val="12"/>
  </w:num>
  <w:num w:numId="102">
    <w:abstractNumId w:val="6"/>
  </w:num>
  <w:num w:numId="10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1.wmf" Id="docRId3" Type="http://schemas.openxmlformats.org/officeDocument/2006/relationships/image" /><Relationship Target="media/image3.wmf" Id="docRId7" Type="http://schemas.openxmlformats.org/officeDocument/2006/relationships/image" /><Relationship Target="embeddings/oleObject0.bin" Id="docRId0" Type="http://schemas.openxmlformats.org/officeDocument/2006/relationships/oleObject" /><Relationship Target="styles.xml" Id="docRId10" Type="http://schemas.openxmlformats.org/officeDocument/2006/relationships/styles" /><Relationship Target="embeddings/oleObject1.bin" Id="docRId2" Type="http://schemas.openxmlformats.org/officeDocument/2006/relationships/oleObject" /><Relationship Target="embeddings/oleObject2.bin" Id="docRId4" Type="http://schemas.openxmlformats.org/officeDocument/2006/relationships/oleObject" /><Relationship Target="embeddings/oleObject3.bin" Id="docRId6" Type="http://schemas.openxmlformats.org/officeDocument/2006/relationships/oleObject" /><Relationship TargetMode="External" Target="https://doi.org/10.1111/j.1745-493X.2007.00026.x" Id="docRId8" Type="http://schemas.openxmlformats.org/officeDocument/2006/relationships/hyperlink" /><Relationship Target="media/image0.wmf" Id="docRId1" Type="http://schemas.openxmlformats.org/officeDocument/2006/relationships/image" /><Relationship Target="media/image2.wmf" Id="docRId5" Type="http://schemas.openxmlformats.org/officeDocument/2006/relationships/image" /><Relationship Target="numbering.xml" Id="docRId9" Type="http://schemas.openxmlformats.org/officeDocument/2006/relationships/numbering" /></Relationships>
</file>