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B9A7D" w14:textId="77777777" w:rsidR="005D2D75" w:rsidRPr="00625A33" w:rsidRDefault="005D2D75" w:rsidP="004B6A8E">
      <w:pPr>
        <w:pStyle w:val="TableParagraph"/>
        <w:spacing w:line="360" w:lineRule="auto"/>
        <w:jc w:val="both"/>
        <w:rPr>
          <w:sz w:val="24"/>
          <w:szCs w:val="24"/>
        </w:rPr>
      </w:pPr>
      <w:r w:rsidRPr="00625A33">
        <w:rPr>
          <w:sz w:val="24"/>
          <w:szCs w:val="24"/>
        </w:rPr>
        <w:t xml:space="preserve">                                        </w:t>
      </w:r>
    </w:p>
    <w:p w14:paraId="4CD27CE9" w14:textId="77777777" w:rsidR="005D2D75" w:rsidRPr="00625A33" w:rsidRDefault="005D2D75" w:rsidP="004B6A8E">
      <w:pPr>
        <w:rPr>
          <w:rFonts w:ascii="Arial" w:hAnsi="Arial" w:cs="Arial"/>
          <w:color w:val="000000"/>
        </w:rPr>
      </w:pPr>
    </w:p>
    <w:p w14:paraId="420EC5C5" w14:textId="77777777" w:rsidR="005D2D75" w:rsidRPr="00625A33" w:rsidRDefault="005D2D75" w:rsidP="004B6A8E">
      <w:pPr>
        <w:rPr>
          <w:rFonts w:ascii="Arial" w:hAnsi="Arial" w:cs="Arial"/>
          <w:b/>
          <w:color w:val="000000"/>
        </w:rPr>
      </w:pPr>
      <w:r w:rsidRPr="00625A33">
        <w:rPr>
          <w:rFonts w:ascii="Arial" w:hAnsi="Arial" w:cs="Arial"/>
          <w:b/>
          <w:color w:val="000000"/>
        </w:rPr>
        <w:t xml:space="preserve">Module title: BMIH5005 Personnel Resourcing and Development </w:t>
      </w:r>
    </w:p>
    <w:p w14:paraId="4BC5E936" w14:textId="77777777" w:rsidR="005D2D75" w:rsidRPr="00625A33" w:rsidRDefault="005D2D75" w:rsidP="004B6A8E">
      <w:pPr>
        <w:rPr>
          <w:rFonts w:ascii="Arial" w:hAnsi="Arial" w:cs="Arial"/>
          <w:b/>
          <w:color w:val="000000"/>
        </w:rPr>
      </w:pPr>
    </w:p>
    <w:p w14:paraId="0290A3DF" w14:textId="77777777" w:rsidR="005D2D75" w:rsidRPr="00625A33" w:rsidRDefault="005D2D75" w:rsidP="004B6A8E">
      <w:pPr>
        <w:rPr>
          <w:rFonts w:ascii="Arial" w:hAnsi="Arial" w:cs="Arial"/>
          <w:color w:val="000000"/>
        </w:rPr>
      </w:pPr>
    </w:p>
    <w:p w14:paraId="01EB6108" w14:textId="77777777" w:rsidR="005D2D75" w:rsidRPr="00625A33" w:rsidRDefault="005D2D75" w:rsidP="004B6A8E">
      <w:pPr>
        <w:rPr>
          <w:rFonts w:ascii="Arial" w:hAnsi="Arial" w:cs="Arial"/>
          <w:b/>
          <w:bCs/>
        </w:rPr>
      </w:pPr>
      <w:r w:rsidRPr="00625A33">
        <w:rPr>
          <w:rFonts w:ascii="Arial" w:hAnsi="Arial" w:cs="Arial"/>
          <w:b/>
          <w:color w:val="000000"/>
        </w:rPr>
        <w:t xml:space="preserve">Student Name: </w:t>
      </w:r>
      <w:r w:rsidRPr="00625A33">
        <w:rPr>
          <w:rFonts w:ascii="Arial" w:hAnsi="Arial" w:cs="Arial"/>
          <w:b/>
          <w:bCs/>
        </w:rPr>
        <w:t>Salam Al-Masoud</w:t>
      </w:r>
    </w:p>
    <w:p w14:paraId="3DF61A2B" w14:textId="77777777" w:rsidR="005D2D75" w:rsidRDefault="005D2D75" w:rsidP="004B6A8E">
      <w:pPr>
        <w:rPr>
          <w:rFonts w:ascii="Arial" w:hAnsi="Arial" w:cs="Arial"/>
          <w:b/>
          <w:bCs/>
        </w:rPr>
      </w:pPr>
      <w:r w:rsidRPr="00625A33">
        <w:rPr>
          <w:rFonts w:ascii="Arial" w:hAnsi="Arial" w:cs="Arial"/>
          <w:b/>
          <w:color w:val="000000"/>
        </w:rPr>
        <w:t xml:space="preserve">Student ID: </w:t>
      </w:r>
      <w:r w:rsidRPr="00625A33">
        <w:rPr>
          <w:rFonts w:ascii="Arial" w:hAnsi="Arial" w:cs="Arial"/>
          <w:b/>
          <w:bCs/>
        </w:rPr>
        <w:t>2235444</w:t>
      </w:r>
    </w:p>
    <w:p w14:paraId="006BC515" w14:textId="7A84FE45" w:rsidR="00062E4E" w:rsidRPr="00625A33" w:rsidRDefault="00062E4E" w:rsidP="004B6A8E">
      <w:pPr>
        <w:rPr>
          <w:rFonts w:ascii="Arial" w:hAnsi="Arial" w:cs="Arial"/>
          <w:b/>
          <w:bCs/>
        </w:rPr>
      </w:pPr>
      <w:r>
        <w:rPr>
          <w:rFonts w:ascii="Arial" w:hAnsi="Arial" w:cs="Arial"/>
          <w:b/>
          <w:bCs/>
        </w:rPr>
        <w:t>Tutor Name: Helen Lee</w:t>
      </w:r>
    </w:p>
    <w:p w14:paraId="2556BF2E" w14:textId="77777777" w:rsidR="005D2D75" w:rsidRPr="00625A33" w:rsidRDefault="005D2D75" w:rsidP="004B6A8E">
      <w:pPr>
        <w:rPr>
          <w:rFonts w:ascii="Arial" w:hAnsi="Arial" w:cs="Arial"/>
          <w:b/>
          <w:bCs/>
        </w:rPr>
      </w:pPr>
    </w:p>
    <w:p w14:paraId="0BF11890" w14:textId="77777777" w:rsidR="005D2D75" w:rsidRPr="00625A33" w:rsidRDefault="005D2D75" w:rsidP="004B6A8E">
      <w:pPr>
        <w:rPr>
          <w:rFonts w:ascii="Arial" w:hAnsi="Arial" w:cs="Arial"/>
          <w:b/>
          <w:bCs/>
        </w:rPr>
      </w:pPr>
    </w:p>
    <w:p w14:paraId="3B47FF6A" w14:textId="77777777" w:rsidR="005D2D75" w:rsidRPr="00625A33" w:rsidRDefault="005D2D75" w:rsidP="004B6A8E">
      <w:pPr>
        <w:rPr>
          <w:rFonts w:ascii="Arial" w:hAnsi="Arial" w:cs="Arial"/>
          <w:b/>
          <w:color w:val="000000"/>
        </w:rPr>
      </w:pPr>
      <w:r w:rsidRPr="00625A33">
        <w:rPr>
          <w:rFonts w:ascii="Arial" w:hAnsi="Arial" w:cs="Arial"/>
          <w:b/>
          <w:bCs/>
        </w:rPr>
        <w:t>Word Count: 2150</w:t>
      </w:r>
    </w:p>
    <w:p w14:paraId="541E5AB3" w14:textId="77777777" w:rsidR="005D2D75" w:rsidRPr="00625A33" w:rsidRDefault="005D2D75" w:rsidP="004B6A8E">
      <w:pPr>
        <w:rPr>
          <w:rFonts w:ascii="Arial" w:hAnsi="Arial" w:cs="Arial"/>
          <w:color w:val="000000"/>
        </w:rPr>
      </w:pPr>
    </w:p>
    <w:p w14:paraId="2B8A7306" w14:textId="77777777" w:rsidR="005D2D75" w:rsidRPr="00625A33" w:rsidRDefault="005D2D75" w:rsidP="004B6A8E">
      <w:pPr>
        <w:spacing w:after="100"/>
        <w:ind w:right="223"/>
        <w:rPr>
          <w:rFonts w:ascii="Arial" w:hAnsi="Arial" w:cs="Arial"/>
          <w:color w:val="000000"/>
        </w:rPr>
      </w:pPr>
    </w:p>
    <w:p w14:paraId="796B7987" w14:textId="77777777" w:rsidR="005D2D75" w:rsidRPr="00625A33" w:rsidRDefault="005D2D75" w:rsidP="004B6A8E">
      <w:pPr>
        <w:spacing w:after="100"/>
        <w:ind w:right="223"/>
        <w:rPr>
          <w:rFonts w:ascii="Arial" w:hAnsi="Arial" w:cs="Arial"/>
          <w:color w:val="000000"/>
        </w:rPr>
      </w:pPr>
      <w:r w:rsidRPr="00625A33">
        <w:rPr>
          <w:rFonts w:ascii="Arial" w:hAnsi="Arial" w:cs="Arial"/>
          <w:color w:val="000000"/>
        </w:rPr>
        <w:t xml:space="preserve"> </w:t>
      </w:r>
    </w:p>
    <w:p w14:paraId="2B2233C5" w14:textId="77777777" w:rsidR="005D2D75" w:rsidRPr="00625A33" w:rsidRDefault="005D2D75" w:rsidP="004B6A8E">
      <w:pPr>
        <w:rPr>
          <w:rFonts w:ascii="Arial" w:hAnsi="Arial" w:cs="Arial"/>
          <w:color w:val="000000"/>
        </w:rPr>
      </w:pPr>
    </w:p>
    <w:p w14:paraId="5A28CCA1" w14:textId="77777777" w:rsidR="005D2D75" w:rsidRPr="00625A33" w:rsidRDefault="005D2D75" w:rsidP="004B6A8E">
      <w:pPr>
        <w:rPr>
          <w:rFonts w:ascii="Arial" w:hAnsi="Arial" w:cs="Arial"/>
          <w:color w:val="000000"/>
        </w:rPr>
      </w:pPr>
    </w:p>
    <w:p w14:paraId="6A3F21F0" w14:textId="77777777" w:rsidR="005D2D75" w:rsidRPr="00625A33" w:rsidRDefault="005D2D75" w:rsidP="004B6A8E">
      <w:pPr>
        <w:rPr>
          <w:rFonts w:ascii="Arial" w:hAnsi="Arial" w:cs="Arial"/>
          <w:b/>
          <w:color w:val="000000"/>
        </w:rPr>
      </w:pPr>
    </w:p>
    <w:p w14:paraId="1305F225" w14:textId="77777777" w:rsidR="005D2D75" w:rsidRPr="00625A33" w:rsidRDefault="005D2D75" w:rsidP="004B6A8E">
      <w:pPr>
        <w:rPr>
          <w:rFonts w:ascii="Arial" w:hAnsi="Arial" w:cs="Arial"/>
          <w:b/>
          <w:color w:val="000000"/>
        </w:rPr>
      </w:pPr>
    </w:p>
    <w:p w14:paraId="662735E1" w14:textId="77777777" w:rsidR="005D2D75" w:rsidRPr="00625A33" w:rsidRDefault="005D2D75" w:rsidP="004B6A8E">
      <w:pPr>
        <w:rPr>
          <w:rFonts w:ascii="Arial" w:hAnsi="Arial" w:cs="Arial"/>
          <w:b/>
          <w:color w:val="000000"/>
        </w:rPr>
      </w:pPr>
    </w:p>
    <w:p w14:paraId="094ADAAC" w14:textId="77777777" w:rsidR="005D2D75" w:rsidRPr="00625A33" w:rsidRDefault="005D2D75" w:rsidP="004B6A8E">
      <w:pPr>
        <w:rPr>
          <w:rFonts w:ascii="Arial" w:hAnsi="Arial" w:cs="Arial"/>
          <w:b/>
          <w:color w:val="000000"/>
        </w:rPr>
      </w:pPr>
    </w:p>
    <w:p w14:paraId="17B3BB79" w14:textId="77777777" w:rsidR="005D2D75" w:rsidRPr="00625A33" w:rsidRDefault="005D2D75" w:rsidP="004B6A8E">
      <w:pPr>
        <w:rPr>
          <w:rFonts w:ascii="Arial" w:hAnsi="Arial" w:cs="Arial"/>
          <w:b/>
          <w:color w:val="000000"/>
        </w:rPr>
      </w:pPr>
      <w:bookmarkStart w:id="0" w:name="_gjdgxs" w:colFirst="0" w:colLast="0"/>
      <w:bookmarkEnd w:id="0"/>
    </w:p>
    <w:p w14:paraId="11CFF39E" w14:textId="77777777" w:rsidR="005D2B1B" w:rsidRDefault="005D2B1B" w:rsidP="004B6A8E">
      <w:pPr>
        <w:rPr>
          <w:rFonts w:ascii="Arial" w:hAnsi="Arial" w:cs="Arial"/>
          <w:b/>
          <w:bCs/>
        </w:rPr>
      </w:pPr>
      <w:bookmarkStart w:id="1" w:name="_30j0zll" w:colFirst="0" w:colLast="0"/>
      <w:bookmarkEnd w:id="1"/>
    </w:p>
    <w:p w14:paraId="2DC508E0" w14:textId="77777777" w:rsidR="005D2B1B" w:rsidRDefault="005D2B1B" w:rsidP="004B6A8E">
      <w:pPr>
        <w:rPr>
          <w:rFonts w:ascii="Arial" w:hAnsi="Arial" w:cs="Arial"/>
          <w:b/>
          <w:bCs/>
        </w:rPr>
      </w:pPr>
    </w:p>
    <w:p w14:paraId="3BAECAD4" w14:textId="77777777" w:rsidR="005D2B1B" w:rsidRDefault="005D2B1B" w:rsidP="004B6A8E">
      <w:pPr>
        <w:rPr>
          <w:rFonts w:ascii="Arial" w:hAnsi="Arial" w:cs="Arial"/>
          <w:b/>
          <w:bCs/>
        </w:rPr>
      </w:pPr>
    </w:p>
    <w:p w14:paraId="652BD344" w14:textId="7AF24786" w:rsidR="005D2D75" w:rsidRPr="00625A33" w:rsidRDefault="005D2D75" w:rsidP="004B6A8E">
      <w:pPr>
        <w:rPr>
          <w:rFonts w:ascii="Arial" w:hAnsi="Arial" w:cs="Arial"/>
          <w:b/>
          <w:bCs/>
          <w:i/>
          <w:iCs/>
        </w:rPr>
      </w:pPr>
      <w:r w:rsidRPr="00625A33">
        <w:rPr>
          <w:rFonts w:ascii="Arial" w:hAnsi="Arial" w:cs="Arial"/>
          <w:b/>
          <w:bCs/>
        </w:rPr>
        <w:lastRenderedPageBreak/>
        <w:t>Title: “</w:t>
      </w:r>
      <w:r w:rsidRPr="00625A33">
        <w:rPr>
          <w:rFonts w:ascii="Arial" w:hAnsi="Arial" w:cs="Arial"/>
          <w:b/>
          <w:bCs/>
          <w:i/>
          <w:iCs/>
        </w:rPr>
        <w:t>Double Tree by Hilton, UK: Unveiling the Evolution of HRM's Strategic Role in Workforce Planning, Recruitment, and Selection for Hospitality Excellence"</w:t>
      </w:r>
    </w:p>
    <w:p w14:paraId="5D54CE63" w14:textId="77777777" w:rsidR="005D2D75" w:rsidRPr="00625A33" w:rsidRDefault="005D2D75" w:rsidP="004B6A8E">
      <w:pPr>
        <w:rPr>
          <w:rStyle w:val="text-with-replacments"/>
          <w:rFonts w:ascii="Arial" w:hAnsi="Arial" w:cs="Arial"/>
        </w:rPr>
      </w:pPr>
      <w:r w:rsidRPr="00625A33">
        <w:rPr>
          <w:rStyle w:val="text-with-replacments"/>
          <w:rFonts w:ascii="Arial" w:hAnsi="Arial" w:cs="Arial"/>
        </w:rPr>
        <w:t xml:space="preserve">Human Resources Management (HRM) is a key component in the dynamic world of international hotels’ industry, as it plays a crucial role in understanding and creating optimal conditions for global human resources’ interaction </w:t>
      </w:r>
      <w:r w:rsidRPr="00625A33">
        <w:rPr>
          <w:rFonts w:ascii="Arial" w:hAnsi="Arial" w:cs="Arial"/>
        </w:rPr>
        <w:t>(Belias, Vasiliadis, and Mantas, 2020).</w:t>
      </w:r>
      <w:r w:rsidRPr="00625A33">
        <w:rPr>
          <w:rStyle w:val="text-with-replacments"/>
          <w:rFonts w:ascii="Arial" w:hAnsi="Arial" w:cs="Arial"/>
        </w:rPr>
        <w:t xml:space="preserve"> HRM denotes a strategic approach to managerialism in terms of the workplace, meaning however that human strategy for managing workforce includes all practices, processes and policies devoted to employee management. It is essential for strategic development – the process of outlining organizational strategies </w:t>
      </w:r>
      <w:proofErr w:type="gramStart"/>
      <w:r w:rsidRPr="00625A33">
        <w:rPr>
          <w:rStyle w:val="text-with-replacments"/>
          <w:rFonts w:ascii="Arial" w:hAnsi="Arial" w:cs="Arial"/>
        </w:rPr>
        <w:t>in order to</w:t>
      </w:r>
      <w:proofErr w:type="gramEnd"/>
      <w:r w:rsidRPr="00625A33">
        <w:rPr>
          <w:rStyle w:val="text-with-replacments"/>
          <w:rFonts w:ascii="Arial" w:hAnsi="Arial" w:cs="Arial"/>
        </w:rPr>
        <w:t xml:space="preserve"> implement it as part of achieving long-term goals. In this regard, workforce planning selection and recruitment form the most basic elements </w:t>
      </w:r>
      <w:r w:rsidRPr="00625A33">
        <w:rPr>
          <w:rFonts w:ascii="Arial" w:hAnsi="Arial" w:cs="Arial"/>
        </w:rPr>
        <w:t>(Scullion and Collings, 2018)</w:t>
      </w:r>
      <w:r w:rsidRPr="00625A33">
        <w:rPr>
          <w:rStyle w:val="text-with-replacments"/>
          <w:rFonts w:ascii="Arial" w:hAnsi="Arial" w:cs="Arial"/>
        </w:rPr>
        <w:t xml:space="preserve">. Workforce planning refers to finding and addressing the demands for labour that will be needed in the future organization </w:t>
      </w:r>
      <w:proofErr w:type="gramStart"/>
      <w:r w:rsidRPr="00625A33">
        <w:rPr>
          <w:rStyle w:val="text-with-replacments"/>
          <w:rFonts w:ascii="Arial" w:hAnsi="Arial" w:cs="Arial"/>
        </w:rPr>
        <w:t>in order to</w:t>
      </w:r>
      <w:proofErr w:type="gramEnd"/>
      <w:r w:rsidRPr="00625A33">
        <w:rPr>
          <w:rStyle w:val="text-with-replacments"/>
          <w:rFonts w:ascii="Arial" w:hAnsi="Arial" w:cs="Arial"/>
        </w:rPr>
        <w:t xml:space="preserve"> make sure that there is enough up to date talent so as it can meet its goals. Recruitment and selection are the two processes that serve as interplay between organization and individuals in finding able candidates matching its needs.</w:t>
      </w:r>
      <w:r w:rsidRPr="00625A33">
        <w:rPr>
          <w:rFonts w:ascii="Arial" w:hAnsi="Arial" w:cs="Arial"/>
        </w:rPr>
        <w:t xml:space="preserve"> </w:t>
      </w:r>
      <w:r w:rsidRPr="00625A33">
        <w:rPr>
          <w:rStyle w:val="text-with-replacments"/>
          <w:rFonts w:ascii="Arial" w:hAnsi="Arial" w:cs="Arial"/>
        </w:rPr>
        <w:t xml:space="preserve">To expand, the phenomenon of Double Tree by Hilton in UK should be considered as a good case study to understand these concepts of HRM. Double Tree by Hilton is renowned within the global hotel market; accordingly, as a major player in that industry it will encounter peculiar issues and opportunities both opportunities and issues regarding assimilating its HRM strategies with international operating objectives. What this essay will do is </w:t>
      </w:r>
      <w:proofErr w:type="gramStart"/>
      <w:r w:rsidRPr="00625A33">
        <w:rPr>
          <w:rStyle w:val="text-with-replacments"/>
          <w:rFonts w:ascii="Arial" w:hAnsi="Arial" w:cs="Arial"/>
        </w:rPr>
        <w:t>look into</w:t>
      </w:r>
      <w:proofErr w:type="gramEnd"/>
      <w:r w:rsidRPr="00625A33">
        <w:rPr>
          <w:rStyle w:val="text-with-replacments"/>
          <w:rFonts w:ascii="Arial" w:hAnsi="Arial" w:cs="Arial"/>
        </w:rPr>
        <w:t xml:space="preserve"> the historical progress towards HRM, from an auxiliary support function on to a seat at the corporate table with strategic partner. Next, the talk will shift to the role of HR functions as a strategic component—one that is further meshed into Double Tree by Hilton’s general strategy. In the continuation, emphasis will be given to the process of strategic HR planning that involves planning of labour demand forecasting, strategy formulation alongside implementation of human resource programs. The analysis of the recruitment and selection activities will then be conducted; </w:t>
      </w:r>
      <w:proofErr w:type="spellStart"/>
      <w:r w:rsidRPr="00625A33">
        <w:rPr>
          <w:rStyle w:val="text-with-replacments"/>
          <w:rFonts w:ascii="Arial" w:hAnsi="Arial" w:cs="Arial"/>
        </w:rPr>
        <w:t>analyzing</w:t>
      </w:r>
      <w:proofErr w:type="spellEnd"/>
      <w:r w:rsidRPr="00625A33">
        <w:rPr>
          <w:rStyle w:val="text-with-replacments"/>
          <w:rFonts w:ascii="Arial" w:hAnsi="Arial" w:cs="Arial"/>
        </w:rPr>
        <w:t xml:space="preserve"> how these are in line with Double Tree’s strategic drivers. Finally, the paper will end with </w:t>
      </w:r>
      <w:proofErr w:type="spellStart"/>
      <w:r w:rsidRPr="00625A33">
        <w:rPr>
          <w:rStyle w:val="text-with-replacments"/>
          <w:rFonts w:ascii="Arial" w:hAnsi="Arial" w:cs="Arial"/>
        </w:rPr>
        <w:t>analyzing</w:t>
      </w:r>
      <w:proofErr w:type="spellEnd"/>
      <w:r w:rsidRPr="00625A33">
        <w:rPr>
          <w:rStyle w:val="text-with-replacments"/>
          <w:rFonts w:ascii="Arial" w:hAnsi="Arial" w:cs="Arial"/>
        </w:rPr>
        <w:t xml:space="preserve"> in what way these HR functions play out into broader business development strategies, all resulting to a summary of findings that highlight HRM’s revolutionary nature.</w:t>
      </w:r>
    </w:p>
    <w:p w14:paraId="197EA161" w14:textId="77777777" w:rsidR="005D2D75" w:rsidRPr="00625A33" w:rsidRDefault="005D2D75" w:rsidP="004B6A8E">
      <w:pPr>
        <w:rPr>
          <w:rStyle w:val="text-with-replacments"/>
          <w:rFonts w:ascii="Arial" w:hAnsi="Arial" w:cs="Arial"/>
        </w:rPr>
      </w:pPr>
      <w:r w:rsidRPr="00625A33">
        <w:rPr>
          <w:rStyle w:val="text-with-replacments"/>
          <w:rFonts w:ascii="Arial" w:hAnsi="Arial" w:cs="Arial"/>
        </w:rPr>
        <w:lastRenderedPageBreak/>
        <w:t xml:space="preserve">Human Resources Management (HRM) has evolved from an administrative role to a strategic need for organisational success. HRM began with worker welfare and labour relations during the industrial revolution. As firms matured and workforces became more complicated, HRM expanded to cover employee relations, remuneration, and training, particularly after World War II. Beginning a trend towards employee-centric policies that valued workers as assets rather than labour resources. Maslow's hierarchy of needs and McGregor's Theory X and Theory Y, introduced in the mid-20th century, made employee motivation and leadership styles' effects on productivity more important. Technology transformed HRM in the digital age. HR departments may concentrate on strategic goals thanks to data management tools, online recruiting platforms, and digital training programmes </w:t>
      </w:r>
      <w:r w:rsidRPr="00625A33">
        <w:rPr>
          <w:rFonts w:ascii="Arial" w:hAnsi="Arial" w:cs="Arial"/>
        </w:rPr>
        <w:t>(Cabral and Jabbour, 2020).</w:t>
      </w:r>
      <w:r w:rsidRPr="00625A33">
        <w:rPr>
          <w:rStyle w:val="text-with-replacments"/>
          <w:rFonts w:ascii="Arial" w:hAnsi="Arial" w:cs="Arial"/>
        </w:rPr>
        <w:t xml:space="preserve"> This technology advancement made worldwide communication and managing a varied, multinational workforce simpler, which was crucial for the hotel business, which operates globally. Globalisation expanded HRM, especially in hospitality. Human Resources had to adapt to numerous cultural norms, comply with foreign labour regulations, and apply global talent management methods when hotel brands like Double Tree by Hilton grew abroad. In this era, HRM needed to be nimble and culturally aware to manage a global workforce while preserving service and operational standards. These changes have made HRM a strategic partner for enterprises, particularly hotels. International HRM nowadays involves strategically exploiting human resources to accomplish organisational objectives and meet changing market needs. HRM's role in managing an international hospitality workforce has grown from administrative responsibilities to strategic workforce planning and development. </w:t>
      </w:r>
    </w:p>
    <w:p w14:paraId="2A01D1EB" w14:textId="77777777" w:rsidR="005D2D75" w:rsidRPr="00625A33" w:rsidRDefault="005D2D75" w:rsidP="004B6A8E">
      <w:pPr>
        <w:rPr>
          <w:rStyle w:val="text-with-replacments"/>
          <w:rFonts w:ascii="Arial" w:hAnsi="Arial" w:cs="Arial"/>
        </w:rPr>
      </w:pPr>
      <w:r w:rsidRPr="00625A33">
        <w:rPr>
          <w:rStyle w:val="text-with-replacments"/>
          <w:rFonts w:ascii="Arial" w:hAnsi="Arial" w:cs="Arial"/>
        </w:rPr>
        <w:t xml:space="preserve">In the dynamic and competitive hotel sector, Double Tree by Hilton shows how effective HRM integration may improve company strategy. HR responsibilities at Double Tree are integral to the hotel's strategy framework and brand goals. This integration aligns HR goals with the hotel's overall goals, such as client happiness, operational efficiency, and sustainable development. HR objectives at Double Tree are well aligned with hotel strategy. Double Tree's HRM invests heavily in training and development to ensure that employees are proficient in their jobs and embody the brand's hospitality </w:t>
      </w:r>
      <w:r w:rsidRPr="00625A33">
        <w:rPr>
          <w:rFonts w:ascii="Arial" w:hAnsi="Arial" w:cs="Arial"/>
        </w:rPr>
        <w:t>(Wright and Ulrich, 2023)</w:t>
      </w:r>
      <w:r w:rsidRPr="00625A33">
        <w:rPr>
          <w:rStyle w:val="text-with-replacments"/>
          <w:rFonts w:ascii="Arial" w:hAnsi="Arial" w:cs="Arial"/>
        </w:rPr>
        <w:t xml:space="preserve">. To maintain Double Tree's excellent service standards, these training programmes generally incorporate customer service </w:t>
      </w:r>
      <w:r w:rsidRPr="00625A33">
        <w:rPr>
          <w:rStyle w:val="text-with-replacments"/>
          <w:rFonts w:ascii="Arial" w:hAnsi="Arial" w:cs="Arial"/>
        </w:rPr>
        <w:lastRenderedPageBreak/>
        <w:t xml:space="preserve">excellence modules, cultural sensitivity training, and specialised leadership development for management personnel. Strategic staff planning helps Double Tree HR improve operational efficiency. Staffing demands, particularly during high travel seasons, must be forecasted and talent acquisition techniques used to fill the hotel with skilled workers. Workforce planning reduces hotel interruptions and boosts visitor happiness, meeting Double Tree's operational goals. Strategic HR alignment is shown via Double Tree's employee engagement and retention efforts. The hotel invests on employee well-being and career development since a motivated and dedicated crew is essential to success. Recognition programmes, attractive benefit packages, and career advancement possibilities boost employee loyalty and attract top talent, boosting the hotel's growth and expansion. In essence, Double Tree by Hilton's HR services' strategic role shows how contemporary HRM goes beyond conventional limits to accomplish corporate initiatives. By aligning HR goals with company goals and integrating strategic HR practices into core operations, Double Tree utilises its people resource and strengthens its global hospitality leadership </w:t>
      </w:r>
      <w:r w:rsidRPr="00625A33">
        <w:rPr>
          <w:rFonts w:ascii="Arial" w:hAnsi="Arial" w:cs="Arial"/>
        </w:rPr>
        <w:t xml:space="preserve">(Ulrich </w:t>
      </w:r>
      <w:r w:rsidRPr="00625A33">
        <w:rPr>
          <w:rStyle w:val="Emphasis"/>
          <w:rFonts w:ascii="Arial" w:hAnsi="Arial" w:cs="Arial"/>
        </w:rPr>
        <w:t>et al.</w:t>
      </w:r>
      <w:r w:rsidRPr="00625A33">
        <w:rPr>
          <w:rFonts w:ascii="Arial" w:hAnsi="Arial" w:cs="Arial"/>
        </w:rPr>
        <w:t>, 2021).</w:t>
      </w:r>
    </w:p>
    <w:p w14:paraId="22DEE962" w14:textId="77777777" w:rsidR="005D2D75" w:rsidRPr="00625A33" w:rsidRDefault="005D2D75" w:rsidP="004B6A8E">
      <w:pPr>
        <w:rPr>
          <w:rStyle w:val="text-with-replacments"/>
          <w:rFonts w:ascii="Arial" w:hAnsi="Arial" w:cs="Arial"/>
        </w:rPr>
      </w:pPr>
      <w:r w:rsidRPr="00625A33">
        <w:rPr>
          <w:rStyle w:val="text-with-replacments"/>
          <w:rFonts w:ascii="Arial" w:hAnsi="Arial" w:cs="Arial"/>
        </w:rPr>
        <w:t xml:space="preserve">The overall strategy adopted by Double Tree by Hilton for human resources management through strategic HR planning puts an important clue on how to be accurate in the planning and execution possible to achieve success in operations. At its heart, is the forecasting of </w:t>
      </w:r>
      <w:proofErr w:type="spellStart"/>
      <w:r w:rsidRPr="00625A33">
        <w:rPr>
          <w:rStyle w:val="text-with-replacments"/>
          <w:rFonts w:ascii="Arial" w:hAnsi="Arial" w:cs="Arial"/>
        </w:rPr>
        <w:t>labor</w:t>
      </w:r>
      <w:proofErr w:type="spellEnd"/>
      <w:r w:rsidRPr="00625A33">
        <w:rPr>
          <w:rStyle w:val="text-with-replacments"/>
          <w:rFonts w:ascii="Arial" w:hAnsi="Arial" w:cs="Arial"/>
        </w:rPr>
        <w:t xml:space="preserve"> demand and supply which is one key function that guarantees Double Tree with skilled talent; in the right place at the appropriate time </w:t>
      </w:r>
      <w:r w:rsidRPr="00625A33">
        <w:rPr>
          <w:rFonts w:ascii="Arial" w:hAnsi="Arial" w:cs="Arial"/>
        </w:rPr>
        <w:t>(</w:t>
      </w:r>
      <w:proofErr w:type="spellStart"/>
      <w:r w:rsidRPr="00625A33">
        <w:rPr>
          <w:rFonts w:ascii="Arial" w:hAnsi="Arial" w:cs="Arial"/>
        </w:rPr>
        <w:t>Moscelli</w:t>
      </w:r>
      <w:proofErr w:type="spellEnd"/>
      <w:r w:rsidRPr="00625A33">
        <w:rPr>
          <w:rFonts w:ascii="Arial" w:hAnsi="Arial" w:cs="Arial"/>
        </w:rPr>
        <w:t xml:space="preserve"> </w:t>
      </w:r>
      <w:r w:rsidRPr="00625A33">
        <w:rPr>
          <w:rStyle w:val="Emphasis"/>
          <w:rFonts w:ascii="Arial" w:hAnsi="Arial" w:cs="Arial"/>
        </w:rPr>
        <w:t>et al.</w:t>
      </w:r>
      <w:r w:rsidRPr="00625A33">
        <w:rPr>
          <w:rFonts w:ascii="Arial" w:hAnsi="Arial" w:cs="Arial"/>
        </w:rPr>
        <w:t>, 2022)</w:t>
      </w:r>
      <w:r w:rsidRPr="00625A33">
        <w:rPr>
          <w:rStyle w:val="text-with-replacments"/>
          <w:rFonts w:ascii="Arial" w:hAnsi="Arial" w:cs="Arial"/>
        </w:rPr>
        <w:t xml:space="preserve">. This entails evaluation of both own data </w:t>
      </w:r>
      <w:proofErr w:type="gramStart"/>
      <w:r w:rsidRPr="00625A33">
        <w:rPr>
          <w:rStyle w:val="text-with-replacments"/>
          <w:rFonts w:ascii="Arial" w:hAnsi="Arial" w:cs="Arial"/>
        </w:rPr>
        <w:t>with regard to</w:t>
      </w:r>
      <w:proofErr w:type="gramEnd"/>
      <w:r w:rsidRPr="00625A33">
        <w:rPr>
          <w:rStyle w:val="text-with-replacments"/>
          <w:rFonts w:ascii="Arial" w:hAnsi="Arial" w:cs="Arial"/>
        </w:rPr>
        <w:t xml:space="preserve"> parameters as rates, employee skills and outside factors like market trends while seasonal dips in hospitality </w:t>
      </w:r>
      <w:r w:rsidRPr="00625A33">
        <w:rPr>
          <w:rFonts w:ascii="Arial" w:hAnsi="Arial" w:cs="Arial"/>
        </w:rPr>
        <w:t>(Guest and King, 2020).</w:t>
      </w:r>
      <w:r w:rsidRPr="00625A33">
        <w:rPr>
          <w:rStyle w:val="text-with-replacments"/>
          <w:rFonts w:ascii="Arial" w:hAnsi="Arial" w:cs="Arial"/>
        </w:rPr>
        <w:t xml:space="preserve"> For example, waiting for a rise in demand during high-season tourist periods, Double Tree may go ahead to plan on the need for temporary staff hires or that of cross training existing employees to handle multiple functions. The move is aimed at ensuring uncompromised guest service </w:t>
      </w:r>
      <w:r w:rsidRPr="00625A33">
        <w:rPr>
          <w:rFonts w:ascii="Arial" w:hAnsi="Arial" w:cs="Arial"/>
        </w:rPr>
        <w:t>(</w:t>
      </w:r>
      <w:proofErr w:type="spellStart"/>
      <w:r w:rsidRPr="00625A33">
        <w:rPr>
          <w:rFonts w:ascii="Arial" w:hAnsi="Arial" w:cs="Arial"/>
        </w:rPr>
        <w:t>Harzing</w:t>
      </w:r>
      <w:proofErr w:type="spellEnd"/>
      <w:r w:rsidRPr="00625A33">
        <w:rPr>
          <w:rFonts w:ascii="Arial" w:hAnsi="Arial" w:cs="Arial"/>
        </w:rPr>
        <w:t xml:space="preserve"> and </w:t>
      </w:r>
      <w:proofErr w:type="spellStart"/>
      <w:r w:rsidRPr="00625A33">
        <w:rPr>
          <w:rFonts w:ascii="Arial" w:hAnsi="Arial" w:cs="Arial"/>
        </w:rPr>
        <w:t>Pinnington</w:t>
      </w:r>
      <w:proofErr w:type="spellEnd"/>
      <w:r w:rsidRPr="00625A33">
        <w:rPr>
          <w:rFonts w:ascii="Arial" w:hAnsi="Arial" w:cs="Arial"/>
        </w:rPr>
        <w:t xml:space="preserve">, 2015). </w:t>
      </w:r>
      <w:r w:rsidRPr="00625A33">
        <w:rPr>
          <w:rStyle w:val="text-with-replacments"/>
          <w:rFonts w:ascii="Arial" w:hAnsi="Arial" w:cs="Arial"/>
        </w:rPr>
        <w:t xml:space="preserve">Establishment of HR goal setting is always in relation to the strategic business for an organization as a hotel set. Goals are established not only to respond to short-term requirements of staffing, but also build long run workforce development which is in line with Double Tree’s vision for sustainable growth and </w:t>
      </w:r>
      <w:proofErr w:type="gramStart"/>
      <w:r w:rsidRPr="00625A33">
        <w:rPr>
          <w:rStyle w:val="text-with-replacments"/>
          <w:rFonts w:ascii="Arial" w:hAnsi="Arial" w:cs="Arial"/>
        </w:rPr>
        <w:t>top class</w:t>
      </w:r>
      <w:proofErr w:type="gramEnd"/>
      <w:r w:rsidRPr="00625A33">
        <w:rPr>
          <w:rStyle w:val="text-with-replacments"/>
          <w:rFonts w:ascii="Arial" w:hAnsi="Arial" w:cs="Arial"/>
        </w:rPr>
        <w:t xml:space="preserve"> customer being adequately addressed. Such objectives can be such as few </w:t>
      </w:r>
      <w:proofErr w:type="gramStart"/>
      <w:r w:rsidRPr="00625A33">
        <w:rPr>
          <w:rStyle w:val="text-with-replacments"/>
          <w:rFonts w:ascii="Arial" w:hAnsi="Arial" w:cs="Arial"/>
        </w:rPr>
        <w:t>employee</w:t>
      </w:r>
      <w:proofErr w:type="gramEnd"/>
      <w:r w:rsidRPr="00625A33">
        <w:rPr>
          <w:rStyle w:val="text-with-replacments"/>
          <w:rFonts w:ascii="Arial" w:hAnsi="Arial" w:cs="Arial"/>
        </w:rPr>
        <w:t xml:space="preserve"> engagement, retention rate or leadership pipelines </w:t>
      </w:r>
      <w:r w:rsidRPr="00625A33">
        <w:rPr>
          <w:rFonts w:ascii="Arial" w:hAnsi="Arial" w:cs="Arial"/>
        </w:rPr>
        <w:t xml:space="preserve">(Gallardo-Gallardo, </w:t>
      </w:r>
      <w:proofErr w:type="spellStart"/>
      <w:r w:rsidRPr="00625A33">
        <w:rPr>
          <w:rFonts w:ascii="Arial" w:hAnsi="Arial" w:cs="Arial"/>
        </w:rPr>
        <w:t>Thunnissen</w:t>
      </w:r>
      <w:proofErr w:type="spellEnd"/>
      <w:r w:rsidRPr="00625A33">
        <w:rPr>
          <w:rFonts w:ascii="Arial" w:hAnsi="Arial" w:cs="Arial"/>
        </w:rPr>
        <w:t>, and Scullion, 2020)</w:t>
      </w:r>
      <w:r w:rsidRPr="00625A33">
        <w:rPr>
          <w:rStyle w:val="text-with-replacments"/>
          <w:rFonts w:ascii="Arial" w:hAnsi="Arial" w:cs="Arial"/>
        </w:rPr>
        <w:t xml:space="preserve">. For instance, Double Tree could introduce a </w:t>
      </w:r>
      <w:r w:rsidRPr="00625A33">
        <w:rPr>
          <w:rStyle w:val="text-with-replacments"/>
          <w:rFonts w:ascii="Arial" w:hAnsi="Arial" w:cs="Arial"/>
        </w:rPr>
        <w:lastRenderedPageBreak/>
        <w:t xml:space="preserve">leadership development program targeted at progressing </w:t>
      </w:r>
      <w:proofErr w:type="gramStart"/>
      <w:r w:rsidRPr="00625A33">
        <w:rPr>
          <w:rStyle w:val="text-with-replacments"/>
          <w:rFonts w:ascii="Arial" w:hAnsi="Arial" w:cs="Arial"/>
        </w:rPr>
        <w:t>high-potentials</w:t>
      </w:r>
      <w:proofErr w:type="gramEnd"/>
      <w:r w:rsidRPr="00625A33">
        <w:rPr>
          <w:rStyle w:val="text-with-replacments"/>
          <w:rFonts w:ascii="Arial" w:hAnsi="Arial" w:cs="Arial"/>
        </w:rPr>
        <w:t xml:space="preserve"> toward readiness for roles of leaders in future as well offering the operations the managerial succession planning.</w:t>
      </w:r>
      <w:r w:rsidRPr="00625A33">
        <w:rPr>
          <w:rFonts w:ascii="Arial" w:hAnsi="Arial" w:cs="Arial"/>
        </w:rPr>
        <w:t xml:space="preserve"> </w:t>
      </w:r>
      <w:r w:rsidRPr="00625A33">
        <w:rPr>
          <w:rStyle w:val="text-with-replacments"/>
          <w:rFonts w:ascii="Arial" w:hAnsi="Arial" w:cs="Arial"/>
        </w:rPr>
        <w:t xml:space="preserve">HR programs at Double Tree are continuously implemented and subjected to evaluation </w:t>
      </w:r>
      <w:r w:rsidRPr="00625A33">
        <w:rPr>
          <w:rFonts w:ascii="Arial" w:hAnsi="Arial" w:cs="Arial"/>
        </w:rPr>
        <w:t>(Sparrow, Brewster, and Chung, 2016)</w:t>
      </w:r>
      <w:r w:rsidRPr="00625A33">
        <w:rPr>
          <w:rStyle w:val="text-with-replacments"/>
          <w:rFonts w:ascii="Arial" w:hAnsi="Arial" w:cs="Arial"/>
        </w:rPr>
        <w:t xml:space="preserve">. Both these programs are assessed on comparison with the predetermined metrics that correlate their performance to strategically defined goals. Among the feedback functions that are part and parcel of this evaluation process, there is employee surveys together with performance measurements </w:t>
      </w:r>
      <w:r w:rsidRPr="00625A33">
        <w:rPr>
          <w:rFonts w:ascii="Arial" w:hAnsi="Arial" w:cs="Arial"/>
        </w:rPr>
        <w:t>(</w:t>
      </w:r>
      <w:proofErr w:type="spellStart"/>
      <w:r w:rsidRPr="00625A33">
        <w:rPr>
          <w:rFonts w:ascii="Arial" w:hAnsi="Arial" w:cs="Arial"/>
        </w:rPr>
        <w:t>Pelit</w:t>
      </w:r>
      <w:proofErr w:type="spellEnd"/>
      <w:r w:rsidRPr="00625A33">
        <w:rPr>
          <w:rFonts w:ascii="Arial" w:hAnsi="Arial" w:cs="Arial"/>
        </w:rPr>
        <w:t xml:space="preserve"> and </w:t>
      </w:r>
      <w:proofErr w:type="spellStart"/>
      <w:r w:rsidRPr="00625A33">
        <w:rPr>
          <w:rFonts w:ascii="Arial" w:hAnsi="Arial" w:cs="Arial"/>
        </w:rPr>
        <w:t>Katircioglu</w:t>
      </w:r>
      <w:proofErr w:type="spellEnd"/>
      <w:r w:rsidRPr="00625A33">
        <w:rPr>
          <w:rFonts w:ascii="Arial" w:hAnsi="Arial" w:cs="Arial"/>
        </w:rPr>
        <w:t>, 2022).</w:t>
      </w:r>
      <w:r w:rsidRPr="00625A33">
        <w:rPr>
          <w:rStyle w:val="text-with-replacments"/>
          <w:rFonts w:ascii="Arial" w:hAnsi="Arial" w:cs="Arial"/>
        </w:rPr>
        <w:t xml:space="preserve"> This is because these evaluations help identify modifications of HR, which are then subject to continuous upgrades through the loop </w:t>
      </w:r>
      <w:r w:rsidRPr="00625A33">
        <w:rPr>
          <w:rFonts w:ascii="Arial" w:hAnsi="Arial" w:cs="Arial"/>
        </w:rPr>
        <w:t>(Nikolaou, 2021)</w:t>
      </w:r>
      <w:r w:rsidRPr="00625A33">
        <w:rPr>
          <w:rStyle w:val="text-with-replacments"/>
          <w:rFonts w:ascii="Arial" w:hAnsi="Arial" w:cs="Arial"/>
        </w:rPr>
        <w:t xml:space="preserve">. For instance, to make the work-life balance issue more favourable if there are employee engagement scores that showcase the need to improve this factor Double Tree can offer a variety of options such as flexible working hours and wellness programs which in turn increase employee satisfaction which directly leads to better service quality </w:t>
      </w:r>
      <w:r w:rsidRPr="00625A33">
        <w:rPr>
          <w:rFonts w:ascii="Arial" w:hAnsi="Arial" w:cs="Arial"/>
        </w:rPr>
        <w:t>(Kishore, 2017).</w:t>
      </w:r>
    </w:p>
    <w:p w14:paraId="5CAC133D" w14:textId="77777777" w:rsidR="005D2D75" w:rsidRPr="00625A33" w:rsidRDefault="005D2D75" w:rsidP="004B6A8E">
      <w:pPr>
        <w:rPr>
          <w:rStyle w:val="text-with-replacments"/>
          <w:rFonts w:ascii="Arial" w:hAnsi="Arial" w:cs="Arial"/>
        </w:rPr>
      </w:pPr>
      <w:r w:rsidRPr="00625A33">
        <w:rPr>
          <w:rStyle w:val="text-with-replacments"/>
          <w:rFonts w:ascii="Arial" w:hAnsi="Arial" w:cs="Arial"/>
        </w:rPr>
        <w:t xml:space="preserve">The careful administration and finalization of the Double Tree by Hilton recruitment and selection process can successfully be described as a perfectly tuned mechanism, which is meticulously synchronized with the company’s strategic mission to not only achieve a human capital acquisition but also find culturally compatible personnel equipped with suitable knowledge base. These begins with a clear knowledge of Double Tree’s specialized needs, whichever department it is, front line staff, culinary persons or </w:t>
      </w:r>
      <w:proofErr w:type="gramStart"/>
      <w:r w:rsidRPr="00625A33">
        <w:rPr>
          <w:rStyle w:val="text-with-replacments"/>
          <w:rFonts w:ascii="Arial" w:hAnsi="Arial" w:cs="Arial"/>
        </w:rPr>
        <w:t>managers;</w:t>
      </w:r>
      <w:proofErr w:type="gramEnd"/>
      <w:r w:rsidRPr="00625A33">
        <w:rPr>
          <w:rStyle w:val="text-with-replacments"/>
          <w:rFonts w:ascii="Arial" w:hAnsi="Arial" w:cs="Arial"/>
        </w:rPr>
        <w:t xml:space="preserve"> since each of them has unique competences and skills. This knowledge informs the targeted recruitment drives; whereby an expansive pool of candidates </w:t>
      </w:r>
      <w:proofErr w:type="gramStart"/>
      <w:r w:rsidRPr="00625A33">
        <w:rPr>
          <w:rStyle w:val="text-with-replacments"/>
          <w:rFonts w:ascii="Arial" w:hAnsi="Arial" w:cs="Arial"/>
        </w:rPr>
        <w:t>are</w:t>
      </w:r>
      <w:proofErr w:type="gramEnd"/>
      <w:r w:rsidRPr="00625A33">
        <w:rPr>
          <w:rStyle w:val="text-with-replacments"/>
          <w:rFonts w:ascii="Arial" w:hAnsi="Arial" w:cs="Arial"/>
        </w:rPr>
        <w:t xml:space="preserve"> aimed at to bring forth diversity in staffing. For example, Double Tree could take advantage of social media sites, recruitment fairs relating to and universities collaborative programs in finding candidates highlighting brand values such as emphasis on quality, career progression opportunities and their more inclusive work culture.</w:t>
      </w:r>
      <w:r w:rsidRPr="00625A33">
        <w:rPr>
          <w:rFonts w:ascii="Arial" w:hAnsi="Arial" w:cs="Arial"/>
        </w:rPr>
        <w:t xml:space="preserve"> </w:t>
      </w:r>
      <w:r w:rsidRPr="00625A33">
        <w:rPr>
          <w:rStyle w:val="text-with-replacments"/>
          <w:rFonts w:ascii="Arial" w:hAnsi="Arial" w:cs="Arial"/>
        </w:rPr>
        <w:t xml:space="preserve">The process of screening and selecting at Double Tree is multipronged and include various identification tools and techniques to determine the ability of potential employees. Most of Double Tree’s selection follows the initial screening and preliminary interviews that may be technical but also serves to identify candidates whose cultural values are compatible with those of Double Tree </w:t>
      </w:r>
      <w:r w:rsidRPr="00625A33">
        <w:rPr>
          <w:rFonts w:ascii="Arial" w:hAnsi="Arial" w:cs="Arial"/>
        </w:rPr>
        <w:t>(Horn, 2009).</w:t>
      </w:r>
      <w:r w:rsidRPr="00625A33">
        <w:rPr>
          <w:rStyle w:val="text-with-replacments"/>
          <w:rFonts w:ascii="Arial" w:hAnsi="Arial" w:cs="Arial"/>
        </w:rPr>
        <w:t xml:space="preserve"> A candidate’s </w:t>
      </w:r>
      <w:proofErr w:type="gramStart"/>
      <w:r w:rsidRPr="00625A33">
        <w:rPr>
          <w:rStyle w:val="text-with-replacments"/>
          <w:rFonts w:ascii="Arial" w:hAnsi="Arial" w:cs="Arial"/>
        </w:rPr>
        <w:t>problem solving</w:t>
      </w:r>
      <w:proofErr w:type="gramEnd"/>
      <w:r w:rsidRPr="00625A33">
        <w:rPr>
          <w:rStyle w:val="text-with-replacments"/>
          <w:rFonts w:ascii="Arial" w:hAnsi="Arial" w:cs="Arial"/>
        </w:rPr>
        <w:t xml:space="preserve"> skills, customer service orientation, and adaptability are key criteria for a successful selection process in the hospitality business. Assessment </w:t>
      </w:r>
      <w:r w:rsidRPr="00625A33">
        <w:rPr>
          <w:rStyle w:val="text-with-replacments"/>
          <w:rFonts w:ascii="Arial" w:hAnsi="Arial" w:cs="Arial"/>
        </w:rPr>
        <w:lastRenderedPageBreak/>
        <w:t xml:space="preserve">methods often do not reflect the peculiarities of this industry and use </w:t>
      </w:r>
      <w:proofErr w:type="spellStart"/>
      <w:r w:rsidRPr="00625A33">
        <w:rPr>
          <w:rStyle w:val="text-with-replacments"/>
          <w:rFonts w:ascii="Arial" w:hAnsi="Arial" w:cs="Arial"/>
        </w:rPr>
        <w:t>behavioral</w:t>
      </w:r>
      <w:proofErr w:type="spellEnd"/>
      <w:r w:rsidRPr="00625A33">
        <w:rPr>
          <w:rStyle w:val="text-with-replacments"/>
          <w:rFonts w:ascii="Arial" w:hAnsi="Arial" w:cs="Arial"/>
        </w:rPr>
        <w:t xml:space="preserve"> interviews, role play vignettes or situational judgment tests to evaluate candidates for these competencies. At the same time, Double Tree focuses on the strengths of the team fit and its potential for developing within a company system with several rounds of different interviews held to observe all stakeholders’ perceptions.</w:t>
      </w:r>
      <w:r w:rsidRPr="00625A33">
        <w:rPr>
          <w:rFonts w:ascii="Arial" w:hAnsi="Arial" w:cs="Arial"/>
        </w:rPr>
        <w:t xml:space="preserve"> </w:t>
      </w:r>
      <w:r w:rsidRPr="00625A33">
        <w:rPr>
          <w:rStyle w:val="text-with-replacments"/>
          <w:rFonts w:ascii="Arial" w:hAnsi="Arial" w:cs="Arial"/>
        </w:rPr>
        <w:t xml:space="preserve">Virtual reality experiences during job fairs, where candidates can assume participation in the operational activities of Double Tree would be worthy of mentioning as one specific detail regarding innovative recruitment methods. This not only nurtures an exceptional candidate journey but also, translates into a means that helps in measuring the candidates’ level of readiness and passion for working in the hospitality context. In addition, assessment </w:t>
      </w:r>
      <w:proofErr w:type="spellStart"/>
      <w:r w:rsidRPr="00625A33">
        <w:rPr>
          <w:rStyle w:val="text-with-replacments"/>
          <w:rFonts w:ascii="Arial" w:hAnsi="Arial" w:cs="Arial"/>
        </w:rPr>
        <w:t>centers</w:t>
      </w:r>
      <w:proofErr w:type="spellEnd"/>
      <w:r w:rsidRPr="00625A33">
        <w:rPr>
          <w:rStyle w:val="text-with-replacments"/>
          <w:rFonts w:ascii="Arial" w:hAnsi="Arial" w:cs="Arial"/>
        </w:rPr>
        <w:t xml:space="preserve"> for managerial roles may be employed through a session of activities that demonstrate reality challenges. The recruiting and selection process at Double Tree by Hilton is carefully designed to meet its strategic goals of establishing a strong, culturally cohesive, and talented team </w:t>
      </w:r>
      <w:r w:rsidRPr="00625A33">
        <w:rPr>
          <w:rFonts w:ascii="Arial" w:hAnsi="Arial" w:cs="Arial"/>
        </w:rPr>
        <w:t xml:space="preserve">(Xu </w:t>
      </w:r>
      <w:r w:rsidRPr="00625A33">
        <w:rPr>
          <w:rStyle w:val="Emphasis"/>
          <w:rFonts w:ascii="Arial" w:hAnsi="Arial" w:cs="Arial"/>
        </w:rPr>
        <w:t>et al.</w:t>
      </w:r>
      <w:r w:rsidRPr="00625A33">
        <w:rPr>
          <w:rFonts w:ascii="Arial" w:hAnsi="Arial" w:cs="Arial"/>
        </w:rPr>
        <w:t>, 2020)</w:t>
      </w:r>
      <w:r w:rsidRPr="00625A33">
        <w:rPr>
          <w:rStyle w:val="text-with-replacments"/>
          <w:rFonts w:ascii="Arial" w:hAnsi="Arial" w:cs="Arial"/>
        </w:rPr>
        <w:t>. This procedure maintains Double Tree's reputation for quality and competitive edge in the fast-paced hotel sector.</w:t>
      </w:r>
    </w:p>
    <w:p w14:paraId="506B05AB" w14:textId="77777777" w:rsidR="005D2D75" w:rsidRPr="00625A33" w:rsidRDefault="005D2D75" w:rsidP="004B6A8E">
      <w:pPr>
        <w:rPr>
          <w:rStyle w:val="text-with-replacments"/>
          <w:rFonts w:ascii="Arial" w:hAnsi="Arial" w:cs="Arial"/>
        </w:rPr>
      </w:pPr>
      <w:r w:rsidRPr="00625A33">
        <w:rPr>
          <w:rStyle w:val="text-with-replacments"/>
          <w:rFonts w:ascii="Arial" w:hAnsi="Arial" w:cs="Arial"/>
        </w:rPr>
        <w:t xml:space="preserve">Double Tree by Hilton's integration of HRM into company development shows how important HR is to organisational progress. Double Tree's HR planning, recruiting, and selection are integrated into its company strategy. HR activities immediately promote brand development and expansion with this integration. For instance, the HR staff helps Double Tree organise its personnel when opening a new location or entering a new market. To take advantage of local insights and the brand's service culture, the new institution must choose the best balance of local hiring and internal transfers. Double Tree also customises its hiring and selection procedures for new businesses </w:t>
      </w:r>
      <w:r w:rsidRPr="00625A33">
        <w:rPr>
          <w:rFonts w:ascii="Arial" w:hAnsi="Arial" w:cs="Arial"/>
        </w:rPr>
        <w:t xml:space="preserve">(Yusoff </w:t>
      </w:r>
      <w:r w:rsidRPr="00625A33">
        <w:rPr>
          <w:rStyle w:val="Emphasis"/>
          <w:rFonts w:ascii="Arial" w:hAnsi="Arial" w:cs="Arial"/>
        </w:rPr>
        <w:t>et al.</w:t>
      </w:r>
      <w:r w:rsidRPr="00625A33">
        <w:rPr>
          <w:rFonts w:ascii="Arial" w:hAnsi="Arial" w:cs="Arial"/>
        </w:rPr>
        <w:t>, 2020)</w:t>
      </w:r>
      <w:r w:rsidRPr="00625A33">
        <w:rPr>
          <w:rStyle w:val="text-with-replacments"/>
          <w:rFonts w:ascii="Arial" w:hAnsi="Arial" w:cs="Arial"/>
        </w:rPr>
        <w:t xml:space="preserve">. For example, a new hotel launching may seek applicants with certain language abilities or local cultural awareness to better serve a broad customer. Through its cultural fit and service excellence selection process, Double Tree employs employees who are not just skilled but also brand advocates </w:t>
      </w:r>
      <w:r w:rsidRPr="00625A33">
        <w:rPr>
          <w:rFonts w:ascii="Arial" w:hAnsi="Arial" w:cs="Arial"/>
        </w:rPr>
        <w:t>(Marchington and Wilkinson, 2016)</w:t>
      </w:r>
      <w:r w:rsidRPr="00625A33">
        <w:rPr>
          <w:rStyle w:val="text-with-replacments"/>
          <w:rFonts w:ascii="Arial" w:hAnsi="Arial" w:cs="Arial"/>
        </w:rPr>
        <w:t xml:space="preserve">. HRM also helps Double Tree scale and adapt its staff, which is crucial for hospitality industry growth. The brand develops a pool of multi-skilled people that can be quickly deployed across departments to ensure operational efficiency and continuity during peak times or new endeavours. The strategic integration of HRM in business development at Double Tree by Hilton aligns worker capabilities with the </w:t>
      </w:r>
      <w:r w:rsidRPr="00625A33">
        <w:rPr>
          <w:rStyle w:val="text-with-replacments"/>
          <w:rFonts w:ascii="Arial" w:hAnsi="Arial" w:cs="Arial"/>
        </w:rPr>
        <w:lastRenderedPageBreak/>
        <w:t xml:space="preserve">brand's growth ambitions. When HR strategy, recruiting, and selection align with business development plans, Double Tree guarantees that its team drives its worldwide hotel success and growth </w:t>
      </w:r>
      <w:r w:rsidRPr="00625A33">
        <w:rPr>
          <w:rFonts w:ascii="Arial" w:hAnsi="Arial" w:cs="Arial"/>
        </w:rPr>
        <w:t xml:space="preserve">(Machado </w:t>
      </w:r>
      <w:r w:rsidRPr="00625A33">
        <w:rPr>
          <w:rStyle w:val="Emphasis"/>
          <w:rFonts w:ascii="Arial" w:hAnsi="Arial" w:cs="Arial"/>
        </w:rPr>
        <w:t>et al.</w:t>
      </w:r>
      <w:r w:rsidRPr="00625A33">
        <w:rPr>
          <w:rFonts w:ascii="Arial" w:hAnsi="Arial" w:cs="Arial"/>
        </w:rPr>
        <w:t>, 2019).</w:t>
      </w:r>
    </w:p>
    <w:p w14:paraId="34C54A49" w14:textId="77777777" w:rsidR="005D2D75" w:rsidRPr="00625A33" w:rsidRDefault="005D2D75" w:rsidP="004B6A8E">
      <w:pPr>
        <w:rPr>
          <w:rFonts w:ascii="Arial" w:hAnsi="Arial" w:cs="Arial"/>
        </w:rPr>
      </w:pPr>
      <w:r w:rsidRPr="00625A33">
        <w:rPr>
          <w:rFonts w:ascii="Arial" w:hAnsi="Arial" w:cs="Arial"/>
        </w:rPr>
        <w:t xml:space="preserve">In conclusion, the analysis of HRM’s strategic goal of Double Tree by Hilton UK has shed light on the importance that took it had to develop and prosper in the industry. The perils of HRM from an administrative function to a cooperative partner way points out the growing importance of HRM in the worldwide hotel market. While at Double Tree, HRM cannot be limited to dealing with employees as it is now; managing people is an important part of strategizing all the way from workforce planning and talent acquisition to a culture that emphasizes on where this hotel sees itself (Friedman, 2012). The HR practices largely underpinned by Double Tree’s mission and vision are in line with the company’s objectives of lining up the right team to sail through market expansions and new ventures, a clear pointer that they have an important role to play in HRM (Gonzalez, Gasco, and Llopis, 2020). When we consider the future of hospitality strategic HRM has a lot to offer in terms of both internal management cycle, and external forces. During any advancement, HRM will forge an allied role as the sector undergoes transformations responding to change significantly and thriving towards innovations. Focus on the business development at which HR issues should integrate with strategic directions of business; talent management, </w:t>
      </w:r>
      <w:proofErr w:type="gramStart"/>
      <w:r w:rsidRPr="00625A33">
        <w:rPr>
          <w:rFonts w:ascii="Arial" w:hAnsi="Arial" w:cs="Arial"/>
        </w:rPr>
        <w:t>diversity</w:t>
      </w:r>
      <w:proofErr w:type="gramEnd"/>
      <w:r w:rsidRPr="00625A33">
        <w:rPr>
          <w:rFonts w:ascii="Arial" w:hAnsi="Arial" w:cs="Arial"/>
        </w:rPr>
        <w:t xml:space="preserve"> and adaptability to context – will be postulates for long-term development in an intensively changing character of hotels’ industry.</w:t>
      </w:r>
    </w:p>
    <w:p w14:paraId="0FBFB235" w14:textId="77777777" w:rsidR="005D2D75" w:rsidRPr="00625A33" w:rsidRDefault="005D2D75" w:rsidP="004B6A8E">
      <w:pPr>
        <w:rPr>
          <w:rStyle w:val="text-with-replacments"/>
          <w:rFonts w:ascii="Arial" w:hAnsi="Arial" w:cs="Arial"/>
        </w:rPr>
      </w:pPr>
    </w:p>
    <w:p w14:paraId="48244D02" w14:textId="77777777" w:rsidR="005D2D75" w:rsidRPr="00625A33" w:rsidRDefault="005D2D75" w:rsidP="004B6A8E">
      <w:pPr>
        <w:rPr>
          <w:rStyle w:val="text-with-replacments"/>
          <w:rFonts w:ascii="Arial" w:hAnsi="Arial" w:cs="Arial"/>
          <w:b/>
          <w:color w:val="2F5496"/>
        </w:rPr>
      </w:pPr>
      <w:r w:rsidRPr="00625A33">
        <w:rPr>
          <w:rStyle w:val="text-with-replacments"/>
          <w:rFonts w:ascii="Arial" w:hAnsi="Arial" w:cs="Arial"/>
        </w:rPr>
        <w:br w:type="page"/>
      </w:r>
    </w:p>
    <w:p w14:paraId="33AB1095" w14:textId="77777777" w:rsidR="005D2D75" w:rsidRPr="00625A33" w:rsidRDefault="005D2D75" w:rsidP="004B6A8E">
      <w:pPr>
        <w:pStyle w:val="Heading1"/>
        <w:rPr>
          <w:rStyle w:val="text-with-replacments"/>
          <w:rFonts w:ascii="Arial" w:hAnsi="Arial" w:cs="Arial"/>
          <w:sz w:val="24"/>
          <w:szCs w:val="24"/>
        </w:rPr>
      </w:pPr>
      <w:r w:rsidRPr="00625A33">
        <w:rPr>
          <w:rStyle w:val="text-with-replacments"/>
          <w:rFonts w:ascii="Arial" w:hAnsi="Arial" w:cs="Arial"/>
          <w:sz w:val="24"/>
          <w:szCs w:val="24"/>
        </w:rPr>
        <w:lastRenderedPageBreak/>
        <w:t xml:space="preserve">Reference </w:t>
      </w:r>
    </w:p>
    <w:p w14:paraId="44A7E936" w14:textId="77777777" w:rsidR="005D2D75" w:rsidRPr="00625A33" w:rsidRDefault="005D2D75" w:rsidP="004B6A8E">
      <w:pPr>
        <w:rPr>
          <w:rFonts w:ascii="Arial" w:hAnsi="Arial" w:cs="Arial"/>
        </w:rPr>
      </w:pPr>
      <w:r w:rsidRPr="00625A33">
        <w:rPr>
          <w:rFonts w:ascii="Arial" w:hAnsi="Arial" w:cs="Arial"/>
        </w:rPr>
        <w:t xml:space="preserve">Belias, D., Vasiliadis, L. and Mantas, C., (2020). The human resource training and development of employees working on luxurious hotels in Greece. In </w:t>
      </w:r>
      <w:r w:rsidRPr="00625A33">
        <w:rPr>
          <w:rFonts w:ascii="Arial" w:hAnsi="Arial" w:cs="Arial"/>
          <w:i/>
          <w:iCs/>
        </w:rPr>
        <w:t xml:space="preserve">Cultural and Tourism Innovation in the Digital Era: Sixth International </w:t>
      </w:r>
      <w:proofErr w:type="spellStart"/>
      <w:r w:rsidRPr="00625A33">
        <w:rPr>
          <w:rFonts w:ascii="Arial" w:hAnsi="Arial" w:cs="Arial"/>
          <w:i/>
          <w:iCs/>
        </w:rPr>
        <w:t>IACuDiT</w:t>
      </w:r>
      <w:proofErr w:type="spellEnd"/>
      <w:r w:rsidRPr="00625A33">
        <w:rPr>
          <w:rFonts w:ascii="Arial" w:hAnsi="Arial" w:cs="Arial"/>
          <w:i/>
          <w:iCs/>
        </w:rPr>
        <w:t xml:space="preserve"> Conference, Athens 2019</w:t>
      </w:r>
      <w:r w:rsidRPr="00625A33">
        <w:rPr>
          <w:rFonts w:ascii="Arial" w:hAnsi="Arial" w:cs="Arial"/>
        </w:rPr>
        <w:t xml:space="preserve"> (pp. 639-648). Springer International Publishing.</w:t>
      </w:r>
    </w:p>
    <w:p w14:paraId="78AAA896" w14:textId="77777777" w:rsidR="005D2D75" w:rsidRPr="00625A33" w:rsidRDefault="005D2D75" w:rsidP="004B6A8E">
      <w:pPr>
        <w:rPr>
          <w:rStyle w:val="Hyperlink"/>
          <w:rFonts w:ascii="Arial" w:hAnsi="Arial" w:cs="Arial"/>
        </w:rPr>
      </w:pPr>
      <w:r w:rsidRPr="00625A33">
        <w:rPr>
          <w:rFonts w:ascii="Arial" w:hAnsi="Arial" w:cs="Arial"/>
        </w:rPr>
        <w:t xml:space="preserve">Cabral, C. and Jabbour, C.J.C., 2020. Understanding the human side of green hospitality management. </w:t>
      </w:r>
      <w:r w:rsidRPr="00625A33">
        <w:rPr>
          <w:rFonts w:ascii="Arial" w:hAnsi="Arial" w:cs="Arial"/>
          <w:i/>
          <w:iCs/>
        </w:rPr>
        <w:t>International Journal of Hospitality Management</w:t>
      </w:r>
      <w:r w:rsidRPr="00625A33">
        <w:rPr>
          <w:rFonts w:ascii="Arial" w:hAnsi="Arial" w:cs="Arial"/>
        </w:rPr>
        <w:t xml:space="preserve">, </w:t>
      </w:r>
      <w:r w:rsidRPr="00625A33">
        <w:rPr>
          <w:rFonts w:ascii="Arial" w:hAnsi="Arial" w:cs="Arial"/>
          <w:i/>
          <w:iCs/>
        </w:rPr>
        <w:t>88</w:t>
      </w:r>
      <w:r w:rsidRPr="00625A33">
        <w:rPr>
          <w:rFonts w:ascii="Arial" w:hAnsi="Arial" w:cs="Arial"/>
        </w:rPr>
        <w:t xml:space="preserve">, p.102389. Available at: </w:t>
      </w:r>
      <w:hyperlink r:id="rId6" w:history="1">
        <w:r w:rsidRPr="00625A33">
          <w:rPr>
            <w:rStyle w:val="Hyperlink"/>
            <w:rFonts w:ascii="Arial" w:hAnsi="Arial" w:cs="Arial"/>
          </w:rPr>
          <w:t>https://doi.org/10.1016/j.ijhm.2019.102389</w:t>
        </w:r>
      </w:hyperlink>
    </w:p>
    <w:p w14:paraId="461278E1" w14:textId="77777777" w:rsidR="005D2D75" w:rsidRPr="00625A33" w:rsidRDefault="005D2D75" w:rsidP="004B6A8E">
      <w:pPr>
        <w:rPr>
          <w:rFonts w:ascii="Arial" w:hAnsi="Arial" w:cs="Arial"/>
        </w:rPr>
      </w:pPr>
      <w:r w:rsidRPr="00625A33">
        <w:rPr>
          <w:rFonts w:ascii="Arial" w:hAnsi="Arial" w:cs="Arial"/>
        </w:rPr>
        <w:t xml:space="preserve">Friedman, A. (2012) Continuing professional development: lifelong learning of millions. London: </w:t>
      </w:r>
      <w:proofErr w:type="spellStart"/>
      <w:r w:rsidRPr="00625A33">
        <w:rPr>
          <w:rFonts w:ascii="Arial" w:hAnsi="Arial" w:cs="Arial"/>
        </w:rPr>
        <w:t>Routled</w:t>
      </w:r>
      <w:proofErr w:type="spellEnd"/>
      <w:r w:rsidRPr="00625A33">
        <w:rPr>
          <w:rFonts w:ascii="Arial" w:hAnsi="Arial" w:cs="Arial"/>
        </w:rPr>
        <w:t>.</w:t>
      </w:r>
    </w:p>
    <w:p w14:paraId="4DB42947" w14:textId="77777777" w:rsidR="005D2D75" w:rsidRPr="00625A33" w:rsidRDefault="005D2D75" w:rsidP="004B6A8E">
      <w:pPr>
        <w:rPr>
          <w:rFonts w:ascii="Arial" w:hAnsi="Arial" w:cs="Arial"/>
        </w:rPr>
      </w:pPr>
      <w:r w:rsidRPr="00625A33">
        <w:rPr>
          <w:rFonts w:ascii="Arial" w:hAnsi="Arial" w:cs="Arial"/>
        </w:rPr>
        <w:t xml:space="preserve">Gallardo-Gallardo, E., </w:t>
      </w:r>
      <w:proofErr w:type="spellStart"/>
      <w:r w:rsidRPr="00625A33">
        <w:rPr>
          <w:rFonts w:ascii="Arial" w:hAnsi="Arial" w:cs="Arial"/>
        </w:rPr>
        <w:t>Thunnissen</w:t>
      </w:r>
      <w:proofErr w:type="spellEnd"/>
      <w:r w:rsidRPr="00625A33">
        <w:rPr>
          <w:rFonts w:ascii="Arial" w:hAnsi="Arial" w:cs="Arial"/>
        </w:rPr>
        <w:t xml:space="preserve">, M. and Scullion, H., (2020). Talent management: context matters. </w:t>
      </w:r>
      <w:r w:rsidRPr="00625A33">
        <w:rPr>
          <w:rFonts w:ascii="Arial" w:hAnsi="Arial" w:cs="Arial"/>
          <w:i/>
          <w:iCs/>
        </w:rPr>
        <w:t>The International Journal of Human Resource Management</w:t>
      </w:r>
      <w:r w:rsidRPr="00625A33">
        <w:rPr>
          <w:rFonts w:ascii="Arial" w:hAnsi="Arial" w:cs="Arial"/>
        </w:rPr>
        <w:t xml:space="preserve">, </w:t>
      </w:r>
      <w:r w:rsidRPr="00625A33">
        <w:rPr>
          <w:rFonts w:ascii="Arial" w:hAnsi="Arial" w:cs="Arial"/>
          <w:i/>
          <w:iCs/>
        </w:rPr>
        <w:t>31</w:t>
      </w:r>
      <w:r w:rsidRPr="00625A33">
        <w:rPr>
          <w:rFonts w:ascii="Arial" w:hAnsi="Arial" w:cs="Arial"/>
        </w:rPr>
        <w:t xml:space="preserve">(4), pp.457-473. Available at: </w:t>
      </w:r>
      <w:hyperlink r:id="rId7" w:history="1">
        <w:r w:rsidRPr="00625A33">
          <w:rPr>
            <w:rStyle w:val="Hyperlink"/>
            <w:rFonts w:ascii="Arial" w:hAnsi="Arial" w:cs="Arial"/>
          </w:rPr>
          <w:t>https://doi.org/10.1080/09585192.2019.1642645</w:t>
        </w:r>
      </w:hyperlink>
    </w:p>
    <w:p w14:paraId="13A064F5" w14:textId="77777777" w:rsidR="005D2D75" w:rsidRPr="00625A33" w:rsidRDefault="005D2D75" w:rsidP="004B6A8E">
      <w:pPr>
        <w:rPr>
          <w:rFonts w:ascii="Arial" w:hAnsi="Arial" w:cs="Arial"/>
        </w:rPr>
      </w:pPr>
      <w:r w:rsidRPr="00625A33">
        <w:rPr>
          <w:rFonts w:ascii="Arial" w:hAnsi="Arial" w:cs="Arial"/>
        </w:rPr>
        <w:t xml:space="preserve">Gonzalez, R., Gasco, J. and Llopis, J., (2020). Information and communication technologies and human resources in hospitality and tourism. </w:t>
      </w:r>
      <w:r w:rsidRPr="00625A33">
        <w:rPr>
          <w:rFonts w:ascii="Arial" w:hAnsi="Arial" w:cs="Arial"/>
          <w:i/>
          <w:iCs/>
        </w:rPr>
        <w:t>International Journal of Contemporary Hospitality Management</w:t>
      </w:r>
      <w:r w:rsidRPr="00625A33">
        <w:rPr>
          <w:rFonts w:ascii="Arial" w:hAnsi="Arial" w:cs="Arial"/>
        </w:rPr>
        <w:t xml:space="preserve">, </w:t>
      </w:r>
      <w:r w:rsidRPr="00625A33">
        <w:rPr>
          <w:rFonts w:ascii="Arial" w:hAnsi="Arial" w:cs="Arial"/>
          <w:i/>
          <w:iCs/>
        </w:rPr>
        <w:t>32</w:t>
      </w:r>
      <w:r w:rsidRPr="00625A33">
        <w:rPr>
          <w:rFonts w:ascii="Arial" w:hAnsi="Arial" w:cs="Arial"/>
        </w:rPr>
        <w:t>(11), pp.3545-3579. Available at: https://doi.org/10.1108/IJCHM-04-2020-0272.</w:t>
      </w:r>
    </w:p>
    <w:p w14:paraId="0B4DCE85" w14:textId="77777777" w:rsidR="005D2D75" w:rsidRPr="00625A33" w:rsidRDefault="005D2D75" w:rsidP="004B6A8E">
      <w:pPr>
        <w:rPr>
          <w:rFonts w:ascii="Arial" w:hAnsi="Arial" w:cs="Arial"/>
        </w:rPr>
      </w:pPr>
      <w:r w:rsidRPr="00625A33">
        <w:rPr>
          <w:rFonts w:ascii="Arial" w:hAnsi="Arial" w:cs="Arial"/>
        </w:rPr>
        <w:t>Guest, D.E. and King, Z. (2020) 'Human Resource Management and Employee Well-Being: Towards a New Analytic Framework', Human Resource Management Journal, 30(1), pp. 22-38.</w:t>
      </w:r>
    </w:p>
    <w:p w14:paraId="42F86AAE" w14:textId="77777777" w:rsidR="005D2D75" w:rsidRPr="00625A33" w:rsidRDefault="005D2D75" w:rsidP="004B6A8E">
      <w:pPr>
        <w:rPr>
          <w:rFonts w:ascii="Arial" w:hAnsi="Arial" w:cs="Arial"/>
        </w:rPr>
      </w:pPr>
      <w:proofErr w:type="spellStart"/>
      <w:r w:rsidRPr="00625A33">
        <w:rPr>
          <w:rFonts w:ascii="Arial" w:hAnsi="Arial" w:cs="Arial"/>
        </w:rPr>
        <w:t>Harzing</w:t>
      </w:r>
      <w:proofErr w:type="spellEnd"/>
      <w:r w:rsidRPr="00625A33">
        <w:rPr>
          <w:rFonts w:ascii="Arial" w:hAnsi="Arial" w:cs="Arial"/>
        </w:rPr>
        <w:t xml:space="preserve">, A.W. and </w:t>
      </w:r>
      <w:proofErr w:type="spellStart"/>
      <w:r w:rsidRPr="00625A33">
        <w:rPr>
          <w:rFonts w:ascii="Arial" w:hAnsi="Arial" w:cs="Arial"/>
        </w:rPr>
        <w:t>Pinnington</w:t>
      </w:r>
      <w:proofErr w:type="spellEnd"/>
      <w:r w:rsidRPr="00625A33">
        <w:rPr>
          <w:rFonts w:ascii="Arial" w:hAnsi="Arial" w:cs="Arial"/>
        </w:rPr>
        <w:t>, A. (2015) 'International Human Resource Management', Sage, London.</w:t>
      </w:r>
    </w:p>
    <w:p w14:paraId="4F216F0D" w14:textId="77777777" w:rsidR="005D2D75" w:rsidRPr="00625A33" w:rsidRDefault="005D2D75" w:rsidP="004B6A8E">
      <w:pPr>
        <w:rPr>
          <w:rFonts w:ascii="Arial" w:hAnsi="Arial" w:cs="Arial"/>
        </w:rPr>
      </w:pPr>
      <w:r w:rsidRPr="00625A33">
        <w:rPr>
          <w:rFonts w:ascii="Arial" w:hAnsi="Arial" w:cs="Arial"/>
        </w:rPr>
        <w:t>Horn, R. (2009) The business skills handbook. London: Chartered Institute of Personnel and Development.</w:t>
      </w:r>
    </w:p>
    <w:p w14:paraId="50AE1765" w14:textId="77777777" w:rsidR="005D2D75" w:rsidRPr="00625A33" w:rsidRDefault="005D2D75" w:rsidP="004B6A8E">
      <w:pPr>
        <w:rPr>
          <w:rFonts w:ascii="Arial" w:hAnsi="Arial" w:cs="Arial"/>
        </w:rPr>
      </w:pPr>
      <w:r w:rsidRPr="00625A33">
        <w:rPr>
          <w:rFonts w:ascii="Arial" w:hAnsi="Arial" w:cs="Arial"/>
        </w:rPr>
        <w:t>Kishore, R. (2017) 'Beyond Strategic Human Resource Management: Is Sustainable Human Resource Management the Next Approach?', The International Journal of Human Resource Management, 28(8), pp. 1069-1089.</w:t>
      </w:r>
    </w:p>
    <w:p w14:paraId="41C45715" w14:textId="77777777" w:rsidR="005D2D75" w:rsidRPr="00625A33" w:rsidRDefault="005D2D75" w:rsidP="004B6A8E">
      <w:pPr>
        <w:rPr>
          <w:rStyle w:val="Hyperlink"/>
          <w:rFonts w:ascii="Arial" w:hAnsi="Arial" w:cs="Arial"/>
        </w:rPr>
      </w:pPr>
      <w:r w:rsidRPr="00625A33">
        <w:rPr>
          <w:rFonts w:ascii="Arial" w:hAnsi="Arial" w:cs="Arial"/>
        </w:rPr>
        <w:t xml:space="preserve">Machado, L.A.N., de Castro Junior, D.F.L., Mondo, T.S., Silveira-Martins, E. and de Abreu, J.C., (2019). Strategic human resources management and hotel performance. </w:t>
      </w:r>
      <w:r w:rsidRPr="00625A33">
        <w:rPr>
          <w:rFonts w:ascii="Arial" w:hAnsi="Arial" w:cs="Arial"/>
          <w:i/>
          <w:iCs/>
        </w:rPr>
        <w:lastRenderedPageBreak/>
        <w:t>Tourism &amp; Management Studies</w:t>
      </w:r>
      <w:r w:rsidRPr="00625A33">
        <w:rPr>
          <w:rFonts w:ascii="Arial" w:hAnsi="Arial" w:cs="Arial"/>
        </w:rPr>
        <w:t xml:space="preserve">, </w:t>
      </w:r>
      <w:r w:rsidRPr="00625A33">
        <w:rPr>
          <w:rFonts w:ascii="Arial" w:hAnsi="Arial" w:cs="Arial"/>
          <w:i/>
          <w:iCs/>
        </w:rPr>
        <w:t>15</w:t>
      </w:r>
      <w:r w:rsidRPr="00625A33">
        <w:rPr>
          <w:rFonts w:ascii="Arial" w:hAnsi="Arial" w:cs="Arial"/>
        </w:rPr>
        <w:t xml:space="preserve">(1), pp.65-79. Available at: </w:t>
      </w:r>
      <w:hyperlink r:id="rId8" w:history="1">
        <w:r w:rsidRPr="00625A33">
          <w:rPr>
            <w:rStyle w:val="Hyperlink"/>
            <w:rFonts w:ascii="Arial" w:hAnsi="Arial" w:cs="Arial"/>
          </w:rPr>
          <w:t>http://orcid.org/0000-0002-0883-1031</w:t>
        </w:r>
      </w:hyperlink>
    </w:p>
    <w:p w14:paraId="244D8EDB" w14:textId="77777777" w:rsidR="005D2D75" w:rsidRPr="00625A33" w:rsidRDefault="005D2D75" w:rsidP="004B6A8E">
      <w:pPr>
        <w:rPr>
          <w:rFonts w:ascii="Arial" w:hAnsi="Arial" w:cs="Arial"/>
        </w:rPr>
      </w:pPr>
      <w:r w:rsidRPr="00625A33">
        <w:rPr>
          <w:rFonts w:ascii="Arial" w:hAnsi="Arial" w:cs="Arial"/>
        </w:rPr>
        <w:t>Marchington, M. and Wilkinson, A. (2016) Human resource management at work. 6th ed. London: Chartered Institute of Personnel and Development.</w:t>
      </w:r>
    </w:p>
    <w:p w14:paraId="4E6E334F" w14:textId="77777777" w:rsidR="005D2D75" w:rsidRPr="00625A33" w:rsidRDefault="005D2D75" w:rsidP="004B6A8E">
      <w:pPr>
        <w:rPr>
          <w:rFonts w:ascii="Arial" w:hAnsi="Arial" w:cs="Arial"/>
        </w:rPr>
      </w:pPr>
      <w:proofErr w:type="spellStart"/>
      <w:r w:rsidRPr="00625A33">
        <w:rPr>
          <w:rFonts w:ascii="Arial" w:hAnsi="Arial" w:cs="Arial"/>
        </w:rPr>
        <w:t>Moscelli</w:t>
      </w:r>
      <w:proofErr w:type="spellEnd"/>
      <w:r w:rsidRPr="00625A33">
        <w:rPr>
          <w:rFonts w:ascii="Arial" w:hAnsi="Arial" w:cs="Arial"/>
        </w:rPr>
        <w:t xml:space="preserve">, G., Sayli, M. and Mello, M., (2022). Staff engagement, coworkers' </w:t>
      </w:r>
      <w:proofErr w:type="gramStart"/>
      <w:r w:rsidRPr="00625A33">
        <w:rPr>
          <w:rFonts w:ascii="Arial" w:hAnsi="Arial" w:cs="Arial"/>
        </w:rPr>
        <w:t>complementarity</w:t>
      </w:r>
      <w:proofErr w:type="gramEnd"/>
      <w:r w:rsidRPr="00625A33">
        <w:rPr>
          <w:rFonts w:ascii="Arial" w:hAnsi="Arial" w:cs="Arial"/>
        </w:rPr>
        <w:t xml:space="preserve"> and employee retention: evidence from English NHS hospitals.</w:t>
      </w:r>
    </w:p>
    <w:p w14:paraId="74B35009" w14:textId="77777777" w:rsidR="005D2D75" w:rsidRPr="00625A33" w:rsidRDefault="005D2D75" w:rsidP="004B6A8E">
      <w:pPr>
        <w:rPr>
          <w:rFonts w:ascii="Arial" w:hAnsi="Arial" w:cs="Arial"/>
        </w:rPr>
      </w:pPr>
      <w:r w:rsidRPr="00625A33">
        <w:rPr>
          <w:rFonts w:ascii="Arial" w:hAnsi="Arial" w:cs="Arial"/>
        </w:rPr>
        <w:t xml:space="preserve">Nikolaou, I., (2021). What is the Role of Technology in Recruitment and </w:t>
      </w:r>
      <w:proofErr w:type="gramStart"/>
      <w:r w:rsidRPr="00625A33">
        <w:rPr>
          <w:rFonts w:ascii="Arial" w:hAnsi="Arial" w:cs="Arial"/>
        </w:rPr>
        <w:t>Selection?.</w:t>
      </w:r>
      <w:proofErr w:type="gramEnd"/>
      <w:r w:rsidRPr="00625A33">
        <w:rPr>
          <w:rFonts w:ascii="Arial" w:hAnsi="Arial" w:cs="Arial"/>
        </w:rPr>
        <w:t xml:space="preserve"> </w:t>
      </w:r>
      <w:r w:rsidRPr="00625A33">
        <w:rPr>
          <w:rFonts w:ascii="Arial" w:hAnsi="Arial" w:cs="Arial"/>
          <w:i/>
          <w:iCs/>
        </w:rPr>
        <w:t>The Spanish journal of psychology</w:t>
      </w:r>
      <w:r w:rsidRPr="00625A33">
        <w:rPr>
          <w:rFonts w:ascii="Arial" w:hAnsi="Arial" w:cs="Arial"/>
        </w:rPr>
        <w:t xml:space="preserve">, </w:t>
      </w:r>
      <w:r w:rsidRPr="00625A33">
        <w:rPr>
          <w:rFonts w:ascii="Arial" w:hAnsi="Arial" w:cs="Arial"/>
          <w:i/>
          <w:iCs/>
        </w:rPr>
        <w:t>24</w:t>
      </w:r>
      <w:r w:rsidRPr="00625A33">
        <w:rPr>
          <w:rFonts w:ascii="Arial" w:hAnsi="Arial" w:cs="Arial"/>
        </w:rPr>
        <w:t>, p.e2.</w:t>
      </w:r>
    </w:p>
    <w:p w14:paraId="1E127084" w14:textId="77777777" w:rsidR="005D2D75" w:rsidRPr="00625A33" w:rsidRDefault="005D2D75" w:rsidP="004B6A8E">
      <w:pPr>
        <w:rPr>
          <w:rFonts w:ascii="Arial" w:hAnsi="Arial" w:cs="Arial"/>
        </w:rPr>
      </w:pPr>
      <w:proofErr w:type="spellStart"/>
      <w:r w:rsidRPr="00625A33">
        <w:rPr>
          <w:rFonts w:ascii="Arial" w:hAnsi="Arial" w:cs="Arial"/>
        </w:rPr>
        <w:t>Pelit</w:t>
      </w:r>
      <w:proofErr w:type="spellEnd"/>
      <w:r w:rsidRPr="00625A33">
        <w:rPr>
          <w:rFonts w:ascii="Arial" w:hAnsi="Arial" w:cs="Arial"/>
        </w:rPr>
        <w:t xml:space="preserve">, E. and </w:t>
      </w:r>
      <w:proofErr w:type="spellStart"/>
      <w:r w:rsidRPr="00625A33">
        <w:rPr>
          <w:rFonts w:ascii="Arial" w:hAnsi="Arial" w:cs="Arial"/>
        </w:rPr>
        <w:t>Katircioglu</w:t>
      </w:r>
      <w:proofErr w:type="spellEnd"/>
      <w:r w:rsidRPr="00625A33">
        <w:rPr>
          <w:rFonts w:ascii="Arial" w:hAnsi="Arial" w:cs="Arial"/>
        </w:rPr>
        <w:t xml:space="preserve">, E., (2022). Human resource management studies in hospitality and tourism domain: a bibliometric analysis. </w:t>
      </w:r>
      <w:r w:rsidRPr="00625A33">
        <w:rPr>
          <w:rFonts w:ascii="Arial" w:hAnsi="Arial" w:cs="Arial"/>
          <w:i/>
          <w:iCs/>
        </w:rPr>
        <w:t>International Journal of Contemporary Hospitality Management</w:t>
      </w:r>
      <w:r w:rsidRPr="00625A33">
        <w:rPr>
          <w:rFonts w:ascii="Arial" w:hAnsi="Arial" w:cs="Arial"/>
        </w:rPr>
        <w:t xml:space="preserve">, </w:t>
      </w:r>
      <w:r w:rsidRPr="00625A33">
        <w:rPr>
          <w:rFonts w:ascii="Arial" w:hAnsi="Arial" w:cs="Arial"/>
          <w:i/>
          <w:iCs/>
        </w:rPr>
        <w:t>34</w:t>
      </w:r>
      <w:r w:rsidRPr="00625A33">
        <w:rPr>
          <w:rFonts w:ascii="Arial" w:hAnsi="Arial" w:cs="Arial"/>
        </w:rPr>
        <w:t>(3), pp.1106-1134. Available at: https://doi.org/10.1108/IJCHM-06-2021-072</w:t>
      </w:r>
    </w:p>
    <w:p w14:paraId="44734C8C" w14:textId="77777777" w:rsidR="005D2D75" w:rsidRPr="00625A33" w:rsidRDefault="005D2D75" w:rsidP="004B6A8E">
      <w:pPr>
        <w:rPr>
          <w:rFonts w:ascii="Arial" w:hAnsi="Arial" w:cs="Arial"/>
        </w:rPr>
      </w:pPr>
      <w:r w:rsidRPr="00625A33">
        <w:rPr>
          <w:rFonts w:ascii="Arial" w:hAnsi="Arial" w:cs="Arial"/>
        </w:rPr>
        <w:t xml:space="preserve">Scullion, </w:t>
      </w:r>
      <w:proofErr w:type="gramStart"/>
      <w:r w:rsidRPr="00625A33">
        <w:rPr>
          <w:rFonts w:ascii="Arial" w:hAnsi="Arial" w:cs="Arial"/>
        </w:rPr>
        <w:t>H.</w:t>
      </w:r>
      <w:proofErr w:type="gramEnd"/>
      <w:r w:rsidRPr="00625A33">
        <w:rPr>
          <w:rFonts w:ascii="Arial" w:hAnsi="Arial" w:cs="Arial"/>
        </w:rPr>
        <w:t xml:space="preserve"> and Collings, D.G. (2018) 'Global Talent Management', Routledge, New York.</w:t>
      </w:r>
    </w:p>
    <w:p w14:paraId="164C7379" w14:textId="77777777" w:rsidR="005D2D75" w:rsidRPr="00625A33" w:rsidRDefault="005D2D75" w:rsidP="004B6A8E">
      <w:pPr>
        <w:rPr>
          <w:rFonts w:ascii="Arial" w:hAnsi="Arial" w:cs="Arial"/>
        </w:rPr>
      </w:pPr>
      <w:r w:rsidRPr="00625A33">
        <w:rPr>
          <w:rFonts w:ascii="Arial" w:hAnsi="Arial" w:cs="Arial"/>
        </w:rPr>
        <w:t>Sparrow, P., Brewster, C. and Chung, C. (2016) 'Globalizing Human Resource Management', 2nd ed., Routledge, London.</w:t>
      </w:r>
    </w:p>
    <w:p w14:paraId="0DF6AFEB" w14:textId="77777777" w:rsidR="005D2D75" w:rsidRPr="00625A33" w:rsidRDefault="005D2D75" w:rsidP="004B6A8E">
      <w:pPr>
        <w:rPr>
          <w:rFonts w:ascii="Arial" w:hAnsi="Arial" w:cs="Arial"/>
        </w:rPr>
      </w:pPr>
      <w:r w:rsidRPr="00625A33">
        <w:rPr>
          <w:rFonts w:ascii="Arial" w:hAnsi="Arial" w:cs="Arial"/>
        </w:rPr>
        <w:t xml:space="preserve">Ulrich, D., </w:t>
      </w:r>
      <w:proofErr w:type="spellStart"/>
      <w:r w:rsidRPr="00625A33">
        <w:rPr>
          <w:rFonts w:ascii="Arial" w:hAnsi="Arial" w:cs="Arial"/>
        </w:rPr>
        <w:t>Kryscynski</w:t>
      </w:r>
      <w:proofErr w:type="spellEnd"/>
      <w:r w:rsidRPr="00625A33">
        <w:rPr>
          <w:rFonts w:ascii="Arial" w:hAnsi="Arial" w:cs="Arial"/>
        </w:rPr>
        <w:t>, D., Ulrich, M. and Brockbank, W. (2021) 'Victory Through Organization: Why the War for Talent is Failing Your Company and What You Can Do About It', McGraw-Hill Education, New York.</w:t>
      </w:r>
    </w:p>
    <w:p w14:paraId="4BC77E5F" w14:textId="77777777" w:rsidR="005D2D75" w:rsidRPr="00625A33" w:rsidRDefault="005D2D75" w:rsidP="004B6A8E">
      <w:pPr>
        <w:rPr>
          <w:rFonts w:ascii="Arial" w:hAnsi="Arial" w:cs="Arial"/>
        </w:rPr>
      </w:pPr>
      <w:r w:rsidRPr="00625A33">
        <w:rPr>
          <w:rFonts w:ascii="Arial" w:hAnsi="Arial" w:cs="Arial"/>
        </w:rPr>
        <w:t>Wright, P.M. and Ulrich, M.D. (2023) 'The HR Scorecard: Linking People, Strategy, and Performance', Harvard Business Review Press, Boston.</w:t>
      </w:r>
    </w:p>
    <w:p w14:paraId="3F47DE99" w14:textId="77777777" w:rsidR="005D2D75" w:rsidRPr="00625A33" w:rsidRDefault="005D2D75" w:rsidP="004B6A8E">
      <w:pPr>
        <w:rPr>
          <w:rFonts w:ascii="Arial" w:hAnsi="Arial" w:cs="Arial"/>
        </w:rPr>
      </w:pPr>
      <w:r w:rsidRPr="00625A33">
        <w:rPr>
          <w:rFonts w:ascii="Arial" w:hAnsi="Arial" w:cs="Arial"/>
        </w:rPr>
        <w:t xml:space="preserve">Xu, S., </w:t>
      </w:r>
      <w:proofErr w:type="spellStart"/>
      <w:r w:rsidRPr="00625A33">
        <w:rPr>
          <w:rFonts w:ascii="Arial" w:hAnsi="Arial" w:cs="Arial"/>
        </w:rPr>
        <w:t>Stienmetz</w:t>
      </w:r>
      <w:proofErr w:type="spellEnd"/>
      <w:r w:rsidRPr="00625A33">
        <w:rPr>
          <w:rFonts w:ascii="Arial" w:hAnsi="Arial" w:cs="Arial"/>
        </w:rPr>
        <w:t xml:space="preserve">, J. and Ashton, M., 2020. How will service robots redefine leadership in hotel management? A Delphi </w:t>
      </w:r>
      <w:proofErr w:type="gramStart"/>
      <w:r w:rsidRPr="00625A33">
        <w:rPr>
          <w:rFonts w:ascii="Arial" w:hAnsi="Arial" w:cs="Arial"/>
        </w:rPr>
        <w:t>approach</w:t>
      </w:r>
      <w:proofErr w:type="gramEnd"/>
      <w:r w:rsidRPr="00625A33">
        <w:rPr>
          <w:rFonts w:ascii="Arial" w:hAnsi="Arial" w:cs="Arial"/>
        </w:rPr>
        <w:t xml:space="preserve">. </w:t>
      </w:r>
      <w:r w:rsidRPr="00625A33">
        <w:rPr>
          <w:rFonts w:ascii="Arial" w:hAnsi="Arial" w:cs="Arial"/>
          <w:i/>
          <w:iCs/>
        </w:rPr>
        <w:t>International Journal of Contemporary Hospitality Management</w:t>
      </w:r>
      <w:r w:rsidRPr="00625A33">
        <w:rPr>
          <w:rFonts w:ascii="Arial" w:hAnsi="Arial" w:cs="Arial"/>
        </w:rPr>
        <w:t xml:space="preserve">, </w:t>
      </w:r>
      <w:r w:rsidRPr="00625A33">
        <w:rPr>
          <w:rFonts w:ascii="Arial" w:hAnsi="Arial" w:cs="Arial"/>
          <w:i/>
          <w:iCs/>
        </w:rPr>
        <w:t>32</w:t>
      </w:r>
      <w:r w:rsidRPr="00625A33">
        <w:rPr>
          <w:rFonts w:ascii="Arial" w:hAnsi="Arial" w:cs="Arial"/>
        </w:rPr>
        <w:t>(6), pp.2217-2237. Available at: https://doi.org/10.1108/IJCHM-05-2019-0505.</w:t>
      </w:r>
    </w:p>
    <w:p w14:paraId="4333767D" w14:textId="77777777" w:rsidR="005D2D75" w:rsidRPr="00625A33" w:rsidRDefault="005D2D75" w:rsidP="004B6A8E">
      <w:pPr>
        <w:rPr>
          <w:rFonts w:ascii="Arial" w:hAnsi="Arial" w:cs="Arial"/>
        </w:rPr>
      </w:pPr>
      <w:r w:rsidRPr="00625A33">
        <w:rPr>
          <w:rFonts w:ascii="Arial" w:hAnsi="Arial" w:cs="Arial"/>
        </w:rPr>
        <w:t xml:space="preserve">Yusoff, Y.M., </w:t>
      </w:r>
      <w:proofErr w:type="spellStart"/>
      <w:r w:rsidRPr="00625A33">
        <w:rPr>
          <w:rFonts w:ascii="Arial" w:hAnsi="Arial" w:cs="Arial"/>
        </w:rPr>
        <w:t>Nejati</w:t>
      </w:r>
      <w:proofErr w:type="spellEnd"/>
      <w:r w:rsidRPr="00625A33">
        <w:rPr>
          <w:rFonts w:ascii="Arial" w:hAnsi="Arial" w:cs="Arial"/>
        </w:rPr>
        <w:t xml:space="preserve">, M., Kee, D.M.H. and Amran, A., (2020). Linking green human resource management practices to environmental performance in hotel industry. </w:t>
      </w:r>
      <w:r w:rsidRPr="00625A33">
        <w:rPr>
          <w:rFonts w:ascii="Arial" w:hAnsi="Arial" w:cs="Arial"/>
          <w:i/>
          <w:iCs/>
        </w:rPr>
        <w:t>Global Business Review</w:t>
      </w:r>
      <w:r w:rsidRPr="00625A33">
        <w:rPr>
          <w:rFonts w:ascii="Arial" w:hAnsi="Arial" w:cs="Arial"/>
        </w:rPr>
        <w:t xml:space="preserve">, </w:t>
      </w:r>
      <w:r w:rsidRPr="00625A33">
        <w:rPr>
          <w:rFonts w:ascii="Arial" w:hAnsi="Arial" w:cs="Arial"/>
          <w:i/>
          <w:iCs/>
        </w:rPr>
        <w:t>21</w:t>
      </w:r>
      <w:r w:rsidRPr="00625A33">
        <w:rPr>
          <w:rFonts w:ascii="Arial" w:hAnsi="Arial" w:cs="Arial"/>
        </w:rPr>
        <w:t>(3), pp.663-680. Available at: https://doi.org/10.1177/0972150918779294</w:t>
      </w:r>
    </w:p>
    <w:p w14:paraId="28556A42" w14:textId="77777777" w:rsidR="005D2D75" w:rsidRPr="00625A33" w:rsidRDefault="005D2D75" w:rsidP="004B6A8E">
      <w:pPr>
        <w:rPr>
          <w:rFonts w:ascii="Arial" w:hAnsi="Arial" w:cs="Arial"/>
        </w:rPr>
      </w:pPr>
    </w:p>
    <w:p w14:paraId="6FDA3F70" w14:textId="77777777" w:rsidR="005D2D75" w:rsidRPr="00625A33" w:rsidRDefault="005D2D75" w:rsidP="004B6A8E">
      <w:pPr>
        <w:rPr>
          <w:rFonts w:ascii="Arial" w:hAnsi="Arial" w:cs="Arial"/>
        </w:rPr>
      </w:pPr>
    </w:p>
    <w:p w14:paraId="64E94E5F" w14:textId="77777777" w:rsidR="00C811A6" w:rsidRPr="00625A33" w:rsidRDefault="00C811A6" w:rsidP="004B6A8E">
      <w:pPr>
        <w:rPr>
          <w:rFonts w:ascii="Arial" w:hAnsi="Arial" w:cs="Arial"/>
        </w:rPr>
      </w:pPr>
    </w:p>
    <w:sectPr w:rsidR="00C811A6" w:rsidRPr="00625A33" w:rsidSect="0049753D">
      <w:headerReference w:type="default" r:id="rId9"/>
      <w:footerReference w:type="even" r:id="rId10"/>
      <w:footerReference w:type="default" r:id="rId11"/>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49BEF8" w14:textId="77777777" w:rsidR="0049753D" w:rsidRDefault="0049753D">
      <w:pPr>
        <w:spacing w:after="0" w:line="240" w:lineRule="auto"/>
      </w:pPr>
      <w:r>
        <w:separator/>
      </w:r>
    </w:p>
  </w:endnote>
  <w:endnote w:type="continuationSeparator" w:id="0">
    <w:p w14:paraId="28EE9F07" w14:textId="77777777" w:rsidR="0049753D" w:rsidRDefault="004975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14118A" w14:textId="77777777" w:rsidR="008548CE"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end"/>
    </w:r>
  </w:p>
  <w:p w14:paraId="08F1B460" w14:textId="77777777" w:rsidR="008548CE" w:rsidRDefault="00000000">
    <w:pPr>
      <w:pBdr>
        <w:top w:val="nil"/>
        <w:left w:val="nil"/>
        <w:bottom w:val="nil"/>
        <w:right w:val="nil"/>
        <w:between w:val="nil"/>
      </w:pBdr>
      <w:tabs>
        <w:tab w:val="center" w:pos="4513"/>
        <w:tab w:val="right" w:pos="9026"/>
      </w:tabs>
      <w:spacing w:after="0" w:line="240" w:lineRule="auto"/>
      <w:ind w:right="360"/>
      <w:jc w:val="center"/>
      <w:rPr>
        <w:color w:val="000000"/>
      </w:rPr>
    </w:pPr>
    <w:r>
      <w:rPr>
        <w:color w:val="000000"/>
      </w:rPr>
      <w:fldChar w:fldCharType="begin"/>
    </w:r>
    <w:r>
      <w:rPr>
        <w:color w:val="000000"/>
      </w:rPr>
      <w:instrText>PAGE</w:instrText>
    </w:r>
    <w:r>
      <w:rPr>
        <w:color w:val="000000"/>
      </w:rPr>
      <w:fldChar w:fldCharType="end"/>
    </w:r>
  </w:p>
  <w:p w14:paraId="3BA1872A" w14:textId="77777777" w:rsidR="008548CE" w:rsidRDefault="008548CE">
    <w:pPr>
      <w:pBdr>
        <w:top w:val="nil"/>
        <w:left w:val="nil"/>
        <w:bottom w:val="nil"/>
        <w:right w:val="nil"/>
        <w:between w:val="nil"/>
      </w:pBdr>
      <w:tabs>
        <w:tab w:val="center" w:pos="4513"/>
        <w:tab w:val="right" w:pos="9026"/>
      </w:tabs>
      <w:spacing w:after="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20CAD8" w14:textId="77777777" w:rsidR="008548CE"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r>
      <w:rPr>
        <w:color w:val="000000"/>
      </w:rPr>
      <w:t xml:space="preserve"> of </w:t>
    </w:r>
    <w:r>
      <w:rPr>
        <w:color w:val="000000"/>
      </w:rPr>
      <w:fldChar w:fldCharType="begin"/>
    </w:r>
    <w:r>
      <w:rPr>
        <w:color w:val="000000"/>
      </w:rPr>
      <w:instrText>NUMPAGES</w:instrText>
    </w:r>
    <w:r>
      <w:rPr>
        <w:color w:val="000000"/>
      </w:rPr>
      <w:fldChar w:fldCharType="separate"/>
    </w:r>
    <w:r>
      <w:rPr>
        <w:noProof/>
        <w:color w:val="000000"/>
      </w:rPr>
      <w:t>1</w:t>
    </w:r>
    <w:r>
      <w:rPr>
        <w:color w:val="000000"/>
      </w:rPr>
      <w:fldChar w:fldCharType="end"/>
    </w:r>
  </w:p>
  <w:p w14:paraId="6C128207" w14:textId="77777777" w:rsidR="008548CE" w:rsidRDefault="008548CE">
    <w:pPr>
      <w:pBdr>
        <w:top w:val="nil"/>
        <w:left w:val="nil"/>
        <w:bottom w:val="nil"/>
        <w:right w:val="nil"/>
        <w:between w:val="nil"/>
      </w:pBdr>
      <w:tabs>
        <w:tab w:val="center" w:pos="4513"/>
        <w:tab w:val="right" w:pos="9026"/>
      </w:tabs>
      <w:spacing w:after="0"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3F9DC" w14:textId="77777777" w:rsidR="0049753D" w:rsidRDefault="0049753D">
      <w:pPr>
        <w:spacing w:after="0" w:line="240" w:lineRule="auto"/>
      </w:pPr>
      <w:r>
        <w:separator/>
      </w:r>
    </w:p>
  </w:footnote>
  <w:footnote w:type="continuationSeparator" w:id="0">
    <w:p w14:paraId="561F0FFA" w14:textId="77777777" w:rsidR="0049753D" w:rsidRDefault="004975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C0A73F" w14:textId="77777777" w:rsidR="008548CE" w:rsidRDefault="008548CE">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D75"/>
    <w:rsid w:val="00062E4E"/>
    <w:rsid w:val="0049753D"/>
    <w:rsid w:val="004B6A8E"/>
    <w:rsid w:val="005D2B1B"/>
    <w:rsid w:val="005D2D75"/>
    <w:rsid w:val="00625A33"/>
    <w:rsid w:val="008548CE"/>
    <w:rsid w:val="00C811A6"/>
    <w:rsid w:val="00E867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8385"/>
  <w15:chartTrackingRefBased/>
  <w15:docId w15:val="{889B5055-E30E-41DB-BBA9-E89F0B1B3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2D75"/>
    <w:pPr>
      <w:spacing w:line="360" w:lineRule="auto"/>
      <w:jc w:val="both"/>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D2D75"/>
    <w:pPr>
      <w:keepNext/>
      <w:keepLines/>
      <w:spacing w:before="240" w:after="0"/>
      <w:outlineLvl w:val="0"/>
    </w:pPr>
    <w:rPr>
      <w:b/>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D75"/>
    <w:rPr>
      <w:rFonts w:ascii="Times New Roman" w:eastAsia="Times New Roman" w:hAnsi="Times New Roman" w:cs="Times New Roman"/>
      <w:b/>
      <w:color w:val="2F5496"/>
      <w:sz w:val="32"/>
      <w:szCs w:val="32"/>
    </w:rPr>
  </w:style>
  <w:style w:type="character" w:customStyle="1" w:styleId="text-with-replacments">
    <w:name w:val="text-with-replacments"/>
    <w:basedOn w:val="DefaultParagraphFont"/>
    <w:rsid w:val="005D2D75"/>
  </w:style>
  <w:style w:type="character" w:styleId="Hyperlink">
    <w:name w:val="Hyperlink"/>
    <w:basedOn w:val="DefaultParagraphFont"/>
    <w:uiPriority w:val="99"/>
    <w:unhideWhenUsed/>
    <w:rsid w:val="005D2D75"/>
    <w:rPr>
      <w:color w:val="0563C1" w:themeColor="hyperlink"/>
      <w:u w:val="single"/>
    </w:rPr>
  </w:style>
  <w:style w:type="paragraph" w:customStyle="1" w:styleId="TableParagraph">
    <w:name w:val="Table Paragraph"/>
    <w:basedOn w:val="Normal"/>
    <w:uiPriority w:val="1"/>
    <w:qFormat/>
    <w:rsid w:val="005D2D75"/>
    <w:pPr>
      <w:widowControl w:val="0"/>
      <w:autoSpaceDE w:val="0"/>
      <w:autoSpaceDN w:val="0"/>
      <w:spacing w:after="0" w:line="240" w:lineRule="auto"/>
      <w:ind w:left="98"/>
      <w:jc w:val="left"/>
    </w:pPr>
    <w:rPr>
      <w:rFonts w:ascii="Arial" w:eastAsia="Arial" w:hAnsi="Arial" w:cs="Arial"/>
      <w:sz w:val="22"/>
      <w:szCs w:val="22"/>
      <w:lang w:val="en-US"/>
    </w:rPr>
  </w:style>
  <w:style w:type="character" w:styleId="Emphasis">
    <w:name w:val="Emphasis"/>
    <w:basedOn w:val="DefaultParagraphFont"/>
    <w:uiPriority w:val="20"/>
    <w:qFormat/>
    <w:rsid w:val="005D2D7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orcid.org/0000-0002-0883-1031"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10.1080/09585192.2019.1642645"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16/j.ijhm.2019.102389" TargetMode="External"/><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2867</Words>
  <Characters>16343</Characters>
  <Application>Microsoft Office Word</Application>
  <DocSecurity>0</DocSecurity>
  <Lines>136</Lines>
  <Paragraphs>38</Paragraphs>
  <ScaleCrop>false</ScaleCrop>
  <Company/>
  <LinksUpToDate>false</LinksUpToDate>
  <CharactersWithSpaces>19172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Yousra Herash [mt20yh]</dc:creator>
  <cp:keywords/>
  <dc:description/>
  <cp:lastModifiedBy>Yousra Herash [mt20yh]</cp:lastModifiedBy>
  <cp:revision>6</cp:revision>
  <dcterms:created xsi:type="dcterms:W3CDTF">2024-02-04T21:19:00Z</dcterms:created>
  <dcterms:modified xsi:type="dcterms:W3CDTF">2024-02-04T21:29:00Z</dcterms:modified>
</cp:coreProperties>
</file>