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5DCD628" w:rsidR="00986B43" w:rsidRPr="0087443E" w:rsidRDefault="00986B43" w:rsidP="005D3F07">
            <w:pPr>
              <w:overflowPunct/>
              <w:autoSpaceDE/>
              <w:autoSpaceDN/>
              <w:adjustRightInd/>
              <w:ind w:right="-957"/>
              <w:textAlignment w:val="auto"/>
              <w:rPr>
                <w:rFonts w:ascii="Times New Roman" w:hAnsi="Times New Roman" w:cs="Times New Roman"/>
                <w:b/>
                <w:color w:val="auto"/>
                <w:sz w:val="24"/>
                <w:szCs w:val="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87443E" w:rsidRPr="0087443E">
              <w:rPr>
                <w:rFonts w:ascii="Times New Roman" w:hAnsi="Times New Roman" w:cs="Times New Roman"/>
                <w:b/>
                <w:color w:val="auto"/>
                <w:sz w:val="36"/>
                <w:szCs w:val="14"/>
              </w:rPr>
              <w:t>Sophie Jane Challenger</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12DFB74" w14:textId="6CD06FE2" w:rsidR="0087443E" w:rsidRPr="002438D4" w:rsidRDefault="009C337F" w:rsidP="0087443E">
            <w:pPr>
              <w:overflowPunct/>
              <w:autoSpaceDE/>
              <w:autoSpaceDN/>
              <w:adjustRightInd/>
              <w:ind w:right="-957"/>
              <w:textAlignment w:val="auto"/>
              <w:rPr>
                <w:rFonts w:ascii="Times New Roman" w:hAnsi="Times New Roman" w:cs="Times New Roman"/>
                <w:b/>
                <w:color w:val="auto"/>
                <w:sz w:val="36"/>
                <w:szCs w:val="36"/>
              </w:rPr>
            </w:pPr>
            <w:r>
              <w:rPr>
                <w:rFonts w:ascii="Times New Roman" w:hAnsi="Times New Roman" w:cs="Times New Roman"/>
                <w:b/>
                <w:color w:val="auto"/>
                <w:sz w:val="48"/>
              </w:rPr>
              <w:t>Email address:</w:t>
            </w:r>
            <w:r w:rsidR="0087443E">
              <w:t xml:space="preserve"> </w:t>
            </w:r>
            <w:hyperlink r:id="rId11" w:history="1">
              <w:r w:rsidR="0087443E" w:rsidRPr="002438D4">
                <w:rPr>
                  <w:rStyle w:val="Hyperlink"/>
                  <w:rFonts w:ascii="Times New Roman" w:hAnsi="Times New Roman" w:cs="Times New Roman"/>
                  <w:b/>
                  <w:sz w:val="36"/>
                  <w:szCs w:val="36"/>
                </w:rPr>
                <w:t>Sophiechallenger1991@hotmail.com</w:t>
              </w:r>
            </w:hyperlink>
          </w:p>
          <w:p w14:paraId="4C146D14" w14:textId="77777777" w:rsidR="0087443E" w:rsidRDefault="0087443E" w:rsidP="0087443E">
            <w:pPr>
              <w:overflowPunct/>
              <w:autoSpaceDE/>
              <w:autoSpaceDN/>
              <w:adjustRightInd/>
              <w:ind w:right="-957"/>
              <w:textAlignment w:val="auto"/>
              <w:rPr>
                <w:rFonts w:ascii="Times New Roman" w:hAnsi="Times New Roman" w:cs="Times New Roman"/>
                <w:b/>
                <w:color w:val="auto"/>
                <w:sz w:val="36"/>
                <w:szCs w:val="36"/>
              </w:rPr>
            </w:pPr>
            <w:hyperlink r:id="rId12" w:history="1">
              <w:r w:rsidRPr="00A15530">
                <w:rPr>
                  <w:rStyle w:val="Hyperlink"/>
                  <w:rFonts w:ascii="Times New Roman" w:hAnsi="Times New Roman" w:cs="Times New Roman"/>
                  <w:b/>
                  <w:sz w:val="36"/>
                  <w:szCs w:val="36"/>
                </w:rPr>
                <w:t>0900112@student.uwtsd.ac.uk</w:t>
              </w:r>
            </w:hyperlink>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5B2607ED" w:rsidR="00F927A1" w:rsidRPr="0087443E" w:rsidRDefault="0085230E" w:rsidP="005D3F07">
            <w:pPr>
              <w:overflowPunct/>
              <w:autoSpaceDE/>
              <w:autoSpaceDN/>
              <w:adjustRightInd/>
              <w:ind w:right="-957"/>
              <w:textAlignment w:val="auto"/>
              <w:rPr>
                <w:rFonts w:ascii="Times New Roman" w:hAnsi="Times New Roman" w:cs="Times New Roman"/>
                <w:b/>
                <w:color w:val="auto"/>
                <w:sz w:val="44"/>
                <w:szCs w:val="18"/>
              </w:rPr>
            </w:pPr>
            <w:r w:rsidRPr="0087443E">
              <w:rPr>
                <w:rFonts w:ascii="Times New Roman" w:hAnsi="Times New Roman" w:cs="Times New Roman"/>
                <w:b/>
                <w:color w:val="auto"/>
                <w:sz w:val="44"/>
                <w:szCs w:val="18"/>
              </w:rPr>
              <w:t>Learner’s University Registration</w:t>
            </w:r>
            <w:r w:rsidR="00F927A1" w:rsidRPr="0087443E">
              <w:rPr>
                <w:rFonts w:ascii="Times New Roman" w:hAnsi="Times New Roman" w:cs="Times New Roman"/>
                <w:b/>
                <w:color w:val="auto"/>
                <w:sz w:val="44"/>
                <w:szCs w:val="18"/>
              </w:rPr>
              <w:t xml:space="preserve"> Number:</w:t>
            </w:r>
            <w:r w:rsidR="0087443E" w:rsidRPr="0087443E">
              <w:rPr>
                <w:rFonts w:ascii="Times New Roman" w:hAnsi="Times New Roman" w:cs="Times New Roman"/>
                <w:b/>
                <w:color w:val="auto"/>
                <w:sz w:val="32"/>
                <w:szCs w:val="12"/>
              </w:rPr>
              <w:t xml:space="preserve"> 0900112</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131896A9" w14:textId="77777777" w:rsidR="00447523" w:rsidRDefault="00447523" w:rsidP="00FF7EBB">
            <w:pPr>
              <w:jc w:val="both"/>
              <w:rPr>
                <w:i/>
                <w:sz w:val="24"/>
                <w:szCs w:val="24"/>
              </w:rPr>
            </w:pPr>
          </w:p>
          <w:p w14:paraId="2F15EC58" w14:textId="77777777" w:rsidR="00447523" w:rsidRDefault="00447523" w:rsidP="00FF7EBB">
            <w:pPr>
              <w:jc w:val="both"/>
              <w:rPr>
                <w:i/>
                <w:sz w:val="24"/>
                <w:szCs w:val="24"/>
              </w:rPr>
            </w:pPr>
          </w:p>
          <w:p w14:paraId="701D8D4D" w14:textId="38C2B218" w:rsidR="00D3203C" w:rsidRPr="00E9557D" w:rsidRDefault="00D3203C" w:rsidP="00FF7EBB">
            <w:pPr>
              <w:jc w:val="both"/>
              <w:rPr>
                <w:i/>
                <w:sz w:val="24"/>
                <w:szCs w:val="24"/>
              </w:rPr>
            </w:pPr>
          </w:p>
          <w:p w14:paraId="3376FC3C" w14:textId="77777777" w:rsidR="00447523" w:rsidRPr="00E9557D" w:rsidRDefault="00447523" w:rsidP="00447523">
            <w:pPr>
              <w:spacing w:line="480" w:lineRule="auto"/>
              <w:rPr>
                <w:sz w:val="24"/>
                <w:szCs w:val="24"/>
              </w:rPr>
            </w:pPr>
            <w:r w:rsidRPr="00E9557D">
              <w:rPr>
                <w:sz w:val="24"/>
                <w:szCs w:val="24"/>
              </w:rPr>
              <w:t>This case study provides a critical reflection on a safeguarding assessment undertaken within my role as a social worker in a Children’s Intake and Assessment Team in Wales. The reflection analyses how safeguarding legislation, policy, theoretical frameworks, and professional judgement inform practice in increasingly complex situations. It demonstrates an understanding of the interface between social service provisions across Wales, the wider United Kingdom (UK), the European Union (EU), and contexts beyond the EU.</w:t>
            </w:r>
          </w:p>
          <w:p w14:paraId="76B75360" w14:textId="77777777" w:rsidR="00447523" w:rsidRPr="00E9557D" w:rsidRDefault="00447523" w:rsidP="00447523">
            <w:pPr>
              <w:spacing w:line="480" w:lineRule="auto"/>
              <w:rPr>
                <w:sz w:val="24"/>
                <w:szCs w:val="24"/>
              </w:rPr>
            </w:pPr>
          </w:p>
          <w:p w14:paraId="720671F3" w14:textId="43F58945" w:rsidR="00447523" w:rsidRPr="00E9557D" w:rsidRDefault="00447523" w:rsidP="00447523">
            <w:pPr>
              <w:spacing w:line="480" w:lineRule="auto"/>
              <w:rPr>
                <w:sz w:val="24"/>
                <w:szCs w:val="24"/>
              </w:rPr>
            </w:pPr>
            <w:r w:rsidRPr="00E9557D">
              <w:rPr>
                <w:sz w:val="24"/>
                <w:szCs w:val="24"/>
              </w:rPr>
              <w:t xml:space="preserve">The study focuses on a safeguarding assessment involving four children, critically examining how legislation, theory, and professional decision-making shaped my practice. Particular attention is given to the role of multi-agency collaboration, the application of social </w:t>
            </w:r>
            <w:r w:rsidRPr="00E9557D">
              <w:rPr>
                <w:sz w:val="24"/>
                <w:szCs w:val="24"/>
              </w:rPr>
              <w:lastRenderedPageBreak/>
              <w:t>work theory, and the significance of the Welsh policy context, including the principle of the “Active Offer” which is supported by the “More than just words” strategic framework (Welsh Language Wales Measure, 2011; Welsh Government</w:t>
            </w:r>
            <w:r w:rsidR="00D148FB" w:rsidRPr="00E9557D">
              <w:rPr>
                <w:sz w:val="24"/>
                <w:szCs w:val="24"/>
              </w:rPr>
              <w:t xml:space="preserve"> (WG)</w:t>
            </w:r>
            <w:r w:rsidRPr="00E9557D">
              <w:rPr>
                <w:sz w:val="24"/>
                <w:szCs w:val="24"/>
              </w:rPr>
              <w:t xml:space="preserve">, 2015). While in this case the “Active Offer” was declined, should it have been accepted, the family would have been entitled to access all provisions in the medium of Welsh. </w:t>
            </w:r>
          </w:p>
          <w:p w14:paraId="7C4E5CA7" w14:textId="77777777" w:rsidR="00447523" w:rsidRPr="00E9557D" w:rsidRDefault="00447523" w:rsidP="00447523">
            <w:pPr>
              <w:spacing w:line="480" w:lineRule="auto"/>
              <w:rPr>
                <w:sz w:val="24"/>
                <w:szCs w:val="24"/>
              </w:rPr>
            </w:pPr>
          </w:p>
          <w:p w14:paraId="654569BA" w14:textId="49BD445A" w:rsidR="00447523" w:rsidRPr="00E9557D" w:rsidRDefault="00447523" w:rsidP="00447523">
            <w:pPr>
              <w:spacing w:line="480" w:lineRule="auto"/>
              <w:rPr>
                <w:sz w:val="24"/>
                <w:szCs w:val="24"/>
              </w:rPr>
            </w:pPr>
            <w:r w:rsidRPr="00E9557D">
              <w:rPr>
                <w:sz w:val="24"/>
                <w:szCs w:val="24"/>
              </w:rPr>
              <w:t>The case involved multiple safeguarding concerns, intergenerational trauma, and extensive multi-agency involvement, necessitating a structured and reflective approach to both assessment and intervention. Throughout, names have been anonymised, and I will refer to individuals as child, mother or father. This ensures confidentiality is maintained in accordance with the Data Protection Act (2018) and the Social Care Wales</w:t>
            </w:r>
            <w:r w:rsidR="00D148FB" w:rsidRPr="00E9557D">
              <w:rPr>
                <w:sz w:val="24"/>
                <w:szCs w:val="24"/>
              </w:rPr>
              <w:t xml:space="preserve"> (SCW)</w:t>
            </w:r>
            <w:r w:rsidRPr="00E9557D">
              <w:rPr>
                <w:sz w:val="24"/>
                <w:szCs w:val="24"/>
              </w:rPr>
              <w:t xml:space="preserve"> Code of Professional Practice</w:t>
            </w:r>
            <w:r w:rsidR="00D148FB" w:rsidRPr="00E9557D">
              <w:rPr>
                <w:sz w:val="24"/>
                <w:szCs w:val="24"/>
              </w:rPr>
              <w:t xml:space="preserve"> (CoPP)</w:t>
            </w:r>
            <w:r w:rsidRPr="00E9557D">
              <w:rPr>
                <w:sz w:val="24"/>
                <w:szCs w:val="24"/>
              </w:rPr>
              <w:t xml:space="preserve"> (S</w:t>
            </w:r>
            <w:r w:rsidR="00D148FB" w:rsidRPr="00E9557D">
              <w:rPr>
                <w:sz w:val="24"/>
                <w:szCs w:val="24"/>
              </w:rPr>
              <w:t>CW</w:t>
            </w:r>
            <w:r w:rsidRPr="00E9557D">
              <w:rPr>
                <w:sz w:val="24"/>
                <w:szCs w:val="24"/>
              </w:rPr>
              <w:t>, 2017).</w:t>
            </w:r>
          </w:p>
          <w:p w14:paraId="32F5F68A" w14:textId="77777777" w:rsidR="00447523" w:rsidRPr="00E9557D" w:rsidRDefault="00447523" w:rsidP="00447523">
            <w:pPr>
              <w:rPr>
                <w:sz w:val="24"/>
                <w:szCs w:val="24"/>
              </w:rPr>
            </w:pPr>
          </w:p>
          <w:p w14:paraId="20FFCA2D" w14:textId="77777777" w:rsidR="00447523" w:rsidRPr="00E9557D" w:rsidRDefault="00447523" w:rsidP="00447523">
            <w:pPr>
              <w:spacing w:line="480" w:lineRule="auto"/>
              <w:rPr>
                <w:sz w:val="24"/>
                <w:szCs w:val="24"/>
              </w:rPr>
            </w:pPr>
            <w:r w:rsidRPr="00E9557D">
              <w:rPr>
                <w:sz w:val="24"/>
                <w:szCs w:val="24"/>
              </w:rPr>
              <w:t>The case involves a family consisting of four female children aged fifteen (Child 1), twelve (Child 2), eleven (child 3), and ten (child 4), living with their mother and father in a rural Welsh village. The community in which the family resides is described as close-knit, with generational ties and strong community connections. While such communities can provide support, they can also present challenges, including reduced anonymity and increased stigma when families are involved with social services (Parton, 2014).</w:t>
            </w:r>
          </w:p>
          <w:p w14:paraId="0FFBE31D" w14:textId="77777777" w:rsidR="00447523" w:rsidRPr="00E9557D" w:rsidRDefault="00447523" w:rsidP="00447523">
            <w:pPr>
              <w:rPr>
                <w:sz w:val="24"/>
                <w:szCs w:val="24"/>
              </w:rPr>
            </w:pPr>
          </w:p>
          <w:p w14:paraId="4D447CF1" w14:textId="77777777" w:rsidR="00447523" w:rsidRPr="00E9557D" w:rsidRDefault="00447523" w:rsidP="00447523">
            <w:pPr>
              <w:rPr>
                <w:sz w:val="24"/>
                <w:szCs w:val="24"/>
              </w:rPr>
            </w:pPr>
          </w:p>
          <w:p w14:paraId="577A063C" w14:textId="77777777" w:rsidR="00447523" w:rsidRPr="00E9557D" w:rsidRDefault="00447523" w:rsidP="00447523">
            <w:pPr>
              <w:spacing w:line="480" w:lineRule="auto"/>
              <w:rPr>
                <w:sz w:val="24"/>
                <w:szCs w:val="24"/>
              </w:rPr>
            </w:pPr>
            <w:r w:rsidRPr="00E9557D">
              <w:rPr>
                <w:sz w:val="24"/>
                <w:szCs w:val="24"/>
              </w:rPr>
              <w:t xml:space="preserve">The family has been known to the local authority for over a decade, with previous involvement including periods of support under care and support plans and registration on the child protection register. This history highlights long-standing concerns regarding </w:t>
            </w:r>
            <w:r w:rsidRPr="00E9557D">
              <w:rPr>
                <w:sz w:val="24"/>
                <w:szCs w:val="24"/>
              </w:rPr>
              <w:lastRenderedPageBreak/>
              <w:t>parenting capacity and safeguarding risks. Both parents are care experienced, which is significant given research indicating that individuals with care experience may be more vulnerable to challenges in parenting due to trauma and disrupted attachment histories (Ferguson, 2017).</w:t>
            </w:r>
          </w:p>
          <w:p w14:paraId="7F4E2015" w14:textId="77777777" w:rsidR="00447523" w:rsidRPr="00E9557D" w:rsidRDefault="00447523" w:rsidP="00447523">
            <w:pPr>
              <w:rPr>
                <w:sz w:val="24"/>
                <w:szCs w:val="24"/>
              </w:rPr>
            </w:pPr>
          </w:p>
          <w:p w14:paraId="7331C23B" w14:textId="77777777" w:rsidR="00447523" w:rsidRPr="00E9557D" w:rsidRDefault="00447523" w:rsidP="00447523">
            <w:pPr>
              <w:rPr>
                <w:sz w:val="24"/>
                <w:szCs w:val="24"/>
              </w:rPr>
            </w:pPr>
          </w:p>
          <w:p w14:paraId="56F55455" w14:textId="77777777" w:rsidR="00447523" w:rsidRPr="00E9557D" w:rsidRDefault="00447523" w:rsidP="00447523">
            <w:pPr>
              <w:spacing w:line="480" w:lineRule="auto"/>
              <w:rPr>
                <w:sz w:val="24"/>
                <w:szCs w:val="24"/>
              </w:rPr>
            </w:pPr>
            <w:r w:rsidRPr="00E9557D">
              <w:rPr>
                <w:sz w:val="24"/>
                <w:szCs w:val="24"/>
              </w:rPr>
              <w:t>The family has also experienced considerable recent trauma. Child 5, aged eight, died following a prolonged illness that required extensive hospital treatment, including periods of cross-border care. This had a significant impact on family dynamics, as the mother spent extended periods away from the home while supporting the child during treatment. This disruption likely placed increased pressure on the father, who became the primary caregiver during these periods.</w:t>
            </w:r>
          </w:p>
          <w:p w14:paraId="1CB1274F" w14:textId="77777777" w:rsidR="00447523" w:rsidRPr="00E9557D" w:rsidRDefault="00447523" w:rsidP="00447523">
            <w:pPr>
              <w:rPr>
                <w:sz w:val="24"/>
                <w:szCs w:val="24"/>
              </w:rPr>
            </w:pPr>
          </w:p>
          <w:p w14:paraId="533DC0CA" w14:textId="77777777" w:rsidR="00447523" w:rsidRPr="00E9557D" w:rsidRDefault="00447523" w:rsidP="00447523">
            <w:pPr>
              <w:rPr>
                <w:sz w:val="24"/>
                <w:szCs w:val="24"/>
              </w:rPr>
            </w:pPr>
          </w:p>
          <w:p w14:paraId="0319DCFA" w14:textId="77777777" w:rsidR="00447523" w:rsidRPr="00E9557D" w:rsidRDefault="00447523" w:rsidP="00447523">
            <w:pPr>
              <w:spacing w:line="480" w:lineRule="auto"/>
              <w:rPr>
                <w:sz w:val="24"/>
                <w:szCs w:val="24"/>
              </w:rPr>
            </w:pPr>
            <w:r w:rsidRPr="00E9557D">
              <w:rPr>
                <w:sz w:val="24"/>
                <w:szCs w:val="24"/>
              </w:rPr>
              <w:t>The safeguarding referral arose following a significant incident requiring police attendance. During this incident, the eldest child (Child 1) was found to be in possession of a bladed article in a public place without lawful excuse. The incident followed a falling out between the four siblings. This raised immediate concerns regarding risk-taking behaviour and potential criminal activity. Additionally, the incident raised concerns regarding supervision, as both parents were absent from the home at the time.</w:t>
            </w:r>
          </w:p>
          <w:p w14:paraId="123F2343" w14:textId="77777777" w:rsidR="00447523" w:rsidRPr="00E9557D" w:rsidRDefault="00447523" w:rsidP="00447523">
            <w:pPr>
              <w:rPr>
                <w:sz w:val="24"/>
                <w:szCs w:val="24"/>
              </w:rPr>
            </w:pPr>
          </w:p>
          <w:p w14:paraId="1B387CEA" w14:textId="4A05DC79" w:rsidR="00447523" w:rsidRPr="00E9557D" w:rsidRDefault="00447523" w:rsidP="00447523">
            <w:pPr>
              <w:spacing w:line="480" w:lineRule="auto"/>
              <w:rPr>
                <w:sz w:val="24"/>
                <w:szCs w:val="24"/>
              </w:rPr>
            </w:pPr>
            <w:r w:rsidRPr="00E9557D">
              <w:rPr>
                <w:sz w:val="24"/>
                <w:szCs w:val="24"/>
              </w:rPr>
              <w:t>Safeguarding children within Wales is primarily governed by the Social Services and Well-being (Wales) Act 2014 (SSWWA), which emphasises promoting wellbeing, early intervention, prevention, and co-productive working with families (</w:t>
            </w:r>
            <w:r w:rsidR="00D148FB" w:rsidRPr="00E9557D">
              <w:rPr>
                <w:sz w:val="24"/>
                <w:szCs w:val="24"/>
              </w:rPr>
              <w:t>WG</w:t>
            </w:r>
            <w:r w:rsidRPr="00E9557D">
              <w:rPr>
                <w:sz w:val="24"/>
                <w:szCs w:val="24"/>
              </w:rPr>
              <w:t xml:space="preserve">, 2014). The Act marked a significant shift in social work practice in Wales, encouraging a strengths-based </w:t>
            </w:r>
            <w:r w:rsidRPr="00E9557D">
              <w:rPr>
                <w:sz w:val="24"/>
                <w:szCs w:val="24"/>
              </w:rPr>
              <w:lastRenderedPageBreak/>
              <w:t>and person-centred approach (S</w:t>
            </w:r>
            <w:r w:rsidR="00D148FB" w:rsidRPr="00E9557D">
              <w:rPr>
                <w:sz w:val="24"/>
                <w:szCs w:val="24"/>
              </w:rPr>
              <w:t>CW</w:t>
            </w:r>
            <w:r w:rsidRPr="00E9557D">
              <w:rPr>
                <w:sz w:val="24"/>
                <w:szCs w:val="24"/>
              </w:rPr>
              <w:t>, 2025). However, safeguarding practice in Wales does not operate independently of wider UK legislation. The Children Act 1989 continues to underpin child protection investigations, particularly through Section 47 enquiries where there is reasonable cause to suspect that a child is suffering or likely to suffer significant harm (HM Government, 1989). This creates a dual legislative framework requiring social work practitioners to navigate both devolved Welsh law alongside retained UK legislation (Cardiff University, 2014).</w:t>
            </w:r>
          </w:p>
          <w:p w14:paraId="611CD0A2" w14:textId="77777777" w:rsidR="00447523" w:rsidRPr="00E9557D" w:rsidRDefault="00447523" w:rsidP="00447523">
            <w:pPr>
              <w:rPr>
                <w:sz w:val="24"/>
                <w:szCs w:val="24"/>
              </w:rPr>
            </w:pPr>
          </w:p>
          <w:p w14:paraId="297CB676" w14:textId="77777777" w:rsidR="00447523" w:rsidRPr="00E9557D" w:rsidRDefault="00447523" w:rsidP="00447523">
            <w:pPr>
              <w:rPr>
                <w:sz w:val="24"/>
                <w:szCs w:val="24"/>
              </w:rPr>
            </w:pPr>
          </w:p>
          <w:p w14:paraId="30709E04" w14:textId="65CCFAD0" w:rsidR="00447523" w:rsidRPr="00E9557D" w:rsidRDefault="00447523" w:rsidP="00447523">
            <w:pPr>
              <w:spacing w:line="480" w:lineRule="auto"/>
              <w:rPr>
                <w:sz w:val="24"/>
                <w:szCs w:val="24"/>
              </w:rPr>
            </w:pPr>
            <w:r w:rsidRPr="00E9557D">
              <w:rPr>
                <w:sz w:val="24"/>
                <w:szCs w:val="24"/>
              </w:rPr>
              <w:t>Safeguarding practice in Wales is also shaped by international frameworks including the United Nations Convention on the Rights of the Child (UNCRC). This establishes the child’s right to protection, participation, and provision (United Nations, 1989). The incorporation of UNCRC principles into Welsh law through the Rights of Children and Young Persons (Wales) Measure 2011 demonstrates how global frameworks influence local practice (W</w:t>
            </w:r>
            <w:r w:rsidR="00D148FB" w:rsidRPr="00E9557D">
              <w:rPr>
                <w:sz w:val="24"/>
                <w:szCs w:val="24"/>
              </w:rPr>
              <w:t>G</w:t>
            </w:r>
            <w:r w:rsidRPr="00E9557D">
              <w:rPr>
                <w:sz w:val="24"/>
                <w:szCs w:val="24"/>
              </w:rPr>
              <w:t xml:space="preserve">, 2011). </w:t>
            </w:r>
          </w:p>
          <w:p w14:paraId="6B6ACE6D" w14:textId="77777777" w:rsidR="00447523" w:rsidRPr="00E9557D" w:rsidRDefault="00447523" w:rsidP="00447523">
            <w:pPr>
              <w:rPr>
                <w:sz w:val="24"/>
                <w:szCs w:val="24"/>
              </w:rPr>
            </w:pPr>
          </w:p>
          <w:p w14:paraId="7B7E16AB" w14:textId="77777777" w:rsidR="00447523" w:rsidRPr="00E9557D" w:rsidRDefault="00447523" w:rsidP="00447523">
            <w:pPr>
              <w:spacing w:line="480" w:lineRule="auto"/>
              <w:rPr>
                <w:sz w:val="24"/>
                <w:szCs w:val="24"/>
              </w:rPr>
            </w:pPr>
            <w:r w:rsidRPr="00E9557D">
              <w:rPr>
                <w:sz w:val="24"/>
                <w:szCs w:val="24"/>
              </w:rPr>
              <w:t xml:space="preserve">Furthermore, despite the United Kingdom leaving the European Union, many EU-derived principles relating to human rights and data protection, continue to shape safeguarding practice Here in Wales. An example being the Data Protection Act 2018 (UK Government, 2018) reflecting the principles of the General Data Protection Regulation (GDPR) (EU, 2016), demonstrating the continued alignment between UK and former EU legal standards (Mc Cullagh, 2023). Additionally, adherence to the European Convention on Human Rights (ECHR) continues to inform safeguarding decisions, particularly in balancing Article 8 (right to family life) with the need to protect children from harm (Braye </w:t>
            </w:r>
            <w:r w:rsidRPr="00E9557D">
              <w:rPr>
                <w:i/>
                <w:iCs/>
                <w:sz w:val="24"/>
                <w:szCs w:val="24"/>
              </w:rPr>
              <w:t>et al.,</w:t>
            </w:r>
            <w:r w:rsidRPr="00E9557D">
              <w:rPr>
                <w:sz w:val="24"/>
                <w:szCs w:val="24"/>
              </w:rPr>
              <w:t xml:space="preserve"> 2015).</w:t>
            </w:r>
          </w:p>
          <w:p w14:paraId="2F388DB1" w14:textId="77777777" w:rsidR="00447523" w:rsidRPr="00E9557D" w:rsidRDefault="00447523" w:rsidP="00447523">
            <w:pPr>
              <w:rPr>
                <w:sz w:val="24"/>
                <w:szCs w:val="24"/>
              </w:rPr>
            </w:pPr>
          </w:p>
          <w:p w14:paraId="27A0849C" w14:textId="77777777" w:rsidR="00447523" w:rsidRPr="00E9557D" w:rsidRDefault="00447523" w:rsidP="00447523">
            <w:pPr>
              <w:rPr>
                <w:sz w:val="24"/>
                <w:szCs w:val="24"/>
              </w:rPr>
            </w:pPr>
          </w:p>
          <w:p w14:paraId="540C2F2F" w14:textId="16816385" w:rsidR="00447523" w:rsidRPr="00E9557D" w:rsidRDefault="00447523" w:rsidP="00447523">
            <w:pPr>
              <w:spacing w:line="480" w:lineRule="auto"/>
              <w:rPr>
                <w:sz w:val="24"/>
                <w:szCs w:val="24"/>
              </w:rPr>
            </w:pPr>
            <w:r w:rsidRPr="00E9557D">
              <w:rPr>
                <w:sz w:val="24"/>
                <w:szCs w:val="24"/>
              </w:rPr>
              <w:t>Following the incident and in line with Part 7, Section 130 of the SSWWA 2014, the police fulfilled their statutory duty to notify the local authority of safeguarding concerns (W</w:t>
            </w:r>
            <w:r w:rsidR="00D148FB" w:rsidRPr="00E9557D">
              <w:rPr>
                <w:sz w:val="24"/>
                <w:szCs w:val="24"/>
              </w:rPr>
              <w:t>G</w:t>
            </w:r>
            <w:r w:rsidRPr="00E9557D">
              <w:rPr>
                <w:sz w:val="24"/>
                <w:szCs w:val="24"/>
              </w:rPr>
              <w:t>, 2014). A strategy discussion was held in accordance with the Wales Safeguarding Procedures (2019). The outcome was to initiate Section 47 enquiries under the Children Act 1989 for Child 1, while undertaking Child and Young Person assessments for the younger siblings under Part 4 of the SSWWA 2014.</w:t>
            </w:r>
          </w:p>
          <w:p w14:paraId="727B0818" w14:textId="77777777" w:rsidR="00447523" w:rsidRPr="00E9557D" w:rsidRDefault="00447523" w:rsidP="00447523">
            <w:pPr>
              <w:spacing w:line="480" w:lineRule="auto"/>
              <w:rPr>
                <w:sz w:val="24"/>
                <w:szCs w:val="24"/>
              </w:rPr>
            </w:pPr>
          </w:p>
          <w:p w14:paraId="74F281BE" w14:textId="141940F5" w:rsidR="00447523" w:rsidRPr="00E9557D" w:rsidRDefault="00447523" w:rsidP="00447523">
            <w:pPr>
              <w:spacing w:line="480" w:lineRule="auto"/>
              <w:rPr>
                <w:sz w:val="24"/>
                <w:szCs w:val="24"/>
              </w:rPr>
            </w:pPr>
            <w:r w:rsidRPr="00E9557D">
              <w:rPr>
                <w:sz w:val="24"/>
                <w:szCs w:val="24"/>
              </w:rPr>
              <w:t>A key complexity in this case was the delay between the incident occurring on a Friday evening and the strategy discussion taking place the following Monday. This delay created tension, with the mother questioning the rationale for intervention if the situation had not been deemed urgent at the time. This highlights the challenges within safeguarding practice regarding thresholds for intervention and proportionality of response (Munro, 2011). This case highlighted how delays in responses can affect the family perception of risk and professional credibility. Reflecting on this interaction, I recognised the importance of transparency and honest communication to maintain engagement with the family. While at this stage mum could have been seen to be obstructive or difficult</w:t>
            </w:r>
            <w:r w:rsidR="00025600" w:rsidRPr="00E9557D">
              <w:rPr>
                <w:sz w:val="24"/>
                <w:szCs w:val="24"/>
              </w:rPr>
              <w:t>,</w:t>
            </w:r>
            <w:r w:rsidRPr="00E9557D">
              <w:rPr>
                <w:sz w:val="24"/>
                <w:szCs w:val="24"/>
              </w:rPr>
              <w:t xml:space="preserve"> it was important to reflect on how mum was trying to understand how if it was such a significant concern why no action had been taken at the time. Honest communication with the family assisted alleviating these tensions. By acknowledging a delayed response mum could see I was prepared to work with her openly and honestly in line with my requirements embedded in the Code of Professional Practice (S</w:t>
            </w:r>
            <w:r w:rsidR="00D148FB" w:rsidRPr="00E9557D">
              <w:rPr>
                <w:sz w:val="24"/>
                <w:szCs w:val="24"/>
              </w:rPr>
              <w:t>CW</w:t>
            </w:r>
            <w:r w:rsidRPr="00E9557D">
              <w:rPr>
                <w:sz w:val="24"/>
                <w:szCs w:val="24"/>
              </w:rPr>
              <w:t xml:space="preserve">, 2017). </w:t>
            </w:r>
          </w:p>
          <w:p w14:paraId="16684E23" w14:textId="77777777" w:rsidR="00447523" w:rsidRPr="00E9557D" w:rsidRDefault="00447523" w:rsidP="00447523">
            <w:pPr>
              <w:rPr>
                <w:sz w:val="24"/>
                <w:szCs w:val="24"/>
              </w:rPr>
            </w:pPr>
          </w:p>
          <w:p w14:paraId="3A8A4EC9" w14:textId="77777777" w:rsidR="00447523" w:rsidRPr="00E9557D" w:rsidRDefault="00447523" w:rsidP="00447523">
            <w:pPr>
              <w:spacing w:line="480" w:lineRule="auto"/>
              <w:rPr>
                <w:sz w:val="24"/>
                <w:szCs w:val="24"/>
              </w:rPr>
            </w:pPr>
          </w:p>
          <w:p w14:paraId="66FD4617" w14:textId="10BBB4B6" w:rsidR="00447523" w:rsidRPr="00E9557D" w:rsidRDefault="00447523" w:rsidP="00447523">
            <w:pPr>
              <w:spacing w:line="480" w:lineRule="auto"/>
              <w:rPr>
                <w:sz w:val="24"/>
                <w:szCs w:val="24"/>
              </w:rPr>
            </w:pPr>
            <w:r w:rsidRPr="00E9557D">
              <w:rPr>
                <w:sz w:val="24"/>
                <w:szCs w:val="24"/>
              </w:rPr>
              <w:lastRenderedPageBreak/>
              <w:t>The case came with another level of complexity with split responsibility. The immediate safeguarding concern arose following a police incident in which Child 1 was found in possession of a bladed article in a public place without lawful excuse. Importantly, Child 1 is open to the Children’s Disability Team</w:t>
            </w:r>
            <w:r w:rsidR="00025600" w:rsidRPr="00E9557D">
              <w:rPr>
                <w:sz w:val="24"/>
                <w:szCs w:val="24"/>
              </w:rPr>
              <w:t xml:space="preserve"> (CDT)</w:t>
            </w:r>
            <w:r w:rsidRPr="00E9557D">
              <w:rPr>
                <w:sz w:val="24"/>
                <w:szCs w:val="24"/>
              </w:rPr>
              <w:t>, which holds statutory responsibility for her case. This introduced complexity, as safeguarding concerns extended across the sibling group, yet professional responsibility was divided.</w:t>
            </w:r>
          </w:p>
          <w:p w14:paraId="1D76CEBA" w14:textId="77777777" w:rsidR="00447523" w:rsidRPr="00E9557D" w:rsidRDefault="00447523" w:rsidP="00447523">
            <w:pPr>
              <w:spacing w:line="480" w:lineRule="auto"/>
              <w:rPr>
                <w:sz w:val="24"/>
                <w:szCs w:val="24"/>
              </w:rPr>
            </w:pPr>
          </w:p>
          <w:p w14:paraId="71E57E66" w14:textId="240DF942" w:rsidR="00447523" w:rsidRPr="00E9557D" w:rsidRDefault="00447523" w:rsidP="00447523">
            <w:pPr>
              <w:spacing w:line="480" w:lineRule="auto"/>
              <w:rPr>
                <w:sz w:val="24"/>
                <w:szCs w:val="24"/>
              </w:rPr>
            </w:pPr>
            <w:r w:rsidRPr="00E9557D">
              <w:rPr>
                <w:sz w:val="24"/>
                <w:szCs w:val="24"/>
              </w:rPr>
              <w:t xml:space="preserve">One of the most challenging aspects of this case was navigating the division of responsibility between myself and the </w:t>
            </w:r>
            <w:r w:rsidR="00025600" w:rsidRPr="00E9557D">
              <w:rPr>
                <w:sz w:val="24"/>
                <w:szCs w:val="24"/>
              </w:rPr>
              <w:t>CDT</w:t>
            </w:r>
            <w:r w:rsidRPr="00E9557D">
              <w:rPr>
                <w:sz w:val="24"/>
                <w:szCs w:val="24"/>
              </w:rPr>
              <w:t>. While I was responsible for the assessment of the three children, Child 1, who was central to the safeguarding concerns, remained allocated to another team. This created a sense of fragmentation that I found difficult to manage in practice.</w:t>
            </w:r>
          </w:p>
          <w:p w14:paraId="0C2EFE2D" w14:textId="77777777" w:rsidR="00447523" w:rsidRPr="00E9557D" w:rsidRDefault="00447523" w:rsidP="00447523">
            <w:pPr>
              <w:spacing w:line="480" w:lineRule="auto"/>
              <w:rPr>
                <w:sz w:val="24"/>
                <w:szCs w:val="24"/>
              </w:rPr>
            </w:pPr>
          </w:p>
          <w:p w14:paraId="01D9C637" w14:textId="77777777" w:rsidR="00447523" w:rsidRPr="00E9557D" w:rsidRDefault="00447523" w:rsidP="00447523">
            <w:pPr>
              <w:spacing w:line="480" w:lineRule="auto"/>
              <w:rPr>
                <w:sz w:val="24"/>
                <w:szCs w:val="24"/>
              </w:rPr>
            </w:pPr>
            <w:r w:rsidRPr="00E9557D">
              <w:rPr>
                <w:sz w:val="24"/>
                <w:szCs w:val="24"/>
              </w:rPr>
              <w:t>I often felt that I held only part of the safeguarding picture, despite being required to assess the overall family context. This raised questions for me about professional accountability and the potential for gaps in safeguarding. I became increasingly aware that, without effective communication and collaboration, there was a risk that the children’s needs would be assessed in isolation rather than as part of an interconnected system.  Lefevre (2015) supports that effective communication is central to safeguarding practice, as it enables professionals to understand children’s lived experiences and identify risk. Therefore, despite Child 1 not being allocated to me I knew it was essential to include her views within my assessment due to safeguarding concerns arising due to the incident involving Child 1.</w:t>
            </w:r>
          </w:p>
          <w:p w14:paraId="1A95D27F" w14:textId="77777777" w:rsidR="00447523" w:rsidRPr="00E9557D" w:rsidRDefault="00447523" w:rsidP="00447523">
            <w:pPr>
              <w:spacing w:line="480" w:lineRule="auto"/>
              <w:rPr>
                <w:sz w:val="24"/>
                <w:szCs w:val="24"/>
              </w:rPr>
            </w:pPr>
          </w:p>
          <w:p w14:paraId="00B9138E" w14:textId="77777777" w:rsidR="00447523" w:rsidRPr="00E9557D" w:rsidRDefault="00447523" w:rsidP="00447523">
            <w:pPr>
              <w:spacing w:line="480" w:lineRule="auto"/>
              <w:rPr>
                <w:sz w:val="24"/>
                <w:szCs w:val="24"/>
              </w:rPr>
            </w:pPr>
            <w:r w:rsidRPr="00E9557D">
              <w:rPr>
                <w:sz w:val="24"/>
                <w:szCs w:val="24"/>
              </w:rPr>
              <w:lastRenderedPageBreak/>
              <w:t>At times, I also experienced uncertainty regarding my role boundaries. While I was not the allocated worker for Child 1, I could not ignore the impact of her behaviour on the siblings. This required me to actively negotiate my role within the wider professional network, ensuring that my assessment remained holistic while respecting the responsibilities of others. I found undertaking joint visits for some assessment sessions assisted in combatting some of the potential challenges. The joint visits also prevented the family, education settings and the children feeling that there was duplication. It also posed as a good opportunity for joint decision making and supported the multi-agency safeguarding practices in Wales. These practices are guided by the Wales Safeguarding Procedures (2019) and overseen by Regional Safeguarding Boards. Safeguarding boards ensure coordinated multi-agency responses to safeguarding concerns and promote consistency in decision-making. This reinforces the statutory duty outlined in Section 164 of the SSWWA 2014, which requires agencies to collaborate in safeguarding children.</w:t>
            </w:r>
          </w:p>
          <w:p w14:paraId="572FE8A7" w14:textId="77777777" w:rsidR="00447523" w:rsidRPr="00E9557D" w:rsidRDefault="00447523" w:rsidP="00447523">
            <w:pPr>
              <w:spacing w:line="480" w:lineRule="auto"/>
              <w:rPr>
                <w:sz w:val="24"/>
                <w:szCs w:val="24"/>
              </w:rPr>
            </w:pPr>
          </w:p>
          <w:p w14:paraId="63FD461A" w14:textId="77777777" w:rsidR="00447523" w:rsidRPr="00E9557D" w:rsidRDefault="00447523" w:rsidP="00447523">
            <w:pPr>
              <w:spacing w:line="480" w:lineRule="auto"/>
              <w:rPr>
                <w:sz w:val="24"/>
                <w:szCs w:val="24"/>
              </w:rPr>
            </w:pPr>
            <w:r w:rsidRPr="00E9557D">
              <w:rPr>
                <w:sz w:val="24"/>
                <w:szCs w:val="24"/>
              </w:rPr>
              <w:t xml:space="preserve">Early in the assessment, there appeared to be some pressure from the police to input what we as social services felt was unnecessary safeguards in place. There was suggestion of out of hours visits and unannounced visits which social services did not feel proportionate. I feel in declining these practices, we highlighted awareness of The Human Rights Act 1998 which plays a key role and further shapes safeguarding practice (UK Government, 1998). Particularly Article 8, which protects the right to private and family life. Interventions must therefore be lawful, necessary, and proportionate, ensuring that interference in family life is justified by the need to protect children (Braye </w:t>
            </w:r>
            <w:r w:rsidRPr="00E9557D">
              <w:rPr>
                <w:i/>
                <w:iCs/>
                <w:sz w:val="24"/>
                <w:szCs w:val="24"/>
              </w:rPr>
              <w:t>et al.,</w:t>
            </w:r>
            <w:r w:rsidRPr="00E9557D">
              <w:rPr>
                <w:sz w:val="24"/>
                <w:szCs w:val="24"/>
              </w:rPr>
              <w:t xml:space="preserve"> 2015). Alongside this, the United Nations Convention on the Rights of the Child (UNCRC) establishes a global framework for </w:t>
            </w:r>
            <w:r w:rsidRPr="00E9557D">
              <w:rPr>
                <w:sz w:val="24"/>
                <w:szCs w:val="24"/>
              </w:rPr>
              <w:lastRenderedPageBreak/>
              <w:t xml:space="preserve">safeguarding, emphasising children’s rights to protection, participation, and provision (United Nations, 1989). </w:t>
            </w:r>
          </w:p>
          <w:p w14:paraId="06774D48" w14:textId="77777777" w:rsidR="00447523" w:rsidRPr="00E9557D" w:rsidRDefault="00447523" w:rsidP="00447523">
            <w:pPr>
              <w:spacing w:line="480" w:lineRule="auto"/>
              <w:rPr>
                <w:sz w:val="24"/>
                <w:szCs w:val="24"/>
              </w:rPr>
            </w:pPr>
          </w:p>
          <w:p w14:paraId="29DC83F9" w14:textId="06598072" w:rsidR="00447523" w:rsidRPr="00E9557D" w:rsidRDefault="00447523" w:rsidP="00447523">
            <w:pPr>
              <w:spacing w:line="480" w:lineRule="auto"/>
              <w:rPr>
                <w:sz w:val="24"/>
                <w:szCs w:val="24"/>
              </w:rPr>
            </w:pPr>
            <w:r w:rsidRPr="00E9557D">
              <w:rPr>
                <w:sz w:val="24"/>
                <w:szCs w:val="24"/>
              </w:rPr>
              <w:t>The incorporation of the UNCRC into Welsh legislation through the Rights of Children and Young Persons (Wales) Measure 2011 reinforces a child rights approach that must underpin all social work practice (</w:t>
            </w:r>
            <w:r w:rsidR="00D148FB" w:rsidRPr="00E9557D">
              <w:rPr>
                <w:sz w:val="24"/>
                <w:szCs w:val="24"/>
              </w:rPr>
              <w:t>WG</w:t>
            </w:r>
            <w:r w:rsidRPr="00E9557D">
              <w:rPr>
                <w:sz w:val="24"/>
                <w:szCs w:val="24"/>
              </w:rPr>
              <w:t xml:space="preserve">, 2011). I believe communication between professionals also alleviated police worries, feeding back regularly to the officer in charge provided reassurance that risk was being acknowledged, managed and all children effectively safeguarded. </w:t>
            </w:r>
          </w:p>
          <w:p w14:paraId="0BBF9F82" w14:textId="77777777" w:rsidR="00447523" w:rsidRPr="00E9557D" w:rsidRDefault="00447523" w:rsidP="00447523">
            <w:pPr>
              <w:spacing w:line="480" w:lineRule="auto"/>
              <w:rPr>
                <w:sz w:val="24"/>
                <w:szCs w:val="24"/>
              </w:rPr>
            </w:pPr>
          </w:p>
          <w:p w14:paraId="5156EC9B" w14:textId="5D6BA73C" w:rsidR="00447523" w:rsidRPr="00E9557D" w:rsidRDefault="00447523" w:rsidP="00447523">
            <w:pPr>
              <w:spacing w:line="480" w:lineRule="auto"/>
              <w:rPr>
                <w:sz w:val="24"/>
                <w:szCs w:val="24"/>
              </w:rPr>
            </w:pPr>
            <w:r w:rsidRPr="00E9557D">
              <w:rPr>
                <w:sz w:val="24"/>
                <w:szCs w:val="24"/>
              </w:rPr>
              <w:t xml:space="preserve">Collaboration was central to my practice in this case, aligning with the statutory duty under Section 164 of the </w:t>
            </w:r>
            <w:r w:rsidR="00D148FB" w:rsidRPr="00E9557D">
              <w:rPr>
                <w:sz w:val="24"/>
                <w:szCs w:val="24"/>
              </w:rPr>
              <w:t xml:space="preserve">SSWWA </w:t>
            </w:r>
            <w:r w:rsidRPr="00E9557D">
              <w:rPr>
                <w:sz w:val="24"/>
                <w:szCs w:val="24"/>
              </w:rPr>
              <w:t>2014, which requires effective multi-agency working to safeguard children (</w:t>
            </w:r>
            <w:r w:rsidR="00D148FB" w:rsidRPr="00E9557D">
              <w:rPr>
                <w:sz w:val="24"/>
                <w:szCs w:val="24"/>
              </w:rPr>
              <w:t>WG</w:t>
            </w:r>
            <w:r w:rsidRPr="00E9557D">
              <w:rPr>
                <w:sz w:val="24"/>
                <w:szCs w:val="24"/>
              </w:rPr>
              <w:t>, 2014). However, collaboration also presented challenges. Education professionals advocated for all children to be placed on the Child Protection Register, reflecting differing threshold judgements. Such differences are common and highlight the complexity of safeguarding decision-making (Parton, 2014). Through supervision and multi-agency discussion, these differences were addressed with local authority thresholds explained.</w:t>
            </w:r>
          </w:p>
          <w:p w14:paraId="0EBFE0DC" w14:textId="77777777" w:rsidR="00447523" w:rsidRPr="00E9557D" w:rsidRDefault="00447523" w:rsidP="00447523">
            <w:pPr>
              <w:spacing w:line="480" w:lineRule="auto"/>
              <w:rPr>
                <w:sz w:val="24"/>
                <w:szCs w:val="24"/>
              </w:rPr>
            </w:pPr>
          </w:p>
          <w:p w14:paraId="722216A2" w14:textId="77777777" w:rsidR="00447523" w:rsidRPr="00E9557D" w:rsidRDefault="00447523" w:rsidP="00447523">
            <w:pPr>
              <w:spacing w:line="480" w:lineRule="auto"/>
              <w:rPr>
                <w:sz w:val="24"/>
                <w:szCs w:val="24"/>
              </w:rPr>
            </w:pPr>
            <w:r w:rsidRPr="00E9557D">
              <w:rPr>
                <w:sz w:val="24"/>
                <w:szCs w:val="24"/>
              </w:rPr>
              <w:t xml:space="preserve">The use of direct work with children within social work assessments is essential in supporting effective safeguarding practices and strengthening the overall quality and accuracy of assessments (NSPCC, 2024). While direct work sessions were undertaken within the home, there were also visits undertaken at education settings. Undertaking direct </w:t>
            </w:r>
            <w:r w:rsidRPr="00E9557D">
              <w:rPr>
                <w:sz w:val="24"/>
                <w:szCs w:val="24"/>
              </w:rPr>
              <w:lastRenderedPageBreak/>
              <w:t xml:space="preserve">work with the children across multiple settings aided overcoming barriers within social work assessments, such as limited engagement, communication difficulties, and the potential for adult narratives to dominate the assessment process (Oriley and Dolan, 2016). </w:t>
            </w:r>
          </w:p>
          <w:p w14:paraId="20CB4654" w14:textId="77777777" w:rsidR="00447523" w:rsidRPr="00E9557D" w:rsidRDefault="00447523" w:rsidP="00447523">
            <w:pPr>
              <w:spacing w:line="480" w:lineRule="auto"/>
              <w:rPr>
                <w:sz w:val="24"/>
                <w:szCs w:val="24"/>
              </w:rPr>
            </w:pPr>
          </w:p>
          <w:p w14:paraId="3155D98F" w14:textId="77777777" w:rsidR="00447523" w:rsidRPr="00E9557D" w:rsidRDefault="00447523" w:rsidP="00447523">
            <w:pPr>
              <w:spacing w:line="480" w:lineRule="auto"/>
              <w:rPr>
                <w:sz w:val="24"/>
                <w:szCs w:val="24"/>
              </w:rPr>
            </w:pPr>
            <w:r w:rsidRPr="00E9557D">
              <w:rPr>
                <w:sz w:val="24"/>
                <w:szCs w:val="24"/>
              </w:rPr>
              <w:t xml:space="preserve">Direct work with the children highlighted that, while each child demonstrated a degree of resilience, the impact of the incident was experienced differently by each child. This variation emphasises the importance of recognising children as individuals within safeguarding assessments, as their emotional responses, coping mechanisms, and support needs may differ significantly despite shared experiences (Daniel </w:t>
            </w:r>
            <w:r w:rsidRPr="00E9557D">
              <w:rPr>
                <w:i/>
                <w:iCs/>
                <w:sz w:val="24"/>
                <w:szCs w:val="24"/>
              </w:rPr>
              <w:t xml:space="preserve">et al., </w:t>
            </w:r>
            <w:r w:rsidRPr="00E9557D">
              <w:rPr>
                <w:sz w:val="24"/>
                <w:szCs w:val="24"/>
              </w:rPr>
              <w:t xml:space="preserve">2010). Direct work Highlighted the need for enhanced support for child 4 who reported feeling scared and worried following the incident. While Child 2 and 3 appeared less affected. </w:t>
            </w:r>
          </w:p>
          <w:p w14:paraId="45882302" w14:textId="77777777" w:rsidR="00447523" w:rsidRPr="00E9557D" w:rsidRDefault="00447523" w:rsidP="00447523">
            <w:pPr>
              <w:spacing w:line="480" w:lineRule="auto"/>
              <w:rPr>
                <w:sz w:val="24"/>
                <w:szCs w:val="24"/>
              </w:rPr>
            </w:pPr>
          </w:p>
          <w:p w14:paraId="12B3D853" w14:textId="77777777" w:rsidR="00447523" w:rsidRPr="00E9557D" w:rsidRDefault="00447523" w:rsidP="00447523">
            <w:pPr>
              <w:spacing w:after="160" w:line="480" w:lineRule="auto"/>
              <w:rPr>
                <w:sz w:val="24"/>
                <w:szCs w:val="24"/>
              </w:rPr>
            </w:pPr>
            <w:r w:rsidRPr="00E9557D">
              <w:rPr>
                <w:sz w:val="24"/>
                <w:szCs w:val="24"/>
              </w:rPr>
              <w:t>Active listening was a critical component underpinning effective safeguarding practice in this case. Ferguson (2018) explains how active listening extends beyond hearing words to recognising non-verbal cues, emotional context, and the meaning behind communication. Within safeguarding assessments, active listening ensures that children’s lived experiences are understood directly rather than being filtered through adult narratives or professional assumptions (Winter, 2011).</w:t>
            </w:r>
          </w:p>
          <w:p w14:paraId="6A060BD9" w14:textId="77777777" w:rsidR="00025600" w:rsidRPr="00E9557D" w:rsidRDefault="00025600" w:rsidP="00447523">
            <w:pPr>
              <w:spacing w:after="160" w:line="480" w:lineRule="auto"/>
              <w:rPr>
                <w:sz w:val="24"/>
                <w:szCs w:val="24"/>
              </w:rPr>
            </w:pPr>
          </w:p>
          <w:p w14:paraId="4C8F9C60" w14:textId="77777777" w:rsidR="00447523" w:rsidRPr="00E9557D" w:rsidRDefault="00447523" w:rsidP="00447523">
            <w:pPr>
              <w:spacing w:after="160" w:line="480" w:lineRule="auto"/>
              <w:rPr>
                <w:sz w:val="24"/>
                <w:szCs w:val="24"/>
              </w:rPr>
            </w:pPr>
            <w:r w:rsidRPr="00E9557D">
              <w:rPr>
                <w:sz w:val="24"/>
                <w:szCs w:val="24"/>
              </w:rPr>
              <w:t xml:space="preserve">In this case, active listening during direct work enabled deeper insight into the children’s emotional responses. For example, Child 4 was able to express fear and anxiety that were not immediately observable, demonstrating how active listening strengthens assessment </w:t>
            </w:r>
            <w:r w:rsidRPr="00E9557D">
              <w:rPr>
                <w:sz w:val="24"/>
                <w:szCs w:val="24"/>
              </w:rPr>
              <w:lastRenderedPageBreak/>
              <w:t>analysis by identifying less visible vulnerabilities. As Lefevre (2015) highlights, it is central to hearing the child’s voice and avoiding over-reliance on parental or multi-agency accounts.</w:t>
            </w:r>
          </w:p>
          <w:p w14:paraId="3C6EE93D" w14:textId="77777777" w:rsidR="00447523" w:rsidRPr="00E9557D" w:rsidRDefault="00447523" w:rsidP="00447523">
            <w:pPr>
              <w:spacing w:after="160" w:line="480" w:lineRule="auto"/>
              <w:rPr>
                <w:sz w:val="24"/>
                <w:szCs w:val="24"/>
              </w:rPr>
            </w:pPr>
          </w:p>
          <w:p w14:paraId="05F6A540" w14:textId="77777777" w:rsidR="00447523" w:rsidRPr="00E9557D" w:rsidRDefault="00447523" w:rsidP="00447523">
            <w:pPr>
              <w:spacing w:after="160" w:line="480" w:lineRule="auto"/>
              <w:rPr>
                <w:sz w:val="24"/>
                <w:szCs w:val="24"/>
              </w:rPr>
            </w:pPr>
            <w:r w:rsidRPr="00E9557D">
              <w:rPr>
                <w:sz w:val="24"/>
                <w:szCs w:val="24"/>
              </w:rPr>
              <w:t xml:space="preserve">Active listening also supported engagement with the parents. By acknowledging the mother’s concerns regarding delays, I was able to reduce resistance and promote a more collaborative relationship. This reflects the importance of relational practice in safeguarding, where trust facilitates more accurate information sharing (Munro, 2011). It also highlights that communication can directly influence engagement and assessment quality through aiding the ability to build a good rapport with individuals and families. </w:t>
            </w:r>
          </w:p>
          <w:p w14:paraId="622E44CA" w14:textId="77777777" w:rsidR="00447523" w:rsidRPr="00E9557D" w:rsidRDefault="00447523" w:rsidP="00447523">
            <w:pPr>
              <w:spacing w:after="160" w:line="480" w:lineRule="auto"/>
              <w:rPr>
                <w:sz w:val="24"/>
                <w:szCs w:val="24"/>
              </w:rPr>
            </w:pPr>
          </w:p>
          <w:p w14:paraId="2411F099" w14:textId="2E721D9E" w:rsidR="00447523" w:rsidRPr="00E9557D" w:rsidRDefault="00447523" w:rsidP="00447523">
            <w:pPr>
              <w:spacing w:after="160" w:line="480" w:lineRule="auto"/>
              <w:rPr>
                <w:color w:val="auto"/>
                <w:sz w:val="24"/>
                <w:szCs w:val="24"/>
              </w:rPr>
            </w:pPr>
            <w:r w:rsidRPr="00E9557D">
              <w:rPr>
                <w:color w:val="auto"/>
                <w:sz w:val="24"/>
                <w:szCs w:val="24"/>
              </w:rPr>
              <w:t>Furthermore, active listening is not simply a communication skill but a key component of analytical, ethical, and child-centred safeguarding practice</w:t>
            </w:r>
            <w:r w:rsidR="00025600" w:rsidRPr="00E9557D">
              <w:rPr>
                <w:color w:val="auto"/>
                <w:sz w:val="24"/>
                <w:szCs w:val="24"/>
              </w:rPr>
              <w:t xml:space="preserve"> (Trevithick, 2012)</w:t>
            </w:r>
            <w:r w:rsidRPr="00E9557D">
              <w:rPr>
                <w:color w:val="auto"/>
                <w:sz w:val="24"/>
                <w:szCs w:val="24"/>
              </w:rPr>
              <w:t xml:space="preserve">. In this case active listening allowed me to strengthen my professional judgement. through carefully collating and analysing the information I gathered from each family member, I was better able to analyse risk and make proportionate decisions in increasingly complex situations. </w:t>
            </w:r>
          </w:p>
          <w:p w14:paraId="5F47D0AE" w14:textId="77777777" w:rsidR="00447523" w:rsidRPr="00E9557D" w:rsidRDefault="00447523" w:rsidP="00447523">
            <w:pPr>
              <w:spacing w:after="160" w:line="480" w:lineRule="auto"/>
              <w:rPr>
                <w:color w:val="auto"/>
                <w:sz w:val="24"/>
                <w:szCs w:val="24"/>
              </w:rPr>
            </w:pPr>
          </w:p>
          <w:p w14:paraId="611D9EC4" w14:textId="2EF2F878" w:rsidR="00447523" w:rsidRPr="00E9557D" w:rsidRDefault="00447523" w:rsidP="00447523">
            <w:pPr>
              <w:spacing w:after="160" w:line="480" w:lineRule="auto"/>
              <w:rPr>
                <w:color w:val="auto"/>
                <w:sz w:val="24"/>
                <w:szCs w:val="24"/>
              </w:rPr>
            </w:pPr>
            <w:r w:rsidRPr="00E9557D">
              <w:rPr>
                <w:color w:val="auto"/>
                <w:sz w:val="24"/>
                <w:szCs w:val="24"/>
              </w:rPr>
              <w:t xml:space="preserve">While the Department of Health’s </w:t>
            </w:r>
            <w:r w:rsidRPr="00E9557D">
              <w:rPr>
                <w:i/>
                <w:iCs/>
                <w:color w:val="auto"/>
                <w:sz w:val="24"/>
                <w:szCs w:val="24"/>
              </w:rPr>
              <w:t>Framework for the Assessment of Children in Need and their Families</w:t>
            </w:r>
            <w:r w:rsidRPr="00E9557D">
              <w:rPr>
                <w:color w:val="auto"/>
                <w:sz w:val="24"/>
                <w:szCs w:val="24"/>
              </w:rPr>
              <w:t xml:space="preserve"> (2000) is not statutory in Wales, its influence remains evident in contemporary practice. The framework’s three domains child development, parenting capacity, and family and environmental factors are reflected within the holistic and strengths-based approach promoted by the </w:t>
            </w:r>
            <w:r w:rsidR="00D148FB" w:rsidRPr="00E9557D">
              <w:rPr>
                <w:color w:val="auto"/>
                <w:sz w:val="24"/>
                <w:szCs w:val="24"/>
              </w:rPr>
              <w:t>SSWWA</w:t>
            </w:r>
            <w:r w:rsidRPr="00E9557D">
              <w:rPr>
                <w:color w:val="auto"/>
                <w:sz w:val="24"/>
                <w:szCs w:val="24"/>
              </w:rPr>
              <w:t xml:space="preserve"> 2014. In this case, these domains are implicitly applied through </w:t>
            </w:r>
            <w:r w:rsidRPr="00E9557D">
              <w:rPr>
                <w:color w:val="auto"/>
                <w:sz w:val="24"/>
                <w:szCs w:val="24"/>
              </w:rPr>
              <w:lastRenderedPageBreak/>
              <w:t xml:space="preserve">the analysis of the children’s emotional needs, parental capacity within the context of trauma and bereavement, and the wider family and community environment, demonstrating the continued relevance of the framework in structuring comprehensive safeguarding assessments. </w:t>
            </w:r>
          </w:p>
          <w:p w14:paraId="4860B333" w14:textId="77777777" w:rsidR="00447523" w:rsidRPr="00E9557D" w:rsidRDefault="00447523" w:rsidP="00447523">
            <w:pPr>
              <w:spacing w:after="160" w:line="480" w:lineRule="auto"/>
              <w:rPr>
                <w:color w:val="EE0000"/>
                <w:sz w:val="24"/>
                <w:szCs w:val="24"/>
              </w:rPr>
            </w:pPr>
          </w:p>
          <w:p w14:paraId="40C777E1" w14:textId="77777777" w:rsidR="00447523" w:rsidRPr="00E9557D" w:rsidRDefault="00447523" w:rsidP="00447523">
            <w:pPr>
              <w:spacing w:line="480" w:lineRule="auto"/>
              <w:rPr>
                <w:sz w:val="24"/>
                <w:szCs w:val="24"/>
              </w:rPr>
            </w:pPr>
            <w:r w:rsidRPr="00E9557D">
              <w:rPr>
                <w:sz w:val="24"/>
                <w:szCs w:val="24"/>
              </w:rPr>
              <w:t>Overall, I feel working with this family has reinforced first hand how assessments are fundamental to safeguarding practice. They provide a structured framework for identifying risk, understanding children’s needs, and informing appropriate interventions. Statutory guidance emphasises that effective assessment is central to safeguarding and should be child-centred and multi-agency (Department for Education, 2018). Additionally, research highlights that without high-quality assessment, practitioners cannot gain an accurate understanding of a child’s circumstances or effectively identify harm (Ofsted, 2015). The Munro Review (2011) further reinforces the importance of analytical, theory-informed assessment in supporting professional judgement and improving outcomes for children.</w:t>
            </w:r>
          </w:p>
          <w:p w14:paraId="3F4ED019" w14:textId="77777777" w:rsidR="00447523" w:rsidRPr="00E9557D" w:rsidRDefault="00447523" w:rsidP="00447523">
            <w:pPr>
              <w:spacing w:line="480" w:lineRule="auto"/>
              <w:rPr>
                <w:sz w:val="24"/>
                <w:szCs w:val="24"/>
              </w:rPr>
            </w:pPr>
          </w:p>
          <w:p w14:paraId="4D92355C" w14:textId="77777777" w:rsidR="00447523" w:rsidRPr="00E9557D" w:rsidRDefault="00447523" w:rsidP="00447523">
            <w:pPr>
              <w:spacing w:line="480" w:lineRule="auto"/>
              <w:rPr>
                <w:sz w:val="24"/>
                <w:szCs w:val="24"/>
              </w:rPr>
            </w:pPr>
            <w:r w:rsidRPr="00E9557D">
              <w:rPr>
                <w:sz w:val="24"/>
                <w:szCs w:val="24"/>
              </w:rPr>
              <w:t xml:space="preserve">The complexity of this case required the integration of multiple theoretical perspectives to inform assessment and intervention. The use of social work theory is fundamental in informing and strengthening assessment practice. Theory provides a structured framework through which practitioners can analyse complex information and make informed professional judgements (Payne, 2014). </w:t>
            </w:r>
          </w:p>
          <w:p w14:paraId="7D15E1EF" w14:textId="77777777" w:rsidR="00447523" w:rsidRPr="00E9557D" w:rsidRDefault="00447523" w:rsidP="00447523">
            <w:pPr>
              <w:spacing w:line="480" w:lineRule="auto"/>
              <w:rPr>
                <w:sz w:val="24"/>
                <w:szCs w:val="24"/>
              </w:rPr>
            </w:pPr>
          </w:p>
          <w:p w14:paraId="4B899405" w14:textId="77777777" w:rsidR="00447523" w:rsidRPr="00E9557D" w:rsidRDefault="00447523" w:rsidP="00447523">
            <w:pPr>
              <w:spacing w:line="480" w:lineRule="auto"/>
              <w:rPr>
                <w:sz w:val="24"/>
                <w:szCs w:val="24"/>
              </w:rPr>
            </w:pPr>
            <w:r w:rsidRPr="00E9557D">
              <w:rPr>
                <w:sz w:val="24"/>
                <w:szCs w:val="24"/>
              </w:rPr>
              <w:lastRenderedPageBreak/>
              <w:t>Trauma-informed practice was central to understanding the family’s experiences. Trauma-informed approaches recognise that exposure to adverse experiences, including childhood adversity and bereavement, can significantly impact behaviour and emotional functioning</w:t>
            </w:r>
            <w:r w:rsidRPr="00E9557D">
              <w:rPr>
                <w:i/>
                <w:iCs/>
                <w:sz w:val="24"/>
                <w:szCs w:val="24"/>
              </w:rPr>
              <w:t xml:space="preserve"> </w:t>
            </w:r>
            <w:r w:rsidRPr="00E9557D">
              <w:rPr>
                <w:sz w:val="24"/>
                <w:szCs w:val="24"/>
              </w:rPr>
              <w:t xml:space="preserve">(Sweeney </w:t>
            </w:r>
            <w:r w:rsidRPr="00E9557D">
              <w:rPr>
                <w:i/>
                <w:iCs/>
                <w:sz w:val="24"/>
                <w:szCs w:val="24"/>
              </w:rPr>
              <w:t>et al.,</w:t>
            </w:r>
            <w:r w:rsidRPr="00E9557D">
              <w:rPr>
                <w:sz w:val="24"/>
                <w:szCs w:val="24"/>
              </w:rPr>
              <w:t xml:space="preserve"> 2018). In this case, both parents’ care experiences and the loss of a child suggest cumulative trauma. Child 1’s behaviour, including carrying a weapon, may be understood as a manifestation of emotional dysregulation and unmet needs.</w:t>
            </w:r>
          </w:p>
          <w:p w14:paraId="780069F1" w14:textId="77777777" w:rsidR="00447523" w:rsidRPr="00E9557D" w:rsidRDefault="00447523" w:rsidP="00447523">
            <w:pPr>
              <w:spacing w:line="480" w:lineRule="auto"/>
              <w:rPr>
                <w:sz w:val="24"/>
                <w:szCs w:val="24"/>
              </w:rPr>
            </w:pPr>
          </w:p>
          <w:p w14:paraId="42ED327E" w14:textId="77777777" w:rsidR="00447523" w:rsidRPr="00E9557D" w:rsidRDefault="00447523" w:rsidP="00447523">
            <w:pPr>
              <w:spacing w:line="480" w:lineRule="auto"/>
              <w:rPr>
                <w:sz w:val="24"/>
                <w:szCs w:val="24"/>
              </w:rPr>
            </w:pPr>
            <w:r w:rsidRPr="00E9557D">
              <w:rPr>
                <w:sz w:val="24"/>
                <w:szCs w:val="24"/>
              </w:rPr>
              <w:t>However, trauma-informed practice must be applied critically. Ferguson (2017) argues that while understanding trauma is essential, practitioners must avoid using it to excuse harmful behaviour or reduce accountability. In this case, while trauma provided important context, the immediate safeguarding risks required clear and proportionate intervention.</w:t>
            </w:r>
          </w:p>
          <w:p w14:paraId="20B6F400" w14:textId="77777777" w:rsidR="00447523" w:rsidRPr="00E9557D" w:rsidRDefault="00447523" w:rsidP="00447523">
            <w:pPr>
              <w:rPr>
                <w:sz w:val="24"/>
                <w:szCs w:val="24"/>
              </w:rPr>
            </w:pPr>
          </w:p>
          <w:p w14:paraId="25BB70E1" w14:textId="77777777" w:rsidR="00447523" w:rsidRPr="00E9557D" w:rsidRDefault="00447523" w:rsidP="00447523">
            <w:pPr>
              <w:rPr>
                <w:sz w:val="24"/>
                <w:szCs w:val="24"/>
              </w:rPr>
            </w:pPr>
          </w:p>
          <w:p w14:paraId="22E62927" w14:textId="77777777" w:rsidR="00447523" w:rsidRPr="00E9557D" w:rsidRDefault="00447523" w:rsidP="00447523">
            <w:pPr>
              <w:spacing w:line="480" w:lineRule="auto"/>
              <w:rPr>
                <w:sz w:val="24"/>
                <w:szCs w:val="24"/>
              </w:rPr>
            </w:pPr>
            <w:r w:rsidRPr="00E9557D">
              <w:rPr>
                <w:sz w:val="24"/>
                <w:szCs w:val="24"/>
              </w:rPr>
              <w:t>Grief and loss theory also informed the assessment. The death of a child can profoundly impact family functioning, relationships, and parenting capacity. Worden (2018) identifies that grief is a non-linear process, with individuals experiencing it differently. In this case, the parents reported exhaustion and emotional strain, which may have contributed to lapses in supervision. However, critical reflection identified that safeguarding concerns were present prior to the bereavement, indicating that grief alone did not account for the family’s difficulties.</w:t>
            </w:r>
          </w:p>
          <w:p w14:paraId="72C58698" w14:textId="77777777" w:rsidR="00447523" w:rsidRPr="00E9557D" w:rsidRDefault="00447523" w:rsidP="00447523">
            <w:pPr>
              <w:spacing w:line="480" w:lineRule="auto"/>
              <w:rPr>
                <w:sz w:val="24"/>
                <w:szCs w:val="24"/>
              </w:rPr>
            </w:pPr>
          </w:p>
          <w:p w14:paraId="1EC975B9" w14:textId="77777777" w:rsidR="00447523" w:rsidRPr="00E9557D" w:rsidRDefault="00447523" w:rsidP="00447523">
            <w:pPr>
              <w:spacing w:line="480" w:lineRule="auto"/>
              <w:rPr>
                <w:sz w:val="24"/>
                <w:szCs w:val="24"/>
              </w:rPr>
            </w:pPr>
            <w:r w:rsidRPr="00E9557D">
              <w:rPr>
                <w:sz w:val="24"/>
                <w:szCs w:val="24"/>
              </w:rPr>
              <w:t xml:space="preserve">Systems theory provided a framework for understanding the family as an interconnected system (Bronfenbrenner, 1977). This enabled consideration of how environmental factors, such as rural isolation, housing conditions, and community dynamics, influenced family </w:t>
            </w:r>
            <w:r w:rsidRPr="00E9557D">
              <w:rPr>
                <w:color w:val="auto"/>
                <w:sz w:val="24"/>
                <w:szCs w:val="24"/>
              </w:rPr>
              <w:lastRenderedPageBreak/>
              <w:t xml:space="preserve">functioning. Systems theory allowed for a broader understanding of risk, highlighting how Child 1’s behaviour impacted the entire family. However, Drover and Shragge (1977) highlight a limitation of systems theory is that it can diffuse responsibility, making it important to maintain focus on safeguarding accountability. </w:t>
            </w:r>
          </w:p>
          <w:p w14:paraId="31B60177" w14:textId="77777777" w:rsidR="00447523" w:rsidRPr="00E9557D" w:rsidRDefault="00447523" w:rsidP="00447523">
            <w:pPr>
              <w:spacing w:line="480" w:lineRule="auto"/>
              <w:rPr>
                <w:sz w:val="24"/>
                <w:szCs w:val="24"/>
              </w:rPr>
            </w:pPr>
          </w:p>
          <w:p w14:paraId="2E63021B" w14:textId="77777777" w:rsidR="00447523" w:rsidRPr="00E9557D" w:rsidRDefault="00447523" w:rsidP="00447523">
            <w:pPr>
              <w:spacing w:line="480" w:lineRule="auto"/>
              <w:rPr>
                <w:sz w:val="24"/>
                <w:szCs w:val="24"/>
              </w:rPr>
            </w:pPr>
            <w:r w:rsidRPr="00E9557D">
              <w:rPr>
                <w:sz w:val="24"/>
                <w:szCs w:val="24"/>
              </w:rPr>
              <w:t xml:space="preserve">Attachment theory provided further depth in understanding the emotional wellbeing of the children. Bowlby (1969) highlights the significance of secure early attachments in supporting emotional regulation and resilience. However, within this case, these attachments appear to have been challenged by prolonged parental absence and bereavement. While the older children presented as resilient, suggesting the presence of protective factors, this resilience must be understood cautiously, as it may mask unmet emotional needs or adaptive coping strategies rather than fully secure attachments. This is particularly relevant given Child 4’s expressed feelings of resentment and perceived rejection, which align with attachment disruption. However, as Howe (2011) argues, attachment theory alone risks narrowing the analytical lens by overlooking broader social factors. </w:t>
            </w:r>
          </w:p>
          <w:p w14:paraId="2754916A" w14:textId="77777777" w:rsidR="00447523" w:rsidRPr="00E9557D" w:rsidRDefault="00447523" w:rsidP="00447523">
            <w:pPr>
              <w:spacing w:line="480" w:lineRule="auto"/>
              <w:rPr>
                <w:sz w:val="24"/>
                <w:szCs w:val="24"/>
              </w:rPr>
            </w:pPr>
          </w:p>
          <w:p w14:paraId="725B4D8C" w14:textId="77777777" w:rsidR="00447523" w:rsidRPr="00E9557D" w:rsidRDefault="00447523" w:rsidP="00447523">
            <w:pPr>
              <w:spacing w:line="480" w:lineRule="auto"/>
              <w:rPr>
                <w:sz w:val="24"/>
                <w:szCs w:val="24"/>
              </w:rPr>
            </w:pPr>
            <w:r w:rsidRPr="00E9557D">
              <w:rPr>
                <w:sz w:val="24"/>
                <w:szCs w:val="24"/>
              </w:rPr>
              <w:t xml:space="preserve">The integration of theoretical perspectives within this assessment reflects the necessity of an eclectic approach to social work practice (Payne, 2021). No single theory felt sufficient to explain the complex situations embedded within the family. The use of multiple theories aligns with the holistic assessment principles underpinning safeguarding practice. it ensured that no single framework dominated my decision-making and contributed towards enhanced professional judgement. </w:t>
            </w:r>
          </w:p>
          <w:p w14:paraId="33BADCFC" w14:textId="77777777" w:rsidR="00447523" w:rsidRPr="00E9557D" w:rsidRDefault="00447523" w:rsidP="00447523">
            <w:pPr>
              <w:spacing w:line="480" w:lineRule="auto"/>
              <w:rPr>
                <w:sz w:val="24"/>
                <w:szCs w:val="24"/>
              </w:rPr>
            </w:pPr>
          </w:p>
          <w:p w14:paraId="22BC8365" w14:textId="77777777" w:rsidR="00447523" w:rsidRPr="00E9557D" w:rsidRDefault="00447523" w:rsidP="00447523">
            <w:pPr>
              <w:spacing w:line="480" w:lineRule="auto"/>
              <w:rPr>
                <w:sz w:val="24"/>
                <w:szCs w:val="24"/>
              </w:rPr>
            </w:pPr>
            <w:r w:rsidRPr="00E9557D">
              <w:rPr>
                <w:sz w:val="24"/>
                <w:szCs w:val="24"/>
              </w:rPr>
              <w:lastRenderedPageBreak/>
              <w:t xml:space="preserve">Taking a theoretical perspective through the assessment process, highlighted the concerns specifically for the youngest child. Child 4 was of a much younger age at the time mother left to accompany child 5 at the hospital. Mum was gone for prolonged periods of time and dad took over as primary caregiver. This appears to of had significant emotional and developmental implications for Child 4. Despite mum now returning to the home the added factor of bereavement and mum managing her own stages of child bereavement appears to added another layer of challenge for child 4. Child 4 reported mum to “not be the same mum anymore” and child 4 appears to hold some resentment toward mum. Due to child 4’s age and stage of development it became apparent she struggled with understanding why mum went, she asked why dad couldn’t of gone and mum stayed and held a belief that mum picked child 5 over them. </w:t>
            </w:r>
          </w:p>
          <w:p w14:paraId="350976FC" w14:textId="77777777" w:rsidR="00447523" w:rsidRPr="00E9557D" w:rsidRDefault="00447523" w:rsidP="00447523">
            <w:pPr>
              <w:spacing w:line="480" w:lineRule="auto"/>
              <w:rPr>
                <w:sz w:val="24"/>
                <w:szCs w:val="24"/>
              </w:rPr>
            </w:pPr>
          </w:p>
          <w:p w14:paraId="47266B5A" w14:textId="77777777" w:rsidR="00447523" w:rsidRPr="00E9557D" w:rsidRDefault="00447523" w:rsidP="00447523">
            <w:pPr>
              <w:spacing w:line="480" w:lineRule="auto"/>
              <w:rPr>
                <w:sz w:val="24"/>
                <w:szCs w:val="24"/>
              </w:rPr>
            </w:pPr>
            <w:r w:rsidRPr="00E9557D">
              <w:rPr>
                <w:sz w:val="24"/>
                <w:szCs w:val="24"/>
              </w:rPr>
              <w:t xml:space="preserve">This scenario presents significant ethical tensions, particularly in balancing a child-centred approach with an understanding of parental circumstances. While the mother’s absence was necessitated by the critical needs of another child, it resulted in emotional harm and perceived rejection for Child 4. This highlights the challenge of addressing competing needs within families, ensuring the child’s voice is heard while contextualising their understanding developmentally, and balancing empathy for parental grief with the safeguarding responsibility to assess and respond to the child’s emotional well-being. This created some ethical tensions. The British Association of Social Workers (BASW) Code of Ethics (2021) aided my understanding and ability to navigate these ethical tensions. </w:t>
            </w:r>
          </w:p>
          <w:p w14:paraId="27F13250" w14:textId="77777777" w:rsidR="00447523" w:rsidRPr="00E9557D" w:rsidRDefault="00447523" w:rsidP="00447523">
            <w:pPr>
              <w:spacing w:line="480" w:lineRule="auto"/>
              <w:rPr>
                <w:sz w:val="24"/>
                <w:szCs w:val="24"/>
              </w:rPr>
            </w:pPr>
          </w:p>
          <w:p w14:paraId="6B240000" w14:textId="7EDE93EB" w:rsidR="00447523" w:rsidRPr="00E9557D" w:rsidRDefault="00447523" w:rsidP="00447523">
            <w:pPr>
              <w:spacing w:line="480" w:lineRule="auto"/>
              <w:rPr>
                <w:sz w:val="24"/>
                <w:szCs w:val="24"/>
              </w:rPr>
            </w:pPr>
            <w:r w:rsidRPr="00E9557D">
              <w:rPr>
                <w:sz w:val="24"/>
                <w:szCs w:val="24"/>
              </w:rPr>
              <w:lastRenderedPageBreak/>
              <w:t>In line with BASW’s (2021) emphasis on human rights and social justice, as social workers we must recognise and validate Child 4’s feelings of loss, confusion, and resentment while ensuring their voice is meaningfully heard within the assessment process. Moreover, the principle of promoting the rights to self-determination presents an ethical challenge when working with Child 4. Although Chil</w:t>
            </w:r>
            <w:r w:rsidR="00F3387E" w:rsidRPr="00E9557D">
              <w:rPr>
                <w:sz w:val="24"/>
                <w:szCs w:val="24"/>
              </w:rPr>
              <w:t>d</w:t>
            </w:r>
            <w:r w:rsidRPr="00E9557D">
              <w:rPr>
                <w:sz w:val="24"/>
                <w:szCs w:val="24"/>
              </w:rPr>
              <w:t xml:space="preserve"> 4 expresses a belief that the mother “chose” Child 5 over them, as the social work practitioner I had to balance respecting the child’s views with applying professional knowledge of developmental capacity and emotional understanding. This reflects BASW’s commitment to professional integrity, requiring social workers to use evidence-informed judgement rather than accepting all expressed views at face value (BASW, 2021).</w:t>
            </w:r>
          </w:p>
          <w:p w14:paraId="5F20F124" w14:textId="77777777" w:rsidR="00447523" w:rsidRPr="00E9557D" w:rsidRDefault="00447523" w:rsidP="00447523">
            <w:pPr>
              <w:spacing w:line="480" w:lineRule="auto"/>
              <w:rPr>
                <w:sz w:val="24"/>
                <w:szCs w:val="24"/>
              </w:rPr>
            </w:pPr>
          </w:p>
          <w:p w14:paraId="796CB56B" w14:textId="3BDD9A61" w:rsidR="00447523" w:rsidRPr="00E9557D" w:rsidRDefault="00447523" w:rsidP="00447523">
            <w:pPr>
              <w:spacing w:line="480" w:lineRule="auto"/>
              <w:rPr>
                <w:sz w:val="24"/>
                <w:szCs w:val="24"/>
              </w:rPr>
            </w:pPr>
            <w:r w:rsidRPr="00E9557D">
              <w:rPr>
                <w:sz w:val="24"/>
                <w:szCs w:val="24"/>
              </w:rPr>
              <w:t xml:space="preserve">Another key tension relates to professional empathy and the duty of care. The BASW Code of Ethics (2021) highlights the importance of compassion. However, it was essential that I avoided allowing my empathy for the mother’s bereavement to overshadow the assessed safeguarding needs and emotional difficulty of Child 4. With the BASW Code highlighting how it is essential to maintain the principle of integrity social workers must maintain professional boundaries and reflect critically on their practice to ensure that the impact of grief on parenting capacity is assessed objectively (BASW, 2021). </w:t>
            </w:r>
          </w:p>
          <w:p w14:paraId="5A78B7A4" w14:textId="77777777" w:rsidR="00447523" w:rsidRPr="00E9557D" w:rsidRDefault="00447523" w:rsidP="00447523">
            <w:pPr>
              <w:spacing w:line="480" w:lineRule="auto"/>
              <w:rPr>
                <w:sz w:val="24"/>
                <w:szCs w:val="24"/>
              </w:rPr>
            </w:pPr>
          </w:p>
          <w:p w14:paraId="6429EC76" w14:textId="77777777" w:rsidR="00447523" w:rsidRPr="00E9557D" w:rsidRDefault="00447523" w:rsidP="00447523">
            <w:pPr>
              <w:spacing w:line="480" w:lineRule="auto"/>
              <w:rPr>
                <w:sz w:val="24"/>
                <w:szCs w:val="24"/>
              </w:rPr>
            </w:pPr>
            <w:r w:rsidRPr="00E9557D">
              <w:rPr>
                <w:sz w:val="24"/>
                <w:szCs w:val="24"/>
              </w:rPr>
              <w:t xml:space="preserve">In this case, the mother’s ongoing bereavement may affect her emotional availability, creating a potential risk to Child 4’s emotional well-being. However by making mum aware of this and offering support for Child 4 and mum it allows for opportunity to support improved </w:t>
            </w:r>
            <w:r w:rsidRPr="00E9557D">
              <w:rPr>
                <w:sz w:val="24"/>
                <w:szCs w:val="24"/>
              </w:rPr>
              <w:lastRenderedPageBreak/>
              <w:t>outcomes. Mum was accepting the concern and showed a commitment to work with the department to improve the emotional wellbeing of child 4.</w:t>
            </w:r>
          </w:p>
          <w:p w14:paraId="37615B8F" w14:textId="77777777" w:rsidR="00447523" w:rsidRPr="00E9557D" w:rsidRDefault="00447523" w:rsidP="00447523">
            <w:pPr>
              <w:spacing w:line="480" w:lineRule="auto"/>
              <w:rPr>
                <w:sz w:val="24"/>
                <w:szCs w:val="24"/>
              </w:rPr>
            </w:pPr>
          </w:p>
          <w:p w14:paraId="2D025DFC" w14:textId="04314B4A" w:rsidR="00447523" w:rsidRPr="00E9557D" w:rsidRDefault="00447523" w:rsidP="00447523">
            <w:pPr>
              <w:spacing w:line="480" w:lineRule="auto"/>
              <w:rPr>
                <w:sz w:val="24"/>
                <w:szCs w:val="24"/>
              </w:rPr>
            </w:pPr>
            <w:r w:rsidRPr="00E9557D">
              <w:rPr>
                <w:sz w:val="24"/>
                <w:szCs w:val="24"/>
              </w:rPr>
              <w:t xml:space="preserve">This case provided me with significant learning opportunities. A key strength was the use of a strengths-based approach, recognising parental progress, particularly the father’s recovery from substance misuse. This aligns with the </w:t>
            </w:r>
            <w:r w:rsidR="00F3387E" w:rsidRPr="00E9557D">
              <w:rPr>
                <w:sz w:val="24"/>
                <w:szCs w:val="24"/>
              </w:rPr>
              <w:t>strength’s-based</w:t>
            </w:r>
            <w:r w:rsidRPr="00E9557D">
              <w:rPr>
                <w:sz w:val="24"/>
                <w:szCs w:val="24"/>
              </w:rPr>
              <w:t xml:space="preserve"> perspective, which emphasises resilience and capacity for change (Saleebey, 2013). </w:t>
            </w:r>
          </w:p>
          <w:p w14:paraId="4EDC48A4" w14:textId="77777777" w:rsidR="00447523" w:rsidRPr="00E9557D" w:rsidRDefault="00447523" w:rsidP="00447523">
            <w:pPr>
              <w:rPr>
                <w:sz w:val="24"/>
                <w:szCs w:val="24"/>
              </w:rPr>
            </w:pPr>
          </w:p>
          <w:p w14:paraId="73DB88FA" w14:textId="0B3478EE" w:rsidR="00447523" w:rsidRPr="00E9557D" w:rsidRDefault="00447523" w:rsidP="00447523">
            <w:pPr>
              <w:spacing w:line="480" w:lineRule="auto"/>
              <w:rPr>
                <w:sz w:val="24"/>
                <w:szCs w:val="24"/>
              </w:rPr>
            </w:pPr>
            <w:r w:rsidRPr="00E9557D">
              <w:rPr>
                <w:sz w:val="24"/>
                <w:szCs w:val="24"/>
              </w:rPr>
              <w:t xml:space="preserve">However, the case also highlighted some personal areas for development. One key area was confidence in challenging other professionals. While I was supported through supervision, further development is required to independently manage professional disagreements. While I feel this will develop alongside my experience in the social work role. However, I did feel some challenge came from other professionals being highly focused on historic events, While I was able to confirm history did indeed form part of the assessment it was simply one section of the assessment and we </w:t>
            </w:r>
            <w:r w:rsidR="00F3387E" w:rsidRPr="00E9557D">
              <w:rPr>
                <w:sz w:val="24"/>
                <w:szCs w:val="24"/>
              </w:rPr>
              <w:t>cannot</w:t>
            </w:r>
            <w:r w:rsidRPr="00E9557D">
              <w:rPr>
                <w:sz w:val="24"/>
                <w:szCs w:val="24"/>
              </w:rPr>
              <w:t xml:space="preserve"> discriminate against families for their past. </w:t>
            </w:r>
          </w:p>
          <w:p w14:paraId="4822D103" w14:textId="77777777" w:rsidR="00447523" w:rsidRPr="00E9557D" w:rsidRDefault="00447523" w:rsidP="00447523">
            <w:pPr>
              <w:spacing w:line="480" w:lineRule="auto"/>
              <w:rPr>
                <w:sz w:val="24"/>
                <w:szCs w:val="24"/>
              </w:rPr>
            </w:pPr>
          </w:p>
          <w:p w14:paraId="7AB93308" w14:textId="77777777" w:rsidR="00447523" w:rsidRDefault="00447523" w:rsidP="00447523">
            <w:pPr>
              <w:spacing w:line="480" w:lineRule="auto"/>
              <w:rPr>
                <w:sz w:val="24"/>
                <w:szCs w:val="24"/>
              </w:rPr>
            </w:pPr>
            <w:r w:rsidRPr="00E9557D">
              <w:rPr>
                <w:sz w:val="24"/>
                <w:szCs w:val="24"/>
              </w:rPr>
              <w:t xml:space="preserve">I found myself needing to advocate for the family to ensure that key partner agencies understood the progress that had already been made and maintained. Throughout the assessment I became more understanding that advocacy goes far beyond simply voicing the views and opinions of family members. I quickly learnt that advocacy also involves challenging partner agencies where necessary, promoting a more holistic understanding of the child’s situation that incorporates both risk and protective factors. This is particularly </w:t>
            </w:r>
            <w:r w:rsidRPr="00E9557D">
              <w:rPr>
                <w:sz w:val="24"/>
                <w:szCs w:val="24"/>
              </w:rPr>
              <w:lastRenderedPageBreak/>
              <w:t>important as “problems can arise in safeguarding systems when practitioners in agencies lose sight of the needs and views of the children” (Hertfordshire Safeguarding Children Partnership, 2025).</w:t>
            </w:r>
          </w:p>
          <w:p w14:paraId="3A37916A" w14:textId="77777777" w:rsidR="00E9557D" w:rsidRPr="00E9557D" w:rsidRDefault="00E9557D" w:rsidP="00447523">
            <w:pPr>
              <w:spacing w:line="480" w:lineRule="auto"/>
              <w:rPr>
                <w:sz w:val="24"/>
                <w:szCs w:val="24"/>
              </w:rPr>
            </w:pPr>
          </w:p>
          <w:p w14:paraId="2DE7BD08" w14:textId="77777777" w:rsidR="00447523" w:rsidRPr="00E9557D" w:rsidRDefault="00447523" w:rsidP="00447523">
            <w:pPr>
              <w:rPr>
                <w:sz w:val="24"/>
                <w:szCs w:val="24"/>
              </w:rPr>
            </w:pPr>
          </w:p>
          <w:p w14:paraId="2E4BB0F4" w14:textId="5527EBB4" w:rsidR="00447523" w:rsidRPr="00E9557D" w:rsidRDefault="00447523" w:rsidP="00447523">
            <w:pPr>
              <w:spacing w:line="480" w:lineRule="auto"/>
              <w:rPr>
                <w:sz w:val="24"/>
                <w:szCs w:val="24"/>
              </w:rPr>
            </w:pPr>
            <w:r w:rsidRPr="00E9557D">
              <w:rPr>
                <w:sz w:val="24"/>
                <w:szCs w:val="24"/>
              </w:rPr>
              <w:t xml:space="preserve">Reflective practice was essential in developing insight and improving practice. Schön (1983) emphasises the importance of reflection in professional learning. Involvement as case manager has boosted my confidence in my ability to manage complexity and uncertainty, while navigating professional challenge. I feel it has positively aided my professional development as a social worker. Utilising reflective models Such as Gibbs (1988) reflective cycle within supervision aided me in remaining impartial and professional. It allowed me opportunity to identify agency pressures, competing needs and ethical tensions while reflecting on my practice and decision making. While shared case responsibility resulted in joint visits, I felt reassured and confident with my decisions and justifications. </w:t>
            </w:r>
            <w:r w:rsidR="00F3387E" w:rsidRPr="00E9557D">
              <w:rPr>
                <w:sz w:val="24"/>
                <w:szCs w:val="24"/>
              </w:rPr>
              <w:t>Nevertheless,</w:t>
            </w:r>
            <w:r w:rsidRPr="00E9557D">
              <w:rPr>
                <w:sz w:val="24"/>
                <w:szCs w:val="24"/>
              </w:rPr>
              <w:t xml:space="preserve"> I do feel should I not have been joint working with a more experienced practitioner and managing the case alone I may have felt more unsure when challenged. I am also based within a team where we hold cases for short periods of time being the traditional intake and assessment team. Therefore, I am aware I will never have the advantage of having long term relationships with the families I am supporting and therefore it will be essential for me to be challenged by agencies that have had longer term involvement with them. </w:t>
            </w:r>
          </w:p>
          <w:p w14:paraId="28D03A56" w14:textId="77777777" w:rsidR="00447523" w:rsidRPr="00E9557D" w:rsidRDefault="00447523" w:rsidP="00447523">
            <w:pPr>
              <w:rPr>
                <w:sz w:val="24"/>
                <w:szCs w:val="24"/>
              </w:rPr>
            </w:pPr>
          </w:p>
          <w:p w14:paraId="575AC9D6" w14:textId="77777777" w:rsidR="00447523" w:rsidRPr="00E9557D" w:rsidRDefault="00447523" w:rsidP="00447523">
            <w:pPr>
              <w:rPr>
                <w:sz w:val="24"/>
                <w:szCs w:val="24"/>
              </w:rPr>
            </w:pPr>
          </w:p>
          <w:p w14:paraId="50FDF35A" w14:textId="23BF095C" w:rsidR="00447523" w:rsidRPr="00E9557D" w:rsidRDefault="00447523" w:rsidP="00447523">
            <w:pPr>
              <w:spacing w:line="480" w:lineRule="auto"/>
              <w:rPr>
                <w:sz w:val="24"/>
                <w:szCs w:val="24"/>
              </w:rPr>
            </w:pPr>
            <w:r w:rsidRPr="00E9557D">
              <w:rPr>
                <w:sz w:val="24"/>
                <w:szCs w:val="24"/>
              </w:rPr>
              <w:t xml:space="preserve">In conclusion, this case highlights the complexity of safeguarding practice within contemporary social work in Wales, requiring the integration of legislation, theory, </w:t>
            </w:r>
            <w:r w:rsidRPr="00E9557D">
              <w:rPr>
                <w:sz w:val="24"/>
                <w:szCs w:val="24"/>
              </w:rPr>
              <w:lastRenderedPageBreak/>
              <w:t xml:space="preserve">assessment analysis, and professional judgement. The </w:t>
            </w:r>
            <w:r w:rsidR="00D148FB" w:rsidRPr="00E9557D">
              <w:rPr>
                <w:sz w:val="24"/>
                <w:szCs w:val="24"/>
              </w:rPr>
              <w:t>SSWWA 2014</w:t>
            </w:r>
            <w:r w:rsidRPr="00E9557D">
              <w:rPr>
                <w:sz w:val="24"/>
                <w:szCs w:val="24"/>
              </w:rPr>
              <w:t>, alongside the Children Act 1989 and international frameworks such as the UNCRC, provided a robust legal foundation for decision-making; however, this case demonstrates that legislation alone is insufficient without the application of critical thinking and analytical assessment. The use of multiple theoretical perspectives, including attachment, systems, trauma-informed, and grief theory, enabled a more holistic understanding of the children’s lived experiences, reinforcing the value of an eclectic approach in navigating complex family dynamics. Throughout the assessment, professional judgement was essential in balancing risk, resilience, and proportionality, particularly in the context of multi-agency disagreement, historical concerns, and evolving family circumstances.</w:t>
            </w:r>
          </w:p>
          <w:p w14:paraId="396DB104" w14:textId="77777777" w:rsidR="00447523" w:rsidRPr="00E9557D" w:rsidRDefault="00447523" w:rsidP="00447523">
            <w:pPr>
              <w:spacing w:line="480" w:lineRule="auto"/>
              <w:rPr>
                <w:sz w:val="24"/>
                <w:szCs w:val="24"/>
              </w:rPr>
            </w:pPr>
          </w:p>
          <w:p w14:paraId="402CC0D1" w14:textId="77777777" w:rsidR="00447523" w:rsidRPr="00E9557D" w:rsidRDefault="00447523" w:rsidP="00447523">
            <w:pPr>
              <w:spacing w:line="480" w:lineRule="auto"/>
              <w:rPr>
                <w:sz w:val="24"/>
                <w:szCs w:val="24"/>
              </w:rPr>
            </w:pPr>
            <w:r w:rsidRPr="00E9557D">
              <w:rPr>
                <w:sz w:val="24"/>
                <w:szCs w:val="24"/>
              </w:rPr>
              <w:t>Importantly, the case also illuminated the ethical dilemmas inherent within safeguarding work, where competing rights, responsibilities, and values can create tension. Balancing empathy for parental bereavement with the duty to safeguard children, alongside respecting family autonomy while intervening to manage risk, required ongoing reflection and adherence to professional values. These tensions are further heightened in increasingly complex situations, where uncertainty, fragmented systems, and differing professional perspectives challenge decision-making. Ultimately, this case reinforces that effective safeguarding practice is not solely procedural but relies on reflective, values-based practice, ensuring that the child remains central while navigating the complexities, dilemmas, and responsibilities inherent in social work.</w:t>
            </w:r>
          </w:p>
          <w:p w14:paraId="0FEDEE04" w14:textId="77777777" w:rsidR="00447523" w:rsidRPr="00447523" w:rsidRDefault="00447523" w:rsidP="00447523"/>
          <w:p w14:paraId="35D0CBFF" w14:textId="77777777" w:rsidR="00447523" w:rsidRPr="00447523" w:rsidRDefault="00447523" w:rsidP="00447523"/>
          <w:p w14:paraId="12DC2F24" w14:textId="70A89533" w:rsidR="00D3203C" w:rsidRDefault="00447523" w:rsidP="00E9557D">
            <w:pPr>
              <w:rPr>
                <w:i/>
                <w:sz w:val="24"/>
                <w:szCs w:val="24"/>
              </w:rPr>
            </w:pPr>
            <w:r w:rsidRPr="00E9557D">
              <w:rPr>
                <w:sz w:val="22"/>
                <w:szCs w:val="22"/>
              </w:rPr>
              <w:t>Word Count: 41</w:t>
            </w:r>
            <w:r w:rsidR="00E9557D">
              <w:rPr>
                <w:sz w:val="22"/>
                <w:szCs w:val="22"/>
              </w:rPr>
              <w:t>24</w:t>
            </w: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sectPr w:rsidR="00D3442D"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C66D7F" w14:textId="77777777" w:rsidR="00167ABE" w:rsidRDefault="00167ABE">
      <w:r>
        <w:separator/>
      </w:r>
    </w:p>
  </w:endnote>
  <w:endnote w:type="continuationSeparator" w:id="0">
    <w:p w14:paraId="6F159EA1" w14:textId="77777777" w:rsidR="00167ABE" w:rsidRDefault="00167A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C7EED0" w14:textId="77777777" w:rsidR="00167ABE" w:rsidRDefault="00167ABE">
      <w:r>
        <w:separator/>
      </w:r>
    </w:p>
  </w:footnote>
  <w:footnote w:type="continuationSeparator" w:id="0">
    <w:p w14:paraId="6960B6F5" w14:textId="77777777" w:rsidR="00167ABE" w:rsidRDefault="00167AB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C3A"/>
    <w:rsid w:val="0000138E"/>
    <w:rsid w:val="00002C7A"/>
    <w:rsid w:val="000045B8"/>
    <w:rsid w:val="00012B16"/>
    <w:rsid w:val="00020EEC"/>
    <w:rsid w:val="0002440E"/>
    <w:rsid w:val="00025600"/>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441C"/>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6F2C"/>
    <w:rsid w:val="00130119"/>
    <w:rsid w:val="00132812"/>
    <w:rsid w:val="001347F8"/>
    <w:rsid w:val="001359EE"/>
    <w:rsid w:val="00137BB5"/>
    <w:rsid w:val="00137E05"/>
    <w:rsid w:val="001447F6"/>
    <w:rsid w:val="00147DE3"/>
    <w:rsid w:val="00150794"/>
    <w:rsid w:val="00151DA6"/>
    <w:rsid w:val="001608C4"/>
    <w:rsid w:val="00164832"/>
    <w:rsid w:val="00167ABE"/>
    <w:rsid w:val="00171418"/>
    <w:rsid w:val="001772BF"/>
    <w:rsid w:val="001772DE"/>
    <w:rsid w:val="0019496C"/>
    <w:rsid w:val="001961CF"/>
    <w:rsid w:val="001A59BB"/>
    <w:rsid w:val="001A607E"/>
    <w:rsid w:val="001A6A51"/>
    <w:rsid w:val="001A79C4"/>
    <w:rsid w:val="001B331A"/>
    <w:rsid w:val="001C0237"/>
    <w:rsid w:val="001C0E74"/>
    <w:rsid w:val="001C266D"/>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B6AD8"/>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06A4C"/>
    <w:rsid w:val="00411EF7"/>
    <w:rsid w:val="00412677"/>
    <w:rsid w:val="00425160"/>
    <w:rsid w:val="00430DE3"/>
    <w:rsid w:val="004348AE"/>
    <w:rsid w:val="004376C0"/>
    <w:rsid w:val="0044223A"/>
    <w:rsid w:val="00447523"/>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C371F"/>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59B2"/>
    <w:rsid w:val="007872F2"/>
    <w:rsid w:val="007873F9"/>
    <w:rsid w:val="007908E0"/>
    <w:rsid w:val="00793EB3"/>
    <w:rsid w:val="00794205"/>
    <w:rsid w:val="0079422A"/>
    <w:rsid w:val="007A1F6A"/>
    <w:rsid w:val="007A5327"/>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443E"/>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107D"/>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148FB"/>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5754C"/>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57D"/>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387E"/>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0900112@student.uwtsd.ac.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Sophiechallenger1991@hotmail.com"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20</Pages>
  <Words>4575</Words>
  <Characters>26078</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Sophie Challenger</cp:lastModifiedBy>
  <cp:revision>5</cp:revision>
  <cp:lastPrinted>2020-02-11T19:20:00Z</cp:lastPrinted>
  <dcterms:created xsi:type="dcterms:W3CDTF">2026-06-29T09:38:00Z</dcterms:created>
  <dcterms:modified xsi:type="dcterms:W3CDTF">2026-08-19T12:56:00Z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