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AE31DF" w:rsidRDefault="004175AA">
      <w:pPr>
        <w:jc w:val="center"/>
        <w:rPr>
          <w:rFonts w:ascii="Calibri" w:hAnsi="Calibri" w:cs="Calibri"/>
          <w:color w:val="333333"/>
          <w:sz w:val="72"/>
          <w:szCs w:val="72"/>
          <w:shd w:val="clear" w:color="auto" w:fill="FFFFFF"/>
        </w:rPr>
      </w:pPr>
      <w:bookmarkStart w:id="0" w:name="_GoBack"/>
      <w:bookmarkEnd w:id="0"/>
      <w:r>
        <w:rPr>
          <w:rFonts w:ascii="Calibri" w:hAnsi="Calibri" w:cs="Calibri"/>
          <w:color w:val="333333"/>
          <w:sz w:val="72"/>
          <w:szCs w:val="72"/>
          <w:shd w:val="clear" w:color="auto" w:fill="FFFFFF"/>
        </w:rPr>
        <w:t xml:space="preserve">Viktoriya </w:t>
      </w:r>
      <w:r w:rsidR="002B27DC">
        <w:rPr>
          <w:rFonts w:ascii="Calibri" w:hAnsi="Calibri" w:cs="Calibri"/>
          <w:color w:val="333333"/>
          <w:sz w:val="72"/>
          <w:szCs w:val="72"/>
          <w:shd w:val="clear" w:color="auto" w:fill="FFFFFF"/>
        </w:rPr>
        <w:t>Adrianova Adalbertova</w:t>
      </w:r>
    </w:p>
    <w:p w:rsidR="002B27DC" w:rsidRDefault="002B27DC">
      <w:pPr>
        <w:jc w:val="center"/>
        <w:rPr>
          <w:rFonts w:ascii="Calibri" w:hAnsi="Calibri" w:cs="Calibri"/>
          <w:color w:val="333333"/>
          <w:sz w:val="72"/>
          <w:szCs w:val="72"/>
          <w:shd w:val="clear" w:color="auto" w:fill="FFFFFF"/>
        </w:rPr>
      </w:pPr>
      <w:r>
        <w:rPr>
          <w:rFonts w:ascii="Calibri" w:hAnsi="Calibri" w:cs="Calibri"/>
          <w:color w:val="333333"/>
          <w:sz w:val="72"/>
          <w:szCs w:val="72"/>
          <w:shd w:val="clear" w:color="auto" w:fill="FFFFFF"/>
        </w:rPr>
        <w:t>Student number 1818237</w:t>
      </w:r>
    </w:p>
    <w:p w:rsidR="00265F47" w:rsidRPr="004175AA" w:rsidRDefault="00265F47">
      <w:pPr>
        <w:jc w:val="center"/>
        <w:rPr>
          <w:rFonts w:ascii="Calibri" w:hAnsi="Calibri" w:cs="Calibri"/>
          <w:color w:val="333333"/>
          <w:sz w:val="56"/>
          <w:szCs w:val="56"/>
          <w:shd w:val="clear" w:color="auto" w:fill="FFFFFF"/>
        </w:rPr>
      </w:pPr>
      <w:r>
        <w:rPr>
          <w:rFonts w:ascii="Calibri" w:hAnsi="Calibri" w:cs="Calibri"/>
          <w:color w:val="333333"/>
          <w:sz w:val="72"/>
          <w:szCs w:val="72"/>
          <w:shd w:val="clear" w:color="auto" w:fill="FFFFFF"/>
        </w:rPr>
        <w:t>Dr.</w:t>
      </w:r>
      <w:r w:rsidR="00005D44">
        <w:rPr>
          <w:rFonts w:ascii="Calibri" w:hAnsi="Calibri" w:cs="Calibri"/>
          <w:color w:val="333333"/>
          <w:sz w:val="72"/>
          <w:szCs w:val="72"/>
          <w:shd w:val="clear" w:color="auto" w:fill="FFFFFF"/>
        </w:rPr>
        <w:t>Moll</w:t>
      </w:r>
      <w:r>
        <w:rPr>
          <w:rFonts w:ascii="Calibri" w:hAnsi="Calibri" w:cs="Calibri"/>
          <w:color w:val="333333"/>
          <w:sz w:val="72"/>
          <w:szCs w:val="72"/>
          <w:shd w:val="clear" w:color="auto" w:fill="FFFFFF"/>
        </w:rPr>
        <w:t>y Jack</w:t>
      </w:r>
    </w:p>
    <w:p w:rsidR="00AE31DF" w:rsidRPr="00A42003" w:rsidRDefault="00AE31DF">
      <w:pPr>
        <w:jc w:val="center"/>
        <w:rPr>
          <w:rFonts w:ascii="Calibri" w:hAnsi="Calibri" w:cs="Calibri"/>
          <w:color w:val="333333"/>
          <w:sz w:val="72"/>
          <w:szCs w:val="72"/>
          <w:shd w:val="clear" w:color="auto" w:fill="FFFFFF"/>
        </w:rPr>
      </w:pPr>
    </w:p>
    <w:p w:rsidR="00AE31DF" w:rsidRDefault="007905F1">
      <w:pPr>
        <w:jc w:val="center"/>
      </w:pPr>
      <w:r>
        <w:rPr>
          <w:i/>
          <w:iCs/>
          <w:sz w:val="88"/>
          <w:szCs w:val="88"/>
        </w:rPr>
        <w:t xml:space="preserve">LCBB4003 Introducing the Modern Workplace </w:t>
      </w:r>
      <w:r w:rsidR="00233498">
        <w:rPr>
          <w:i/>
          <w:iCs/>
          <w:sz w:val="88"/>
          <w:szCs w:val="88"/>
        </w:rPr>
        <w:t>–</w:t>
      </w:r>
      <w:r>
        <w:rPr>
          <w:i/>
          <w:iCs/>
          <w:sz w:val="88"/>
          <w:szCs w:val="88"/>
        </w:rPr>
        <w:t xml:space="preserve"> </w:t>
      </w:r>
      <w:r w:rsidR="00233498">
        <w:rPr>
          <w:i/>
          <w:iCs/>
          <w:sz w:val="88"/>
          <w:szCs w:val="88"/>
        </w:rPr>
        <w:t>Study Case Tesko</w:t>
      </w:r>
    </w:p>
    <w:p w:rsidR="00AE31DF" w:rsidRDefault="007905F1">
      <w:pPr>
        <w:pStyle w:val="ContentsHeading"/>
        <w:pageBreakBefore/>
      </w:pPr>
      <w:r>
        <w:lastRenderedPageBreak/>
        <w:t>Table of Contents</w:t>
      </w:r>
    </w:p>
    <w:p w:rsidR="00AE31DF" w:rsidRDefault="007905F1">
      <w:pPr>
        <w:pStyle w:val="14"/>
        <w:tabs>
          <w:tab w:val="right" w:leader="dot" w:pos="9350"/>
        </w:tabs>
        <w:rPr>
          <w:lang w:val="bg-BG"/>
        </w:rPr>
      </w:pPr>
      <w:r>
        <w:fldChar w:fldCharType="begin"/>
      </w:r>
      <w:r>
        <w:instrText xml:space="preserve"> TOC \f \o "1-9" \o "1-9" </w:instrText>
      </w:r>
      <w:r>
        <w:fldChar w:fldCharType="separate"/>
      </w:r>
      <w:r>
        <w:rPr>
          <w:lang w:val="bg-BG"/>
        </w:rPr>
        <w:t>INTRODUCTION</w:t>
      </w:r>
      <w:r>
        <w:rPr>
          <w:lang w:val="bg-BG"/>
        </w:rPr>
        <w:tab/>
      </w:r>
      <w:hyperlink w:anchor="__RefHeading___Toc26283043" w:history="1">
        <w:r>
          <w:rPr>
            <w:rStyle w:val="IndexLink"/>
            <w:lang w:val="bg-BG"/>
          </w:rPr>
          <w:t>1</w:t>
        </w:r>
      </w:hyperlink>
    </w:p>
    <w:p w:rsidR="00AE31DF" w:rsidRDefault="007905F1">
      <w:pPr>
        <w:pStyle w:val="14"/>
        <w:tabs>
          <w:tab w:val="right" w:leader="dot" w:pos="9350"/>
        </w:tabs>
        <w:rPr>
          <w:lang w:val="bg-BG"/>
        </w:rPr>
      </w:pPr>
      <w:r>
        <w:rPr>
          <w:lang w:val="bg-BG"/>
        </w:rPr>
        <w:t>MAIN BODY</w:t>
      </w:r>
      <w:r>
        <w:rPr>
          <w:lang w:val="bg-BG"/>
        </w:rPr>
        <w:tab/>
      </w:r>
      <w:hyperlink w:anchor="__RefHeading___Toc26283044" w:history="1">
        <w:r>
          <w:rPr>
            <w:rStyle w:val="IndexLink"/>
            <w:lang w:val="bg-BG"/>
          </w:rPr>
          <w:t>1</w:t>
        </w:r>
      </w:hyperlink>
    </w:p>
    <w:p w:rsidR="00AE31DF" w:rsidRDefault="007905F1">
      <w:pPr>
        <w:pStyle w:val="20"/>
        <w:tabs>
          <w:tab w:val="right" w:leader="dot" w:pos="9350"/>
        </w:tabs>
        <w:rPr>
          <w:lang w:val="bg-BG"/>
        </w:rPr>
      </w:pPr>
      <w:r>
        <w:rPr>
          <w:lang w:val="bg-BG"/>
        </w:rPr>
        <w:t>Describing culture and structure of organisation along with analysis of the ways both contributes to performance of organisation.</w:t>
      </w:r>
      <w:r>
        <w:rPr>
          <w:lang w:val="bg-BG"/>
        </w:rPr>
        <w:tab/>
      </w:r>
      <w:hyperlink w:anchor="__RefHeading___Toc26283045" w:history="1">
        <w:r>
          <w:rPr>
            <w:rStyle w:val="IndexLink"/>
            <w:lang w:val="bg-BG"/>
          </w:rPr>
          <w:t>1</w:t>
        </w:r>
      </w:hyperlink>
    </w:p>
    <w:p w:rsidR="00AE31DF" w:rsidRDefault="007905F1">
      <w:pPr>
        <w:pStyle w:val="14"/>
        <w:tabs>
          <w:tab w:val="right" w:leader="dot" w:pos="9350"/>
        </w:tabs>
        <w:rPr>
          <w:lang w:val="bg-BG"/>
        </w:rPr>
      </w:pPr>
      <w:r>
        <w:rPr>
          <w:lang w:val="bg-BG"/>
        </w:rPr>
        <w:t>CONCLUSION</w:t>
      </w:r>
      <w:r>
        <w:rPr>
          <w:lang w:val="bg-BG"/>
        </w:rPr>
        <w:tab/>
      </w:r>
      <w:hyperlink w:anchor="__RefHeading___Toc26283046" w:history="1">
        <w:r>
          <w:rPr>
            <w:rStyle w:val="IndexLink"/>
            <w:lang w:val="bg-BG"/>
          </w:rPr>
          <w:t>5</w:t>
        </w:r>
      </w:hyperlink>
    </w:p>
    <w:p w:rsidR="00AE31DF" w:rsidRDefault="007905F1">
      <w:pPr>
        <w:pStyle w:val="14"/>
        <w:tabs>
          <w:tab w:val="right" w:leader="dot" w:pos="9350"/>
        </w:tabs>
      </w:pPr>
      <w:r>
        <w:rPr>
          <w:lang w:val="bg-BG"/>
        </w:rPr>
        <w:t>REFERENCES</w:t>
      </w:r>
      <w:r>
        <w:rPr>
          <w:lang w:val="bg-BG"/>
        </w:rPr>
        <w:tab/>
      </w:r>
      <w:hyperlink w:anchor="__RefHeading___Toc26283047" w:history="1">
        <w:r>
          <w:rPr>
            <w:rStyle w:val="IndexLink"/>
            <w:lang w:val="bg-BG"/>
          </w:rPr>
          <w:t>7</w:t>
        </w:r>
      </w:hyperlink>
    </w:p>
    <w:p w:rsidR="00AE31DF" w:rsidRDefault="007905F1">
      <w:pPr>
        <w:pStyle w:val="14"/>
        <w:tabs>
          <w:tab w:val="right" w:leader="dot" w:pos="9360"/>
        </w:tabs>
        <w:rPr>
          <w:b/>
          <w:sz w:val="72"/>
          <w:szCs w:val="72"/>
          <w:shd w:val="clear" w:color="auto" w:fill="FFFFFF"/>
        </w:rPr>
      </w:pPr>
      <w:r>
        <w:fldChar w:fldCharType="end"/>
      </w:r>
    </w:p>
    <w:p w:rsidR="00AE31DF" w:rsidRDefault="00AE31DF">
      <w:pPr>
        <w:jc w:val="center"/>
        <w:rPr>
          <w:b/>
          <w:sz w:val="72"/>
          <w:szCs w:val="72"/>
          <w:shd w:val="clear" w:color="auto" w:fill="FFFFFF"/>
        </w:rPr>
      </w:pPr>
    </w:p>
    <w:p w:rsidR="00AE31DF" w:rsidRDefault="00AE31DF">
      <w:pPr>
        <w:pStyle w:val="12"/>
        <w:jc w:val="center"/>
        <w:rPr>
          <w:rFonts w:ascii="Times New Roman" w:hAnsi="Times New Roman" w:cs="Times New Roman"/>
          <w:b/>
          <w:i/>
          <w:sz w:val="80"/>
          <w:szCs w:val="80"/>
          <w:shd w:val="clear" w:color="auto" w:fill="FFFFFF"/>
        </w:rPr>
      </w:pPr>
    </w:p>
    <w:p w:rsidR="00AE31DF" w:rsidRDefault="00AE31DF">
      <w:pPr>
        <w:rPr>
          <w:color w:val="auto"/>
        </w:rPr>
      </w:pPr>
    </w:p>
    <w:p w:rsidR="00AE31DF" w:rsidRDefault="00AE31DF">
      <w:pPr>
        <w:pStyle w:val="1"/>
        <w:numPr>
          <w:ilvl w:val="0"/>
          <w:numId w:val="0"/>
        </w:numPr>
        <w:jc w:val="center"/>
        <w:rPr>
          <w:rFonts w:ascii="Times" w:hAnsi="Times" w:cs="Times"/>
          <w:color w:val="auto"/>
          <w:sz w:val="88"/>
          <w:szCs w:val="88"/>
        </w:rPr>
      </w:pPr>
    </w:p>
    <w:p w:rsidR="00AE31DF" w:rsidRDefault="00AE31DF">
      <w:pPr>
        <w:pStyle w:val="1"/>
        <w:numPr>
          <w:ilvl w:val="0"/>
          <w:numId w:val="0"/>
        </w:numPr>
        <w:jc w:val="center"/>
        <w:rPr>
          <w:rFonts w:ascii="Times" w:hAnsi="Times" w:cs="Times"/>
          <w:color w:val="auto"/>
          <w:sz w:val="88"/>
          <w:szCs w:val="88"/>
        </w:rPr>
      </w:pPr>
    </w:p>
    <w:p w:rsidR="00AE31DF" w:rsidRDefault="00AE31DF">
      <w:pPr>
        <w:pStyle w:val="1"/>
        <w:numPr>
          <w:ilvl w:val="0"/>
          <w:numId w:val="0"/>
        </w:numPr>
        <w:jc w:val="center"/>
        <w:rPr>
          <w:rFonts w:ascii="Times" w:hAnsi="Times" w:cs="Times"/>
          <w:color w:val="auto"/>
        </w:rPr>
      </w:pPr>
    </w:p>
    <w:p w:rsidR="00AE31DF" w:rsidRDefault="00AE31DF">
      <w:pPr>
        <w:spacing w:before="113"/>
        <w:jc w:val="center"/>
        <w:rPr>
          <w:rFonts w:ascii="Times" w:hAnsi="Times" w:cs="Times"/>
          <w:color w:val="auto"/>
          <w:sz w:val="88"/>
          <w:szCs w:val="88"/>
        </w:rPr>
      </w:pPr>
    </w:p>
    <w:p w:rsidR="00AE31DF" w:rsidRDefault="00AE31DF">
      <w:pPr>
        <w:sectPr w:rsidR="00AE31DF">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08" w:footer="708" w:gutter="0"/>
          <w:cols w:space="708"/>
          <w:docGrid w:linePitch="600" w:charSpace="32768"/>
        </w:sectPr>
      </w:pPr>
    </w:p>
    <w:p w:rsidR="00AE31DF" w:rsidRDefault="007905F1">
      <w:pPr>
        <w:pStyle w:val="1"/>
        <w:jc w:val="left"/>
      </w:pPr>
      <w:bookmarkStart w:id="1" w:name="__RefHeading___Toc26283043"/>
      <w:bookmarkEnd w:id="1"/>
      <w:r>
        <w:lastRenderedPageBreak/>
        <w:t>INTRODUCTION</w:t>
      </w:r>
    </w:p>
    <w:p w:rsidR="00AE31DF" w:rsidRDefault="007905F1">
      <w:pPr>
        <w:ind w:firstLine="720"/>
      </w:pPr>
      <w:r>
        <w:t>Workplace is specific location where executed employment activities. In other words, it is said to establishment at particular place involving one or more areas to work. Modern workplace is said to employment location where most advanced technologies are used, embraces automation, adapt shifting work attitudes and promotes ethics along with equality (</w:t>
      </w:r>
      <w:r>
        <w:rPr>
          <w:color w:val="222222"/>
          <w:szCs w:val="24"/>
        </w:rPr>
        <w:t>Battistella, 2014</w:t>
      </w:r>
      <w:r>
        <w:t xml:space="preserve">). In current era, all organisations aim to introduce aspects of modern workplace that includes flexible working hours, supports communication addition to collaboration and utilise modern techniques while performing activities. To gain understanding about the concept, Tesco is chosen which is multinational general merchandise as well as grocery retailer having headquarters at Hertforsdshire, United Kingdom since 1919. the present essay is based on structure and culture that is followed at organisation and the ways they both contributes to performance of company. It also includes relevant theories as well as models associated with culture and design of organisation. </w:t>
      </w:r>
    </w:p>
    <w:p w:rsidR="00AE31DF" w:rsidRDefault="007905F1">
      <w:pPr>
        <w:pStyle w:val="1"/>
      </w:pPr>
      <w:bookmarkStart w:id="2" w:name="__RefHeading___Toc26283044"/>
      <w:bookmarkEnd w:id="2"/>
      <w:r>
        <w:t>MAIN BODY</w:t>
      </w:r>
    </w:p>
    <w:p w:rsidR="00AE31DF" w:rsidRDefault="007905F1">
      <w:pPr>
        <w:pStyle w:val="2"/>
      </w:pPr>
      <w:bookmarkStart w:id="3" w:name="__RefHeading___Toc26283045"/>
      <w:bookmarkEnd w:id="3"/>
      <w:r>
        <w:t>Describing culture and structure of organisation along with analysis of the ways both contributes to performance of organisation.</w:t>
      </w:r>
    </w:p>
    <w:p w:rsidR="00AE31DF" w:rsidRDefault="007905F1">
      <w:r>
        <w:tab/>
        <w:t>Tesco is a one of the company which performs key operations in retail industry. It was established by Jack Cohen in 1919 as institute of market stalls. It has its shops, superstores, supermarket, convenience shops and hyper market located in wide countries (</w:t>
      </w:r>
      <w:r>
        <w:rPr>
          <w:i/>
          <w:iCs/>
        </w:rPr>
        <w:t>Tesco, 2019</w:t>
      </w:r>
      <w:r>
        <w:t xml:space="preserve">). The company has provided employment to more than 450000 people and earned revenue of £63,911 million, operating income of £2,206 million and net income of £1,320 million in the last year. The business was started with specialisation in food and later was expanded in other areas including commercial financial services, clothes, internet services and electronic goods. It has Tesco Extra, Tesco Express, Tesco Metro and Tesco Superstore. </w:t>
      </w:r>
    </w:p>
    <w:p w:rsidR="00AE31DF" w:rsidRDefault="007905F1">
      <w:r>
        <w:tab/>
        <w:t xml:space="preserve">Organisational structure is said to the system that a business concern follows to manage addition to control operations as performed by manpower. It identifies all the jobs, functions together with authoritative positions to whom people will report. Organisational structure is developed for establishing the ways a company will operate as well as assists in obtaining objectives to allow future growth. For running business in accurate ways, it is essential for entity like Tesco to implement effective suitable structure within the workplace. It determines the aspects of roles, responsibilities together with power are assigned, coordinated and controlled at particular job location. Structure of organisation depends on predetermined objectives and strategies. It is the </w:t>
      </w:r>
      <w:r>
        <w:lastRenderedPageBreak/>
        <w:t>important are that needs more emphasis by top level management in order to ensure that all the tasks and activities are properly executed to reaching towards business goals in set time frame. In present era, various kinds of organisational structures exists that companies follows as per their requirements to achieve set goals. With these structures, all the workings are properly managed and coordinated in appropriate manner. Some of the organisational structures are as described:</w:t>
      </w:r>
    </w:p>
    <w:p w:rsidR="00AE31DF" w:rsidRDefault="007905F1">
      <w:r>
        <w:tab/>
      </w:r>
      <w:r>
        <w:rPr>
          <w:b/>
          <w:bCs/>
        </w:rPr>
        <w:t>Functional structure</w:t>
      </w:r>
      <w:r>
        <w:t xml:space="preserve"> of organisation is considered as common structure that most of business concerns follows for implementing operational activities in proper format. Through this, top level administrators segregates departments as per the workings or jobs. They are groups in accordance with specialization area (</w:t>
      </w:r>
      <w:r>
        <w:rPr>
          <w:color w:val="222222"/>
          <w:szCs w:val="24"/>
        </w:rPr>
        <w:t>Bratton, 2015</w:t>
      </w:r>
      <w:r>
        <w:t xml:space="preserve">). It helps entities to attain growth easily by setting high specialisation degree for work force so that productive results are achieved. For example, If Tesco plans to introduce new product in competing market then functional structure can be used. Through this, segregation of all departments will be done as per functions so that distinct activities including financing, marketing, customer relationship management, selling and administration can be performed efficiently (Tatli and Medalia, 2018). Within the structure, each department or functional unit has own managers or superiors to assure to tasks can be attained successfully. However, major drawback is it is that it lacks proper communication among departments that may result in challenges like inappropriate business execution. </w:t>
      </w:r>
    </w:p>
    <w:p w:rsidR="00AE31DF" w:rsidRDefault="007905F1">
      <w:pPr>
        <w:rPr>
          <w:b/>
          <w:bCs/>
        </w:rPr>
      </w:pPr>
      <w:r>
        <w:tab/>
        <w:t xml:space="preserve">Large sized businesses mostly prefer </w:t>
      </w:r>
      <w:r>
        <w:rPr>
          <w:b/>
          <w:bCs/>
        </w:rPr>
        <w:t>divisional organisational structure</w:t>
      </w:r>
      <w:r>
        <w:t xml:space="preserve"> for attaining horizontal goals. Within the structure, various divisions of business can enjoy autonomy addition to executes activities properly. Specific resources are allotted to all departments so that they can work effectively in groups as well as teams for achieving common objectives. The divisions in the structure are generally provided high flexibility to perform predetermined activities or operations in proper aspects. Tesco can also adopt it when workings are done to achieve particular long term project wherein involvement of several department is mandatory. It can assure growth together with success of operations that are needed to be completed within defined time frame. However, it can create roadblocks or obstacle for manpower to communicate with others as all belongs to different divisions (</w:t>
      </w:r>
      <w:r>
        <w:rPr>
          <w:color w:val="222222"/>
          <w:szCs w:val="24"/>
        </w:rPr>
        <w:t>Dillon, 2019</w:t>
      </w:r>
      <w:r>
        <w:t xml:space="preserve">). For Tessco, it is foremost suitable choice as they operate various stores, hyper markets along with subsidiaries at global and domestic level. </w:t>
      </w:r>
    </w:p>
    <w:p w:rsidR="00AE31DF" w:rsidRDefault="007905F1">
      <w:r>
        <w:rPr>
          <w:b/>
          <w:bCs/>
        </w:rPr>
        <w:tab/>
        <w:t>Matrix organisational structure</w:t>
      </w:r>
      <w:r>
        <w:t xml:space="preserve"> is one structure which is combination of divisional along with function organisational designs. Within the structure, an individual has to report two managers as well as both will supervise, direct and analyse the workings in order to influence the person to make changes addition to modifications in work (Módis, 2018). Due to this, activities </w:t>
      </w:r>
      <w:r>
        <w:lastRenderedPageBreak/>
        <w:t>that are performed by the individual are cross checked twice in order to reduce or eliminate error possibilities that may occur in coming durations. With the help of this, an employee is provided with huge opportunities to communicate with various people working at organisation. In Tesco, it can be used to reach long term objectives through completing all operations on time. It also removes barriers in communication as well as interactions for workers that results in enhancement of knowledge addition to skills of all (</w:t>
      </w:r>
      <w:r>
        <w:rPr>
          <w:color w:val="222222"/>
          <w:szCs w:val="24"/>
        </w:rPr>
        <w:t>Glăveanu, 2017</w:t>
      </w:r>
      <w:r>
        <w:t xml:space="preserve">). However, the drawback behind using this structure is that it creates more confusions among employees due to difficulties in making decisions about whom they will report first. </w:t>
      </w:r>
    </w:p>
    <w:p w:rsidR="00AE31DF" w:rsidRDefault="00474F61">
      <w:r>
        <w:rPr>
          <w:noProof/>
        </w:rPr>
        <mc:AlternateContent>
          <mc:Choice Requires="wps">
            <w:drawing>
              <wp:inline distT="0" distB="0" distL="0" distR="0">
                <wp:extent cx="5942330" cy="5346065"/>
                <wp:effectExtent l="0" t="0" r="0" b="0"/>
                <wp:docPr id="5" nam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942330" cy="53460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E31DF" w:rsidRDefault="00474F61">
                            <w:pPr>
                              <w:pStyle w:val="Illustration"/>
                              <w:jc w:val="center"/>
                            </w:pPr>
                            <w:r>
                              <w:rPr>
                                <w:noProof/>
                              </w:rPr>
                              <w:drawing>
                                <wp:inline distT="0" distB="0" distL="0" distR="0">
                                  <wp:extent cx="5943600" cy="5086350"/>
                                  <wp:effectExtent l="0" t="0" r="0" b="0"/>
                                  <wp:docPr id="4" name="Картина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5086350"/>
                                          </a:xfrm>
                                          <a:prstGeom prst="rect">
                                            <a:avLst/>
                                          </a:prstGeom>
                                          <a:solidFill>
                                            <a:srgbClr val="FFFFFF"/>
                                          </a:solidFill>
                                          <a:ln>
                                            <a:noFill/>
                                          </a:ln>
                                        </pic:spPr>
                                      </pic:pic>
                                    </a:graphicData>
                                  </a:graphic>
                                </wp:inline>
                              </w:drawing>
                            </w:r>
                            <w:r w:rsidR="007905F1">
                              <w:t xml:space="preserve">Illustration </w:t>
                            </w:r>
                            <w:r w:rsidR="007905F1">
                              <w:fldChar w:fldCharType="begin"/>
                            </w:r>
                            <w:r w:rsidR="007905F1">
                              <w:instrText xml:space="preserve"> SEQ "Illustration" \*Arabic </w:instrText>
                            </w:r>
                            <w:r w:rsidR="007905F1">
                              <w:fldChar w:fldCharType="separate"/>
                            </w:r>
                            <w:r w:rsidR="007905F1">
                              <w:t>1</w:t>
                            </w:r>
                            <w:r w:rsidR="007905F1">
                              <w:fldChar w:fldCharType="end"/>
                            </w:r>
                            <w:r w:rsidR="007905F1">
                              <w:t>: Tesco Matrix structure. 2019</w:t>
                            </w:r>
                          </w:p>
                        </w:txbxContent>
                      </wps:txbx>
                      <wps:bodyPr rot="0" vert="horz" wrap="square" lIns="0" tIns="0" rIns="0" bIns="0" anchor="t" anchorCtr="0" upright="1">
                        <a:noAutofit/>
                      </wps:bodyPr>
                    </wps:wsp>
                  </a:graphicData>
                </a:graphic>
              </wp:inline>
            </w:drawing>
          </mc:Choice>
          <mc:Fallback>
            <w:pict>
              <v:shapetype id="_x0000_t202" coordsize="21600,21600" o:spt="202" path="m,l,21600r21600,l21600,xe">
                <v:stroke joinstyle="miter"/>
                <v:path gradientshapeok="t" o:connecttype="rect"/>
              </v:shapetype>
              <v:shape id=" 2" o:spid="_x0000_s1026" type="#_x0000_t202" style="width:467.9pt;height:420.95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" stroked="f">
                <v:path arrowok="t"/>
                <v:textbox inset="0,0,0,0">
                  <w:txbxContent>
                    <w:p w:rsidR="00000000" w:rsidRDefault="00474F61">
                      <w:pPr>
                        <w:pStyle w:val="Illustration"/>
                        <w:jc w:val="center"/>
                      </w:pPr>
                      <w:r>
                        <w:rPr>
                          <w:noProof/>
                        </w:rPr>
                        <w:drawing>
                          <wp:inline distT="0" distB="0" distL="0" distR="0">
                            <wp:extent cx="5943600" cy="5086350"/>
                            <wp:effectExtent l="0" t="0" r="0" b="0"/>
                            <wp:docPr id="4" name="Картина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5086350"/>
                                    </a:xfrm>
                                    <a:prstGeom prst="rect">
                                      <a:avLst/>
                                    </a:prstGeom>
                                    <a:solidFill>
                                      <a:srgbClr val="FFFFFF"/>
                                    </a:solidFill>
                                    <a:ln>
                                      <a:noFill/>
                                    </a:ln>
                                  </pic:spPr>
                                </pic:pic>
                              </a:graphicData>
                            </a:graphic>
                          </wp:inline>
                        </w:drawing>
                      </w:r>
                      <w:r w:rsidR="007905F1">
                        <w:t xml:space="preserve">Illustration </w:t>
                      </w:r>
                      <w:r w:rsidR="007905F1">
                        <w:fldChar w:fldCharType="begin"/>
                      </w:r>
                      <w:r w:rsidR="007905F1">
                        <w:instrText xml:space="preserve"> SEQ "Illustration" \*Arabic </w:instrText>
                      </w:r>
                      <w:r w:rsidR="007905F1">
                        <w:fldChar w:fldCharType="separate"/>
                      </w:r>
                      <w:r w:rsidR="007905F1">
                        <w:t>1</w:t>
                      </w:r>
                      <w:r w:rsidR="007905F1">
                        <w:fldChar w:fldCharType="end"/>
                      </w:r>
                      <w:r w:rsidR="007905F1">
                        <w:t>: Tesco Matrix structure. 2019</w:t>
                      </w:r>
                    </w:p>
                  </w:txbxContent>
                </v:textbox>
                <w10:anchorlock/>
              </v:shape>
            </w:pict>
          </mc:Fallback>
        </mc:AlternateContent>
      </w:r>
    </w:p>
    <w:p w:rsidR="00AE31DF" w:rsidRDefault="007905F1">
      <w:pPr>
        <w:jc w:val="center"/>
      </w:pPr>
      <w:r>
        <w:tab/>
      </w:r>
      <w:r>
        <w:rPr>
          <w:b/>
          <w:bCs/>
        </w:rPr>
        <w:t>(Source: Tesco Matrix structure. 2019)</w:t>
      </w:r>
    </w:p>
    <w:p w:rsidR="00AE31DF" w:rsidRDefault="00AE31DF"/>
    <w:p w:rsidR="00AE31DF" w:rsidRDefault="007905F1">
      <w:r>
        <w:lastRenderedPageBreak/>
        <w:tab/>
        <w:t xml:space="preserve">As per the above discussed organisational designs or structures, Tesco managers are following matrix structure that helps in improving interactions and communications at inter department level. When challenges like decrease in productivity arises then all departmental devise strategies collaboratively for reaching to appropriate solution and implementing effective decisions. Similarly, this structure is used at Tesco so to guide manpower for reporting two superiors in order to check the working twice for reducing possibilities of errors and problems for future. When all operations are effectively coordinated, properly managed and effectively implemented then it will improve organisational performance to great extent. In addition, matrix structure guides managers to ensure whether staff members are performing all activities appropriately or not in order to reach business goals. When Tesco will achieve its objectives then major changes will be noticed in enhancement of its performance that will maximise the profitability also. At same time, it may also create conflicts among managers as different managers have different viewpoints for the activities performed by subordinates that may result in confusions for an individual to modify their activities or doing some changes. </w:t>
      </w:r>
    </w:p>
    <w:p w:rsidR="00AE31DF" w:rsidRDefault="007905F1">
      <w:r>
        <w:tab/>
      </w:r>
      <w:r>
        <w:rPr>
          <w:b/>
          <w:bCs/>
        </w:rPr>
        <w:t>Organisational culture</w:t>
      </w:r>
      <w:r>
        <w:t xml:space="preserve"> is termed to collective assumptions, values and opinions which are generally shared at particular company. It is specific collection of norms with values that people and groups share at workplace. It reflects personality of a particular business. It is very essential to have proper understanding of organisational culture as it governs the behaviour of an individual employed at company in context to the internal as well as external business environment (</w:t>
      </w:r>
      <w:r>
        <w:rPr>
          <w:color w:val="222222"/>
          <w:szCs w:val="24"/>
        </w:rPr>
        <w:t>Haferkamp, 2017</w:t>
      </w:r>
      <w:r>
        <w:t>). The manpower engaged with organisation like Tesco enjoys huge synergies the superiors due to strong alignment among personal addition to organisational values. Hence, it impacts on entire performance of entity such as Tesco.</w:t>
      </w:r>
    </w:p>
    <w:p w:rsidR="00AE31DF" w:rsidRDefault="007905F1">
      <w:r>
        <w:tab/>
        <w:t>In relevance with case scenario of selected business, Handy's cultural model has been considered as it facilitates determining the ways Tesco's culture contributes to success. According to the model, cultures that may influence an entity are power, task, role and person (Brenyah and Obuobisa-Darko,  2017). Key feature of the model is that it emphasis on cultural aspect along with shows the ways organisational structures are connected with the identifies types.</w:t>
      </w:r>
    </w:p>
    <w:p w:rsidR="00AE31DF" w:rsidRDefault="007905F1">
      <w:r>
        <w:tab/>
        <w:t xml:space="preserve">Within </w:t>
      </w:r>
      <w:r>
        <w:rPr>
          <w:b/>
          <w:bCs/>
        </w:rPr>
        <w:t>Role culture</w:t>
      </w:r>
      <w:r>
        <w:t>, the authority of company is generally delegated in distinctive aspects. It increases awareness among employees about their roles and responsibilities that are based on key specialisation addition to skills they possess (</w:t>
      </w:r>
      <w:r>
        <w:rPr>
          <w:color w:val="222222"/>
          <w:szCs w:val="24"/>
        </w:rPr>
        <w:t>Brenyah and Obuobisa-Darko,  2017</w:t>
      </w:r>
      <w:r>
        <w:t xml:space="preserve">). Organisations following this type of culture emphasis more on rules.  Tesco can adopt role culture </w:t>
      </w:r>
      <w:r>
        <w:lastRenderedPageBreak/>
        <w:t xml:space="preserve">so to maintain stability as well as enable huge formalisation addition to specialisation level that are driven by positions that are within superiors and subordinates of entity. </w:t>
      </w:r>
    </w:p>
    <w:p w:rsidR="00AE31DF" w:rsidRDefault="007905F1">
      <w:r>
        <w:tab/>
        <w:t xml:space="preserve">In </w:t>
      </w:r>
      <w:r>
        <w:rPr>
          <w:b/>
          <w:bCs/>
        </w:rPr>
        <w:t>Power culture</w:t>
      </w:r>
      <w:r>
        <w:t>, few individuals only have some powers at organisation. Senior management basically influences spreads throughout the business. In this, top administrative authorities formulate rules and regulations by their own. It is described as set of powers that are spread from central to distinct nodes of company (</w:t>
      </w:r>
      <w:r>
        <w:rPr>
          <w:color w:val="222222"/>
          <w:szCs w:val="24"/>
        </w:rPr>
        <w:t>Bratton, 2015</w:t>
      </w:r>
      <w:r>
        <w:t xml:space="preserve">). With this culture, politics are prevalent that are direct outcomes of persuasion practices that are followed within business concerns. Due to this, employee performances are judged as per their achievement despite of their behaviours.  Tesco could adopt the culture for enabling quick decision making as workplace as various people are holding such privilege within organisation. </w:t>
      </w:r>
    </w:p>
    <w:p w:rsidR="00AE31DF" w:rsidRDefault="007905F1">
      <w:r>
        <w:tab/>
        <w:t xml:space="preserve">In context to </w:t>
      </w:r>
      <w:r>
        <w:rPr>
          <w:b/>
          <w:bCs/>
        </w:rPr>
        <w:t>Task Culture</w:t>
      </w:r>
      <w:r>
        <w:t>, project oriented approach that is followed across all levels of company that boosts matrix as well as project based design of company. As it is job based, allocation resources is done according to tasks that are provided to various teams. This culture is formed when organisational teams are made for addressing particular issues and progressive projects (</w:t>
      </w:r>
      <w:r>
        <w:rPr>
          <w:color w:val="222222"/>
          <w:szCs w:val="24"/>
        </w:rPr>
        <w:t>Hayes, 2017.</w:t>
      </w:r>
      <w:r>
        <w:t>). For Tesco, the adaptation of task culture will enable in unifying powers of teams that can show improvements in efficiency, innovations as well as flexibility for warding off competition in successful manner.</w:t>
      </w:r>
    </w:p>
    <w:p w:rsidR="00AE31DF" w:rsidRDefault="007905F1">
      <w:r>
        <w:tab/>
        <w:t xml:space="preserve">In </w:t>
      </w:r>
      <w:r>
        <w:rPr>
          <w:b/>
          <w:bCs/>
        </w:rPr>
        <w:t>Person culture</w:t>
      </w:r>
      <w:r>
        <w:t>, the objectives of a person are basically prioritised over objectives of entity. As a result, business exists for serving purposes to deliver assistances for achievements of individual goals. In present era, person culture is usually found in Professional Partnerships in which influences are mutual addition to powers are based on expertise driven. This creates high specialisation degree at workplace that helps workforce to achieve growth in the manner they are aspired (</w:t>
      </w:r>
      <w:r>
        <w:rPr>
          <w:color w:val="222222"/>
          <w:szCs w:val="24"/>
        </w:rPr>
        <w:t>Kolker,  2015)</w:t>
      </w:r>
      <w:r>
        <w:t xml:space="preserve">. Tesco can adopt this culture when they aim to encourage the employees for pursuing their own aspirations as well as helping in providing well established platform to achieve growth. </w:t>
      </w:r>
    </w:p>
    <w:p w:rsidR="00AE31DF" w:rsidRDefault="007905F1">
      <w:r>
        <w:tab/>
        <w:t xml:space="preserve">In modern era, Tesco works by following task culture wherein the managers enable flexibility in daily operations as well as invitable to manpower. With the help of such culture, selected entity has inculcate environment that is further illustrated in different task groups. With this, business concern is able to improve specialisation power that helps in making prompt decision along with ensuring employee morale do not falter during set time period. Moreover, as the culture aims to induce flexibility, Tesco enjoys wide systems associated with business procedures which are easily adopted within continuously changing environment of business. In addition, the selected </w:t>
      </w:r>
      <w:r>
        <w:lastRenderedPageBreak/>
        <w:t xml:space="preserve">entity also combines right matches for leadership, skills, knowledge and personalities that motivates the employee to work in environment where they can foster their innovation by generating new ideas together with acknowledgements. </w:t>
      </w:r>
    </w:p>
    <w:p w:rsidR="00AE31DF" w:rsidRDefault="007905F1">
      <w:r>
        <w:tab/>
        <w:t>Organisation design and culture enable a business to promote its production level significant (</w:t>
      </w:r>
      <w:r>
        <w:rPr>
          <w:color w:val="222222"/>
          <w:szCs w:val="24"/>
        </w:rPr>
        <w:t>Young and Ghoshal, 2016</w:t>
      </w:r>
      <w:r>
        <w:t xml:space="preserve">). As corporate performance is closely associated with efficiency level, Task culture in Tesco helps to cater all its customer requirements in proper ways along with gains excel against rivals. Thus, it enables a company to experience better performance through creative together with innovation manner. </w:t>
      </w:r>
    </w:p>
    <w:p w:rsidR="00AE31DF" w:rsidRDefault="007905F1">
      <w:pPr>
        <w:pStyle w:val="1"/>
      </w:pPr>
      <w:bookmarkStart w:id="4" w:name="__RefHeading___Toc26283046"/>
      <w:r>
        <w:t>CONCLUSION</w:t>
      </w:r>
      <w:bookmarkEnd w:id="4"/>
      <w:r>
        <w:tab/>
      </w:r>
    </w:p>
    <w:p w:rsidR="00AE31DF" w:rsidRDefault="007905F1">
      <w:r>
        <w:tab/>
        <w:t xml:space="preserve">As per the above discussion, it has been concluded that structure and culture of organisation are essential components on which more focus is required by business concerns to achieve all their short along with long term objectives. To analyse business culture, Handy's cultural model </w:t>
      </w:r>
      <w:r w:rsidR="005200E1">
        <w:t>(</w:t>
      </w:r>
      <w:r w:rsidR="00EC5BEB">
        <w:t>M</w:t>
      </w:r>
      <w:r w:rsidR="004D5A96">
        <w:t>SG</w:t>
      </w:r>
      <w:r w:rsidR="00A2490B">
        <w:t>,</w:t>
      </w:r>
      <w:r w:rsidR="00EC5BEB">
        <w:t xml:space="preserve"> 20</w:t>
      </w:r>
      <w:r w:rsidR="007415D8">
        <w:t>19)</w:t>
      </w:r>
      <w:r>
        <w:t xml:space="preserve">can be implemented. The model includes four elements that are person, role, task and power. Organisations adopts the culture as per their needs and essentialism. For assessing structure or designs on organisation, distinct types of structures are needs to be analysed. They are matrix, divisional and function structures. All depends on institutions to adapt the effective one among them as well as changing existing ones as per the project requirements that they are undertaking or will undertake in future as success factor is highly depend on adopting of effective structure and culture. </w:t>
      </w:r>
    </w:p>
    <w:p w:rsidR="00AE31DF" w:rsidRDefault="007905F1">
      <w:pPr>
        <w:pStyle w:val="1"/>
        <w:pageBreakBefore/>
        <w:rPr>
          <w:u w:val="single"/>
        </w:rPr>
      </w:pPr>
      <w:bookmarkStart w:id="5" w:name="__RefHeading___Toc26283047"/>
      <w:bookmarkEnd w:id="5"/>
      <w:r>
        <w:lastRenderedPageBreak/>
        <w:t>REFERENCES</w:t>
      </w:r>
    </w:p>
    <w:p w:rsidR="00AE31DF" w:rsidRDefault="007905F1">
      <w:pPr>
        <w:rPr>
          <w:color w:val="222222"/>
          <w:szCs w:val="24"/>
        </w:rPr>
      </w:pPr>
      <w:r>
        <w:rPr>
          <w:u w:val="single"/>
        </w:rPr>
        <w:t>Books and Journals</w:t>
      </w:r>
      <w:r>
        <w:t>:</w:t>
      </w:r>
    </w:p>
    <w:p w:rsidR="00AE31DF" w:rsidRDefault="007905F1">
      <w:pPr>
        <w:spacing w:line="100" w:lineRule="atLeast"/>
        <w:ind w:left="870" w:hanging="870"/>
        <w:rPr>
          <w:color w:val="222222"/>
          <w:szCs w:val="24"/>
        </w:rPr>
      </w:pPr>
      <w:r>
        <w:rPr>
          <w:color w:val="222222"/>
          <w:szCs w:val="24"/>
        </w:rPr>
        <w:t>Battistella, C., 2014. The organisation of Corporate Foresight: A multiple case study in the telecommunication industry. </w:t>
      </w:r>
      <w:r>
        <w:rPr>
          <w:i/>
          <w:color w:val="222222"/>
          <w:szCs w:val="24"/>
        </w:rPr>
        <w:t>Technological Forecasting and Social Change</w:t>
      </w:r>
      <w:r>
        <w:rPr>
          <w:color w:val="222222"/>
          <w:szCs w:val="24"/>
        </w:rPr>
        <w:t>. 87. pp.60-79.</w:t>
      </w:r>
    </w:p>
    <w:p w:rsidR="00AE31DF" w:rsidRDefault="007905F1">
      <w:pPr>
        <w:spacing w:line="100" w:lineRule="atLeast"/>
        <w:ind w:left="855" w:hanging="840"/>
        <w:rPr>
          <w:color w:val="222222"/>
          <w:szCs w:val="24"/>
        </w:rPr>
      </w:pPr>
      <w:r>
        <w:rPr>
          <w:color w:val="222222"/>
          <w:szCs w:val="24"/>
        </w:rPr>
        <w:t xml:space="preserve">Bratton, J., 2015. </w:t>
      </w:r>
      <w:r>
        <w:rPr>
          <w:i/>
          <w:color w:val="222222"/>
          <w:szCs w:val="24"/>
        </w:rPr>
        <w:t>Introduction to work and organizational behaviour</w:t>
      </w:r>
      <w:r>
        <w:rPr>
          <w:color w:val="222222"/>
          <w:szCs w:val="24"/>
        </w:rPr>
        <w:t>. Macmillan International Higher Education.</w:t>
      </w:r>
    </w:p>
    <w:p w:rsidR="00AE31DF" w:rsidRDefault="007905F1">
      <w:pPr>
        <w:spacing w:line="100" w:lineRule="atLeast"/>
        <w:ind w:left="855" w:hanging="840"/>
        <w:rPr>
          <w:color w:val="222222"/>
          <w:szCs w:val="24"/>
        </w:rPr>
      </w:pPr>
      <w:r>
        <w:rPr>
          <w:color w:val="222222"/>
          <w:szCs w:val="24"/>
        </w:rPr>
        <w:t xml:space="preserve">Dillon, M., 2019. </w:t>
      </w:r>
      <w:r>
        <w:rPr>
          <w:i/>
          <w:color w:val="222222"/>
          <w:szCs w:val="24"/>
        </w:rPr>
        <w:t>Introduction to sociological theory: Theorists, concepts, and their applicability to the twenty-first century</w:t>
      </w:r>
      <w:r>
        <w:rPr>
          <w:color w:val="222222"/>
          <w:szCs w:val="24"/>
        </w:rPr>
        <w:t>. John Wiley &amp; Sons.</w:t>
      </w:r>
    </w:p>
    <w:p w:rsidR="00AE31DF" w:rsidRDefault="007905F1">
      <w:pPr>
        <w:spacing w:line="100" w:lineRule="atLeast"/>
        <w:ind w:left="855" w:hanging="840"/>
        <w:rPr>
          <w:color w:val="222222"/>
          <w:szCs w:val="24"/>
        </w:rPr>
      </w:pPr>
      <w:r>
        <w:rPr>
          <w:color w:val="222222"/>
          <w:szCs w:val="24"/>
        </w:rPr>
        <w:t xml:space="preserve">Glăveanu, V. P. ed., 2017. </w:t>
      </w:r>
      <w:r>
        <w:rPr>
          <w:i/>
          <w:color w:val="222222"/>
          <w:szCs w:val="24"/>
        </w:rPr>
        <w:t>The Palgrave handbook of creativity and culture research</w:t>
      </w:r>
      <w:r>
        <w:rPr>
          <w:color w:val="222222"/>
          <w:szCs w:val="24"/>
        </w:rPr>
        <w:t>. Springer.</w:t>
      </w:r>
    </w:p>
    <w:p w:rsidR="00AE31DF" w:rsidRDefault="007905F1">
      <w:pPr>
        <w:spacing w:line="100" w:lineRule="atLeast"/>
        <w:ind w:left="855" w:hanging="840"/>
        <w:rPr>
          <w:color w:val="222222"/>
          <w:szCs w:val="24"/>
        </w:rPr>
      </w:pPr>
      <w:r>
        <w:rPr>
          <w:color w:val="222222"/>
          <w:szCs w:val="24"/>
        </w:rPr>
        <w:t xml:space="preserve">Haferkamp, H. ed., 2017. </w:t>
      </w:r>
      <w:r>
        <w:rPr>
          <w:i/>
          <w:color w:val="222222"/>
          <w:szCs w:val="24"/>
        </w:rPr>
        <w:t>Social structure and culture</w:t>
      </w:r>
      <w:r>
        <w:rPr>
          <w:color w:val="222222"/>
          <w:szCs w:val="24"/>
        </w:rPr>
        <w:t>. Walter de Gruyter GmbH &amp; Co KG.</w:t>
      </w:r>
    </w:p>
    <w:p w:rsidR="00AE31DF" w:rsidRDefault="007905F1">
      <w:pPr>
        <w:spacing w:line="100" w:lineRule="atLeast"/>
        <w:ind w:left="855" w:hanging="840"/>
        <w:rPr>
          <w:color w:val="222222"/>
          <w:szCs w:val="24"/>
        </w:rPr>
      </w:pPr>
      <w:r>
        <w:rPr>
          <w:color w:val="222222"/>
          <w:szCs w:val="24"/>
        </w:rPr>
        <w:t xml:space="preserve">Hayes, A. F., 2017. </w:t>
      </w:r>
      <w:r>
        <w:rPr>
          <w:i/>
          <w:color w:val="222222"/>
          <w:szCs w:val="24"/>
        </w:rPr>
        <w:t>Introduction to mediation, moderation, and conditional process analysis: A regression-based approach</w:t>
      </w:r>
      <w:r>
        <w:rPr>
          <w:color w:val="222222"/>
          <w:szCs w:val="24"/>
        </w:rPr>
        <w:t>. Guilford Publications.</w:t>
      </w:r>
    </w:p>
    <w:p w:rsidR="00AE31DF" w:rsidRDefault="007905F1">
      <w:pPr>
        <w:spacing w:line="100" w:lineRule="atLeast"/>
        <w:ind w:left="855" w:hanging="840"/>
        <w:rPr>
          <w:color w:val="222222"/>
          <w:szCs w:val="24"/>
        </w:rPr>
      </w:pPr>
      <w:r>
        <w:rPr>
          <w:color w:val="222222"/>
          <w:szCs w:val="24"/>
        </w:rPr>
        <w:t xml:space="preserve">Kolker, R. P., 2015. </w:t>
      </w:r>
      <w:r>
        <w:rPr>
          <w:i/>
          <w:color w:val="222222"/>
          <w:szCs w:val="24"/>
        </w:rPr>
        <w:t>Film, form, and culture</w:t>
      </w:r>
      <w:r>
        <w:rPr>
          <w:color w:val="222222"/>
          <w:szCs w:val="24"/>
        </w:rPr>
        <w:t>. Routledge.</w:t>
      </w:r>
    </w:p>
    <w:p w:rsidR="00AE31DF" w:rsidRDefault="007905F1">
      <w:pPr>
        <w:spacing w:line="100" w:lineRule="atLeast"/>
        <w:ind w:left="855" w:hanging="840"/>
        <w:rPr>
          <w:color w:val="222222"/>
          <w:szCs w:val="24"/>
        </w:rPr>
      </w:pPr>
      <w:r>
        <w:rPr>
          <w:color w:val="222222"/>
          <w:szCs w:val="24"/>
        </w:rPr>
        <w:t xml:space="preserve">Saxe, G. B., 2015. </w:t>
      </w:r>
      <w:r>
        <w:rPr>
          <w:i/>
          <w:color w:val="222222"/>
          <w:szCs w:val="24"/>
        </w:rPr>
        <w:t>Culture and cognitive development: Studies in mathematical understanding</w:t>
      </w:r>
      <w:r>
        <w:rPr>
          <w:color w:val="222222"/>
          <w:szCs w:val="24"/>
        </w:rPr>
        <w:t>. Psychology Press..</w:t>
      </w:r>
    </w:p>
    <w:p w:rsidR="00AE31DF" w:rsidRDefault="007905F1">
      <w:pPr>
        <w:spacing w:line="100" w:lineRule="atLeast"/>
        <w:ind w:left="870" w:hanging="870"/>
        <w:rPr>
          <w:color w:val="222222"/>
          <w:szCs w:val="24"/>
        </w:rPr>
      </w:pPr>
      <w:r>
        <w:rPr>
          <w:color w:val="222222"/>
          <w:szCs w:val="24"/>
        </w:rPr>
        <w:t>Young, C. and Ghoshal, S., 2016. </w:t>
      </w:r>
      <w:r>
        <w:rPr>
          <w:i/>
          <w:color w:val="222222"/>
          <w:szCs w:val="24"/>
        </w:rPr>
        <w:t>Organization theory and the multinational corporation</w:t>
      </w:r>
      <w:r>
        <w:rPr>
          <w:color w:val="222222"/>
          <w:szCs w:val="24"/>
        </w:rPr>
        <w:t>. Springer.</w:t>
      </w:r>
    </w:p>
    <w:p w:rsidR="00AE31DF" w:rsidRDefault="007905F1">
      <w:pPr>
        <w:spacing w:line="100" w:lineRule="atLeast"/>
        <w:ind w:left="870" w:hanging="870"/>
        <w:rPr>
          <w:color w:val="222222"/>
          <w:szCs w:val="24"/>
        </w:rPr>
      </w:pPr>
      <w:r>
        <w:rPr>
          <w:color w:val="222222"/>
          <w:szCs w:val="24"/>
        </w:rPr>
        <w:t>Brenyah, R.S. and Obuobisa-Darko, T., 2017. Organisational Culture and Employee Engagement within the Ghanaian Public Sector. </w:t>
      </w:r>
      <w:r>
        <w:rPr>
          <w:i/>
          <w:color w:val="222222"/>
          <w:szCs w:val="24"/>
        </w:rPr>
        <w:t xml:space="preserve">Review Pub Administration Manag. </w:t>
      </w:r>
      <w:r>
        <w:t>5</w:t>
      </w:r>
      <w:r>
        <w:rPr>
          <w:color w:val="222222"/>
          <w:szCs w:val="24"/>
        </w:rPr>
        <w:t>(233). p.2.</w:t>
      </w:r>
    </w:p>
    <w:p w:rsidR="00AE31DF" w:rsidRDefault="007905F1">
      <w:pPr>
        <w:spacing w:line="100" w:lineRule="atLeast"/>
        <w:ind w:left="870" w:hanging="870"/>
        <w:rPr>
          <w:color w:val="222222"/>
          <w:szCs w:val="24"/>
        </w:rPr>
      </w:pPr>
      <w:r>
        <w:rPr>
          <w:color w:val="222222"/>
          <w:szCs w:val="24"/>
        </w:rPr>
        <w:t>Tatli, M. and Medalia, O., 2018. Insight into the functional organization of nuclear lamins in health and disease. </w:t>
      </w:r>
      <w:r>
        <w:rPr>
          <w:i/>
          <w:color w:val="222222"/>
          <w:szCs w:val="24"/>
        </w:rPr>
        <w:t>Current opinion in cell biology</w:t>
      </w:r>
      <w:r>
        <w:rPr>
          <w:color w:val="222222"/>
          <w:szCs w:val="24"/>
        </w:rPr>
        <w:t xml:space="preserve">. </w:t>
      </w:r>
      <w:r>
        <w:t>54.</w:t>
      </w:r>
      <w:r>
        <w:rPr>
          <w:color w:val="222222"/>
          <w:szCs w:val="24"/>
        </w:rPr>
        <w:t xml:space="preserve"> pp.72-79.</w:t>
      </w:r>
    </w:p>
    <w:p w:rsidR="00AE31DF" w:rsidRDefault="007905F1">
      <w:pPr>
        <w:spacing w:line="100" w:lineRule="atLeast"/>
        <w:ind w:left="870" w:hanging="870"/>
        <w:rPr>
          <w:color w:val="222222"/>
          <w:szCs w:val="24"/>
        </w:rPr>
      </w:pPr>
      <w:r>
        <w:rPr>
          <w:color w:val="222222"/>
          <w:szCs w:val="24"/>
        </w:rPr>
        <w:t>Módis, L., 2018. </w:t>
      </w:r>
      <w:r>
        <w:rPr>
          <w:i/>
          <w:color w:val="222222"/>
          <w:szCs w:val="24"/>
        </w:rPr>
        <w:t>Organization of the extracellular matrix: a polarization microscopic approach</w:t>
      </w:r>
      <w:r>
        <w:rPr>
          <w:color w:val="222222"/>
          <w:szCs w:val="24"/>
        </w:rPr>
        <w:t>. CRC Press.</w:t>
      </w:r>
    </w:p>
    <w:p w:rsidR="004B4A33" w:rsidRDefault="004B4A33">
      <w:pPr>
        <w:spacing w:line="100" w:lineRule="atLeast"/>
        <w:ind w:left="870" w:hanging="870"/>
        <w:rPr>
          <w:color w:val="222222"/>
          <w:szCs w:val="24"/>
        </w:rPr>
      </w:pPr>
      <w:r>
        <w:rPr>
          <w:color w:val="222222"/>
          <w:szCs w:val="24"/>
        </w:rPr>
        <w:t>Online</w:t>
      </w:r>
      <w:r w:rsidR="00AE011A">
        <w:rPr>
          <w:color w:val="222222"/>
          <w:szCs w:val="24"/>
        </w:rPr>
        <w:t>:</w:t>
      </w:r>
    </w:p>
    <w:p w:rsidR="00976F76" w:rsidRDefault="000C3C9D">
      <w:pPr>
        <w:spacing w:line="100" w:lineRule="atLeast"/>
        <w:ind w:left="870" w:hanging="870"/>
        <w:rPr>
          <w:u w:val="single"/>
        </w:rPr>
      </w:pPr>
      <w:r>
        <w:rPr>
          <w:color w:val="222222"/>
          <w:szCs w:val="24"/>
        </w:rPr>
        <w:t xml:space="preserve">  </w:t>
      </w:r>
      <w:r w:rsidR="0089439C">
        <w:rPr>
          <w:color w:val="222222"/>
          <w:szCs w:val="24"/>
        </w:rPr>
        <w:t>MSG</w:t>
      </w:r>
      <w:r w:rsidR="00A2490B">
        <w:rPr>
          <w:color w:val="222222"/>
          <w:szCs w:val="24"/>
        </w:rPr>
        <w:t>,</w:t>
      </w:r>
      <w:r w:rsidR="000E790E">
        <w:rPr>
          <w:color w:val="222222"/>
          <w:szCs w:val="24"/>
        </w:rPr>
        <w:t xml:space="preserve">2019.Management Study Guide Privacy </w:t>
      </w:r>
      <w:r w:rsidR="00CE2DC7">
        <w:rPr>
          <w:color w:val="222222"/>
          <w:szCs w:val="24"/>
        </w:rPr>
        <w:t xml:space="preserve">Policy </w:t>
      </w:r>
      <w:r w:rsidR="008C0F35">
        <w:rPr>
          <w:color w:val="222222"/>
          <w:szCs w:val="24"/>
        </w:rPr>
        <w:t>[online]</w:t>
      </w:r>
      <w:r w:rsidR="001B498C">
        <w:rPr>
          <w:color w:val="222222"/>
          <w:szCs w:val="24"/>
        </w:rPr>
        <w:t>.Available through</w:t>
      </w:r>
      <w:r w:rsidR="00FE22E1">
        <w:rPr>
          <w:color w:val="222222"/>
          <w:szCs w:val="24"/>
        </w:rPr>
        <w:t>:</w:t>
      </w:r>
      <w:r w:rsidR="001B498C">
        <w:rPr>
          <w:color w:val="222222"/>
          <w:szCs w:val="24"/>
        </w:rPr>
        <w:t xml:space="preserve"> </w:t>
      </w:r>
      <w:r w:rsidR="005557B8">
        <w:rPr>
          <w:color w:val="222222"/>
          <w:szCs w:val="24"/>
        </w:rPr>
        <w:t>&lt;https://www.managementstudy.com/</w:t>
      </w:r>
      <w:r w:rsidR="00676585">
        <w:rPr>
          <w:color w:val="222222"/>
          <w:szCs w:val="24"/>
        </w:rPr>
        <w:t>&gt;</w:t>
      </w:r>
    </w:p>
    <w:p w:rsidR="00AE31DF" w:rsidRDefault="00AE31DF">
      <w:pPr>
        <w:spacing w:line="100" w:lineRule="atLeast"/>
        <w:ind w:left="870" w:hanging="870"/>
        <w:rPr>
          <w:i/>
          <w:iCs/>
        </w:rPr>
      </w:pPr>
    </w:p>
    <w:p w:rsidR="00AE31DF" w:rsidRDefault="007905F1">
      <w:r>
        <w:rPr>
          <w:i/>
          <w:iCs/>
        </w:rPr>
        <w:t>Tesco. 2019</w:t>
      </w:r>
      <w:r>
        <w:t xml:space="preserve">. [Online]. Available through: &lt;https://www.tesco.com/&gt; </w:t>
      </w:r>
    </w:p>
    <w:p w:rsidR="008B542B" w:rsidRDefault="008B542B">
      <w:pPr>
        <w:spacing w:line="100" w:lineRule="atLeast"/>
        <w:ind w:left="855" w:hanging="870"/>
      </w:pPr>
    </w:p>
    <w:p w:rsidR="00E7149C" w:rsidRDefault="00E7149C">
      <w:pPr>
        <w:spacing w:line="100" w:lineRule="atLeast"/>
        <w:ind w:left="855" w:hanging="870"/>
      </w:pPr>
    </w:p>
    <w:p w:rsidR="007905F1" w:rsidRDefault="007905F1">
      <w:pPr>
        <w:spacing w:line="100" w:lineRule="atLeast"/>
        <w:ind w:left="855" w:hanging="870"/>
      </w:pPr>
      <w:r>
        <w:t xml:space="preserve"> </w:t>
      </w:r>
    </w:p>
    <w:sectPr w:rsidR="007905F1">
      <w:footerReference w:type="default" r:id="rId15"/>
      <w:pgSz w:w="12240" w:h="15840"/>
      <w:pgMar w:top="1440" w:right="1440" w:bottom="1440" w:left="1440" w:header="708" w:footer="720" w:gutter="0"/>
      <w:pgNumType w:start="1"/>
      <w:cols w:space="708"/>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A68A2" w:rsidRDefault="002A68A2">
      <w:pPr>
        <w:spacing w:line="240" w:lineRule="auto"/>
      </w:pPr>
      <w:r>
        <w:separator/>
      </w:r>
    </w:p>
  </w:endnote>
  <w:endnote w:type="continuationSeparator" w:id="0">
    <w:p w:rsidR="002A68A2" w:rsidRDefault="002A68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variable"/>
  </w:font>
  <w:font w:name="DejaVu Sans">
    <w:altName w:val="MS Gothic"/>
    <w:charset w:val="80"/>
    <w:family w:val="auto"/>
    <w:pitch w:val="variable"/>
  </w:font>
  <w:font w:name="Symbol">
    <w:panose1 w:val="05050102010706020507"/>
    <w:charset w:val="02"/>
    <w:family w:val="decorative"/>
    <w:pitch w:val="variable"/>
    <w:sig w:usb0="00000000" w:usb1="10000000" w:usb2="00000000" w:usb3="00000000" w:csb0="80000000" w:csb1="00000000"/>
  </w:font>
  <w:font w:name="OpenSymbol">
    <w:altName w:val="Arial Unicode MS"/>
    <w:charset w:val="80"/>
    <w:family w:val="auto"/>
    <w:pitch w:val="default"/>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nos">
    <w:charset w:val="80"/>
    <w:family w:val="roman"/>
    <w:pitch w:val="variable"/>
  </w:font>
  <w:font w:name="Calibri Light">
    <w:panose1 w:val="020F0302020204030204"/>
    <w:charset w:val="00"/>
    <w:family w:val="swiss"/>
    <w:pitch w:val="variable"/>
    <w:sig w:usb0="A00002EF" w:usb1="4000207B" w:usb2="00000000" w:usb3="00000000" w:csb0="0000019F" w:csb1="00000000"/>
  </w:font>
  <w:font w:name="Times">
    <w:altName w:val="Times New Roman"/>
    <w:charset w:val="00"/>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4F61" w:rsidRDefault="00474F61">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4F61" w:rsidRDefault="00474F61">
    <w:pPr>
      <w:pStyle w:val="a7"/>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4F61" w:rsidRDefault="00474F61">
    <w:pPr>
      <w:pStyle w:val="a7"/>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E31DF" w:rsidRDefault="007905F1">
    <w:pPr>
      <w:pStyle w:val="a7"/>
      <w:jc w:val="center"/>
    </w:pPr>
    <w:r>
      <w:fldChar w:fldCharType="begin"/>
    </w:r>
    <w:r>
      <w:instrText xml:space="preserve"> PAGE </w:instrText>
    </w:r>
    <w:r>
      <w:fldChar w:fldCharType="separate"/>
    </w:r>
    <w:r>
      <w:t>8</w:t>
    </w:r>
    <w:r>
      <w:fldChar w:fldCharType="end"/>
    </w:r>
  </w:p>
  <w:p w:rsidR="00AE31DF" w:rsidRDefault="00AE31DF">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A68A2" w:rsidRDefault="002A68A2">
      <w:pPr>
        <w:spacing w:line="240" w:lineRule="auto"/>
      </w:pPr>
      <w:r>
        <w:separator/>
      </w:r>
    </w:p>
  </w:footnote>
  <w:footnote w:type="continuationSeparator" w:id="0">
    <w:p w:rsidR="002A68A2" w:rsidRDefault="002A68A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4F61" w:rsidRDefault="00474F61">
    <w:pPr>
      <w:pStyle w:val="a6"/>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4F61" w:rsidRDefault="00474F61">
    <w:pPr>
      <w:pStyle w:val="a6"/>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4F61" w:rsidRDefault="00474F61">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1"/>
      <w:suff w:val="nothing"/>
      <w:lvlText w:val=""/>
      <w:lvlJc w:val="left"/>
      <w:pPr>
        <w:tabs>
          <w:tab w:val="num" w:pos="0"/>
        </w:tabs>
        <w:ind w:left="432" w:hanging="432"/>
      </w:pPr>
    </w:lvl>
    <w:lvl w:ilvl="1">
      <w:start w:val="1"/>
      <w:numFmt w:val="none"/>
      <w:pStyle w:val="2"/>
      <w:suff w:val="nothing"/>
      <w:lvlText w:val=""/>
      <w:lvlJc w:val="left"/>
      <w:pPr>
        <w:tabs>
          <w:tab w:val="num" w:pos="0"/>
        </w:tabs>
        <w:ind w:left="576" w:hanging="576"/>
      </w:pPr>
    </w:lvl>
    <w:lvl w:ilvl="2">
      <w:start w:val="1"/>
      <w:numFmt w:val="none"/>
      <w:pStyle w:val="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pStyle w:val="5"/>
      <w:suff w:val="nothing"/>
      <w:lvlText w:val=""/>
      <w:lvlJc w:val="left"/>
      <w:pPr>
        <w:tabs>
          <w:tab w:val="num" w:pos="0"/>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hyphenationZone w:val="425"/>
  <w:defaultTableStyle w:val="a"/>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F61"/>
    <w:rsid w:val="00005D44"/>
    <w:rsid w:val="000C3C9D"/>
    <w:rsid w:val="000E790E"/>
    <w:rsid w:val="001B498C"/>
    <w:rsid w:val="00233498"/>
    <w:rsid w:val="00265F47"/>
    <w:rsid w:val="002A68A2"/>
    <w:rsid w:val="002B27DC"/>
    <w:rsid w:val="00305465"/>
    <w:rsid w:val="00321EFE"/>
    <w:rsid w:val="004175AA"/>
    <w:rsid w:val="00444D4F"/>
    <w:rsid w:val="00474F61"/>
    <w:rsid w:val="004A4C21"/>
    <w:rsid w:val="004B4A33"/>
    <w:rsid w:val="004D5A96"/>
    <w:rsid w:val="00511B5F"/>
    <w:rsid w:val="005200E1"/>
    <w:rsid w:val="005557B8"/>
    <w:rsid w:val="00582548"/>
    <w:rsid w:val="00662B18"/>
    <w:rsid w:val="00672B5C"/>
    <w:rsid w:val="00676585"/>
    <w:rsid w:val="006767FB"/>
    <w:rsid w:val="007415D8"/>
    <w:rsid w:val="007905F1"/>
    <w:rsid w:val="00884B90"/>
    <w:rsid w:val="0089298E"/>
    <w:rsid w:val="0089439C"/>
    <w:rsid w:val="008B542B"/>
    <w:rsid w:val="008C0F35"/>
    <w:rsid w:val="008D7276"/>
    <w:rsid w:val="00976F76"/>
    <w:rsid w:val="009E3DC5"/>
    <w:rsid w:val="00A2490B"/>
    <w:rsid w:val="00A42003"/>
    <w:rsid w:val="00AB7182"/>
    <w:rsid w:val="00AE011A"/>
    <w:rsid w:val="00AE31DF"/>
    <w:rsid w:val="00BF6023"/>
    <w:rsid w:val="00C2115B"/>
    <w:rsid w:val="00C4129C"/>
    <w:rsid w:val="00CA5196"/>
    <w:rsid w:val="00CE2DC7"/>
    <w:rsid w:val="00CE774F"/>
    <w:rsid w:val="00D839E6"/>
    <w:rsid w:val="00DB218B"/>
    <w:rsid w:val="00E7149C"/>
    <w:rsid w:val="00EC5BEB"/>
    <w:rsid w:val="00F63F09"/>
    <w:rsid w:val="00FE22E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oNotEmbedSmartTags/>
  <w:decimalSymbol w:val=","/>
  <w:listSeparator w:val=";"/>
  <w15:chartTrackingRefBased/>
  <w15:docId w15:val="{A656EE6E-28CD-614D-98F5-3277DA4C0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bg-BG" w:eastAsia="bg-BG"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uppressAutoHyphens/>
      <w:spacing w:line="360" w:lineRule="auto"/>
      <w:jc w:val="both"/>
    </w:pPr>
    <w:rPr>
      <w:rFonts w:eastAsia="Calibri"/>
      <w:color w:val="000000"/>
      <w:sz w:val="24"/>
      <w:szCs w:val="22"/>
      <w:lang w:val="en-GB" w:eastAsia="ar-SA"/>
    </w:rPr>
  </w:style>
  <w:style w:type="paragraph" w:styleId="1">
    <w:name w:val="heading 1"/>
    <w:basedOn w:val="a"/>
    <w:next w:val="a"/>
    <w:qFormat/>
    <w:pPr>
      <w:keepNext/>
      <w:keepLines/>
      <w:numPr>
        <w:numId w:val="1"/>
      </w:numPr>
      <w:spacing w:before="113"/>
      <w:outlineLvl w:val="0"/>
    </w:pPr>
    <w:rPr>
      <w:rFonts w:eastAsia="Times New Roman"/>
      <w:b/>
      <w:bCs/>
      <w:sz w:val="28"/>
      <w:szCs w:val="28"/>
    </w:rPr>
  </w:style>
  <w:style w:type="paragraph" w:styleId="2">
    <w:name w:val="heading 2"/>
    <w:basedOn w:val="a"/>
    <w:next w:val="a"/>
    <w:qFormat/>
    <w:pPr>
      <w:keepNext/>
      <w:keepLines/>
      <w:numPr>
        <w:ilvl w:val="1"/>
        <w:numId w:val="1"/>
      </w:numPr>
      <w:spacing w:before="113"/>
      <w:outlineLvl w:val="1"/>
    </w:pPr>
    <w:rPr>
      <w:rFonts w:eastAsia="Times New Roman"/>
      <w:bCs/>
      <w:szCs w:val="26"/>
      <w:u w:val="single"/>
    </w:rPr>
  </w:style>
  <w:style w:type="paragraph" w:styleId="3">
    <w:name w:val="heading 3"/>
    <w:basedOn w:val="Heading"/>
    <w:next w:val="a0"/>
    <w:qFormat/>
    <w:pPr>
      <w:numPr>
        <w:ilvl w:val="2"/>
        <w:numId w:val="1"/>
      </w:numPr>
      <w:outlineLvl w:val="2"/>
    </w:pPr>
    <w:rPr>
      <w:b/>
      <w:bCs/>
    </w:rPr>
  </w:style>
  <w:style w:type="paragraph" w:styleId="4">
    <w:name w:val="heading 4"/>
    <w:basedOn w:val="a"/>
    <w:next w:val="a"/>
    <w:qFormat/>
    <w:pPr>
      <w:keepNext/>
      <w:spacing w:before="240" w:after="60"/>
      <w:outlineLvl w:val="3"/>
    </w:pPr>
    <w:rPr>
      <w:rFonts w:ascii="Calibri" w:eastAsia="Times New Roman" w:hAnsi="Calibri"/>
      <w:b/>
      <w:bCs/>
      <w:sz w:val="28"/>
      <w:szCs w:val="28"/>
    </w:rPr>
  </w:style>
  <w:style w:type="paragraph" w:styleId="5">
    <w:name w:val="heading 5"/>
    <w:basedOn w:val="Heading"/>
    <w:next w:val="a0"/>
    <w:qFormat/>
    <w:pPr>
      <w:numPr>
        <w:ilvl w:val="4"/>
        <w:numId w:val="1"/>
      </w:numPr>
      <w:outlineLvl w:val="4"/>
    </w:pPr>
    <w:rPr>
      <w:b/>
      <w:bCs/>
      <w:sz w:val="24"/>
      <w:szCs w:val="24"/>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10">
    <w:name w:val="Шрифт на абзаца по подразбиране1"/>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a4">
    <w:name w:val="Hyperlink"/>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paragraph" w:customStyle="1" w:styleId="Heading">
    <w:name w:val="Heading"/>
    <w:basedOn w:val="a"/>
    <w:next w:val="a0"/>
    <w:pPr>
      <w:keepNext/>
      <w:spacing w:before="240" w:after="120"/>
    </w:pPr>
    <w:rPr>
      <w:rFonts w:ascii="Arial" w:eastAsia="Droid Sans" w:hAnsi="Arial" w:cs="DejaVu Sans"/>
      <w:sz w:val="28"/>
      <w:szCs w:val="28"/>
    </w:rPr>
  </w:style>
  <w:style w:type="paragraph" w:styleId="a0">
    <w:name w:val="Body Text"/>
    <w:basedOn w:val="a"/>
  </w:style>
  <w:style w:type="paragraph" w:styleId="a5">
    <w:name w:val="List"/>
    <w:basedOn w:val="a0"/>
    <w:rPr>
      <w:rFonts w:cs="DejaVu Sans"/>
    </w:rPr>
  </w:style>
  <w:style w:type="paragraph" w:customStyle="1" w:styleId="11">
    <w:name w:val="Надпис1"/>
    <w:basedOn w:val="a"/>
    <w:pPr>
      <w:suppressLineNumbers/>
      <w:spacing w:before="120" w:after="120"/>
    </w:pPr>
    <w:rPr>
      <w:rFonts w:cs="DejaVu Sans"/>
      <w:i/>
      <w:iCs/>
      <w:szCs w:val="24"/>
    </w:rPr>
  </w:style>
  <w:style w:type="paragraph" w:customStyle="1" w:styleId="Index">
    <w:name w:val="Index"/>
    <w:basedOn w:val="a"/>
    <w:pPr>
      <w:suppressLineNumbers/>
    </w:pPr>
    <w:rPr>
      <w:rFonts w:cs="DejaVu Sans"/>
    </w:rPr>
  </w:style>
  <w:style w:type="paragraph" w:styleId="a6">
    <w:name w:val="header"/>
    <w:basedOn w:val="a"/>
    <w:pPr>
      <w:tabs>
        <w:tab w:val="center" w:pos="4680"/>
        <w:tab w:val="right" w:pos="9360"/>
      </w:tabs>
      <w:spacing w:line="240" w:lineRule="auto"/>
    </w:pPr>
  </w:style>
  <w:style w:type="paragraph" w:styleId="a7">
    <w:name w:val="footer"/>
    <w:basedOn w:val="a"/>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12">
    <w:name w:val="Без разредка1"/>
    <w:pPr>
      <w:suppressAutoHyphens/>
      <w:spacing w:line="100" w:lineRule="atLeast"/>
    </w:pPr>
    <w:rPr>
      <w:rFonts w:ascii="Tinos" w:eastAsia="Droid Sans" w:hAnsi="Tinos" w:cs="DejaVu Sans"/>
      <w:sz w:val="24"/>
      <w:szCs w:val="24"/>
      <w:lang w:val="en-GB" w:eastAsia="hi-IN" w:bidi="hi-IN"/>
    </w:rPr>
  </w:style>
  <w:style w:type="paragraph" w:customStyle="1" w:styleId="Illustration">
    <w:name w:val="Illustration"/>
    <w:basedOn w:val="11"/>
  </w:style>
  <w:style w:type="paragraph" w:customStyle="1" w:styleId="13">
    <w:name w:val="Заглавие от съдържание1"/>
    <w:basedOn w:val="1"/>
    <w:next w:val="a"/>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14">
    <w:name w:val="toc 1"/>
    <w:basedOn w:val="a"/>
    <w:next w:val="a"/>
  </w:style>
  <w:style w:type="paragraph" w:styleId="20">
    <w:name w:val="toc 2"/>
    <w:basedOn w:val="a"/>
    <w:next w:val="a"/>
    <w:pPr>
      <w:ind w:left="240"/>
    </w:pPr>
  </w:style>
  <w:style w:type="paragraph" w:customStyle="1" w:styleId="TableContents">
    <w:name w:val="Table Contents"/>
    <w:basedOn w:val="a"/>
    <w:pPr>
      <w:suppressLineNumbers/>
    </w:pPr>
  </w:style>
  <w:style w:type="paragraph" w:customStyle="1" w:styleId="TableHeading">
    <w:name w:val="Table Heading"/>
    <w:basedOn w:val="TableContents"/>
    <w:pPr>
      <w:jc w:val="center"/>
    </w:pPr>
    <w:rPr>
      <w:b/>
      <w:bCs/>
    </w:rPr>
  </w:style>
  <w:style w:type="paragraph" w:styleId="30">
    <w:name w:val="toc 3"/>
    <w:basedOn w:val="Index"/>
    <w:pPr>
      <w:tabs>
        <w:tab w:val="right" w:leader="dot" w:pos="9072"/>
      </w:tabs>
      <w:ind w:left="566"/>
    </w:pPr>
  </w:style>
  <w:style w:type="paragraph" w:styleId="40">
    <w:name w:val="toc 4"/>
    <w:basedOn w:val="Index"/>
    <w:pPr>
      <w:tabs>
        <w:tab w:val="right" w:leader="dot" w:pos="8789"/>
      </w:tabs>
      <w:ind w:left="849"/>
    </w:pPr>
  </w:style>
  <w:style w:type="paragraph" w:styleId="50">
    <w:name w:val="toc 5"/>
    <w:basedOn w:val="Index"/>
    <w:pPr>
      <w:tabs>
        <w:tab w:val="right" w:leader="dot" w:pos="8506"/>
      </w:tabs>
      <w:ind w:left="1132"/>
    </w:pPr>
  </w:style>
  <w:style w:type="paragraph" w:styleId="6">
    <w:name w:val="toc 6"/>
    <w:basedOn w:val="Index"/>
    <w:pPr>
      <w:tabs>
        <w:tab w:val="right" w:leader="dot" w:pos="8223"/>
      </w:tabs>
      <w:ind w:left="1415"/>
    </w:pPr>
  </w:style>
  <w:style w:type="paragraph" w:styleId="7">
    <w:name w:val="toc 7"/>
    <w:basedOn w:val="Index"/>
    <w:pPr>
      <w:tabs>
        <w:tab w:val="right" w:leader="dot" w:pos="7940"/>
      </w:tabs>
      <w:ind w:left="1698"/>
    </w:pPr>
  </w:style>
  <w:style w:type="paragraph" w:styleId="8">
    <w:name w:val="toc 8"/>
    <w:basedOn w:val="Index"/>
    <w:pPr>
      <w:tabs>
        <w:tab w:val="right" w:leader="dot" w:pos="7657"/>
      </w:tabs>
      <w:ind w:left="1981"/>
    </w:pPr>
  </w:style>
  <w:style w:type="paragraph" w:styleId="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Framecontents">
    <w:name w:val="Frame contents"/>
    <w:basedOn w:val="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240"/>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image" Target="media/image1.png"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5" Type="http://schemas.openxmlformats.org/officeDocument/2006/relationships/footer" Target="footer4.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image" Target="media/image10.png" /></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2399</Words>
  <Characters>13675</Characters>
  <Application>Microsoft Office Word</Application>
  <DocSecurity>0</DocSecurity>
  <Lines>113</Lines>
  <Paragraphs>32</Paragraphs>
  <ScaleCrop>false</ScaleCrop>
  <Company/>
  <LinksUpToDate>false</LinksUpToDate>
  <CharactersWithSpaces>16042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viktoriqadalbertova85@gmail.com</cp:lastModifiedBy>
  <cp:revision>2</cp:revision>
  <cp:lastPrinted>1900-01-01T00:00:00Z</cp:lastPrinted>
  <dcterms:created xsi:type="dcterms:W3CDTF">2019-12-10T01:24:00Z</dcterms:created>
  <dcterms:modified xsi:type="dcterms:W3CDTF">2019-12-10T01:24:00Z</dcterms:modified>
</cp:coreProperties>
</file>