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844FD" w14:textId="77777777" w:rsidR="00681670" w:rsidRDefault="00681670">
      <w:pPr>
        <w:spacing w:after="200" w:line="360" w:lineRule="auto"/>
        <w:jc w:val="both"/>
      </w:pPr>
    </w:p>
    <w:p w14:paraId="1EAD7B67" w14:textId="77777777" w:rsidR="00681670" w:rsidRDefault="00681670">
      <w:pPr>
        <w:spacing w:after="200" w:line="360" w:lineRule="auto"/>
        <w:jc w:val="both"/>
      </w:pPr>
    </w:p>
    <w:p w14:paraId="46E5B722" w14:textId="77777777" w:rsidR="00681670" w:rsidRDefault="00681670">
      <w:pPr>
        <w:spacing w:after="200" w:line="360" w:lineRule="auto"/>
        <w:jc w:val="both"/>
      </w:pPr>
    </w:p>
    <w:p w14:paraId="63D4DB4D" w14:textId="77777777" w:rsidR="00681670" w:rsidRDefault="00681670">
      <w:pPr>
        <w:spacing w:after="200" w:line="360" w:lineRule="auto"/>
        <w:jc w:val="both"/>
      </w:pPr>
    </w:p>
    <w:p w14:paraId="649BD2B8" w14:textId="77777777" w:rsidR="00681670" w:rsidRDefault="00681670">
      <w:pPr>
        <w:spacing w:after="200" w:line="360" w:lineRule="auto"/>
        <w:jc w:val="both"/>
      </w:pPr>
    </w:p>
    <w:p w14:paraId="67678453" w14:textId="0297AC93" w:rsidR="00C97D3F" w:rsidRDefault="00681670" w:rsidP="00C97D3F">
      <w:pPr>
        <w:pBdr>
          <w:bottom w:val="single" w:sz="4" w:space="1" w:color="auto"/>
        </w:pBdr>
        <w:spacing w:after="200" w:line="360" w:lineRule="auto"/>
        <w:jc w:val="center"/>
        <w:rPr>
          <w:rFonts w:ascii="Times New Roman" w:hAnsi="Times New Roman" w:cs="Times New Roman"/>
          <w:b/>
          <w:bCs/>
          <w:i/>
          <w:iCs/>
          <w:sz w:val="52"/>
          <w:szCs w:val="52"/>
        </w:rPr>
      </w:pPr>
      <w:r w:rsidRPr="00681670">
        <w:rPr>
          <w:rFonts w:ascii="Times New Roman" w:hAnsi="Times New Roman" w:cs="Times New Roman"/>
          <w:b/>
          <w:bCs/>
          <w:i/>
          <w:iCs/>
          <w:sz w:val="52"/>
          <w:szCs w:val="52"/>
        </w:rPr>
        <w:t>Principles of Marketing</w:t>
      </w:r>
    </w:p>
    <w:p w14:paraId="0C464876" w14:textId="77777777" w:rsidR="00C97D3F" w:rsidRDefault="00C97D3F" w:rsidP="00C97D3F">
      <w:pPr>
        <w:pBdr>
          <w:bottom w:val="single" w:sz="4" w:space="1" w:color="auto"/>
        </w:pBdr>
        <w:spacing w:after="200" w:line="360" w:lineRule="auto"/>
        <w:jc w:val="center"/>
        <w:rPr>
          <w:rFonts w:ascii="Times New Roman" w:hAnsi="Times New Roman" w:cs="Times New Roman"/>
          <w:b/>
          <w:bCs/>
          <w:i/>
          <w:iCs/>
          <w:sz w:val="52"/>
          <w:szCs w:val="52"/>
        </w:rPr>
      </w:pPr>
    </w:p>
    <w:p w14:paraId="76CA7847" w14:textId="2CE6D2BB" w:rsidR="00C97D3F" w:rsidRPr="00F61D12" w:rsidRDefault="00C97D3F" w:rsidP="00C97D3F">
      <w:pPr>
        <w:pBdr>
          <w:bottom w:val="single" w:sz="4" w:space="1" w:color="auto"/>
        </w:pBdr>
        <w:spacing w:after="200" w:line="360" w:lineRule="auto"/>
        <w:jc w:val="center"/>
        <w:rPr>
          <w:rFonts w:ascii="Times New Roman" w:hAnsi="Times New Roman" w:cs="Times New Roman"/>
          <w:b/>
          <w:bCs/>
          <w:sz w:val="32"/>
          <w:szCs w:val="32"/>
        </w:rPr>
      </w:pPr>
      <w:r w:rsidRPr="00F61D12">
        <w:rPr>
          <w:rFonts w:ascii="Times New Roman" w:hAnsi="Times New Roman" w:cs="Times New Roman"/>
          <w:b/>
          <w:bCs/>
          <w:sz w:val="32"/>
          <w:szCs w:val="32"/>
        </w:rPr>
        <w:t xml:space="preserve">Student name: </w:t>
      </w:r>
      <w:r w:rsidRPr="00F61D12">
        <w:rPr>
          <w:rFonts w:ascii="Times New Roman" w:hAnsi="Times New Roman" w:cs="Times New Roman"/>
          <w:sz w:val="32"/>
          <w:szCs w:val="32"/>
        </w:rPr>
        <w:t>Ionut-Dragos Lisaru</w:t>
      </w:r>
    </w:p>
    <w:p w14:paraId="65EE12EC" w14:textId="06DC0C08" w:rsidR="006810F7" w:rsidRPr="00C97D3F" w:rsidRDefault="006810F7" w:rsidP="00681670">
      <w:pPr>
        <w:pBdr>
          <w:bottom w:val="single" w:sz="4" w:space="1" w:color="auto"/>
        </w:pBdr>
        <w:spacing w:after="200" w:line="360" w:lineRule="auto"/>
        <w:jc w:val="center"/>
        <w:rPr>
          <w:rFonts w:ascii="Times New Roman" w:hAnsi="Times New Roman" w:cs="Times New Roman"/>
          <w:bCs/>
          <w:iCs/>
          <w:sz w:val="32"/>
          <w:szCs w:val="32"/>
        </w:rPr>
      </w:pPr>
      <w:r w:rsidRPr="00C97D3F">
        <w:rPr>
          <w:rFonts w:ascii="Times New Roman" w:hAnsi="Times New Roman" w:cs="Times New Roman"/>
          <w:b/>
          <w:iCs/>
          <w:sz w:val="32"/>
          <w:szCs w:val="32"/>
        </w:rPr>
        <w:t>Student ID</w:t>
      </w:r>
      <w:r w:rsidRPr="00C97D3F">
        <w:rPr>
          <w:rFonts w:ascii="Times New Roman" w:hAnsi="Times New Roman" w:cs="Times New Roman"/>
          <w:bCs/>
          <w:iCs/>
          <w:sz w:val="32"/>
          <w:szCs w:val="32"/>
        </w:rPr>
        <w:t>:</w:t>
      </w:r>
      <w:r w:rsidR="00C97D3F" w:rsidRPr="00C97D3F">
        <w:rPr>
          <w:rFonts w:ascii="Times New Roman" w:hAnsi="Times New Roman" w:cs="Times New Roman"/>
          <w:bCs/>
          <w:iCs/>
          <w:sz w:val="32"/>
          <w:szCs w:val="32"/>
        </w:rPr>
        <w:t xml:space="preserve"> 2315590</w:t>
      </w:r>
      <w:r w:rsidRPr="00C97D3F">
        <w:rPr>
          <w:rFonts w:ascii="Times New Roman" w:hAnsi="Times New Roman" w:cs="Times New Roman"/>
          <w:bCs/>
          <w:iCs/>
          <w:sz w:val="32"/>
          <w:szCs w:val="32"/>
        </w:rPr>
        <w:br/>
      </w:r>
      <w:r w:rsidRPr="00C97D3F">
        <w:rPr>
          <w:rFonts w:ascii="Times New Roman" w:hAnsi="Times New Roman" w:cs="Times New Roman"/>
          <w:b/>
          <w:iCs/>
          <w:sz w:val="32"/>
          <w:szCs w:val="32"/>
        </w:rPr>
        <w:t>Word count:</w:t>
      </w:r>
      <w:r w:rsidRPr="00C97D3F">
        <w:rPr>
          <w:rFonts w:ascii="Times New Roman" w:hAnsi="Times New Roman" w:cs="Times New Roman"/>
          <w:bCs/>
          <w:iCs/>
          <w:sz w:val="32"/>
          <w:szCs w:val="32"/>
        </w:rPr>
        <w:t xml:space="preserve"> 1000</w:t>
      </w:r>
    </w:p>
    <w:p w14:paraId="3B1FB204" w14:textId="3700880E" w:rsidR="00953085" w:rsidRPr="00681670" w:rsidRDefault="006810F7" w:rsidP="00681670">
      <w:pPr>
        <w:pBdr>
          <w:bottom w:val="single" w:sz="4" w:space="1" w:color="auto"/>
        </w:pBdr>
        <w:spacing w:after="200" w:line="360" w:lineRule="auto"/>
        <w:jc w:val="center"/>
        <w:rPr>
          <w:rFonts w:ascii="Times New Roman" w:eastAsia="Times New Roman" w:hAnsi="Times New Roman" w:cs="Times New Roman"/>
          <w:b/>
          <w:bCs/>
          <w:i/>
          <w:iCs/>
          <w:sz w:val="24"/>
          <w:szCs w:val="24"/>
        </w:rPr>
      </w:pPr>
      <w:r w:rsidRPr="00C97D3F">
        <w:rPr>
          <w:rFonts w:ascii="Times New Roman" w:hAnsi="Times New Roman" w:cs="Times New Roman"/>
          <w:b/>
          <w:iCs/>
          <w:sz w:val="32"/>
          <w:szCs w:val="32"/>
        </w:rPr>
        <w:t>Date of submission:</w:t>
      </w:r>
      <w:r w:rsidR="00C97D3F" w:rsidRPr="00C97D3F">
        <w:rPr>
          <w:rFonts w:ascii="Times New Roman" w:hAnsi="Times New Roman" w:cs="Times New Roman"/>
          <w:b/>
          <w:bCs/>
          <w:iCs/>
          <w:sz w:val="32"/>
          <w:szCs w:val="32"/>
        </w:rPr>
        <w:t xml:space="preserve"> </w:t>
      </w:r>
      <w:r w:rsidR="00C97D3F" w:rsidRPr="00C97D3F">
        <w:rPr>
          <w:rFonts w:ascii="Times New Roman" w:hAnsi="Times New Roman" w:cs="Times New Roman"/>
          <w:iCs/>
          <w:sz w:val="32"/>
          <w:szCs w:val="32"/>
        </w:rPr>
        <w:t>15/11/2025</w:t>
      </w:r>
      <w:r w:rsidR="00681670" w:rsidRPr="00681670">
        <w:rPr>
          <w:rFonts w:ascii="Times New Roman" w:hAnsi="Times New Roman" w:cs="Times New Roman"/>
          <w:b/>
          <w:bCs/>
          <w:i/>
          <w:iCs/>
        </w:rPr>
        <w:br w:type="page"/>
      </w:r>
    </w:p>
    <w:sdt>
      <w:sdtPr>
        <w:rPr>
          <w:rFonts w:ascii="Times New Roman" w:eastAsia="Arial" w:hAnsi="Times New Roman" w:cs="Times New Roman"/>
          <w:b/>
          <w:bCs/>
          <w:color w:val="auto"/>
          <w:sz w:val="24"/>
          <w:szCs w:val="24"/>
          <w:lang w:val="en-GB" w:eastAsia="en-IN"/>
        </w:rPr>
        <w:id w:val="554818564"/>
        <w:docPartObj>
          <w:docPartGallery w:val="Table of Contents"/>
          <w:docPartUnique/>
        </w:docPartObj>
      </w:sdtPr>
      <w:sdtEndPr>
        <w:rPr>
          <w:b w:val="0"/>
          <w:bCs w:val="0"/>
          <w:noProof/>
        </w:rPr>
      </w:sdtEndPr>
      <w:sdtContent>
        <w:p w14:paraId="57E8DA78" w14:textId="622DC26E" w:rsidR="00681670" w:rsidRPr="00681670" w:rsidRDefault="00681670" w:rsidP="00681670">
          <w:pPr>
            <w:pStyle w:val="TOCHeading"/>
            <w:spacing w:after="240" w:line="360" w:lineRule="auto"/>
            <w:jc w:val="center"/>
            <w:rPr>
              <w:rFonts w:ascii="Times New Roman" w:hAnsi="Times New Roman" w:cs="Times New Roman"/>
              <w:b/>
              <w:bCs/>
              <w:color w:val="auto"/>
              <w:sz w:val="24"/>
              <w:szCs w:val="24"/>
            </w:rPr>
          </w:pPr>
          <w:r w:rsidRPr="00681670">
            <w:rPr>
              <w:rFonts w:ascii="Times New Roman" w:hAnsi="Times New Roman" w:cs="Times New Roman"/>
              <w:b/>
              <w:bCs/>
              <w:color w:val="auto"/>
              <w:sz w:val="24"/>
              <w:szCs w:val="24"/>
            </w:rPr>
            <w:t>Table of Contents</w:t>
          </w:r>
        </w:p>
        <w:p w14:paraId="650DA2A0" w14:textId="2DE0B5C7" w:rsidR="00C97D3F" w:rsidRPr="00C97D3F" w:rsidRDefault="00681670" w:rsidP="00C97D3F">
          <w:pPr>
            <w:pStyle w:val="TOC1"/>
            <w:rPr>
              <w:rFonts w:asciiTheme="minorHAnsi" w:eastAsiaTheme="minorEastAsia" w:hAnsiTheme="minorHAnsi" w:cstheme="minorBidi"/>
              <w:b/>
              <w:bCs/>
              <w:noProof/>
              <w:kern w:val="2"/>
              <w:sz w:val="24"/>
              <w:szCs w:val="24"/>
              <w:lang w:eastAsia="en-GB"/>
              <w14:ligatures w14:val="standardContextual"/>
            </w:rPr>
          </w:pPr>
          <w:r w:rsidRPr="00C97D3F">
            <w:rPr>
              <w:rFonts w:ascii="Times New Roman" w:hAnsi="Times New Roman" w:cs="Times New Roman"/>
              <w:sz w:val="24"/>
              <w:szCs w:val="24"/>
            </w:rPr>
            <w:fldChar w:fldCharType="begin"/>
          </w:r>
          <w:r w:rsidRPr="00C97D3F">
            <w:rPr>
              <w:rFonts w:ascii="Times New Roman" w:hAnsi="Times New Roman" w:cs="Times New Roman"/>
              <w:sz w:val="24"/>
              <w:szCs w:val="24"/>
            </w:rPr>
            <w:instrText xml:space="preserve"> TOC \o "1-3" \h \z \u </w:instrText>
          </w:r>
          <w:r w:rsidRPr="00C97D3F">
            <w:rPr>
              <w:rFonts w:ascii="Times New Roman" w:hAnsi="Times New Roman" w:cs="Times New Roman"/>
              <w:sz w:val="24"/>
              <w:szCs w:val="24"/>
            </w:rPr>
            <w:fldChar w:fldCharType="separate"/>
          </w:r>
          <w:hyperlink w:anchor="_Toc214087389" w:history="1">
            <w:r w:rsidR="00C97D3F" w:rsidRPr="00C97D3F">
              <w:rPr>
                <w:rStyle w:val="Hyperlink"/>
                <w:b/>
                <w:bCs/>
                <w:noProof/>
              </w:rPr>
              <w:t>Introduction</w:t>
            </w:r>
            <w:r w:rsidR="00C97D3F" w:rsidRPr="00C97D3F">
              <w:rPr>
                <w:b/>
                <w:bCs/>
                <w:noProof/>
                <w:webHidden/>
              </w:rPr>
              <w:tab/>
            </w:r>
            <w:r w:rsidR="00C97D3F" w:rsidRPr="00C97D3F">
              <w:rPr>
                <w:b/>
                <w:bCs/>
                <w:noProof/>
                <w:webHidden/>
              </w:rPr>
              <w:fldChar w:fldCharType="begin"/>
            </w:r>
            <w:r w:rsidR="00C97D3F" w:rsidRPr="00C97D3F">
              <w:rPr>
                <w:b/>
                <w:bCs/>
                <w:noProof/>
                <w:webHidden/>
              </w:rPr>
              <w:instrText xml:space="preserve"> PAGEREF _Toc214087389 \h </w:instrText>
            </w:r>
            <w:r w:rsidR="00C97D3F" w:rsidRPr="00C97D3F">
              <w:rPr>
                <w:b/>
                <w:bCs/>
                <w:noProof/>
                <w:webHidden/>
              </w:rPr>
            </w:r>
            <w:r w:rsidR="00C97D3F" w:rsidRPr="00C97D3F">
              <w:rPr>
                <w:b/>
                <w:bCs/>
                <w:noProof/>
                <w:webHidden/>
              </w:rPr>
              <w:fldChar w:fldCharType="separate"/>
            </w:r>
            <w:r w:rsidR="00C97D3F" w:rsidRPr="00C97D3F">
              <w:rPr>
                <w:b/>
                <w:bCs/>
                <w:noProof/>
                <w:webHidden/>
              </w:rPr>
              <w:t>3</w:t>
            </w:r>
            <w:r w:rsidR="00C97D3F" w:rsidRPr="00C97D3F">
              <w:rPr>
                <w:b/>
                <w:bCs/>
                <w:noProof/>
                <w:webHidden/>
              </w:rPr>
              <w:fldChar w:fldCharType="end"/>
            </w:r>
          </w:hyperlink>
        </w:p>
        <w:p w14:paraId="5724CD35" w14:textId="4215E675" w:rsidR="00C97D3F" w:rsidRPr="00C97D3F" w:rsidRDefault="00C97D3F" w:rsidP="00C97D3F">
          <w:pPr>
            <w:pStyle w:val="TOC1"/>
            <w:rPr>
              <w:rFonts w:asciiTheme="minorHAnsi" w:eastAsiaTheme="minorEastAsia" w:hAnsiTheme="minorHAnsi" w:cstheme="minorBidi"/>
              <w:b/>
              <w:bCs/>
              <w:noProof/>
              <w:kern w:val="2"/>
              <w:sz w:val="24"/>
              <w:szCs w:val="24"/>
              <w:lang w:eastAsia="en-GB"/>
              <w14:ligatures w14:val="standardContextual"/>
            </w:rPr>
          </w:pPr>
          <w:hyperlink w:anchor="_Toc214087390" w:history="1">
            <w:r w:rsidRPr="00C97D3F">
              <w:rPr>
                <w:rStyle w:val="Hyperlink"/>
                <w:b/>
                <w:bCs/>
                <w:noProof/>
              </w:rPr>
              <w:t>PESTLE analysis</w:t>
            </w:r>
            <w:r w:rsidRPr="00C97D3F">
              <w:rPr>
                <w:b/>
                <w:bCs/>
                <w:noProof/>
                <w:webHidden/>
              </w:rPr>
              <w:tab/>
            </w:r>
            <w:r w:rsidRPr="00C97D3F">
              <w:rPr>
                <w:b/>
                <w:bCs/>
                <w:noProof/>
                <w:webHidden/>
              </w:rPr>
              <w:fldChar w:fldCharType="begin"/>
            </w:r>
            <w:r w:rsidRPr="00C97D3F">
              <w:rPr>
                <w:b/>
                <w:bCs/>
                <w:noProof/>
                <w:webHidden/>
              </w:rPr>
              <w:instrText xml:space="preserve"> PAGEREF _Toc214087390 \h </w:instrText>
            </w:r>
            <w:r w:rsidRPr="00C97D3F">
              <w:rPr>
                <w:b/>
                <w:bCs/>
                <w:noProof/>
                <w:webHidden/>
              </w:rPr>
            </w:r>
            <w:r w:rsidRPr="00C97D3F">
              <w:rPr>
                <w:b/>
                <w:bCs/>
                <w:noProof/>
                <w:webHidden/>
              </w:rPr>
              <w:fldChar w:fldCharType="separate"/>
            </w:r>
            <w:r w:rsidRPr="00C97D3F">
              <w:rPr>
                <w:b/>
                <w:bCs/>
                <w:noProof/>
                <w:webHidden/>
              </w:rPr>
              <w:t>3</w:t>
            </w:r>
            <w:r w:rsidRPr="00C97D3F">
              <w:rPr>
                <w:b/>
                <w:bCs/>
                <w:noProof/>
                <w:webHidden/>
              </w:rPr>
              <w:fldChar w:fldCharType="end"/>
            </w:r>
          </w:hyperlink>
        </w:p>
        <w:p w14:paraId="39E15879" w14:textId="221C15B5" w:rsidR="00C97D3F" w:rsidRPr="00C97D3F" w:rsidRDefault="00C97D3F" w:rsidP="00C97D3F">
          <w:pPr>
            <w:pStyle w:val="TOC1"/>
            <w:rPr>
              <w:rFonts w:asciiTheme="minorHAnsi" w:eastAsiaTheme="minorEastAsia" w:hAnsiTheme="minorHAnsi" w:cstheme="minorBidi"/>
              <w:b/>
              <w:bCs/>
              <w:noProof/>
              <w:kern w:val="2"/>
              <w:sz w:val="24"/>
              <w:szCs w:val="24"/>
              <w:lang w:eastAsia="en-GB"/>
              <w14:ligatures w14:val="standardContextual"/>
            </w:rPr>
          </w:pPr>
          <w:hyperlink w:anchor="_Toc214087391" w:history="1">
            <w:r w:rsidRPr="00C97D3F">
              <w:rPr>
                <w:rStyle w:val="Hyperlink"/>
                <w:b/>
                <w:bCs/>
                <w:noProof/>
              </w:rPr>
              <w:t>Critical evaluation</w:t>
            </w:r>
            <w:r w:rsidRPr="00C97D3F">
              <w:rPr>
                <w:b/>
                <w:bCs/>
                <w:noProof/>
                <w:webHidden/>
              </w:rPr>
              <w:tab/>
            </w:r>
            <w:r w:rsidRPr="00C97D3F">
              <w:rPr>
                <w:b/>
                <w:bCs/>
                <w:noProof/>
                <w:webHidden/>
              </w:rPr>
              <w:fldChar w:fldCharType="begin"/>
            </w:r>
            <w:r w:rsidRPr="00C97D3F">
              <w:rPr>
                <w:b/>
                <w:bCs/>
                <w:noProof/>
                <w:webHidden/>
              </w:rPr>
              <w:instrText xml:space="preserve"> PAGEREF _Toc214087391 \h </w:instrText>
            </w:r>
            <w:r w:rsidRPr="00C97D3F">
              <w:rPr>
                <w:b/>
                <w:bCs/>
                <w:noProof/>
                <w:webHidden/>
              </w:rPr>
            </w:r>
            <w:r w:rsidRPr="00C97D3F">
              <w:rPr>
                <w:b/>
                <w:bCs/>
                <w:noProof/>
                <w:webHidden/>
              </w:rPr>
              <w:fldChar w:fldCharType="separate"/>
            </w:r>
            <w:r w:rsidRPr="00C97D3F">
              <w:rPr>
                <w:b/>
                <w:bCs/>
                <w:noProof/>
                <w:webHidden/>
              </w:rPr>
              <w:t>5</w:t>
            </w:r>
            <w:r w:rsidRPr="00C97D3F">
              <w:rPr>
                <w:b/>
                <w:bCs/>
                <w:noProof/>
                <w:webHidden/>
              </w:rPr>
              <w:fldChar w:fldCharType="end"/>
            </w:r>
          </w:hyperlink>
        </w:p>
        <w:p w14:paraId="150BFB38" w14:textId="14F0591F" w:rsidR="00C97D3F" w:rsidRPr="00C97D3F" w:rsidRDefault="00C97D3F" w:rsidP="00C97D3F">
          <w:pPr>
            <w:pStyle w:val="TOC1"/>
            <w:rPr>
              <w:rFonts w:asciiTheme="minorHAnsi" w:eastAsiaTheme="minorEastAsia" w:hAnsiTheme="minorHAnsi" w:cstheme="minorBidi"/>
              <w:b/>
              <w:bCs/>
              <w:noProof/>
              <w:kern w:val="2"/>
              <w:sz w:val="24"/>
              <w:szCs w:val="24"/>
              <w:lang w:eastAsia="en-GB"/>
              <w14:ligatures w14:val="standardContextual"/>
            </w:rPr>
          </w:pPr>
          <w:hyperlink w:anchor="_Toc214087392" w:history="1">
            <w:r w:rsidRPr="00C97D3F">
              <w:rPr>
                <w:rStyle w:val="Hyperlink"/>
                <w:b/>
                <w:bCs/>
                <w:noProof/>
              </w:rPr>
              <w:t>Conclusion and Recommendation</w:t>
            </w:r>
            <w:r w:rsidRPr="00C97D3F">
              <w:rPr>
                <w:b/>
                <w:bCs/>
                <w:noProof/>
                <w:webHidden/>
              </w:rPr>
              <w:tab/>
            </w:r>
            <w:r w:rsidRPr="00C97D3F">
              <w:rPr>
                <w:b/>
                <w:bCs/>
                <w:noProof/>
                <w:webHidden/>
              </w:rPr>
              <w:fldChar w:fldCharType="begin"/>
            </w:r>
            <w:r w:rsidRPr="00C97D3F">
              <w:rPr>
                <w:b/>
                <w:bCs/>
                <w:noProof/>
                <w:webHidden/>
              </w:rPr>
              <w:instrText xml:space="preserve"> PAGEREF _Toc214087392 \h </w:instrText>
            </w:r>
            <w:r w:rsidRPr="00C97D3F">
              <w:rPr>
                <w:b/>
                <w:bCs/>
                <w:noProof/>
                <w:webHidden/>
              </w:rPr>
            </w:r>
            <w:r w:rsidRPr="00C97D3F">
              <w:rPr>
                <w:b/>
                <w:bCs/>
                <w:noProof/>
                <w:webHidden/>
              </w:rPr>
              <w:fldChar w:fldCharType="separate"/>
            </w:r>
            <w:r w:rsidRPr="00C97D3F">
              <w:rPr>
                <w:b/>
                <w:bCs/>
                <w:noProof/>
                <w:webHidden/>
              </w:rPr>
              <w:t>6</w:t>
            </w:r>
            <w:r w:rsidRPr="00C97D3F">
              <w:rPr>
                <w:b/>
                <w:bCs/>
                <w:noProof/>
                <w:webHidden/>
              </w:rPr>
              <w:fldChar w:fldCharType="end"/>
            </w:r>
          </w:hyperlink>
        </w:p>
        <w:p w14:paraId="07B13DFB" w14:textId="4BD18A44" w:rsidR="00C97D3F" w:rsidRPr="00C97D3F" w:rsidRDefault="00C97D3F" w:rsidP="00C97D3F">
          <w:pPr>
            <w:pStyle w:val="TOC1"/>
            <w:rPr>
              <w:rFonts w:asciiTheme="minorHAnsi" w:eastAsiaTheme="minorEastAsia" w:hAnsiTheme="minorHAnsi" w:cstheme="minorBidi"/>
              <w:b/>
              <w:bCs/>
              <w:noProof/>
              <w:kern w:val="2"/>
              <w:sz w:val="24"/>
              <w:szCs w:val="24"/>
              <w:lang w:eastAsia="en-GB"/>
              <w14:ligatures w14:val="standardContextual"/>
            </w:rPr>
          </w:pPr>
          <w:hyperlink w:anchor="_Toc214087393" w:history="1">
            <w:r w:rsidRPr="00C97D3F">
              <w:rPr>
                <w:rStyle w:val="Hyperlink"/>
                <w:b/>
                <w:bCs/>
                <w:noProof/>
              </w:rPr>
              <w:t>Reference</w:t>
            </w:r>
            <w:r w:rsidRPr="00C97D3F">
              <w:rPr>
                <w:b/>
                <w:bCs/>
                <w:noProof/>
                <w:webHidden/>
              </w:rPr>
              <w:tab/>
            </w:r>
            <w:r w:rsidRPr="00C97D3F">
              <w:rPr>
                <w:b/>
                <w:bCs/>
                <w:noProof/>
                <w:webHidden/>
              </w:rPr>
              <w:fldChar w:fldCharType="begin"/>
            </w:r>
            <w:r w:rsidRPr="00C97D3F">
              <w:rPr>
                <w:b/>
                <w:bCs/>
                <w:noProof/>
                <w:webHidden/>
              </w:rPr>
              <w:instrText xml:space="preserve"> PAGEREF _Toc214087393 \h </w:instrText>
            </w:r>
            <w:r w:rsidRPr="00C97D3F">
              <w:rPr>
                <w:b/>
                <w:bCs/>
                <w:noProof/>
                <w:webHidden/>
              </w:rPr>
            </w:r>
            <w:r w:rsidRPr="00C97D3F">
              <w:rPr>
                <w:b/>
                <w:bCs/>
                <w:noProof/>
                <w:webHidden/>
              </w:rPr>
              <w:fldChar w:fldCharType="separate"/>
            </w:r>
            <w:r w:rsidRPr="00C97D3F">
              <w:rPr>
                <w:b/>
                <w:bCs/>
                <w:noProof/>
                <w:webHidden/>
              </w:rPr>
              <w:t>7</w:t>
            </w:r>
            <w:r w:rsidRPr="00C97D3F">
              <w:rPr>
                <w:b/>
                <w:bCs/>
                <w:noProof/>
                <w:webHidden/>
              </w:rPr>
              <w:fldChar w:fldCharType="end"/>
            </w:r>
          </w:hyperlink>
        </w:p>
        <w:p w14:paraId="1B121F43" w14:textId="35A38739" w:rsidR="00681670" w:rsidRPr="00681670" w:rsidRDefault="00681670" w:rsidP="00681670">
          <w:pPr>
            <w:spacing w:after="240" w:line="360" w:lineRule="auto"/>
            <w:jc w:val="center"/>
            <w:rPr>
              <w:rFonts w:ascii="Times New Roman" w:hAnsi="Times New Roman" w:cs="Times New Roman"/>
              <w:b/>
              <w:bCs/>
              <w:sz w:val="24"/>
              <w:szCs w:val="24"/>
            </w:rPr>
          </w:pPr>
          <w:r w:rsidRPr="00C97D3F">
            <w:rPr>
              <w:rFonts w:ascii="Times New Roman" w:hAnsi="Times New Roman" w:cs="Times New Roman"/>
              <w:noProof/>
              <w:sz w:val="24"/>
              <w:szCs w:val="24"/>
            </w:rPr>
            <w:fldChar w:fldCharType="end"/>
          </w:r>
        </w:p>
      </w:sdtContent>
    </w:sdt>
    <w:p w14:paraId="0BC62C01" w14:textId="77777777" w:rsidR="00681670" w:rsidRDefault="0068167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9FD223D" w14:textId="278A9D6D" w:rsidR="00953085" w:rsidRDefault="000D5B7C" w:rsidP="00681670">
      <w:pPr>
        <w:pStyle w:val="Heading1"/>
      </w:pPr>
      <w:bookmarkStart w:id="0" w:name="_Toc214087389"/>
      <w:r w:rsidRPr="00681670">
        <w:lastRenderedPageBreak/>
        <w:t>Introduction</w:t>
      </w:r>
      <w:bookmarkEnd w:id="0"/>
    </w:p>
    <w:p w14:paraId="0F174F63" w14:textId="525C49AB"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is one of the multinational consumer goods organisations having a prominent operational as well as market presence in the UK (Unilever, 2025a). The personal care division of the organisation includes brands such as </w:t>
      </w:r>
      <w:proofErr w:type="spellStart"/>
      <w:r>
        <w:rPr>
          <w:rFonts w:ascii="Times New Roman" w:eastAsia="Times New Roman" w:hAnsi="Times New Roman" w:cs="Times New Roman"/>
          <w:sz w:val="24"/>
          <w:szCs w:val="24"/>
        </w:rPr>
        <w:t>Tresemme</w:t>
      </w:r>
      <w:proofErr w:type="spellEnd"/>
      <w:r>
        <w:rPr>
          <w:rFonts w:ascii="Times New Roman" w:eastAsia="Times New Roman" w:hAnsi="Times New Roman" w:cs="Times New Roman"/>
          <w:sz w:val="24"/>
          <w:szCs w:val="24"/>
        </w:rPr>
        <w:t xml:space="preserve">, Vaseline and Dove. The company has a strong share in the market for skin care and UK toilets (Unilever, 2023). The main purpose of the report is to analyse the external environmental factors that influence the personal care brand of Unilever with a particular focus on Dove. Application of PESTLE framework has enabled a structured evaluation of political, economic, social, technological as well as legal and environmental factors that shape strategic marketing decisions. For consumer goods companies operating in the competitive and mature market, external conditions play a critical role to shape product positioning, sustainability commitment, rising decision and communication strategies. </w:t>
      </w:r>
    </w:p>
    <w:p w14:paraId="0C4D388C" w14:textId="77777777" w:rsidR="00953085" w:rsidRDefault="000D5B7C" w:rsidP="00681670">
      <w:pPr>
        <w:pStyle w:val="Heading1"/>
      </w:pPr>
      <w:bookmarkStart w:id="1" w:name="_Toc214087390"/>
      <w:r>
        <w:t>PESTLE analysis</w:t>
      </w:r>
      <w:bookmarkEnd w:id="1"/>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7485"/>
      </w:tblGrid>
      <w:tr w:rsidR="00953085" w14:paraId="5C8A6743" w14:textId="77777777">
        <w:tc>
          <w:tcPr>
            <w:tcW w:w="1875" w:type="dxa"/>
            <w:shd w:val="clear" w:color="auto" w:fill="6FA8DC"/>
            <w:tcMar>
              <w:top w:w="100" w:type="dxa"/>
              <w:left w:w="100" w:type="dxa"/>
              <w:bottom w:w="100" w:type="dxa"/>
              <w:right w:w="100" w:type="dxa"/>
            </w:tcMar>
          </w:tcPr>
          <w:p w14:paraId="097F1374" w14:textId="77777777" w:rsidR="00953085" w:rsidRDefault="000D5B7C">
            <w:pPr>
              <w:widowControl w:val="0"/>
              <w:pBdr>
                <w:top w:val="nil"/>
                <w:left w:val="nil"/>
                <w:bottom w:val="nil"/>
                <w:right w:val="nil"/>
                <w:between w:val="nil"/>
              </w:pBd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7485" w:type="dxa"/>
            <w:shd w:val="clear" w:color="auto" w:fill="6FA8DC"/>
            <w:tcMar>
              <w:top w:w="100" w:type="dxa"/>
              <w:left w:w="100" w:type="dxa"/>
              <w:bottom w:w="100" w:type="dxa"/>
              <w:right w:w="100" w:type="dxa"/>
            </w:tcMar>
          </w:tcPr>
          <w:p w14:paraId="6B19EC48" w14:textId="77777777" w:rsidR="00953085" w:rsidRDefault="000D5B7C">
            <w:pPr>
              <w:widowControl w:val="0"/>
              <w:pBdr>
                <w:top w:val="nil"/>
                <w:left w:val="nil"/>
                <w:bottom w:val="nil"/>
                <w:right w:val="nil"/>
                <w:between w:val="nil"/>
              </w:pBd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Impact and analysis </w:t>
            </w:r>
          </w:p>
        </w:tc>
      </w:tr>
      <w:tr w:rsidR="00953085" w14:paraId="12F7B741" w14:textId="77777777">
        <w:tc>
          <w:tcPr>
            <w:tcW w:w="1875" w:type="dxa"/>
            <w:tcMar>
              <w:top w:w="100" w:type="dxa"/>
              <w:left w:w="100" w:type="dxa"/>
              <w:bottom w:w="100" w:type="dxa"/>
              <w:right w:w="100" w:type="dxa"/>
            </w:tcMar>
          </w:tcPr>
          <w:p w14:paraId="44A85EC4"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w:t>
            </w:r>
          </w:p>
        </w:tc>
        <w:tc>
          <w:tcPr>
            <w:tcW w:w="7485" w:type="dxa"/>
            <w:tcMar>
              <w:top w:w="100" w:type="dxa"/>
              <w:left w:w="100" w:type="dxa"/>
              <w:bottom w:w="100" w:type="dxa"/>
              <w:right w:w="100" w:type="dxa"/>
            </w:tcMar>
          </w:tcPr>
          <w:p w14:paraId="0A484E7D"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sustainability commitment as well as regulatory understanding has influenced the operation and marketing strategies of Unilever in the UK (Unilever, 2025b). National alignment with the net-zero object has enhanced the expectations for carbon reduction as well as responsible procurement practices in the supply chain of consumer goods. The marketing of Dove needs to highlight verifiable sustainability outcomes rather than any aspirational claim for maintaining legitimacy. In addition, the trade policies after Brexit have contributed to fluctuating import costs for raw materials including surfactants and oils (Graziano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It has eventually increased supply side cost issues, and needs a pricing strategy that balances inflation related pressure with affordability from the consumers. </w:t>
            </w:r>
          </w:p>
        </w:tc>
      </w:tr>
      <w:tr w:rsidR="00953085" w14:paraId="59AD6721" w14:textId="77777777">
        <w:tc>
          <w:tcPr>
            <w:tcW w:w="1875" w:type="dxa"/>
            <w:tcMar>
              <w:top w:w="100" w:type="dxa"/>
              <w:left w:w="100" w:type="dxa"/>
              <w:bottom w:w="100" w:type="dxa"/>
              <w:right w:w="100" w:type="dxa"/>
            </w:tcMar>
          </w:tcPr>
          <w:p w14:paraId="443DE1AD"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w:t>
            </w:r>
          </w:p>
        </w:tc>
        <w:tc>
          <w:tcPr>
            <w:tcW w:w="7485" w:type="dxa"/>
            <w:tcMar>
              <w:top w:w="100" w:type="dxa"/>
              <w:left w:w="100" w:type="dxa"/>
              <w:bottom w:w="100" w:type="dxa"/>
              <w:right w:w="100" w:type="dxa"/>
            </w:tcMar>
          </w:tcPr>
          <w:p w14:paraId="15077202" w14:textId="155F9B1A"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macroeconomic conditions, specially inflation as well as cost of living crisis has impacted on consumer purchasing behaviour (</w:t>
            </w:r>
            <w:proofErr w:type="spellStart"/>
            <w:r>
              <w:rPr>
                <w:rFonts w:ascii="Times New Roman" w:eastAsia="Times New Roman" w:hAnsi="Times New Roman" w:cs="Times New Roman"/>
                <w:sz w:val="24"/>
                <w:szCs w:val="24"/>
              </w:rPr>
              <w:t>Pannuti</w:t>
            </w:r>
            <w:proofErr w:type="spellEnd"/>
            <w:r>
              <w:rPr>
                <w:rFonts w:ascii="Times New Roman" w:eastAsia="Times New Roman" w:hAnsi="Times New Roman" w:cs="Times New Roman"/>
                <w:sz w:val="24"/>
                <w:szCs w:val="24"/>
              </w:rPr>
              <w:t xml:space="preserve">, 2022). The increasing expenditure of household limitations have increased demand for </w:t>
            </w:r>
            <w:r>
              <w:rPr>
                <w:rFonts w:ascii="Times New Roman" w:eastAsia="Times New Roman" w:hAnsi="Times New Roman" w:cs="Times New Roman"/>
                <w:sz w:val="24"/>
                <w:szCs w:val="24"/>
              </w:rPr>
              <w:lastRenderedPageBreak/>
              <w:t>a value</w:t>
            </w:r>
            <w:r w:rsidR="0068167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based product choice. It has encouraged price sensitivity in previously brand lawyer consumer segments. The private level alternatives from large organisations have intensified downward pricing pressure as well. Responding to that Unilever has implemented a multi-tier pricing architect with premium variants for personal care categories (Unilever PLC, 2025). </w:t>
            </w:r>
          </w:p>
        </w:tc>
      </w:tr>
      <w:tr w:rsidR="00953085" w14:paraId="032C164E" w14:textId="77777777">
        <w:tc>
          <w:tcPr>
            <w:tcW w:w="1875" w:type="dxa"/>
            <w:tcMar>
              <w:top w:w="100" w:type="dxa"/>
              <w:left w:w="100" w:type="dxa"/>
              <w:bottom w:w="100" w:type="dxa"/>
              <w:right w:w="100" w:type="dxa"/>
            </w:tcMar>
          </w:tcPr>
          <w:p w14:paraId="6C5A43DD"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Social </w:t>
            </w:r>
          </w:p>
        </w:tc>
        <w:tc>
          <w:tcPr>
            <w:tcW w:w="7485" w:type="dxa"/>
            <w:tcMar>
              <w:top w:w="100" w:type="dxa"/>
              <w:left w:w="100" w:type="dxa"/>
              <w:bottom w:w="100" w:type="dxa"/>
              <w:right w:w="100" w:type="dxa"/>
            </w:tcMar>
          </w:tcPr>
          <w:p w14:paraId="5DEA5E2F" w14:textId="62BB5575"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expectations associated with body representation,</w:t>
            </w:r>
            <w:r w:rsidR="0068167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ethical consumption and identity inclusivity have had significant influence on the brand communication of Dove (Kim and Kim, 2025). The long running real beauty campaign has aligned with consumer preference for rejection of idealised beauty norms and authenticity. However, contemporary public discourse has increasingly been critical of symbolic as well as performative inclusivity. As a result, they need to make sure they are consistent between organisational practice and brand messaging and they are able to avoid reputation</w:t>
            </w:r>
            <w:r w:rsidR="0068167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oriented damage. Increasing awareness for vegan and cruelty free sensitive formulas has been given by lifestyle orientation towards ethical awareness and wellness (Choi and Lee, 2021). As a consequence, marketing strategies focus on ingredient transparency along with relatable imagery. </w:t>
            </w:r>
          </w:p>
        </w:tc>
      </w:tr>
      <w:tr w:rsidR="00953085" w14:paraId="3ABDF7FF" w14:textId="77777777">
        <w:tc>
          <w:tcPr>
            <w:tcW w:w="1875" w:type="dxa"/>
            <w:tcMar>
              <w:top w:w="100" w:type="dxa"/>
              <w:left w:w="100" w:type="dxa"/>
              <w:bottom w:w="100" w:type="dxa"/>
              <w:right w:w="100" w:type="dxa"/>
            </w:tcMar>
          </w:tcPr>
          <w:p w14:paraId="4D607106"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w:t>
            </w:r>
          </w:p>
        </w:tc>
        <w:tc>
          <w:tcPr>
            <w:tcW w:w="7485" w:type="dxa"/>
            <w:tcMar>
              <w:top w:w="100" w:type="dxa"/>
              <w:left w:w="100" w:type="dxa"/>
              <w:bottom w:w="100" w:type="dxa"/>
              <w:right w:w="100" w:type="dxa"/>
            </w:tcMar>
          </w:tcPr>
          <w:p w14:paraId="07DCBFFD"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developments have influenced production as well as customer engagement. Advancement for the dermatological research as well as cosmetic formulation techniques has enabled product innovation which is targeted at specific skin concerns and supported differentiated positioning for a saturated market (Peng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Digitisation has increased significant online retail performance, personalised advertising and data-driven segmentation. The social media environment has contributed to shape brand discourse influencer partnership and it needs active community engagement. Hence, marketing strategies have adopted omni-channel communication for maintaining visibility across traditional and digital consumption contexts.</w:t>
            </w:r>
          </w:p>
        </w:tc>
      </w:tr>
      <w:tr w:rsidR="00953085" w14:paraId="70667ED2" w14:textId="77777777">
        <w:tc>
          <w:tcPr>
            <w:tcW w:w="1875" w:type="dxa"/>
            <w:tcMar>
              <w:top w:w="100" w:type="dxa"/>
              <w:left w:w="100" w:type="dxa"/>
              <w:bottom w:w="100" w:type="dxa"/>
              <w:right w:w="100" w:type="dxa"/>
            </w:tcMar>
          </w:tcPr>
          <w:p w14:paraId="24DFB620"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Legal </w:t>
            </w:r>
          </w:p>
        </w:tc>
        <w:tc>
          <w:tcPr>
            <w:tcW w:w="7485" w:type="dxa"/>
            <w:tcMar>
              <w:top w:w="100" w:type="dxa"/>
              <w:left w:w="100" w:type="dxa"/>
              <w:bottom w:w="100" w:type="dxa"/>
              <w:right w:w="100" w:type="dxa"/>
            </w:tcMar>
          </w:tcPr>
          <w:p w14:paraId="355A9DDA" w14:textId="37A88012"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care has been regulated by standards at governed product safety environment labelling and advertisement claims. The United Kingdom advertising standard authority has been responsible to monitor the accuracy of these claims associated with skin beauty, ethical procurement and sustainability performance (Davies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It has made evidence waste messaging necessary and suggested caution for promotional language. In addition, data protection legislation currently needs consent</w:t>
            </w:r>
            <w:r w:rsidR="0068167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based data usage and it influences digital marketing practices. </w:t>
            </w:r>
          </w:p>
        </w:tc>
      </w:tr>
      <w:tr w:rsidR="00953085" w14:paraId="070F507D" w14:textId="77777777">
        <w:tc>
          <w:tcPr>
            <w:tcW w:w="1875" w:type="dxa"/>
            <w:tcMar>
              <w:top w:w="100" w:type="dxa"/>
              <w:left w:w="100" w:type="dxa"/>
              <w:bottom w:w="100" w:type="dxa"/>
              <w:right w:w="100" w:type="dxa"/>
            </w:tcMar>
          </w:tcPr>
          <w:p w14:paraId="271C3B32"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w:t>
            </w:r>
          </w:p>
        </w:tc>
        <w:tc>
          <w:tcPr>
            <w:tcW w:w="7485" w:type="dxa"/>
            <w:tcMar>
              <w:top w:w="100" w:type="dxa"/>
              <w:left w:w="100" w:type="dxa"/>
              <w:bottom w:w="100" w:type="dxa"/>
              <w:right w:w="100" w:type="dxa"/>
            </w:tcMar>
          </w:tcPr>
          <w:p w14:paraId="0117BF37" w14:textId="77777777" w:rsidR="00953085" w:rsidRDefault="000D5B7C">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considerations have prominently influenced product development as well as branding. Increased consumer concerns related to plastic waste and consumption pressures on Unilever has made them adopt refillable, recyclable and reduced packaging formats (Unilever, 2024). Environmental scrutiny and stakeholder policy has reinforced the value of demonstrating sustainability performance rather than large environmental messaging. Aligning environmental responsibility with product convenience as well as quality has remained essential for competitive positioning (Ogunmola and Kumar, 2024).</w:t>
            </w:r>
          </w:p>
        </w:tc>
      </w:tr>
    </w:tbl>
    <w:p w14:paraId="718F8507" w14:textId="77777777"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9EF5D09" w14:textId="77777777" w:rsidR="00953085" w:rsidRDefault="000D5B7C">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PESTLE analysis</w:t>
      </w:r>
    </w:p>
    <w:p w14:paraId="5ED0EB53" w14:textId="319678C9" w:rsidR="00953085" w:rsidRDefault="000D5B7C">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r w:rsidR="00C97D3F">
        <w:rPr>
          <w:rFonts w:ascii="Times New Roman" w:eastAsia="Times New Roman" w:hAnsi="Times New Roman" w:cs="Times New Roman"/>
          <w:sz w:val="24"/>
          <w:szCs w:val="24"/>
        </w:rPr>
        <w:t xml:space="preserve"> Developed</w:t>
      </w:r>
      <w:r>
        <w:rPr>
          <w:rFonts w:ascii="Times New Roman" w:eastAsia="Times New Roman" w:hAnsi="Times New Roman" w:cs="Times New Roman"/>
          <w:sz w:val="24"/>
          <w:szCs w:val="24"/>
        </w:rPr>
        <w:t>)</w:t>
      </w:r>
    </w:p>
    <w:p w14:paraId="0FE0ACD1" w14:textId="77777777" w:rsidR="00953085" w:rsidRDefault="000D5B7C" w:rsidP="00681670">
      <w:pPr>
        <w:pStyle w:val="Heading1"/>
      </w:pPr>
      <w:bookmarkStart w:id="2" w:name="_Toc214087391"/>
      <w:r>
        <w:t>Critical evaluation</w:t>
      </w:r>
      <w:bookmarkEnd w:id="2"/>
    </w:p>
    <w:p w14:paraId="3952835A" w14:textId="77777777"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analysis has identified social and environmental factors to be most influential for the personal care strategy of Unilever. Social expectation associated with inclusivity, authenticity and ethical consumption has directly shifted the brand identity and communication of Dove. Failing to align messaging with the changing societal regulation eventually risks losing trust and indicating how social influence operates at a level of consumer preference and at a level of brand legitimacy. Environment oriented expectations of similarly imposed strategic pressure as commitment to </w:t>
      </w:r>
      <w:r>
        <w:rPr>
          <w:rFonts w:ascii="Times New Roman" w:eastAsia="Times New Roman" w:hAnsi="Times New Roman" w:cs="Times New Roman"/>
          <w:sz w:val="24"/>
          <w:szCs w:val="24"/>
        </w:rPr>
        <w:lastRenderedPageBreak/>
        <w:t xml:space="preserve">sustainability need to be demonstrated using measurable packaging as well as procurement outcomes (Daramola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The consideration has influenced product development as well as marketing narrative. The impact has been more than economic and political pressure resulting in changing the pricing and operation and adjustment rather than the main brand meaning. </w:t>
      </w:r>
    </w:p>
    <w:p w14:paraId="2D85DABB" w14:textId="77777777"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external analysis has been limited in a way that it provides a large contextual overview without any assertion of internal capabilities, relative strategic priority and competitive positioning. The framework has described influence yet it fails to explain how organisations need to respond or the factors of resource allocation. Hence, the analysis needs to be integrated with internal strategic tools including an internal analysis SWOT and brand equity assessment for translating these conditions into actionable strategy. </w:t>
      </w:r>
    </w:p>
    <w:p w14:paraId="0324F2E8" w14:textId="77777777" w:rsidR="00953085" w:rsidRDefault="000D5B7C" w:rsidP="00681670">
      <w:pPr>
        <w:pStyle w:val="Heading1"/>
      </w:pPr>
      <w:bookmarkStart w:id="3" w:name="_Toc214087392"/>
      <w:r>
        <w:t>Conclusion and Recommendation</w:t>
      </w:r>
      <w:bookmarkEnd w:id="3"/>
      <w:r>
        <w:t xml:space="preserve"> </w:t>
      </w:r>
    </w:p>
    <w:p w14:paraId="3B875FE2" w14:textId="77777777"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has indicated how the personal care strategy of Unilever especially for the dove has been shaped by social expectations for inclusivity and authenticity along with environmental requirements needed for sustainable packaging and production. The factors have influenced brand positioning, product development priority and communication tone. </w:t>
      </w:r>
    </w:p>
    <w:p w14:paraId="53764462" w14:textId="5838B828"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maintaining competitiveness in the market</w:t>
      </w:r>
      <w:r w:rsidR="0068167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company needs to make sure a transparent sustainability reporting supported by expansion of refillable plastic packaging and continuous evidence based dermatological production innovation can be developed. </w:t>
      </w:r>
    </w:p>
    <w:p w14:paraId="7B2A47ED" w14:textId="77777777" w:rsidR="00953085" w:rsidRDefault="000D5B7C">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Situational analysis has remained essential to guide market decisions. I understood it enables the alignment of brand strategy with an external condition. Nevertheless, external analysis needs to be combined with internal strategic analysis for maintaining feasibility and consistency. </w:t>
      </w:r>
    </w:p>
    <w:p w14:paraId="2016579F" w14:textId="77777777" w:rsidR="00953085" w:rsidRDefault="00953085">
      <w:pPr>
        <w:spacing w:after="200" w:line="360" w:lineRule="auto"/>
        <w:jc w:val="both"/>
        <w:rPr>
          <w:rFonts w:ascii="Times New Roman" w:eastAsia="Times New Roman" w:hAnsi="Times New Roman" w:cs="Times New Roman"/>
          <w:sz w:val="24"/>
          <w:szCs w:val="24"/>
        </w:rPr>
      </w:pPr>
    </w:p>
    <w:p w14:paraId="142C2071" w14:textId="77777777" w:rsidR="00953085" w:rsidRDefault="00953085">
      <w:pPr>
        <w:spacing w:after="200" w:line="360" w:lineRule="auto"/>
        <w:jc w:val="both"/>
        <w:rPr>
          <w:rFonts w:ascii="Times New Roman" w:eastAsia="Times New Roman" w:hAnsi="Times New Roman" w:cs="Times New Roman"/>
          <w:sz w:val="24"/>
          <w:szCs w:val="24"/>
        </w:rPr>
      </w:pPr>
    </w:p>
    <w:p w14:paraId="55E8D2D8" w14:textId="77777777" w:rsidR="00681670" w:rsidRDefault="0068167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BE552EF" w14:textId="164F1518" w:rsidR="00953085" w:rsidRPr="008570C4" w:rsidRDefault="000D5B7C" w:rsidP="008570C4">
      <w:pPr>
        <w:pStyle w:val="Heading1"/>
        <w:jc w:val="center"/>
      </w:pPr>
      <w:bookmarkStart w:id="4" w:name="_Toc214087393"/>
      <w:r w:rsidRPr="008570C4">
        <w:lastRenderedPageBreak/>
        <w:t>Reference</w:t>
      </w:r>
      <w:bookmarkEnd w:id="4"/>
      <w:r w:rsidR="008570C4" w:rsidRPr="008570C4">
        <w:t>s</w:t>
      </w:r>
    </w:p>
    <w:p w14:paraId="6EAF3403" w14:textId="77777777" w:rsidR="008570C4" w:rsidRPr="008570C4" w:rsidRDefault="008570C4" w:rsidP="008570C4"/>
    <w:p w14:paraId="24DA1AFF"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Choi, Y.-H. and Lee, K.-H. (2021). Ethical Consumers’ Awareness of Vegan Materials: Focused on Fake Fur and Fake Leather.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[online] 13(1), p.436.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://doi.org/10.3390/su13010436.</w:t>
      </w:r>
    </w:p>
    <w:p w14:paraId="5E4A616C"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Daramola, O.M., </w:t>
      </w:r>
      <w:proofErr w:type="spellStart"/>
      <w:r>
        <w:rPr>
          <w:rFonts w:ascii="Times New Roman" w:eastAsia="Times New Roman" w:hAnsi="Times New Roman" w:cs="Times New Roman"/>
          <w:sz w:val="24"/>
          <w:szCs w:val="24"/>
        </w:rPr>
        <w:t>Apeh</w:t>
      </w:r>
      <w:proofErr w:type="spellEnd"/>
      <w:r>
        <w:rPr>
          <w:rFonts w:ascii="Times New Roman" w:eastAsia="Times New Roman" w:hAnsi="Times New Roman" w:cs="Times New Roman"/>
          <w:sz w:val="24"/>
          <w:szCs w:val="24"/>
        </w:rPr>
        <w:t xml:space="preserve">, C.E., Basiru, J.O., </w:t>
      </w:r>
      <w:proofErr w:type="spellStart"/>
      <w:r>
        <w:rPr>
          <w:rFonts w:ascii="Times New Roman" w:eastAsia="Times New Roman" w:hAnsi="Times New Roman" w:cs="Times New Roman"/>
          <w:sz w:val="24"/>
          <w:szCs w:val="24"/>
        </w:rPr>
        <w:t>Onukwulu</w:t>
      </w:r>
      <w:proofErr w:type="spellEnd"/>
      <w:r>
        <w:rPr>
          <w:rFonts w:ascii="Times New Roman" w:eastAsia="Times New Roman" w:hAnsi="Times New Roman" w:cs="Times New Roman"/>
          <w:sz w:val="24"/>
          <w:szCs w:val="24"/>
        </w:rPr>
        <w:t xml:space="preserve">, E.C. and Paul, P.O. (2025). Sustainable packaging operations: Balancing cost, functionality, and environmental concerns. </w:t>
      </w:r>
      <w:r>
        <w:rPr>
          <w:rFonts w:ascii="Times New Roman" w:eastAsia="Times New Roman" w:hAnsi="Times New Roman" w:cs="Times New Roman"/>
          <w:i/>
          <w:iCs/>
          <w:sz w:val="24"/>
          <w:szCs w:val="24"/>
        </w:rPr>
        <w:t>International Journal of Social Science Exceptional Research</w:t>
      </w:r>
      <w:r>
        <w:rPr>
          <w:rFonts w:ascii="Times New Roman" w:eastAsia="Times New Roman" w:hAnsi="Times New Roman" w:cs="Times New Roman"/>
          <w:sz w:val="24"/>
          <w:szCs w:val="24"/>
        </w:rPr>
        <w:t xml:space="preserve">, 4(1), pp.79–97.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://doi.org/10.54660/ijsser.2025.4.1.79-97.</w:t>
      </w:r>
    </w:p>
    <w:p w14:paraId="6688510C"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Davies, P.A., Lamb, S.J., Green, M.D. and Dulska, A. (2023). </w:t>
      </w:r>
      <w:r>
        <w:rPr>
          <w:rFonts w:ascii="Times New Roman" w:eastAsia="Times New Roman" w:hAnsi="Times New Roman" w:cs="Times New Roman"/>
          <w:i/>
          <w:iCs/>
          <w:sz w:val="24"/>
          <w:szCs w:val="24"/>
        </w:rPr>
        <w:t>UK advertising standards authority publishes updated guidance on greenwashing claims</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Lexology</w:t>
      </w:r>
      <w:proofErr w:type="spellEnd"/>
      <w:r>
        <w:rPr>
          <w:rFonts w:ascii="Times New Roman" w:eastAsia="Times New Roman" w:hAnsi="Times New Roman" w:cs="Times New Roman"/>
          <w:sz w:val="24"/>
          <w:szCs w:val="24"/>
        </w:rPr>
        <w:t>. Available at: https://www.lexology.com/library/detail.aspx?g=8aab714a-c51e-4b58-9f3c-024899f4fc3f [Accessed 11 Nov. 2025].</w:t>
      </w:r>
    </w:p>
    <w:p w14:paraId="169A3598"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Graziano, A., Handley, K. and </w:t>
      </w:r>
      <w:proofErr w:type="spellStart"/>
      <w:r>
        <w:rPr>
          <w:rFonts w:ascii="Times New Roman" w:eastAsia="Times New Roman" w:hAnsi="Times New Roman" w:cs="Times New Roman"/>
          <w:sz w:val="24"/>
          <w:szCs w:val="24"/>
        </w:rPr>
        <w:t>Limão</w:t>
      </w:r>
      <w:proofErr w:type="spellEnd"/>
      <w:r>
        <w:rPr>
          <w:rFonts w:ascii="Times New Roman" w:eastAsia="Times New Roman" w:hAnsi="Times New Roman" w:cs="Times New Roman"/>
          <w:sz w:val="24"/>
          <w:szCs w:val="24"/>
        </w:rPr>
        <w:t xml:space="preserve">, N. (2023). </w:t>
      </w:r>
      <w:r>
        <w:rPr>
          <w:rFonts w:ascii="Times New Roman" w:eastAsia="Times New Roman" w:hAnsi="Times New Roman" w:cs="Times New Roman"/>
          <w:i/>
          <w:iCs/>
          <w:sz w:val="24"/>
          <w:szCs w:val="24"/>
        </w:rPr>
        <w:t>Brexit inflation: The role of trade policy uncertainty in increasing UK import prices</w:t>
      </w:r>
      <w:r>
        <w:rPr>
          <w:rFonts w:ascii="Times New Roman" w:eastAsia="Times New Roman" w:hAnsi="Times New Roman" w:cs="Times New Roman"/>
          <w:sz w:val="24"/>
          <w:szCs w:val="24"/>
        </w:rPr>
        <w:t>. [online] CEPR. Available at: https://cepr.org/voxeu/columns/brexit-inflation-role-trade-policy-uncertainty-increasing-uk-import-prices [Accessed 11 Nov. 2025].</w:t>
      </w:r>
    </w:p>
    <w:p w14:paraId="3506C1D7"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J. and Kim, M. (2025). From Comparison to Confidence: The Dove Self-Esteem Project and the Transformation of Beauty Perceptions on Social Media. </w:t>
      </w:r>
      <w:proofErr w:type="spellStart"/>
      <w:r>
        <w:rPr>
          <w:rFonts w:ascii="Times New Roman" w:eastAsia="Times New Roman" w:hAnsi="Times New Roman" w:cs="Times New Roman"/>
          <w:i/>
          <w:iCs/>
          <w:sz w:val="24"/>
          <w:szCs w:val="24"/>
        </w:rPr>
        <w:t>Behavioral</w:t>
      </w:r>
      <w:proofErr w:type="spellEnd"/>
      <w:r>
        <w:rPr>
          <w:rFonts w:ascii="Times New Roman" w:eastAsia="Times New Roman" w:hAnsi="Times New Roman" w:cs="Times New Roman"/>
          <w:i/>
          <w:iCs/>
          <w:sz w:val="24"/>
          <w:szCs w:val="24"/>
        </w:rPr>
        <w:t xml:space="preserve"> Sciences</w:t>
      </w:r>
      <w:r>
        <w:rPr>
          <w:rFonts w:ascii="Times New Roman" w:eastAsia="Times New Roman" w:hAnsi="Times New Roman" w:cs="Times New Roman"/>
          <w:sz w:val="24"/>
          <w:szCs w:val="24"/>
        </w:rPr>
        <w:t xml:space="preserve">, 15(4), pp.414–414.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://doi.org/10.3390/bs15040414.</w:t>
      </w:r>
    </w:p>
    <w:p w14:paraId="5F4722BB"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Ogunmola, G.A. and Kumar, V. (2024). A strategic model for attracting and retaining environmentally conscious customers in E-retail. </w:t>
      </w:r>
      <w:r>
        <w:rPr>
          <w:rFonts w:ascii="Times New Roman" w:eastAsia="Times New Roman" w:hAnsi="Times New Roman" w:cs="Times New Roman"/>
          <w:i/>
          <w:iCs/>
          <w:sz w:val="24"/>
          <w:szCs w:val="24"/>
        </w:rPr>
        <w:t>International Journal of Information Management Data Insights</w:t>
      </w:r>
      <w:r>
        <w:rPr>
          <w:rFonts w:ascii="Times New Roman" w:eastAsia="Times New Roman" w:hAnsi="Times New Roman" w:cs="Times New Roman"/>
          <w:sz w:val="24"/>
          <w:szCs w:val="24"/>
        </w:rPr>
        <w:t xml:space="preserve">, [online] 4(2), pp.100274–100274.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://doi.org/10.1016/j.jjimei.2024.100274.</w:t>
      </w:r>
    </w:p>
    <w:p w14:paraId="470C40AA" w14:textId="77777777" w:rsidR="00681670" w:rsidRDefault="0068167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Pannuti</w:t>
      </w:r>
      <w:proofErr w:type="spellEnd"/>
      <w:r>
        <w:rPr>
          <w:rFonts w:ascii="Times New Roman" w:eastAsia="Times New Roman" w:hAnsi="Times New Roman" w:cs="Times New Roman"/>
          <w:sz w:val="24"/>
          <w:szCs w:val="24"/>
        </w:rPr>
        <w:t xml:space="preserve">, C. (2022). </w:t>
      </w:r>
      <w:r>
        <w:rPr>
          <w:rFonts w:ascii="Times New Roman" w:eastAsia="Times New Roman" w:hAnsi="Times New Roman" w:cs="Times New Roman"/>
          <w:i/>
          <w:iCs/>
          <w:sz w:val="24"/>
          <w:szCs w:val="24"/>
        </w:rPr>
        <w:t>Inflation and the cost of living: Are consumers spending less?</w:t>
      </w:r>
      <w:r>
        <w:rPr>
          <w:rFonts w:ascii="Times New Roman" w:eastAsia="Times New Roman" w:hAnsi="Times New Roman" w:cs="Times New Roman"/>
          <w:sz w:val="24"/>
          <w:szCs w:val="24"/>
        </w:rPr>
        <w:t xml:space="preserve"> [online] www.jpmorgan.com. Available at: https://www.jpmorgan.com/insights/global-research/economy/inflation-cost-of-living [Accessed 11 Nov. 2025].</w:t>
      </w:r>
    </w:p>
    <w:p w14:paraId="3C19A6B4"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Peng, Y., Yue, L. and Cong, Y. (2025). Enhancing Dermal Absorption of Cosmeceuticals: Innovations and Techniques for Targeted Skin Delivery. </w:t>
      </w:r>
      <w:r>
        <w:rPr>
          <w:rFonts w:ascii="Times New Roman" w:eastAsia="Times New Roman" w:hAnsi="Times New Roman" w:cs="Times New Roman"/>
          <w:i/>
          <w:iCs/>
          <w:sz w:val="24"/>
          <w:szCs w:val="24"/>
        </w:rPr>
        <w:t>Journal of Cosmetic Dermatology</w:t>
      </w:r>
      <w:r>
        <w:rPr>
          <w:rFonts w:ascii="Times New Roman" w:eastAsia="Times New Roman" w:hAnsi="Times New Roman" w:cs="Times New Roman"/>
          <w:sz w:val="24"/>
          <w:szCs w:val="24"/>
        </w:rPr>
        <w:t xml:space="preserve">, 24(10).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://doi.org/10.1111/jocd.70514.</w:t>
      </w:r>
    </w:p>
    <w:p w14:paraId="3F1D2547"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(2023a). </w:t>
      </w:r>
      <w:r>
        <w:rPr>
          <w:rFonts w:ascii="Times New Roman" w:eastAsia="Times New Roman" w:hAnsi="Times New Roman" w:cs="Times New Roman"/>
          <w:i/>
          <w:iCs/>
          <w:sz w:val="24"/>
          <w:szCs w:val="24"/>
        </w:rPr>
        <w:t>Beauty &amp; Personal Care Brands</w:t>
      </w:r>
      <w:r>
        <w:rPr>
          <w:rFonts w:ascii="Times New Roman" w:eastAsia="Times New Roman" w:hAnsi="Times New Roman" w:cs="Times New Roman"/>
          <w:sz w:val="24"/>
          <w:szCs w:val="24"/>
        </w:rPr>
        <w:t>. [online] Unilever global company website. Available at: https://www.unilever.com/brands/personal-care/ [Accessed 11 Nov. 2025].</w:t>
      </w:r>
    </w:p>
    <w:p w14:paraId="5C2BDF1F"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(2024). </w:t>
      </w:r>
      <w:r>
        <w:rPr>
          <w:rFonts w:ascii="Times New Roman" w:eastAsia="Times New Roman" w:hAnsi="Times New Roman" w:cs="Times New Roman"/>
          <w:i/>
          <w:iCs/>
          <w:sz w:val="24"/>
          <w:szCs w:val="24"/>
        </w:rPr>
        <w:t>Our ambition is an end to plastic pollution through reduction, circulation and collaboration</w:t>
      </w:r>
      <w:r>
        <w:rPr>
          <w:rFonts w:ascii="Times New Roman" w:eastAsia="Times New Roman" w:hAnsi="Times New Roman" w:cs="Times New Roman"/>
          <w:sz w:val="24"/>
          <w:szCs w:val="24"/>
        </w:rPr>
        <w:t>. [online] Unilever. Available at: https://www.unilever.com/sustainability/plastics/ [Accessed 11 Nov. 2025].</w:t>
      </w:r>
    </w:p>
    <w:p w14:paraId="1A1B894C" w14:textId="77777777" w:rsidR="00681670" w:rsidRDefault="0068167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(2025). </w:t>
      </w:r>
      <w:r>
        <w:rPr>
          <w:rFonts w:ascii="Times New Roman" w:eastAsia="Times New Roman" w:hAnsi="Times New Roman" w:cs="Times New Roman"/>
          <w:i/>
          <w:iCs/>
          <w:sz w:val="24"/>
          <w:szCs w:val="24"/>
        </w:rPr>
        <w:t>Unilever at a Glance</w:t>
      </w:r>
      <w:r>
        <w:rPr>
          <w:rFonts w:ascii="Times New Roman" w:eastAsia="Times New Roman" w:hAnsi="Times New Roman" w:cs="Times New Roman"/>
          <w:sz w:val="24"/>
          <w:szCs w:val="24"/>
        </w:rPr>
        <w:t>. [online] Unilever. Available at: https://www.unilever.com/our-company/at-a-glance/ [Accessed 11 Nov. 2025].</w:t>
      </w:r>
    </w:p>
    <w:p w14:paraId="2D6EE4B4"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(2025b). </w:t>
      </w:r>
      <w:r>
        <w:rPr>
          <w:rFonts w:ascii="Times New Roman" w:eastAsia="Times New Roman" w:hAnsi="Times New Roman" w:cs="Times New Roman"/>
          <w:i/>
          <w:iCs/>
          <w:sz w:val="24"/>
          <w:szCs w:val="24"/>
        </w:rPr>
        <w:t>Leading in the next era of corporate sustainability</w:t>
      </w:r>
      <w:r>
        <w:rPr>
          <w:rFonts w:ascii="Times New Roman" w:eastAsia="Times New Roman" w:hAnsi="Times New Roman" w:cs="Times New Roman"/>
          <w:sz w:val="24"/>
          <w:szCs w:val="24"/>
        </w:rPr>
        <w:t>. [online] Unilever. Available at: https://www.unilever.com/sustainability/ [Accessed 11 Nov. 2025].</w:t>
      </w:r>
    </w:p>
    <w:p w14:paraId="12489ACB" w14:textId="77777777" w:rsidR="00681670" w:rsidRDefault="0068167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(2025). </w:t>
      </w:r>
      <w:r>
        <w:rPr>
          <w:rFonts w:ascii="Times New Roman" w:eastAsia="Times New Roman" w:hAnsi="Times New Roman" w:cs="Times New Roman"/>
          <w:i/>
          <w:iCs/>
          <w:sz w:val="24"/>
          <w:szCs w:val="24"/>
        </w:rPr>
        <w:t>How premiumisation is powering growth for Unilever’s beauty brands</w:t>
      </w:r>
      <w:r>
        <w:rPr>
          <w:rFonts w:ascii="Times New Roman" w:eastAsia="Times New Roman" w:hAnsi="Times New Roman" w:cs="Times New Roman"/>
          <w:sz w:val="24"/>
          <w:szCs w:val="24"/>
        </w:rPr>
        <w:t>. [online] Unilever. Available at: https://www.unilever.com/news/news-search/2025/how-premiumisation-is-powering-growth-for-unilevers-beauty-brands/ [Accessed 11 Nov. 2025].</w:t>
      </w:r>
    </w:p>
    <w:p w14:paraId="21D1AD5E" w14:textId="77777777" w:rsidR="00953085" w:rsidRDefault="00953085">
      <w:pPr>
        <w:spacing w:after="200" w:line="360" w:lineRule="auto"/>
        <w:jc w:val="both"/>
        <w:rPr>
          <w:rFonts w:ascii="Times New Roman" w:eastAsia="Times New Roman" w:hAnsi="Times New Roman" w:cs="Times New Roman"/>
          <w:sz w:val="24"/>
          <w:szCs w:val="24"/>
        </w:rPr>
      </w:pPr>
    </w:p>
    <w:sectPr w:rsidR="00953085" w:rsidSect="00C97D3F">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CF1F5" w14:textId="77777777" w:rsidR="008B2FF7" w:rsidRDefault="008B2FF7" w:rsidP="00681670">
      <w:pPr>
        <w:spacing w:line="240" w:lineRule="auto"/>
      </w:pPr>
      <w:r>
        <w:separator/>
      </w:r>
    </w:p>
  </w:endnote>
  <w:endnote w:type="continuationSeparator" w:id="0">
    <w:p w14:paraId="155DED40" w14:textId="77777777" w:rsidR="008B2FF7" w:rsidRDefault="008B2FF7" w:rsidP="006816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561D74B-E0C1-4538-A782-F370A19D479A}"/>
  </w:font>
  <w:font w:name="Cambria">
    <w:panose1 w:val="02040503050406030204"/>
    <w:charset w:val="00"/>
    <w:family w:val="roman"/>
    <w:pitch w:val="variable"/>
    <w:sig w:usb0="E00006FF" w:usb1="420024FF" w:usb2="02000000" w:usb3="00000000" w:csb0="0000019F" w:csb1="00000000"/>
    <w:embedRegular r:id="rId2" w:fontKey="{3D7EE9A2-3666-4F38-95C9-E420754C9BC4}"/>
    <w:embedBold r:id="rId3" w:fontKey="{8453981F-9754-42AA-B4EA-3DA5F3948F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477359"/>
      <w:docPartObj>
        <w:docPartGallery w:val="Page Numbers (Bottom of Page)"/>
        <w:docPartUnique/>
      </w:docPartObj>
    </w:sdtPr>
    <w:sdtEndPr>
      <w:rPr>
        <w:noProof/>
      </w:rPr>
    </w:sdtEndPr>
    <w:sdtContent>
      <w:p w14:paraId="641338E1" w14:textId="411959D5" w:rsidR="00681670" w:rsidRDefault="00681670">
        <w:pPr>
          <w:pStyle w:val="Footer"/>
          <w:jc w:val="right"/>
        </w:pPr>
        <w:r>
          <w:fldChar w:fldCharType="begin"/>
        </w:r>
        <w:r>
          <w:instrText xml:space="preserve"> PAGE   \* MERGEFORMAT </w:instrText>
        </w:r>
        <w:r>
          <w:fldChar w:fldCharType="separate"/>
        </w:r>
        <w:r w:rsidR="006810F7">
          <w:rPr>
            <w:noProof/>
          </w:rPr>
          <w:t>7</w:t>
        </w:r>
        <w:r>
          <w:rPr>
            <w:noProof/>
          </w:rPr>
          <w:fldChar w:fldCharType="end"/>
        </w:r>
      </w:p>
    </w:sdtContent>
  </w:sdt>
  <w:p w14:paraId="5FDCA389" w14:textId="77777777" w:rsidR="00681670" w:rsidRDefault="00681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71CDE" w14:textId="77777777" w:rsidR="008B2FF7" w:rsidRDefault="008B2FF7" w:rsidP="00681670">
      <w:pPr>
        <w:spacing w:line="240" w:lineRule="auto"/>
      </w:pPr>
      <w:r>
        <w:separator/>
      </w:r>
    </w:p>
  </w:footnote>
  <w:footnote w:type="continuationSeparator" w:id="0">
    <w:p w14:paraId="56BF32F6" w14:textId="77777777" w:rsidR="008B2FF7" w:rsidRDefault="008B2FF7" w:rsidP="0068167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085"/>
    <w:rsid w:val="000D5B7C"/>
    <w:rsid w:val="004D7FB8"/>
    <w:rsid w:val="006810F7"/>
    <w:rsid w:val="00681670"/>
    <w:rsid w:val="007067DD"/>
    <w:rsid w:val="007D1A0B"/>
    <w:rsid w:val="008570C4"/>
    <w:rsid w:val="008B2FF7"/>
    <w:rsid w:val="00953085"/>
    <w:rsid w:val="00C37585"/>
    <w:rsid w:val="00C97D3F"/>
    <w:rsid w:val="00F61D12"/>
    <w:rsid w:val="00FA33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D363E5"/>
  <w15:docId w15:val="{9E454F68-F1C6-401D-AF9E-2578BBA5A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81670"/>
    <w:pPr>
      <w:spacing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681670"/>
    <w:pPr>
      <w:tabs>
        <w:tab w:val="center" w:pos="4513"/>
        <w:tab w:val="right" w:pos="9026"/>
      </w:tabs>
      <w:spacing w:line="240" w:lineRule="auto"/>
    </w:pPr>
  </w:style>
  <w:style w:type="character" w:customStyle="1" w:styleId="HeaderChar">
    <w:name w:val="Header Char"/>
    <w:basedOn w:val="DefaultParagraphFont"/>
    <w:link w:val="Header"/>
    <w:uiPriority w:val="99"/>
    <w:rsid w:val="00681670"/>
  </w:style>
  <w:style w:type="paragraph" w:styleId="Footer">
    <w:name w:val="footer"/>
    <w:basedOn w:val="Normal"/>
    <w:link w:val="FooterChar"/>
    <w:uiPriority w:val="99"/>
    <w:unhideWhenUsed/>
    <w:rsid w:val="00681670"/>
    <w:pPr>
      <w:tabs>
        <w:tab w:val="center" w:pos="4513"/>
        <w:tab w:val="right" w:pos="9026"/>
      </w:tabs>
      <w:spacing w:line="240" w:lineRule="auto"/>
    </w:pPr>
  </w:style>
  <w:style w:type="character" w:customStyle="1" w:styleId="FooterChar">
    <w:name w:val="Footer Char"/>
    <w:basedOn w:val="DefaultParagraphFont"/>
    <w:link w:val="Footer"/>
    <w:uiPriority w:val="99"/>
    <w:rsid w:val="00681670"/>
  </w:style>
  <w:style w:type="paragraph" w:styleId="TOCHeading">
    <w:name w:val="TOC Heading"/>
    <w:basedOn w:val="Heading1"/>
    <w:next w:val="Normal"/>
    <w:uiPriority w:val="39"/>
    <w:unhideWhenUsed/>
    <w:qFormat/>
    <w:rsid w:val="00681670"/>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97D3F"/>
    <w:pPr>
      <w:tabs>
        <w:tab w:val="right" w:leader="dot" w:pos="9350"/>
      </w:tabs>
      <w:spacing w:after="100" w:line="360" w:lineRule="auto"/>
    </w:pPr>
  </w:style>
  <w:style w:type="character" w:styleId="Hyperlink">
    <w:name w:val="Hyperlink"/>
    <w:basedOn w:val="DefaultParagraphFont"/>
    <w:uiPriority w:val="99"/>
    <w:unhideWhenUsed/>
    <w:rsid w:val="006816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FDEE0B-A341-41A6-9DFD-554ECED74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Ionut-Dragos Lisaru</cp:lastModifiedBy>
  <cp:revision>6</cp:revision>
  <dcterms:created xsi:type="dcterms:W3CDTF">2025-11-11T10:12:00Z</dcterms:created>
  <dcterms:modified xsi:type="dcterms:W3CDTF">2025-11-15T08:34:00Z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46e5cb17-d9e3-4bfa-abd6-c0611b76d501</vt:lpwstr>
  </property>
</Properties>
</file>