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7D549" w14:textId="77777777" w:rsidR="005A446B" w:rsidRDefault="005A446B" w:rsidP="005A446B">
      <w:pPr>
        <w:rPr>
          <w:b/>
          <w:bCs/>
          <w:sz w:val="24"/>
          <w:szCs w:val="24"/>
          <w:u w:val="single"/>
        </w:rPr>
      </w:pPr>
      <w:r w:rsidRPr="4958211F">
        <w:rPr>
          <w:b/>
          <w:bCs/>
          <w:sz w:val="24"/>
          <w:szCs w:val="24"/>
          <w:u w:val="single"/>
        </w:rPr>
        <w:t>Research Project: Case Study based on an Electives Experience</w:t>
      </w:r>
    </w:p>
    <w:p w14:paraId="376E34E0" w14:textId="77777777" w:rsidR="005A446B" w:rsidRDefault="005A446B" w:rsidP="005A446B">
      <w:pPr>
        <w:rPr>
          <w:b/>
          <w:bCs/>
          <w:sz w:val="24"/>
          <w:szCs w:val="24"/>
          <w:u w:val="single"/>
        </w:rPr>
      </w:pPr>
      <w:r w:rsidRPr="4958211F">
        <w:rPr>
          <w:b/>
          <w:bCs/>
          <w:sz w:val="24"/>
          <w:szCs w:val="24"/>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tbl>
      <w:tblPr>
        <w:tblStyle w:val="TableGrid"/>
        <w:tblW w:w="0" w:type="auto"/>
        <w:tblLayout w:type="fixed"/>
        <w:tblLook w:val="06A0" w:firstRow="1" w:lastRow="0" w:firstColumn="1" w:lastColumn="0" w:noHBand="1" w:noVBand="1"/>
      </w:tblPr>
      <w:tblGrid>
        <w:gridCol w:w="3005"/>
        <w:gridCol w:w="3005"/>
        <w:gridCol w:w="3005"/>
      </w:tblGrid>
      <w:tr w:rsidR="005A446B" w14:paraId="380290AC" w14:textId="77777777" w:rsidTr="00B31B03">
        <w:trPr>
          <w:trHeight w:val="300"/>
        </w:trPr>
        <w:tc>
          <w:tcPr>
            <w:tcW w:w="3005" w:type="dxa"/>
          </w:tcPr>
          <w:p w14:paraId="19EF49AC" w14:textId="77777777" w:rsidR="005A446B" w:rsidRDefault="005A446B" w:rsidP="00B31B03">
            <w:pPr>
              <w:rPr>
                <w:rFonts w:eastAsiaTheme="minorEastAsia"/>
                <w:sz w:val="24"/>
                <w:szCs w:val="24"/>
              </w:rPr>
            </w:pPr>
            <w:r w:rsidRPr="4958211F">
              <w:rPr>
                <w:rFonts w:eastAsiaTheme="minorEastAsia"/>
                <w:sz w:val="24"/>
                <w:szCs w:val="24"/>
              </w:rPr>
              <w:t>Targets</w:t>
            </w:r>
          </w:p>
        </w:tc>
        <w:tc>
          <w:tcPr>
            <w:tcW w:w="3005" w:type="dxa"/>
          </w:tcPr>
          <w:p w14:paraId="0BEA0C3A" w14:textId="77777777" w:rsidR="005A446B" w:rsidRDefault="005A446B" w:rsidP="00B31B03">
            <w:pPr>
              <w:rPr>
                <w:rFonts w:eastAsiaTheme="minorEastAsia"/>
                <w:sz w:val="24"/>
                <w:szCs w:val="24"/>
              </w:rPr>
            </w:pPr>
            <w:r w:rsidRPr="4958211F">
              <w:rPr>
                <w:rFonts w:eastAsiaTheme="minorEastAsia"/>
                <w:sz w:val="24"/>
                <w:szCs w:val="24"/>
              </w:rPr>
              <w:t>How have I worked on this</w:t>
            </w:r>
          </w:p>
        </w:tc>
        <w:tc>
          <w:tcPr>
            <w:tcW w:w="3005" w:type="dxa"/>
          </w:tcPr>
          <w:p w14:paraId="2CE3BE26" w14:textId="77777777" w:rsidR="005A446B" w:rsidRDefault="005A446B" w:rsidP="00B31B03">
            <w:pPr>
              <w:rPr>
                <w:rFonts w:eastAsiaTheme="minorEastAsia"/>
                <w:sz w:val="24"/>
                <w:szCs w:val="24"/>
              </w:rPr>
            </w:pPr>
            <w:r w:rsidRPr="4958211F">
              <w:rPr>
                <w:rFonts w:eastAsiaTheme="minorEastAsia"/>
                <w:sz w:val="24"/>
                <w:szCs w:val="24"/>
              </w:rPr>
              <w:t>An example can be found</w:t>
            </w:r>
          </w:p>
        </w:tc>
      </w:tr>
      <w:tr w:rsidR="005A446B" w14:paraId="0BFBA9B0" w14:textId="77777777" w:rsidTr="00B31B03">
        <w:trPr>
          <w:trHeight w:val="300"/>
        </w:trPr>
        <w:tc>
          <w:tcPr>
            <w:tcW w:w="3005" w:type="dxa"/>
          </w:tcPr>
          <w:p w14:paraId="5574DA4B" w14:textId="77777777" w:rsidR="005A446B" w:rsidRDefault="005A446B" w:rsidP="00B31B03">
            <w:pPr>
              <w:rPr>
                <w:rFonts w:eastAsiaTheme="minorEastAsia"/>
                <w:color w:val="283041"/>
                <w:sz w:val="21"/>
                <w:szCs w:val="21"/>
              </w:rPr>
            </w:pPr>
            <w:r w:rsidRPr="4958211F">
              <w:rPr>
                <w:rFonts w:eastAsiaTheme="minorEastAsia"/>
                <w:color w:val="283041"/>
                <w:sz w:val="21"/>
                <w:szCs w:val="21"/>
              </w:rPr>
              <w:t xml:space="preserve">Include all authors cited in the main body of your text in the reference list at the end and follow the Harvard referencing style for this.  </w:t>
            </w:r>
          </w:p>
        </w:tc>
        <w:tc>
          <w:tcPr>
            <w:tcW w:w="3005" w:type="dxa"/>
          </w:tcPr>
          <w:p w14:paraId="7EE757D8" w14:textId="77777777" w:rsidR="005A446B" w:rsidRDefault="005A446B" w:rsidP="00B31B03">
            <w:pPr>
              <w:rPr>
                <w:rFonts w:eastAsiaTheme="minorEastAsia"/>
                <w:sz w:val="24"/>
                <w:szCs w:val="24"/>
              </w:rPr>
            </w:pPr>
            <w:r w:rsidRPr="7DAE97C9">
              <w:rPr>
                <w:rFonts w:eastAsiaTheme="minorEastAsia"/>
                <w:sz w:val="24"/>
                <w:szCs w:val="24"/>
              </w:rPr>
              <w:t>I ensured to insert the references of the literature I used in my bibliography as I was including them in my assignment.</w:t>
            </w:r>
          </w:p>
        </w:tc>
        <w:tc>
          <w:tcPr>
            <w:tcW w:w="3005" w:type="dxa"/>
          </w:tcPr>
          <w:p w14:paraId="0C21E931" w14:textId="77777777" w:rsidR="005A446B" w:rsidRDefault="005A446B" w:rsidP="00B31B03">
            <w:pPr>
              <w:rPr>
                <w:rFonts w:eastAsiaTheme="minorEastAsia"/>
                <w:sz w:val="24"/>
                <w:szCs w:val="24"/>
              </w:rPr>
            </w:pPr>
            <w:r>
              <w:rPr>
                <w:rFonts w:eastAsiaTheme="minorEastAsia"/>
                <w:sz w:val="24"/>
                <w:szCs w:val="24"/>
              </w:rPr>
              <w:t>Within the reference list on page 35</w:t>
            </w:r>
          </w:p>
        </w:tc>
      </w:tr>
      <w:tr w:rsidR="005A446B" w14:paraId="3EED4AF8" w14:textId="77777777" w:rsidTr="00B31B03">
        <w:trPr>
          <w:trHeight w:val="300"/>
        </w:trPr>
        <w:tc>
          <w:tcPr>
            <w:tcW w:w="3005" w:type="dxa"/>
          </w:tcPr>
          <w:p w14:paraId="50A970D8" w14:textId="77777777" w:rsidR="005A446B" w:rsidRDefault="005A446B" w:rsidP="00B31B03">
            <w:pPr>
              <w:rPr>
                <w:rFonts w:eastAsiaTheme="minorEastAsia"/>
                <w:color w:val="283041"/>
                <w:sz w:val="21"/>
                <w:szCs w:val="21"/>
              </w:rPr>
            </w:pPr>
            <w:r w:rsidRPr="4958211F">
              <w:rPr>
                <w:rFonts w:eastAsiaTheme="minorEastAsia"/>
                <w:color w:val="283041"/>
                <w:sz w:val="21"/>
                <w:szCs w:val="21"/>
              </w:rPr>
              <w:t>Always include the targets from your previous assignment at the start of each piece of work and identify how you have addressed them (template available on Moodle).</w:t>
            </w:r>
          </w:p>
        </w:tc>
        <w:tc>
          <w:tcPr>
            <w:tcW w:w="3005" w:type="dxa"/>
          </w:tcPr>
          <w:p w14:paraId="0F5AF93F" w14:textId="77777777" w:rsidR="005A446B" w:rsidRDefault="005A446B" w:rsidP="00B31B03">
            <w:pPr>
              <w:rPr>
                <w:rFonts w:eastAsiaTheme="minorEastAsia"/>
                <w:sz w:val="24"/>
                <w:szCs w:val="24"/>
              </w:rPr>
            </w:pPr>
            <w:r w:rsidRPr="4958211F">
              <w:rPr>
                <w:rFonts w:eastAsiaTheme="minorEastAsia"/>
                <w:sz w:val="24"/>
                <w:szCs w:val="24"/>
              </w:rPr>
              <w:t xml:space="preserve">I ensured I included the targets from my previous assignment. </w:t>
            </w:r>
          </w:p>
          <w:p w14:paraId="30189325" w14:textId="77777777" w:rsidR="005A446B" w:rsidRDefault="005A446B" w:rsidP="00B31B03">
            <w:pPr>
              <w:rPr>
                <w:rFonts w:eastAsiaTheme="minorEastAsia"/>
                <w:sz w:val="24"/>
                <w:szCs w:val="24"/>
              </w:rPr>
            </w:pPr>
          </w:p>
        </w:tc>
        <w:tc>
          <w:tcPr>
            <w:tcW w:w="3005" w:type="dxa"/>
          </w:tcPr>
          <w:p w14:paraId="39D1C131" w14:textId="77777777" w:rsidR="005A446B" w:rsidRDefault="005A446B" w:rsidP="00B31B03">
            <w:pPr>
              <w:rPr>
                <w:rFonts w:eastAsiaTheme="minorEastAsia"/>
                <w:sz w:val="24"/>
                <w:szCs w:val="24"/>
              </w:rPr>
            </w:pPr>
            <w:r w:rsidRPr="4958211F">
              <w:rPr>
                <w:rFonts w:eastAsiaTheme="minorEastAsia"/>
                <w:sz w:val="24"/>
                <w:szCs w:val="24"/>
              </w:rPr>
              <w:t>Page 1- Table 1</w:t>
            </w:r>
          </w:p>
        </w:tc>
      </w:tr>
      <w:tr w:rsidR="005A446B" w14:paraId="3C6C4582" w14:textId="77777777" w:rsidTr="00B31B03">
        <w:trPr>
          <w:trHeight w:val="300"/>
        </w:trPr>
        <w:tc>
          <w:tcPr>
            <w:tcW w:w="3005" w:type="dxa"/>
          </w:tcPr>
          <w:p w14:paraId="3061E197" w14:textId="77777777" w:rsidR="005A446B" w:rsidRDefault="005A446B" w:rsidP="00B31B03">
            <w:pPr>
              <w:rPr>
                <w:rFonts w:eastAsiaTheme="minorEastAsia"/>
                <w:color w:val="283041"/>
                <w:sz w:val="21"/>
                <w:szCs w:val="21"/>
              </w:rPr>
            </w:pPr>
            <w:r w:rsidRPr="4958211F">
              <w:rPr>
                <w:rFonts w:eastAsiaTheme="minorEastAsia"/>
                <w:color w:val="283041"/>
                <w:sz w:val="21"/>
                <w:szCs w:val="21"/>
              </w:rPr>
              <w:t>Introduce any direct quotations more cohesively, put them in their context and explain their relevance to the rest of your discussion.</w:t>
            </w:r>
          </w:p>
        </w:tc>
        <w:tc>
          <w:tcPr>
            <w:tcW w:w="3005" w:type="dxa"/>
          </w:tcPr>
          <w:p w14:paraId="36181AFF" w14:textId="77777777" w:rsidR="005A446B" w:rsidRDefault="005A446B" w:rsidP="00B31B03">
            <w:pPr>
              <w:rPr>
                <w:rFonts w:eastAsiaTheme="minorEastAsia"/>
                <w:sz w:val="24"/>
                <w:szCs w:val="24"/>
              </w:rPr>
            </w:pPr>
            <w:r>
              <w:rPr>
                <w:rFonts w:eastAsiaTheme="minorEastAsia"/>
                <w:sz w:val="24"/>
                <w:szCs w:val="24"/>
              </w:rPr>
              <w:t>I included a combination of direct quotes and paraphrasing and ensured to further discuss in my own words.</w:t>
            </w:r>
          </w:p>
        </w:tc>
        <w:tc>
          <w:tcPr>
            <w:tcW w:w="3005" w:type="dxa"/>
          </w:tcPr>
          <w:p w14:paraId="55D08ADE" w14:textId="77777777" w:rsidR="005A446B" w:rsidRDefault="005A446B" w:rsidP="00B31B03">
            <w:pPr>
              <w:rPr>
                <w:rFonts w:eastAsiaTheme="minorEastAsia"/>
                <w:sz w:val="24"/>
                <w:szCs w:val="24"/>
              </w:rPr>
            </w:pPr>
            <w:r>
              <w:rPr>
                <w:rFonts w:eastAsiaTheme="minorEastAsia"/>
                <w:sz w:val="24"/>
                <w:szCs w:val="24"/>
              </w:rPr>
              <w:t>Page 2</w:t>
            </w:r>
          </w:p>
        </w:tc>
      </w:tr>
    </w:tbl>
    <w:p w14:paraId="20B3646B" w14:textId="77777777" w:rsidR="005A446B" w:rsidRDefault="005A446B" w:rsidP="005A446B">
      <w:pPr>
        <w:rPr>
          <w:sz w:val="24"/>
          <w:szCs w:val="24"/>
        </w:rPr>
      </w:pPr>
    </w:p>
    <w:p w14:paraId="1D202EB2" w14:textId="77777777" w:rsidR="005A446B" w:rsidRDefault="005A446B" w:rsidP="005A446B">
      <w:pPr>
        <w:jc w:val="both"/>
        <w:rPr>
          <w:sz w:val="24"/>
          <w:szCs w:val="24"/>
        </w:rPr>
      </w:pPr>
      <w:r w:rsidRPr="03939E7E">
        <w:rPr>
          <w:sz w:val="24"/>
          <w:szCs w:val="24"/>
        </w:rPr>
        <w:t xml:space="preserve">The aim of this assignment is to conduct a case study within a live school situation </w:t>
      </w:r>
      <w:r>
        <w:rPr>
          <w:sz w:val="24"/>
          <w:szCs w:val="24"/>
        </w:rPr>
        <w:t xml:space="preserve">for the researcher </w:t>
      </w:r>
      <w:r w:rsidRPr="03939E7E">
        <w:rPr>
          <w:sz w:val="24"/>
          <w:szCs w:val="24"/>
        </w:rPr>
        <w:t>to gain a deeper knowledge and understanding of an area</w:t>
      </w:r>
      <w:r>
        <w:rPr>
          <w:sz w:val="24"/>
          <w:szCs w:val="24"/>
        </w:rPr>
        <w:t xml:space="preserve"> and</w:t>
      </w:r>
      <w:r w:rsidRPr="03939E7E">
        <w:rPr>
          <w:sz w:val="24"/>
          <w:szCs w:val="24"/>
        </w:rPr>
        <w:t xml:space="preserve"> to apply it </w:t>
      </w:r>
      <w:r>
        <w:rPr>
          <w:sz w:val="24"/>
          <w:szCs w:val="24"/>
        </w:rPr>
        <w:t>to their</w:t>
      </w:r>
      <w:r w:rsidRPr="03939E7E">
        <w:rPr>
          <w:sz w:val="24"/>
          <w:szCs w:val="24"/>
        </w:rPr>
        <w:t xml:space="preserve"> own teaching practice. Ahead of choosing </w:t>
      </w:r>
      <w:r>
        <w:rPr>
          <w:sz w:val="24"/>
          <w:szCs w:val="24"/>
        </w:rPr>
        <w:t>the</w:t>
      </w:r>
      <w:r w:rsidRPr="03939E7E">
        <w:rPr>
          <w:sz w:val="24"/>
          <w:szCs w:val="24"/>
        </w:rPr>
        <w:t xml:space="preserve"> research question</w:t>
      </w:r>
      <w:r>
        <w:rPr>
          <w:sz w:val="24"/>
          <w:szCs w:val="24"/>
        </w:rPr>
        <w:t>, the student teacher</w:t>
      </w:r>
      <w:r w:rsidRPr="03939E7E">
        <w:rPr>
          <w:sz w:val="24"/>
          <w:szCs w:val="24"/>
        </w:rPr>
        <w:t xml:space="preserve"> chose to focus </w:t>
      </w:r>
      <w:r>
        <w:rPr>
          <w:sz w:val="24"/>
          <w:szCs w:val="24"/>
        </w:rPr>
        <w:t>the</w:t>
      </w:r>
      <w:r w:rsidRPr="03939E7E">
        <w:rPr>
          <w:sz w:val="24"/>
          <w:szCs w:val="24"/>
        </w:rPr>
        <w:t xml:space="preserve"> electives experience on wellbeing. After carrying out second hand research to gain an insight into the area </w:t>
      </w:r>
      <w:r>
        <w:rPr>
          <w:sz w:val="24"/>
          <w:szCs w:val="24"/>
        </w:rPr>
        <w:t>they</w:t>
      </w:r>
      <w:r w:rsidRPr="03939E7E">
        <w:rPr>
          <w:sz w:val="24"/>
          <w:szCs w:val="24"/>
        </w:rPr>
        <w:t xml:space="preserve"> would like to further investigate</w:t>
      </w:r>
      <w:r>
        <w:rPr>
          <w:sz w:val="24"/>
          <w:szCs w:val="24"/>
        </w:rPr>
        <w:t>,</w:t>
      </w:r>
      <w:r w:rsidRPr="03939E7E">
        <w:rPr>
          <w:sz w:val="24"/>
          <w:szCs w:val="24"/>
        </w:rPr>
        <w:t xml:space="preserve"> </w:t>
      </w:r>
      <w:r>
        <w:rPr>
          <w:sz w:val="24"/>
          <w:szCs w:val="24"/>
        </w:rPr>
        <w:t>the researcher</w:t>
      </w:r>
      <w:r w:rsidRPr="03939E7E">
        <w:rPr>
          <w:sz w:val="24"/>
          <w:szCs w:val="24"/>
        </w:rPr>
        <w:t xml:space="preserve"> found there was a lack of research focusing on pupils with Additional Learning Needs (ALN). This led </w:t>
      </w:r>
      <w:r>
        <w:rPr>
          <w:sz w:val="24"/>
          <w:szCs w:val="24"/>
        </w:rPr>
        <w:t>them</w:t>
      </w:r>
      <w:r w:rsidRPr="03939E7E">
        <w:rPr>
          <w:sz w:val="24"/>
          <w:szCs w:val="24"/>
        </w:rPr>
        <w:t xml:space="preserve"> to choose to </w:t>
      </w:r>
      <w:r>
        <w:rPr>
          <w:sz w:val="24"/>
          <w:szCs w:val="24"/>
        </w:rPr>
        <w:t>conduct</w:t>
      </w:r>
      <w:r w:rsidRPr="03939E7E">
        <w:rPr>
          <w:sz w:val="24"/>
          <w:szCs w:val="24"/>
        </w:rPr>
        <w:t xml:space="preserve"> </w:t>
      </w:r>
      <w:r>
        <w:rPr>
          <w:sz w:val="24"/>
          <w:szCs w:val="24"/>
        </w:rPr>
        <w:t>their</w:t>
      </w:r>
      <w:r w:rsidRPr="03939E7E">
        <w:rPr>
          <w:sz w:val="24"/>
          <w:szCs w:val="24"/>
        </w:rPr>
        <w:t xml:space="preserve"> research </w:t>
      </w:r>
      <w:r>
        <w:rPr>
          <w:sz w:val="24"/>
          <w:szCs w:val="24"/>
        </w:rPr>
        <w:t>with this area as the focus</w:t>
      </w:r>
      <w:r w:rsidRPr="03939E7E">
        <w:rPr>
          <w:sz w:val="24"/>
          <w:szCs w:val="24"/>
        </w:rPr>
        <w:t xml:space="preserve">. Prior to conducting </w:t>
      </w:r>
      <w:r>
        <w:rPr>
          <w:sz w:val="24"/>
          <w:szCs w:val="24"/>
        </w:rPr>
        <w:t>the</w:t>
      </w:r>
      <w:r w:rsidRPr="03939E7E">
        <w:rPr>
          <w:sz w:val="24"/>
          <w:szCs w:val="24"/>
        </w:rPr>
        <w:t xml:space="preserve"> research, the focus was ‘What are staff and pupil’s perceptions on the provisions that are in place to support the well-being of pupils with Additional Learning Needs (ALN)’. Although, after speaking to the staff at </w:t>
      </w:r>
      <w:r w:rsidRPr="03939E7E">
        <w:rPr>
          <w:sz w:val="24"/>
          <w:szCs w:val="24"/>
          <w:highlight w:val="black"/>
        </w:rPr>
        <w:t>Cadle Primary School</w:t>
      </w:r>
      <w:r w:rsidRPr="03939E7E">
        <w:rPr>
          <w:sz w:val="24"/>
          <w:szCs w:val="24"/>
        </w:rPr>
        <w:t xml:space="preserve"> it became evident that </w:t>
      </w:r>
      <w:r>
        <w:rPr>
          <w:sz w:val="24"/>
          <w:szCs w:val="24"/>
        </w:rPr>
        <w:t>the majority</w:t>
      </w:r>
      <w:r w:rsidRPr="03939E7E">
        <w:rPr>
          <w:sz w:val="24"/>
          <w:szCs w:val="24"/>
        </w:rPr>
        <w:t xml:space="preserve"> of the wellbeing activities that were in place were used consistently within the classroom with interventions only being used as a last resort for pupils that require additional support. Hence </w:t>
      </w:r>
      <w:r>
        <w:rPr>
          <w:sz w:val="24"/>
          <w:szCs w:val="24"/>
        </w:rPr>
        <w:t>the</w:t>
      </w:r>
      <w:r w:rsidRPr="03939E7E">
        <w:rPr>
          <w:sz w:val="24"/>
          <w:szCs w:val="24"/>
        </w:rPr>
        <w:t xml:space="preserve"> decision to take on a more generalised approach. Furthermore, the assignment is intricately linked to the professional teaching standards therefore it provided the opportunity to interact with the different strands such as the ‘Pedagogy: Influencing’ strand specifically the Learning outcomes and well-being. This ensured </w:t>
      </w:r>
      <w:r>
        <w:rPr>
          <w:sz w:val="24"/>
          <w:szCs w:val="24"/>
        </w:rPr>
        <w:t>the researcher</w:t>
      </w:r>
      <w:r w:rsidRPr="03939E7E">
        <w:rPr>
          <w:sz w:val="24"/>
          <w:szCs w:val="24"/>
        </w:rPr>
        <w:t xml:space="preserve"> was given the opportunity to further develop my own teaching practice. The school in which </w:t>
      </w:r>
      <w:r>
        <w:rPr>
          <w:sz w:val="24"/>
          <w:szCs w:val="24"/>
        </w:rPr>
        <w:t>the</w:t>
      </w:r>
      <w:r w:rsidRPr="03939E7E">
        <w:rPr>
          <w:sz w:val="24"/>
          <w:szCs w:val="24"/>
        </w:rPr>
        <w:t xml:space="preserve"> research was conducted in was situated in an urban area in Swansea. According to statistics collected by ESTYN (2023) </w:t>
      </w:r>
      <w:r w:rsidRPr="03939E7E">
        <w:rPr>
          <w:sz w:val="24"/>
          <w:szCs w:val="24"/>
        </w:rPr>
        <w:lastRenderedPageBreak/>
        <w:t xml:space="preserve">within the school ‘21.7% of pupils have been identified as having ALN’ with the national average being 16.1%. ESTYN (2023) also recorded that the ‘percentage of pupils eligible for free school meals over a three-year average was 48.4% of pupils with the average being 23.0%’. </w:t>
      </w:r>
      <w:r>
        <w:rPr>
          <w:sz w:val="24"/>
          <w:szCs w:val="24"/>
        </w:rPr>
        <w:t>This</w:t>
      </w:r>
      <w:r w:rsidRPr="03939E7E">
        <w:rPr>
          <w:sz w:val="24"/>
          <w:szCs w:val="24"/>
        </w:rPr>
        <w:t xml:space="preserve"> research was undertaken across the whole school with semi-structured interviews being conducted amongst a handful of Key Stage 2 pupils and several staff. </w:t>
      </w:r>
    </w:p>
    <w:p w14:paraId="76AC23A0" w14:textId="77777777" w:rsidR="005A446B" w:rsidRDefault="005A446B" w:rsidP="005A446B">
      <w:pPr>
        <w:jc w:val="both"/>
        <w:rPr>
          <w:sz w:val="24"/>
          <w:szCs w:val="24"/>
        </w:rPr>
      </w:pPr>
    </w:p>
    <w:p w14:paraId="44DF9D79" w14:textId="77777777" w:rsidR="005A446B" w:rsidRDefault="005A446B" w:rsidP="005A446B">
      <w:pPr>
        <w:jc w:val="both"/>
        <w:rPr>
          <w:lang w:val="en-US"/>
        </w:rPr>
      </w:pPr>
      <w:proofErr w:type="spellStart"/>
      <w:r w:rsidRPr="03939E7E">
        <w:t>Demkowicz</w:t>
      </w:r>
      <w:proofErr w:type="spellEnd"/>
      <w:r w:rsidRPr="03939E7E">
        <w:t xml:space="preserve"> et al. (2023) states that ‘Provision that aims to promote the social, emotional, and mental wellbeing of children and young people (including their mental health) is increasingly implemented in education settings.’ This suggests that provisions that are put in place to assist pupil well-being is becoming more of a priority to schools. Due to the date of the source, it is likely to be credible, although the research focuses on children aged 6-17</w:t>
      </w:r>
      <w:r>
        <w:t>.</w:t>
      </w:r>
      <w:r w:rsidRPr="03939E7E">
        <w:t xml:space="preserve"> </w:t>
      </w:r>
      <w:r>
        <w:t>T</w:t>
      </w:r>
      <w:r w:rsidRPr="03939E7E">
        <w:t xml:space="preserve">herefore, </w:t>
      </w:r>
      <w:r>
        <w:t>the findings are generalised</w:t>
      </w:r>
      <w:r w:rsidRPr="03939E7E">
        <w:t xml:space="preserve"> and does not highlight the specific risks </w:t>
      </w:r>
      <w:r>
        <w:t>or the</w:t>
      </w:r>
      <w:r w:rsidRPr="03939E7E">
        <w:t xml:space="preserve"> provisions that benefit pupils of different ages. Building on this idea, the Welsh Government (2022) Curriculum for Wales highlights the importance of implementing well-being into the classroom; this can be seen in the ‘How we process and respond to our experiences affects our emotional well-being' statement of what matters. (Curriculum for Wales, 2022). As the source of the information is the Welsh Government and was created based on Grahame Donaldson’s research it is reliable and can be applied to teaching practice in order to aide pupils learning. Although the review focused on the perceptions of pupils and teachers in different types of schools across Wales only 30% of the participants were children and young people. These statistics were sourced by the Successful Futures report by Donaldson (2015) therefore although they are representative, it is essential we think critically and take into consideration that the research that was used to create the Welsh Curriculum (2022) is dated. When taking into consideration this the provisions that are put in place in the classrooms such as ‘Finger breathing techniques’ that provide pupils with different regulation methods are often used within the classroom to allow pupils the opportunity to reflect on their emotions and experiences. Furthermore, regarding the professional standards for teaching and leadership Handbook (2023) one of the strands focuses on Learning outcomes and well-being drawing attention to ‘</w:t>
      </w:r>
      <w:r w:rsidRPr="03939E7E">
        <w:rPr>
          <w:lang w:val="en-US"/>
        </w:rPr>
        <w:t xml:space="preserve">how high-quality learning experiences and performance outcomes lead to improved learning and a heightened sense of well-being.’ This further strengthens the research carried out by </w:t>
      </w:r>
      <w:proofErr w:type="spellStart"/>
      <w:r w:rsidRPr="03939E7E">
        <w:rPr>
          <w:lang w:val="en-US"/>
        </w:rPr>
        <w:t>Demkowicz</w:t>
      </w:r>
      <w:proofErr w:type="spellEnd"/>
      <w:r w:rsidRPr="03939E7E">
        <w:rPr>
          <w:lang w:val="en-US"/>
        </w:rPr>
        <w:t xml:space="preserve"> et al (2023) as it stresses the impact of pupil well-being on their learning.</w:t>
      </w:r>
    </w:p>
    <w:p w14:paraId="51A8F775" w14:textId="77777777" w:rsidR="005A446B" w:rsidRDefault="005A446B" w:rsidP="005A446B">
      <w:pPr>
        <w:jc w:val="both"/>
        <w:rPr>
          <w:lang w:val="en-US"/>
        </w:rPr>
      </w:pPr>
      <w:r w:rsidRPr="03939E7E">
        <w:rPr>
          <w:lang w:val="en-US"/>
        </w:rPr>
        <w:t>‘Children with higher levels of emotional, behavioral, social and school wellbeing, on average, have higher levels of academic achievement and are more engaged in school, both concurrently and in later years.’</w:t>
      </w:r>
    </w:p>
    <w:p w14:paraId="5A2A2ECD" w14:textId="77777777" w:rsidR="005A446B" w:rsidRDefault="005A446B" w:rsidP="005A446B">
      <w:pPr>
        <w:jc w:val="right"/>
        <w:rPr>
          <w:lang w:val="en-US"/>
        </w:rPr>
      </w:pPr>
      <w:r w:rsidRPr="03939E7E">
        <w:rPr>
          <w:lang w:val="en-US"/>
        </w:rPr>
        <w:t xml:space="preserve">(Morrison and </w:t>
      </w:r>
      <w:proofErr w:type="spellStart"/>
      <w:r w:rsidRPr="03939E7E">
        <w:rPr>
          <w:lang w:val="en-US"/>
        </w:rPr>
        <w:t>Vorhaus</w:t>
      </w:r>
      <w:proofErr w:type="spellEnd"/>
      <w:r w:rsidRPr="03939E7E">
        <w:rPr>
          <w:lang w:val="en-US"/>
        </w:rPr>
        <w:t>, 2012)</w:t>
      </w:r>
    </w:p>
    <w:p w14:paraId="1F524C83" w14:textId="77777777" w:rsidR="005A446B" w:rsidRDefault="005A446B" w:rsidP="005A446B">
      <w:pPr>
        <w:jc w:val="both"/>
        <w:rPr>
          <w:lang w:val="en-US"/>
        </w:rPr>
      </w:pPr>
      <w:r w:rsidRPr="03939E7E">
        <w:rPr>
          <w:lang w:val="en-US"/>
        </w:rPr>
        <w:t>Although, Clarke (2020) contradicts this and refers to Heller-</w:t>
      </w:r>
      <w:proofErr w:type="spellStart"/>
      <w:r w:rsidRPr="03939E7E">
        <w:rPr>
          <w:lang w:val="en-US"/>
        </w:rPr>
        <w:t>Sahlgren</w:t>
      </w:r>
      <w:proofErr w:type="spellEnd"/>
      <w:r w:rsidRPr="03939E7E">
        <w:rPr>
          <w:lang w:val="en-US"/>
        </w:rPr>
        <w:t xml:space="preserve"> who argues that there is no correlation between pupil happiness and attainment. She goes on to state that England’s move towards a more wellbeing centered curriculum has had a negative effect on pupils' academic attainment. Although this is a more recent study it focuses on schools in England, Price (2023) states that Wales is under-performing in </w:t>
      </w:r>
      <w:proofErr w:type="spellStart"/>
      <w:r w:rsidRPr="03939E7E">
        <w:rPr>
          <w:lang w:val="en-US"/>
        </w:rPr>
        <w:t>Maths</w:t>
      </w:r>
      <w:proofErr w:type="spellEnd"/>
      <w:r w:rsidRPr="03939E7E">
        <w:rPr>
          <w:lang w:val="en-US"/>
        </w:rPr>
        <w:t xml:space="preserve">, reading and Science and uses the PISA test results </w:t>
      </w:r>
      <w:proofErr w:type="gramStart"/>
      <w:r w:rsidRPr="03939E7E">
        <w:rPr>
          <w:lang w:val="en-US"/>
        </w:rPr>
        <w:t>in order to</w:t>
      </w:r>
      <w:proofErr w:type="gramEnd"/>
      <w:r w:rsidRPr="03939E7E">
        <w:rPr>
          <w:lang w:val="en-US"/>
        </w:rPr>
        <w:t xml:space="preserve"> support this. Although this is a more relevant source</w:t>
      </w:r>
      <w:r>
        <w:rPr>
          <w:lang w:val="en-US"/>
        </w:rPr>
        <w:t>,</w:t>
      </w:r>
      <w:r w:rsidRPr="03939E7E">
        <w:rPr>
          <w:lang w:val="en-US"/>
        </w:rPr>
        <w:t xml:space="preserve"> the PISA test results focus on the attainment of older pupils. In addition to this, as there is no way to determine what will be included in the test prior to completing it, teachers are unable to tailor their curriculum to allow pupils the opportunity to learn this content prior. Therefore, this test only allows teachers to determine what areas need more focus and as there is no way to determine whether the pupils’ wellbeing had any role in these outcomes. Despite this, Clarke (2023) also goes on to highlight that there are many children living in </w:t>
      </w:r>
      <w:r w:rsidRPr="03939E7E">
        <w:rPr>
          <w:lang w:val="en-US"/>
        </w:rPr>
        <w:lastRenderedPageBreak/>
        <w:t xml:space="preserve">poverty which results in pupil absences as well as schools having to cater for the growing number of ALN pupils within the classroom. Thus, suggesting that school values and as a result their priorities have changed </w:t>
      </w:r>
      <w:proofErr w:type="gramStart"/>
      <w:r w:rsidRPr="03939E7E">
        <w:rPr>
          <w:lang w:val="en-US"/>
        </w:rPr>
        <w:t>in order to</w:t>
      </w:r>
      <w:proofErr w:type="gramEnd"/>
      <w:r w:rsidRPr="03939E7E">
        <w:rPr>
          <w:lang w:val="en-US"/>
        </w:rPr>
        <w:t xml:space="preserve"> better meet the needs of their pupils. As the source was published by ‘Nation Cymru’ the research may be biased towards the schools in Wales hence why it is important to conduct further research. Robson (2023) highlights the importance of providing primary schools with the necessary tools to be able to implement an effective wellbeing curriculum. Although at first glance this source does highlight some of the main concerns regarding teaching a wellbeing curriculum, researchers must also consider what it is this source </w:t>
      </w:r>
      <w:proofErr w:type="gramStart"/>
      <w:r w:rsidRPr="03939E7E">
        <w:rPr>
          <w:lang w:val="en-US"/>
        </w:rPr>
        <w:t>has to</w:t>
      </w:r>
      <w:proofErr w:type="gramEnd"/>
      <w:r w:rsidRPr="03939E7E">
        <w:rPr>
          <w:lang w:val="en-US"/>
        </w:rPr>
        <w:t xml:space="preserve"> gain when publishing this. In this instance, after reading the full article it is evident that the organization that has published this source creates wellbeing resources for teachers and schools. When reviewing </w:t>
      </w:r>
      <w:proofErr w:type="gramStart"/>
      <w:r w:rsidRPr="03939E7E">
        <w:rPr>
          <w:lang w:val="en-US"/>
        </w:rPr>
        <w:t>all of</w:t>
      </w:r>
      <w:proofErr w:type="gramEnd"/>
      <w:r w:rsidRPr="03939E7E">
        <w:rPr>
          <w:lang w:val="en-US"/>
        </w:rPr>
        <w:t xml:space="preserve"> the literature that was discussed above there is little research highlighting how wellbeing affects ALN pupils and the strategies in place to support them specifically. The absence of this data suggests that there is an obvious gap in the research as there is no way to determine if wellbeing affects ALN pupils differently to pupils without ALN</w:t>
      </w:r>
      <w:r>
        <w:rPr>
          <w:lang w:val="en-US"/>
        </w:rPr>
        <w:t>.</w:t>
      </w:r>
    </w:p>
    <w:p w14:paraId="334DEF7E" w14:textId="77777777" w:rsidR="005A446B" w:rsidRDefault="005A446B" w:rsidP="005A446B">
      <w:pPr>
        <w:jc w:val="both"/>
        <w:rPr>
          <w:lang w:val="en-US"/>
        </w:rPr>
      </w:pPr>
      <w:r w:rsidRPr="03939E7E">
        <w:rPr>
          <w:lang w:val="en-US"/>
        </w:rPr>
        <w:t xml:space="preserve">                                                                                    </w:t>
      </w:r>
    </w:p>
    <w:p w14:paraId="4FE98D90" w14:textId="77777777" w:rsidR="005A446B" w:rsidRDefault="005A446B" w:rsidP="005A446B">
      <w:pPr>
        <w:jc w:val="both"/>
        <w:rPr>
          <w:sz w:val="24"/>
          <w:szCs w:val="24"/>
        </w:rPr>
      </w:pPr>
      <w:r w:rsidRPr="03939E7E">
        <w:rPr>
          <w:sz w:val="24"/>
          <w:szCs w:val="24"/>
        </w:rPr>
        <w:t>‘A case study is a detailed study of a specific subject, such as a person, group, place, event, organisation, or phenomenon. Case studies are commonly used in social, educational, clinical, and business research.'</w:t>
      </w:r>
    </w:p>
    <w:p w14:paraId="4DE8B084" w14:textId="77777777" w:rsidR="005A446B" w:rsidRDefault="005A446B" w:rsidP="005A446B">
      <w:pPr>
        <w:jc w:val="right"/>
        <w:rPr>
          <w:sz w:val="24"/>
          <w:szCs w:val="24"/>
        </w:rPr>
      </w:pPr>
      <w:r w:rsidRPr="4958211F">
        <w:rPr>
          <w:sz w:val="24"/>
          <w:szCs w:val="24"/>
        </w:rPr>
        <w:t>(</w:t>
      </w:r>
      <w:proofErr w:type="spellStart"/>
      <w:r w:rsidRPr="4958211F">
        <w:rPr>
          <w:sz w:val="24"/>
          <w:szCs w:val="24"/>
        </w:rPr>
        <w:t>McCombes</w:t>
      </w:r>
      <w:proofErr w:type="spellEnd"/>
      <w:r w:rsidRPr="4958211F">
        <w:rPr>
          <w:sz w:val="24"/>
          <w:szCs w:val="24"/>
        </w:rPr>
        <w:t>, 2022)</w:t>
      </w:r>
    </w:p>
    <w:p w14:paraId="72C8A4AC" w14:textId="77777777" w:rsidR="005A446B" w:rsidRDefault="005A446B" w:rsidP="005A446B">
      <w:pPr>
        <w:jc w:val="both"/>
      </w:pPr>
      <w:r w:rsidRPr="03939E7E">
        <w:rPr>
          <w:rFonts w:eastAsiaTheme="minorEastAsia"/>
          <w:color w:val="000000" w:themeColor="text1"/>
          <w:sz w:val="24"/>
          <w:szCs w:val="24"/>
        </w:rPr>
        <w:t xml:space="preserve">When considering the prior statement, it is evident that the purpose of this assignment is to conduct a study into the perceptions of a specific area within education. Therefore, the chosen subject of the case study was the pupils and staff at </w:t>
      </w:r>
      <w:r w:rsidRPr="03939E7E">
        <w:rPr>
          <w:sz w:val="24"/>
          <w:szCs w:val="24"/>
          <w:highlight w:val="black"/>
        </w:rPr>
        <w:t>Cadle Primary School.</w:t>
      </w:r>
      <w:r w:rsidRPr="03939E7E">
        <w:rPr>
          <w:sz w:val="24"/>
          <w:szCs w:val="24"/>
        </w:rPr>
        <w:t xml:space="preserve"> Although there was a large number of participants it is only representative of the pupils and staff involved in the study, which in this instance is limited to participants from </w:t>
      </w:r>
      <w:r w:rsidRPr="03939E7E">
        <w:rPr>
          <w:sz w:val="24"/>
          <w:szCs w:val="24"/>
          <w:highlight w:val="black"/>
        </w:rPr>
        <w:t>Cadle Primary School.</w:t>
      </w:r>
      <w:r w:rsidRPr="03939E7E">
        <w:rPr>
          <w:sz w:val="24"/>
          <w:szCs w:val="24"/>
        </w:rPr>
        <w:t xml:space="preserve"> Furthermore, Noor (2008) states that a ‘case study is not intended as a study of the entire organization. Rather is intended to focus on a particular issue, </w:t>
      </w:r>
      <w:proofErr w:type="gramStart"/>
      <w:r w:rsidRPr="03939E7E">
        <w:rPr>
          <w:sz w:val="24"/>
          <w:szCs w:val="24"/>
        </w:rPr>
        <w:t>feature</w:t>
      </w:r>
      <w:proofErr w:type="gramEnd"/>
      <w:r w:rsidRPr="03939E7E">
        <w:rPr>
          <w:sz w:val="24"/>
          <w:szCs w:val="24"/>
        </w:rPr>
        <w:t xml:space="preserve"> or unit of analysis.’ When planning to conduct research it is essential the researcher reviews the aim of the research, which is to determine the best way to carry out research. Therefore, the case study method </w:t>
      </w:r>
      <w:r>
        <w:rPr>
          <w:sz w:val="24"/>
          <w:szCs w:val="24"/>
        </w:rPr>
        <w:t>was</w:t>
      </w:r>
      <w:r w:rsidRPr="03939E7E">
        <w:rPr>
          <w:sz w:val="24"/>
          <w:szCs w:val="24"/>
        </w:rPr>
        <w:t xml:space="preserve"> best suited research method for this particular study. As this case study focuses on one school, the study is only representative of the school where the study was conducted it was essential, I made the research as representative as possible by ensuring to include both pupils and staff in my research as this would allow me to gain insight a wider range of perspectives. Building on this, we may consider this as one of the drawbacks of this particular study. Therefore, a larger scale study is imperative in order to plan for proper representation. This may be done by involving a wider range of schools into the study. As insinuated prior it is imperative researchers take into consideration the strengths and weaknesses of the case study method. </w:t>
      </w:r>
      <w:proofErr w:type="spellStart"/>
      <w:r w:rsidRPr="03939E7E">
        <w:rPr>
          <w:sz w:val="24"/>
          <w:szCs w:val="24"/>
        </w:rPr>
        <w:t>Grønmo</w:t>
      </w:r>
      <w:proofErr w:type="spellEnd"/>
      <w:r w:rsidRPr="03939E7E">
        <w:rPr>
          <w:sz w:val="24"/>
          <w:szCs w:val="24"/>
        </w:rPr>
        <w:t xml:space="preserve"> (2019) </w:t>
      </w:r>
      <w:proofErr w:type="gramStart"/>
      <w:r w:rsidRPr="03939E7E">
        <w:rPr>
          <w:sz w:val="24"/>
          <w:szCs w:val="24"/>
        </w:rPr>
        <w:t>makes reference</w:t>
      </w:r>
      <w:proofErr w:type="gramEnd"/>
      <w:r w:rsidRPr="03939E7E">
        <w:rPr>
          <w:sz w:val="24"/>
          <w:szCs w:val="24"/>
        </w:rPr>
        <w:t xml:space="preserve"> to Karlsson (2012) in their book ‘Social Research Methods’ and states that ‘It is argued that the qualitative data from the case study ‘create the basis for a more in-depth analysis of the factors under investigation in the broad comparative analysis.’ This suggests that by conducting a longitudinal study it allows the researcher to gather more data. Although this is true, as case studies do not typically focus on organisations this is a huge limitation, as it is important to take into consideration no person is the same therefore pupils in different schools may </w:t>
      </w:r>
      <w:r w:rsidRPr="03939E7E">
        <w:rPr>
          <w:sz w:val="24"/>
          <w:szCs w:val="24"/>
        </w:rPr>
        <w:lastRenderedPageBreak/>
        <w:t>respond better to other strategies. Ergo, this case study is best suited to provide an idea as to what steps can be put in place in order to assist pupils</w:t>
      </w:r>
      <w:r w:rsidRPr="03939E7E">
        <w:t xml:space="preserve">' well-being. On the other hand, </w:t>
      </w:r>
      <w:proofErr w:type="gramStart"/>
      <w:r w:rsidRPr="03939E7E">
        <w:t>Rule</w:t>
      </w:r>
      <w:proofErr w:type="gramEnd"/>
      <w:r w:rsidRPr="03939E7E">
        <w:t xml:space="preserve"> and John (2015) state that ‘Verschuren (2003) points to the ambiguity and lack of clarity regarding the object of study and the way that this object is studied.’ This suggests that prior to conducting any research it is imperative </w:t>
      </w:r>
      <w:r>
        <w:t>the researcher</w:t>
      </w:r>
      <w:r w:rsidRPr="03939E7E">
        <w:t xml:space="preserve"> </w:t>
      </w:r>
      <w:proofErr w:type="gramStart"/>
      <w:r w:rsidRPr="03939E7E">
        <w:t>take</w:t>
      </w:r>
      <w:r>
        <w:t>s</w:t>
      </w:r>
      <w:r w:rsidRPr="03939E7E">
        <w:t xml:space="preserve"> into account</w:t>
      </w:r>
      <w:proofErr w:type="gramEnd"/>
      <w:r w:rsidRPr="03939E7E">
        <w:t xml:space="preserve"> the focus of the case study and the best way to carry out the research in order to meet the needs of the participants.</w:t>
      </w:r>
    </w:p>
    <w:p w14:paraId="166249D5" w14:textId="77777777" w:rsidR="005A446B" w:rsidRDefault="005A446B" w:rsidP="005A446B">
      <w:pPr>
        <w:jc w:val="both"/>
        <w:rPr>
          <w:rFonts w:ascii="Calibri" w:eastAsia="Calibri" w:hAnsi="Calibri" w:cs="Calibri"/>
          <w:color w:val="000000" w:themeColor="text1"/>
          <w:sz w:val="24"/>
          <w:szCs w:val="24"/>
        </w:rPr>
      </w:pPr>
    </w:p>
    <w:p w14:paraId="53B720B5" w14:textId="77777777" w:rsidR="005A446B" w:rsidRDefault="005A446B" w:rsidP="005A446B">
      <w:pPr>
        <w:jc w:val="both"/>
        <w:rPr>
          <w:rFonts w:ascii="Calibri" w:eastAsia="Calibri" w:hAnsi="Calibri" w:cs="Calibri"/>
          <w:color w:val="000000" w:themeColor="text1"/>
          <w:sz w:val="24"/>
          <w:szCs w:val="24"/>
        </w:rPr>
      </w:pPr>
      <w:r w:rsidRPr="03939E7E">
        <w:rPr>
          <w:rFonts w:ascii="Calibri" w:eastAsia="Calibri" w:hAnsi="Calibri" w:cs="Calibri"/>
          <w:color w:val="000000" w:themeColor="text1"/>
          <w:sz w:val="24"/>
          <w:szCs w:val="24"/>
        </w:rPr>
        <w:t xml:space="preserve">When carrying out the research for </w:t>
      </w:r>
      <w:r>
        <w:rPr>
          <w:rFonts w:ascii="Calibri" w:eastAsia="Calibri" w:hAnsi="Calibri" w:cs="Calibri"/>
          <w:color w:val="000000" w:themeColor="text1"/>
          <w:sz w:val="24"/>
          <w:szCs w:val="24"/>
        </w:rPr>
        <w:t>this</w:t>
      </w:r>
      <w:r w:rsidRPr="03939E7E">
        <w:rPr>
          <w:rFonts w:ascii="Calibri" w:eastAsia="Calibri" w:hAnsi="Calibri" w:cs="Calibri"/>
          <w:color w:val="000000" w:themeColor="text1"/>
          <w:sz w:val="24"/>
          <w:szCs w:val="24"/>
        </w:rPr>
        <w:t xml:space="preserve"> case study</w:t>
      </w:r>
      <w:r>
        <w:rPr>
          <w:rFonts w:ascii="Calibri" w:eastAsia="Calibri" w:hAnsi="Calibri" w:cs="Calibri"/>
          <w:color w:val="000000" w:themeColor="text1"/>
          <w:sz w:val="24"/>
          <w:szCs w:val="24"/>
        </w:rPr>
        <w:t>, the researcher</w:t>
      </w:r>
      <w:r w:rsidRPr="03939E7E">
        <w:rPr>
          <w:rFonts w:ascii="Calibri" w:eastAsia="Calibri" w:hAnsi="Calibri" w:cs="Calibri"/>
          <w:color w:val="000000" w:themeColor="text1"/>
          <w:sz w:val="24"/>
          <w:szCs w:val="24"/>
        </w:rPr>
        <w:t xml:space="preserve"> used a variety of research methods to collect a broader range of data. To begi</w:t>
      </w:r>
      <w:r>
        <w:rPr>
          <w:rFonts w:ascii="Calibri" w:eastAsia="Calibri" w:hAnsi="Calibri" w:cs="Calibri"/>
          <w:color w:val="000000" w:themeColor="text1"/>
          <w:sz w:val="24"/>
          <w:szCs w:val="24"/>
        </w:rPr>
        <w:t>n</w:t>
      </w:r>
      <w:r w:rsidRPr="03939E7E">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 xml:space="preserve">the researcher used </w:t>
      </w:r>
      <w:r w:rsidRPr="03939E7E">
        <w:rPr>
          <w:rFonts w:ascii="Calibri" w:eastAsia="Calibri" w:hAnsi="Calibri" w:cs="Calibri"/>
          <w:color w:val="000000" w:themeColor="text1"/>
          <w:sz w:val="24"/>
          <w:szCs w:val="24"/>
        </w:rPr>
        <w:t>observations</w:t>
      </w:r>
      <w:r>
        <w:rPr>
          <w:rFonts w:ascii="Calibri" w:eastAsia="Calibri" w:hAnsi="Calibri" w:cs="Calibri"/>
          <w:color w:val="000000" w:themeColor="text1"/>
          <w:sz w:val="24"/>
          <w:szCs w:val="24"/>
        </w:rPr>
        <w:t xml:space="preserve"> as</w:t>
      </w:r>
      <w:r w:rsidRPr="03939E7E">
        <w:rPr>
          <w:rFonts w:ascii="Calibri" w:eastAsia="Calibri" w:hAnsi="Calibri" w:cs="Calibri"/>
          <w:color w:val="000000" w:themeColor="text1"/>
          <w:sz w:val="24"/>
          <w:szCs w:val="24"/>
        </w:rPr>
        <w:t xml:space="preserve"> this allowed </w:t>
      </w:r>
      <w:r>
        <w:rPr>
          <w:rFonts w:ascii="Calibri" w:eastAsia="Calibri" w:hAnsi="Calibri" w:cs="Calibri"/>
          <w:color w:val="000000" w:themeColor="text1"/>
          <w:sz w:val="24"/>
          <w:szCs w:val="24"/>
        </w:rPr>
        <w:t>them</w:t>
      </w:r>
      <w:r w:rsidRPr="03939E7E">
        <w:rPr>
          <w:rFonts w:ascii="Calibri" w:eastAsia="Calibri" w:hAnsi="Calibri" w:cs="Calibri"/>
          <w:color w:val="000000" w:themeColor="text1"/>
          <w:sz w:val="24"/>
          <w:szCs w:val="24"/>
        </w:rPr>
        <w:t xml:space="preserve"> to pinpoint the specific area that </w:t>
      </w:r>
      <w:r>
        <w:rPr>
          <w:rFonts w:ascii="Calibri" w:eastAsia="Calibri" w:hAnsi="Calibri" w:cs="Calibri"/>
          <w:color w:val="000000" w:themeColor="text1"/>
          <w:sz w:val="24"/>
          <w:szCs w:val="24"/>
        </w:rPr>
        <w:t>they</w:t>
      </w:r>
      <w:r w:rsidRPr="03939E7E">
        <w:rPr>
          <w:rFonts w:ascii="Calibri" w:eastAsia="Calibri" w:hAnsi="Calibri" w:cs="Calibri"/>
          <w:color w:val="000000" w:themeColor="text1"/>
          <w:sz w:val="24"/>
          <w:szCs w:val="24"/>
        </w:rPr>
        <w:t xml:space="preserve"> wanted to focus on. It also provided the opportunity to tailor </w:t>
      </w:r>
      <w:r>
        <w:rPr>
          <w:rFonts w:ascii="Calibri" w:eastAsia="Calibri" w:hAnsi="Calibri" w:cs="Calibri"/>
          <w:color w:val="000000" w:themeColor="text1"/>
          <w:sz w:val="24"/>
          <w:szCs w:val="24"/>
        </w:rPr>
        <w:t>their</w:t>
      </w:r>
      <w:r w:rsidRPr="03939E7E">
        <w:rPr>
          <w:rFonts w:ascii="Calibri" w:eastAsia="Calibri" w:hAnsi="Calibri" w:cs="Calibri"/>
          <w:color w:val="000000" w:themeColor="text1"/>
          <w:sz w:val="24"/>
          <w:szCs w:val="24"/>
        </w:rPr>
        <w:t xml:space="preserve"> questionnaire and interview questions to ensure that the data being collected gave a proper insight into the information that </w:t>
      </w:r>
      <w:r>
        <w:rPr>
          <w:rFonts w:ascii="Calibri" w:eastAsia="Calibri" w:hAnsi="Calibri" w:cs="Calibri"/>
          <w:color w:val="000000" w:themeColor="text1"/>
          <w:sz w:val="24"/>
          <w:szCs w:val="24"/>
        </w:rPr>
        <w:t>they</w:t>
      </w:r>
      <w:r w:rsidRPr="03939E7E">
        <w:rPr>
          <w:rFonts w:ascii="Calibri" w:eastAsia="Calibri" w:hAnsi="Calibri" w:cs="Calibri"/>
          <w:color w:val="000000" w:themeColor="text1"/>
          <w:sz w:val="24"/>
          <w:szCs w:val="24"/>
        </w:rPr>
        <w:t xml:space="preserve"> aimed to collect. </w:t>
      </w:r>
      <w:proofErr w:type="spellStart"/>
      <w:r w:rsidRPr="03939E7E">
        <w:rPr>
          <w:rFonts w:ascii="Calibri" w:eastAsia="Calibri" w:hAnsi="Calibri" w:cs="Calibri"/>
          <w:color w:val="000000" w:themeColor="text1"/>
          <w:sz w:val="24"/>
          <w:szCs w:val="24"/>
        </w:rPr>
        <w:t>Grønmo</w:t>
      </w:r>
      <w:proofErr w:type="spellEnd"/>
      <w:r w:rsidRPr="03939E7E">
        <w:rPr>
          <w:rFonts w:ascii="Calibri" w:eastAsia="Calibri" w:hAnsi="Calibri" w:cs="Calibri"/>
          <w:color w:val="000000" w:themeColor="text1"/>
          <w:sz w:val="24"/>
          <w:szCs w:val="24"/>
        </w:rPr>
        <w:t xml:space="preserve"> (2019) states that ‘structured observation involves observing the actors while they perform the activities that the researcher wants to study.’ When considering this the pupils and teachers within the school setting are what </w:t>
      </w:r>
      <w:proofErr w:type="spellStart"/>
      <w:r w:rsidRPr="03939E7E">
        <w:rPr>
          <w:rFonts w:ascii="Calibri" w:eastAsia="Calibri" w:hAnsi="Calibri" w:cs="Calibri"/>
          <w:color w:val="000000" w:themeColor="text1"/>
          <w:sz w:val="24"/>
          <w:szCs w:val="24"/>
        </w:rPr>
        <w:t>Grønmo</w:t>
      </w:r>
      <w:proofErr w:type="spellEnd"/>
      <w:r w:rsidRPr="03939E7E">
        <w:rPr>
          <w:rFonts w:ascii="Calibri" w:eastAsia="Calibri" w:hAnsi="Calibri" w:cs="Calibri"/>
          <w:color w:val="000000" w:themeColor="text1"/>
          <w:sz w:val="24"/>
          <w:szCs w:val="24"/>
        </w:rPr>
        <w:t xml:space="preserve"> (2019) refers to as ‘actors’ with the way wellbeing is implemented in the school setting being the focus of the study. When conducting the observation aspect of </w:t>
      </w:r>
      <w:r>
        <w:rPr>
          <w:rFonts w:ascii="Calibri" w:eastAsia="Calibri" w:hAnsi="Calibri" w:cs="Calibri"/>
          <w:color w:val="000000" w:themeColor="text1"/>
          <w:sz w:val="24"/>
          <w:szCs w:val="24"/>
        </w:rPr>
        <w:t>the</w:t>
      </w:r>
      <w:r w:rsidRPr="03939E7E">
        <w:rPr>
          <w:rFonts w:ascii="Calibri" w:eastAsia="Calibri" w:hAnsi="Calibri" w:cs="Calibri"/>
          <w:color w:val="000000" w:themeColor="text1"/>
          <w:sz w:val="24"/>
          <w:szCs w:val="24"/>
        </w:rPr>
        <w:t xml:space="preserve"> research</w:t>
      </w:r>
      <w:r>
        <w:rPr>
          <w:rFonts w:ascii="Calibri" w:eastAsia="Calibri" w:hAnsi="Calibri" w:cs="Calibri"/>
          <w:color w:val="000000" w:themeColor="text1"/>
          <w:sz w:val="24"/>
          <w:szCs w:val="24"/>
        </w:rPr>
        <w:t>, the researcher</w:t>
      </w:r>
      <w:r w:rsidRPr="03939E7E">
        <w:rPr>
          <w:rFonts w:ascii="Calibri" w:eastAsia="Calibri" w:hAnsi="Calibri" w:cs="Calibri"/>
          <w:color w:val="000000" w:themeColor="text1"/>
          <w:sz w:val="24"/>
          <w:szCs w:val="24"/>
        </w:rPr>
        <w:t xml:space="preserve"> chose to conduct overt non-participant observations. Prior to </w:t>
      </w:r>
      <w:r>
        <w:rPr>
          <w:rFonts w:ascii="Calibri" w:eastAsia="Calibri" w:hAnsi="Calibri" w:cs="Calibri"/>
          <w:color w:val="000000" w:themeColor="text1"/>
          <w:sz w:val="24"/>
          <w:szCs w:val="24"/>
        </w:rPr>
        <w:t>conducting the case study, the researcher</w:t>
      </w:r>
      <w:r w:rsidRPr="03939E7E">
        <w:rPr>
          <w:rFonts w:ascii="Calibri" w:eastAsia="Calibri" w:hAnsi="Calibri" w:cs="Calibri"/>
          <w:color w:val="000000" w:themeColor="text1"/>
          <w:sz w:val="24"/>
          <w:szCs w:val="24"/>
        </w:rPr>
        <w:t xml:space="preserve"> ensured to weigh the benefits of this research method as well as any potential drawbacks. The use of overt observation allow</w:t>
      </w:r>
      <w:r>
        <w:rPr>
          <w:rFonts w:ascii="Calibri" w:eastAsia="Calibri" w:hAnsi="Calibri" w:cs="Calibri"/>
          <w:color w:val="000000" w:themeColor="text1"/>
          <w:sz w:val="24"/>
          <w:szCs w:val="24"/>
        </w:rPr>
        <w:t>ed</w:t>
      </w:r>
      <w:r w:rsidRPr="03939E7E">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the researcher</w:t>
      </w:r>
      <w:r w:rsidRPr="03939E7E">
        <w:rPr>
          <w:rFonts w:ascii="Calibri" w:eastAsia="Calibri" w:hAnsi="Calibri" w:cs="Calibri"/>
          <w:color w:val="000000" w:themeColor="text1"/>
          <w:sz w:val="24"/>
          <w:szCs w:val="24"/>
        </w:rPr>
        <w:t xml:space="preserve"> to conduct the research without breaking any of the </w:t>
      </w:r>
      <w:r>
        <w:rPr>
          <w:rFonts w:ascii="Calibri" w:eastAsia="Calibri" w:hAnsi="Calibri" w:cs="Calibri"/>
          <w:color w:val="000000" w:themeColor="text1"/>
          <w:sz w:val="24"/>
          <w:szCs w:val="24"/>
        </w:rPr>
        <w:t xml:space="preserve">BERA </w:t>
      </w:r>
      <w:r w:rsidRPr="03939E7E">
        <w:rPr>
          <w:rFonts w:ascii="Calibri" w:eastAsia="Calibri" w:hAnsi="Calibri" w:cs="Calibri"/>
          <w:color w:val="000000" w:themeColor="text1"/>
          <w:sz w:val="24"/>
          <w:szCs w:val="24"/>
        </w:rPr>
        <w:t xml:space="preserve">ethical guidelines which will be further discussed later in the assignment. On the other hand, by allowing participants to know why they are being observed and the focus of the research participants may alter their behaviour, thus </w:t>
      </w:r>
      <w:r>
        <w:rPr>
          <w:rFonts w:ascii="Calibri" w:eastAsia="Calibri" w:hAnsi="Calibri" w:cs="Calibri"/>
          <w:color w:val="000000" w:themeColor="text1"/>
          <w:sz w:val="24"/>
          <w:szCs w:val="24"/>
        </w:rPr>
        <w:t>the researcher</w:t>
      </w:r>
      <w:r w:rsidRPr="03939E7E">
        <w:rPr>
          <w:rFonts w:ascii="Calibri" w:eastAsia="Calibri" w:hAnsi="Calibri" w:cs="Calibri"/>
          <w:color w:val="000000" w:themeColor="text1"/>
          <w:sz w:val="24"/>
          <w:szCs w:val="24"/>
        </w:rPr>
        <w:t xml:space="preserve"> ensured to collect other forms of research as this allowed me to question participant</w:t>
      </w:r>
      <w:r>
        <w:rPr>
          <w:rFonts w:ascii="Calibri" w:eastAsia="Calibri" w:hAnsi="Calibri" w:cs="Calibri"/>
          <w:color w:val="000000" w:themeColor="text1"/>
          <w:sz w:val="24"/>
          <w:szCs w:val="24"/>
        </w:rPr>
        <w:t xml:space="preserve"> responses</w:t>
      </w:r>
      <w:r w:rsidRPr="03939E7E">
        <w:rPr>
          <w:rFonts w:ascii="Calibri" w:eastAsia="Calibri" w:hAnsi="Calibri" w:cs="Calibri"/>
          <w:color w:val="000000" w:themeColor="text1"/>
          <w:sz w:val="24"/>
          <w:szCs w:val="24"/>
        </w:rPr>
        <w:t xml:space="preserve">. Prior to attending </w:t>
      </w:r>
      <w:r>
        <w:rPr>
          <w:rFonts w:ascii="Calibri" w:eastAsia="Calibri" w:hAnsi="Calibri" w:cs="Calibri"/>
          <w:color w:val="000000" w:themeColor="text1"/>
          <w:sz w:val="24"/>
          <w:szCs w:val="24"/>
        </w:rPr>
        <w:t>the</w:t>
      </w:r>
      <w:r w:rsidRPr="03939E7E">
        <w:rPr>
          <w:rFonts w:ascii="Calibri" w:eastAsia="Calibri" w:hAnsi="Calibri" w:cs="Calibri"/>
          <w:color w:val="000000" w:themeColor="text1"/>
          <w:sz w:val="24"/>
          <w:szCs w:val="24"/>
        </w:rPr>
        <w:t xml:space="preserve"> electives week, </w:t>
      </w:r>
      <w:r>
        <w:rPr>
          <w:rFonts w:ascii="Calibri" w:eastAsia="Calibri" w:hAnsi="Calibri" w:cs="Calibri"/>
          <w:color w:val="000000" w:themeColor="text1"/>
          <w:sz w:val="24"/>
          <w:szCs w:val="24"/>
        </w:rPr>
        <w:t>the researcher</w:t>
      </w:r>
      <w:r w:rsidRPr="03939E7E">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worked with the staff at the electives school in order to create an observation schedule as demonstrated in the appendices. The researcher opted to collaborate with staff as this would ensure minimum disruptions to the pupils learning. Additionally, this allowed them to gain a better insight into the whole school philosophy as well as the teachers’ values. Although, when carrying out the research it is imperative, we consider the idea that the participants may alter their responses in order to make the school seem like more of an advocate for wellbeing. Williams (2008) supports this and writes ‘Nonparticipant observation is a relatively unobtrusive qualitative research strategy for gathering primary data about some aspect of the social world without interacting directly with its participants.’</w:t>
      </w:r>
    </w:p>
    <w:p w14:paraId="336E9FAA" w14:textId="77777777" w:rsidR="005A446B" w:rsidRDefault="005A446B" w:rsidP="005A446B">
      <w:pPr>
        <w:jc w:val="both"/>
        <w:rPr>
          <w:rFonts w:ascii="Calibri" w:eastAsia="Calibri" w:hAnsi="Calibri" w:cs="Calibri"/>
          <w:color w:val="000000" w:themeColor="text1"/>
          <w:sz w:val="24"/>
          <w:szCs w:val="24"/>
        </w:rPr>
      </w:pPr>
    </w:p>
    <w:p w14:paraId="35F0036B" w14:textId="77777777" w:rsidR="005A446B" w:rsidRPr="00284DA5" w:rsidRDefault="005A446B" w:rsidP="005A446B">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As </w:t>
      </w:r>
      <w:proofErr w:type="gramStart"/>
      <w:r>
        <w:rPr>
          <w:rFonts w:ascii="Calibri" w:eastAsia="Calibri" w:hAnsi="Calibri" w:cs="Calibri"/>
          <w:color w:val="000000" w:themeColor="text1"/>
          <w:sz w:val="24"/>
          <w:szCs w:val="24"/>
        </w:rPr>
        <w:t>stated</w:t>
      </w:r>
      <w:proofErr w:type="gramEnd"/>
      <w:r>
        <w:rPr>
          <w:rFonts w:ascii="Calibri" w:eastAsia="Calibri" w:hAnsi="Calibri" w:cs="Calibri"/>
          <w:color w:val="000000" w:themeColor="text1"/>
          <w:sz w:val="24"/>
          <w:szCs w:val="24"/>
        </w:rPr>
        <w:t xml:space="preserve"> prior, the interview questions and questionnaires were tailored based on the researchers findings from their observations. Moving on from their observations, they were able to </w:t>
      </w:r>
      <w:proofErr w:type="spellStart"/>
      <w:r>
        <w:rPr>
          <w:rFonts w:ascii="Calibri" w:eastAsia="Calibri" w:hAnsi="Calibri" w:cs="Calibri"/>
          <w:color w:val="000000" w:themeColor="text1"/>
          <w:sz w:val="24"/>
          <w:szCs w:val="24"/>
        </w:rPr>
        <w:t>determin</w:t>
      </w:r>
      <w:proofErr w:type="spellEnd"/>
      <w:r>
        <w:rPr>
          <w:rFonts w:ascii="Calibri" w:eastAsia="Calibri" w:hAnsi="Calibri" w:cs="Calibri"/>
          <w:color w:val="000000" w:themeColor="text1"/>
          <w:sz w:val="24"/>
          <w:szCs w:val="24"/>
        </w:rPr>
        <w:t xml:space="preserve"> the use of questionnaires would be more suited when aimed at the teaching staff as there is less likelihood of them misinterpreting questions thus reducing the chances of any discrepancies within the data. Again, the use of questionnaires when gathering data had a number of benefits and drawbacks. Furthermore, the use of online questionnaires allowed the researcher to collect a larger sample of responses from the teachers across the </w:t>
      </w:r>
      <w:r>
        <w:rPr>
          <w:rFonts w:ascii="Calibri" w:eastAsia="Calibri" w:hAnsi="Calibri" w:cs="Calibri"/>
          <w:color w:val="000000" w:themeColor="text1"/>
          <w:sz w:val="24"/>
          <w:szCs w:val="24"/>
        </w:rPr>
        <w:lastRenderedPageBreak/>
        <w:t>school. This also allows teachers to complete the questionnaires in their own time. Again, the researcher did this in hopes of minimising the number of disruptions to the pupils and staff’s routine as the research was conducted within a live school situation at a particularly busy time of year. Although this was the intention, when carrying out the research there was a risk of low response rates as teachers were preparing school Christmas concerts as well as preparing for the next term. Appendices two demonstrates a template of questionnaire that was handed out to all of the KS2 staff within the school with a focus on, the staff’s implementation of wellbeing into the classroom as well as their own perception</w:t>
      </w:r>
      <w:r w:rsidRPr="002409DF">
        <w:rPr>
          <w:rFonts w:ascii="Calibri" w:eastAsia="Calibri" w:hAnsi="Calibri" w:cs="Calibri"/>
          <w:color w:val="000000" w:themeColor="text1"/>
          <w:sz w:val="24"/>
          <w:szCs w:val="24"/>
        </w:rPr>
        <w:t xml:space="preserve">s. </w:t>
      </w:r>
      <w:proofErr w:type="spellStart"/>
      <w:r w:rsidRPr="002409DF">
        <w:rPr>
          <w:color w:val="000000"/>
          <w:sz w:val="24"/>
          <w:szCs w:val="24"/>
        </w:rPr>
        <w:t>Hagström</w:t>
      </w:r>
      <w:proofErr w:type="spellEnd"/>
      <w:r w:rsidRPr="002409DF">
        <w:rPr>
          <w:color w:val="000000"/>
          <w:sz w:val="24"/>
          <w:szCs w:val="24"/>
        </w:rPr>
        <w:t xml:space="preserve"> (2017) suggests that ‘qualitative questionnaires are a fruitful research method for information studies.’ Thus</w:t>
      </w:r>
      <w:r>
        <w:rPr>
          <w:color w:val="000000"/>
          <w:sz w:val="24"/>
          <w:szCs w:val="24"/>
        </w:rPr>
        <w:t>,</w:t>
      </w:r>
      <w:r w:rsidRPr="002409DF">
        <w:rPr>
          <w:color w:val="000000"/>
          <w:sz w:val="24"/>
          <w:szCs w:val="24"/>
        </w:rPr>
        <w:t xml:space="preserve"> supporting </w:t>
      </w:r>
      <w:r>
        <w:rPr>
          <w:color w:val="000000"/>
          <w:sz w:val="24"/>
          <w:szCs w:val="24"/>
        </w:rPr>
        <w:t>the researcher’s</w:t>
      </w:r>
      <w:r w:rsidRPr="002409DF">
        <w:rPr>
          <w:color w:val="000000"/>
          <w:sz w:val="24"/>
          <w:szCs w:val="24"/>
        </w:rPr>
        <w:t xml:space="preserve"> decision to use this method in order to gain an insight into the participants perspectives.</w:t>
      </w:r>
      <w:r>
        <w:rPr>
          <w:color w:val="000000"/>
        </w:rPr>
        <w:t xml:space="preserve"> </w:t>
      </w:r>
      <w:r>
        <w:rPr>
          <w:rFonts w:ascii="Calibri" w:eastAsia="Calibri" w:hAnsi="Calibri" w:cs="Calibri"/>
          <w:color w:val="000000" w:themeColor="text1"/>
          <w:sz w:val="24"/>
          <w:szCs w:val="24"/>
        </w:rPr>
        <w:t xml:space="preserve">As the questionnaires are anonymous, they are more likely to be truthful as there is no way of knowing who has responded. On the other hand, this may also be considered a downfall as it is impossible to tell who is yet to complete the questionnaire. When compiling the questions intended to be asked to the participants it was essential the researcher took into consideration their age and ability so as to ensure they were tailored to meet their needs. </w:t>
      </w:r>
    </w:p>
    <w:p w14:paraId="53BFDE5C" w14:textId="77777777" w:rsidR="005A446B" w:rsidRDefault="005A446B" w:rsidP="005A446B">
      <w:pPr>
        <w:jc w:val="both"/>
        <w:rPr>
          <w:rFonts w:ascii="Calibri" w:eastAsia="Calibri" w:hAnsi="Calibri" w:cs="Calibri"/>
          <w:color w:val="000000" w:themeColor="text1"/>
          <w:sz w:val="24"/>
          <w:szCs w:val="24"/>
        </w:rPr>
      </w:pPr>
    </w:p>
    <w:p w14:paraId="02C25BFF" w14:textId="77777777" w:rsidR="005A446B" w:rsidRDefault="005A446B" w:rsidP="005A446B">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Finally, </w:t>
      </w:r>
      <w:r w:rsidRPr="00414F50">
        <w:rPr>
          <w:rFonts w:ascii="Calibri" w:eastAsia="Calibri" w:hAnsi="Calibri" w:cs="Calibri"/>
          <w:color w:val="000000" w:themeColor="text1"/>
          <w:sz w:val="24"/>
          <w:szCs w:val="24"/>
        </w:rPr>
        <w:t xml:space="preserve">the researcher interviewed a small number of KS2 pupils in the hope of gaining a deeper understanding of their knowledge of wellbeing in general as well as the perceptions they have of the way in which the school and their teaching staff promotes wellbeing. </w:t>
      </w:r>
      <w:r w:rsidRPr="00414F50">
        <w:rPr>
          <w:color w:val="000000"/>
          <w:sz w:val="24"/>
          <w:szCs w:val="24"/>
        </w:rPr>
        <w:t>Zwiers (2017) suggests that ‘</w:t>
      </w:r>
      <w:r w:rsidRPr="00414F50">
        <w:rPr>
          <w:rFonts w:ascii="Calibri" w:eastAsia="Calibri" w:hAnsi="Calibri" w:cs="Calibri"/>
          <w:color w:val="000000" w:themeColor="text1"/>
          <w:sz w:val="24"/>
          <w:szCs w:val="24"/>
        </w:rPr>
        <w:t xml:space="preserve">interviewing of children is one of the most useful ways to understand children's thoughts, feelings, perceptions, and experiences.’ </w:t>
      </w:r>
      <w:r>
        <w:rPr>
          <w:rFonts w:ascii="Calibri" w:eastAsia="Calibri" w:hAnsi="Calibri" w:cs="Calibri"/>
          <w:color w:val="000000" w:themeColor="text1"/>
          <w:sz w:val="24"/>
          <w:szCs w:val="24"/>
        </w:rPr>
        <w:t>Thus, supporting the researcher’s decision to interview pupils as it allowed them to ensure child being interviewed had a clear understanding if the question being asked as it provided them with the opportunity to ask for clarity. Although, Zwiers (2017) also states that ‘</w:t>
      </w:r>
      <w:r w:rsidRPr="00414F50">
        <w:rPr>
          <w:rFonts w:ascii="Calibri" w:eastAsia="Calibri" w:hAnsi="Calibri" w:cs="Calibri"/>
          <w:color w:val="000000" w:themeColor="text1"/>
          <w:sz w:val="24"/>
          <w:szCs w:val="24"/>
        </w:rPr>
        <w:t>Interviews can offer rich first-hand data for researchers.</w:t>
      </w:r>
      <w:r>
        <w:rPr>
          <w:rFonts w:ascii="Calibri" w:eastAsia="Calibri" w:hAnsi="Calibri" w:cs="Calibri"/>
          <w:color w:val="000000" w:themeColor="text1"/>
          <w:sz w:val="24"/>
          <w:szCs w:val="24"/>
        </w:rPr>
        <w:t>’ He also goes further to argue that ‘</w:t>
      </w:r>
      <w:r w:rsidRPr="00414F50">
        <w:rPr>
          <w:rFonts w:ascii="Calibri" w:eastAsia="Calibri" w:hAnsi="Calibri" w:cs="Calibri"/>
          <w:color w:val="000000" w:themeColor="text1"/>
          <w:sz w:val="24"/>
          <w:szCs w:val="24"/>
        </w:rPr>
        <w:t>effective interviewing requires a combination of knowledge, skill, and creativity.</w:t>
      </w:r>
      <w:r>
        <w:rPr>
          <w:rFonts w:ascii="Calibri" w:eastAsia="Calibri" w:hAnsi="Calibri" w:cs="Calibri"/>
          <w:color w:val="000000" w:themeColor="text1"/>
          <w:sz w:val="24"/>
          <w:szCs w:val="24"/>
        </w:rPr>
        <w:t xml:space="preserve">’ When taking this into consideration it was imperative that the researcher was vigilant and ensured that they were phrasing the questions in a way the participant understood to avoid giving the participant any impressions as to how they were expected to respond. This was important as it ensured that the participants were not being compelled to answer in a certain way making the data unreliable. Furthermore, when conducting interviews with pupils, it was imperative that the researcher ensured all findings would be anonymous thus the participants did not feel the requirement to censor their statements and could answer honestly. The use of semi-structured interviews allowed the researcher to adjust the questions being asked, this allowed them to gather more detailed data and provided the opportunity for them to encourage participants to delve deeper into specific areas. Although there are a number of advantages to using interviews the researcher also faced a number of hardships that may have affected the data collected. As stated prior the time at which the case study itself was carried out may affect the credibility of the results due to there being a lack of quiet areas in which the interviews may have been undertaken. </w:t>
      </w:r>
    </w:p>
    <w:p w14:paraId="755000AD" w14:textId="77777777" w:rsidR="005A446B" w:rsidRDefault="005A446B" w:rsidP="005A446B">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lastRenderedPageBreak/>
        <w:t xml:space="preserve">As </w:t>
      </w:r>
      <w:proofErr w:type="gramStart"/>
      <w:r>
        <w:rPr>
          <w:rFonts w:ascii="Calibri" w:eastAsia="Calibri" w:hAnsi="Calibri" w:cs="Calibri"/>
          <w:color w:val="000000" w:themeColor="text1"/>
          <w:sz w:val="24"/>
          <w:szCs w:val="24"/>
        </w:rPr>
        <w:t>stated</w:t>
      </w:r>
      <w:proofErr w:type="gramEnd"/>
      <w:r>
        <w:rPr>
          <w:rFonts w:ascii="Calibri" w:eastAsia="Calibri" w:hAnsi="Calibri" w:cs="Calibri"/>
          <w:color w:val="000000" w:themeColor="text1"/>
          <w:sz w:val="24"/>
          <w:szCs w:val="24"/>
        </w:rPr>
        <w:t xml:space="preserve"> prior, with the focus of the study being on the perceptions of the participants the data collected was predominantly qualitative data. Therefore, the researcher was unable to create graphs due to the lack of quantitative data. As the researcher was clear that there were three main areas, that included wanting to gain a deeper insight into attitudes and practice prior to presenting the findings, they ensured to categorise their data into groups, that included ‘school displays’, ‘teacher perceptions’, and ‘pupil perceptions’. This provided the researcher with the opportunity to organise data so that it was easier to compile evidence of findings. Building on the prior statement, due to the researcher using a mixed method approach throughout the case study it was easier to determine which category the data fell under. When carrying out observations across the school the researcher ensured to compile field notes as this was the best way to present the information gathered. Similarly, the researcher audio recorded the interviews as this ensured they did not miss any vital information which would result in more credible data. Furthermore, when creating the transcripts from the audio recordings taken during the interviews, the researcher avoided editing any transcripts where possible so as to sustain the credibility and dependability of the data. Finally, the data gathered from the questionnaires completed by the staff were saved and compared to the data collected from the interviews with pupils as this provided the opportunity to determine whether pupils and staff had similar perceptions of wellbeing. Furthermore, after completing the electives experience the student teacher presented their findings to a number of staff. This provided the researcher the opportunity to provide the school with a review of how the implementation of wellbeing within the school is perceived by both staff and pupils. Finally, after completing the electives experience the student teacher completed a personal experience template. Again, this allowed the researcher to demonstrate how the experience has developed their teaching practice as well as how they intend to further develop their practice. </w:t>
      </w:r>
    </w:p>
    <w:p w14:paraId="1936F226" w14:textId="77777777" w:rsidR="005A446B" w:rsidRDefault="005A446B" w:rsidP="005A446B">
      <w:pPr>
        <w:jc w:val="both"/>
        <w:rPr>
          <w:rFonts w:ascii="Calibri" w:eastAsia="Calibri" w:hAnsi="Calibri" w:cs="Calibri"/>
          <w:color w:val="000000" w:themeColor="text1"/>
          <w:sz w:val="24"/>
          <w:szCs w:val="24"/>
        </w:rPr>
      </w:pPr>
    </w:p>
    <w:p w14:paraId="6BF46B9A" w14:textId="77777777" w:rsidR="005A446B" w:rsidRDefault="005A446B" w:rsidP="005A446B">
      <w:pPr>
        <w:jc w:val="both"/>
        <w:rPr>
          <w:color w:val="000000"/>
          <w:sz w:val="24"/>
          <w:szCs w:val="24"/>
        </w:rPr>
      </w:pPr>
      <w:r>
        <w:rPr>
          <w:rFonts w:ascii="Calibri" w:eastAsia="Calibri" w:hAnsi="Calibri" w:cs="Calibri"/>
          <w:color w:val="000000" w:themeColor="text1"/>
          <w:sz w:val="24"/>
          <w:szCs w:val="24"/>
        </w:rPr>
        <w:t xml:space="preserve">When carrying out the research it was imperative that all ethical considerations were taken into consideration. This included protecting the identity and personal data of the participants by ensuring that all research was either anonymous or confidential. </w:t>
      </w:r>
      <w:proofErr w:type="gramStart"/>
      <w:r>
        <w:rPr>
          <w:rFonts w:ascii="Calibri" w:eastAsia="Calibri" w:hAnsi="Calibri" w:cs="Calibri"/>
          <w:color w:val="000000" w:themeColor="text1"/>
          <w:sz w:val="24"/>
          <w:szCs w:val="24"/>
        </w:rPr>
        <w:t>Prior to conducting any research, it</w:t>
      </w:r>
      <w:proofErr w:type="gramEnd"/>
      <w:r>
        <w:rPr>
          <w:rFonts w:ascii="Calibri" w:eastAsia="Calibri" w:hAnsi="Calibri" w:cs="Calibri"/>
          <w:color w:val="000000" w:themeColor="text1"/>
          <w:sz w:val="24"/>
          <w:szCs w:val="24"/>
        </w:rPr>
        <w:t xml:space="preserve"> was imperative that an ethics form was completed and adhered to throughout </w:t>
      </w:r>
      <w:r w:rsidRPr="003A79E9">
        <w:rPr>
          <w:rFonts w:ascii="Calibri" w:eastAsia="Calibri" w:hAnsi="Calibri" w:cs="Calibri"/>
          <w:color w:val="000000" w:themeColor="text1"/>
          <w:sz w:val="24"/>
          <w:szCs w:val="24"/>
        </w:rPr>
        <w:t xml:space="preserve">the duration of the case study. </w:t>
      </w:r>
      <w:r w:rsidRPr="003A79E9">
        <w:rPr>
          <w:color w:val="000000"/>
          <w:sz w:val="24"/>
          <w:szCs w:val="24"/>
        </w:rPr>
        <w:t xml:space="preserve">Endicott College (2023) defines the provision of anonymity </w:t>
      </w:r>
      <w:r>
        <w:rPr>
          <w:color w:val="000000"/>
          <w:sz w:val="24"/>
          <w:szCs w:val="24"/>
        </w:rPr>
        <w:t xml:space="preserve">as ‘the identity of the participants not being known to the researchers.’ This goes hand in hand with the use of questionnaires as the identity of the participants is not known to the researcher. Although, one may argue that this would come under the confidential bracket as there is no way to make certain who the participants are it is better suited as ensuring anonymity. Therefore, when referring to the ethics form that can be found within the appendices, the researcher ensured to highlight all the things that had to be taken into consideration to ensure the study was ethically correct. This included ensuring participants were aware of their right to withdraw at any point. </w:t>
      </w:r>
    </w:p>
    <w:p w14:paraId="1AD0DDF2" w14:textId="77777777" w:rsidR="005A446B" w:rsidRDefault="005A446B" w:rsidP="005A446B">
      <w:pPr>
        <w:jc w:val="both"/>
        <w:rPr>
          <w:color w:val="000000"/>
          <w:sz w:val="24"/>
          <w:szCs w:val="24"/>
        </w:rPr>
      </w:pPr>
    </w:p>
    <w:p w14:paraId="59DF4F13" w14:textId="77777777" w:rsidR="005A446B" w:rsidRPr="00AA4383" w:rsidRDefault="005A446B" w:rsidP="005A446B">
      <w:pPr>
        <w:jc w:val="both"/>
        <w:rPr>
          <w:color w:val="000000"/>
          <w:sz w:val="24"/>
          <w:szCs w:val="24"/>
        </w:rPr>
      </w:pPr>
      <w:r>
        <w:rPr>
          <w:color w:val="000000"/>
          <w:sz w:val="24"/>
          <w:szCs w:val="24"/>
        </w:rPr>
        <w:t xml:space="preserve">According to </w:t>
      </w:r>
      <w:r w:rsidRPr="003A79E9">
        <w:rPr>
          <w:color w:val="000000"/>
          <w:sz w:val="24"/>
          <w:szCs w:val="24"/>
        </w:rPr>
        <w:t>Endicott College (2023)</w:t>
      </w:r>
      <w:r>
        <w:rPr>
          <w:color w:val="000000"/>
          <w:sz w:val="24"/>
          <w:szCs w:val="24"/>
        </w:rPr>
        <w:t xml:space="preserve"> confidentiality can be defined as when ‘only the research investigators know the identity of the participants.’ This is more suited to the research that </w:t>
      </w:r>
      <w:r>
        <w:rPr>
          <w:color w:val="000000"/>
          <w:sz w:val="24"/>
          <w:szCs w:val="24"/>
        </w:rPr>
        <w:lastRenderedPageBreak/>
        <w:t xml:space="preserve">ensued during this case study as the researcher was aware of who they were interviewing due to the need to gain both consent from the participants and assent from legal guardians due to the participants involved in the interviews being under the legal age of eighteen. In order to gain assent from guardians it was necessary that the researcher When taking this into consideration, the implementation of pseudonyms in place of participant names was essential. Furthermore, the censoring of the school’s name in any data was imperative as it ascertained the safety of the pupils and the staff. </w:t>
      </w:r>
    </w:p>
    <w:p w14:paraId="66E974A6" w14:textId="77777777" w:rsidR="005A446B" w:rsidRDefault="005A446B" w:rsidP="005A446B">
      <w:pPr>
        <w:jc w:val="both"/>
        <w:rPr>
          <w:rFonts w:ascii="Calibri" w:eastAsia="Calibri" w:hAnsi="Calibri" w:cs="Calibri"/>
          <w:color w:val="000000" w:themeColor="text1"/>
          <w:sz w:val="24"/>
          <w:szCs w:val="24"/>
        </w:rPr>
      </w:pPr>
    </w:p>
    <w:p w14:paraId="252D01F6" w14:textId="77777777" w:rsidR="005A446B" w:rsidRPr="00053373" w:rsidRDefault="005A446B" w:rsidP="005A446B">
      <w:pPr>
        <w:pStyle w:val="NormalWeb"/>
        <w:jc w:val="both"/>
        <w:rPr>
          <w:rFonts w:asciiTheme="minorHAnsi" w:eastAsia="Calibri" w:hAnsiTheme="minorHAnsi" w:cstheme="minorHAnsi"/>
          <w:color w:val="000000" w:themeColor="text1"/>
        </w:rPr>
      </w:pPr>
      <w:r>
        <w:rPr>
          <w:rFonts w:ascii="Calibri" w:eastAsia="Calibri" w:hAnsi="Calibri" w:cs="Calibri"/>
          <w:color w:val="000000" w:themeColor="text1"/>
        </w:rPr>
        <w:t xml:space="preserve">When conducting the case study, the researcher found that </w:t>
      </w:r>
      <w:r w:rsidRPr="0073423A">
        <w:rPr>
          <w:rFonts w:ascii="Calibri" w:eastAsia="Calibri" w:hAnsi="Calibri" w:cs="Calibri"/>
          <w:color w:val="000000" w:themeColor="text1"/>
          <w:highlight w:val="black"/>
        </w:rPr>
        <w:t>Cadle Primary School</w:t>
      </w:r>
      <w:r>
        <w:rPr>
          <w:rFonts w:ascii="Calibri" w:eastAsia="Calibri" w:hAnsi="Calibri" w:cs="Calibri"/>
          <w:color w:val="000000" w:themeColor="text1"/>
        </w:rPr>
        <w:t xml:space="preserve"> provided the pupils with ample opportunities to consider their wellbeing as there was a wellbeing focus implemented into the school’s curriculum. When analysing the data collected from the observations, the researcher was able to identify the ways in which the school promoted wellbeing. This was evident in the way that the school used bright colours including rainbows within the displays throughout the school. When correlating this information with the data collected from the interviews undertaken, Child A suggested that the displays made them feel ‘brighter’. </w:t>
      </w:r>
      <w:r w:rsidRPr="00053373">
        <w:rPr>
          <w:rFonts w:asciiTheme="minorHAnsi" w:hAnsiTheme="minorHAnsi" w:cstheme="minorHAnsi"/>
          <w:color w:val="000000"/>
        </w:rPr>
        <w:t>Promote your school. (2020)</w:t>
      </w:r>
      <w:r>
        <w:rPr>
          <w:rFonts w:asciiTheme="minorHAnsi" w:hAnsiTheme="minorHAnsi" w:cstheme="minorHAnsi"/>
          <w:color w:val="000000"/>
        </w:rPr>
        <w:t xml:space="preserve"> state that ‘</w:t>
      </w:r>
      <w:r w:rsidRPr="00053373">
        <w:rPr>
          <w:rFonts w:asciiTheme="minorHAnsi" w:hAnsiTheme="minorHAnsi" w:cstheme="minorHAnsi"/>
          <w:color w:val="000000"/>
        </w:rPr>
        <w:t>Pleasing visual environments in hospitals can benefit mental health and wellbeing. So, one can assume that the aesthetics of a learning environment improve pupil wellbeing too.’</w:t>
      </w:r>
      <w:r>
        <w:rPr>
          <w:rFonts w:asciiTheme="minorHAnsi" w:hAnsiTheme="minorHAnsi" w:cstheme="minorHAnsi"/>
          <w:color w:val="000000"/>
        </w:rPr>
        <w:t xml:space="preserve"> Although this refers to hospitals this can also be applied to schools.</w:t>
      </w:r>
      <w:r>
        <w:rPr>
          <w:rFonts w:ascii="Calibri" w:eastAsia="Calibri" w:hAnsi="Calibri" w:cs="Calibri"/>
          <w:color w:val="000000" w:themeColor="text1"/>
        </w:rPr>
        <w:t xml:space="preserve"> Furthermore, when carrying out observations the student teacher identified a number of regulation stations and chill out zones throughout the school. Again, the interviews shed more light onto the purpose of these areas, with one child stating that ‘it keeps you calm’ and another drawing attention to the areas with blankets and stuffed toys where pupils can go to lie down when they are feeling overwhelmed. Building on this, each class in the school had at least one emotion coach. After further investigation into this role, the student teacher found that pupils were able to volunteer to be emotion coaches with the teachers having the final say into who is best suited for the role. When speaking with the emotion coaches about their ‘job’ it became clear to the researcher that these pupils were caring individuals who could be trusted to support their peers in their time of need. This supports the work of </w:t>
      </w:r>
      <w:r w:rsidRPr="00053373">
        <w:rPr>
          <w:rFonts w:asciiTheme="minorHAnsi" w:hAnsiTheme="minorHAnsi" w:cstheme="minorHAnsi"/>
          <w:color w:val="000000"/>
        </w:rPr>
        <w:t xml:space="preserve">Coleman, </w:t>
      </w:r>
      <w:proofErr w:type="gramStart"/>
      <w:r w:rsidRPr="00053373">
        <w:rPr>
          <w:rFonts w:asciiTheme="minorHAnsi" w:hAnsiTheme="minorHAnsi" w:cstheme="minorHAnsi"/>
          <w:color w:val="000000"/>
        </w:rPr>
        <w:t>Sykes</w:t>
      </w:r>
      <w:proofErr w:type="gramEnd"/>
      <w:r w:rsidRPr="00053373">
        <w:rPr>
          <w:rFonts w:asciiTheme="minorHAnsi" w:hAnsiTheme="minorHAnsi" w:cstheme="minorHAnsi"/>
          <w:color w:val="000000"/>
        </w:rPr>
        <w:t xml:space="preserve"> and Groom (2017) who suggests tha</w:t>
      </w:r>
      <w:r>
        <w:rPr>
          <w:rFonts w:asciiTheme="minorHAnsi" w:hAnsiTheme="minorHAnsi" w:cstheme="minorHAnsi"/>
          <w:color w:val="000000"/>
        </w:rPr>
        <w:t xml:space="preserve">t there is a ‘positive effect of participation for peer supporters, </w:t>
      </w:r>
      <w:r w:rsidRPr="00053373">
        <w:rPr>
          <w:rFonts w:asciiTheme="minorHAnsi" w:hAnsiTheme="minorHAnsi" w:cstheme="minorHAnsi"/>
          <w:color w:val="000000"/>
        </w:rPr>
        <w:t>including</w:t>
      </w:r>
      <w:r w:rsidRPr="00053373">
        <w:rPr>
          <w:rFonts w:asciiTheme="minorHAnsi" w:hAnsiTheme="minorHAnsi" w:cstheme="minorHAnsi"/>
        </w:rPr>
        <w:t xml:space="preserve"> (self-reported) improvements in skills, self-confidence and relationships.’ This highlights the benefits of the peer support systems on the emotion coaches. Although, it is imperative practitioners take into consideration the potential weight of the role.</w:t>
      </w:r>
      <w:r>
        <w:rPr>
          <w:rFonts w:asciiTheme="minorHAnsi" w:hAnsiTheme="minorHAnsi" w:cstheme="minorHAnsi"/>
        </w:rPr>
        <w:t xml:space="preserve"> Furthermore, </w:t>
      </w:r>
      <w:r w:rsidRPr="00053373">
        <w:rPr>
          <w:rFonts w:asciiTheme="minorHAnsi" w:hAnsiTheme="minorHAnsi" w:cstheme="minorHAnsi"/>
          <w:color w:val="000000"/>
        </w:rPr>
        <w:t xml:space="preserve">Coleman, </w:t>
      </w:r>
      <w:proofErr w:type="gramStart"/>
      <w:r w:rsidRPr="00053373">
        <w:rPr>
          <w:rFonts w:asciiTheme="minorHAnsi" w:hAnsiTheme="minorHAnsi" w:cstheme="minorHAnsi"/>
          <w:color w:val="000000"/>
        </w:rPr>
        <w:t>Sykes</w:t>
      </w:r>
      <w:proofErr w:type="gramEnd"/>
      <w:r w:rsidRPr="00053373">
        <w:rPr>
          <w:rFonts w:asciiTheme="minorHAnsi" w:hAnsiTheme="minorHAnsi" w:cstheme="minorHAnsi"/>
          <w:color w:val="000000"/>
        </w:rPr>
        <w:t xml:space="preserve"> and Groom (2017)</w:t>
      </w:r>
      <w:r>
        <w:rPr>
          <w:rFonts w:asciiTheme="minorHAnsi" w:hAnsiTheme="minorHAnsi" w:cstheme="minorHAnsi"/>
          <w:color w:val="000000"/>
        </w:rPr>
        <w:t xml:space="preserve"> also </w:t>
      </w:r>
      <w:r w:rsidRPr="00053373">
        <w:rPr>
          <w:rFonts w:asciiTheme="minorHAnsi" w:hAnsiTheme="minorHAnsi" w:cstheme="minorHAnsi"/>
          <w:color w:val="000000"/>
        </w:rPr>
        <w:t xml:space="preserve">suggest that </w:t>
      </w:r>
      <w:r>
        <w:rPr>
          <w:rFonts w:asciiTheme="minorHAnsi" w:hAnsiTheme="minorHAnsi" w:cstheme="minorHAnsi"/>
          <w:color w:val="000000"/>
        </w:rPr>
        <w:t>there have been ‘</w:t>
      </w:r>
      <w:r w:rsidRPr="00053373">
        <w:rPr>
          <w:rFonts w:asciiTheme="minorHAnsi" w:hAnsiTheme="minorHAnsi" w:cstheme="minorHAnsi"/>
        </w:rPr>
        <w:t>positive self-reported outcomes for supported young people, in relation to increased happiness or wellbeing, improved self-esteem and confidence, and improved social skills or school behaviou</w:t>
      </w:r>
      <w:r>
        <w:rPr>
          <w:rFonts w:asciiTheme="minorHAnsi" w:hAnsiTheme="minorHAnsi" w:cstheme="minorHAnsi"/>
        </w:rPr>
        <w:t xml:space="preserve">r.’ Although there is little evidence that says for definite the effect of this particular method. </w:t>
      </w:r>
      <w:r>
        <w:rPr>
          <w:rFonts w:ascii="Calibri" w:eastAsia="Calibri" w:hAnsi="Calibri" w:cs="Calibri"/>
          <w:color w:val="000000" w:themeColor="text1"/>
        </w:rPr>
        <w:t xml:space="preserve">Although, when analysing the results from the questionnaires handed out to the KS2 staff there was a very low response rate. Therefore, resulting in a gap in the researcher’s findings. When comparing the data collected from the questionnaires completed by the KS2 teachers, all of the respondents stated that they believed that the implementation of wellbeing into the classroom was ‘extremely important.’ Building on this, teachers that completed the questionnaire stated that the pupils at </w:t>
      </w:r>
      <w:r w:rsidRPr="00053373">
        <w:rPr>
          <w:rFonts w:ascii="Calibri" w:eastAsia="Calibri" w:hAnsi="Calibri" w:cs="Calibri"/>
          <w:color w:val="000000" w:themeColor="text1"/>
          <w:highlight w:val="black"/>
        </w:rPr>
        <w:t>Cadle Primary School</w:t>
      </w:r>
      <w:r>
        <w:rPr>
          <w:rFonts w:ascii="Calibri" w:eastAsia="Calibri" w:hAnsi="Calibri" w:cs="Calibri"/>
          <w:color w:val="000000" w:themeColor="text1"/>
        </w:rPr>
        <w:t xml:space="preserve"> had a clear understanding as to what wellbeing was and why it is important. When cross referencing these findings with the data from the interviews it is evident that pupils are properly informed on the topic. The questionnaires were handed out to teachers in order to </w:t>
      </w:r>
      <w:r>
        <w:rPr>
          <w:rFonts w:ascii="Calibri" w:eastAsia="Calibri" w:hAnsi="Calibri" w:cs="Calibri"/>
          <w:color w:val="000000" w:themeColor="text1"/>
        </w:rPr>
        <w:lastRenderedPageBreak/>
        <w:t xml:space="preserve">gain an insight into the wellbeing provisions implemented to assist pupils with additional learning needs. The findings demonstrated that there were no alternative measures in place to support these pupils needs although, there were a number of measures that took place outside of the classroom including Thrive sessions and pet therapy led by the wellbeing lead. Similar to this, prior to beginning the school day pupils with ADHD or behavioural issues were provided the opportunity to participate in sports therapy. Thus, allowing them the opportunity to release energy, practitioners stated that this was especially beneficial when carried out before lessons such as maths. This supports the research of </w:t>
      </w:r>
      <w:r w:rsidRPr="00053373">
        <w:rPr>
          <w:rFonts w:asciiTheme="minorHAnsi" w:hAnsiTheme="minorHAnsi" w:cstheme="minorHAnsi"/>
          <w:color w:val="000000"/>
        </w:rPr>
        <w:t>Pester, Noh and Fu (2023)</w:t>
      </w:r>
      <w:r>
        <w:rPr>
          <w:rFonts w:asciiTheme="minorHAnsi" w:hAnsiTheme="minorHAnsi" w:cstheme="minorHAnsi"/>
          <w:color w:val="000000"/>
        </w:rPr>
        <w:t xml:space="preserve"> who state that ‘</w:t>
      </w:r>
      <w:r w:rsidRPr="00053373">
        <w:rPr>
          <w:rFonts w:asciiTheme="minorHAnsi" w:hAnsiTheme="minorHAnsi" w:cstheme="minorHAnsi"/>
        </w:rPr>
        <w:t>STEM academia bears many stressors for students, faculty, and administrators</w:t>
      </w:r>
      <w:r>
        <w:rPr>
          <w:rFonts w:asciiTheme="minorHAnsi" w:hAnsiTheme="minorHAnsi" w:cstheme="minorHAnsi"/>
        </w:rPr>
        <w:t xml:space="preserve">.’ </w:t>
      </w:r>
      <w:r>
        <w:rPr>
          <w:rFonts w:ascii="Calibri" w:eastAsia="Calibri" w:hAnsi="Calibri" w:cs="Calibri"/>
          <w:color w:val="000000" w:themeColor="text1"/>
        </w:rPr>
        <w:t xml:space="preserve">Moving forward, although pupils were happy with the implementation of wellbeing pupils suggested that they would like additional resources including fidget toys for the regulation stations. </w:t>
      </w:r>
    </w:p>
    <w:p w14:paraId="4AB1054C" w14:textId="77777777" w:rsidR="005A446B" w:rsidRDefault="005A446B" w:rsidP="005A446B">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To conclude, although the methods used in the research were best suited for the research undertaken. Overall, the validity of the methods involved in the research was high. Although, it is arguable that the questionnaire method specifically was unreliable due to the lack of responses. Therefore, after careful consideration moving forward in order to ascertain this issue does not arise again in future projects, I will consider undertaking a more extensive approach involving more participants as this will increase the likelihood of a higher response rate. Furthermore, I will ensure that any questionnaires are handed out prior to carrying out any research as this will provide ample opportunity for participants to respond. On the other hand, I believe the use of observations and interviews were successful as they provided better insight into the workings of the school. Although, it is imperative to take into consideration the fact that the responses given may not be a true representation of the workings of the school as participants may have changed what they said to support the research being collected due to the research being an overt study. Additionally, as the study was carried out on a small scale there is no certain way to know whether this data can be generalised as all schools are going to approach wellbeing differently. Therefore, the findings discussed in this research are unlikely to apply to any other schools. Thus, my next steps would be to complete the same study in other schools to compare and determine whether this is the best way to support pupil wellbeing. Additionally, when carrying out research in the future I will ensure to hand out any consent forms prior to starting any research as this will provide ample time to conduct more interviews in order to gather more data. Overall, my findings suggested the school demonstrated excellent practice and ensured that wellbeing was always taken into consideration. Furthermore, I will ensure to implement some of the provisions observed into my own practice and encourage other practitioners to adopt some of the methods highlighted. As </w:t>
      </w:r>
      <w:proofErr w:type="gramStart"/>
      <w:r>
        <w:rPr>
          <w:rFonts w:ascii="Calibri" w:eastAsia="Calibri" w:hAnsi="Calibri" w:cs="Calibri"/>
          <w:color w:val="000000" w:themeColor="text1"/>
          <w:sz w:val="24"/>
          <w:szCs w:val="24"/>
        </w:rPr>
        <w:t>stated</w:t>
      </w:r>
      <w:proofErr w:type="gramEnd"/>
      <w:r>
        <w:rPr>
          <w:rFonts w:ascii="Calibri" w:eastAsia="Calibri" w:hAnsi="Calibri" w:cs="Calibri"/>
          <w:color w:val="000000" w:themeColor="text1"/>
          <w:sz w:val="24"/>
          <w:szCs w:val="24"/>
        </w:rPr>
        <w:t xml:space="preserve"> prior, the research task can be associated with the professional standards as the experience allowed me to develop a better understanding into a specific area whilst developing my own pedagogy. </w:t>
      </w:r>
    </w:p>
    <w:p w14:paraId="042500AA" w14:textId="77777777" w:rsidR="005A446B" w:rsidRDefault="005A446B" w:rsidP="005A446B">
      <w:pPr>
        <w:jc w:val="both"/>
        <w:rPr>
          <w:rFonts w:ascii="Calibri" w:eastAsia="Calibri" w:hAnsi="Calibri" w:cs="Calibri"/>
          <w:color w:val="000000" w:themeColor="text1"/>
          <w:sz w:val="24"/>
          <w:szCs w:val="24"/>
        </w:rPr>
      </w:pPr>
    </w:p>
    <w:p w14:paraId="1A973B3F" w14:textId="77777777" w:rsidR="005A446B" w:rsidRDefault="005A446B" w:rsidP="005A446B">
      <w:pPr>
        <w:jc w:val="both"/>
        <w:rPr>
          <w:rFonts w:ascii="Calibri" w:eastAsia="Calibri" w:hAnsi="Calibri" w:cs="Calibri"/>
          <w:color w:val="000000" w:themeColor="text1"/>
          <w:sz w:val="24"/>
          <w:szCs w:val="24"/>
        </w:rPr>
      </w:pPr>
    </w:p>
    <w:p w14:paraId="36C8B049" w14:textId="77777777" w:rsidR="005A446B" w:rsidRDefault="005A446B" w:rsidP="005A446B">
      <w:pPr>
        <w:jc w:val="both"/>
        <w:rPr>
          <w:rFonts w:ascii="Calibri" w:eastAsia="Calibri" w:hAnsi="Calibri" w:cs="Calibri"/>
          <w:color w:val="000000" w:themeColor="text1"/>
          <w:sz w:val="24"/>
          <w:szCs w:val="24"/>
        </w:rPr>
      </w:pPr>
    </w:p>
    <w:p w14:paraId="4C1FB689" w14:textId="77777777" w:rsidR="005A446B" w:rsidRDefault="005A446B" w:rsidP="005A446B">
      <w:pPr>
        <w:jc w:val="both"/>
        <w:rPr>
          <w:rFonts w:ascii="Calibri" w:eastAsia="Calibri" w:hAnsi="Calibri" w:cs="Calibri"/>
          <w:color w:val="000000" w:themeColor="text1"/>
          <w:sz w:val="24"/>
          <w:szCs w:val="24"/>
        </w:rPr>
      </w:pPr>
    </w:p>
    <w:p w14:paraId="77AA93B0" w14:textId="77777777" w:rsidR="005A446B" w:rsidRDefault="005A446B" w:rsidP="005A446B">
      <w:pPr>
        <w:jc w:val="both"/>
        <w:rPr>
          <w:rFonts w:ascii="Calibri" w:eastAsia="Calibri" w:hAnsi="Calibri" w:cs="Calibri"/>
          <w:color w:val="000000" w:themeColor="text1"/>
          <w:sz w:val="24"/>
          <w:szCs w:val="24"/>
        </w:rPr>
      </w:pPr>
    </w:p>
    <w:p w14:paraId="65F0B2AF" w14:textId="77777777" w:rsidR="005A446B" w:rsidRDefault="005A446B" w:rsidP="005A446B">
      <w:pPr>
        <w:jc w:val="both"/>
        <w:rPr>
          <w:rFonts w:ascii="Calibri" w:eastAsia="Calibri" w:hAnsi="Calibri" w:cs="Calibri"/>
          <w:color w:val="000000" w:themeColor="text1"/>
          <w:sz w:val="24"/>
          <w:szCs w:val="24"/>
        </w:rPr>
      </w:pPr>
    </w:p>
    <w:p w14:paraId="296A94D0" w14:textId="77777777" w:rsidR="005A446B" w:rsidRPr="00053373" w:rsidRDefault="005A446B" w:rsidP="005A446B">
      <w:pPr>
        <w:pStyle w:val="Heading1"/>
        <w:spacing w:before="0" w:beforeAutospacing="0" w:after="240" w:afterAutospacing="0" w:line="540" w:lineRule="atLeast"/>
        <w:rPr>
          <w:rFonts w:asciiTheme="minorHAnsi" w:hAnsiTheme="minorHAnsi" w:cstheme="minorHAnsi"/>
          <w:color w:val="000000"/>
          <w:sz w:val="24"/>
          <w:szCs w:val="24"/>
        </w:rPr>
      </w:pPr>
      <w:r w:rsidRPr="00053373">
        <w:rPr>
          <w:rFonts w:asciiTheme="minorHAnsi" w:hAnsiTheme="minorHAnsi" w:cstheme="minorHAnsi"/>
          <w:color w:val="000000"/>
          <w:sz w:val="24"/>
          <w:szCs w:val="24"/>
        </w:rPr>
        <w:t>Reference list</w:t>
      </w:r>
    </w:p>
    <w:p w14:paraId="78DBB637"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Bell, K. (2013). case study definition | Open Education Sociology Dictionary.</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sociologydictionary.org</w:t>
      </w:r>
      <w:r w:rsidRPr="00053373">
        <w:rPr>
          <w:rFonts w:asciiTheme="minorHAnsi" w:hAnsiTheme="minorHAnsi" w:cstheme="minorHAnsi"/>
          <w:color w:val="000000"/>
        </w:rPr>
        <w:t>. [online] Available at: https://sociologydictionary.org/case-study/ [Accessed 9 Dec. 2023].</w:t>
      </w:r>
    </w:p>
    <w:p w14:paraId="1FEA6733"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Clarke, T. (2020). Children’s Wellbeing and Their Academic achievement: the Dangerous Discourse of ‘trade-offs’ in Education.</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Theory and Research in Education</w:t>
      </w:r>
      <w:r w:rsidRPr="00053373">
        <w:rPr>
          <w:rFonts w:asciiTheme="minorHAnsi" w:hAnsiTheme="minorHAnsi" w:cstheme="minorHAnsi"/>
          <w:color w:val="000000"/>
        </w:rPr>
        <w:t xml:space="preserve">, [online] 18(3), pp.263–294. </w:t>
      </w:r>
      <w:proofErr w:type="spellStart"/>
      <w:proofErr w:type="gramStart"/>
      <w:r w:rsidRPr="00053373">
        <w:rPr>
          <w:rFonts w:asciiTheme="minorHAnsi" w:hAnsiTheme="minorHAnsi" w:cstheme="minorHAnsi"/>
          <w:color w:val="000000"/>
        </w:rPr>
        <w:t>doi:https</w:t>
      </w:r>
      <w:proofErr w:type="spellEnd"/>
      <w:r w:rsidRPr="00053373">
        <w:rPr>
          <w:rFonts w:asciiTheme="minorHAnsi" w:hAnsiTheme="minorHAnsi" w:cstheme="minorHAnsi"/>
          <w:color w:val="000000"/>
        </w:rPr>
        <w:t>://doi.org/10.1177/1477878520980197</w:t>
      </w:r>
      <w:proofErr w:type="gramEnd"/>
      <w:r w:rsidRPr="00053373">
        <w:rPr>
          <w:rFonts w:asciiTheme="minorHAnsi" w:hAnsiTheme="minorHAnsi" w:cstheme="minorHAnsi"/>
          <w:color w:val="000000"/>
        </w:rPr>
        <w:t>.</w:t>
      </w:r>
      <w:r>
        <w:rPr>
          <w:rFonts w:asciiTheme="minorHAnsi" w:hAnsiTheme="minorHAnsi" w:cstheme="minorHAnsi"/>
          <w:color w:val="000000"/>
        </w:rPr>
        <w:t xml:space="preserve"> (Accessed on: 19 Dec. 2023)</w:t>
      </w:r>
    </w:p>
    <w:p w14:paraId="7E85D5BB"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Coleman, N., Sykes, W. and Groom, C. (2017).</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Peer support and children and young people’s mental health Research review</w:t>
      </w:r>
      <w:r w:rsidRPr="00053373">
        <w:rPr>
          <w:rFonts w:asciiTheme="minorHAnsi" w:hAnsiTheme="minorHAnsi" w:cstheme="minorHAnsi"/>
          <w:color w:val="000000"/>
        </w:rPr>
        <w:t xml:space="preserve">. [online] Available at: </w:t>
      </w:r>
      <w:hyperlink r:id="rId5" w:history="1">
        <w:r w:rsidRPr="00492A78">
          <w:rPr>
            <w:rStyle w:val="Hyperlink"/>
            <w:rFonts w:asciiTheme="minorHAnsi" w:hAnsiTheme="minorHAnsi" w:cstheme="minorHAnsi"/>
          </w:rPr>
          <w:t>https://assets.publishing.service.gov.uk/media/5a820b3d40f0b62305b922c5/Children_and_young_people_s_mental_health_peer_support.pdf</w:t>
        </w:r>
      </w:hyperlink>
      <w:r w:rsidRPr="00053373">
        <w:rPr>
          <w:rFonts w:asciiTheme="minorHAnsi" w:hAnsiTheme="minorHAnsi" w:cstheme="minorHAnsi"/>
          <w:color w:val="000000"/>
        </w:rPr>
        <w:t>.</w:t>
      </w:r>
      <w:r>
        <w:rPr>
          <w:rFonts w:asciiTheme="minorHAnsi" w:hAnsiTheme="minorHAnsi" w:cstheme="minorHAnsi"/>
          <w:color w:val="000000"/>
        </w:rPr>
        <w:t xml:space="preserve"> (Accessed on: 19 Dec. 2023)</w:t>
      </w:r>
    </w:p>
    <w:p w14:paraId="6F656EB3"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proofErr w:type="spellStart"/>
      <w:r w:rsidRPr="00053373">
        <w:rPr>
          <w:rFonts w:asciiTheme="minorHAnsi" w:hAnsiTheme="minorHAnsi" w:cstheme="minorHAnsi"/>
          <w:color w:val="000000"/>
        </w:rPr>
        <w:t>Demkowicz</w:t>
      </w:r>
      <w:proofErr w:type="spellEnd"/>
      <w:r w:rsidRPr="00053373">
        <w:rPr>
          <w:rFonts w:asciiTheme="minorHAnsi" w:hAnsiTheme="minorHAnsi" w:cstheme="minorHAnsi"/>
          <w:color w:val="000000"/>
        </w:rPr>
        <w:t xml:space="preserve">, O., Pert, K., Bond, C., Ashworth, E., Hennessey, A. and Bray, L. (2023). ‘We want it to be a culture’: children and young people’s perceptions of what underpins and undermines education-based wellbeing provision. 23(1). </w:t>
      </w:r>
      <w:proofErr w:type="spellStart"/>
      <w:proofErr w:type="gramStart"/>
      <w:r w:rsidRPr="00053373">
        <w:rPr>
          <w:rFonts w:asciiTheme="minorHAnsi" w:hAnsiTheme="minorHAnsi" w:cstheme="minorHAnsi"/>
          <w:color w:val="000000"/>
        </w:rPr>
        <w:t>doi:https</w:t>
      </w:r>
      <w:proofErr w:type="spellEnd"/>
      <w:r w:rsidRPr="00053373">
        <w:rPr>
          <w:rFonts w:asciiTheme="minorHAnsi" w:hAnsiTheme="minorHAnsi" w:cstheme="minorHAnsi"/>
          <w:color w:val="000000"/>
        </w:rPr>
        <w:t>://doi.org/10.1186/s12889-023-15836-z</w:t>
      </w:r>
      <w:proofErr w:type="gramEnd"/>
      <w:r w:rsidRPr="00053373">
        <w:rPr>
          <w:rFonts w:asciiTheme="minorHAnsi" w:hAnsiTheme="minorHAnsi" w:cstheme="minorHAnsi"/>
          <w:color w:val="000000"/>
        </w:rPr>
        <w:t>.</w:t>
      </w:r>
      <w:r>
        <w:rPr>
          <w:rFonts w:asciiTheme="minorHAnsi" w:hAnsiTheme="minorHAnsi" w:cstheme="minorHAnsi"/>
          <w:color w:val="000000"/>
        </w:rPr>
        <w:t xml:space="preserve"> (Accessed on: 19 Dec. 2023)</w:t>
      </w:r>
    </w:p>
    <w:p w14:paraId="2154CE54"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Donaldson, G. (2015).</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Successful Futures Looking at the Curriculum and Assessment Arrangements in Wales</w:t>
      </w:r>
      <w:r w:rsidRPr="00053373">
        <w:rPr>
          <w:rFonts w:asciiTheme="minorHAnsi" w:hAnsiTheme="minorHAnsi" w:cstheme="minorHAnsi"/>
          <w:color w:val="000000"/>
        </w:rPr>
        <w:t xml:space="preserve">. [online] Available at: </w:t>
      </w:r>
      <w:hyperlink r:id="rId6" w:history="1">
        <w:r w:rsidRPr="00492A78">
          <w:rPr>
            <w:rStyle w:val="Hyperlink"/>
            <w:rFonts w:asciiTheme="minorHAnsi" w:hAnsiTheme="minorHAnsi" w:cstheme="minorHAnsi"/>
          </w:rPr>
          <w:t>https://www.gov.wales/sites/default/files/publications/2018-03/succesful-futures-a-summary-of-professor-graham-donaldsons-</w:t>
        </w:r>
        <w:r w:rsidRPr="00492A78">
          <w:rPr>
            <w:rStyle w:val="Hyperlink"/>
            <w:rFonts w:asciiTheme="minorHAnsi" w:hAnsiTheme="minorHAnsi" w:cstheme="minorHAnsi"/>
          </w:rPr>
          <w:t>r</w:t>
        </w:r>
        <w:r w:rsidRPr="00492A78">
          <w:rPr>
            <w:rStyle w:val="Hyperlink"/>
            <w:rFonts w:asciiTheme="minorHAnsi" w:hAnsiTheme="minorHAnsi" w:cstheme="minorHAnsi"/>
          </w:rPr>
          <w:t>eport.pdf</w:t>
        </w:r>
      </w:hyperlink>
      <w:r w:rsidRPr="00053373">
        <w:rPr>
          <w:rFonts w:asciiTheme="minorHAnsi" w:hAnsiTheme="minorHAnsi" w:cstheme="minorHAnsi"/>
          <w:color w:val="000000"/>
        </w:rPr>
        <w:t>.</w:t>
      </w:r>
      <w:r>
        <w:rPr>
          <w:rFonts w:asciiTheme="minorHAnsi" w:hAnsiTheme="minorHAnsi" w:cstheme="minorHAnsi"/>
          <w:color w:val="000000"/>
        </w:rPr>
        <w:t xml:space="preserve"> (Accessed on: 23 Dec. 2023)</w:t>
      </w:r>
    </w:p>
    <w:p w14:paraId="4D7C2563" w14:textId="77777777" w:rsidR="005A446B"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Endicott College (2023).</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What is the Difference Between Anonymity and Confidentiality?</w:t>
      </w:r>
      <w:r w:rsidRPr="00053373">
        <w:rPr>
          <w:rStyle w:val="apple-converted-space"/>
          <w:rFonts w:asciiTheme="minorHAnsi" w:hAnsiTheme="minorHAnsi" w:cstheme="minorHAnsi"/>
          <w:color w:val="000000"/>
        </w:rPr>
        <w:t> </w:t>
      </w:r>
      <w:r w:rsidRPr="00053373">
        <w:rPr>
          <w:rFonts w:asciiTheme="minorHAnsi" w:hAnsiTheme="minorHAnsi" w:cstheme="minorHAnsi"/>
          <w:color w:val="000000"/>
        </w:rPr>
        <w:t xml:space="preserve">[online] Endicott College. Available at: </w:t>
      </w:r>
      <w:hyperlink r:id="rId7" w:history="1">
        <w:r w:rsidRPr="00492A78">
          <w:rPr>
            <w:rStyle w:val="Hyperlink"/>
            <w:rFonts w:asciiTheme="minorHAnsi" w:hAnsiTheme="minorHAnsi" w:cstheme="minorHAnsi"/>
          </w:rPr>
          <w:t>https://www.endicott.edu/about/research-at-endicott/institutional-review-board-irb/what-is-the-difference-between-anonymity-and-confidentiality#:~:text=Anonymity%3A%20Providing%20anonymity%20of%20information</w:t>
        </w:r>
      </w:hyperlink>
      <w:r w:rsidRPr="00053373">
        <w:rPr>
          <w:rFonts w:asciiTheme="minorHAnsi" w:hAnsiTheme="minorHAnsi" w:cstheme="minorHAnsi"/>
          <w:color w:val="000000"/>
        </w:rPr>
        <w:t>.</w:t>
      </w:r>
    </w:p>
    <w:p w14:paraId="2EB31BA3"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Pr>
          <w:rFonts w:asciiTheme="minorHAnsi" w:hAnsiTheme="minorHAnsi" w:cstheme="minorHAnsi"/>
          <w:color w:val="000000"/>
        </w:rPr>
        <w:t>(Accessed on: 14 Dec. 2023)</w:t>
      </w:r>
    </w:p>
    <w:p w14:paraId="2837F96F"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ESTYN (2023).</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 xml:space="preserve">A report on </w:t>
      </w:r>
      <w:r w:rsidRPr="00053373">
        <w:rPr>
          <w:rFonts w:asciiTheme="minorHAnsi" w:hAnsiTheme="minorHAnsi" w:cstheme="minorHAnsi"/>
          <w:i/>
          <w:iCs/>
          <w:color w:val="000000"/>
          <w:highlight w:val="black"/>
        </w:rPr>
        <w:t>Cadle Primary School</w:t>
      </w:r>
      <w:r w:rsidRPr="00053373">
        <w:rPr>
          <w:rFonts w:asciiTheme="minorHAnsi" w:hAnsiTheme="minorHAnsi" w:cstheme="minorHAnsi"/>
          <w:color w:val="000000"/>
          <w:highlight w:val="black"/>
        </w:rPr>
        <w:t>.</w:t>
      </w:r>
    </w:p>
    <w:p w14:paraId="0668DA2A"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proofErr w:type="spellStart"/>
      <w:r w:rsidRPr="00053373">
        <w:rPr>
          <w:rFonts w:asciiTheme="minorHAnsi" w:hAnsiTheme="minorHAnsi" w:cstheme="minorHAnsi"/>
          <w:color w:val="000000"/>
        </w:rPr>
        <w:t>Hagström</w:t>
      </w:r>
      <w:proofErr w:type="spellEnd"/>
      <w:r w:rsidRPr="00053373">
        <w:rPr>
          <w:rFonts w:asciiTheme="minorHAnsi" w:hAnsiTheme="minorHAnsi" w:cstheme="minorHAnsi"/>
          <w:color w:val="000000"/>
        </w:rPr>
        <w:t>, J.R.E. (2017).</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Qualitative questionnaires as a method for information studies research</w:t>
      </w:r>
      <w:r w:rsidRPr="00053373">
        <w:rPr>
          <w:rFonts w:asciiTheme="minorHAnsi" w:hAnsiTheme="minorHAnsi" w:cstheme="minorHAnsi"/>
          <w:color w:val="000000"/>
        </w:rPr>
        <w:t xml:space="preserve">. [online] informationr.net. Available at: </w:t>
      </w:r>
      <w:hyperlink r:id="rId8" w:history="1">
        <w:r w:rsidRPr="00492A78">
          <w:rPr>
            <w:rStyle w:val="Hyperlink"/>
            <w:rFonts w:asciiTheme="minorHAnsi" w:hAnsiTheme="minorHAnsi" w:cstheme="minorHAnsi"/>
          </w:rPr>
          <w:t>https://informationr.net/ir/22-1/colis/colis1639.html</w:t>
        </w:r>
      </w:hyperlink>
      <w:r w:rsidRPr="00053373">
        <w:rPr>
          <w:rFonts w:asciiTheme="minorHAnsi" w:hAnsiTheme="minorHAnsi" w:cstheme="minorHAnsi"/>
          <w:color w:val="000000"/>
        </w:rPr>
        <w:t>.</w:t>
      </w:r>
      <w:r>
        <w:rPr>
          <w:rFonts w:asciiTheme="minorHAnsi" w:hAnsiTheme="minorHAnsi" w:cstheme="minorHAnsi"/>
          <w:color w:val="000000"/>
        </w:rPr>
        <w:t xml:space="preserve"> (Accessed on: 10 Dec. 2023)</w:t>
      </w:r>
    </w:p>
    <w:p w14:paraId="7F8631A1"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lastRenderedPageBreak/>
        <w:t xml:space="preserve">Morrison, L. and </w:t>
      </w:r>
      <w:proofErr w:type="spellStart"/>
      <w:r w:rsidRPr="00053373">
        <w:rPr>
          <w:rFonts w:asciiTheme="minorHAnsi" w:hAnsiTheme="minorHAnsi" w:cstheme="minorHAnsi"/>
          <w:color w:val="000000"/>
        </w:rPr>
        <w:t>Vorhaus</w:t>
      </w:r>
      <w:proofErr w:type="spellEnd"/>
      <w:r w:rsidRPr="00053373">
        <w:rPr>
          <w:rFonts w:asciiTheme="minorHAnsi" w:hAnsiTheme="minorHAnsi" w:cstheme="minorHAnsi"/>
          <w:color w:val="000000"/>
        </w:rPr>
        <w:t>, J. (2012).</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The Impact of Pupil Behaviour and Wellbeing on Educational Outcomes Childhood Wellbeing Research Centre</w:t>
      </w:r>
      <w:r w:rsidRPr="00053373">
        <w:rPr>
          <w:rFonts w:asciiTheme="minorHAnsi" w:hAnsiTheme="minorHAnsi" w:cstheme="minorHAnsi"/>
          <w:color w:val="000000"/>
        </w:rPr>
        <w:t xml:space="preserve">. [online] Available at: </w:t>
      </w:r>
      <w:hyperlink r:id="rId9" w:history="1">
        <w:r w:rsidRPr="00492A78">
          <w:rPr>
            <w:rStyle w:val="Hyperlink"/>
            <w:rFonts w:asciiTheme="minorHAnsi" w:hAnsiTheme="minorHAnsi" w:cstheme="minorHAnsi"/>
          </w:rPr>
          <w:t>https://assets.publishing.service.gov.uk/media/5a747ef340f0b604dd7ae609/DFE-RR253.pdf</w:t>
        </w:r>
      </w:hyperlink>
      <w:r w:rsidRPr="00053373">
        <w:rPr>
          <w:rFonts w:asciiTheme="minorHAnsi" w:hAnsiTheme="minorHAnsi" w:cstheme="minorHAnsi"/>
          <w:color w:val="000000"/>
        </w:rPr>
        <w:t>.</w:t>
      </w:r>
      <w:r>
        <w:rPr>
          <w:rFonts w:asciiTheme="minorHAnsi" w:hAnsiTheme="minorHAnsi" w:cstheme="minorHAnsi"/>
          <w:color w:val="000000"/>
        </w:rPr>
        <w:t xml:space="preserve"> (Accessed on: 12 Dec. 2023)</w:t>
      </w:r>
    </w:p>
    <w:p w14:paraId="5A2AEC6A"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 xml:space="preserve">Noor, K.B.M. (2008). Case Study: </w:t>
      </w:r>
      <w:proofErr w:type="gramStart"/>
      <w:r w:rsidRPr="00053373">
        <w:rPr>
          <w:rFonts w:asciiTheme="minorHAnsi" w:hAnsiTheme="minorHAnsi" w:cstheme="minorHAnsi"/>
          <w:color w:val="000000"/>
        </w:rPr>
        <w:t>a</w:t>
      </w:r>
      <w:proofErr w:type="gramEnd"/>
      <w:r w:rsidRPr="00053373">
        <w:rPr>
          <w:rFonts w:asciiTheme="minorHAnsi" w:hAnsiTheme="minorHAnsi" w:cstheme="minorHAnsi"/>
          <w:color w:val="000000"/>
        </w:rPr>
        <w:t xml:space="preserve"> Strategic Research Methodology.</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American Journal of Applied Sciences</w:t>
      </w:r>
      <w:r w:rsidRPr="00053373">
        <w:rPr>
          <w:rFonts w:asciiTheme="minorHAnsi" w:hAnsiTheme="minorHAnsi" w:cstheme="minorHAnsi"/>
          <w:color w:val="000000"/>
        </w:rPr>
        <w:t>, 5(11), pp.1602–1604.</w:t>
      </w:r>
      <w:r>
        <w:rPr>
          <w:rFonts w:asciiTheme="minorHAnsi" w:hAnsiTheme="minorHAnsi" w:cstheme="minorHAnsi"/>
          <w:color w:val="000000"/>
        </w:rPr>
        <w:t xml:space="preserve"> (Accessed on: 16 Dec 2023)</w:t>
      </w:r>
    </w:p>
    <w:p w14:paraId="3BBC932C"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 xml:space="preserve">Pester, C.W., Noh, G. and Fu, A. (2023). On the Importance of Mental Health in STEM. </w:t>
      </w:r>
      <w:proofErr w:type="spellStart"/>
      <w:proofErr w:type="gramStart"/>
      <w:r w:rsidRPr="00053373">
        <w:rPr>
          <w:rFonts w:asciiTheme="minorHAnsi" w:hAnsiTheme="minorHAnsi" w:cstheme="minorHAnsi"/>
          <w:color w:val="000000"/>
        </w:rPr>
        <w:t>doi:https</w:t>
      </w:r>
      <w:proofErr w:type="spellEnd"/>
      <w:r w:rsidRPr="00053373">
        <w:rPr>
          <w:rFonts w:asciiTheme="minorHAnsi" w:hAnsiTheme="minorHAnsi" w:cstheme="minorHAnsi"/>
          <w:color w:val="000000"/>
        </w:rPr>
        <w:t>://doi.org/10.1021/acspolymersau.2c00062</w:t>
      </w:r>
      <w:proofErr w:type="gramEnd"/>
      <w:r w:rsidRPr="00053373">
        <w:rPr>
          <w:rFonts w:asciiTheme="minorHAnsi" w:hAnsiTheme="minorHAnsi" w:cstheme="minorHAnsi"/>
          <w:color w:val="000000"/>
        </w:rPr>
        <w:t xml:space="preserve">. </w:t>
      </w:r>
      <w:r>
        <w:rPr>
          <w:rFonts w:asciiTheme="minorHAnsi" w:hAnsiTheme="minorHAnsi" w:cstheme="minorHAnsi"/>
          <w:color w:val="000000"/>
        </w:rPr>
        <w:t>(Accessed on: 3 Jan. 2023)</w:t>
      </w:r>
    </w:p>
    <w:p w14:paraId="4C66D1B4"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Price, E. (2023).</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Wales performs worst among UK nations in maths, reading and science</w:t>
      </w:r>
      <w:r w:rsidRPr="00053373">
        <w:rPr>
          <w:rFonts w:asciiTheme="minorHAnsi" w:hAnsiTheme="minorHAnsi" w:cstheme="minorHAnsi"/>
          <w:color w:val="000000"/>
        </w:rPr>
        <w:t xml:space="preserve">. [online] </w:t>
      </w:r>
      <w:proofErr w:type="spellStart"/>
      <w:r w:rsidRPr="00053373">
        <w:rPr>
          <w:rFonts w:asciiTheme="minorHAnsi" w:hAnsiTheme="minorHAnsi" w:cstheme="minorHAnsi"/>
          <w:color w:val="000000"/>
        </w:rPr>
        <w:t>Nation.Cymru</w:t>
      </w:r>
      <w:proofErr w:type="spellEnd"/>
      <w:r w:rsidRPr="00053373">
        <w:rPr>
          <w:rFonts w:asciiTheme="minorHAnsi" w:hAnsiTheme="minorHAnsi" w:cstheme="minorHAnsi"/>
          <w:color w:val="000000"/>
        </w:rPr>
        <w:t>. Available at: https://nation.cymru/news/wales-performs-worst-among-uk-nations-in-maths-reading-and-science/ [Accessed 2 Jan. 2024].</w:t>
      </w:r>
    </w:p>
    <w:p w14:paraId="1F87D49D"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Promote your school. (2020).</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The Visual Environment &amp; Pupil Wellbeing</w:t>
      </w:r>
      <w:r w:rsidRPr="00053373">
        <w:rPr>
          <w:rFonts w:asciiTheme="minorHAnsi" w:hAnsiTheme="minorHAnsi" w:cstheme="minorHAnsi"/>
          <w:color w:val="000000"/>
        </w:rPr>
        <w:t xml:space="preserve">. [online] Promote Your School. Available at: </w:t>
      </w:r>
      <w:hyperlink r:id="rId10" w:history="1">
        <w:r w:rsidRPr="00492A78">
          <w:rPr>
            <w:rStyle w:val="Hyperlink"/>
            <w:rFonts w:asciiTheme="minorHAnsi" w:hAnsiTheme="minorHAnsi" w:cstheme="minorHAnsi"/>
          </w:rPr>
          <w:t>https://www.promoteyourschool.co.uk/blog/the-effect-of-the-visual-environment-on-well-being</w:t>
        </w:r>
      </w:hyperlink>
      <w:r w:rsidRPr="00053373">
        <w:rPr>
          <w:rFonts w:asciiTheme="minorHAnsi" w:hAnsiTheme="minorHAnsi" w:cstheme="minorHAnsi"/>
          <w:color w:val="000000"/>
        </w:rPr>
        <w:t>.</w:t>
      </w:r>
      <w:r>
        <w:rPr>
          <w:rFonts w:asciiTheme="minorHAnsi" w:hAnsiTheme="minorHAnsi" w:cstheme="minorHAnsi"/>
          <w:color w:val="000000"/>
        </w:rPr>
        <w:t xml:space="preserve"> (Accessed on: 18 Dec. 2023)</w:t>
      </w:r>
    </w:p>
    <w:p w14:paraId="38F445EE"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Robson, L. (2023).</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How Worth-it develops mental health and wellbeing in primary schools</w:t>
      </w:r>
      <w:r w:rsidRPr="00053373">
        <w:rPr>
          <w:rFonts w:asciiTheme="minorHAnsi" w:hAnsiTheme="minorHAnsi" w:cstheme="minorHAnsi"/>
          <w:color w:val="000000"/>
        </w:rPr>
        <w:t xml:space="preserve">. [online] www.worthit.org.uk. Available at: </w:t>
      </w:r>
      <w:hyperlink r:id="rId11" w:history="1">
        <w:r w:rsidRPr="00492A78">
          <w:rPr>
            <w:rStyle w:val="Hyperlink"/>
            <w:rFonts w:asciiTheme="minorHAnsi" w:hAnsiTheme="minorHAnsi" w:cstheme="minorHAnsi"/>
          </w:rPr>
          <w:t>https://www.worthit.org.uk/blog/mental-health-wellbeing-primary-schools</w:t>
        </w:r>
      </w:hyperlink>
      <w:r w:rsidRPr="00053373">
        <w:rPr>
          <w:rFonts w:asciiTheme="minorHAnsi" w:hAnsiTheme="minorHAnsi" w:cstheme="minorHAnsi"/>
          <w:color w:val="000000"/>
        </w:rPr>
        <w:t>.</w:t>
      </w:r>
      <w:r>
        <w:rPr>
          <w:rFonts w:asciiTheme="minorHAnsi" w:hAnsiTheme="minorHAnsi" w:cstheme="minorHAnsi"/>
          <w:color w:val="000000"/>
        </w:rPr>
        <w:t xml:space="preserve"> (Accessed on: 19 Dec. 2023)</w:t>
      </w:r>
    </w:p>
    <w:p w14:paraId="0E2B8C76"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 xml:space="preserve">Rule, </w:t>
      </w:r>
      <w:proofErr w:type="gramStart"/>
      <w:r w:rsidRPr="00053373">
        <w:rPr>
          <w:rFonts w:asciiTheme="minorHAnsi" w:hAnsiTheme="minorHAnsi" w:cstheme="minorHAnsi"/>
          <w:color w:val="000000"/>
        </w:rPr>
        <w:t>P.</w:t>
      </w:r>
      <w:proofErr w:type="gramEnd"/>
      <w:r w:rsidRPr="00053373">
        <w:rPr>
          <w:rFonts w:asciiTheme="minorHAnsi" w:hAnsiTheme="minorHAnsi" w:cstheme="minorHAnsi"/>
          <w:color w:val="000000"/>
        </w:rPr>
        <w:t xml:space="preserve"> and John, V.M. (2015). A Necessary Dialogue.</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International Journal of Qualitative Methods</w:t>
      </w:r>
      <w:r w:rsidRPr="00053373">
        <w:rPr>
          <w:rFonts w:asciiTheme="minorHAnsi" w:hAnsiTheme="minorHAnsi" w:cstheme="minorHAnsi"/>
          <w:color w:val="000000"/>
        </w:rPr>
        <w:t xml:space="preserve">, 14(4), p.160940691561157. </w:t>
      </w:r>
      <w:proofErr w:type="spellStart"/>
      <w:proofErr w:type="gramStart"/>
      <w:r w:rsidRPr="00053373">
        <w:rPr>
          <w:rFonts w:asciiTheme="minorHAnsi" w:hAnsiTheme="minorHAnsi" w:cstheme="minorHAnsi"/>
          <w:color w:val="000000"/>
        </w:rPr>
        <w:t>doi:https</w:t>
      </w:r>
      <w:proofErr w:type="spellEnd"/>
      <w:r w:rsidRPr="00053373">
        <w:rPr>
          <w:rFonts w:asciiTheme="minorHAnsi" w:hAnsiTheme="minorHAnsi" w:cstheme="minorHAnsi"/>
          <w:color w:val="000000"/>
        </w:rPr>
        <w:t>://doi.org/10.1177/1609406915611575</w:t>
      </w:r>
      <w:proofErr w:type="gramEnd"/>
      <w:r w:rsidRPr="00053373">
        <w:rPr>
          <w:rFonts w:asciiTheme="minorHAnsi" w:hAnsiTheme="minorHAnsi" w:cstheme="minorHAnsi"/>
          <w:color w:val="000000"/>
        </w:rPr>
        <w:t>.</w:t>
      </w:r>
    </w:p>
    <w:p w14:paraId="37B84BE8"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proofErr w:type="spellStart"/>
      <w:r w:rsidRPr="00053373">
        <w:rPr>
          <w:rFonts w:asciiTheme="minorHAnsi" w:hAnsiTheme="minorHAnsi" w:cstheme="minorHAnsi"/>
          <w:color w:val="000000"/>
        </w:rPr>
        <w:t>Weinrott</w:t>
      </w:r>
      <w:proofErr w:type="spellEnd"/>
      <w:r w:rsidRPr="00053373">
        <w:rPr>
          <w:rFonts w:asciiTheme="minorHAnsi" w:hAnsiTheme="minorHAnsi" w:cstheme="minorHAnsi"/>
          <w:color w:val="000000"/>
        </w:rPr>
        <w:t>, M.R. and Jones, R.R. (1984). Overt versus Covert Assessment of Observer Reliability.</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Child Development</w:t>
      </w:r>
      <w:r w:rsidRPr="00053373">
        <w:rPr>
          <w:rFonts w:asciiTheme="minorHAnsi" w:hAnsiTheme="minorHAnsi" w:cstheme="minorHAnsi"/>
          <w:color w:val="000000"/>
        </w:rPr>
        <w:t xml:space="preserve">, 55(3), pp.1125–1137. </w:t>
      </w:r>
      <w:proofErr w:type="spellStart"/>
      <w:proofErr w:type="gramStart"/>
      <w:r w:rsidRPr="00053373">
        <w:rPr>
          <w:rFonts w:asciiTheme="minorHAnsi" w:hAnsiTheme="minorHAnsi" w:cstheme="minorHAnsi"/>
          <w:color w:val="000000"/>
        </w:rPr>
        <w:t>doi:https</w:t>
      </w:r>
      <w:proofErr w:type="spellEnd"/>
      <w:r w:rsidRPr="00053373">
        <w:rPr>
          <w:rFonts w:asciiTheme="minorHAnsi" w:hAnsiTheme="minorHAnsi" w:cstheme="minorHAnsi"/>
          <w:color w:val="000000"/>
        </w:rPr>
        <w:t>://doi.org/10.1111/j.1467-8624.1984.tb03851.x</w:t>
      </w:r>
      <w:proofErr w:type="gramEnd"/>
      <w:r w:rsidRPr="00053373">
        <w:rPr>
          <w:rFonts w:asciiTheme="minorHAnsi" w:hAnsiTheme="minorHAnsi" w:cstheme="minorHAnsi"/>
          <w:color w:val="000000"/>
        </w:rPr>
        <w:t>.</w:t>
      </w:r>
      <w:r>
        <w:rPr>
          <w:rFonts w:asciiTheme="minorHAnsi" w:hAnsiTheme="minorHAnsi" w:cstheme="minorHAnsi"/>
          <w:color w:val="000000"/>
        </w:rPr>
        <w:t xml:space="preserve"> (Accessed on: 27 Dec. 2023)</w:t>
      </w:r>
    </w:p>
    <w:p w14:paraId="3444D03C"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Welsh Government (2022).</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Curriculum for Wales - Hwb</w:t>
      </w:r>
      <w:r w:rsidRPr="00053373">
        <w:rPr>
          <w:rFonts w:asciiTheme="minorHAnsi" w:hAnsiTheme="minorHAnsi" w:cstheme="minorHAnsi"/>
          <w:color w:val="000000"/>
        </w:rPr>
        <w:t xml:space="preserve">. [online] </w:t>
      </w:r>
      <w:proofErr w:type="spellStart"/>
      <w:proofErr w:type="gramStart"/>
      <w:r w:rsidRPr="00053373">
        <w:rPr>
          <w:rFonts w:asciiTheme="minorHAnsi" w:hAnsiTheme="minorHAnsi" w:cstheme="minorHAnsi"/>
          <w:color w:val="000000"/>
        </w:rPr>
        <w:t>hwb.gov.wales</w:t>
      </w:r>
      <w:proofErr w:type="spellEnd"/>
      <w:proofErr w:type="gramEnd"/>
      <w:r w:rsidRPr="00053373">
        <w:rPr>
          <w:rFonts w:asciiTheme="minorHAnsi" w:hAnsiTheme="minorHAnsi" w:cstheme="minorHAnsi"/>
          <w:color w:val="000000"/>
        </w:rPr>
        <w:t xml:space="preserve">. Available at: </w:t>
      </w:r>
      <w:hyperlink r:id="rId12" w:history="1">
        <w:r w:rsidRPr="00492A78">
          <w:rPr>
            <w:rStyle w:val="Hyperlink"/>
            <w:rFonts w:asciiTheme="minorHAnsi" w:hAnsiTheme="minorHAnsi" w:cstheme="minorHAnsi"/>
          </w:rPr>
          <w:t>https://hwb.gov.wales/curriculum-for-wales</w:t>
        </w:r>
      </w:hyperlink>
      <w:r w:rsidRPr="00053373">
        <w:rPr>
          <w:rFonts w:asciiTheme="minorHAnsi" w:hAnsiTheme="minorHAnsi" w:cstheme="minorHAnsi"/>
          <w:color w:val="000000"/>
        </w:rPr>
        <w:t>.</w:t>
      </w:r>
      <w:r>
        <w:rPr>
          <w:rFonts w:asciiTheme="minorHAnsi" w:hAnsiTheme="minorHAnsi" w:cstheme="minorHAnsi"/>
          <w:color w:val="000000"/>
        </w:rPr>
        <w:t xml:space="preserve"> (Accessed on: 21 Dec. 2023)</w:t>
      </w:r>
    </w:p>
    <w:p w14:paraId="4EF5562D"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Williams, J.P. (2008).</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 xml:space="preserve">Sage </w:t>
      </w:r>
      <w:proofErr w:type="spellStart"/>
      <w:r w:rsidRPr="00053373">
        <w:rPr>
          <w:rFonts w:asciiTheme="minorHAnsi" w:hAnsiTheme="minorHAnsi" w:cstheme="minorHAnsi"/>
          <w:i/>
          <w:iCs/>
          <w:color w:val="000000"/>
        </w:rPr>
        <w:t>Encyclopedia</w:t>
      </w:r>
      <w:proofErr w:type="spellEnd"/>
      <w:r w:rsidRPr="00053373">
        <w:rPr>
          <w:rFonts w:asciiTheme="minorHAnsi" w:hAnsiTheme="minorHAnsi" w:cstheme="minorHAnsi"/>
          <w:i/>
          <w:iCs/>
          <w:color w:val="000000"/>
        </w:rPr>
        <w:t xml:space="preserve"> of Qualitative Research Methods</w:t>
      </w:r>
      <w:r w:rsidRPr="00053373">
        <w:rPr>
          <w:rFonts w:asciiTheme="minorHAnsi" w:hAnsiTheme="minorHAnsi" w:cstheme="minorHAnsi"/>
          <w:color w:val="000000"/>
        </w:rPr>
        <w:t>. Sage.</w:t>
      </w:r>
      <w:r>
        <w:rPr>
          <w:rFonts w:asciiTheme="minorHAnsi" w:hAnsiTheme="minorHAnsi" w:cstheme="minorHAnsi"/>
          <w:color w:val="000000"/>
        </w:rPr>
        <w:t xml:space="preserve"> (Accessed on: 22 Dec. 2023)</w:t>
      </w:r>
    </w:p>
    <w:p w14:paraId="34F7E805" w14:textId="77777777" w:rsidR="005A446B" w:rsidRPr="00053373" w:rsidRDefault="005A446B" w:rsidP="005A446B">
      <w:pPr>
        <w:pStyle w:val="NormalWeb"/>
        <w:spacing w:before="0" w:beforeAutospacing="0" w:after="240" w:afterAutospacing="0" w:line="360" w:lineRule="atLeast"/>
        <w:rPr>
          <w:rFonts w:asciiTheme="minorHAnsi" w:hAnsiTheme="minorHAnsi" w:cstheme="minorHAnsi"/>
          <w:color w:val="000000"/>
        </w:rPr>
      </w:pPr>
      <w:r w:rsidRPr="00053373">
        <w:rPr>
          <w:rFonts w:asciiTheme="minorHAnsi" w:hAnsiTheme="minorHAnsi" w:cstheme="minorHAnsi"/>
          <w:color w:val="000000"/>
        </w:rPr>
        <w:t>Zwiers, M.L. (2017).</w:t>
      </w:r>
      <w:r w:rsidRPr="00053373">
        <w:rPr>
          <w:rStyle w:val="apple-converted-space"/>
          <w:rFonts w:asciiTheme="minorHAnsi" w:hAnsiTheme="minorHAnsi" w:cstheme="minorHAnsi"/>
          <w:color w:val="000000"/>
        </w:rPr>
        <w:t> </w:t>
      </w:r>
      <w:r w:rsidRPr="00053373">
        <w:rPr>
          <w:rFonts w:asciiTheme="minorHAnsi" w:hAnsiTheme="minorHAnsi" w:cstheme="minorHAnsi"/>
          <w:i/>
          <w:iCs/>
          <w:color w:val="000000"/>
        </w:rPr>
        <w:t xml:space="preserve">The Cambridge </w:t>
      </w:r>
      <w:proofErr w:type="spellStart"/>
      <w:r w:rsidRPr="00053373">
        <w:rPr>
          <w:rFonts w:asciiTheme="minorHAnsi" w:hAnsiTheme="minorHAnsi" w:cstheme="minorHAnsi"/>
          <w:i/>
          <w:iCs/>
          <w:color w:val="000000"/>
        </w:rPr>
        <w:t>encyclopedia</w:t>
      </w:r>
      <w:proofErr w:type="spellEnd"/>
      <w:r w:rsidRPr="00053373">
        <w:rPr>
          <w:rFonts w:asciiTheme="minorHAnsi" w:hAnsiTheme="minorHAnsi" w:cstheme="minorHAnsi"/>
          <w:i/>
          <w:iCs/>
          <w:color w:val="000000"/>
        </w:rPr>
        <w:t xml:space="preserve"> of child development</w:t>
      </w:r>
      <w:r w:rsidRPr="00053373">
        <w:rPr>
          <w:rFonts w:asciiTheme="minorHAnsi" w:hAnsiTheme="minorHAnsi" w:cstheme="minorHAnsi"/>
          <w:color w:val="000000"/>
        </w:rPr>
        <w:t>. Cambridge, United Kingdom: Cambridge University Press.</w:t>
      </w:r>
      <w:r>
        <w:rPr>
          <w:rFonts w:asciiTheme="minorHAnsi" w:hAnsiTheme="minorHAnsi" w:cstheme="minorHAnsi"/>
          <w:color w:val="000000"/>
        </w:rPr>
        <w:t xml:space="preserve"> (Accessed on: 21 Dec. 2023)</w:t>
      </w:r>
    </w:p>
    <w:p w14:paraId="258CE255" w14:textId="77777777" w:rsidR="005A446B" w:rsidRDefault="005A446B" w:rsidP="005A446B">
      <w:pPr>
        <w:rPr>
          <w:rFonts w:ascii="Calibri" w:eastAsia="Calibri" w:hAnsi="Calibri" w:cs="Calibri"/>
          <w:color w:val="000000" w:themeColor="text1"/>
          <w:sz w:val="24"/>
          <w:szCs w:val="24"/>
        </w:rPr>
      </w:pPr>
    </w:p>
    <w:p w14:paraId="16BC1815" w14:textId="77777777" w:rsidR="003C5C14" w:rsidRDefault="003C5C14"/>
    <w:sectPr w:rsidR="003C5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37C25"/>
    <w:multiLevelType w:val="multilevel"/>
    <w:tmpl w:val="B630B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4773B"/>
    <w:multiLevelType w:val="multilevel"/>
    <w:tmpl w:val="D7B85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272733"/>
    <w:multiLevelType w:val="multilevel"/>
    <w:tmpl w:val="1F50A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A1586E"/>
    <w:multiLevelType w:val="hybridMultilevel"/>
    <w:tmpl w:val="945280C2"/>
    <w:lvl w:ilvl="0" w:tplc="16CCD6D0">
      <w:start w:val="2"/>
      <w:numFmt w:val="bullet"/>
      <w:lvlText w:val="-"/>
      <w:lvlJc w:val="left"/>
      <w:pPr>
        <w:ind w:left="720" w:hanging="360"/>
      </w:pPr>
      <w:rPr>
        <w:rFonts w:ascii="Calibri" w:eastAsia="Times New Roman" w:hAnsi="Calibri" w:cs="Calibri" w:hint="default"/>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C131B6"/>
    <w:multiLevelType w:val="multilevel"/>
    <w:tmpl w:val="AA423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CD2EBB"/>
    <w:multiLevelType w:val="hybridMultilevel"/>
    <w:tmpl w:val="F9446292"/>
    <w:lvl w:ilvl="0" w:tplc="16CCD6D0">
      <w:start w:val="2"/>
      <w:numFmt w:val="bullet"/>
      <w:lvlText w:val="-"/>
      <w:lvlJc w:val="left"/>
      <w:pPr>
        <w:ind w:left="720" w:hanging="360"/>
      </w:pPr>
      <w:rPr>
        <w:rFonts w:ascii="Calibri" w:eastAsia="Times New Roman" w:hAnsi="Calibri" w:cs="Calibri" w:hint="default"/>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8316CD"/>
    <w:multiLevelType w:val="multilevel"/>
    <w:tmpl w:val="E092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4F406B"/>
    <w:multiLevelType w:val="multilevel"/>
    <w:tmpl w:val="23365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6541711">
    <w:abstractNumId w:val="29"/>
  </w:num>
  <w:num w:numId="2" w16cid:durableId="375548147">
    <w:abstractNumId w:val="7"/>
  </w:num>
  <w:num w:numId="3" w16cid:durableId="2072463448">
    <w:abstractNumId w:val="27"/>
  </w:num>
  <w:num w:numId="4" w16cid:durableId="1123113969">
    <w:abstractNumId w:val="3"/>
  </w:num>
  <w:num w:numId="5" w16cid:durableId="997612702">
    <w:abstractNumId w:val="14"/>
  </w:num>
  <w:num w:numId="6" w16cid:durableId="1337268616">
    <w:abstractNumId w:val="2"/>
  </w:num>
  <w:num w:numId="7" w16cid:durableId="850493201">
    <w:abstractNumId w:val="16"/>
  </w:num>
  <w:num w:numId="8" w16cid:durableId="1418014885">
    <w:abstractNumId w:val="26"/>
  </w:num>
  <w:num w:numId="9" w16cid:durableId="1351489909">
    <w:abstractNumId w:val="5"/>
  </w:num>
  <w:num w:numId="10" w16cid:durableId="996802858">
    <w:abstractNumId w:val="33"/>
  </w:num>
  <w:num w:numId="11"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6"/>
  </w:num>
  <w:num w:numId="15" w16cid:durableId="465201546">
    <w:abstractNumId w:val="12"/>
  </w:num>
  <w:num w:numId="16" w16cid:durableId="801313199">
    <w:abstractNumId w:val="13"/>
  </w:num>
  <w:num w:numId="17" w16cid:durableId="1932622472">
    <w:abstractNumId w:val="31"/>
  </w:num>
  <w:num w:numId="18" w16cid:durableId="803698313">
    <w:abstractNumId w:val="28"/>
  </w:num>
  <w:num w:numId="19" w16cid:durableId="1870216879">
    <w:abstractNumId w:val="30"/>
  </w:num>
  <w:num w:numId="20" w16cid:durableId="100340676">
    <w:abstractNumId w:val="0"/>
  </w:num>
  <w:num w:numId="21" w16cid:durableId="1557625305">
    <w:abstractNumId w:val="9"/>
  </w:num>
  <w:num w:numId="22" w16cid:durableId="1281380168">
    <w:abstractNumId w:val="11"/>
  </w:num>
  <w:num w:numId="23" w16cid:durableId="1244143853">
    <w:abstractNumId w:val="17"/>
  </w:num>
  <w:num w:numId="24" w16cid:durableId="131824218">
    <w:abstractNumId w:val="19"/>
  </w:num>
  <w:num w:numId="25" w16cid:durableId="395248324">
    <w:abstractNumId w:val="32"/>
  </w:num>
  <w:num w:numId="26" w16cid:durableId="267927197">
    <w:abstractNumId w:val="8"/>
  </w:num>
  <w:num w:numId="27" w16cid:durableId="48654765">
    <w:abstractNumId w:val="20"/>
  </w:num>
  <w:num w:numId="28" w16cid:durableId="1337196786">
    <w:abstractNumId w:val="25"/>
  </w:num>
  <w:num w:numId="29" w16cid:durableId="1755130753">
    <w:abstractNumId w:val="1"/>
  </w:num>
  <w:num w:numId="30" w16cid:durableId="726926220">
    <w:abstractNumId w:val="15"/>
  </w:num>
  <w:num w:numId="31" w16cid:durableId="2083483834">
    <w:abstractNumId w:val="18"/>
  </w:num>
  <w:num w:numId="32" w16cid:durableId="2097245557">
    <w:abstractNumId w:val="34"/>
  </w:num>
  <w:num w:numId="33" w16cid:durableId="475149258">
    <w:abstractNumId w:val="24"/>
  </w:num>
  <w:num w:numId="34" w16cid:durableId="1140654483">
    <w:abstractNumId w:val="10"/>
  </w:num>
  <w:num w:numId="35" w16cid:durableId="1094594604">
    <w:abstractNumId w:val="21"/>
  </w:num>
  <w:num w:numId="36" w16cid:durableId="6905665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46B"/>
    <w:rsid w:val="00174310"/>
    <w:rsid w:val="003558C3"/>
    <w:rsid w:val="003C5C14"/>
    <w:rsid w:val="005A446B"/>
    <w:rsid w:val="00A65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78D632"/>
  <w15:chartTrackingRefBased/>
  <w15:docId w15:val="{732A807C-140A-0B43-A5F8-8FC71D666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46B"/>
    <w:pPr>
      <w:spacing w:after="160" w:line="259" w:lineRule="auto"/>
    </w:pPr>
    <w:rPr>
      <w:sz w:val="22"/>
      <w:szCs w:val="22"/>
    </w:rPr>
  </w:style>
  <w:style w:type="paragraph" w:styleId="Heading1">
    <w:name w:val="heading 1"/>
    <w:basedOn w:val="Normal"/>
    <w:link w:val="Heading1Char"/>
    <w:uiPriority w:val="99"/>
    <w:qFormat/>
    <w:rsid w:val="00A652A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9"/>
    <w:qFormat/>
    <w:rsid w:val="005A446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A652A2"/>
    <w:pPr>
      <w:spacing w:line="360" w:lineRule="auto"/>
    </w:pPr>
    <w:rPr>
      <w:rFonts w:ascii="Arial" w:hAnsi="Arial"/>
    </w:rPr>
  </w:style>
  <w:style w:type="character" w:customStyle="1" w:styleId="AssignBodyChar">
    <w:name w:val="AssignBody Char"/>
    <w:basedOn w:val="DefaultParagraphFont"/>
    <w:link w:val="AssignBody"/>
    <w:rsid w:val="00A652A2"/>
    <w:rPr>
      <w:rFonts w:ascii="Arial" w:hAnsi="Arial"/>
      <w:sz w:val="22"/>
      <w:szCs w:val="22"/>
    </w:rPr>
  </w:style>
  <w:style w:type="character" w:customStyle="1" w:styleId="Heading1Char">
    <w:name w:val="Heading 1 Char"/>
    <w:basedOn w:val="DefaultParagraphFont"/>
    <w:link w:val="Heading1"/>
    <w:uiPriority w:val="99"/>
    <w:rsid w:val="00A652A2"/>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A652A2"/>
    <w:rPr>
      <w:b/>
      <w:bCs/>
    </w:rPr>
  </w:style>
  <w:style w:type="character" w:styleId="Emphasis">
    <w:name w:val="Emphasis"/>
    <w:basedOn w:val="DefaultParagraphFont"/>
    <w:uiPriority w:val="20"/>
    <w:qFormat/>
    <w:rsid w:val="00A652A2"/>
    <w:rPr>
      <w:i/>
      <w:iCs/>
    </w:rPr>
  </w:style>
  <w:style w:type="character" w:customStyle="1" w:styleId="Heading4Char">
    <w:name w:val="Heading 4 Char"/>
    <w:basedOn w:val="DefaultParagraphFont"/>
    <w:link w:val="Heading4"/>
    <w:uiPriority w:val="99"/>
    <w:rsid w:val="005A446B"/>
    <w:rPr>
      <w:rFonts w:ascii="Times New Roman" w:eastAsia="Times New Roman" w:hAnsi="Times New Roman" w:cs="Times New Roman"/>
      <w:b/>
      <w:bCs/>
      <w:sz w:val="28"/>
      <w:szCs w:val="28"/>
    </w:rPr>
  </w:style>
  <w:style w:type="table" w:styleId="TableGrid">
    <w:name w:val="Table Grid"/>
    <w:basedOn w:val="TableNormal"/>
    <w:rsid w:val="005A446B"/>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5A446B"/>
  </w:style>
  <w:style w:type="paragraph" w:styleId="Header">
    <w:name w:val="header"/>
    <w:basedOn w:val="Normal"/>
    <w:link w:val="HeaderChar"/>
    <w:uiPriority w:val="99"/>
    <w:unhideWhenUsed/>
    <w:rsid w:val="005A446B"/>
    <w:pPr>
      <w:tabs>
        <w:tab w:val="center" w:pos="4680"/>
        <w:tab w:val="right" w:pos="9360"/>
      </w:tabs>
      <w:spacing w:after="0" w:line="240" w:lineRule="auto"/>
    </w:pPr>
    <w:rPr>
      <w:sz w:val="24"/>
      <w:szCs w:val="24"/>
    </w:rPr>
  </w:style>
  <w:style w:type="character" w:customStyle="1" w:styleId="HeaderChar1">
    <w:name w:val="Header Char1"/>
    <w:basedOn w:val="DefaultParagraphFont"/>
    <w:uiPriority w:val="99"/>
    <w:semiHidden/>
    <w:rsid w:val="005A446B"/>
    <w:rPr>
      <w:sz w:val="22"/>
      <w:szCs w:val="22"/>
    </w:rPr>
  </w:style>
  <w:style w:type="character" w:customStyle="1" w:styleId="FooterChar">
    <w:name w:val="Footer Char"/>
    <w:basedOn w:val="DefaultParagraphFont"/>
    <w:link w:val="Footer"/>
    <w:uiPriority w:val="99"/>
    <w:rsid w:val="005A446B"/>
  </w:style>
  <w:style w:type="paragraph" w:styleId="Footer">
    <w:name w:val="footer"/>
    <w:basedOn w:val="Normal"/>
    <w:link w:val="FooterChar"/>
    <w:uiPriority w:val="99"/>
    <w:unhideWhenUsed/>
    <w:rsid w:val="005A446B"/>
    <w:pPr>
      <w:tabs>
        <w:tab w:val="center" w:pos="4680"/>
        <w:tab w:val="right" w:pos="9360"/>
      </w:tabs>
      <w:spacing w:after="0" w:line="240" w:lineRule="auto"/>
    </w:pPr>
    <w:rPr>
      <w:sz w:val="24"/>
      <w:szCs w:val="24"/>
    </w:rPr>
  </w:style>
  <w:style w:type="character" w:customStyle="1" w:styleId="FooterChar1">
    <w:name w:val="Footer Char1"/>
    <w:basedOn w:val="DefaultParagraphFont"/>
    <w:uiPriority w:val="99"/>
    <w:semiHidden/>
    <w:rsid w:val="005A446B"/>
    <w:rPr>
      <w:sz w:val="22"/>
      <w:szCs w:val="22"/>
    </w:rPr>
  </w:style>
  <w:style w:type="paragraph" w:styleId="NormalWeb">
    <w:name w:val="Normal (Web)"/>
    <w:basedOn w:val="Normal"/>
    <w:uiPriority w:val="99"/>
    <w:unhideWhenUsed/>
    <w:rsid w:val="005A44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5A44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A446B"/>
  </w:style>
  <w:style w:type="character" w:customStyle="1" w:styleId="eop">
    <w:name w:val="eop"/>
    <w:basedOn w:val="DefaultParagraphFont"/>
    <w:rsid w:val="005A446B"/>
  </w:style>
  <w:style w:type="character" w:customStyle="1" w:styleId="text-format-content">
    <w:name w:val="text-format-content"/>
    <w:basedOn w:val="DefaultParagraphFont"/>
    <w:rsid w:val="005A446B"/>
  </w:style>
  <w:style w:type="character" w:customStyle="1" w:styleId="apple-style-span">
    <w:name w:val="apple-style-span"/>
    <w:rsid w:val="005A446B"/>
  </w:style>
  <w:style w:type="paragraph" w:customStyle="1" w:styleId="NormalWeb1">
    <w:name w:val="Normal (Web)1"/>
    <w:basedOn w:val="Normal"/>
    <w:uiPriority w:val="99"/>
    <w:rsid w:val="005A446B"/>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5A446B"/>
  </w:style>
  <w:style w:type="paragraph" w:styleId="ListParagraph">
    <w:name w:val="List Paragraph"/>
    <w:basedOn w:val="Normal"/>
    <w:uiPriority w:val="34"/>
    <w:qFormat/>
    <w:rsid w:val="005A446B"/>
    <w:pPr>
      <w:spacing w:after="0" w:line="240" w:lineRule="auto"/>
      <w:ind w:left="720"/>
      <w:contextualSpacing/>
    </w:pPr>
    <w:rPr>
      <w:rFonts w:ascii="Times New Roman" w:eastAsia="Times New Roman" w:hAnsi="Times New Roman" w:cs="Times New Roman"/>
      <w:sz w:val="24"/>
      <w:szCs w:val="24"/>
    </w:rPr>
  </w:style>
  <w:style w:type="paragraph" w:styleId="BodyText2">
    <w:name w:val="Body Text 2"/>
    <w:basedOn w:val="Normal"/>
    <w:link w:val="BodyText2Char"/>
    <w:uiPriority w:val="99"/>
    <w:rsid w:val="005A446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A446B"/>
    <w:rPr>
      <w:rFonts w:ascii="Times New Roman" w:eastAsia="Times New Roman" w:hAnsi="Times New Roman" w:cs="Times New Roman"/>
      <w:b/>
      <w:bCs/>
      <w:sz w:val="22"/>
      <w:szCs w:val="22"/>
    </w:rPr>
  </w:style>
  <w:style w:type="paragraph" w:customStyle="1" w:styleId="deannah1">
    <w:name w:val="deannah1"/>
    <w:basedOn w:val="Normal"/>
    <w:uiPriority w:val="99"/>
    <w:rsid w:val="005A446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A446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46B"/>
    <w:rPr>
      <w:rFonts w:ascii="Tahoma" w:eastAsia="Times New Roman" w:hAnsi="Tahoma" w:cs="Tahoma"/>
      <w:sz w:val="16"/>
      <w:szCs w:val="16"/>
    </w:rPr>
  </w:style>
  <w:style w:type="character" w:styleId="Hyperlink">
    <w:name w:val="Hyperlink"/>
    <w:rsid w:val="005A446B"/>
    <w:rPr>
      <w:color w:val="0000FF"/>
      <w:u w:val="single"/>
    </w:rPr>
  </w:style>
  <w:style w:type="character" w:styleId="FollowedHyperlink">
    <w:name w:val="FollowedHyperlink"/>
    <w:uiPriority w:val="99"/>
    <w:semiHidden/>
    <w:rsid w:val="005A446B"/>
    <w:rPr>
      <w:color w:val="800080"/>
      <w:u w:val="single"/>
    </w:rPr>
  </w:style>
  <w:style w:type="character" w:customStyle="1" w:styleId="Hyperlink1">
    <w:name w:val="Hyperlink1"/>
    <w:uiPriority w:val="99"/>
    <w:rsid w:val="005A446B"/>
    <w:rPr>
      <w:color w:val="535353"/>
      <w:u w:val="single"/>
      <w:effect w:val="none"/>
    </w:rPr>
  </w:style>
  <w:style w:type="character" w:styleId="PageNumber">
    <w:name w:val="page number"/>
    <w:basedOn w:val="DefaultParagraphFont"/>
    <w:uiPriority w:val="99"/>
    <w:rsid w:val="005A446B"/>
  </w:style>
  <w:style w:type="character" w:styleId="CommentReference">
    <w:name w:val="annotation reference"/>
    <w:uiPriority w:val="99"/>
    <w:semiHidden/>
    <w:unhideWhenUsed/>
    <w:rsid w:val="005A446B"/>
    <w:rPr>
      <w:sz w:val="16"/>
      <w:szCs w:val="16"/>
    </w:rPr>
  </w:style>
  <w:style w:type="paragraph" w:styleId="CommentText">
    <w:name w:val="annotation text"/>
    <w:basedOn w:val="Normal"/>
    <w:link w:val="CommentTextChar"/>
    <w:uiPriority w:val="99"/>
    <w:semiHidden/>
    <w:unhideWhenUsed/>
    <w:rsid w:val="005A446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A446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A446B"/>
    <w:rPr>
      <w:b/>
      <w:bCs/>
    </w:rPr>
  </w:style>
  <w:style w:type="character" w:customStyle="1" w:styleId="CommentSubjectChar">
    <w:name w:val="Comment Subject Char"/>
    <w:basedOn w:val="CommentTextChar"/>
    <w:link w:val="CommentSubject"/>
    <w:uiPriority w:val="99"/>
    <w:semiHidden/>
    <w:rsid w:val="005A446B"/>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5A446B"/>
    <w:rPr>
      <w:color w:val="605E5C"/>
      <w:shd w:val="clear" w:color="auto" w:fill="E1DFDD"/>
    </w:rPr>
  </w:style>
  <w:style w:type="character" w:customStyle="1" w:styleId="apple-converted-space">
    <w:name w:val="apple-converted-space"/>
    <w:basedOn w:val="DefaultParagraphFont"/>
    <w:rsid w:val="005A4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ormationr.net/ir/22-1/colis/colis1639.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dicott.edu/about/research-at-endicott/institutional-review-board-irb/what-is-the-difference-between-anonymity-and-confidentiality#:~:text=Anonymity%3A%20Providing%20anonymity%20of%20information" TargetMode="External"/><Relationship Id="rId12" Type="http://schemas.openxmlformats.org/officeDocument/2006/relationships/hyperlink" Target="https://hwb.gov.wales/curriculum-for-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publications/2018-03/succesful-futures-a-summary-of-professor-graham-donaldsons-report.pdf" TargetMode="External"/><Relationship Id="rId11" Type="http://schemas.openxmlformats.org/officeDocument/2006/relationships/hyperlink" Target="https://www.worthit.org.uk/blog/mental-health-wellbeing-primary-schools" TargetMode="External"/><Relationship Id="rId5" Type="http://schemas.openxmlformats.org/officeDocument/2006/relationships/hyperlink" Target="https://assets.publishing.service.gov.uk/media/5a820b3d40f0b62305b922c5/Children_and_young_people_s_mental_health_peer_support.pdf" TargetMode="External"/><Relationship Id="rId10" Type="http://schemas.openxmlformats.org/officeDocument/2006/relationships/hyperlink" Target="https://www.promoteyourschool.co.uk/blog/the-effect-of-the-visual-environment-on-well-being" TargetMode="External"/><Relationship Id="rId4" Type="http://schemas.openxmlformats.org/officeDocument/2006/relationships/webSettings" Target="webSettings.xml"/><Relationship Id="rId9" Type="http://schemas.openxmlformats.org/officeDocument/2006/relationships/hyperlink" Target="https://assets.publishing.service.gov.uk/media/5a747ef340f0b604dd7ae609/DFE-RR253.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5060</Words>
  <Characters>28843</Characters>
  <Application>Microsoft Office Word</Application>
  <DocSecurity>0</DocSecurity>
  <Lines>240</Lines>
  <Paragraphs>67</Paragraphs>
  <ScaleCrop>false</ScaleCrop>
  <Company/>
  <LinksUpToDate>false</LinksUpToDate>
  <CharactersWithSpaces>33836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Leia Lewis (2100447)</dc:creator>
  <cp:keywords/>
  <dc:description/>
  <cp:lastModifiedBy>Leia Lewis (2100447)</cp:lastModifiedBy>
  <cp:revision>3</cp:revision>
  <dcterms:created xsi:type="dcterms:W3CDTF">2024-01-09T18:01:00Z</dcterms:created>
  <dcterms:modified xsi:type="dcterms:W3CDTF">2024-01-09T18:07:00Z</dcterms:modified>
</cp:coreProperties>
</file>