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9BF" w:rsidRPr="00D5398F" w:rsidRDefault="006229BF" w:rsidP="006229BF">
      <w:pPr>
        <w:spacing w:after="0" w:line="360" w:lineRule="auto"/>
        <w:rPr>
          <w:rFonts w:ascii="Arial" w:hAnsi="Arial" w:cs="Arial"/>
          <w:sz w:val="24"/>
          <w:szCs w:val="24"/>
        </w:rPr>
      </w:pPr>
      <w:r w:rsidRPr="00D5398F">
        <w:rPr>
          <w:rFonts w:ascii="Arial" w:hAnsi="Arial" w:cs="Arial"/>
          <w:b/>
          <w:sz w:val="24"/>
          <w:szCs w:val="24"/>
        </w:rPr>
        <w:t xml:space="preserve">Module name: </w:t>
      </w:r>
      <w:r w:rsidRPr="00D5398F">
        <w:rPr>
          <w:rFonts w:ascii="Arial" w:hAnsi="Arial" w:cs="Arial"/>
          <w:sz w:val="24"/>
          <w:szCs w:val="24"/>
        </w:rPr>
        <w:t>BMSW6105 – Coaching and mentoring skills for the workplace</w:t>
      </w:r>
    </w:p>
    <w:p w:rsidR="006229BF" w:rsidRPr="00D5398F" w:rsidRDefault="006229BF" w:rsidP="006229BF">
      <w:pPr>
        <w:spacing w:after="0" w:line="360" w:lineRule="auto"/>
        <w:rPr>
          <w:rFonts w:ascii="Arial" w:hAnsi="Arial" w:cs="Arial"/>
          <w:sz w:val="24"/>
          <w:szCs w:val="24"/>
        </w:rPr>
      </w:pPr>
      <w:r w:rsidRPr="00D5398F">
        <w:rPr>
          <w:rFonts w:ascii="Arial" w:hAnsi="Arial" w:cs="Arial"/>
          <w:b/>
          <w:sz w:val="24"/>
          <w:szCs w:val="24"/>
        </w:rPr>
        <w:t xml:space="preserve">Assignment title: </w:t>
      </w:r>
      <w:r w:rsidRPr="00D5398F">
        <w:rPr>
          <w:rFonts w:ascii="Arial" w:hAnsi="Arial" w:cs="Arial"/>
          <w:sz w:val="24"/>
          <w:szCs w:val="24"/>
        </w:rPr>
        <w:t>Coaching and mentoring session and written reflection</w:t>
      </w:r>
    </w:p>
    <w:p w:rsidR="006229BF" w:rsidRPr="00D5398F" w:rsidRDefault="006229BF" w:rsidP="006229BF">
      <w:pPr>
        <w:spacing w:after="0" w:line="360" w:lineRule="auto"/>
        <w:rPr>
          <w:rFonts w:ascii="Arial" w:hAnsi="Arial" w:cs="Arial"/>
          <w:sz w:val="24"/>
          <w:szCs w:val="24"/>
        </w:rPr>
      </w:pPr>
      <w:r w:rsidRPr="00D5398F">
        <w:rPr>
          <w:rFonts w:ascii="Arial" w:hAnsi="Arial" w:cs="Arial"/>
          <w:b/>
          <w:sz w:val="24"/>
          <w:szCs w:val="24"/>
        </w:rPr>
        <w:t xml:space="preserve">Module tutor: </w:t>
      </w:r>
      <w:r w:rsidRPr="00D5398F">
        <w:rPr>
          <w:rFonts w:ascii="Arial" w:hAnsi="Arial" w:cs="Arial"/>
          <w:sz w:val="24"/>
          <w:szCs w:val="24"/>
        </w:rPr>
        <w:t>Dr. Dennis Pepple</w:t>
      </w:r>
    </w:p>
    <w:p w:rsidR="006229BF" w:rsidRPr="00D5398F" w:rsidRDefault="006229BF" w:rsidP="006229BF">
      <w:pPr>
        <w:spacing w:after="0" w:line="360" w:lineRule="auto"/>
        <w:rPr>
          <w:rFonts w:ascii="Arial" w:hAnsi="Arial" w:cs="Arial"/>
          <w:sz w:val="24"/>
          <w:szCs w:val="24"/>
        </w:rPr>
      </w:pPr>
      <w:r w:rsidRPr="00D5398F">
        <w:rPr>
          <w:rFonts w:ascii="Arial" w:hAnsi="Arial" w:cs="Arial"/>
          <w:b/>
          <w:sz w:val="24"/>
          <w:szCs w:val="24"/>
        </w:rPr>
        <w:t xml:space="preserve">Student: </w:t>
      </w:r>
      <w:r w:rsidRPr="00D5398F">
        <w:rPr>
          <w:rFonts w:ascii="Arial" w:hAnsi="Arial" w:cs="Arial"/>
          <w:sz w:val="24"/>
          <w:szCs w:val="24"/>
        </w:rPr>
        <w:t>Maria Francisca Dumitru</w:t>
      </w:r>
    </w:p>
    <w:p w:rsidR="006229BF" w:rsidRPr="00D5398F" w:rsidRDefault="006229BF" w:rsidP="006229BF">
      <w:pPr>
        <w:spacing w:after="0" w:line="360" w:lineRule="auto"/>
        <w:rPr>
          <w:rFonts w:ascii="Arial" w:hAnsi="Arial" w:cs="Arial"/>
          <w:sz w:val="24"/>
          <w:szCs w:val="24"/>
        </w:rPr>
      </w:pPr>
      <w:r w:rsidRPr="00D5398F">
        <w:rPr>
          <w:rFonts w:ascii="Arial" w:hAnsi="Arial" w:cs="Arial"/>
          <w:b/>
          <w:sz w:val="24"/>
          <w:szCs w:val="24"/>
        </w:rPr>
        <w:t xml:space="preserve">Student ID: </w:t>
      </w:r>
      <w:r w:rsidRPr="00D5398F">
        <w:rPr>
          <w:rFonts w:ascii="Arial" w:hAnsi="Arial" w:cs="Arial"/>
          <w:sz w:val="24"/>
          <w:szCs w:val="24"/>
        </w:rPr>
        <w:t>2121820</w:t>
      </w:r>
    </w:p>
    <w:p w:rsidR="006229BF" w:rsidRPr="00D5398F" w:rsidRDefault="006229BF" w:rsidP="006229BF">
      <w:pPr>
        <w:rPr>
          <w:rFonts w:ascii="Arial" w:hAnsi="Arial" w:cs="Arial"/>
          <w:b/>
          <w:sz w:val="24"/>
          <w:szCs w:val="24"/>
        </w:rPr>
      </w:pPr>
      <w:r w:rsidRPr="00D5398F">
        <w:rPr>
          <w:rFonts w:ascii="Arial" w:hAnsi="Arial" w:cs="Arial"/>
          <w:b/>
          <w:sz w:val="24"/>
          <w:szCs w:val="24"/>
        </w:rPr>
        <w:t xml:space="preserve">Word Count: </w:t>
      </w:r>
      <w:r w:rsidR="007E1786" w:rsidRPr="007E1786">
        <w:rPr>
          <w:rFonts w:ascii="Arial" w:hAnsi="Arial" w:cs="Arial"/>
          <w:sz w:val="24"/>
          <w:szCs w:val="24"/>
        </w:rPr>
        <w:t>2530</w:t>
      </w: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D5398F" w:rsidRDefault="00D5398F" w:rsidP="006229BF">
      <w:pPr>
        <w:rPr>
          <w:rFonts w:ascii="Arial" w:hAnsi="Arial" w:cs="Arial"/>
          <w:b/>
        </w:rPr>
      </w:pPr>
    </w:p>
    <w:p w:rsidR="002D1609" w:rsidRDefault="002D1609" w:rsidP="002D1609">
      <w:pPr>
        <w:spacing w:after="0" w:line="360" w:lineRule="auto"/>
        <w:ind w:firstLine="720"/>
        <w:jc w:val="both"/>
        <w:rPr>
          <w:rFonts w:ascii="Arial" w:hAnsi="Arial" w:cs="Arial"/>
          <w:color w:val="000000"/>
          <w:spacing w:val="2"/>
        </w:rPr>
      </w:pPr>
    </w:p>
    <w:sdt>
      <w:sdtPr>
        <w:rPr>
          <w:rFonts w:asciiTheme="minorHAnsi" w:eastAsiaTheme="minorEastAsia" w:hAnsiTheme="minorHAnsi" w:cstheme="minorBidi"/>
          <w:b w:val="0"/>
          <w:bCs w:val="0"/>
          <w:color w:val="auto"/>
          <w:sz w:val="22"/>
          <w:szCs w:val="22"/>
        </w:rPr>
        <w:id w:val="629536485"/>
        <w:docPartObj>
          <w:docPartGallery w:val="Table of Contents"/>
          <w:docPartUnique/>
        </w:docPartObj>
      </w:sdtPr>
      <w:sdtContent>
        <w:p w:rsidR="00F0394D" w:rsidRDefault="00F0394D" w:rsidP="00F0394D">
          <w:pPr>
            <w:pStyle w:val="TOCHeading"/>
            <w:spacing w:before="0" w:line="360" w:lineRule="auto"/>
            <w:jc w:val="center"/>
            <w:rPr>
              <w:rFonts w:ascii="Arial" w:hAnsi="Arial" w:cs="Arial"/>
              <w:color w:val="auto"/>
              <w:sz w:val="24"/>
              <w:szCs w:val="24"/>
            </w:rPr>
          </w:pPr>
          <w:r w:rsidRPr="00F0394D">
            <w:rPr>
              <w:rFonts w:ascii="Arial" w:hAnsi="Arial" w:cs="Arial"/>
              <w:color w:val="auto"/>
              <w:sz w:val="24"/>
              <w:szCs w:val="24"/>
            </w:rPr>
            <w:t>Table of contents</w:t>
          </w:r>
        </w:p>
        <w:p w:rsidR="00F0394D" w:rsidRPr="00F0394D" w:rsidRDefault="00F0394D" w:rsidP="00F0394D"/>
        <w:p w:rsidR="00F0394D" w:rsidRPr="00F0394D" w:rsidRDefault="00292021" w:rsidP="00F0394D">
          <w:pPr>
            <w:pStyle w:val="TOC1"/>
            <w:tabs>
              <w:tab w:val="right" w:leader="dot" w:pos="9350"/>
            </w:tabs>
            <w:spacing w:after="0" w:line="360" w:lineRule="auto"/>
            <w:rPr>
              <w:rFonts w:ascii="Arial" w:hAnsi="Arial" w:cs="Arial"/>
              <w:b/>
              <w:noProof/>
            </w:rPr>
          </w:pPr>
          <w:r>
            <w:fldChar w:fldCharType="begin"/>
          </w:r>
          <w:r w:rsidR="00F0394D">
            <w:instrText xml:space="preserve"> TOC \o "1-3" \h \z \u </w:instrText>
          </w:r>
          <w:r>
            <w:fldChar w:fldCharType="separate"/>
          </w:r>
          <w:hyperlink w:anchor="_Toc181398223" w:history="1">
            <w:r w:rsidR="00F0394D" w:rsidRPr="00F0394D">
              <w:rPr>
                <w:rStyle w:val="Hyperlink"/>
                <w:rFonts w:ascii="Arial" w:hAnsi="Arial" w:cs="Arial"/>
                <w:b/>
                <w:noProof/>
              </w:rPr>
              <w:t>Task 3: Written reflection</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_Toc181398223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3</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4" w:history="1">
            <w:r w:rsidR="00F0394D" w:rsidRPr="00F0394D">
              <w:rPr>
                <w:rStyle w:val="Hyperlink"/>
                <w:rFonts w:ascii="Arial" w:hAnsi="Arial" w:cs="Arial"/>
                <w:b/>
                <w:noProof/>
              </w:rPr>
              <w:t>1.</w:t>
            </w:r>
            <w:r w:rsidR="00F0394D" w:rsidRPr="00F0394D">
              <w:rPr>
                <w:rFonts w:ascii="Arial" w:hAnsi="Arial" w:cs="Arial"/>
                <w:b/>
                <w:noProof/>
              </w:rPr>
              <w:tab/>
            </w:r>
            <w:r w:rsidR="00F0394D" w:rsidRPr="00F0394D">
              <w:rPr>
                <w:rStyle w:val="Hyperlink"/>
                <w:rFonts w:ascii="Arial" w:hAnsi="Arial" w:cs="Arial"/>
                <w:b/>
                <w:noProof/>
              </w:rPr>
              <w:t>Introduction</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_Toc181398224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3</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5" w:history="1">
            <w:r w:rsidR="00F0394D" w:rsidRPr="00F0394D">
              <w:rPr>
                <w:rStyle w:val="Hyperlink"/>
                <w:rFonts w:ascii="Arial" w:hAnsi="Arial" w:cs="Arial"/>
                <w:b/>
                <w:noProof/>
              </w:rPr>
              <w:t>2.</w:t>
            </w:r>
            <w:r w:rsidR="00F0394D" w:rsidRPr="00F0394D">
              <w:rPr>
                <w:rFonts w:ascii="Arial" w:hAnsi="Arial" w:cs="Arial"/>
                <w:b/>
                <w:noProof/>
              </w:rPr>
              <w:tab/>
            </w:r>
            <w:r w:rsidR="00F0394D" w:rsidRPr="00F0394D">
              <w:rPr>
                <w:rStyle w:val="Hyperlink"/>
                <w:rFonts w:ascii="Arial" w:hAnsi="Arial" w:cs="Arial"/>
                <w:b/>
                <w:noProof/>
              </w:rPr>
              <w:t>Critical evaluation</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_Toc181398225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4</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6" w:history="1">
            <w:r w:rsidR="00F0394D" w:rsidRPr="00F0394D">
              <w:rPr>
                <w:rStyle w:val="Hyperlink"/>
                <w:rFonts w:ascii="Arial" w:hAnsi="Arial" w:cs="Arial"/>
                <w:b/>
                <w:noProof/>
              </w:rPr>
              <w:t>3.</w:t>
            </w:r>
            <w:r w:rsidR="00F0394D" w:rsidRPr="00F0394D">
              <w:rPr>
                <w:rFonts w:ascii="Arial" w:hAnsi="Arial" w:cs="Arial"/>
                <w:b/>
                <w:noProof/>
              </w:rPr>
              <w:tab/>
            </w:r>
            <w:r w:rsidR="00F0394D" w:rsidRPr="00F0394D">
              <w:rPr>
                <w:rStyle w:val="Hyperlink"/>
                <w:rFonts w:ascii="Arial" w:hAnsi="Arial" w:cs="Arial"/>
                <w:b/>
                <w:noProof/>
              </w:rPr>
              <w:t>Critical analysis</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_Toc181398226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4</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7" w:history="1">
            <w:r w:rsidR="00F0394D" w:rsidRPr="00F0394D">
              <w:rPr>
                <w:rStyle w:val="Hyperlink"/>
                <w:rFonts w:ascii="Arial" w:hAnsi="Arial" w:cs="Arial"/>
                <w:b/>
                <w:noProof/>
              </w:rPr>
              <w:t>4.</w:t>
            </w:r>
            <w:r w:rsidR="00F0394D" w:rsidRPr="00F0394D">
              <w:rPr>
                <w:rFonts w:ascii="Arial" w:hAnsi="Arial" w:cs="Arial"/>
                <w:b/>
                <w:noProof/>
              </w:rPr>
              <w:tab/>
            </w:r>
            <w:r w:rsidR="00F0394D" w:rsidRPr="00F0394D">
              <w:rPr>
                <w:rStyle w:val="Hyperlink"/>
                <w:rFonts w:ascii="Arial" w:hAnsi="Arial" w:cs="Arial"/>
                <w:b/>
                <w:noProof/>
              </w:rPr>
              <w:t>Reflection on practical 1</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_Toc181398227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6</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8" w:history="1">
            <w:r w:rsidR="00F0394D" w:rsidRPr="00F0394D">
              <w:rPr>
                <w:rStyle w:val="Hyperlink"/>
                <w:rFonts w:ascii="Arial" w:hAnsi="Arial" w:cs="Arial"/>
                <w:b/>
                <w:noProof/>
              </w:rPr>
              <w:t>5.</w:t>
            </w:r>
            <w:r w:rsidR="00F0394D" w:rsidRPr="00F0394D">
              <w:rPr>
                <w:rFonts w:ascii="Arial" w:hAnsi="Arial" w:cs="Arial"/>
                <w:b/>
                <w:noProof/>
              </w:rPr>
              <w:tab/>
            </w:r>
            <w:r w:rsidR="00F0394D" w:rsidRPr="00F0394D">
              <w:rPr>
                <w:rStyle w:val="Hyperlink"/>
                <w:rFonts w:ascii="Arial" w:hAnsi="Arial" w:cs="Arial"/>
                <w:b/>
                <w:noProof/>
              </w:rPr>
              <w:t>Reflection on practical 2</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_Toc181398228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8</w:t>
            </w:r>
            <w:r w:rsidRPr="00F0394D">
              <w:rPr>
                <w:rFonts w:ascii="Arial" w:hAnsi="Arial" w:cs="Arial"/>
                <w:b/>
                <w:noProof/>
                <w:webHidden/>
              </w:rPr>
              <w:fldChar w:fldCharType="end"/>
            </w:r>
          </w:hyperlink>
        </w:p>
        <w:p w:rsidR="00F0394D" w:rsidRPr="00F0394D" w:rsidRDefault="00292021" w:rsidP="00F0394D">
          <w:pPr>
            <w:pStyle w:val="TOC1"/>
            <w:tabs>
              <w:tab w:val="left" w:pos="440"/>
              <w:tab w:val="right" w:leader="dot" w:pos="9350"/>
            </w:tabs>
            <w:spacing w:after="0" w:line="360" w:lineRule="auto"/>
            <w:rPr>
              <w:rFonts w:ascii="Arial" w:hAnsi="Arial" w:cs="Arial"/>
              <w:b/>
              <w:noProof/>
            </w:rPr>
          </w:pPr>
          <w:hyperlink w:anchor="_Toc181398229" w:history="1">
            <w:r w:rsidR="00F0394D" w:rsidRPr="00F0394D">
              <w:rPr>
                <w:rStyle w:val="Hyperlink"/>
                <w:rFonts w:ascii="Arial" w:hAnsi="Arial" w:cs="Arial"/>
                <w:b/>
                <w:noProof/>
              </w:rPr>
              <w:t>6.</w:t>
            </w:r>
            <w:r w:rsidR="00F0394D" w:rsidRPr="00F0394D">
              <w:rPr>
                <w:rFonts w:ascii="Arial" w:hAnsi="Arial" w:cs="Arial"/>
                <w:b/>
                <w:noProof/>
              </w:rPr>
              <w:tab/>
            </w:r>
            <w:r w:rsidR="00F0394D" w:rsidRPr="00F0394D">
              <w:rPr>
                <w:rStyle w:val="Hyperlink"/>
                <w:rFonts w:ascii="Arial" w:hAnsi="Arial" w:cs="Arial"/>
                <w:b/>
                <w:noProof/>
              </w:rPr>
              <w:t>Conclusion</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_Toc181398229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10</w:t>
            </w:r>
            <w:r w:rsidRPr="00F0394D">
              <w:rPr>
                <w:rFonts w:ascii="Arial" w:hAnsi="Arial" w:cs="Arial"/>
                <w:b/>
                <w:noProof/>
                <w:webHidden/>
              </w:rPr>
              <w:fldChar w:fldCharType="end"/>
            </w:r>
          </w:hyperlink>
        </w:p>
        <w:p w:rsidR="00F0394D" w:rsidRDefault="00292021" w:rsidP="00F0394D">
          <w:pPr>
            <w:pStyle w:val="TOC1"/>
            <w:tabs>
              <w:tab w:val="right" w:leader="dot" w:pos="9350"/>
            </w:tabs>
            <w:spacing w:after="0" w:line="360" w:lineRule="auto"/>
            <w:rPr>
              <w:noProof/>
            </w:rPr>
          </w:pPr>
          <w:hyperlink w:anchor="_Toc181398230" w:history="1">
            <w:r w:rsidR="00F0394D" w:rsidRPr="00F0394D">
              <w:rPr>
                <w:rStyle w:val="Hyperlink"/>
                <w:rFonts w:ascii="Arial" w:hAnsi="Arial" w:cs="Arial"/>
                <w:b/>
                <w:noProof/>
              </w:rPr>
              <w:t>References</w:t>
            </w:r>
            <w:r w:rsidR="00F0394D" w:rsidRPr="00F0394D">
              <w:rPr>
                <w:rFonts w:ascii="Arial" w:hAnsi="Arial" w:cs="Arial"/>
                <w:b/>
                <w:noProof/>
                <w:webHidden/>
              </w:rPr>
              <w:tab/>
            </w:r>
            <w:r w:rsidRPr="00F0394D">
              <w:rPr>
                <w:rFonts w:ascii="Arial" w:hAnsi="Arial" w:cs="Arial"/>
                <w:b/>
                <w:noProof/>
                <w:webHidden/>
              </w:rPr>
              <w:fldChar w:fldCharType="begin"/>
            </w:r>
            <w:r w:rsidR="00F0394D" w:rsidRPr="00F0394D">
              <w:rPr>
                <w:rFonts w:ascii="Arial" w:hAnsi="Arial" w:cs="Arial"/>
                <w:b/>
                <w:noProof/>
                <w:webHidden/>
              </w:rPr>
              <w:instrText xml:space="preserve"> PAGEREF _Toc181398230 \h </w:instrText>
            </w:r>
            <w:r w:rsidRPr="00F0394D">
              <w:rPr>
                <w:rFonts w:ascii="Arial" w:hAnsi="Arial" w:cs="Arial"/>
                <w:b/>
                <w:noProof/>
                <w:webHidden/>
              </w:rPr>
            </w:r>
            <w:r w:rsidRPr="00F0394D">
              <w:rPr>
                <w:rFonts w:ascii="Arial" w:hAnsi="Arial" w:cs="Arial"/>
                <w:b/>
                <w:noProof/>
                <w:webHidden/>
              </w:rPr>
              <w:fldChar w:fldCharType="separate"/>
            </w:r>
            <w:r w:rsidR="00EC0D10">
              <w:rPr>
                <w:rFonts w:ascii="Arial" w:hAnsi="Arial" w:cs="Arial"/>
                <w:b/>
                <w:noProof/>
                <w:webHidden/>
              </w:rPr>
              <w:t>11</w:t>
            </w:r>
            <w:r w:rsidRPr="00F0394D">
              <w:rPr>
                <w:rFonts w:ascii="Arial" w:hAnsi="Arial" w:cs="Arial"/>
                <w:b/>
                <w:noProof/>
                <w:webHidden/>
              </w:rPr>
              <w:fldChar w:fldCharType="end"/>
            </w:r>
          </w:hyperlink>
        </w:p>
        <w:p w:rsidR="00F0394D" w:rsidRDefault="00292021">
          <w:r>
            <w:fldChar w:fldCharType="end"/>
          </w:r>
        </w:p>
      </w:sdtContent>
    </w:sdt>
    <w:p w:rsidR="00F0394D" w:rsidRPr="007D09DE" w:rsidRDefault="00F0394D" w:rsidP="002D1609">
      <w:pPr>
        <w:spacing w:after="0" w:line="360" w:lineRule="auto"/>
        <w:ind w:firstLine="720"/>
        <w:jc w:val="both"/>
        <w:rPr>
          <w:rFonts w:ascii="Arial" w:hAnsi="Arial" w:cs="Arial"/>
          <w:color w:val="000000"/>
          <w:spacing w:val="2"/>
        </w:rPr>
      </w:pPr>
    </w:p>
    <w:p w:rsidR="00F0394D" w:rsidRDefault="00F0394D" w:rsidP="00D5398F">
      <w:pPr>
        <w:pStyle w:val="Heading1"/>
        <w:spacing w:before="0" w:line="360" w:lineRule="auto"/>
        <w:jc w:val="center"/>
        <w:rPr>
          <w:rFonts w:ascii="Arial" w:hAnsi="Arial" w:cs="Arial"/>
          <w:color w:val="auto"/>
          <w:sz w:val="24"/>
          <w:szCs w:val="24"/>
        </w:rPr>
      </w:pPr>
      <w:bookmarkStart w:id="0" w:name="_Toc181398223"/>
    </w:p>
    <w:p w:rsidR="00F0394D" w:rsidRDefault="00F0394D" w:rsidP="00D5398F">
      <w:pPr>
        <w:pStyle w:val="Heading1"/>
        <w:spacing w:before="0" w:line="360" w:lineRule="auto"/>
        <w:jc w:val="center"/>
        <w:rPr>
          <w:rFonts w:ascii="Arial" w:hAnsi="Arial" w:cs="Arial"/>
          <w:color w:val="auto"/>
          <w:sz w:val="24"/>
          <w:szCs w:val="24"/>
        </w:rPr>
      </w:pPr>
    </w:p>
    <w:p w:rsidR="00F0394D" w:rsidRDefault="00F0394D" w:rsidP="00D5398F">
      <w:pPr>
        <w:pStyle w:val="Heading1"/>
        <w:spacing w:before="0" w:line="360" w:lineRule="auto"/>
        <w:jc w:val="center"/>
        <w:rPr>
          <w:rFonts w:ascii="Arial" w:hAnsi="Arial" w:cs="Arial"/>
          <w:color w:val="auto"/>
          <w:sz w:val="24"/>
          <w:szCs w:val="24"/>
        </w:rPr>
      </w:pPr>
    </w:p>
    <w:p w:rsidR="00F0394D" w:rsidRDefault="00F0394D" w:rsidP="00D5398F">
      <w:pPr>
        <w:pStyle w:val="Heading1"/>
        <w:spacing w:before="0" w:line="360" w:lineRule="auto"/>
        <w:jc w:val="center"/>
        <w:rPr>
          <w:rFonts w:ascii="Arial" w:hAnsi="Arial" w:cs="Arial"/>
          <w:color w:val="auto"/>
          <w:sz w:val="24"/>
          <w:szCs w:val="24"/>
        </w:rPr>
      </w:pPr>
    </w:p>
    <w:p w:rsidR="00F0394D" w:rsidRDefault="00F0394D" w:rsidP="00D5398F">
      <w:pPr>
        <w:pStyle w:val="Heading1"/>
        <w:spacing w:before="0" w:line="360" w:lineRule="auto"/>
        <w:jc w:val="center"/>
        <w:rPr>
          <w:rFonts w:ascii="Arial" w:hAnsi="Arial" w:cs="Arial"/>
          <w:color w:val="auto"/>
          <w:sz w:val="24"/>
          <w:szCs w:val="24"/>
        </w:rPr>
      </w:pPr>
    </w:p>
    <w:p w:rsidR="00F0394D" w:rsidRDefault="00F0394D" w:rsidP="00D5398F">
      <w:pPr>
        <w:pStyle w:val="Heading1"/>
        <w:spacing w:before="0" w:line="360" w:lineRule="auto"/>
        <w:jc w:val="center"/>
        <w:rPr>
          <w:rFonts w:ascii="Arial" w:hAnsi="Arial" w:cs="Arial"/>
          <w:color w:val="auto"/>
          <w:sz w:val="24"/>
          <w:szCs w:val="24"/>
        </w:rPr>
      </w:pPr>
    </w:p>
    <w:p w:rsidR="00F0394D" w:rsidRDefault="00F0394D" w:rsidP="00F0394D"/>
    <w:p w:rsidR="00F0394D" w:rsidRDefault="00F0394D" w:rsidP="00F0394D"/>
    <w:p w:rsidR="00F0394D" w:rsidRDefault="00F0394D" w:rsidP="00F0394D"/>
    <w:p w:rsidR="00F0394D" w:rsidRDefault="00F0394D" w:rsidP="00F0394D"/>
    <w:p w:rsidR="00F0394D" w:rsidRDefault="00F0394D" w:rsidP="00F0394D"/>
    <w:p w:rsidR="00F0394D" w:rsidRDefault="00F0394D" w:rsidP="00F0394D"/>
    <w:p w:rsidR="00F0394D" w:rsidRDefault="00F0394D" w:rsidP="00D5398F">
      <w:pPr>
        <w:pStyle w:val="Heading1"/>
        <w:spacing w:before="0" w:line="360" w:lineRule="auto"/>
        <w:jc w:val="center"/>
        <w:rPr>
          <w:rFonts w:asciiTheme="minorHAnsi" w:eastAsiaTheme="minorEastAsia" w:hAnsiTheme="minorHAnsi" w:cstheme="minorBidi"/>
          <w:b w:val="0"/>
          <w:bCs w:val="0"/>
          <w:color w:val="auto"/>
          <w:sz w:val="22"/>
          <w:szCs w:val="22"/>
        </w:rPr>
      </w:pPr>
    </w:p>
    <w:p w:rsidR="00F0394D" w:rsidRDefault="00F0394D" w:rsidP="00D5398F">
      <w:pPr>
        <w:pStyle w:val="Heading1"/>
        <w:spacing w:before="0" w:line="360" w:lineRule="auto"/>
        <w:jc w:val="center"/>
        <w:rPr>
          <w:rFonts w:asciiTheme="minorHAnsi" w:eastAsiaTheme="minorEastAsia" w:hAnsiTheme="minorHAnsi" w:cstheme="minorBidi"/>
          <w:b w:val="0"/>
          <w:bCs w:val="0"/>
          <w:color w:val="auto"/>
          <w:sz w:val="22"/>
          <w:szCs w:val="22"/>
        </w:rPr>
      </w:pPr>
    </w:p>
    <w:p w:rsidR="00F0394D" w:rsidRPr="00F0394D" w:rsidRDefault="00F0394D" w:rsidP="00F0394D"/>
    <w:p w:rsidR="00F0394D" w:rsidRDefault="00F0394D" w:rsidP="00D5398F">
      <w:pPr>
        <w:pStyle w:val="Heading1"/>
        <w:spacing w:before="0" w:line="360" w:lineRule="auto"/>
        <w:jc w:val="center"/>
        <w:rPr>
          <w:rFonts w:ascii="Arial" w:hAnsi="Arial" w:cs="Arial"/>
          <w:color w:val="auto"/>
          <w:sz w:val="24"/>
          <w:szCs w:val="24"/>
        </w:rPr>
        <w:sectPr w:rsidR="00F0394D" w:rsidSect="00606C91">
          <w:footerReference w:type="default" r:id="rId8"/>
          <w:pgSz w:w="12240" w:h="15840"/>
          <w:pgMar w:top="1440" w:right="1440" w:bottom="1440" w:left="1440" w:header="708" w:footer="708" w:gutter="0"/>
          <w:cols w:space="708"/>
          <w:docGrid w:linePitch="360"/>
        </w:sectPr>
      </w:pPr>
    </w:p>
    <w:p w:rsidR="00D5398F" w:rsidRPr="00D5398F" w:rsidRDefault="00D5398F" w:rsidP="00D5398F">
      <w:pPr>
        <w:pStyle w:val="Heading1"/>
        <w:spacing w:before="0" w:line="360" w:lineRule="auto"/>
        <w:jc w:val="center"/>
        <w:rPr>
          <w:rFonts w:ascii="Arial" w:hAnsi="Arial" w:cs="Arial"/>
          <w:color w:val="auto"/>
          <w:sz w:val="24"/>
          <w:szCs w:val="24"/>
        </w:rPr>
      </w:pPr>
      <w:r w:rsidRPr="00D5398F">
        <w:rPr>
          <w:rFonts w:ascii="Arial" w:hAnsi="Arial" w:cs="Arial"/>
          <w:color w:val="auto"/>
          <w:sz w:val="24"/>
          <w:szCs w:val="24"/>
        </w:rPr>
        <w:lastRenderedPageBreak/>
        <w:t>Task 3: Written reflection</w:t>
      </w:r>
      <w:bookmarkEnd w:id="0"/>
    </w:p>
    <w:p w:rsidR="00D5398F" w:rsidRPr="00D5398F" w:rsidRDefault="00D5398F" w:rsidP="00D5398F">
      <w:pPr>
        <w:pStyle w:val="Heading1"/>
        <w:spacing w:before="0" w:line="360" w:lineRule="auto"/>
        <w:jc w:val="center"/>
        <w:rPr>
          <w:rFonts w:ascii="Arial" w:hAnsi="Arial" w:cs="Arial"/>
          <w:color w:val="auto"/>
          <w:sz w:val="24"/>
          <w:szCs w:val="24"/>
        </w:rPr>
      </w:pPr>
    </w:p>
    <w:p w:rsidR="00D5398F" w:rsidRDefault="00D5398F" w:rsidP="00D5398F">
      <w:pPr>
        <w:pStyle w:val="Heading1"/>
        <w:numPr>
          <w:ilvl w:val="0"/>
          <w:numId w:val="2"/>
        </w:numPr>
        <w:spacing w:before="0" w:line="360" w:lineRule="auto"/>
        <w:jc w:val="center"/>
        <w:rPr>
          <w:rFonts w:ascii="Arial" w:hAnsi="Arial" w:cs="Arial"/>
          <w:color w:val="auto"/>
          <w:sz w:val="24"/>
          <w:szCs w:val="24"/>
        </w:rPr>
      </w:pPr>
      <w:bookmarkStart w:id="1" w:name="_Toc181398224"/>
      <w:r w:rsidRPr="00D5398F">
        <w:rPr>
          <w:rFonts w:ascii="Arial" w:hAnsi="Arial" w:cs="Arial"/>
          <w:color w:val="auto"/>
          <w:sz w:val="24"/>
          <w:szCs w:val="24"/>
        </w:rPr>
        <w:t>Introduction</w:t>
      </w:r>
      <w:bookmarkEnd w:id="1"/>
    </w:p>
    <w:p w:rsidR="000B19A5" w:rsidRDefault="000B19A5" w:rsidP="000B19A5"/>
    <w:p w:rsidR="00F0394D" w:rsidRDefault="000B19A5" w:rsidP="00F0394D">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 xml:space="preserve">In following up a career in beauty nails, coaching and mentoring assume the role of human resource professionals, but rather more of professional development. Coaching is therefore described as the process through which an individual is guided to achieve particular personal or professional objectives through focused, structured and solution-oriented manner. Mentoring, on the other hand, is when a more experienced professional continually gives advice, insights, and counsel to a less experienced professional aiming at sustaining his or her career in the long term. </w:t>
      </w:r>
    </w:p>
    <w:p w:rsidR="00F0394D" w:rsidRDefault="000B19A5" w:rsidP="00F0394D">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Comparison of coaching and mentoring brings out their differences. Coaching is of short duration, focusing on skills and outcome-specific. On the other hand, mentoring is generally long term and focused on personal as well as professional development. For someone aspiring to excel in beauty nails, these differences accrue varied benefits: coaching sharpens the technical skills and imparts confidence, while mentoring imparts industry knowledge and emotional strength</w:t>
      </w:r>
      <w:r w:rsidR="009D3BFC">
        <w:rPr>
          <w:rFonts w:ascii="Arial" w:hAnsi="Arial" w:cs="Arial"/>
          <w:shd w:val="clear" w:color="auto" w:fill="FFFFFF"/>
        </w:rPr>
        <w:t xml:space="preserve"> (</w:t>
      </w:r>
      <w:r w:rsidR="009D3BFC">
        <w:rPr>
          <w:rFonts w:ascii="Arial" w:hAnsi="Arial" w:cs="Arial"/>
        </w:rPr>
        <w:t xml:space="preserve">Farrell, </w:t>
      </w:r>
      <w:r w:rsidR="009D3BFC" w:rsidRPr="00F0394D">
        <w:rPr>
          <w:rFonts w:ascii="Arial" w:hAnsi="Arial" w:cs="Arial"/>
        </w:rPr>
        <w:t>2020</w:t>
      </w:r>
      <w:r w:rsidR="009D3BFC">
        <w:rPr>
          <w:rFonts w:ascii="Arial" w:hAnsi="Arial" w:cs="Arial"/>
        </w:rPr>
        <w:t>)</w:t>
      </w:r>
      <w:r w:rsidRPr="00F0394D">
        <w:rPr>
          <w:rFonts w:ascii="Arial" w:hAnsi="Arial" w:cs="Arial"/>
          <w:shd w:val="clear" w:color="auto" w:fill="FFFFFF"/>
        </w:rPr>
        <w:t>.</w:t>
      </w:r>
    </w:p>
    <w:p w:rsidR="000B19A5" w:rsidRDefault="00AD6186" w:rsidP="00AD6186">
      <w:pPr>
        <w:spacing w:after="0" w:line="360" w:lineRule="auto"/>
        <w:ind w:firstLine="720"/>
        <w:jc w:val="both"/>
      </w:pPr>
      <w:r w:rsidRPr="00AD6186">
        <w:rPr>
          <w:rFonts w:ascii="Arial" w:hAnsi="Arial" w:cs="Arial"/>
          <w:shd w:val="clear" w:color="auto" w:fill="FFFFFF"/>
        </w:rPr>
        <w:t>Coaching is focused on leading the individual to the completion of set goals, whereas mentoring is more focused on sharing knowledge and experience to foster growth. In coaching, GROW stands for Goal, Reality, Options, Will; it forms a very good structured model for the assessment of objectives and the development of actionable ways. It brings out the hidden self in an individual that is a mentoring model to the Johari Window, increasing personal and interpersonal insight in disclosed and undisclosed areas. In combination, these two approaches can basically underpin just about any objective with a great sense of self-esteem, skill development, and clarity in an artistry endeavo</w:t>
      </w:r>
      <w:r w:rsidR="009D3BFC">
        <w:rPr>
          <w:rFonts w:ascii="Arial" w:hAnsi="Arial" w:cs="Arial"/>
          <w:shd w:val="clear" w:color="auto" w:fill="FFFFFF"/>
        </w:rPr>
        <w:t>u</w:t>
      </w:r>
      <w:r w:rsidRPr="00AD6186">
        <w:rPr>
          <w:rFonts w:ascii="Arial" w:hAnsi="Arial" w:cs="Arial"/>
          <w:shd w:val="clear" w:color="auto" w:fill="FFFFFF"/>
        </w:rPr>
        <w:t>r</w:t>
      </w:r>
      <w:r w:rsidR="009D3BFC">
        <w:rPr>
          <w:rFonts w:ascii="Arial" w:hAnsi="Arial" w:cs="Arial"/>
          <w:shd w:val="clear" w:color="auto" w:fill="FFFFFF"/>
        </w:rPr>
        <w:t xml:space="preserve"> (</w:t>
      </w:r>
      <w:r w:rsidR="009D3BFC">
        <w:rPr>
          <w:rFonts w:ascii="Arial" w:hAnsi="Arial" w:cs="Arial"/>
        </w:rPr>
        <w:t xml:space="preserve">Rolfe, </w:t>
      </w:r>
      <w:r w:rsidR="009D3BFC" w:rsidRPr="00F0394D">
        <w:rPr>
          <w:rFonts w:ascii="Arial" w:hAnsi="Arial" w:cs="Arial"/>
        </w:rPr>
        <w:t>2022</w:t>
      </w:r>
      <w:r w:rsidR="009D3BFC">
        <w:rPr>
          <w:rFonts w:ascii="Arial" w:hAnsi="Arial" w:cs="Arial"/>
        </w:rPr>
        <w:t>)</w:t>
      </w:r>
      <w:r w:rsidRPr="00AD6186">
        <w:rPr>
          <w:rFonts w:ascii="Arial" w:hAnsi="Arial" w:cs="Arial"/>
          <w:shd w:val="clear" w:color="auto" w:fill="FFFFFF"/>
        </w:rPr>
        <w:t>.</w:t>
      </w:r>
    </w:p>
    <w:p w:rsidR="00F0394D" w:rsidRDefault="00F0394D" w:rsidP="00F0394D">
      <w:pPr>
        <w:spacing w:after="0"/>
      </w:pPr>
    </w:p>
    <w:p w:rsidR="009D3BFC" w:rsidRDefault="009D3BFC" w:rsidP="00F0394D">
      <w:pPr>
        <w:spacing w:after="0"/>
      </w:pPr>
    </w:p>
    <w:p w:rsidR="009D3BFC" w:rsidRDefault="009D3BFC" w:rsidP="00F0394D">
      <w:pPr>
        <w:spacing w:after="0"/>
      </w:pPr>
    </w:p>
    <w:p w:rsidR="0038598B" w:rsidRDefault="0038598B" w:rsidP="00F0394D">
      <w:pPr>
        <w:spacing w:after="0"/>
      </w:pPr>
    </w:p>
    <w:p w:rsidR="0038598B" w:rsidRDefault="0038598B" w:rsidP="00F0394D">
      <w:pPr>
        <w:spacing w:after="0"/>
      </w:pPr>
    </w:p>
    <w:p w:rsidR="009D3BFC" w:rsidRDefault="009D3BFC" w:rsidP="00F0394D">
      <w:pPr>
        <w:spacing w:after="0"/>
      </w:pPr>
    </w:p>
    <w:p w:rsidR="0038598B" w:rsidRDefault="0038598B" w:rsidP="00F0394D">
      <w:pPr>
        <w:spacing w:after="0"/>
      </w:pPr>
    </w:p>
    <w:p w:rsidR="0038598B" w:rsidRDefault="0038598B" w:rsidP="00F0394D">
      <w:pPr>
        <w:spacing w:after="0"/>
      </w:pPr>
    </w:p>
    <w:p w:rsidR="00F0394D" w:rsidRPr="000B19A5" w:rsidRDefault="00F0394D" w:rsidP="00F0394D">
      <w:pPr>
        <w:spacing w:after="0"/>
      </w:pPr>
    </w:p>
    <w:p w:rsidR="00D5398F" w:rsidRDefault="00D5398F" w:rsidP="00D5398F">
      <w:pPr>
        <w:pStyle w:val="Heading1"/>
        <w:numPr>
          <w:ilvl w:val="0"/>
          <w:numId w:val="2"/>
        </w:numPr>
        <w:spacing w:before="0" w:line="360" w:lineRule="auto"/>
        <w:jc w:val="center"/>
        <w:rPr>
          <w:rFonts w:ascii="Arial" w:hAnsi="Arial" w:cs="Arial"/>
          <w:color w:val="auto"/>
          <w:sz w:val="24"/>
          <w:szCs w:val="24"/>
        </w:rPr>
      </w:pPr>
      <w:bookmarkStart w:id="2" w:name="_Toc181398225"/>
      <w:r w:rsidRPr="00D5398F">
        <w:rPr>
          <w:rFonts w:ascii="Arial" w:hAnsi="Arial" w:cs="Arial"/>
          <w:color w:val="auto"/>
          <w:sz w:val="24"/>
          <w:szCs w:val="24"/>
        </w:rPr>
        <w:lastRenderedPageBreak/>
        <w:t>Critical evaluation</w:t>
      </w:r>
      <w:bookmarkEnd w:id="2"/>
    </w:p>
    <w:p w:rsidR="000B19A5" w:rsidRDefault="000B19A5" w:rsidP="000B19A5"/>
    <w:p w:rsidR="00F0394D" w:rsidRDefault="000B19A5" w:rsidP="00F0394D">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Coaching and mentoring are two of the most worthy developmental assets in the organization aimed at improving skills, knowledge, and overall performance but have different ways of aiming and different objectives. Much of what is done by a coach in the workplace is directed to help relatively immediate improvements in given skills or tasks rather over a short period of time. These may include goal-oriented, solution-focused, or even just structured processes to help particular people achieve particular outcomes, like enhancing job performance or preparation for new roles</w:t>
      </w:r>
      <w:r w:rsidR="007E1786">
        <w:rPr>
          <w:rFonts w:ascii="Arial" w:hAnsi="Arial" w:cs="Arial"/>
          <w:shd w:val="clear" w:color="auto" w:fill="FFFFFF"/>
        </w:rPr>
        <w:t xml:space="preserve"> (</w:t>
      </w:r>
      <w:r w:rsidR="007E1786">
        <w:rPr>
          <w:rFonts w:ascii="Arial" w:hAnsi="Arial" w:cs="Arial"/>
        </w:rPr>
        <w:t xml:space="preserve">Moon, </w:t>
      </w:r>
      <w:r w:rsidR="007E1786" w:rsidRPr="00F0394D">
        <w:rPr>
          <w:rFonts w:ascii="Arial" w:hAnsi="Arial" w:cs="Arial"/>
        </w:rPr>
        <w:t>2021</w:t>
      </w:r>
      <w:r w:rsidR="007E1786">
        <w:rPr>
          <w:rFonts w:ascii="Arial" w:hAnsi="Arial" w:cs="Arial"/>
        </w:rPr>
        <w:t>)</w:t>
      </w:r>
      <w:r w:rsidRPr="00F0394D">
        <w:rPr>
          <w:rFonts w:ascii="Arial" w:hAnsi="Arial" w:cs="Arial"/>
          <w:shd w:val="clear" w:color="auto" w:fill="FFFFFF"/>
        </w:rPr>
        <w:t xml:space="preserve">. </w:t>
      </w:r>
    </w:p>
    <w:p w:rsidR="00F0394D" w:rsidRDefault="000B19A5" w:rsidP="00F0394D">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Coaching has gained immense popularity at work as most of the organizations are using this approach to develop the performances of the employees and address specific skill gaps. It provides a structured, short-term intervention that is quite responsive to focused issues since new skills can immediately be put to use by employees.</w:t>
      </w:r>
    </w:p>
    <w:p w:rsidR="00F0394D" w:rsidRDefault="000B19A5" w:rsidP="00F0394D">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Mentoring is very different from coaching as the former develops a long-term relationship with mutual trust and personal growth. Generally, mentoring relationships are less structured than coaching, allowing room for open two-way sharing of knowledge and experiences. This enables the mentee to gain clarity over her long-term career aspirations besides help on issues that go beyond immediate job roles and responsibilities</w:t>
      </w:r>
      <w:r w:rsidR="007E1786">
        <w:rPr>
          <w:rFonts w:ascii="Arial" w:hAnsi="Arial" w:cs="Arial"/>
          <w:shd w:val="clear" w:color="auto" w:fill="FFFFFF"/>
        </w:rPr>
        <w:t xml:space="preserve"> (</w:t>
      </w:r>
      <w:r w:rsidR="007E1786">
        <w:rPr>
          <w:rFonts w:ascii="Arial" w:hAnsi="Arial" w:cs="Arial"/>
        </w:rPr>
        <w:t xml:space="preserve">Williams, </w:t>
      </w:r>
      <w:r w:rsidR="007E1786" w:rsidRPr="00F0394D">
        <w:rPr>
          <w:rFonts w:ascii="Arial" w:hAnsi="Arial" w:cs="Arial"/>
        </w:rPr>
        <w:t>2023</w:t>
      </w:r>
      <w:r w:rsidR="007E1786">
        <w:rPr>
          <w:rFonts w:ascii="Arial" w:hAnsi="Arial" w:cs="Arial"/>
        </w:rPr>
        <w:t>)</w:t>
      </w:r>
      <w:r w:rsidRPr="00F0394D">
        <w:rPr>
          <w:rFonts w:ascii="Arial" w:hAnsi="Arial" w:cs="Arial"/>
          <w:shd w:val="clear" w:color="auto" w:fill="FFFFFF"/>
        </w:rPr>
        <w:t xml:space="preserve">. </w:t>
      </w:r>
    </w:p>
    <w:p w:rsidR="007D5611" w:rsidRDefault="000B19A5" w:rsidP="0038598B">
      <w:pPr>
        <w:spacing w:after="0" w:line="360" w:lineRule="auto"/>
        <w:ind w:firstLine="720"/>
        <w:jc w:val="both"/>
        <w:rPr>
          <w:rFonts w:ascii="Arial" w:hAnsi="Arial" w:cs="Arial"/>
          <w:shd w:val="clear" w:color="auto" w:fill="FFFFFF"/>
        </w:rPr>
      </w:pPr>
      <w:r w:rsidRPr="00F0394D">
        <w:rPr>
          <w:rFonts w:ascii="Arial" w:hAnsi="Arial" w:cs="Arial"/>
          <w:shd w:val="clear" w:color="auto" w:fill="FFFFFF"/>
        </w:rPr>
        <w:t>When compared to each other, it is generally accepted that coaching is performance-driven and mentoring is development-driven. Cox et al. (2018) draw out this variance by contending that whereas coaching concentrates on specific job skills or behaviors to enhance job performance, mentoring centers on enhancing an individual’s potential and helping them make career decisions. The third difference is that coaching is generally short-term, concerning present job tasks, while a mentoring relationship may be for a long time and cover wider professional growth</w:t>
      </w:r>
      <w:r w:rsidR="0038598B">
        <w:rPr>
          <w:rFonts w:ascii="Arial" w:hAnsi="Arial" w:cs="Arial"/>
          <w:shd w:val="clear" w:color="auto" w:fill="FFFFFF"/>
        </w:rPr>
        <w:t xml:space="preserve"> (</w:t>
      </w:r>
      <w:r w:rsidR="0038598B">
        <w:rPr>
          <w:rFonts w:ascii="Arial" w:hAnsi="Arial" w:cs="Arial"/>
        </w:rPr>
        <w:t xml:space="preserve">Finlay, </w:t>
      </w:r>
      <w:r w:rsidR="0038598B" w:rsidRPr="00F0394D">
        <w:rPr>
          <w:rFonts w:ascii="Arial" w:hAnsi="Arial" w:cs="Arial"/>
        </w:rPr>
        <w:t>2019</w:t>
      </w:r>
      <w:r w:rsidR="0038598B">
        <w:rPr>
          <w:rFonts w:ascii="Arial" w:hAnsi="Arial" w:cs="Arial"/>
        </w:rPr>
        <w:t>)</w:t>
      </w:r>
      <w:r w:rsidRPr="00F0394D">
        <w:rPr>
          <w:rFonts w:ascii="Arial" w:hAnsi="Arial" w:cs="Arial"/>
          <w:shd w:val="clear" w:color="auto" w:fill="FFFFFF"/>
        </w:rPr>
        <w:t>.</w:t>
      </w:r>
    </w:p>
    <w:p w:rsidR="0038598B" w:rsidRPr="0038598B" w:rsidRDefault="0038598B" w:rsidP="0038598B">
      <w:pPr>
        <w:spacing w:after="0" w:line="360" w:lineRule="auto"/>
        <w:ind w:firstLine="720"/>
        <w:jc w:val="both"/>
        <w:rPr>
          <w:rFonts w:ascii="Arial" w:hAnsi="Arial" w:cs="Arial"/>
          <w:shd w:val="clear" w:color="auto" w:fill="FFFFFF"/>
        </w:rPr>
      </w:pPr>
    </w:p>
    <w:p w:rsidR="00D5398F" w:rsidRDefault="00D5398F" w:rsidP="00D5398F">
      <w:pPr>
        <w:pStyle w:val="Heading1"/>
        <w:numPr>
          <w:ilvl w:val="0"/>
          <w:numId w:val="2"/>
        </w:numPr>
        <w:spacing w:before="0" w:line="360" w:lineRule="auto"/>
        <w:jc w:val="center"/>
        <w:rPr>
          <w:rFonts w:ascii="Arial" w:hAnsi="Arial" w:cs="Arial"/>
          <w:color w:val="auto"/>
          <w:sz w:val="24"/>
          <w:szCs w:val="24"/>
        </w:rPr>
      </w:pPr>
      <w:bookmarkStart w:id="3" w:name="_Toc181398226"/>
      <w:r w:rsidRPr="00D5398F">
        <w:rPr>
          <w:rFonts w:ascii="Arial" w:hAnsi="Arial" w:cs="Arial"/>
          <w:color w:val="auto"/>
          <w:sz w:val="24"/>
          <w:szCs w:val="24"/>
        </w:rPr>
        <w:t>Critical analysis</w:t>
      </w:r>
      <w:bookmarkEnd w:id="3"/>
    </w:p>
    <w:p w:rsidR="007D5611" w:rsidRPr="00D30C59" w:rsidRDefault="007D5611" w:rsidP="00D30C59">
      <w:pPr>
        <w:spacing w:after="0" w:line="360" w:lineRule="auto"/>
      </w:pP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The GROW model is indeed an internationally respected coaching model that expounds how to help a person define their goals, understand where they are in relation to their goals, determine how to make progress toward their goals, and set in place some actions. Sir John Whitmore and his co-workers developed a four-part model that features Goal; Reality; Options; </w:t>
      </w:r>
      <w:r w:rsidRPr="00D30C59">
        <w:rPr>
          <w:rFonts w:ascii="Arial" w:hAnsi="Arial" w:cs="Arial"/>
          <w:shd w:val="clear" w:color="auto" w:fill="FFFFFF"/>
        </w:rPr>
        <w:lastRenderedPageBreak/>
        <w:t>Will— sometimes termed ‘GROW,’ to support coaching conversations for setting specific objectives while problem-solving</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Goal: The first step is to define the goal clearly and specifically. The coach will help the individual articulate what he wants to achieve in this opportunity— making sure the goal is realistic, measurable, and meaningful. </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Reality: This step involves determining the reality. The coach helps the individual describe where he stands and bring out the challenges and constraints. </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Options: This stage involves determining what the possible courses of action and strategies to realize the goal are. </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Will: Will: This is where the commitment comes into play by converting thoughts into steps. </w:t>
      </w:r>
    </w:p>
    <w:p w:rsidR="00D30C59" w:rsidRDefault="00D30C59" w:rsidP="00D30C59">
      <w:pPr>
        <w:spacing w:after="0" w:line="360" w:lineRule="auto"/>
        <w:ind w:firstLine="720"/>
        <w:jc w:val="both"/>
        <w:rPr>
          <w:rFonts w:ascii="Arial" w:hAnsi="Arial" w:cs="Arial"/>
          <w:shd w:val="clear" w:color="auto" w:fill="FFFFFF"/>
        </w:rPr>
      </w:pP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Advantages of the GROW Model</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Clarity and Structure: The GROW model is easy, logical, and clear in structure and therefore very easy to follow as it is very much attainable for every coach and individual.</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Goal-Oriented: This model pays attention to the establishment of very specific goals, which will lead to a coaching conversation that is tangible and focused on measurable results.</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Empowerment: The GROW model, because it does permit people to come up with their own solutions, helps ensure ownership and self-reliance concerning decision-making.</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Adaptability: Applicability for the model is diverse, from career counsel</w:t>
      </w:r>
      <w:r w:rsidR="00EC0D10">
        <w:rPr>
          <w:rFonts w:ascii="Arial" w:hAnsi="Arial" w:cs="Arial"/>
          <w:shd w:val="clear" w:color="auto" w:fill="FFFFFF"/>
        </w:rPr>
        <w:t>l</w:t>
      </w:r>
      <w:r w:rsidRPr="00D30C59">
        <w:rPr>
          <w:rFonts w:ascii="Arial" w:hAnsi="Arial" w:cs="Arial"/>
          <w:shd w:val="clear" w:color="auto" w:fill="FFFFFF"/>
        </w:rPr>
        <w:t>ing to personal development—it works well with people of varied expertise levels</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Encourages Reflection: The Reality stage supports people in understanding their situation, including any potential blocks and ways of moving forward.</w:t>
      </w:r>
    </w:p>
    <w:p w:rsidR="00D30C59" w:rsidRDefault="00D30C59" w:rsidP="00D30C59">
      <w:pPr>
        <w:spacing w:after="0" w:line="360" w:lineRule="auto"/>
        <w:ind w:firstLine="720"/>
        <w:jc w:val="both"/>
        <w:rPr>
          <w:rFonts w:ascii="Arial" w:hAnsi="Arial" w:cs="Arial"/>
          <w:shd w:val="clear" w:color="auto" w:fill="FFFFFF"/>
        </w:rPr>
      </w:pP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Disadvantages of the GROW Model</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Limited Emotional Exploration: Mostly a rather action- and goal-oriented model, it may not always cover deep inner emotions or psychological issues that stand in the way of a person's progress</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Requires Coaching Skills: In actuality, GROW will only work well for a coach who can ask strong, insightful questions and not lead the coachee to what the coach believes to be the right answer.</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Risk of Oversimplification: It may tend to oversimplify a complex situation which other deep analyses or long solutions because of immediate and short-term goals.</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lastRenderedPageBreak/>
        <w:t>Short-Term Focus: It is better at achieving immediate, specific results and may not work well in achieving developmental long-term needs and systemwide issues.</w:t>
      </w:r>
    </w:p>
    <w:p w:rsidR="00F0394D" w:rsidRP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Dependency on Commitment: Its success is so dependent on whether the person feels motivated and committed to acting on it after the coaching session.</w:t>
      </w:r>
    </w:p>
    <w:p w:rsidR="000E3F8A" w:rsidRPr="00D30C59" w:rsidRDefault="000E3F8A" w:rsidP="00D30C59">
      <w:pPr>
        <w:spacing w:after="0" w:line="360" w:lineRule="auto"/>
        <w:ind w:firstLine="720"/>
        <w:jc w:val="both"/>
        <w:rPr>
          <w:rFonts w:ascii="Arial" w:hAnsi="Arial" w:cs="Arial"/>
          <w:shd w:val="clear" w:color="auto" w:fill="FFFFFF"/>
        </w:rPr>
      </w:pP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Situations where th</w:t>
      </w:r>
      <w:r w:rsidR="00D30C59">
        <w:rPr>
          <w:rFonts w:ascii="Arial" w:hAnsi="Arial" w:cs="Arial"/>
          <w:shd w:val="clear" w:color="auto" w:fill="FFFFFF"/>
        </w:rPr>
        <w:t>e</w:t>
      </w:r>
      <w:r w:rsidRPr="00D30C59">
        <w:rPr>
          <w:rFonts w:ascii="Arial" w:hAnsi="Arial" w:cs="Arial"/>
          <w:shd w:val="clear" w:color="auto" w:fill="FFFFFF"/>
        </w:rPr>
        <w:t xml:space="preserve"> GROW model would be useful are:</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Career Planning and Transitions: Essentially, the GROW model would be very effective for people planning or transitioning their careers. For instance, a coworker who is going to make a career as a nail artist can use the model to outline the goal of becoming a professional in that field, take stock of the current skills available, look into training options, and commit to actionable steps such as enrolling in courses or building a portfolio</w:t>
      </w:r>
      <w:r w:rsidR="009D3BFC">
        <w:rPr>
          <w:rFonts w:ascii="Arial" w:hAnsi="Arial" w:cs="Arial"/>
          <w:shd w:val="clear" w:color="auto" w:fill="FFFFFF"/>
        </w:rPr>
        <w:t xml:space="preserve"> (</w:t>
      </w:r>
      <w:r w:rsidR="009D3BFC">
        <w:rPr>
          <w:rFonts w:ascii="Arial" w:hAnsi="Arial" w:cs="Arial"/>
        </w:rPr>
        <w:t xml:space="preserve">Gibbs, </w:t>
      </w:r>
      <w:r w:rsidR="009D3BFC" w:rsidRPr="00F0394D">
        <w:rPr>
          <w:rFonts w:ascii="Arial" w:hAnsi="Arial" w:cs="Arial"/>
        </w:rPr>
        <w:t>2020</w:t>
      </w:r>
      <w:r w:rsidR="009D3BFC">
        <w:rPr>
          <w:rFonts w:ascii="Arial" w:hAnsi="Arial" w:cs="Arial"/>
        </w:rPr>
        <w:t>)</w:t>
      </w:r>
      <w:r w:rsidRPr="00D30C59">
        <w:rPr>
          <w:rFonts w:ascii="Arial" w:hAnsi="Arial" w:cs="Arial"/>
          <w:shd w:val="clear" w:color="auto" w:fill="FFFFFF"/>
        </w:rPr>
        <w:t>.</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Performance Improvement: With the GROW model, therefore, any performance-related challenge can be addressed. For instance, if an employee were having difficulty with time management, they could create a goal to increase productivity and review how they are currently operating with work, identify some strategies for prioritizing work, and then outline how they would put this into practice</w:t>
      </w:r>
      <w:r w:rsidR="009D3BFC">
        <w:rPr>
          <w:rFonts w:ascii="Arial" w:hAnsi="Arial" w:cs="Arial"/>
          <w:shd w:val="clear" w:color="auto" w:fill="FFFFFF"/>
        </w:rPr>
        <w:t xml:space="preserve"> (</w:t>
      </w:r>
      <w:r w:rsidR="009D3BFC">
        <w:rPr>
          <w:rFonts w:ascii="Arial" w:hAnsi="Arial" w:cs="Arial"/>
        </w:rPr>
        <w:t xml:space="preserve">Rolfe, </w:t>
      </w:r>
      <w:r w:rsidR="009D3BFC" w:rsidRPr="00F0394D">
        <w:rPr>
          <w:rFonts w:ascii="Arial" w:hAnsi="Arial" w:cs="Arial"/>
        </w:rPr>
        <w:t>2022</w:t>
      </w:r>
      <w:r w:rsidR="009D3BFC">
        <w:rPr>
          <w:rFonts w:ascii="Arial" w:hAnsi="Arial" w:cs="Arial"/>
        </w:rPr>
        <w:t>)</w:t>
      </w:r>
      <w:r w:rsidRPr="00D30C59">
        <w:rPr>
          <w:rFonts w:ascii="Arial" w:hAnsi="Arial" w:cs="Arial"/>
          <w:shd w:val="clear" w:color="auto" w:fill="FFFFFF"/>
        </w:rPr>
        <w:t>.</w:t>
      </w:r>
    </w:p>
    <w:p w:rsidR="00D30C59" w:rsidRDefault="000E3F8A"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Personal development: People who are looking to develop their softer skills of communication or leadership will find the GROW model an excellent line to structure their thinking in identifying where they can develop and what actions they can take to improve</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7D5611" w:rsidRPr="007D5611" w:rsidRDefault="007D5611" w:rsidP="00D30C59">
      <w:pPr>
        <w:spacing w:after="0"/>
      </w:pPr>
    </w:p>
    <w:p w:rsidR="007D5611" w:rsidRPr="009D3BFC" w:rsidRDefault="00D5398F" w:rsidP="007D5611">
      <w:pPr>
        <w:pStyle w:val="Heading1"/>
        <w:numPr>
          <w:ilvl w:val="0"/>
          <w:numId w:val="2"/>
        </w:numPr>
        <w:spacing w:before="0" w:line="360" w:lineRule="auto"/>
        <w:jc w:val="center"/>
        <w:rPr>
          <w:rFonts w:ascii="Arial" w:hAnsi="Arial" w:cs="Arial"/>
          <w:color w:val="auto"/>
          <w:sz w:val="24"/>
          <w:szCs w:val="24"/>
        </w:rPr>
      </w:pPr>
      <w:bookmarkStart w:id="4" w:name="_Toc181398227"/>
      <w:r w:rsidRPr="00D5398F">
        <w:rPr>
          <w:rFonts w:ascii="Arial" w:hAnsi="Arial" w:cs="Arial"/>
          <w:color w:val="auto"/>
          <w:sz w:val="24"/>
          <w:szCs w:val="24"/>
        </w:rPr>
        <w:t>Reflection on practical 1</w:t>
      </w:r>
      <w:bookmarkEnd w:id="4"/>
    </w:p>
    <w:p w:rsidR="007D5611" w:rsidRDefault="007D5611" w:rsidP="007D5611"/>
    <w:p w:rsidR="009D3BFC"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ERA Model—Experience, Reflection, and Action— is an organized critical analysis of the process of learning from an experience available. This reflection paper critically evaluates a coaching session done for a colleague who wanted to take up a career in nail art specifically touching on the challenges of nail art and the need to take up a course to better the skills</w:t>
      </w:r>
      <w:r w:rsidR="009D3BFC">
        <w:rPr>
          <w:rFonts w:ascii="Arial" w:hAnsi="Arial" w:cs="Arial"/>
          <w:shd w:val="clear" w:color="auto" w:fill="FFFFFF"/>
        </w:rPr>
        <w:t xml:space="preserve"> (</w:t>
      </w:r>
      <w:r w:rsidR="009D3BFC">
        <w:rPr>
          <w:rFonts w:ascii="Arial" w:hAnsi="Arial" w:cs="Arial"/>
        </w:rPr>
        <w:t xml:space="preserve">Smith, </w:t>
      </w:r>
      <w:r w:rsidR="009D3BFC" w:rsidRPr="00F0394D">
        <w:rPr>
          <w:rFonts w:ascii="Arial" w:hAnsi="Arial" w:cs="Arial"/>
        </w:rPr>
        <w:t>2020</w:t>
      </w:r>
      <w:r w:rsidR="009D3BFC">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p>
    <w:p w:rsidR="00D30C59" w:rsidRDefault="00D30C59" w:rsidP="00D30C59">
      <w:pPr>
        <w:spacing w:after="0" w:line="360" w:lineRule="auto"/>
        <w:ind w:left="360" w:firstLine="360"/>
        <w:jc w:val="both"/>
        <w:rPr>
          <w:rFonts w:ascii="Arial" w:hAnsi="Arial" w:cs="Arial"/>
          <w:shd w:val="clear" w:color="auto" w:fill="FFFFFF"/>
        </w:rPr>
      </w:pPr>
      <w:r w:rsidRPr="00D30C59">
        <w:rPr>
          <w:rFonts w:ascii="Arial" w:hAnsi="Arial" w:cs="Arial"/>
          <w:shd w:val="clear" w:color="auto" w:fill="FFFFFF"/>
        </w:rPr>
        <w:t>Experienc</w:t>
      </w:r>
      <w:r>
        <w:rPr>
          <w:rFonts w:ascii="Arial" w:hAnsi="Arial" w:cs="Arial"/>
          <w:shd w:val="clear" w:color="auto" w:fill="FFFFFF"/>
        </w:rPr>
        <w:t>e</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The coaching session was designed to help the colleague bring out her struggles about nail art which is very critical to her desired career with nail beauty. I used open-ended, structured questions during the session with her for self-assessment and goal setting. She raised these questions while reflecting on the limitation of time for her to develop intricate nail </w:t>
      </w:r>
      <w:r w:rsidRPr="00D30C59">
        <w:rPr>
          <w:rFonts w:ascii="Arial" w:hAnsi="Arial" w:cs="Arial"/>
          <w:shd w:val="clear" w:color="auto" w:fill="FFFFFF"/>
        </w:rPr>
        <w:lastRenderedPageBreak/>
        <w:t>art designs, which to her were definitely crucial for client satisfaction and career success. She comes across as showing a big wish to take up a nail art course so as to improve her skill set but at the same time appears uncertain as to how she will balance the equation involving its cost, time to be dedicated, and the rest of the activities</w:t>
      </w:r>
      <w:r w:rsidR="009D3BFC">
        <w:rPr>
          <w:rFonts w:ascii="Arial" w:hAnsi="Arial" w:cs="Arial"/>
          <w:shd w:val="clear" w:color="auto" w:fill="FFFFFF"/>
        </w:rPr>
        <w:t xml:space="preserve"> (</w:t>
      </w:r>
      <w:r w:rsidR="009D3BFC">
        <w:rPr>
          <w:rFonts w:ascii="Arial" w:hAnsi="Arial" w:cs="Arial"/>
        </w:rPr>
        <w:t xml:space="preserve">Smith, </w:t>
      </w:r>
      <w:r w:rsidR="009D3BFC" w:rsidRPr="00F0394D">
        <w:rPr>
          <w:rFonts w:ascii="Arial" w:hAnsi="Arial" w:cs="Arial"/>
        </w:rPr>
        <w:t>2020</w:t>
      </w:r>
      <w:r w:rsidR="009D3BFC">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Insights from the session: She researched several courses, with affordability and scheduling being her major concerns. Yet, the fact that she really wanted the course reflected strong intrinsic motivation to surmount those barriers</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Reflection</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Several valuable coaching process and colleague’s perspective insights were inspired by the session.</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Importance of Specificity: Pose questions about the specifics, with good questions being what actual specific techniques she want</w:t>
      </w:r>
      <w:r>
        <w:rPr>
          <w:rFonts w:ascii="Arial" w:hAnsi="Arial" w:cs="Arial"/>
          <w:shd w:val="clear" w:color="auto" w:fill="FFFFFF"/>
        </w:rPr>
        <w:t>s</w:t>
      </w:r>
      <w:r w:rsidRPr="00D30C59">
        <w:rPr>
          <w:rFonts w:ascii="Arial" w:hAnsi="Arial" w:cs="Arial"/>
          <w:shd w:val="clear" w:color="auto" w:fill="FFFFFF"/>
        </w:rPr>
        <w:t xml:space="preserve"> to improve. This was specificity itself in making goals very clear and laying down any actionable steps.</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Linking Skills to Outcomes: The session would have helped her understand how improvement in skills directly leads to improved client satisfaction. That is, it helped her understand how her professional growth could directly impact the success of her career and motivated her to pursue the course</w:t>
      </w:r>
      <w:r w:rsidR="009D3BFC">
        <w:rPr>
          <w:rFonts w:ascii="Arial" w:hAnsi="Arial" w:cs="Arial"/>
          <w:shd w:val="clear" w:color="auto" w:fill="FFFFFF"/>
        </w:rPr>
        <w:t xml:space="preserve"> (</w:t>
      </w:r>
      <w:r w:rsidR="009D3BFC">
        <w:rPr>
          <w:rFonts w:ascii="Arial" w:hAnsi="Arial" w:cs="Arial"/>
        </w:rPr>
        <w:t xml:space="preserve">Moon, </w:t>
      </w:r>
      <w:r w:rsidR="009D3BFC" w:rsidRPr="00F0394D">
        <w:rPr>
          <w:rFonts w:ascii="Arial" w:hAnsi="Arial" w:cs="Arial"/>
        </w:rPr>
        <w:t>2021</w:t>
      </w:r>
      <w:r w:rsidR="009D3BFC">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Exploring Barriers And Opportunities: On the other hand, the time and money questions made her want to take a critical look at where she was. She admitted that she was having a hard time at the moment in balancing time but was willing to make changes to her schedule for the course. This does show the commitment but also highlights where some more support or guidance is needed</w:t>
      </w:r>
      <w:r w:rsidR="009D3BFC">
        <w:rPr>
          <w:rFonts w:ascii="Arial" w:hAnsi="Arial" w:cs="Arial"/>
          <w:shd w:val="clear" w:color="auto" w:fill="FFFFFF"/>
        </w:rPr>
        <w:t xml:space="preserve"> (</w:t>
      </w:r>
      <w:r w:rsidR="009D3BFC">
        <w:rPr>
          <w:rFonts w:ascii="Arial" w:hAnsi="Arial" w:cs="Arial"/>
        </w:rPr>
        <w:t xml:space="preserve">Rolfe, </w:t>
      </w:r>
      <w:r w:rsidR="009D3BFC" w:rsidRPr="00F0394D">
        <w:rPr>
          <w:rFonts w:ascii="Arial" w:hAnsi="Arial" w:cs="Arial"/>
        </w:rPr>
        <w:t>2022</w:t>
      </w:r>
      <w:r w:rsidR="009D3BFC">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Enthusiasm as a Motivator: The inquiry as to whether she was excited for the course unveiled a high degree of interest and determination on her part. This emotional engagement can serve as a powerful impetus and may connote that she is going to realize her plans if it is presumable with the needed right support</w:t>
      </w:r>
      <w:r w:rsidR="009D3BFC">
        <w:rPr>
          <w:rFonts w:ascii="Arial" w:hAnsi="Arial" w:cs="Arial"/>
          <w:shd w:val="clear" w:color="auto" w:fill="FFFFFF"/>
        </w:rPr>
        <w:t xml:space="preserve"> (</w:t>
      </w:r>
      <w:r w:rsidR="009D3BFC">
        <w:rPr>
          <w:rFonts w:ascii="Arial" w:hAnsi="Arial" w:cs="Arial"/>
        </w:rPr>
        <w:t xml:space="preserve">Kolb, </w:t>
      </w:r>
      <w:r w:rsidR="009D3BFC" w:rsidRPr="00F0394D">
        <w:rPr>
          <w:rFonts w:ascii="Arial" w:hAnsi="Arial" w:cs="Arial"/>
        </w:rPr>
        <w:t>2023</w:t>
      </w:r>
      <w:r w:rsidR="009D3BFC">
        <w:rPr>
          <w:rFonts w:ascii="Arial" w:hAnsi="Arial" w:cs="Arial"/>
        </w:rPr>
        <w:t>)</w:t>
      </w:r>
      <w:r w:rsidRPr="00D30C59">
        <w:rPr>
          <w:rFonts w:ascii="Arial" w:hAnsi="Arial" w:cs="Arial"/>
          <w:shd w:val="clear" w:color="auto" w:fill="FFFFFF"/>
        </w:rPr>
        <w:t>.</w:t>
      </w:r>
    </w:p>
    <w:p w:rsidR="00D30C59" w:rsidRPr="00D30C59" w:rsidRDefault="00D30C59" w:rsidP="00D30C59">
      <w:pPr>
        <w:spacing w:after="0" w:line="360" w:lineRule="auto"/>
        <w:jc w:val="both"/>
        <w:rPr>
          <w:rFonts w:ascii="Arial" w:hAnsi="Arial" w:cs="Arial"/>
          <w:shd w:val="clear" w:color="auto" w:fill="FFFFFF"/>
        </w:rPr>
      </w:pP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Action</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Based on the insights gained from the session, the following can be considered to support her development: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Action Plan Development: Work with her to develop a detailed plan for enrolling in the course. (i.e. identify the best option for a course, work out payment plans if affordability is an issue, develop a schedule balancing personal and professional commitments).</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lastRenderedPageBreak/>
        <w:t>Skill Development Resources: Provide more resources in terms of online tutorials, workshops, or practice sessions to help her learn better if waiting for the course.</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Time Management Strategies: Offer some guidance on good time management so that the course can be a priority without her feeling overwhelmed.</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Encouragement and Follow-Up: Schedule follow-up coaching sessions to see how things are going and ensure that any obstacles standing in her way of progress are addressed, as well as to keep her motivated</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Building Confidence: Practice the nail art skills she has at present and get feedback from either friends or colleagues. This will give her more confidence when preparing to take up formal training.</w:t>
      </w:r>
    </w:p>
    <w:p w:rsidR="00D30C59" w:rsidRPr="00D30C59" w:rsidRDefault="00D30C59" w:rsidP="00D30C59">
      <w:pPr>
        <w:spacing w:after="0" w:line="360" w:lineRule="auto"/>
        <w:ind w:firstLine="720"/>
        <w:jc w:val="both"/>
        <w:rPr>
          <w:rFonts w:ascii="Arial" w:hAnsi="Arial" w:cs="Arial"/>
          <w:shd w:val="clear" w:color="auto" w:fill="FFFFFF"/>
        </w:rPr>
      </w:pPr>
    </w:p>
    <w:p w:rsidR="00D5398F" w:rsidRDefault="00D5398F" w:rsidP="00D5398F">
      <w:pPr>
        <w:pStyle w:val="Heading1"/>
        <w:numPr>
          <w:ilvl w:val="0"/>
          <w:numId w:val="2"/>
        </w:numPr>
        <w:spacing w:before="0" w:line="360" w:lineRule="auto"/>
        <w:jc w:val="center"/>
        <w:rPr>
          <w:rFonts w:ascii="Arial" w:hAnsi="Arial" w:cs="Arial"/>
          <w:color w:val="auto"/>
          <w:sz w:val="24"/>
          <w:szCs w:val="24"/>
        </w:rPr>
      </w:pPr>
      <w:bookmarkStart w:id="5" w:name="_Toc181398228"/>
      <w:r w:rsidRPr="00D5398F">
        <w:rPr>
          <w:rFonts w:ascii="Arial" w:hAnsi="Arial" w:cs="Arial"/>
          <w:color w:val="auto"/>
          <w:sz w:val="24"/>
          <w:szCs w:val="24"/>
        </w:rPr>
        <w:t>Reflection on practical 2</w:t>
      </w:r>
      <w:bookmarkEnd w:id="5"/>
    </w:p>
    <w:p w:rsidR="007D5611" w:rsidRDefault="007D5611" w:rsidP="007D5611"/>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Johari Window model is a simple and useful tool, primarily for understanding and training self-awareness and personal development. It identifies any information known or not known to the subject and to the observer (another person) which is preferred in four quadrants as Open, Blind, Hidden, and Unknown. In these next sections, the paper will reflect upon a coaching session with a co</w:t>
      </w:r>
      <w:r w:rsidR="009D3BFC">
        <w:rPr>
          <w:rFonts w:ascii="Arial" w:hAnsi="Arial" w:cs="Arial"/>
          <w:shd w:val="clear" w:color="auto" w:fill="FFFFFF"/>
        </w:rPr>
        <w:t>-</w:t>
      </w:r>
      <w:r w:rsidRPr="00D30C59">
        <w:rPr>
          <w:rFonts w:ascii="Arial" w:hAnsi="Arial" w:cs="Arial"/>
          <w:shd w:val="clear" w:color="auto" w:fill="FFFFFF"/>
        </w:rPr>
        <w:t>worker who wants to advance her career in nail beauty regarding self-awareness, goal-setting, and ways to overcome challenges</w:t>
      </w:r>
      <w:r w:rsidR="009D3BFC">
        <w:rPr>
          <w:rFonts w:ascii="Arial" w:hAnsi="Arial" w:cs="Arial"/>
          <w:shd w:val="clear" w:color="auto" w:fill="FFFFFF"/>
        </w:rPr>
        <w:t xml:space="preserve"> (</w:t>
      </w:r>
      <w:r w:rsidR="009D3BFC">
        <w:rPr>
          <w:rFonts w:ascii="Arial" w:hAnsi="Arial" w:cs="Arial"/>
        </w:rPr>
        <w:t xml:space="preserve">Smith, </w:t>
      </w:r>
      <w:r w:rsidR="009D3BFC" w:rsidRPr="00F0394D">
        <w:rPr>
          <w:rFonts w:ascii="Arial" w:hAnsi="Arial" w:cs="Arial"/>
        </w:rPr>
        <w:t>2020</w:t>
      </w:r>
      <w:r w:rsidR="009D3BFC">
        <w:rPr>
          <w:rFonts w:ascii="Arial" w:hAnsi="Arial" w:cs="Arial"/>
        </w:rPr>
        <w:t>)</w:t>
      </w:r>
      <w:r w:rsidRPr="00D30C59">
        <w:rPr>
          <w:rFonts w:ascii="Arial" w:hAnsi="Arial" w:cs="Arial"/>
          <w:shd w:val="clear" w:color="auto" w:fill="FFFFFF"/>
        </w:rPr>
        <w:t>.</w:t>
      </w:r>
    </w:p>
    <w:p w:rsidR="00D30C59" w:rsidRDefault="00D30C59" w:rsidP="00974BAF">
      <w:pPr>
        <w:spacing w:after="0" w:line="360" w:lineRule="auto"/>
        <w:ind w:firstLine="720"/>
        <w:jc w:val="both"/>
        <w:rPr>
          <w:rFonts w:ascii="Arial" w:hAnsi="Arial" w:cs="Arial"/>
          <w:shd w:val="clear" w:color="auto" w:fill="FFFFFF"/>
        </w:rPr>
      </w:pP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Open Area: Known to Self and Coach</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Open quadrant is what the individual shares openly about themselves, and what the mentor already knows. Such questions as "What do you want to focus on today?" or "What is your job, and for what reasons did you choose this career?" prompted my colleague to share her passion for nail beauty and the reasons she goes this way. She explained that she really loves creativity and making up, appreciating the way it respects and gives value to the money put in a well-done and creative job</w:t>
      </w:r>
      <w:r w:rsidR="00EC0D10">
        <w:rPr>
          <w:rFonts w:ascii="Arial" w:hAnsi="Arial" w:cs="Arial"/>
          <w:shd w:val="clear" w:color="auto" w:fill="FFFFFF"/>
        </w:rPr>
        <w:t xml:space="preserve"> (</w:t>
      </w:r>
      <w:r w:rsidR="00EC0D10">
        <w:rPr>
          <w:rFonts w:ascii="Arial" w:hAnsi="Arial" w:cs="Arial"/>
        </w:rPr>
        <w:t xml:space="preserve">Thompson &amp; Pascal, </w:t>
      </w:r>
      <w:r w:rsidR="00EC0D10" w:rsidRPr="00F0394D">
        <w:rPr>
          <w:rFonts w:ascii="Arial" w:hAnsi="Arial" w:cs="Arial"/>
        </w:rPr>
        <w:t>2022</w:t>
      </w:r>
      <w:r w:rsidR="00EC0D10">
        <w:rPr>
          <w:rFonts w:ascii="Arial" w:hAnsi="Arial" w:cs="Arial"/>
        </w:rPr>
        <w:t>)</w:t>
      </w:r>
      <w:r w:rsidRPr="00D30C59">
        <w:rPr>
          <w:rFonts w:ascii="Arial" w:hAnsi="Arial" w:cs="Arial"/>
          <w:shd w:val="clear" w:color="auto" w:fill="FFFFFF"/>
        </w:rPr>
        <w:t>.</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It allowed building on trust and clarity and contributed to taking steps toward establishing a common understanding of her present job role and why she chose to focus on nail beauty, as well as common challenges concerning competition and limited expertise in advanced nail art techniques</w:t>
      </w:r>
      <w:r w:rsidR="00EC0D10">
        <w:rPr>
          <w:rFonts w:ascii="Arial" w:hAnsi="Arial" w:cs="Arial"/>
          <w:shd w:val="clear" w:color="auto" w:fill="FFFFFF"/>
        </w:rPr>
        <w:t xml:space="preserve"> (</w:t>
      </w:r>
      <w:r w:rsidR="00EC0D10">
        <w:rPr>
          <w:rFonts w:ascii="Arial" w:hAnsi="Arial" w:cs="Arial"/>
        </w:rPr>
        <w:t xml:space="preserve">Williams, </w:t>
      </w:r>
      <w:r w:rsidR="00EC0D10" w:rsidRPr="00F0394D">
        <w:rPr>
          <w:rFonts w:ascii="Arial" w:hAnsi="Arial" w:cs="Arial"/>
        </w:rPr>
        <w:t>2023</w:t>
      </w:r>
      <w:r w:rsidR="00EC0D10">
        <w:rPr>
          <w:rFonts w:ascii="Arial" w:hAnsi="Arial" w:cs="Arial"/>
        </w:rPr>
        <w:t>)</w:t>
      </w:r>
      <w:r w:rsidRPr="00D30C59">
        <w:rPr>
          <w:rFonts w:ascii="Arial" w:hAnsi="Arial" w:cs="Arial"/>
          <w:shd w:val="clear" w:color="auto" w:fill="FFFFFF"/>
        </w:rPr>
        <w:t>.</w:t>
      </w:r>
    </w:p>
    <w:p w:rsidR="009D3BFC" w:rsidRDefault="00D30C59" w:rsidP="00EC0D10">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session contributed to moving into the quadrant of Open by reinforcing again the need to create a safe and supporting environment, which in turn supports the comfort of the mentee in sharing personal aspirations and obstacles</w:t>
      </w:r>
      <w:r w:rsidR="00EC0D10">
        <w:rPr>
          <w:rFonts w:ascii="Arial" w:hAnsi="Arial" w:cs="Arial"/>
          <w:shd w:val="clear" w:color="auto" w:fill="FFFFFF"/>
        </w:rPr>
        <w:t xml:space="preserve"> (</w:t>
      </w:r>
      <w:r w:rsidR="00EC0D10">
        <w:rPr>
          <w:rFonts w:ascii="Arial" w:hAnsi="Arial" w:cs="Arial"/>
        </w:rPr>
        <w:t xml:space="preserve">Thompson &amp; Pascal, </w:t>
      </w:r>
      <w:r w:rsidR="00EC0D10" w:rsidRPr="00F0394D">
        <w:rPr>
          <w:rFonts w:ascii="Arial" w:hAnsi="Arial" w:cs="Arial"/>
        </w:rPr>
        <w:t>2022</w:t>
      </w:r>
      <w:r w:rsidR="00EC0D10">
        <w:rPr>
          <w:rFonts w:ascii="Arial" w:hAnsi="Arial" w:cs="Arial"/>
        </w:rPr>
        <w:t>)</w:t>
      </w:r>
      <w:r w:rsidRPr="00D30C59">
        <w:rPr>
          <w:rFonts w:ascii="Arial" w:hAnsi="Arial" w:cs="Arial"/>
          <w:shd w:val="clear" w:color="auto" w:fill="FFFFFF"/>
        </w:rPr>
        <w:t>.</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lastRenderedPageBreak/>
        <w:t>Blind Area: Know to Mentor, Unknown to Self</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Issues in the Blind Area pertain to things that are currently evident to the mentor but not yet to the mentee. Gaps in self-awareness were evident when questioned about how she stands out in such a vast competition to achieve her goals. She agreed that the nail industry is quite competitive but could not define her value proposition.</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From her perspective, its personable demeano</w:t>
      </w:r>
      <w:r w:rsidR="009D3BFC">
        <w:rPr>
          <w:rFonts w:ascii="Arial" w:hAnsi="Arial" w:cs="Arial"/>
          <w:shd w:val="clear" w:color="auto" w:fill="FFFFFF"/>
        </w:rPr>
        <w:t>u</w:t>
      </w:r>
      <w:r w:rsidRPr="00D30C59">
        <w:rPr>
          <w:rFonts w:ascii="Arial" w:hAnsi="Arial" w:cs="Arial"/>
          <w:shd w:val="clear" w:color="auto" w:fill="FFFFFF"/>
        </w:rPr>
        <w:t>r and interest in getting to know her were key differentiators that she hadn’t fully recognized. Sharing these observations helped her see her strengths in a new light and begin to think about how she could use them to stand out in a saturated market and boost a little more confidence</w:t>
      </w:r>
      <w:r w:rsidR="009D3BFC">
        <w:rPr>
          <w:rFonts w:ascii="Arial" w:hAnsi="Arial" w:cs="Arial"/>
          <w:shd w:val="clear" w:color="auto" w:fill="FFFFFF"/>
        </w:rPr>
        <w:t xml:space="preserve"> (</w:t>
      </w:r>
      <w:r w:rsidR="009D3BFC">
        <w:rPr>
          <w:rFonts w:ascii="Arial" w:hAnsi="Arial" w:cs="Arial"/>
        </w:rPr>
        <w:t xml:space="preserve">Johns, </w:t>
      </w:r>
      <w:r w:rsidR="009D3BFC" w:rsidRPr="00F0394D">
        <w:rPr>
          <w:rFonts w:ascii="Arial" w:hAnsi="Arial" w:cs="Arial"/>
        </w:rPr>
        <w:t>2023</w:t>
      </w:r>
      <w:r w:rsidR="009D3BFC">
        <w:rPr>
          <w:rFonts w:ascii="Arial" w:hAnsi="Arial" w:cs="Arial"/>
        </w:rPr>
        <w:t>)</w:t>
      </w:r>
      <w:r w:rsidRPr="00D30C59">
        <w:rPr>
          <w:rFonts w:ascii="Arial" w:hAnsi="Arial" w:cs="Arial"/>
          <w:shd w:val="clear" w:color="auto" w:fill="FFFFFF"/>
        </w:rPr>
        <w:t>.</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I helped her to merge the gap between her Blind and Open quadrants by gently bringing in the potential and strengths, fostering greater self-awareness.</w:t>
      </w:r>
    </w:p>
    <w:p w:rsidR="00D30C59" w:rsidRDefault="00D30C59" w:rsidP="00974BAF">
      <w:pPr>
        <w:spacing w:after="0" w:line="360" w:lineRule="auto"/>
        <w:ind w:firstLine="720"/>
        <w:jc w:val="both"/>
        <w:rPr>
          <w:rFonts w:ascii="Arial" w:hAnsi="Arial" w:cs="Arial"/>
          <w:shd w:val="clear" w:color="auto" w:fill="FFFFFF"/>
        </w:rPr>
      </w:pP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Hidden Area: Known to Self, Unknown to Mentor</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This quadrant includes the area of what the mentee knows about him/herself but has not shared it with the mentor. For example, asking “Where do you want to be a year from now? How will you measure your success?” prompted her to reveal personal goals and milestones she had kept private. She said she wants to have a loyal client base and master advanced tec</w:t>
      </w:r>
      <w:r w:rsidR="009D3BFC">
        <w:rPr>
          <w:rFonts w:ascii="Arial" w:hAnsi="Arial" w:cs="Arial"/>
          <w:shd w:val="clear" w:color="auto" w:fill="FFFFFF"/>
        </w:rPr>
        <w:t>hniques of nail art to specialis</w:t>
      </w:r>
      <w:r w:rsidRPr="00D30C59">
        <w:rPr>
          <w:rFonts w:ascii="Arial" w:hAnsi="Arial" w:cs="Arial"/>
          <w:shd w:val="clear" w:color="auto" w:fill="FFFFFF"/>
        </w:rPr>
        <w:t>e</w:t>
      </w:r>
      <w:r w:rsidR="009D3BFC">
        <w:rPr>
          <w:rFonts w:ascii="Arial" w:hAnsi="Arial" w:cs="Arial"/>
          <w:shd w:val="clear" w:color="auto" w:fill="FFFFFF"/>
        </w:rPr>
        <w:t xml:space="preserve"> (</w:t>
      </w:r>
      <w:r w:rsidR="009D3BFC">
        <w:rPr>
          <w:rFonts w:ascii="Arial" w:hAnsi="Arial" w:cs="Arial"/>
        </w:rPr>
        <w:t xml:space="preserve">Schön, </w:t>
      </w:r>
      <w:r w:rsidR="009D3BFC" w:rsidRPr="00F0394D">
        <w:rPr>
          <w:rFonts w:ascii="Arial" w:hAnsi="Arial" w:cs="Arial"/>
        </w:rPr>
        <w:t>2021</w:t>
      </w:r>
      <w:r w:rsidR="009D3BFC">
        <w:rPr>
          <w:rFonts w:ascii="Arial" w:hAnsi="Arial" w:cs="Arial"/>
        </w:rPr>
        <w:t>)</w:t>
      </w:r>
      <w:r w:rsidRPr="00D30C59">
        <w:rPr>
          <w:rFonts w:ascii="Arial" w:hAnsi="Arial" w:cs="Arial"/>
          <w:shd w:val="clear" w:color="auto" w:fill="FFFFFF"/>
        </w:rPr>
        <w:t>.</w:t>
      </w:r>
    </w:p>
    <w:p w:rsidR="00D30C59" w:rsidRDefault="00D30C59" w:rsidP="00974BAF">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Moreover, when asked what inspires her to take this route, Huma answered with a personal motive—her admiration for the transformational power of beauty services and how she can motivate others through her work. Sharing these deeper aspirations enhanced our connection and enabled me to be more precise in the guidance I provide him.</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Asking to disclose these hidden aspects of objectives further opens the Open quadrant by aligning private motivations with the mentoring process.</w:t>
      </w:r>
    </w:p>
    <w:p w:rsidR="00D30C59" w:rsidRDefault="00D30C59" w:rsidP="00D30C59">
      <w:pPr>
        <w:spacing w:after="0" w:line="360" w:lineRule="auto"/>
        <w:ind w:firstLine="720"/>
        <w:jc w:val="both"/>
        <w:rPr>
          <w:rFonts w:ascii="Arial" w:hAnsi="Arial" w:cs="Arial"/>
          <w:shd w:val="clear" w:color="auto" w:fill="FFFFFF"/>
        </w:rPr>
      </w:pP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Unknown Area: Unknown to Self and Mentor</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The Unknown area represents where the mentee and mentor have not fully identified the mentee’s potential, opportunities, or challenges. For example, she was prompted to think beyond the immediate goal to answer a question, “Where do you see yourself in three years, and what milestones will you need to hit?”</w:t>
      </w:r>
      <w:r w:rsidR="009D3BFC">
        <w:rPr>
          <w:rFonts w:ascii="Arial" w:hAnsi="Arial" w:cs="Arial"/>
          <w:shd w:val="clear" w:color="auto" w:fill="FFFFFF"/>
        </w:rPr>
        <w:t xml:space="preserve"> (</w:t>
      </w:r>
      <w:r w:rsidR="009D3BFC">
        <w:rPr>
          <w:rFonts w:ascii="Arial" w:hAnsi="Arial" w:cs="Arial"/>
        </w:rPr>
        <w:t xml:space="preserve">Atkins &amp; Murphy, </w:t>
      </w:r>
      <w:r w:rsidR="009D3BFC" w:rsidRPr="00974BAF">
        <w:rPr>
          <w:rFonts w:ascii="Arial" w:hAnsi="Arial" w:cs="Arial"/>
        </w:rPr>
        <w:t>2019</w:t>
      </w:r>
      <w:r w:rsidR="009D3BFC">
        <w:rPr>
          <w:rFonts w:ascii="Arial" w:hAnsi="Arial" w:cs="Arial"/>
        </w:rPr>
        <w:t>).</w:t>
      </w:r>
    </w:p>
    <w:p w:rsid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 xml:space="preserve">While she had clear short-term goals (like enrolling in advanced courses and improving her nail art skills), she admitted uncertainty about how to scale her career or differentiate herself in the long term. In this way, we could, together, come up with possible other milestones—like offering unique signature styles and building an online presence (or even teaching nail art </w:t>
      </w:r>
      <w:r w:rsidRPr="00D30C59">
        <w:rPr>
          <w:rFonts w:ascii="Arial" w:hAnsi="Arial" w:cs="Arial"/>
          <w:shd w:val="clear" w:color="auto" w:fill="FFFFFF"/>
        </w:rPr>
        <w:lastRenderedPageBreak/>
        <w:t>workshops in the future)—that would help this one better realize and thus make more concrete its long-term vision.</w:t>
      </w:r>
      <w:r w:rsidR="009D3BFC">
        <w:rPr>
          <w:rFonts w:ascii="Arial" w:hAnsi="Arial" w:cs="Arial"/>
          <w:shd w:val="clear" w:color="auto" w:fill="FFFFFF"/>
        </w:rPr>
        <w:t xml:space="preserve"> </w:t>
      </w:r>
      <w:r w:rsidRPr="00D30C59">
        <w:rPr>
          <w:rFonts w:ascii="Arial" w:hAnsi="Arial" w:cs="Arial"/>
          <w:shd w:val="clear" w:color="auto" w:fill="FFFFFF"/>
        </w:rPr>
        <w:t>The Johari Window model proved invaluable for structuring the session. It kept a balance well between guiding her self-discovery and offering constructive feedback—but more importantly, it developed deeper self-awareness. Talking through the Open quadrant helped her feel as if she were being supported and encouraged plus giving voice to the things that sit in her Blind quadrant allowed her to realize how many more people see her strengths and potential</w:t>
      </w:r>
      <w:r w:rsidR="009D3BFC">
        <w:rPr>
          <w:rFonts w:ascii="Arial" w:hAnsi="Arial" w:cs="Arial"/>
          <w:shd w:val="clear" w:color="auto" w:fill="FFFFFF"/>
        </w:rPr>
        <w:t xml:space="preserve"> (</w:t>
      </w:r>
      <w:r w:rsidR="009D3BFC">
        <w:rPr>
          <w:rFonts w:ascii="Arial" w:hAnsi="Arial" w:cs="Arial"/>
        </w:rPr>
        <w:t xml:space="preserve">Finlay, </w:t>
      </w:r>
      <w:r w:rsidR="009D3BFC" w:rsidRPr="00F0394D">
        <w:rPr>
          <w:rFonts w:ascii="Arial" w:hAnsi="Arial" w:cs="Arial"/>
        </w:rPr>
        <w:t>2019</w:t>
      </w:r>
      <w:r w:rsidR="009D3BFC">
        <w:rPr>
          <w:rFonts w:ascii="Arial" w:hAnsi="Arial" w:cs="Arial"/>
        </w:rPr>
        <w:t>)</w:t>
      </w:r>
      <w:r w:rsidRPr="00D30C59">
        <w:rPr>
          <w:rFonts w:ascii="Arial" w:hAnsi="Arial" w:cs="Arial"/>
          <w:shd w:val="clear" w:color="auto" w:fill="FFFFFF"/>
        </w:rPr>
        <w:t>.</w:t>
      </w:r>
    </w:p>
    <w:p w:rsidR="00D30C59" w:rsidRPr="00D30C59" w:rsidRDefault="00D30C59" w:rsidP="00D30C59">
      <w:pPr>
        <w:spacing w:after="0" w:line="360" w:lineRule="auto"/>
        <w:ind w:firstLine="720"/>
        <w:jc w:val="both"/>
        <w:rPr>
          <w:rFonts w:ascii="Arial" w:hAnsi="Arial" w:cs="Arial"/>
          <w:shd w:val="clear" w:color="auto" w:fill="FFFFFF"/>
        </w:rPr>
      </w:pPr>
      <w:r w:rsidRPr="00D30C59">
        <w:rPr>
          <w:rFonts w:ascii="Arial" w:hAnsi="Arial" w:cs="Arial"/>
          <w:shd w:val="clear" w:color="auto" w:fill="FFFFFF"/>
        </w:rPr>
        <w:t>Create an online portfolio and engage clients over social media.</w:t>
      </w:r>
      <w:r>
        <w:rPr>
          <w:rFonts w:ascii="Arial" w:hAnsi="Arial" w:cs="Arial"/>
          <w:shd w:val="clear" w:color="auto" w:fill="FFFFFF"/>
        </w:rPr>
        <w:t xml:space="preserve"> </w:t>
      </w:r>
      <w:r w:rsidRPr="00D30C59">
        <w:rPr>
          <w:rFonts w:ascii="Arial" w:hAnsi="Arial" w:cs="Arial"/>
          <w:shd w:val="clear" w:color="auto" w:fill="FFFFFF"/>
        </w:rPr>
        <w:t>Lay out specific one-and three-year goals, such as hitting certain numbers of loyal clients or having work showcased at industry events</w:t>
      </w:r>
      <w:r w:rsidR="009D3BFC">
        <w:rPr>
          <w:rFonts w:ascii="Arial" w:hAnsi="Arial" w:cs="Arial"/>
          <w:shd w:val="clear" w:color="auto" w:fill="FFFFFF"/>
        </w:rPr>
        <w:t xml:space="preserve"> (</w:t>
      </w:r>
      <w:r w:rsidR="009D3BFC">
        <w:rPr>
          <w:rFonts w:ascii="Arial" w:hAnsi="Arial" w:cs="Arial"/>
        </w:rPr>
        <w:t xml:space="preserve">Schön, </w:t>
      </w:r>
      <w:r w:rsidR="009D3BFC" w:rsidRPr="00F0394D">
        <w:rPr>
          <w:rFonts w:ascii="Arial" w:hAnsi="Arial" w:cs="Arial"/>
        </w:rPr>
        <w:t>2021</w:t>
      </w:r>
      <w:r w:rsidR="009D3BFC">
        <w:rPr>
          <w:rFonts w:ascii="Arial" w:hAnsi="Arial" w:cs="Arial"/>
        </w:rPr>
        <w:t>)</w:t>
      </w:r>
      <w:r w:rsidRPr="00D30C59">
        <w:rPr>
          <w:rFonts w:ascii="Arial" w:hAnsi="Arial" w:cs="Arial"/>
          <w:shd w:val="clear" w:color="auto" w:fill="FFFFFF"/>
        </w:rPr>
        <w:t>.</w:t>
      </w:r>
    </w:p>
    <w:p w:rsidR="00974BAF" w:rsidRPr="00974BAF" w:rsidRDefault="00974BAF" w:rsidP="00974BAF">
      <w:pPr>
        <w:spacing w:after="0" w:line="360" w:lineRule="auto"/>
        <w:ind w:firstLine="720"/>
        <w:jc w:val="both"/>
      </w:pPr>
    </w:p>
    <w:p w:rsidR="00D5398F" w:rsidRDefault="00D5398F" w:rsidP="00D5398F">
      <w:pPr>
        <w:pStyle w:val="Heading1"/>
        <w:numPr>
          <w:ilvl w:val="0"/>
          <w:numId w:val="2"/>
        </w:numPr>
        <w:spacing w:before="0" w:line="360" w:lineRule="auto"/>
        <w:jc w:val="center"/>
        <w:rPr>
          <w:rFonts w:ascii="Arial" w:hAnsi="Arial" w:cs="Arial"/>
          <w:color w:val="auto"/>
          <w:sz w:val="24"/>
          <w:szCs w:val="24"/>
        </w:rPr>
      </w:pPr>
      <w:bookmarkStart w:id="6" w:name="_Toc181398229"/>
      <w:r w:rsidRPr="00D5398F">
        <w:rPr>
          <w:rFonts w:ascii="Arial" w:hAnsi="Arial" w:cs="Arial"/>
          <w:color w:val="auto"/>
          <w:sz w:val="24"/>
          <w:szCs w:val="24"/>
        </w:rPr>
        <w:t>Conclusion</w:t>
      </w:r>
      <w:bookmarkEnd w:id="6"/>
    </w:p>
    <w:p w:rsidR="00ED756A" w:rsidRDefault="00ED756A" w:rsidP="00ED756A"/>
    <w:p w:rsidR="0038598B" w:rsidRPr="009D3BFC" w:rsidRDefault="009D3BFC" w:rsidP="00F0394D">
      <w:pPr>
        <w:spacing w:after="0" w:line="360" w:lineRule="auto"/>
        <w:ind w:firstLine="360"/>
        <w:jc w:val="both"/>
        <w:rPr>
          <w:rFonts w:ascii="Arial" w:hAnsi="Arial" w:cs="Arial"/>
          <w:shd w:val="clear" w:color="auto" w:fill="FFFFFF"/>
        </w:rPr>
      </w:pPr>
      <w:r w:rsidRPr="009D3BFC">
        <w:rPr>
          <w:rFonts w:ascii="Arial" w:hAnsi="Arial" w:cs="Arial"/>
          <w:shd w:val="clear" w:color="auto" w:fill="FFFFFF"/>
        </w:rPr>
        <w:t>Coaching and mentoring brought out the effectiveness of structured approaches with models like GROW and Johari Window for self-awareness and goal setting as well as actionability. In the coaching session, the colleague was encouraged to zero in on specific challenges and commit to actions, like enrolling in a nail art course, which would provide a marked increase in both skill and confidence. The mentoring session with the Johari Window supported a very deep self-discovery journey to bring out strengths, hidden motivations, and long-term aspirations. This, in a nutshell, meant that her self-reflection combined with strategic planning would make her succeed as a nail artist. These approaches will work for her in her positional and skill development for effectiveness in a competitive industry.</w:t>
      </w:r>
    </w:p>
    <w:p w:rsidR="0038598B" w:rsidRPr="009D3BFC" w:rsidRDefault="0038598B" w:rsidP="00F0394D">
      <w:pPr>
        <w:spacing w:after="0" w:line="360" w:lineRule="auto"/>
        <w:ind w:firstLine="360"/>
        <w:jc w:val="both"/>
        <w:rPr>
          <w:rFonts w:ascii="Arial" w:hAnsi="Arial" w:cs="Arial"/>
          <w:shd w:val="clear" w:color="auto" w:fill="FFFFFF"/>
        </w:rPr>
      </w:pPr>
    </w:p>
    <w:p w:rsidR="0038598B" w:rsidRPr="009D3BFC" w:rsidRDefault="0038598B" w:rsidP="00F0394D">
      <w:pPr>
        <w:spacing w:after="0" w:line="360" w:lineRule="auto"/>
        <w:ind w:firstLine="360"/>
        <w:jc w:val="both"/>
        <w:rPr>
          <w:rFonts w:ascii="Arial" w:hAnsi="Arial" w:cs="Arial"/>
          <w:shd w:val="clear" w:color="auto" w:fill="FFFFFF"/>
        </w:rPr>
      </w:pPr>
    </w:p>
    <w:p w:rsidR="0038598B" w:rsidRDefault="0038598B" w:rsidP="00F0394D">
      <w:pPr>
        <w:spacing w:after="0" w:line="360" w:lineRule="auto"/>
        <w:ind w:firstLine="360"/>
        <w:jc w:val="both"/>
        <w:rPr>
          <w:rFonts w:ascii="Arial" w:hAnsi="Arial" w:cs="Arial"/>
          <w:shd w:val="clear" w:color="auto" w:fill="FFFFFF"/>
        </w:rPr>
      </w:pPr>
    </w:p>
    <w:p w:rsidR="0038598B" w:rsidRDefault="0038598B" w:rsidP="00F0394D">
      <w:pPr>
        <w:spacing w:after="0" w:line="360" w:lineRule="auto"/>
        <w:ind w:firstLine="360"/>
        <w:jc w:val="both"/>
        <w:rPr>
          <w:rFonts w:ascii="Arial" w:hAnsi="Arial" w:cs="Arial"/>
          <w:shd w:val="clear" w:color="auto" w:fill="FFFFFF"/>
        </w:rPr>
      </w:pPr>
    </w:p>
    <w:p w:rsidR="0038598B" w:rsidRDefault="0038598B" w:rsidP="00F0394D">
      <w:pPr>
        <w:spacing w:after="0" w:line="360" w:lineRule="auto"/>
        <w:ind w:firstLine="360"/>
        <w:jc w:val="both"/>
        <w:rPr>
          <w:rFonts w:ascii="Arial" w:hAnsi="Arial" w:cs="Arial"/>
          <w:shd w:val="clear" w:color="auto" w:fill="FFFFFF"/>
        </w:rPr>
      </w:pPr>
    </w:p>
    <w:p w:rsidR="0038598B" w:rsidRDefault="0038598B" w:rsidP="00F0394D">
      <w:pPr>
        <w:spacing w:after="0" w:line="360" w:lineRule="auto"/>
        <w:ind w:firstLine="360"/>
        <w:jc w:val="both"/>
        <w:rPr>
          <w:rFonts w:ascii="Arial" w:hAnsi="Arial" w:cs="Arial"/>
          <w:shd w:val="clear" w:color="auto" w:fill="FFFFFF"/>
        </w:rPr>
      </w:pPr>
    </w:p>
    <w:p w:rsidR="0038598B" w:rsidRDefault="0038598B" w:rsidP="00F0394D">
      <w:pPr>
        <w:spacing w:after="0" w:line="360" w:lineRule="auto"/>
        <w:ind w:firstLine="360"/>
        <w:jc w:val="both"/>
        <w:rPr>
          <w:rFonts w:ascii="Arial" w:hAnsi="Arial" w:cs="Arial"/>
          <w:shd w:val="clear" w:color="auto" w:fill="FFFFFF"/>
        </w:rPr>
      </w:pPr>
    </w:p>
    <w:p w:rsidR="0038598B" w:rsidRDefault="0038598B" w:rsidP="009D3BFC">
      <w:pPr>
        <w:spacing w:after="0" w:line="360" w:lineRule="auto"/>
        <w:jc w:val="both"/>
        <w:rPr>
          <w:rFonts w:ascii="Arial" w:hAnsi="Arial" w:cs="Arial"/>
          <w:shd w:val="clear" w:color="auto" w:fill="FFFFFF"/>
        </w:rPr>
      </w:pPr>
    </w:p>
    <w:p w:rsidR="00EC0D10" w:rsidRDefault="00EC0D10" w:rsidP="009D3BFC">
      <w:pPr>
        <w:spacing w:after="0" w:line="360" w:lineRule="auto"/>
        <w:jc w:val="both"/>
        <w:rPr>
          <w:rFonts w:ascii="Arial" w:hAnsi="Arial" w:cs="Arial"/>
          <w:shd w:val="clear" w:color="auto" w:fill="FFFFFF"/>
        </w:rPr>
      </w:pPr>
    </w:p>
    <w:p w:rsidR="0038598B" w:rsidRPr="00F0394D" w:rsidRDefault="0038598B" w:rsidP="00F0394D">
      <w:pPr>
        <w:spacing w:after="0" w:line="360" w:lineRule="auto"/>
        <w:ind w:firstLine="360"/>
        <w:jc w:val="both"/>
        <w:rPr>
          <w:rFonts w:ascii="Arial" w:hAnsi="Arial" w:cs="Arial"/>
          <w:shd w:val="clear" w:color="auto" w:fill="FFFFFF"/>
        </w:rPr>
      </w:pPr>
    </w:p>
    <w:p w:rsidR="00D5398F" w:rsidRDefault="00D5398F" w:rsidP="00D5398F">
      <w:pPr>
        <w:pStyle w:val="Heading1"/>
        <w:spacing w:before="0" w:line="360" w:lineRule="auto"/>
        <w:jc w:val="center"/>
        <w:rPr>
          <w:rFonts w:ascii="Arial" w:hAnsi="Arial" w:cs="Arial"/>
          <w:color w:val="auto"/>
          <w:sz w:val="24"/>
          <w:szCs w:val="24"/>
        </w:rPr>
      </w:pPr>
      <w:bookmarkStart w:id="7" w:name="_Toc181398230"/>
      <w:r w:rsidRPr="00D5398F">
        <w:rPr>
          <w:rFonts w:ascii="Arial" w:hAnsi="Arial" w:cs="Arial"/>
          <w:color w:val="auto"/>
          <w:sz w:val="24"/>
          <w:szCs w:val="24"/>
        </w:rPr>
        <w:lastRenderedPageBreak/>
        <w:t>References</w:t>
      </w:r>
      <w:bookmarkEnd w:id="7"/>
    </w:p>
    <w:p w:rsidR="00ED756A" w:rsidRDefault="00ED756A" w:rsidP="00ED756A"/>
    <w:p w:rsidR="00F0394D" w:rsidRDefault="00F0394D" w:rsidP="00974BAF">
      <w:pPr>
        <w:pStyle w:val="NormalWeb"/>
        <w:numPr>
          <w:ilvl w:val="0"/>
          <w:numId w:val="3"/>
        </w:numPr>
        <w:spacing w:before="0" w:beforeAutospacing="0" w:after="0" w:afterAutospacing="0" w:line="360" w:lineRule="auto"/>
        <w:jc w:val="both"/>
        <w:rPr>
          <w:rFonts w:ascii="Arial" w:hAnsi="Arial" w:cs="Arial"/>
          <w:sz w:val="22"/>
          <w:szCs w:val="22"/>
        </w:rPr>
      </w:pPr>
      <w:r>
        <w:rPr>
          <w:rFonts w:ascii="Arial" w:hAnsi="Arial" w:cs="Arial"/>
          <w:sz w:val="22"/>
          <w:szCs w:val="22"/>
        </w:rPr>
        <w:t>Atkins, S. &amp;</w:t>
      </w:r>
      <w:r w:rsidR="00ED756A" w:rsidRPr="00974BAF">
        <w:rPr>
          <w:rFonts w:ascii="Arial" w:hAnsi="Arial" w:cs="Arial"/>
          <w:sz w:val="22"/>
          <w:szCs w:val="22"/>
        </w:rPr>
        <w:t xml:space="preserve"> Murphy, K., </w:t>
      </w:r>
      <w:r>
        <w:rPr>
          <w:rFonts w:ascii="Arial" w:hAnsi="Arial" w:cs="Arial"/>
          <w:sz w:val="22"/>
          <w:szCs w:val="22"/>
        </w:rPr>
        <w:t>(</w:t>
      </w:r>
      <w:r w:rsidR="00ED756A" w:rsidRPr="00974BAF">
        <w:rPr>
          <w:rFonts w:ascii="Arial" w:hAnsi="Arial" w:cs="Arial"/>
          <w:sz w:val="22"/>
          <w:szCs w:val="22"/>
        </w:rPr>
        <w:t>2019</w:t>
      </w:r>
      <w:r>
        <w:rPr>
          <w:rFonts w:ascii="Arial" w:hAnsi="Arial" w:cs="Arial"/>
          <w:sz w:val="22"/>
          <w:szCs w:val="22"/>
        </w:rPr>
        <w:t>)</w:t>
      </w:r>
      <w:r w:rsidR="00ED756A" w:rsidRPr="00974BAF">
        <w:rPr>
          <w:rFonts w:ascii="Arial" w:hAnsi="Arial" w:cs="Arial"/>
          <w:sz w:val="22"/>
          <w:szCs w:val="22"/>
        </w:rPr>
        <w:t xml:space="preserve">. ‘Reflection: A review of the literature’, </w:t>
      </w:r>
      <w:r w:rsidR="00ED756A" w:rsidRPr="00974BAF">
        <w:rPr>
          <w:rStyle w:val="Emphasis"/>
          <w:rFonts w:ascii="Arial" w:eastAsiaTheme="majorEastAsia" w:hAnsi="Arial" w:cs="Arial"/>
          <w:sz w:val="22"/>
          <w:szCs w:val="22"/>
        </w:rPr>
        <w:t>Journal of Advanced Nursing</w:t>
      </w:r>
      <w:r w:rsidR="00ED756A" w:rsidRPr="00974BAF">
        <w:rPr>
          <w:rFonts w:ascii="Arial" w:hAnsi="Arial" w:cs="Arial"/>
          <w:sz w:val="22"/>
          <w:szCs w:val="22"/>
        </w:rPr>
        <w:t>, 26(4), pp. 826–832.</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Brookfield, S.D., </w:t>
      </w:r>
      <w:r w:rsidR="00F0394D">
        <w:rPr>
          <w:rFonts w:ascii="Arial" w:hAnsi="Arial" w:cs="Arial"/>
          <w:sz w:val="22"/>
          <w:szCs w:val="22"/>
        </w:rPr>
        <w:t>(</w:t>
      </w:r>
      <w:r w:rsidRPr="00F0394D">
        <w:rPr>
          <w:rFonts w:ascii="Arial" w:hAnsi="Arial" w:cs="Arial"/>
          <w:sz w:val="22"/>
          <w:szCs w:val="22"/>
        </w:rPr>
        <w:t>2021</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Becoming a critically reflective teacher</w:t>
      </w:r>
      <w:r w:rsidRPr="00F0394D">
        <w:rPr>
          <w:rFonts w:ascii="Arial" w:hAnsi="Arial" w:cs="Arial"/>
          <w:sz w:val="22"/>
          <w:szCs w:val="22"/>
        </w:rPr>
        <w:t>. 2nd ed. San Francisco: Jossey-Bass.</w:t>
      </w:r>
    </w:p>
    <w:p w:rsidR="00F0394D" w:rsidRDefault="00F0394D" w:rsidP="00974BAF">
      <w:pPr>
        <w:pStyle w:val="NormalWeb"/>
        <w:numPr>
          <w:ilvl w:val="0"/>
          <w:numId w:val="3"/>
        </w:numPr>
        <w:spacing w:before="0" w:beforeAutospacing="0" w:after="0" w:afterAutospacing="0" w:line="360" w:lineRule="auto"/>
        <w:jc w:val="both"/>
        <w:rPr>
          <w:rFonts w:ascii="Arial" w:hAnsi="Arial" w:cs="Arial"/>
          <w:sz w:val="22"/>
          <w:szCs w:val="22"/>
        </w:rPr>
      </w:pPr>
      <w:r>
        <w:rPr>
          <w:rFonts w:ascii="Arial" w:hAnsi="Arial" w:cs="Arial"/>
          <w:sz w:val="22"/>
          <w:szCs w:val="22"/>
        </w:rPr>
        <w:t>Cox, E., Bachkirova, T., &amp;</w:t>
      </w:r>
      <w:r w:rsidR="00ED756A" w:rsidRPr="00F0394D">
        <w:rPr>
          <w:rFonts w:ascii="Arial" w:hAnsi="Arial" w:cs="Arial"/>
          <w:sz w:val="22"/>
          <w:szCs w:val="22"/>
        </w:rPr>
        <w:t xml:space="preserve"> Clutterbuck, D., </w:t>
      </w:r>
      <w:r>
        <w:rPr>
          <w:rFonts w:ascii="Arial" w:hAnsi="Arial" w:cs="Arial"/>
          <w:sz w:val="22"/>
          <w:szCs w:val="22"/>
        </w:rPr>
        <w:t>(</w:t>
      </w:r>
      <w:r w:rsidR="00ED756A" w:rsidRPr="00F0394D">
        <w:rPr>
          <w:rFonts w:ascii="Arial" w:hAnsi="Arial" w:cs="Arial"/>
          <w:sz w:val="22"/>
          <w:szCs w:val="22"/>
        </w:rPr>
        <w:t>2019</w:t>
      </w:r>
      <w:r>
        <w:rPr>
          <w:rFonts w:ascii="Arial" w:hAnsi="Arial" w:cs="Arial"/>
          <w:sz w:val="22"/>
          <w:szCs w:val="22"/>
        </w:rPr>
        <w:t>)</w:t>
      </w:r>
      <w:r w:rsidR="00ED756A" w:rsidRPr="00F0394D">
        <w:rPr>
          <w:rFonts w:ascii="Arial" w:hAnsi="Arial" w:cs="Arial"/>
          <w:sz w:val="22"/>
          <w:szCs w:val="22"/>
        </w:rPr>
        <w:t xml:space="preserve">. </w:t>
      </w:r>
      <w:r w:rsidR="00ED756A" w:rsidRPr="00F0394D">
        <w:rPr>
          <w:rStyle w:val="Emphasis"/>
          <w:rFonts w:ascii="Arial" w:eastAsiaTheme="majorEastAsia" w:hAnsi="Arial" w:cs="Arial"/>
          <w:sz w:val="22"/>
          <w:szCs w:val="22"/>
        </w:rPr>
        <w:t>The complete handbook of coaching</w:t>
      </w:r>
      <w:r w:rsidR="00ED756A" w:rsidRPr="00F0394D">
        <w:rPr>
          <w:rFonts w:ascii="Arial" w:hAnsi="Arial" w:cs="Arial"/>
          <w:sz w:val="22"/>
          <w:szCs w:val="22"/>
        </w:rPr>
        <w:t>. 3rd ed. London: Sage Publications.</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Farrell, T.S.C., </w:t>
      </w:r>
      <w:r w:rsidR="00F0394D">
        <w:rPr>
          <w:rFonts w:ascii="Arial" w:hAnsi="Arial" w:cs="Arial"/>
          <w:sz w:val="22"/>
          <w:szCs w:val="22"/>
        </w:rPr>
        <w:t>(</w:t>
      </w:r>
      <w:r w:rsidRPr="00F0394D">
        <w:rPr>
          <w:rFonts w:ascii="Arial" w:hAnsi="Arial" w:cs="Arial"/>
          <w:sz w:val="22"/>
          <w:szCs w:val="22"/>
        </w:rPr>
        <w:t>2020</w:t>
      </w:r>
      <w:r w:rsidR="00F0394D">
        <w:rPr>
          <w:rFonts w:ascii="Arial" w:hAnsi="Arial" w:cs="Arial"/>
          <w:sz w:val="22"/>
          <w:szCs w:val="22"/>
        </w:rPr>
        <w:t>)</w:t>
      </w:r>
      <w:r w:rsidRPr="00F0394D">
        <w:rPr>
          <w:rFonts w:ascii="Arial" w:hAnsi="Arial" w:cs="Arial"/>
          <w:sz w:val="22"/>
          <w:szCs w:val="22"/>
        </w:rPr>
        <w:t xml:space="preserve">. 'Reflective practice in ELT: Past, present and future', </w:t>
      </w:r>
      <w:r w:rsidRPr="00F0394D">
        <w:rPr>
          <w:rStyle w:val="Emphasis"/>
          <w:rFonts w:ascii="Arial" w:eastAsiaTheme="majorEastAsia" w:hAnsi="Arial" w:cs="Arial"/>
          <w:sz w:val="22"/>
          <w:szCs w:val="22"/>
        </w:rPr>
        <w:t>RELC Journal</w:t>
      </w:r>
      <w:r w:rsidRPr="00F0394D">
        <w:rPr>
          <w:rFonts w:ascii="Arial" w:hAnsi="Arial" w:cs="Arial"/>
          <w:sz w:val="22"/>
          <w:szCs w:val="22"/>
        </w:rPr>
        <w:t>, 51(2), pp. 187-197.</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Finlay, L., </w:t>
      </w:r>
      <w:r w:rsidR="00F0394D">
        <w:rPr>
          <w:rFonts w:ascii="Arial" w:hAnsi="Arial" w:cs="Arial"/>
          <w:sz w:val="22"/>
          <w:szCs w:val="22"/>
        </w:rPr>
        <w:t>(</w:t>
      </w:r>
      <w:r w:rsidRPr="00F0394D">
        <w:rPr>
          <w:rFonts w:ascii="Arial" w:hAnsi="Arial" w:cs="Arial"/>
          <w:sz w:val="22"/>
          <w:szCs w:val="22"/>
        </w:rPr>
        <w:t>2019</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Reflecting on reflective practice</w:t>
      </w:r>
      <w:r w:rsidRPr="00F0394D">
        <w:rPr>
          <w:rFonts w:ascii="Arial" w:hAnsi="Arial" w:cs="Arial"/>
          <w:sz w:val="22"/>
          <w:szCs w:val="22"/>
        </w:rPr>
        <w:t>. Milton Keynes: Open University.</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Gibbs, G., </w:t>
      </w:r>
      <w:r w:rsidR="00F0394D">
        <w:rPr>
          <w:rFonts w:ascii="Arial" w:hAnsi="Arial" w:cs="Arial"/>
          <w:sz w:val="22"/>
          <w:szCs w:val="22"/>
        </w:rPr>
        <w:t>(</w:t>
      </w:r>
      <w:r w:rsidRPr="00F0394D">
        <w:rPr>
          <w:rFonts w:ascii="Arial" w:hAnsi="Arial" w:cs="Arial"/>
          <w:sz w:val="22"/>
          <w:szCs w:val="22"/>
        </w:rPr>
        <w:t>2020</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Learning by doing: A guide to teaching and learning methods</w:t>
      </w:r>
      <w:r w:rsidRPr="00F0394D">
        <w:rPr>
          <w:rFonts w:ascii="Arial" w:hAnsi="Arial" w:cs="Arial"/>
          <w:sz w:val="22"/>
          <w:szCs w:val="22"/>
        </w:rPr>
        <w:t>. Oxford: Oxford Polytechnic.</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Johns, C., </w:t>
      </w:r>
      <w:r w:rsidR="00F0394D">
        <w:rPr>
          <w:rFonts w:ascii="Arial" w:hAnsi="Arial" w:cs="Arial"/>
          <w:sz w:val="22"/>
          <w:szCs w:val="22"/>
        </w:rPr>
        <w:t>(</w:t>
      </w:r>
      <w:r w:rsidRPr="00F0394D">
        <w:rPr>
          <w:rFonts w:ascii="Arial" w:hAnsi="Arial" w:cs="Arial"/>
          <w:sz w:val="22"/>
          <w:szCs w:val="22"/>
        </w:rPr>
        <w:t>2023</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Becoming a reflective practitioner</w:t>
      </w:r>
      <w:r w:rsidRPr="00F0394D">
        <w:rPr>
          <w:rFonts w:ascii="Arial" w:hAnsi="Arial" w:cs="Arial"/>
          <w:sz w:val="22"/>
          <w:szCs w:val="22"/>
        </w:rPr>
        <w:t>. 6th ed. Chichester: Wiley-Blackwell.</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Kolb, D.A., </w:t>
      </w:r>
      <w:r w:rsidR="00F0394D">
        <w:rPr>
          <w:rFonts w:ascii="Arial" w:hAnsi="Arial" w:cs="Arial"/>
          <w:sz w:val="22"/>
          <w:szCs w:val="22"/>
        </w:rPr>
        <w:t>(</w:t>
      </w:r>
      <w:r w:rsidRPr="00F0394D">
        <w:rPr>
          <w:rFonts w:ascii="Arial" w:hAnsi="Arial" w:cs="Arial"/>
          <w:sz w:val="22"/>
          <w:szCs w:val="22"/>
        </w:rPr>
        <w:t>2023</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Experiential learning: Experience as the source of learning and development</w:t>
      </w:r>
      <w:r w:rsidRPr="00F0394D">
        <w:rPr>
          <w:rFonts w:ascii="Arial" w:hAnsi="Arial" w:cs="Arial"/>
          <w:sz w:val="22"/>
          <w:szCs w:val="22"/>
        </w:rPr>
        <w:t>. 2nd ed. Upper Saddle River, NJ: Pearson Education.</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Moon, J.A., </w:t>
      </w:r>
      <w:r w:rsidR="00F0394D">
        <w:rPr>
          <w:rFonts w:ascii="Arial" w:hAnsi="Arial" w:cs="Arial"/>
          <w:sz w:val="22"/>
          <w:szCs w:val="22"/>
        </w:rPr>
        <w:t>(</w:t>
      </w:r>
      <w:r w:rsidRPr="00F0394D">
        <w:rPr>
          <w:rFonts w:ascii="Arial" w:hAnsi="Arial" w:cs="Arial"/>
          <w:sz w:val="22"/>
          <w:szCs w:val="22"/>
        </w:rPr>
        <w:t>2021</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Reflection in learning and professional development: Theory and practice</w:t>
      </w:r>
      <w:r w:rsidRPr="00F0394D">
        <w:rPr>
          <w:rFonts w:ascii="Arial" w:hAnsi="Arial" w:cs="Arial"/>
          <w:sz w:val="22"/>
          <w:szCs w:val="22"/>
        </w:rPr>
        <w:t>. Abingdon: Routledge.</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Rolfe, G., </w:t>
      </w:r>
      <w:r w:rsidR="00F0394D">
        <w:rPr>
          <w:rFonts w:ascii="Arial" w:hAnsi="Arial" w:cs="Arial"/>
          <w:sz w:val="22"/>
          <w:szCs w:val="22"/>
        </w:rPr>
        <w:t>(</w:t>
      </w:r>
      <w:r w:rsidRPr="00F0394D">
        <w:rPr>
          <w:rFonts w:ascii="Arial" w:hAnsi="Arial" w:cs="Arial"/>
          <w:sz w:val="22"/>
          <w:szCs w:val="22"/>
        </w:rPr>
        <w:t>2022</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Reflective practice: Foundations and techniques for learning from experience</w:t>
      </w:r>
      <w:r w:rsidRPr="00F0394D">
        <w:rPr>
          <w:rFonts w:ascii="Arial" w:hAnsi="Arial" w:cs="Arial"/>
          <w:sz w:val="22"/>
          <w:szCs w:val="22"/>
        </w:rPr>
        <w:t>. 3rd ed. London: Sage Publications.</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Schön, D.A., </w:t>
      </w:r>
      <w:r w:rsidR="00F0394D">
        <w:rPr>
          <w:rFonts w:ascii="Arial" w:hAnsi="Arial" w:cs="Arial"/>
          <w:sz w:val="22"/>
          <w:szCs w:val="22"/>
        </w:rPr>
        <w:t>(</w:t>
      </w:r>
      <w:r w:rsidRPr="00F0394D">
        <w:rPr>
          <w:rFonts w:ascii="Arial" w:hAnsi="Arial" w:cs="Arial"/>
          <w:sz w:val="22"/>
          <w:szCs w:val="22"/>
        </w:rPr>
        <w:t>2021</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The reflective practitioner: How professionals think in action</w:t>
      </w:r>
      <w:r w:rsidRPr="00F0394D">
        <w:rPr>
          <w:rFonts w:ascii="Arial" w:hAnsi="Arial" w:cs="Arial"/>
          <w:sz w:val="22"/>
          <w:szCs w:val="22"/>
        </w:rPr>
        <w:t>. 2nd ed. New York: Basic Books.</w:t>
      </w:r>
    </w:p>
    <w:p w:rsid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Smith, M.K., </w:t>
      </w:r>
      <w:r w:rsidR="00F0394D">
        <w:rPr>
          <w:rFonts w:ascii="Arial" w:hAnsi="Arial" w:cs="Arial"/>
          <w:sz w:val="22"/>
          <w:szCs w:val="22"/>
        </w:rPr>
        <w:t>(</w:t>
      </w:r>
      <w:r w:rsidRPr="00F0394D">
        <w:rPr>
          <w:rFonts w:ascii="Arial" w:hAnsi="Arial" w:cs="Arial"/>
          <w:sz w:val="22"/>
          <w:szCs w:val="22"/>
        </w:rPr>
        <w:t>2020</w:t>
      </w:r>
      <w:r w:rsidR="00F0394D">
        <w:rPr>
          <w:rFonts w:ascii="Arial" w:hAnsi="Arial" w:cs="Arial"/>
          <w:sz w:val="22"/>
          <w:szCs w:val="22"/>
        </w:rPr>
        <w:t>)</w:t>
      </w:r>
      <w:r w:rsidRPr="00F0394D">
        <w:rPr>
          <w:rFonts w:ascii="Arial" w:hAnsi="Arial" w:cs="Arial"/>
          <w:sz w:val="22"/>
          <w:szCs w:val="22"/>
        </w:rPr>
        <w:t xml:space="preserve">. 'Reflection and reflective practice', </w:t>
      </w:r>
      <w:r w:rsidRPr="00F0394D">
        <w:rPr>
          <w:rStyle w:val="Emphasis"/>
          <w:rFonts w:ascii="Arial" w:eastAsiaTheme="majorEastAsia" w:hAnsi="Arial" w:cs="Arial"/>
          <w:sz w:val="22"/>
          <w:szCs w:val="22"/>
        </w:rPr>
        <w:t>The Encyclopedia of Pedagogy and Informal Education</w:t>
      </w:r>
      <w:r w:rsidRPr="00F0394D">
        <w:rPr>
          <w:rFonts w:ascii="Arial" w:hAnsi="Arial" w:cs="Arial"/>
          <w:sz w:val="22"/>
          <w:szCs w:val="22"/>
        </w:rPr>
        <w:t>. Available at: https://infed.org/reflection-and-r</w:t>
      </w:r>
      <w:r w:rsidR="00EC0D10">
        <w:rPr>
          <w:rFonts w:ascii="Arial" w:hAnsi="Arial" w:cs="Arial"/>
          <w:sz w:val="22"/>
          <w:szCs w:val="22"/>
        </w:rPr>
        <w:t>eflective-practice/ [Accessed 15/11</w:t>
      </w:r>
      <w:r w:rsidR="00F0394D">
        <w:rPr>
          <w:rFonts w:ascii="Arial" w:hAnsi="Arial" w:cs="Arial"/>
          <w:sz w:val="22"/>
          <w:szCs w:val="22"/>
        </w:rPr>
        <w:t>/2024</w:t>
      </w:r>
      <w:r w:rsidRPr="00F0394D">
        <w:rPr>
          <w:rFonts w:ascii="Arial" w:hAnsi="Arial" w:cs="Arial"/>
          <w:sz w:val="22"/>
          <w:szCs w:val="22"/>
        </w:rPr>
        <w:t>].</w:t>
      </w:r>
    </w:p>
    <w:p w:rsidR="00F0394D" w:rsidRDefault="00F0394D" w:rsidP="00974BAF">
      <w:pPr>
        <w:pStyle w:val="NormalWeb"/>
        <w:numPr>
          <w:ilvl w:val="0"/>
          <w:numId w:val="3"/>
        </w:numPr>
        <w:spacing w:before="0" w:beforeAutospacing="0" w:after="0" w:afterAutospacing="0" w:line="360" w:lineRule="auto"/>
        <w:jc w:val="both"/>
        <w:rPr>
          <w:rFonts w:ascii="Arial" w:hAnsi="Arial" w:cs="Arial"/>
          <w:sz w:val="22"/>
          <w:szCs w:val="22"/>
        </w:rPr>
      </w:pPr>
      <w:r>
        <w:rPr>
          <w:rFonts w:ascii="Arial" w:hAnsi="Arial" w:cs="Arial"/>
          <w:sz w:val="22"/>
          <w:szCs w:val="22"/>
        </w:rPr>
        <w:t>Thompson, N. &amp;</w:t>
      </w:r>
      <w:r w:rsidR="00ED756A" w:rsidRPr="00F0394D">
        <w:rPr>
          <w:rFonts w:ascii="Arial" w:hAnsi="Arial" w:cs="Arial"/>
          <w:sz w:val="22"/>
          <w:szCs w:val="22"/>
        </w:rPr>
        <w:t xml:space="preserve"> Pascal, J., </w:t>
      </w:r>
      <w:r>
        <w:rPr>
          <w:rFonts w:ascii="Arial" w:hAnsi="Arial" w:cs="Arial"/>
          <w:sz w:val="22"/>
          <w:szCs w:val="22"/>
        </w:rPr>
        <w:t>(</w:t>
      </w:r>
      <w:r w:rsidR="00ED756A" w:rsidRPr="00F0394D">
        <w:rPr>
          <w:rFonts w:ascii="Arial" w:hAnsi="Arial" w:cs="Arial"/>
          <w:sz w:val="22"/>
          <w:szCs w:val="22"/>
        </w:rPr>
        <w:t>2022</w:t>
      </w:r>
      <w:r>
        <w:rPr>
          <w:rFonts w:ascii="Arial" w:hAnsi="Arial" w:cs="Arial"/>
          <w:sz w:val="22"/>
          <w:szCs w:val="22"/>
        </w:rPr>
        <w:t>)</w:t>
      </w:r>
      <w:r w:rsidR="00ED756A" w:rsidRPr="00F0394D">
        <w:rPr>
          <w:rFonts w:ascii="Arial" w:hAnsi="Arial" w:cs="Arial"/>
          <w:sz w:val="22"/>
          <w:szCs w:val="22"/>
        </w:rPr>
        <w:t xml:space="preserve">. 'Reflective practice and critical reflection', </w:t>
      </w:r>
      <w:r w:rsidR="00ED756A" w:rsidRPr="00F0394D">
        <w:rPr>
          <w:rStyle w:val="Emphasis"/>
          <w:rFonts w:ascii="Arial" w:eastAsiaTheme="majorEastAsia" w:hAnsi="Arial" w:cs="Arial"/>
          <w:sz w:val="22"/>
          <w:szCs w:val="22"/>
        </w:rPr>
        <w:t>Social Work Education</w:t>
      </w:r>
      <w:r w:rsidR="00ED756A" w:rsidRPr="00F0394D">
        <w:rPr>
          <w:rFonts w:ascii="Arial" w:hAnsi="Arial" w:cs="Arial"/>
          <w:sz w:val="22"/>
          <w:szCs w:val="22"/>
        </w:rPr>
        <w:t>, 41(3), pp. 249-263.</w:t>
      </w:r>
    </w:p>
    <w:p w:rsidR="00ED756A" w:rsidRPr="00F0394D" w:rsidRDefault="00ED756A" w:rsidP="00974BAF">
      <w:pPr>
        <w:pStyle w:val="NormalWeb"/>
        <w:numPr>
          <w:ilvl w:val="0"/>
          <w:numId w:val="3"/>
        </w:numPr>
        <w:spacing w:before="0" w:beforeAutospacing="0" w:after="0" w:afterAutospacing="0" w:line="360" w:lineRule="auto"/>
        <w:jc w:val="both"/>
        <w:rPr>
          <w:rFonts w:ascii="Arial" w:hAnsi="Arial" w:cs="Arial"/>
          <w:sz w:val="22"/>
          <w:szCs w:val="22"/>
        </w:rPr>
      </w:pPr>
      <w:r w:rsidRPr="00F0394D">
        <w:rPr>
          <w:rFonts w:ascii="Arial" w:hAnsi="Arial" w:cs="Arial"/>
          <w:sz w:val="22"/>
          <w:szCs w:val="22"/>
        </w:rPr>
        <w:t xml:space="preserve">Williams, M., </w:t>
      </w:r>
      <w:r w:rsidR="00F0394D">
        <w:rPr>
          <w:rFonts w:ascii="Arial" w:hAnsi="Arial" w:cs="Arial"/>
          <w:sz w:val="22"/>
          <w:szCs w:val="22"/>
        </w:rPr>
        <w:t>(</w:t>
      </w:r>
      <w:r w:rsidRPr="00F0394D">
        <w:rPr>
          <w:rFonts w:ascii="Arial" w:hAnsi="Arial" w:cs="Arial"/>
          <w:sz w:val="22"/>
          <w:szCs w:val="22"/>
        </w:rPr>
        <w:t>2023</w:t>
      </w:r>
      <w:r w:rsidR="00F0394D">
        <w:rPr>
          <w:rFonts w:ascii="Arial" w:hAnsi="Arial" w:cs="Arial"/>
          <w:sz w:val="22"/>
          <w:szCs w:val="22"/>
        </w:rPr>
        <w:t>)</w:t>
      </w:r>
      <w:r w:rsidRPr="00F0394D">
        <w:rPr>
          <w:rFonts w:ascii="Arial" w:hAnsi="Arial" w:cs="Arial"/>
          <w:sz w:val="22"/>
          <w:szCs w:val="22"/>
        </w:rPr>
        <w:t xml:space="preserve">. </w:t>
      </w:r>
      <w:r w:rsidRPr="00F0394D">
        <w:rPr>
          <w:rStyle w:val="Emphasis"/>
          <w:rFonts w:ascii="Arial" w:eastAsiaTheme="majorEastAsia" w:hAnsi="Arial" w:cs="Arial"/>
          <w:sz w:val="22"/>
          <w:szCs w:val="22"/>
        </w:rPr>
        <w:t>Reflective writing for professional development</w:t>
      </w:r>
      <w:r w:rsidRPr="00F0394D">
        <w:rPr>
          <w:rFonts w:ascii="Arial" w:hAnsi="Arial" w:cs="Arial"/>
          <w:sz w:val="22"/>
          <w:szCs w:val="22"/>
        </w:rPr>
        <w:t>. Abingdon: Routledge.</w:t>
      </w:r>
    </w:p>
    <w:p w:rsidR="00ED756A" w:rsidRPr="00ED756A" w:rsidRDefault="00ED756A" w:rsidP="00974BAF">
      <w:pPr>
        <w:spacing w:after="0"/>
      </w:pPr>
    </w:p>
    <w:p w:rsidR="00E92A9E" w:rsidRDefault="00E92A9E"/>
    <w:sectPr w:rsidR="00E92A9E" w:rsidSect="00F0394D">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315" w:rsidRDefault="00F17315" w:rsidP="00F0394D">
      <w:pPr>
        <w:spacing w:after="0" w:line="240" w:lineRule="auto"/>
      </w:pPr>
      <w:r>
        <w:separator/>
      </w:r>
    </w:p>
  </w:endnote>
  <w:endnote w:type="continuationSeparator" w:id="1">
    <w:p w:rsidR="00F17315" w:rsidRDefault="00F17315" w:rsidP="00F039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94D" w:rsidRDefault="00F0394D">
    <w:pPr>
      <w:pStyle w:val="Footer"/>
      <w:jc w:val="center"/>
    </w:pPr>
  </w:p>
  <w:p w:rsidR="00F0394D" w:rsidRDefault="00F039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9536498"/>
      <w:docPartObj>
        <w:docPartGallery w:val="Page Numbers (Bottom of Page)"/>
        <w:docPartUnique/>
      </w:docPartObj>
    </w:sdtPr>
    <w:sdtContent>
      <w:p w:rsidR="00F0394D" w:rsidRDefault="00292021">
        <w:pPr>
          <w:pStyle w:val="Footer"/>
          <w:jc w:val="center"/>
        </w:pPr>
        <w:fldSimple w:instr=" PAGE   \* MERGEFORMAT ">
          <w:r w:rsidR="00FC0944">
            <w:rPr>
              <w:noProof/>
            </w:rPr>
            <w:t>3</w:t>
          </w:r>
        </w:fldSimple>
      </w:p>
    </w:sdtContent>
  </w:sdt>
  <w:p w:rsidR="00F0394D" w:rsidRDefault="00F039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315" w:rsidRDefault="00F17315" w:rsidP="00F0394D">
      <w:pPr>
        <w:spacing w:after="0" w:line="240" w:lineRule="auto"/>
      </w:pPr>
      <w:r>
        <w:separator/>
      </w:r>
    </w:p>
  </w:footnote>
  <w:footnote w:type="continuationSeparator" w:id="1">
    <w:p w:rsidR="00F17315" w:rsidRDefault="00F17315" w:rsidP="00F039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C1E62"/>
    <w:multiLevelType w:val="hybridMultilevel"/>
    <w:tmpl w:val="7966D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01CD4"/>
    <w:multiLevelType w:val="hybridMultilevel"/>
    <w:tmpl w:val="86608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915472"/>
    <w:multiLevelType w:val="hybridMultilevel"/>
    <w:tmpl w:val="DE501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229BF"/>
    <w:rsid w:val="000B19A5"/>
    <w:rsid w:val="000E3F8A"/>
    <w:rsid w:val="0018422D"/>
    <w:rsid w:val="00292021"/>
    <w:rsid w:val="002D1609"/>
    <w:rsid w:val="0038598B"/>
    <w:rsid w:val="00606C91"/>
    <w:rsid w:val="006229BF"/>
    <w:rsid w:val="006E3CE4"/>
    <w:rsid w:val="007D09DE"/>
    <w:rsid w:val="007D5611"/>
    <w:rsid w:val="007E1786"/>
    <w:rsid w:val="008913AA"/>
    <w:rsid w:val="00914C2F"/>
    <w:rsid w:val="00974BAF"/>
    <w:rsid w:val="009D3BFC"/>
    <w:rsid w:val="00AD6186"/>
    <w:rsid w:val="00C11CC0"/>
    <w:rsid w:val="00D30C59"/>
    <w:rsid w:val="00D5398F"/>
    <w:rsid w:val="00E92A9E"/>
    <w:rsid w:val="00EC0D10"/>
    <w:rsid w:val="00ED756A"/>
    <w:rsid w:val="00F0394D"/>
    <w:rsid w:val="00F133C4"/>
    <w:rsid w:val="00F17315"/>
    <w:rsid w:val="00FC09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C91"/>
    <w:rPr>
      <w:lang w:val="en-GB"/>
    </w:rPr>
  </w:style>
  <w:style w:type="paragraph" w:styleId="Heading1">
    <w:name w:val="heading 1"/>
    <w:basedOn w:val="Normal"/>
    <w:next w:val="Normal"/>
    <w:link w:val="Heading1Char"/>
    <w:uiPriority w:val="9"/>
    <w:qFormat/>
    <w:rsid w:val="00D539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98F"/>
    <w:pPr>
      <w:ind w:left="720"/>
      <w:contextualSpacing/>
    </w:pPr>
  </w:style>
  <w:style w:type="character" w:customStyle="1" w:styleId="Heading1Char">
    <w:name w:val="Heading 1 Char"/>
    <w:basedOn w:val="DefaultParagraphFont"/>
    <w:link w:val="Heading1"/>
    <w:uiPriority w:val="9"/>
    <w:rsid w:val="00D5398F"/>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ED756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756A"/>
    <w:rPr>
      <w:i/>
      <w:iCs/>
    </w:rPr>
  </w:style>
  <w:style w:type="paragraph" w:styleId="TOCHeading">
    <w:name w:val="TOC Heading"/>
    <w:basedOn w:val="Heading1"/>
    <w:next w:val="Normal"/>
    <w:uiPriority w:val="39"/>
    <w:semiHidden/>
    <w:unhideWhenUsed/>
    <w:qFormat/>
    <w:rsid w:val="00F0394D"/>
    <w:pPr>
      <w:outlineLvl w:val="9"/>
    </w:pPr>
  </w:style>
  <w:style w:type="paragraph" w:styleId="TOC1">
    <w:name w:val="toc 1"/>
    <w:basedOn w:val="Normal"/>
    <w:next w:val="Normal"/>
    <w:autoRedefine/>
    <w:uiPriority w:val="39"/>
    <w:unhideWhenUsed/>
    <w:rsid w:val="00F0394D"/>
    <w:pPr>
      <w:spacing w:after="100"/>
    </w:pPr>
  </w:style>
  <w:style w:type="character" w:styleId="Hyperlink">
    <w:name w:val="Hyperlink"/>
    <w:basedOn w:val="DefaultParagraphFont"/>
    <w:uiPriority w:val="99"/>
    <w:unhideWhenUsed/>
    <w:rsid w:val="00F0394D"/>
    <w:rPr>
      <w:color w:val="0000FF" w:themeColor="hyperlink"/>
      <w:u w:val="single"/>
    </w:rPr>
  </w:style>
  <w:style w:type="paragraph" w:styleId="BalloonText">
    <w:name w:val="Balloon Text"/>
    <w:basedOn w:val="Normal"/>
    <w:link w:val="BalloonTextChar"/>
    <w:uiPriority w:val="99"/>
    <w:semiHidden/>
    <w:unhideWhenUsed/>
    <w:rsid w:val="00F03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94D"/>
    <w:rPr>
      <w:rFonts w:ascii="Tahoma" w:hAnsi="Tahoma" w:cs="Tahoma"/>
      <w:sz w:val="16"/>
      <w:szCs w:val="16"/>
    </w:rPr>
  </w:style>
  <w:style w:type="paragraph" w:styleId="Header">
    <w:name w:val="header"/>
    <w:basedOn w:val="Normal"/>
    <w:link w:val="HeaderChar"/>
    <w:uiPriority w:val="99"/>
    <w:semiHidden/>
    <w:unhideWhenUsed/>
    <w:rsid w:val="00F039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394D"/>
  </w:style>
  <w:style w:type="paragraph" w:styleId="Footer">
    <w:name w:val="footer"/>
    <w:basedOn w:val="Normal"/>
    <w:link w:val="FooterChar"/>
    <w:uiPriority w:val="99"/>
    <w:unhideWhenUsed/>
    <w:rsid w:val="00F03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94D"/>
  </w:style>
</w:styles>
</file>

<file path=word/webSettings.xml><?xml version="1.0" encoding="utf-8"?>
<w:webSettings xmlns:r="http://schemas.openxmlformats.org/officeDocument/2006/relationships" xmlns:w="http://schemas.openxmlformats.org/wordprocessingml/2006/main">
  <w:divs>
    <w:div w:id="84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19A28-4C67-4987-B238-6C0FB9E8F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3037</Words>
  <Characters>17313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Francisca Dumitru</dc:creator>
  <cp:keywords/>
  <dc:description/>
  <cp:lastModifiedBy>Maria Francisca Dumitru</cp:lastModifiedBy>
  <cp:revision>9</cp:revision>
  <dcterms:created xsi:type="dcterms:W3CDTF">2024-09-27T21:18:00Z</dcterms:created>
  <dcterms:modified xsi:type="dcterms:W3CDTF">2024-11-15T17:27:00Z</dcterms:modified>
</cp:coreProperties>
</file>