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8FCB5" w14:textId="77777777" w:rsidR="00F872C1" w:rsidRPr="00303DE7" w:rsidRDefault="00F872C1" w:rsidP="00303DE7">
      <w:pPr>
        <w:spacing w:after="0" w:line="360" w:lineRule="auto"/>
        <w:rPr>
          <w:rFonts w:ascii="Arial" w:hAnsi="Arial" w:cs="Arial"/>
          <w:szCs w:val="24"/>
          <w:lang w:val="en-US"/>
        </w:rPr>
      </w:pPr>
    </w:p>
    <w:p w14:paraId="758353D6" w14:textId="77777777" w:rsidR="00F872C1" w:rsidRPr="00303DE7" w:rsidRDefault="00F872C1" w:rsidP="00303DE7">
      <w:pPr>
        <w:spacing w:after="0" w:line="360" w:lineRule="auto"/>
        <w:rPr>
          <w:rFonts w:ascii="Arial" w:hAnsi="Arial" w:cs="Arial"/>
          <w:szCs w:val="24"/>
          <w:lang w:val="en-US"/>
        </w:rPr>
      </w:pPr>
    </w:p>
    <w:p w14:paraId="4A343FC3" w14:textId="77777777" w:rsidR="00F872C1" w:rsidRPr="00303DE7" w:rsidRDefault="00F872C1" w:rsidP="00303DE7">
      <w:pPr>
        <w:spacing w:after="0" w:line="360" w:lineRule="auto"/>
        <w:rPr>
          <w:rFonts w:ascii="Arial" w:hAnsi="Arial" w:cs="Arial"/>
          <w:szCs w:val="24"/>
          <w:lang w:val="en-US"/>
        </w:rPr>
      </w:pPr>
    </w:p>
    <w:p w14:paraId="517F01F7" w14:textId="77777777" w:rsidR="00F872C1" w:rsidRPr="00303DE7" w:rsidRDefault="00F872C1" w:rsidP="00303DE7">
      <w:pPr>
        <w:spacing w:after="0" w:line="360" w:lineRule="auto"/>
        <w:rPr>
          <w:rFonts w:ascii="Arial" w:hAnsi="Arial" w:cs="Arial"/>
          <w:szCs w:val="24"/>
          <w:lang w:val="en-US"/>
        </w:rPr>
      </w:pPr>
    </w:p>
    <w:p w14:paraId="107B50AD" w14:textId="77777777" w:rsidR="00F872C1" w:rsidRPr="00303DE7" w:rsidRDefault="00F872C1" w:rsidP="00303DE7">
      <w:pPr>
        <w:spacing w:after="0" w:line="360" w:lineRule="auto"/>
        <w:rPr>
          <w:rFonts w:ascii="Arial" w:hAnsi="Arial" w:cs="Arial"/>
          <w:szCs w:val="24"/>
          <w:lang w:val="en-US"/>
        </w:rPr>
      </w:pPr>
    </w:p>
    <w:p w14:paraId="65D2BE8F" w14:textId="77777777" w:rsidR="00F872C1" w:rsidRPr="00303DE7" w:rsidRDefault="00F872C1" w:rsidP="00303DE7">
      <w:pPr>
        <w:spacing w:after="0" w:line="360" w:lineRule="auto"/>
        <w:rPr>
          <w:rFonts w:ascii="Arial" w:hAnsi="Arial" w:cs="Arial"/>
          <w:szCs w:val="24"/>
          <w:lang w:val="en-US"/>
        </w:rPr>
      </w:pPr>
    </w:p>
    <w:p w14:paraId="599DDC44" w14:textId="249830BE" w:rsidR="00F872C1" w:rsidRDefault="00002B1D" w:rsidP="00002B1D">
      <w:pPr>
        <w:spacing w:after="0" w:line="360" w:lineRule="auto"/>
        <w:jc w:val="center"/>
        <w:rPr>
          <w:rFonts w:ascii="Arial" w:hAnsi="Arial" w:cs="Arial"/>
          <w:b/>
          <w:bCs/>
          <w:szCs w:val="24"/>
          <w:lang w:val="en-US"/>
        </w:rPr>
      </w:pPr>
      <w:r w:rsidRPr="00E841E5">
        <w:rPr>
          <w:rFonts w:ascii="Arial" w:hAnsi="Arial" w:cs="Arial"/>
          <w:b/>
          <w:bCs/>
          <w:szCs w:val="24"/>
          <w:lang w:val="en-US"/>
        </w:rPr>
        <w:t>S</w:t>
      </w:r>
      <w:r w:rsidR="00656AA5" w:rsidRPr="00E841E5">
        <w:rPr>
          <w:rFonts w:ascii="Arial" w:hAnsi="Arial" w:cs="Arial"/>
          <w:b/>
          <w:bCs/>
          <w:szCs w:val="24"/>
          <w:lang w:val="en-US"/>
        </w:rPr>
        <w:t xml:space="preserve">tudent </w:t>
      </w:r>
      <w:r w:rsidR="00D646BF" w:rsidRPr="00E841E5">
        <w:rPr>
          <w:rFonts w:ascii="Arial" w:hAnsi="Arial" w:cs="Arial"/>
          <w:b/>
          <w:bCs/>
          <w:szCs w:val="24"/>
          <w:lang w:val="en-US"/>
        </w:rPr>
        <w:t>Name: Nadia</w:t>
      </w:r>
      <w:r w:rsidR="0069300C" w:rsidRPr="00E841E5">
        <w:rPr>
          <w:rFonts w:ascii="Arial" w:hAnsi="Arial" w:cs="Arial"/>
          <w:b/>
          <w:bCs/>
          <w:szCs w:val="24"/>
          <w:lang w:val="en-US"/>
        </w:rPr>
        <w:t xml:space="preserve"> Qamar</w:t>
      </w:r>
    </w:p>
    <w:p w14:paraId="20A36874" w14:textId="7570F8A7" w:rsidR="003237FE" w:rsidRPr="00E841E5" w:rsidRDefault="003237FE" w:rsidP="00002B1D">
      <w:pPr>
        <w:spacing w:after="0" w:line="360" w:lineRule="auto"/>
        <w:jc w:val="center"/>
        <w:rPr>
          <w:rFonts w:ascii="Arial" w:hAnsi="Arial" w:cs="Arial"/>
          <w:b/>
          <w:bCs/>
          <w:szCs w:val="24"/>
          <w:lang w:val="en-US"/>
        </w:rPr>
      </w:pPr>
      <w:r>
        <w:rPr>
          <w:rFonts w:ascii="Arial" w:hAnsi="Arial" w:cs="Arial"/>
          <w:b/>
          <w:bCs/>
          <w:szCs w:val="24"/>
          <w:lang w:val="en-US"/>
        </w:rPr>
        <w:t>Student ID:</w:t>
      </w:r>
      <w:r w:rsidR="00AF3744">
        <w:rPr>
          <w:rFonts w:ascii="Arial" w:hAnsi="Arial" w:cs="Arial"/>
          <w:b/>
          <w:bCs/>
          <w:szCs w:val="24"/>
          <w:lang w:val="en-US"/>
        </w:rPr>
        <w:t>2312083</w:t>
      </w:r>
    </w:p>
    <w:p w14:paraId="2B1F5537" w14:textId="51C77293" w:rsidR="002331BC" w:rsidRPr="00E841E5" w:rsidRDefault="0069300C" w:rsidP="00785822">
      <w:pPr>
        <w:spacing w:after="0" w:line="360" w:lineRule="auto"/>
        <w:jc w:val="center"/>
        <w:rPr>
          <w:rFonts w:ascii="Arial" w:hAnsi="Arial" w:cs="Arial"/>
          <w:b/>
          <w:bCs/>
          <w:szCs w:val="24"/>
          <w:lang w:val="en-US"/>
        </w:rPr>
      </w:pPr>
      <w:r w:rsidRPr="00E841E5">
        <w:rPr>
          <w:rFonts w:ascii="Arial" w:hAnsi="Arial" w:cs="Arial"/>
          <w:b/>
          <w:bCs/>
          <w:szCs w:val="24"/>
          <w:lang w:val="en-US"/>
        </w:rPr>
        <w:t xml:space="preserve">Teacher </w:t>
      </w:r>
      <w:r w:rsidR="00D646BF" w:rsidRPr="00E841E5">
        <w:rPr>
          <w:rFonts w:ascii="Arial" w:hAnsi="Arial" w:cs="Arial"/>
          <w:b/>
          <w:bCs/>
          <w:szCs w:val="24"/>
          <w:lang w:val="en-US"/>
        </w:rPr>
        <w:t>Name: ASO</w:t>
      </w:r>
      <w:r w:rsidR="000D44F5" w:rsidRPr="00E841E5">
        <w:rPr>
          <w:rFonts w:ascii="Arial" w:hAnsi="Arial" w:cs="Arial"/>
          <w:b/>
          <w:bCs/>
          <w:szCs w:val="24"/>
          <w:lang w:val="en-US"/>
        </w:rPr>
        <w:t xml:space="preserve"> Abd</w:t>
      </w:r>
      <w:r w:rsidR="000532E8" w:rsidRPr="00E841E5">
        <w:rPr>
          <w:rFonts w:ascii="Arial" w:hAnsi="Arial" w:cs="Arial"/>
          <w:b/>
          <w:bCs/>
          <w:szCs w:val="24"/>
          <w:lang w:val="en-US"/>
        </w:rPr>
        <w:t>ullah</w:t>
      </w:r>
    </w:p>
    <w:p w14:paraId="3896057F" w14:textId="60801D38" w:rsidR="00785822" w:rsidRPr="00E841E5" w:rsidRDefault="00785822" w:rsidP="00785822">
      <w:pPr>
        <w:spacing w:after="0" w:line="360" w:lineRule="auto"/>
        <w:jc w:val="center"/>
        <w:rPr>
          <w:rFonts w:ascii="Arial" w:hAnsi="Arial" w:cs="Arial"/>
          <w:b/>
          <w:bCs/>
          <w:szCs w:val="24"/>
          <w:lang w:val="en-US"/>
        </w:rPr>
      </w:pPr>
      <w:r w:rsidRPr="00E841E5">
        <w:rPr>
          <w:rFonts w:ascii="Arial" w:hAnsi="Arial" w:cs="Arial"/>
          <w:b/>
          <w:bCs/>
          <w:szCs w:val="24"/>
          <w:lang w:val="en-US"/>
        </w:rPr>
        <w:t>Module Code L</w:t>
      </w:r>
      <w:r w:rsidR="000D27A8" w:rsidRPr="00E841E5">
        <w:rPr>
          <w:rFonts w:ascii="Arial" w:hAnsi="Arial" w:cs="Arial"/>
          <w:b/>
          <w:bCs/>
          <w:szCs w:val="24"/>
          <w:lang w:val="en-US"/>
        </w:rPr>
        <w:t>CLM5001</w:t>
      </w:r>
    </w:p>
    <w:p w14:paraId="16CB3E91" w14:textId="33F509AD" w:rsidR="000D27A8" w:rsidRPr="00E841E5" w:rsidRDefault="000D27A8" w:rsidP="00785822">
      <w:pPr>
        <w:spacing w:after="0" w:line="360" w:lineRule="auto"/>
        <w:jc w:val="center"/>
        <w:rPr>
          <w:rFonts w:ascii="Arial" w:hAnsi="Arial" w:cs="Arial"/>
          <w:b/>
          <w:bCs/>
          <w:szCs w:val="24"/>
          <w:lang w:val="en-US"/>
        </w:rPr>
      </w:pPr>
      <w:r w:rsidRPr="00E841E5">
        <w:rPr>
          <w:rFonts w:ascii="Arial" w:hAnsi="Arial" w:cs="Arial"/>
          <w:b/>
          <w:bCs/>
          <w:szCs w:val="24"/>
          <w:lang w:val="en-US"/>
        </w:rPr>
        <w:t>Assig</w:t>
      </w:r>
      <w:r w:rsidR="00D818F9" w:rsidRPr="00E841E5">
        <w:rPr>
          <w:rFonts w:ascii="Arial" w:hAnsi="Arial" w:cs="Arial"/>
          <w:b/>
          <w:bCs/>
          <w:szCs w:val="24"/>
          <w:lang w:val="en-US"/>
        </w:rPr>
        <w:t xml:space="preserve">nment </w:t>
      </w:r>
      <w:r w:rsidR="00D646BF" w:rsidRPr="00E841E5">
        <w:rPr>
          <w:rFonts w:ascii="Arial" w:hAnsi="Arial" w:cs="Arial"/>
          <w:b/>
          <w:bCs/>
          <w:szCs w:val="24"/>
          <w:lang w:val="en-US"/>
        </w:rPr>
        <w:t>Title: Understanding</w:t>
      </w:r>
      <w:r w:rsidR="00D94225" w:rsidRPr="00E841E5">
        <w:rPr>
          <w:rFonts w:ascii="Arial" w:hAnsi="Arial" w:cs="Arial"/>
          <w:b/>
          <w:bCs/>
          <w:szCs w:val="24"/>
          <w:lang w:val="en-US"/>
        </w:rPr>
        <w:t xml:space="preserve"> The impo</w:t>
      </w:r>
      <w:r w:rsidR="003713CB" w:rsidRPr="00E841E5">
        <w:rPr>
          <w:rFonts w:ascii="Arial" w:hAnsi="Arial" w:cs="Arial"/>
          <w:b/>
          <w:bCs/>
          <w:szCs w:val="24"/>
          <w:lang w:val="en-US"/>
        </w:rPr>
        <w:t>rtance Of Stakeholder E</w:t>
      </w:r>
      <w:r w:rsidR="002A683C" w:rsidRPr="00E841E5">
        <w:rPr>
          <w:rFonts w:ascii="Arial" w:hAnsi="Arial" w:cs="Arial"/>
          <w:b/>
          <w:bCs/>
          <w:szCs w:val="24"/>
          <w:lang w:val="en-US"/>
        </w:rPr>
        <w:t xml:space="preserve">ngagement in </w:t>
      </w:r>
      <w:r w:rsidR="000A4E2D" w:rsidRPr="00E841E5">
        <w:rPr>
          <w:rFonts w:ascii="Arial" w:hAnsi="Arial" w:cs="Arial"/>
          <w:b/>
          <w:bCs/>
          <w:szCs w:val="24"/>
          <w:lang w:val="en-US"/>
        </w:rPr>
        <w:t>Successful</w:t>
      </w:r>
    </w:p>
    <w:p w14:paraId="2234816D" w14:textId="284CB1A0" w:rsidR="000A4E2D" w:rsidRPr="00785822" w:rsidRDefault="000A4E2D" w:rsidP="00785822">
      <w:pPr>
        <w:spacing w:after="0" w:line="360" w:lineRule="auto"/>
        <w:jc w:val="center"/>
        <w:rPr>
          <w:rFonts w:ascii="Arial" w:hAnsi="Arial" w:cs="Arial"/>
          <w:szCs w:val="24"/>
          <w:lang w:val="en-US"/>
        </w:rPr>
      </w:pPr>
    </w:p>
    <w:p w14:paraId="6C14EFD3" w14:textId="691C103A" w:rsidR="002331BC" w:rsidRPr="00303DE7" w:rsidRDefault="002331BC" w:rsidP="00303DE7">
      <w:pPr>
        <w:spacing w:after="0" w:line="360" w:lineRule="auto"/>
        <w:jc w:val="center"/>
        <w:rPr>
          <w:rFonts w:ascii="Arial" w:hAnsi="Arial" w:cs="Arial"/>
          <w:b/>
          <w:szCs w:val="24"/>
          <w:lang w:val="en-US"/>
        </w:rPr>
      </w:pPr>
    </w:p>
    <w:p w14:paraId="7A41717A" w14:textId="77777777" w:rsidR="002331BC" w:rsidRPr="00303DE7" w:rsidRDefault="002331BC" w:rsidP="00303DE7">
      <w:pPr>
        <w:spacing w:after="0" w:line="360" w:lineRule="auto"/>
        <w:rPr>
          <w:rFonts w:ascii="Arial" w:hAnsi="Arial" w:cs="Arial"/>
          <w:szCs w:val="24"/>
          <w:lang w:val="en-US"/>
        </w:rPr>
      </w:pPr>
    </w:p>
    <w:p w14:paraId="3BAB5107" w14:textId="77777777" w:rsidR="00E25B5E" w:rsidRPr="00303DE7" w:rsidRDefault="00357E57" w:rsidP="00303DE7">
      <w:pPr>
        <w:spacing w:after="0" w:line="360" w:lineRule="auto"/>
        <w:rPr>
          <w:rFonts w:ascii="Arial" w:hAnsi="Arial" w:cs="Arial"/>
          <w:szCs w:val="24"/>
          <w:lang w:val="en-US"/>
        </w:rPr>
      </w:pPr>
      <w:r w:rsidRPr="00303DE7">
        <w:rPr>
          <w:rFonts w:ascii="Arial" w:hAnsi="Arial" w:cs="Arial"/>
          <w:szCs w:val="24"/>
          <w:lang w:val="en-US"/>
        </w:rPr>
        <w:br w:type="page"/>
      </w:r>
    </w:p>
    <w:p w14:paraId="36504F30" w14:textId="77777777" w:rsidR="00E25B5E" w:rsidRPr="00303DE7" w:rsidRDefault="00357E57" w:rsidP="00303DE7">
      <w:pPr>
        <w:pStyle w:val="Heading1"/>
        <w:spacing w:after="0" w:line="360" w:lineRule="auto"/>
        <w:rPr>
          <w:rFonts w:ascii="Arial" w:hAnsi="Arial" w:cs="Arial"/>
          <w:szCs w:val="24"/>
          <w:lang w:val="en-US"/>
        </w:rPr>
      </w:pPr>
      <w:bookmarkStart w:id="0" w:name="_Toc224377101"/>
      <w:r w:rsidRPr="00303DE7">
        <w:rPr>
          <w:rFonts w:ascii="Arial" w:hAnsi="Arial" w:cs="Arial"/>
          <w:szCs w:val="24"/>
          <w:lang w:val="en-US"/>
        </w:rPr>
        <w:lastRenderedPageBreak/>
        <w:t>Executive</w:t>
      </w:r>
      <w:r w:rsidR="00560948" w:rsidRPr="00303DE7">
        <w:rPr>
          <w:rFonts w:ascii="Arial" w:hAnsi="Arial" w:cs="Arial"/>
          <w:szCs w:val="24"/>
          <w:lang w:val="en-US"/>
        </w:rPr>
        <w:t xml:space="preserve"> Summary</w:t>
      </w:r>
      <w:bookmarkEnd w:id="0"/>
    </w:p>
    <w:p w14:paraId="28182D9E" w14:textId="77777777" w:rsidR="000532E8" w:rsidRDefault="00357E57" w:rsidP="00303DE7">
      <w:pPr>
        <w:spacing w:after="0" w:line="360" w:lineRule="auto"/>
        <w:rPr>
          <w:rFonts w:ascii="Arial" w:hAnsi="Arial" w:cs="Arial"/>
          <w:szCs w:val="24"/>
          <w:lang w:val="en-US"/>
        </w:rPr>
      </w:pPr>
      <w:r w:rsidRPr="000532E8">
        <w:rPr>
          <w:rFonts w:ascii="Arial" w:hAnsi="Arial" w:cs="Arial"/>
          <w:b/>
          <w:bCs/>
          <w:szCs w:val="24"/>
          <w:lang w:val="en-US"/>
        </w:rPr>
        <w:t>The StaySmart</w:t>
      </w:r>
      <w:r w:rsidRPr="00303DE7">
        <w:rPr>
          <w:rFonts w:ascii="Arial" w:hAnsi="Arial" w:cs="Arial"/>
          <w:szCs w:val="24"/>
          <w:lang w:val="en-US"/>
        </w:rPr>
        <w:t xml:space="preserve">+ project is the strategic move by Hilton to further develop its high-end hospitality experience by incorporating AI-based guest experience, travel planning, and environmentally conscious amenities in a few chosen hotels globally. The project aims to provide a smooth, customised, and green stay experience, and it will be launched </w:t>
      </w:r>
      <w:r w:rsidR="00E17F4C" w:rsidRPr="00303DE7">
        <w:rPr>
          <w:rFonts w:ascii="Arial" w:hAnsi="Arial" w:cs="Arial"/>
          <w:szCs w:val="24"/>
          <w:lang w:val="en-US"/>
        </w:rPr>
        <w:t>worldwide</w:t>
      </w:r>
      <w:r w:rsidRPr="00303DE7">
        <w:rPr>
          <w:rFonts w:ascii="Arial" w:hAnsi="Arial" w:cs="Arial"/>
          <w:szCs w:val="24"/>
          <w:lang w:val="en-US"/>
        </w:rPr>
        <w:t xml:space="preserve"> within six months. On the </w:t>
      </w:r>
      <w:r w:rsidR="00E17F4C" w:rsidRPr="00303DE7">
        <w:rPr>
          <w:rFonts w:ascii="Arial" w:hAnsi="Arial" w:cs="Arial"/>
          <w:szCs w:val="24"/>
          <w:lang w:val="en-US"/>
        </w:rPr>
        <w:t>contrary</w:t>
      </w:r>
      <w:r w:rsidRPr="00303DE7">
        <w:rPr>
          <w:rFonts w:ascii="Arial" w:hAnsi="Arial" w:cs="Arial"/>
          <w:szCs w:val="24"/>
          <w:lang w:val="en-US"/>
        </w:rPr>
        <w:t>, its effective implementation depends on the active engagement of both internal and external stakeholders in various cultural and operational settings</w:t>
      </w:r>
      <w:r w:rsidR="0027596B">
        <w:rPr>
          <w:rFonts w:ascii="Arial" w:hAnsi="Arial" w:cs="Arial"/>
          <w:szCs w:val="24"/>
          <w:lang w:val="en-US"/>
        </w:rPr>
        <w:t xml:space="preserve"> (</w:t>
      </w:r>
      <w:r w:rsidR="0027596B" w:rsidRPr="0027596B">
        <w:rPr>
          <w:rFonts w:ascii="Arial" w:hAnsi="Arial" w:cs="Arial"/>
          <w:szCs w:val="24"/>
          <w:lang w:val="en-US"/>
        </w:rPr>
        <w:t>Alabi</w:t>
      </w:r>
      <w:r w:rsidR="0027596B">
        <w:rPr>
          <w:rFonts w:ascii="Arial" w:hAnsi="Arial" w:cs="Arial"/>
          <w:szCs w:val="24"/>
          <w:lang w:val="en-US"/>
        </w:rPr>
        <w:t>, 2024)</w:t>
      </w:r>
      <w:r w:rsidRPr="00303DE7">
        <w:rPr>
          <w:rFonts w:ascii="Arial" w:hAnsi="Arial" w:cs="Arial"/>
          <w:szCs w:val="24"/>
          <w:lang w:val="en-US"/>
        </w:rPr>
        <w:t xml:space="preserve">. </w:t>
      </w:r>
    </w:p>
    <w:p w14:paraId="1C0B4CC1" w14:textId="77777777" w:rsidR="00010590" w:rsidRDefault="00357E57" w:rsidP="00303DE7">
      <w:pPr>
        <w:spacing w:after="0" w:line="360" w:lineRule="auto"/>
        <w:rPr>
          <w:rFonts w:ascii="Arial" w:hAnsi="Arial" w:cs="Arial"/>
          <w:szCs w:val="24"/>
          <w:lang w:val="en-US"/>
        </w:rPr>
      </w:pPr>
      <w:r w:rsidRPr="000532E8">
        <w:rPr>
          <w:rFonts w:ascii="Arial" w:hAnsi="Arial" w:cs="Arial"/>
          <w:b/>
          <w:bCs/>
          <w:szCs w:val="24"/>
          <w:lang w:val="en-US"/>
        </w:rPr>
        <w:t>Internal stakeholders</w:t>
      </w:r>
      <w:r w:rsidRPr="00303DE7">
        <w:rPr>
          <w:rFonts w:ascii="Arial" w:hAnsi="Arial" w:cs="Arial"/>
          <w:szCs w:val="24"/>
          <w:lang w:val="en-US"/>
        </w:rPr>
        <w:t xml:space="preserve"> include board and senior leadership, project management, IT and AI development teams, operations and hotel management, frontline employees, marketing and sales team, sustainability team, human resources, and training team</w:t>
      </w:r>
      <w:r w:rsidR="0027596B">
        <w:rPr>
          <w:rFonts w:ascii="Arial" w:hAnsi="Arial" w:cs="Arial"/>
          <w:szCs w:val="24"/>
          <w:lang w:val="en-US"/>
        </w:rPr>
        <w:t xml:space="preserve"> (</w:t>
      </w:r>
      <w:r w:rsidR="0027596B" w:rsidRPr="0027596B">
        <w:rPr>
          <w:rFonts w:ascii="Arial" w:hAnsi="Arial" w:cs="Arial"/>
          <w:szCs w:val="24"/>
          <w:lang w:val="en-US"/>
        </w:rPr>
        <w:t>Bourne</w:t>
      </w:r>
      <w:r w:rsidR="0027596B">
        <w:rPr>
          <w:rFonts w:ascii="Arial" w:hAnsi="Arial" w:cs="Arial"/>
          <w:szCs w:val="24"/>
          <w:lang w:val="en-US"/>
        </w:rPr>
        <w:t>, 2015)</w:t>
      </w:r>
      <w:r w:rsidRPr="00303DE7">
        <w:rPr>
          <w:rFonts w:ascii="Arial" w:hAnsi="Arial" w:cs="Arial"/>
          <w:szCs w:val="24"/>
          <w:lang w:val="en-US"/>
        </w:rPr>
        <w:t xml:space="preserve">. </w:t>
      </w:r>
    </w:p>
    <w:p w14:paraId="5511F80B" w14:textId="271348A7" w:rsidR="00F71BBD" w:rsidRDefault="00357E57" w:rsidP="00303DE7">
      <w:pPr>
        <w:spacing w:after="0" w:line="360" w:lineRule="auto"/>
        <w:rPr>
          <w:rFonts w:ascii="Arial" w:hAnsi="Arial" w:cs="Arial"/>
          <w:szCs w:val="24"/>
          <w:lang w:val="en-US"/>
        </w:rPr>
      </w:pPr>
      <w:r w:rsidRPr="00010590">
        <w:rPr>
          <w:rFonts w:ascii="Arial" w:hAnsi="Arial" w:cs="Arial"/>
          <w:b/>
          <w:bCs/>
          <w:szCs w:val="24"/>
          <w:lang w:val="en-US"/>
        </w:rPr>
        <w:t>External stakeholders</w:t>
      </w:r>
      <w:r w:rsidRPr="00303DE7">
        <w:rPr>
          <w:rFonts w:ascii="Arial" w:hAnsi="Arial" w:cs="Arial"/>
          <w:szCs w:val="24"/>
          <w:lang w:val="en-US"/>
        </w:rPr>
        <w:t xml:space="preserve"> will be guests, technology vendors, sustainability partners, regulators, local communities, and investors. </w:t>
      </w:r>
      <w:r w:rsidR="00796B0E" w:rsidRPr="00303DE7">
        <w:rPr>
          <w:rFonts w:ascii="Arial" w:hAnsi="Arial" w:cs="Arial"/>
          <w:szCs w:val="24"/>
          <w:lang w:val="en-US"/>
        </w:rPr>
        <w:t>To</w:t>
      </w:r>
      <w:r w:rsidRPr="00303DE7">
        <w:rPr>
          <w:rFonts w:ascii="Arial" w:hAnsi="Arial" w:cs="Arial"/>
          <w:szCs w:val="24"/>
          <w:lang w:val="en-US"/>
        </w:rPr>
        <w:t xml:space="preserve"> attain operational alignment, service quality, regulatory compliance, and trust among the stakeholders, these groups are to be engaged effectively</w:t>
      </w:r>
      <w:r w:rsidR="0027596B">
        <w:rPr>
          <w:rFonts w:ascii="Arial" w:hAnsi="Arial" w:cs="Arial"/>
          <w:szCs w:val="24"/>
          <w:lang w:val="en-US"/>
        </w:rPr>
        <w:t xml:space="preserve"> (</w:t>
      </w:r>
      <w:r w:rsidR="0027596B" w:rsidRPr="0027596B">
        <w:rPr>
          <w:rFonts w:ascii="Arial" w:hAnsi="Arial" w:cs="Arial"/>
          <w:szCs w:val="24"/>
          <w:lang w:val="en-US"/>
        </w:rPr>
        <w:t>Ashcroft</w:t>
      </w:r>
      <w:r w:rsidR="0027596B">
        <w:rPr>
          <w:rFonts w:ascii="Arial" w:hAnsi="Arial" w:cs="Arial"/>
          <w:szCs w:val="24"/>
          <w:lang w:val="en-US"/>
        </w:rPr>
        <w:t>, 2017)</w:t>
      </w:r>
      <w:r w:rsidRPr="00303DE7">
        <w:rPr>
          <w:rFonts w:ascii="Arial" w:hAnsi="Arial" w:cs="Arial"/>
          <w:szCs w:val="24"/>
          <w:lang w:val="en-US"/>
        </w:rPr>
        <w:t>.</w:t>
      </w:r>
    </w:p>
    <w:p w14:paraId="41FAAF84" w14:textId="0CDC4D24" w:rsidR="00575719" w:rsidRPr="00E841E5" w:rsidRDefault="00357E57" w:rsidP="00303DE7">
      <w:pPr>
        <w:spacing w:after="0" w:line="360" w:lineRule="auto"/>
        <w:rPr>
          <w:rFonts w:ascii="Arial" w:hAnsi="Arial" w:cs="Arial"/>
          <w:sz w:val="22"/>
          <w:lang w:val="en-US"/>
        </w:rPr>
      </w:pPr>
      <w:r w:rsidRPr="00303DE7">
        <w:rPr>
          <w:rFonts w:ascii="Arial" w:hAnsi="Arial" w:cs="Arial"/>
          <w:szCs w:val="24"/>
          <w:lang w:val="en-US"/>
        </w:rPr>
        <w:t xml:space="preserve">The engagement strategy </w:t>
      </w:r>
      <w:r w:rsidR="001B7181" w:rsidRPr="00303DE7">
        <w:rPr>
          <w:rFonts w:ascii="Arial" w:hAnsi="Arial" w:cs="Arial"/>
          <w:szCs w:val="24"/>
          <w:lang w:val="en-US"/>
        </w:rPr>
        <w:t>utilized</w:t>
      </w:r>
      <w:r w:rsidRPr="00303DE7">
        <w:rPr>
          <w:rFonts w:ascii="Arial" w:hAnsi="Arial" w:cs="Arial"/>
          <w:szCs w:val="24"/>
          <w:lang w:val="en-US"/>
        </w:rPr>
        <w:t xml:space="preserve"> structured models and tools to deal with intricate interactions, and models were </w:t>
      </w:r>
      <w:r w:rsidR="00FF049F">
        <w:rPr>
          <w:rFonts w:ascii="Arial" w:hAnsi="Arial" w:cs="Arial"/>
          <w:szCs w:val="24"/>
          <w:lang w:val="en-US"/>
        </w:rPr>
        <w:t>e</w:t>
      </w:r>
      <w:r w:rsidR="00FF049F" w:rsidRPr="00795160">
        <w:rPr>
          <w:rFonts w:ascii="Arial" w:hAnsi="Arial" w:cs="Arial"/>
          <w:szCs w:val="24"/>
          <w:lang w:val="en-US"/>
        </w:rPr>
        <w:t>stablished</w:t>
      </w:r>
      <w:r w:rsidR="00795160" w:rsidRPr="00795160">
        <w:rPr>
          <w:rFonts w:ascii="Arial" w:hAnsi="Arial" w:cs="Arial"/>
          <w:szCs w:val="24"/>
          <w:lang w:val="en-US"/>
        </w:rPr>
        <w:t xml:space="preserve"> </w:t>
      </w:r>
      <w:r w:rsidRPr="00303DE7">
        <w:rPr>
          <w:rFonts w:ascii="Arial" w:hAnsi="Arial" w:cs="Arial"/>
          <w:szCs w:val="24"/>
          <w:lang w:val="en-US"/>
        </w:rPr>
        <w:t xml:space="preserve">that were used to prioritise stakeholders, clarify roles, and ensure consistency and culturally sensitive communication. </w:t>
      </w:r>
    </w:p>
    <w:p w14:paraId="1C5BAA12" w14:textId="38434259" w:rsidR="00604FE9" w:rsidRDefault="00357E57" w:rsidP="00303DE7">
      <w:pPr>
        <w:spacing w:after="0" w:line="360" w:lineRule="auto"/>
        <w:rPr>
          <w:rFonts w:ascii="Arial" w:hAnsi="Arial" w:cs="Arial"/>
          <w:szCs w:val="24"/>
          <w:lang w:val="en-US"/>
        </w:rPr>
      </w:pPr>
      <w:r w:rsidRPr="009B57CA">
        <w:rPr>
          <w:rFonts w:ascii="Arial" w:hAnsi="Arial" w:cs="Arial"/>
          <w:b/>
          <w:bCs/>
          <w:szCs w:val="24"/>
          <w:lang w:val="en-US"/>
        </w:rPr>
        <w:t xml:space="preserve">Interaction </w:t>
      </w:r>
      <w:r w:rsidRPr="00303DE7">
        <w:rPr>
          <w:rFonts w:ascii="Arial" w:hAnsi="Arial" w:cs="Arial"/>
          <w:szCs w:val="24"/>
          <w:lang w:val="en-US"/>
        </w:rPr>
        <w:t xml:space="preserve">among all stakeholders was modelled on the 4C platform, and was fed by interest-based negotiation, cultural intelligence, and escalation paths aimed at resolving conflicts and maintaining alignment. </w:t>
      </w:r>
      <w:r w:rsidR="00796B0E" w:rsidRPr="00303DE7">
        <w:rPr>
          <w:rFonts w:ascii="Arial" w:hAnsi="Arial" w:cs="Arial"/>
          <w:szCs w:val="24"/>
          <w:lang w:val="en-US"/>
        </w:rPr>
        <w:t>Proactive</w:t>
      </w:r>
      <w:r w:rsidRPr="00303DE7">
        <w:rPr>
          <w:rFonts w:ascii="Arial" w:hAnsi="Arial" w:cs="Arial"/>
          <w:szCs w:val="24"/>
          <w:lang w:val="en-US"/>
        </w:rPr>
        <w:t xml:space="preserve"> stakeholder engagement can profoundly affect business performance, with the results including better guest satisfaction and loyalty, greater employee engagement, better brand image, better operational efficiency, desirable sustainability outcomes, and less risk</w:t>
      </w:r>
      <w:r w:rsidR="00795160">
        <w:rPr>
          <w:rFonts w:ascii="Arial" w:hAnsi="Arial" w:cs="Arial"/>
          <w:szCs w:val="24"/>
          <w:lang w:val="en-US"/>
        </w:rPr>
        <w:t xml:space="preserve"> (</w:t>
      </w:r>
      <w:r w:rsidR="00795160" w:rsidRPr="00795160">
        <w:rPr>
          <w:rFonts w:ascii="Arial" w:hAnsi="Arial" w:cs="Arial"/>
          <w:szCs w:val="24"/>
          <w:lang w:val="en-US"/>
        </w:rPr>
        <w:t>Christopher</w:t>
      </w:r>
      <w:r w:rsidR="00795160">
        <w:rPr>
          <w:rFonts w:ascii="Arial" w:hAnsi="Arial" w:cs="Arial"/>
          <w:szCs w:val="24"/>
          <w:lang w:val="en-US"/>
        </w:rPr>
        <w:t xml:space="preserve"> et al., 2013)</w:t>
      </w:r>
      <w:r w:rsidRPr="00303DE7">
        <w:rPr>
          <w:rFonts w:ascii="Arial" w:hAnsi="Arial" w:cs="Arial"/>
          <w:szCs w:val="24"/>
          <w:lang w:val="en-US"/>
        </w:rPr>
        <w:t xml:space="preserve">. Such obstacles as skill disparities, ethical aspects, competing interests, and cultural opposition were alleviated with the help of </w:t>
      </w:r>
      <w:r w:rsidR="00AF6705" w:rsidRPr="00303DE7">
        <w:rPr>
          <w:rFonts w:ascii="Arial" w:hAnsi="Arial" w:cs="Arial"/>
          <w:szCs w:val="24"/>
          <w:lang w:val="en-US"/>
        </w:rPr>
        <w:t>organized</w:t>
      </w:r>
      <w:r w:rsidRPr="00303DE7">
        <w:rPr>
          <w:rFonts w:ascii="Arial" w:hAnsi="Arial" w:cs="Arial"/>
          <w:szCs w:val="24"/>
          <w:lang w:val="en-US"/>
        </w:rPr>
        <w:t xml:space="preserve"> interaction and feedback</w:t>
      </w:r>
      <w:r w:rsidR="00E03910">
        <w:rPr>
          <w:rFonts w:ascii="Arial" w:hAnsi="Arial" w:cs="Arial"/>
          <w:szCs w:val="24"/>
          <w:lang w:val="en-US"/>
        </w:rPr>
        <w:t xml:space="preserve"> (Das, 2023)</w:t>
      </w:r>
      <w:r w:rsidRPr="00303DE7">
        <w:rPr>
          <w:rFonts w:ascii="Arial" w:hAnsi="Arial" w:cs="Arial"/>
          <w:szCs w:val="24"/>
          <w:lang w:val="en-US"/>
        </w:rPr>
        <w:t xml:space="preserve">. </w:t>
      </w:r>
    </w:p>
    <w:p w14:paraId="492C34F1" w14:textId="5E812B01" w:rsidR="00303DE7" w:rsidRDefault="00357E57" w:rsidP="00303DE7">
      <w:pPr>
        <w:spacing w:after="0" w:line="360" w:lineRule="auto"/>
        <w:rPr>
          <w:rFonts w:ascii="Arial" w:hAnsi="Arial" w:cs="Arial"/>
          <w:szCs w:val="24"/>
          <w:lang w:val="en-US"/>
        </w:rPr>
      </w:pPr>
      <w:r w:rsidRPr="00604FE9">
        <w:rPr>
          <w:rFonts w:ascii="Arial" w:hAnsi="Arial" w:cs="Arial"/>
          <w:b/>
          <w:bCs/>
          <w:szCs w:val="24"/>
          <w:lang w:val="en-US"/>
        </w:rPr>
        <w:t>It is recommended</w:t>
      </w:r>
      <w:r w:rsidRPr="00303DE7">
        <w:rPr>
          <w:rFonts w:ascii="Arial" w:hAnsi="Arial" w:cs="Arial"/>
          <w:szCs w:val="24"/>
          <w:lang w:val="en-US"/>
        </w:rPr>
        <w:t xml:space="preserve"> to participate in upcoming and ongoing engagements of frontline personnel, culturally specific communications, enhancing partnership with vendors and fellow sustainability stakeholders, well-governed and monitored, ethical governance, </w:t>
      </w:r>
      <w:r w:rsidRPr="00303DE7">
        <w:rPr>
          <w:rFonts w:ascii="Arial" w:hAnsi="Arial" w:cs="Arial"/>
          <w:szCs w:val="24"/>
          <w:lang w:val="en-US"/>
        </w:rPr>
        <w:lastRenderedPageBreak/>
        <w:t>and scalable engagements. Through implementing these strategies, Hilton can be certain to both inform, align, and be committed, ultimately providing a successful implementation of a rollout of the StaySmart+ and establishing long-term value to the organisation and the worldwide stakeholders.</w:t>
      </w:r>
    </w:p>
    <w:p w14:paraId="3FF7E129" w14:textId="77777777" w:rsidR="00303DE7" w:rsidRDefault="00303DE7">
      <w:pPr>
        <w:spacing w:line="259" w:lineRule="auto"/>
        <w:rPr>
          <w:rFonts w:ascii="Arial" w:hAnsi="Arial" w:cs="Arial"/>
          <w:szCs w:val="24"/>
          <w:lang w:val="en-US"/>
        </w:rPr>
      </w:pPr>
    </w:p>
    <w:p w14:paraId="2385B30B" w14:textId="77777777" w:rsidR="00303DE7" w:rsidRPr="00303DE7" w:rsidRDefault="00303DE7" w:rsidP="00303DE7">
      <w:pPr>
        <w:spacing w:after="0" w:line="360" w:lineRule="auto"/>
        <w:rPr>
          <w:rFonts w:ascii="Arial" w:hAnsi="Arial" w:cs="Arial"/>
          <w:szCs w:val="24"/>
          <w:lang w:val="en-US"/>
        </w:rPr>
      </w:pPr>
    </w:p>
    <w:p w14:paraId="5B327BF8" w14:textId="77777777" w:rsidR="00E25B5E" w:rsidRPr="00303DE7" w:rsidRDefault="00E25B5E" w:rsidP="00303DE7">
      <w:pPr>
        <w:spacing w:after="0" w:line="360" w:lineRule="auto"/>
        <w:rPr>
          <w:rFonts w:ascii="Arial" w:hAnsi="Arial" w:cs="Arial"/>
          <w:szCs w:val="24"/>
          <w:lang w:val="en-US"/>
        </w:rPr>
      </w:pPr>
    </w:p>
    <w:p w14:paraId="3ACAC42B" w14:textId="77777777" w:rsidR="00386A60" w:rsidRPr="00303DE7" w:rsidRDefault="00357E57" w:rsidP="00303DE7">
      <w:pPr>
        <w:spacing w:after="0" w:line="360" w:lineRule="auto"/>
        <w:rPr>
          <w:rFonts w:ascii="Arial" w:hAnsi="Arial" w:cs="Arial"/>
          <w:szCs w:val="24"/>
          <w:lang w:val="en-US"/>
        </w:rPr>
      </w:pPr>
      <w:r w:rsidRPr="00303DE7">
        <w:rPr>
          <w:rFonts w:ascii="Arial" w:hAnsi="Arial" w:cs="Arial"/>
          <w:szCs w:val="24"/>
          <w:lang w:val="en-US"/>
        </w:rPr>
        <w:br w:type="page"/>
      </w:r>
    </w:p>
    <w:sdt>
      <w:sdtPr>
        <w:rPr>
          <w:rFonts w:ascii="Times New Roman" w:eastAsiaTheme="minorHAnsi" w:hAnsi="Times New Roman" w:cstheme="minorBidi"/>
          <w:color w:val="auto"/>
          <w:sz w:val="24"/>
          <w:szCs w:val="22"/>
          <w:lang w:val="en-GB"/>
        </w:rPr>
        <w:id w:val="1400254289"/>
        <w:docPartObj>
          <w:docPartGallery w:val="Table of Contents"/>
          <w:docPartUnique/>
        </w:docPartObj>
      </w:sdtPr>
      <w:sdtEndPr>
        <w:rPr>
          <w:b/>
          <w:bCs/>
          <w:noProof/>
        </w:rPr>
      </w:sdtEndPr>
      <w:sdtContent>
        <w:p w14:paraId="0FD46EC1" w14:textId="77777777" w:rsidR="006E676F" w:rsidRPr="00E613B9" w:rsidRDefault="006E676F">
          <w:pPr>
            <w:pStyle w:val="TOCHeading"/>
            <w:rPr>
              <w:rFonts w:ascii="Arial" w:hAnsi="Arial" w:cs="Arial"/>
              <w:color w:val="auto"/>
              <w:sz w:val="24"/>
              <w:szCs w:val="24"/>
            </w:rPr>
          </w:pPr>
          <w:r w:rsidRPr="00E613B9">
            <w:rPr>
              <w:rFonts w:ascii="Arial" w:hAnsi="Arial" w:cs="Arial"/>
              <w:color w:val="auto"/>
              <w:sz w:val="24"/>
              <w:szCs w:val="24"/>
            </w:rPr>
            <w:t>Table of Contents</w:t>
          </w:r>
        </w:p>
        <w:p w14:paraId="31CC09CF" w14:textId="2B1A383D" w:rsidR="00574A1B" w:rsidRDefault="006E676F">
          <w:pPr>
            <w:pStyle w:val="TOC1"/>
            <w:tabs>
              <w:tab w:val="right" w:leader="dot" w:pos="9350"/>
            </w:tabs>
            <w:rPr>
              <w:rFonts w:asciiTheme="minorHAnsi" w:eastAsiaTheme="minorEastAsia" w:hAnsiTheme="minorHAnsi"/>
              <w:noProof/>
              <w:sz w:val="22"/>
              <w:lang w:val="en-US"/>
            </w:rPr>
          </w:pPr>
          <w:r w:rsidRPr="00E613B9">
            <w:rPr>
              <w:rFonts w:ascii="Arial" w:hAnsi="Arial" w:cs="Arial"/>
              <w:szCs w:val="24"/>
            </w:rPr>
            <w:fldChar w:fldCharType="begin"/>
          </w:r>
          <w:r w:rsidRPr="00E613B9">
            <w:rPr>
              <w:rFonts w:ascii="Arial" w:hAnsi="Arial" w:cs="Arial"/>
              <w:szCs w:val="24"/>
            </w:rPr>
            <w:instrText xml:space="preserve"> TOC \o "1-3" \h \z \u </w:instrText>
          </w:r>
          <w:r w:rsidRPr="00E613B9">
            <w:rPr>
              <w:rFonts w:ascii="Arial" w:hAnsi="Arial" w:cs="Arial"/>
              <w:szCs w:val="24"/>
            </w:rPr>
            <w:fldChar w:fldCharType="separate"/>
          </w:r>
          <w:hyperlink w:anchor="_Toc224377101" w:history="1">
            <w:r w:rsidR="00574A1B" w:rsidRPr="00FE42E6">
              <w:rPr>
                <w:rStyle w:val="Hyperlink"/>
                <w:rFonts w:ascii="Arial" w:hAnsi="Arial" w:cs="Arial"/>
                <w:noProof/>
                <w:lang w:val="en-US"/>
              </w:rPr>
              <w:t>Executive Summary</w:t>
            </w:r>
            <w:r w:rsidR="00574A1B">
              <w:rPr>
                <w:noProof/>
                <w:webHidden/>
              </w:rPr>
              <w:tab/>
            </w:r>
            <w:r w:rsidR="00574A1B">
              <w:rPr>
                <w:noProof/>
                <w:webHidden/>
              </w:rPr>
              <w:fldChar w:fldCharType="begin"/>
            </w:r>
            <w:r w:rsidR="00574A1B">
              <w:rPr>
                <w:noProof/>
                <w:webHidden/>
              </w:rPr>
              <w:instrText xml:space="preserve"> PAGEREF _Toc224377101 \h </w:instrText>
            </w:r>
            <w:r w:rsidR="00574A1B">
              <w:rPr>
                <w:noProof/>
                <w:webHidden/>
              </w:rPr>
            </w:r>
            <w:r w:rsidR="00574A1B">
              <w:rPr>
                <w:noProof/>
                <w:webHidden/>
              </w:rPr>
              <w:fldChar w:fldCharType="separate"/>
            </w:r>
            <w:r w:rsidR="00574A1B">
              <w:rPr>
                <w:noProof/>
                <w:webHidden/>
              </w:rPr>
              <w:t>2</w:t>
            </w:r>
            <w:r w:rsidR="00574A1B">
              <w:rPr>
                <w:noProof/>
                <w:webHidden/>
              </w:rPr>
              <w:fldChar w:fldCharType="end"/>
            </w:r>
          </w:hyperlink>
        </w:p>
        <w:p w14:paraId="7BA113DA" w14:textId="0B0D531B" w:rsidR="00574A1B" w:rsidRDefault="00574A1B">
          <w:pPr>
            <w:pStyle w:val="TOC1"/>
            <w:tabs>
              <w:tab w:val="right" w:leader="dot" w:pos="9350"/>
            </w:tabs>
            <w:rPr>
              <w:rFonts w:asciiTheme="minorHAnsi" w:eastAsiaTheme="minorEastAsia" w:hAnsiTheme="minorHAnsi"/>
              <w:noProof/>
              <w:sz w:val="22"/>
              <w:lang w:val="en-US"/>
            </w:rPr>
          </w:pPr>
          <w:hyperlink w:anchor="_Toc224377102" w:history="1">
            <w:r w:rsidRPr="00FE42E6">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_Toc224377102 \h </w:instrText>
            </w:r>
            <w:r>
              <w:rPr>
                <w:noProof/>
                <w:webHidden/>
              </w:rPr>
            </w:r>
            <w:r>
              <w:rPr>
                <w:noProof/>
                <w:webHidden/>
              </w:rPr>
              <w:fldChar w:fldCharType="separate"/>
            </w:r>
            <w:r>
              <w:rPr>
                <w:noProof/>
                <w:webHidden/>
              </w:rPr>
              <w:t>5</w:t>
            </w:r>
            <w:r>
              <w:rPr>
                <w:noProof/>
                <w:webHidden/>
              </w:rPr>
              <w:fldChar w:fldCharType="end"/>
            </w:r>
          </w:hyperlink>
        </w:p>
        <w:p w14:paraId="6D83813D" w14:textId="5BB33169" w:rsidR="00574A1B" w:rsidRDefault="00574A1B">
          <w:pPr>
            <w:pStyle w:val="TOC1"/>
            <w:tabs>
              <w:tab w:val="right" w:leader="dot" w:pos="9350"/>
            </w:tabs>
            <w:rPr>
              <w:rFonts w:asciiTheme="minorHAnsi" w:eastAsiaTheme="minorEastAsia" w:hAnsiTheme="minorHAnsi"/>
              <w:noProof/>
              <w:sz w:val="22"/>
              <w:lang w:val="en-US"/>
            </w:rPr>
          </w:pPr>
          <w:hyperlink w:anchor="_Toc224377103" w:history="1">
            <w:r w:rsidRPr="00FE42E6">
              <w:rPr>
                <w:rStyle w:val="Hyperlink"/>
                <w:rFonts w:ascii="Arial" w:hAnsi="Arial" w:cs="Arial"/>
                <w:noProof/>
              </w:rPr>
              <w:t>Situational Analysis: SWOT, PESTLE &amp; SMART Objectives</w:t>
            </w:r>
            <w:r>
              <w:rPr>
                <w:noProof/>
                <w:webHidden/>
              </w:rPr>
              <w:tab/>
            </w:r>
            <w:r>
              <w:rPr>
                <w:noProof/>
                <w:webHidden/>
              </w:rPr>
              <w:fldChar w:fldCharType="begin"/>
            </w:r>
            <w:r>
              <w:rPr>
                <w:noProof/>
                <w:webHidden/>
              </w:rPr>
              <w:instrText xml:space="preserve"> PAGEREF _Toc224377103 \h </w:instrText>
            </w:r>
            <w:r>
              <w:rPr>
                <w:noProof/>
                <w:webHidden/>
              </w:rPr>
            </w:r>
            <w:r>
              <w:rPr>
                <w:noProof/>
                <w:webHidden/>
              </w:rPr>
              <w:fldChar w:fldCharType="separate"/>
            </w:r>
            <w:r>
              <w:rPr>
                <w:noProof/>
                <w:webHidden/>
              </w:rPr>
              <w:t>6</w:t>
            </w:r>
            <w:r>
              <w:rPr>
                <w:noProof/>
                <w:webHidden/>
              </w:rPr>
              <w:fldChar w:fldCharType="end"/>
            </w:r>
          </w:hyperlink>
        </w:p>
        <w:p w14:paraId="6901E27D" w14:textId="51E5B0C7" w:rsidR="00574A1B" w:rsidRDefault="00574A1B">
          <w:pPr>
            <w:pStyle w:val="TOC2"/>
            <w:tabs>
              <w:tab w:val="right" w:leader="dot" w:pos="9350"/>
            </w:tabs>
            <w:rPr>
              <w:rFonts w:asciiTheme="minorHAnsi" w:eastAsiaTheme="minorEastAsia" w:hAnsiTheme="minorHAnsi"/>
              <w:noProof/>
              <w:sz w:val="22"/>
              <w:lang w:val="en-US"/>
            </w:rPr>
          </w:pPr>
          <w:hyperlink w:anchor="_Toc224377104" w:history="1">
            <w:r w:rsidRPr="00FE42E6">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_Toc224377104 \h </w:instrText>
            </w:r>
            <w:r>
              <w:rPr>
                <w:noProof/>
                <w:webHidden/>
              </w:rPr>
            </w:r>
            <w:r>
              <w:rPr>
                <w:noProof/>
                <w:webHidden/>
              </w:rPr>
              <w:fldChar w:fldCharType="separate"/>
            </w:r>
            <w:r>
              <w:rPr>
                <w:noProof/>
                <w:webHidden/>
              </w:rPr>
              <w:t>6</w:t>
            </w:r>
            <w:r>
              <w:rPr>
                <w:noProof/>
                <w:webHidden/>
              </w:rPr>
              <w:fldChar w:fldCharType="end"/>
            </w:r>
          </w:hyperlink>
        </w:p>
        <w:p w14:paraId="085AD3D1" w14:textId="0FFB78A8" w:rsidR="00574A1B" w:rsidRDefault="00574A1B">
          <w:pPr>
            <w:pStyle w:val="TOC2"/>
            <w:tabs>
              <w:tab w:val="right" w:leader="dot" w:pos="9350"/>
            </w:tabs>
            <w:rPr>
              <w:rFonts w:asciiTheme="minorHAnsi" w:eastAsiaTheme="minorEastAsia" w:hAnsiTheme="minorHAnsi"/>
              <w:noProof/>
              <w:sz w:val="22"/>
              <w:lang w:val="en-US"/>
            </w:rPr>
          </w:pPr>
          <w:hyperlink w:anchor="_Toc224377105" w:history="1">
            <w:r w:rsidRPr="00FE42E6">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_Toc224377105 \h </w:instrText>
            </w:r>
            <w:r>
              <w:rPr>
                <w:noProof/>
                <w:webHidden/>
              </w:rPr>
            </w:r>
            <w:r>
              <w:rPr>
                <w:noProof/>
                <w:webHidden/>
              </w:rPr>
              <w:fldChar w:fldCharType="separate"/>
            </w:r>
            <w:r>
              <w:rPr>
                <w:noProof/>
                <w:webHidden/>
              </w:rPr>
              <w:t>6</w:t>
            </w:r>
            <w:r>
              <w:rPr>
                <w:noProof/>
                <w:webHidden/>
              </w:rPr>
              <w:fldChar w:fldCharType="end"/>
            </w:r>
          </w:hyperlink>
        </w:p>
        <w:p w14:paraId="1F7CBCD0" w14:textId="59D034E8" w:rsidR="00574A1B" w:rsidRDefault="00574A1B">
          <w:pPr>
            <w:pStyle w:val="TOC2"/>
            <w:tabs>
              <w:tab w:val="right" w:leader="dot" w:pos="9350"/>
            </w:tabs>
            <w:rPr>
              <w:rFonts w:asciiTheme="minorHAnsi" w:eastAsiaTheme="minorEastAsia" w:hAnsiTheme="minorHAnsi"/>
              <w:noProof/>
              <w:sz w:val="22"/>
              <w:lang w:val="en-US"/>
            </w:rPr>
          </w:pPr>
          <w:hyperlink w:anchor="_Toc224377106" w:history="1">
            <w:r w:rsidRPr="00FE42E6">
              <w:rPr>
                <w:rStyle w:val="Hyperlink"/>
                <w:rFonts w:ascii="Arial" w:hAnsi="Arial" w:cs="Arial"/>
                <w:noProof/>
              </w:rPr>
              <w:t>SMART Objectives</w:t>
            </w:r>
            <w:r>
              <w:rPr>
                <w:noProof/>
                <w:webHidden/>
              </w:rPr>
              <w:tab/>
            </w:r>
            <w:r>
              <w:rPr>
                <w:noProof/>
                <w:webHidden/>
              </w:rPr>
              <w:fldChar w:fldCharType="begin"/>
            </w:r>
            <w:r>
              <w:rPr>
                <w:noProof/>
                <w:webHidden/>
              </w:rPr>
              <w:instrText xml:space="preserve"> PAGEREF _Toc224377106 \h </w:instrText>
            </w:r>
            <w:r>
              <w:rPr>
                <w:noProof/>
                <w:webHidden/>
              </w:rPr>
            </w:r>
            <w:r>
              <w:rPr>
                <w:noProof/>
                <w:webHidden/>
              </w:rPr>
              <w:fldChar w:fldCharType="separate"/>
            </w:r>
            <w:r>
              <w:rPr>
                <w:noProof/>
                <w:webHidden/>
              </w:rPr>
              <w:t>7</w:t>
            </w:r>
            <w:r>
              <w:rPr>
                <w:noProof/>
                <w:webHidden/>
              </w:rPr>
              <w:fldChar w:fldCharType="end"/>
            </w:r>
          </w:hyperlink>
        </w:p>
        <w:p w14:paraId="0F6440C5" w14:textId="406CCBA7" w:rsidR="00574A1B" w:rsidRDefault="00574A1B">
          <w:pPr>
            <w:pStyle w:val="TOC1"/>
            <w:tabs>
              <w:tab w:val="right" w:leader="dot" w:pos="9350"/>
            </w:tabs>
            <w:rPr>
              <w:rFonts w:asciiTheme="minorHAnsi" w:eastAsiaTheme="minorEastAsia" w:hAnsiTheme="minorHAnsi"/>
              <w:noProof/>
              <w:sz w:val="22"/>
              <w:lang w:val="en-US"/>
            </w:rPr>
          </w:pPr>
          <w:hyperlink w:anchor="_Toc224377107" w:history="1">
            <w:r w:rsidRPr="00FE42E6">
              <w:rPr>
                <w:rStyle w:val="Hyperlink"/>
                <w:rFonts w:ascii="Arial" w:hAnsi="Arial" w:cs="Arial"/>
                <w:noProof/>
              </w:rPr>
              <w:t>Identification &amp; Categorisation of Stakeholders</w:t>
            </w:r>
            <w:r>
              <w:rPr>
                <w:noProof/>
                <w:webHidden/>
              </w:rPr>
              <w:tab/>
            </w:r>
            <w:r>
              <w:rPr>
                <w:noProof/>
                <w:webHidden/>
              </w:rPr>
              <w:fldChar w:fldCharType="begin"/>
            </w:r>
            <w:r>
              <w:rPr>
                <w:noProof/>
                <w:webHidden/>
              </w:rPr>
              <w:instrText xml:space="preserve"> PAGEREF _Toc224377107 \h </w:instrText>
            </w:r>
            <w:r>
              <w:rPr>
                <w:noProof/>
                <w:webHidden/>
              </w:rPr>
            </w:r>
            <w:r>
              <w:rPr>
                <w:noProof/>
                <w:webHidden/>
              </w:rPr>
              <w:fldChar w:fldCharType="separate"/>
            </w:r>
            <w:r>
              <w:rPr>
                <w:noProof/>
                <w:webHidden/>
              </w:rPr>
              <w:t>8</w:t>
            </w:r>
            <w:r>
              <w:rPr>
                <w:noProof/>
                <w:webHidden/>
              </w:rPr>
              <w:fldChar w:fldCharType="end"/>
            </w:r>
          </w:hyperlink>
        </w:p>
        <w:p w14:paraId="14158ACE" w14:textId="4ACC176A" w:rsidR="00574A1B" w:rsidRDefault="00574A1B">
          <w:pPr>
            <w:pStyle w:val="TOC1"/>
            <w:tabs>
              <w:tab w:val="right" w:leader="dot" w:pos="9350"/>
            </w:tabs>
            <w:rPr>
              <w:rFonts w:asciiTheme="minorHAnsi" w:eastAsiaTheme="minorEastAsia" w:hAnsiTheme="minorHAnsi"/>
              <w:noProof/>
              <w:sz w:val="22"/>
              <w:lang w:val="en-US"/>
            </w:rPr>
          </w:pPr>
          <w:hyperlink w:anchor="_Toc224377108" w:history="1">
            <w:r w:rsidRPr="00FE42E6">
              <w:rPr>
                <w:rStyle w:val="Hyperlink"/>
                <w:rFonts w:ascii="Arial" w:hAnsi="Arial" w:cs="Arial"/>
                <w:noProof/>
              </w:rPr>
              <w:t>Roles, Responsibilities, Benefits &amp; Challenges</w:t>
            </w:r>
            <w:r>
              <w:rPr>
                <w:noProof/>
                <w:webHidden/>
              </w:rPr>
              <w:tab/>
            </w:r>
            <w:r>
              <w:rPr>
                <w:noProof/>
                <w:webHidden/>
              </w:rPr>
              <w:fldChar w:fldCharType="begin"/>
            </w:r>
            <w:r>
              <w:rPr>
                <w:noProof/>
                <w:webHidden/>
              </w:rPr>
              <w:instrText xml:space="preserve"> PAGEREF _Toc224377108 \h </w:instrText>
            </w:r>
            <w:r>
              <w:rPr>
                <w:noProof/>
                <w:webHidden/>
              </w:rPr>
            </w:r>
            <w:r>
              <w:rPr>
                <w:noProof/>
                <w:webHidden/>
              </w:rPr>
              <w:fldChar w:fldCharType="separate"/>
            </w:r>
            <w:r>
              <w:rPr>
                <w:noProof/>
                <w:webHidden/>
              </w:rPr>
              <w:t>9</w:t>
            </w:r>
            <w:r>
              <w:rPr>
                <w:noProof/>
                <w:webHidden/>
              </w:rPr>
              <w:fldChar w:fldCharType="end"/>
            </w:r>
          </w:hyperlink>
        </w:p>
        <w:p w14:paraId="197AAE05" w14:textId="539B7E20" w:rsidR="00574A1B" w:rsidRDefault="00574A1B">
          <w:pPr>
            <w:pStyle w:val="TOC1"/>
            <w:tabs>
              <w:tab w:val="right" w:leader="dot" w:pos="9350"/>
            </w:tabs>
            <w:rPr>
              <w:rFonts w:asciiTheme="minorHAnsi" w:eastAsiaTheme="minorEastAsia" w:hAnsiTheme="minorHAnsi"/>
              <w:noProof/>
              <w:sz w:val="22"/>
              <w:lang w:val="en-US"/>
            </w:rPr>
          </w:pPr>
          <w:hyperlink w:anchor="_Toc224377109" w:history="1">
            <w:r w:rsidRPr="00FE42E6">
              <w:rPr>
                <w:rStyle w:val="Hyperlink"/>
                <w:rFonts w:ascii="Arial" w:hAnsi="Arial" w:cs="Arial"/>
                <w:noProof/>
              </w:rPr>
              <w:t>Frameworks, Models &amp; Engagement Tools</w:t>
            </w:r>
            <w:r>
              <w:rPr>
                <w:noProof/>
                <w:webHidden/>
              </w:rPr>
              <w:tab/>
            </w:r>
            <w:r>
              <w:rPr>
                <w:noProof/>
                <w:webHidden/>
              </w:rPr>
              <w:fldChar w:fldCharType="begin"/>
            </w:r>
            <w:r>
              <w:rPr>
                <w:noProof/>
                <w:webHidden/>
              </w:rPr>
              <w:instrText xml:space="preserve"> PAGEREF _Toc224377109 \h </w:instrText>
            </w:r>
            <w:r>
              <w:rPr>
                <w:noProof/>
                <w:webHidden/>
              </w:rPr>
            </w:r>
            <w:r>
              <w:rPr>
                <w:noProof/>
                <w:webHidden/>
              </w:rPr>
              <w:fldChar w:fldCharType="separate"/>
            </w:r>
            <w:r>
              <w:rPr>
                <w:noProof/>
                <w:webHidden/>
              </w:rPr>
              <w:t>12</w:t>
            </w:r>
            <w:r>
              <w:rPr>
                <w:noProof/>
                <w:webHidden/>
              </w:rPr>
              <w:fldChar w:fldCharType="end"/>
            </w:r>
          </w:hyperlink>
        </w:p>
        <w:p w14:paraId="1272BD9A" w14:textId="48325648" w:rsidR="00574A1B" w:rsidRDefault="00574A1B">
          <w:pPr>
            <w:pStyle w:val="TOC2"/>
            <w:tabs>
              <w:tab w:val="right" w:leader="dot" w:pos="9350"/>
            </w:tabs>
            <w:rPr>
              <w:rFonts w:asciiTheme="minorHAnsi" w:eastAsiaTheme="minorEastAsia" w:hAnsiTheme="minorHAnsi"/>
              <w:noProof/>
              <w:sz w:val="22"/>
              <w:lang w:val="en-US"/>
            </w:rPr>
          </w:pPr>
          <w:hyperlink w:anchor="_Toc224377110" w:history="1">
            <w:r w:rsidRPr="00FE42E6">
              <w:rPr>
                <w:rStyle w:val="Hyperlink"/>
                <w:rFonts w:ascii="Arial" w:hAnsi="Arial" w:cs="Arial"/>
                <w:noProof/>
              </w:rPr>
              <w:t>Stakeholder Engagement Plan (4C Model)</w:t>
            </w:r>
            <w:r>
              <w:rPr>
                <w:noProof/>
                <w:webHidden/>
              </w:rPr>
              <w:tab/>
            </w:r>
            <w:r>
              <w:rPr>
                <w:noProof/>
                <w:webHidden/>
              </w:rPr>
              <w:fldChar w:fldCharType="begin"/>
            </w:r>
            <w:r>
              <w:rPr>
                <w:noProof/>
                <w:webHidden/>
              </w:rPr>
              <w:instrText xml:space="preserve"> PAGEREF _Toc224377110 \h </w:instrText>
            </w:r>
            <w:r>
              <w:rPr>
                <w:noProof/>
                <w:webHidden/>
              </w:rPr>
            </w:r>
            <w:r>
              <w:rPr>
                <w:noProof/>
                <w:webHidden/>
              </w:rPr>
              <w:fldChar w:fldCharType="separate"/>
            </w:r>
            <w:r>
              <w:rPr>
                <w:noProof/>
                <w:webHidden/>
              </w:rPr>
              <w:t>12</w:t>
            </w:r>
            <w:r>
              <w:rPr>
                <w:noProof/>
                <w:webHidden/>
              </w:rPr>
              <w:fldChar w:fldCharType="end"/>
            </w:r>
          </w:hyperlink>
        </w:p>
        <w:p w14:paraId="56E070DF" w14:textId="27974843" w:rsidR="00574A1B" w:rsidRDefault="00574A1B">
          <w:pPr>
            <w:pStyle w:val="TOC2"/>
            <w:tabs>
              <w:tab w:val="right" w:leader="dot" w:pos="9350"/>
            </w:tabs>
            <w:rPr>
              <w:rFonts w:asciiTheme="minorHAnsi" w:eastAsiaTheme="minorEastAsia" w:hAnsiTheme="minorHAnsi"/>
              <w:noProof/>
              <w:sz w:val="22"/>
              <w:lang w:val="en-US"/>
            </w:rPr>
          </w:pPr>
          <w:hyperlink w:anchor="_Toc224377111" w:history="1">
            <w:r w:rsidRPr="00FE42E6">
              <w:rPr>
                <w:rStyle w:val="Hyperlink"/>
                <w:rFonts w:ascii="Arial" w:hAnsi="Arial" w:cs="Arial"/>
                <w:noProof/>
              </w:rPr>
              <w:t>Communication Plan</w:t>
            </w:r>
            <w:r>
              <w:rPr>
                <w:noProof/>
                <w:webHidden/>
              </w:rPr>
              <w:tab/>
            </w:r>
            <w:r>
              <w:rPr>
                <w:noProof/>
                <w:webHidden/>
              </w:rPr>
              <w:fldChar w:fldCharType="begin"/>
            </w:r>
            <w:r>
              <w:rPr>
                <w:noProof/>
                <w:webHidden/>
              </w:rPr>
              <w:instrText xml:space="preserve"> PAGEREF _Toc224377111 \h </w:instrText>
            </w:r>
            <w:r>
              <w:rPr>
                <w:noProof/>
                <w:webHidden/>
              </w:rPr>
            </w:r>
            <w:r>
              <w:rPr>
                <w:noProof/>
                <w:webHidden/>
              </w:rPr>
              <w:fldChar w:fldCharType="separate"/>
            </w:r>
            <w:r>
              <w:rPr>
                <w:noProof/>
                <w:webHidden/>
              </w:rPr>
              <w:t>13</w:t>
            </w:r>
            <w:r>
              <w:rPr>
                <w:noProof/>
                <w:webHidden/>
              </w:rPr>
              <w:fldChar w:fldCharType="end"/>
            </w:r>
          </w:hyperlink>
        </w:p>
        <w:p w14:paraId="7B56F021" w14:textId="0D6B3272" w:rsidR="00574A1B" w:rsidRDefault="00574A1B">
          <w:pPr>
            <w:pStyle w:val="TOC2"/>
            <w:tabs>
              <w:tab w:val="right" w:leader="dot" w:pos="9350"/>
            </w:tabs>
            <w:rPr>
              <w:rFonts w:asciiTheme="minorHAnsi" w:eastAsiaTheme="minorEastAsia" w:hAnsiTheme="minorHAnsi"/>
              <w:noProof/>
              <w:sz w:val="22"/>
              <w:lang w:val="en-US"/>
            </w:rPr>
          </w:pPr>
          <w:hyperlink w:anchor="_Toc224377112" w:history="1">
            <w:r w:rsidRPr="00FE42E6">
              <w:rPr>
                <w:rStyle w:val="Hyperlink"/>
                <w:rFonts w:ascii="Arial" w:hAnsi="Arial" w:cs="Arial"/>
                <w:noProof/>
              </w:rPr>
              <w:t>RACI Matrix (Engagement Activities)</w:t>
            </w:r>
            <w:r>
              <w:rPr>
                <w:noProof/>
                <w:webHidden/>
              </w:rPr>
              <w:tab/>
            </w:r>
            <w:r>
              <w:rPr>
                <w:noProof/>
                <w:webHidden/>
              </w:rPr>
              <w:fldChar w:fldCharType="begin"/>
            </w:r>
            <w:r>
              <w:rPr>
                <w:noProof/>
                <w:webHidden/>
              </w:rPr>
              <w:instrText xml:space="preserve"> PAGEREF _Toc224377112 \h </w:instrText>
            </w:r>
            <w:r>
              <w:rPr>
                <w:noProof/>
                <w:webHidden/>
              </w:rPr>
            </w:r>
            <w:r>
              <w:rPr>
                <w:noProof/>
                <w:webHidden/>
              </w:rPr>
              <w:fldChar w:fldCharType="separate"/>
            </w:r>
            <w:r>
              <w:rPr>
                <w:noProof/>
                <w:webHidden/>
              </w:rPr>
              <w:t>14</w:t>
            </w:r>
            <w:r>
              <w:rPr>
                <w:noProof/>
                <w:webHidden/>
              </w:rPr>
              <w:fldChar w:fldCharType="end"/>
            </w:r>
          </w:hyperlink>
        </w:p>
        <w:p w14:paraId="51470904" w14:textId="6CB0257D" w:rsidR="00574A1B" w:rsidRDefault="00574A1B">
          <w:pPr>
            <w:pStyle w:val="TOC1"/>
            <w:tabs>
              <w:tab w:val="right" w:leader="dot" w:pos="9350"/>
            </w:tabs>
            <w:rPr>
              <w:rFonts w:asciiTheme="minorHAnsi" w:eastAsiaTheme="minorEastAsia" w:hAnsiTheme="minorHAnsi"/>
              <w:noProof/>
              <w:sz w:val="22"/>
              <w:lang w:val="en-US"/>
            </w:rPr>
          </w:pPr>
          <w:hyperlink w:anchor="_Toc224377113" w:history="1">
            <w:r w:rsidRPr="00FE42E6">
              <w:rPr>
                <w:rStyle w:val="Hyperlink"/>
                <w:rFonts w:ascii="Arial" w:hAnsi="Arial" w:cs="Arial"/>
                <w:noProof/>
              </w:rPr>
              <w:t>Stakeholder Engagement Process &amp; Conflict Management</w:t>
            </w:r>
            <w:r>
              <w:rPr>
                <w:noProof/>
                <w:webHidden/>
              </w:rPr>
              <w:tab/>
            </w:r>
            <w:r>
              <w:rPr>
                <w:noProof/>
                <w:webHidden/>
              </w:rPr>
              <w:fldChar w:fldCharType="begin"/>
            </w:r>
            <w:r>
              <w:rPr>
                <w:noProof/>
                <w:webHidden/>
              </w:rPr>
              <w:instrText xml:space="preserve"> PAGEREF _Toc224377113 \h </w:instrText>
            </w:r>
            <w:r>
              <w:rPr>
                <w:noProof/>
                <w:webHidden/>
              </w:rPr>
            </w:r>
            <w:r>
              <w:rPr>
                <w:noProof/>
                <w:webHidden/>
              </w:rPr>
              <w:fldChar w:fldCharType="separate"/>
            </w:r>
            <w:r>
              <w:rPr>
                <w:noProof/>
                <w:webHidden/>
              </w:rPr>
              <w:t>14</w:t>
            </w:r>
            <w:r>
              <w:rPr>
                <w:noProof/>
                <w:webHidden/>
              </w:rPr>
              <w:fldChar w:fldCharType="end"/>
            </w:r>
          </w:hyperlink>
        </w:p>
        <w:p w14:paraId="2D31AF01" w14:textId="1A607EB2" w:rsidR="00574A1B" w:rsidRDefault="00574A1B">
          <w:pPr>
            <w:pStyle w:val="TOC1"/>
            <w:tabs>
              <w:tab w:val="right" w:leader="dot" w:pos="9350"/>
            </w:tabs>
            <w:rPr>
              <w:rFonts w:asciiTheme="minorHAnsi" w:eastAsiaTheme="minorEastAsia" w:hAnsiTheme="minorHAnsi"/>
              <w:noProof/>
              <w:sz w:val="22"/>
              <w:lang w:val="en-US"/>
            </w:rPr>
          </w:pPr>
          <w:hyperlink w:anchor="_Toc224377114" w:history="1">
            <w:r w:rsidRPr="00FE42E6">
              <w:rPr>
                <w:rStyle w:val="Hyperlink"/>
                <w:rFonts w:ascii="Arial" w:hAnsi="Arial" w:cs="Arial"/>
                <w:noProof/>
              </w:rPr>
              <w:t>Impact of Stakeholder Engagement on Business Performance</w:t>
            </w:r>
            <w:r>
              <w:rPr>
                <w:noProof/>
                <w:webHidden/>
              </w:rPr>
              <w:tab/>
            </w:r>
            <w:r>
              <w:rPr>
                <w:noProof/>
                <w:webHidden/>
              </w:rPr>
              <w:fldChar w:fldCharType="begin"/>
            </w:r>
            <w:r>
              <w:rPr>
                <w:noProof/>
                <w:webHidden/>
              </w:rPr>
              <w:instrText xml:space="preserve"> PAGEREF _Toc224377114 \h </w:instrText>
            </w:r>
            <w:r>
              <w:rPr>
                <w:noProof/>
                <w:webHidden/>
              </w:rPr>
            </w:r>
            <w:r>
              <w:rPr>
                <w:noProof/>
                <w:webHidden/>
              </w:rPr>
              <w:fldChar w:fldCharType="separate"/>
            </w:r>
            <w:r>
              <w:rPr>
                <w:noProof/>
                <w:webHidden/>
              </w:rPr>
              <w:t>17</w:t>
            </w:r>
            <w:r>
              <w:rPr>
                <w:noProof/>
                <w:webHidden/>
              </w:rPr>
              <w:fldChar w:fldCharType="end"/>
            </w:r>
          </w:hyperlink>
        </w:p>
        <w:p w14:paraId="661376F4" w14:textId="3EDFB824" w:rsidR="00574A1B" w:rsidRDefault="00574A1B">
          <w:pPr>
            <w:pStyle w:val="TOC1"/>
            <w:tabs>
              <w:tab w:val="right" w:leader="dot" w:pos="9350"/>
            </w:tabs>
            <w:rPr>
              <w:rFonts w:asciiTheme="minorHAnsi" w:eastAsiaTheme="minorEastAsia" w:hAnsiTheme="minorHAnsi"/>
              <w:noProof/>
              <w:sz w:val="22"/>
              <w:lang w:val="en-US"/>
            </w:rPr>
          </w:pPr>
          <w:hyperlink w:anchor="_Toc224377115" w:history="1">
            <w:r w:rsidRPr="00FE42E6">
              <w:rPr>
                <w:rStyle w:val="Hyperlink"/>
                <w:rFonts w:ascii="Arial" w:hAnsi="Arial" w:cs="Arial"/>
                <w:noProof/>
              </w:rPr>
              <w:t>Recommendations for Future Stakeholder Engagement</w:t>
            </w:r>
            <w:r>
              <w:rPr>
                <w:noProof/>
                <w:webHidden/>
              </w:rPr>
              <w:tab/>
            </w:r>
            <w:r>
              <w:rPr>
                <w:noProof/>
                <w:webHidden/>
              </w:rPr>
              <w:fldChar w:fldCharType="begin"/>
            </w:r>
            <w:r>
              <w:rPr>
                <w:noProof/>
                <w:webHidden/>
              </w:rPr>
              <w:instrText xml:space="preserve"> PAGEREF _Toc224377115 \h </w:instrText>
            </w:r>
            <w:r>
              <w:rPr>
                <w:noProof/>
                <w:webHidden/>
              </w:rPr>
            </w:r>
            <w:r>
              <w:rPr>
                <w:noProof/>
                <w:webHidden/>
              </w:rPr>
              <w:fldChar w:fldCharType="separate"/>
            </w:r>
            <w:r>
              <w:rPr>
                <w:noProof/>
                <w:webHidden/>
              </w:rPr>
              <w:t>19</w:t>
            </w:r>
            <w:r>
              <w:rPr>
                <w:noProof/>
                <w:webHidden/>
              </w:rPr>
              <w:fldChar w:fldCharType="end"/>
            </w:r>
          </w:hyperlink>
        </w:p>
        <w:p w14:paraId="13C75452" w14:textId="4383AE7E" w:rsidR="00574A1B" w:rsidRDefault="00574A1B">
          <w:pPr>
            <w:pStyle w:val="TOC1"/>
            <w:tabs>
              <w:tab w:val="right" w:leader="dot" w:pos="9350"/>
            </w:tabs>
            <w:rPr>
              <w:rFonts w:asciiTheme="minorHAnsi" w:eastAsiaTheme="minorEastAsia" w:hAnsiTheme="minorHAnsi"/>
              <w:noProof/>
              <w:sz w:val="22"/>
              <w:lang w:val="en-US"/>
            </w:rPr>
          </w:pPr>
          <w:hyperlink w:anchor="_Toc224377116" w:history="1">
            <w:r w:rsidRPr="00FE42E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_Toc224377116 \h </w:instrText>
            </w:r>
            <w:r>
              <w:rPr>
                <w:noProof/>
                <w:webHidden/>
              </w:rPr>
            </w:r>
            <w:r>
              <w:rPr>
                <w:noProof/>
                <w:webHidden/>
              </w:rPr>
              <w:fldChar w:fldCharType="separate"/>
            </w:r>
            <w:r>
              <w:rPr>
                <w:noProof/>
                <w:webHidden/>
              </w:rPr>
              <w:t>20</w:t>
            </w:r>
            <w:r>
              <w:rPr>
                <w:noProof/>
                <w:webHidden/>
              </w:rPr>
              <w:fldChar w:fldCharType="end"/>
            </w:r>
          </w:hyperlink>
        </w:p>
        <w:p w14:paraId="60FA93EC" w14:textId="06FCC3D8" w:rsidR="00574A1B" w:rsidRDefault="00574A1B">
          <w:pPr>
            <w:pStyle w:val="TOC1"/>
            <w:tabs>
              <w:tab w:val="right" w:leader="dot" w:pos="9350"/>
            </w:tabs>
            <w:rPr>
              <w:rFonts w:asciiTheme="minorHAnsi" w:eastAsiaTheme="minorEastAsia" w:hAnsiTheme="minorHAnsi"/>
              <w:noProof/>
              <w:sz w:val="22"/>
              <w:lang w:val="en-US"/>
            </w:rPr>
          </w:pPr>
          <w:hyperlink w:anchor="_Toc224377117" w:history="1">
            <w:r w:rsidRPr="00FE42E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_Toc224377117 \h </w:instrText>
            </w:r>
            <w:r>
              <w:rPr>
                <w:noProof/>
                <w:webHidden/>
              </w:rPr>
            </w:r>
            <w:r>
              <w:rPr>
                <w:noProof/>
                <w:webHidden/>
              </w:rPr>
              <w:fldChar w:fldCharType="separate"/>
            </w:r>
            <w:r>
              <w:rPr>
                <w:noProof/>
                <w:webHidden/>
              </w:rPr>
              <w:t>22</w:t>
            </w:r>
            <w:r>
              <w:rPr>
                <w:noProof/>
                <w:webHidden/>
              </w:rPr>
              <w:fldChar w:fldCharType="end"/>
            </w:r>
          </w:hyperlink>
        </w:p>
        <w:p w14:paraId="03DED0D2" w14:textId="08099F2D" w:rsidR="006E676F" w:rsidRDefault="006E676F">
          <w:r w:rsidRPr="00E613B9">
            <w:rPr>
              <w:rFonts w:ascii="Arial" w:hAnsi="Arial" w:cs="Arial"/>
              <w:b/>
              <w:bCs/>
              <w:noProof/>
              <w:szCs w:val="24"/>
            </w:rPr>
            <w:fldChar w:fldCharType="end"/>
          </w:r>
        </w:p>
      </w:sdtContent>
    </w:sdt>
    <w:p w14:paraId="15FDCB21" w14:textId="77777777" w:rsidR="002331BC" w:rsidRPr="00303DE7" w:rsidRDefault="00357E57" w:rsidP="00303DE7">
      <w:pPr>
        <w:spacing w:after="0" w:line="360" w:lineRule="auto"/>
        <w:rPr>
          <w:rFonts w:ascii="Arial" w:hAnsi="Arial" w:cs="Arial"/>
          <w:szCs w:val="24"/>
          <w:lang w:val="en-US"/>
        </w:rPr>
      </w:pPr>
      <w:r w:rsidRPr="00303DE7">
        <w:rPr>
          <w:rFonts w:ascii="Arial" w:hAnsi="Arial" w:cs="Arial"/>
          <w:szCs w:val="24"/>
          <w:lang w:val="en-US"/>
        </w:rPr>
        <w:br w:type="page"/>
      </w:r>
    </w:p>
    <w:p w14:paraId="4466655D" w14:textId="77777777" w:rsidR="002331BC" w:rsidRPr="00303DE7" w:rsidRDefault="00357E57" w:rsidP="00303DE7">
      <w:pPr>
        <w:pStyle w:val="Heading1"/>
        <w:spacing w:after="0" w:line="360" w:lineRule="auto"/>
        <w:rPr>
          <w:rFonts w:ascii="Arial" w:hAnsi="Arial" w:cs="Arial"/>
          <w:szCs w:val="24"/>
          <w:lang w:val="en-US"/>
        </w:rPr>
      </w:pPr>
      <w:bookmarkStart w:id="1" w:name="_Toc224377102"/>
      <w:r w:rsidRPr="00303DE7">
        <w:rPr>
          <w:rFonts w:ascii="Arial" w:hAnsi="Arial" w:cs="Arial"/>
          <w:szCs w:val="24"/>
          <w:lang w:val="en-US"/>
        </w:rPr>
        <w:lastRenderedPageBreak/>
        <w:t>Introduction</w:t>
      </w:r>
      <w:bookmarkEnd w:id="1"/>
    </w:p>
    <w:p w14:paraId="274B795A" w14:textId="77777777" w:rsidR="008724BE" w:rsidRPr="00303DE7" w:rsidRDefault="00357E57" w:rsidP="00303DE7">
      <w:pPr>
        <w:spacing w:after="0" w:line="360" w:lineRule="auto"/>
        <w:rPr>
          <w:rFonts w:ascii="Arial" w:hAnsi="Arial" w:cs="Arial"/>
          <w:szCs w:val="24"/>
        </w:rPr>
      </w:pPr>
      <w:r w:rsidRPr="00303DE7">
        <w:rPr>
          <w:rFonts w:ascii="Arial" w:hAnsi="Arial" w:cs="Arial"/>
          <w:szCs w:val="24"/>
        </w:rPr>
        <w:t>Hilton London is a branch of Hilton Worldwide Holdings Inc., which is one of the largest international hospitality companies with over 7,500 properties in more than 125 countries and territories, with a guest room capacity of about 1.2</w:t>
      </w:r>
      <w:r w:rsidR="000202B7" w:rsidRPr="00303DE7">
        <w:rPr>
          <w:rFonts w:ascii="Arial" w:hAnsi="Arial" w:cs="Arial"/>
          <w:szCs w:val="24"/>
        </w:rPr>
        <w:t xml:space="preserve"> million</w:t>
      </w:r>
      <w:r w:rsidRPr="00303DE7">
        <w:rPr>
          <w:rFonts w:ascii="Arial" w:hAnsi="Arial" w:cs="Arial"/>
          <w:szCs w:val="24"/>
        </w:rPr>
        <w:t xml:space="preserve"> rooms worldwide (Derowitsch et al., 2025). Hilton operates a substantial collection of brands, including luxury brands like Waldorf Astoria and Conrad, full-service Hilton Hotels and Resorts in London alone, which represents a high-end but widely relevant positioning. Its core activities include accommodation, food and beverages, meetings and events, loyalty programmes (Hilton Honours), and a growing digitalisation of guest services and services on mobile apps and smart-room technology. Strategically, Hilton has focused on high-quality customer experience, technology adoption, and sustainability leadership, which is in line with its Travel with Purpose environmental and social responsibility model (Harrison et al., 2022). </w:t>
      </w:r>
    </w:p>
    <w:p w14:paraId="157B4000" w14:textId="77777777" w:rsidR="000202B7" w:rsidRPr="00303DE7" w:rsidRDefault="00357E57" w:rsidP="00303DE7">
      <w:pPr>
        <w:spacing w:after="0" w:line="360" w:lineRule="auto"/>
        <w:rPr>
          <w:rFonts w:ascii="Arial" w:hAnsi="Arial" w:cs="Arial"/>
          <w:szCs w:val="24"/>
        </w:rPr>
      </w:pPr>
      <w:r w:rsidRPr="00303DE7">
        <w:rPr>
          <w:rFonts w:ascii="Arial" w:hAnsi="Arial" w:cs="Arial"/>
          <w:szCs w:val="24"/>
        </w:rPr>
        <w:t>The proposed StaySmart + programme represents a high-end customer experience platform, which provides a combination of AI-based guest interaction applications, customised travel planning, and environmentally conscious facilities. The intelligence functions include virtual concierge services, predictive service delivery according to the guest's preferences, and real-time multilingual communications. Examples of what is included in personali</w:t>
      </w:r>
      <w:r w:rsidR="00E613B9">
        <w:rPr>
          <w:rFonts w:ascii="Arial" w:hAnsi="Arial" w:cs="Arial"/>
          <w:szCs w:val="24"/>
        </w:rPr>
        <w:t>s</w:t>
      </w:r>
      <w:r w:rsidRPr="00303DE7">
        <w:rPr>
          <w:rFonts w:ascii="Arial" w:hAnsi="Arial" w:cs="Arial"/>
          <w:szCs w:val="24"/>
        </w:rPr>
        <w:t>ed travel planning are itinerary management, local suggestions, and smooth integration of movement and things to do. Sustainability attributes include energy-efficient room management, minimal single-use plastics, and the choice of low-carbon capabilities.</w:t>
      </w:r>
    </w:p>
    <w:p w14:paraId="3452EC5C" w14:textId="6A2B610D" w:rsidR="00F967B6" w:rsidRPr="00303DE7" w:rsidRDefault="00357E57" w:rsidP="00303DE7">
      <w:pPr>
        <w:spacing w:after="0" w:line="360" w:lineRule="auto"/>
        <w:rPr>
          <w:rFonts w:ascii="Arial" w:hAnsi="Arial" w:cs="Arial"/>
          <w:szCs w:val="24"/>
        </w:rPr>
      </w:pPr>
      <w:r w:rsidRPr="00303DE7">
        <w:rPr>
          <w:rFonts w:ascii="Arial" w:hAnsi="Arial" w:cs="Arial"/>
          <w:szCs w:val="24"/>
        </w:rPr>
        <w:t xml:space="preserve">The stakeholder involvement here is always complicated because the processes of hospitality take place on a global scale. Services and cultural distinctions govern the expectations of services and acceptance of technology, and regulatory demands related to data protection, labour standards, and environmental regulations differ </w:t>
      </w:r>
      <w:r w:rsidR="00796B0E" w:rsidRPr="00303DE7">
        <w:rPr>
          <w:rFonts w:ascii="Arial" w:hAnsi="Arial" w:cs="Arial"/>
          <w:szCs w:val="24"/>
        </w:rPr>
        <w:t>across</w:t>
      </w:r>
      <w:r w:rsidRPr="00303DE7">
        <w:rPr>
          <w:rFonts w:ascii="Arial" w:hAnsi="Arial" w:cs="Arial"/>
          <w:szCs w:val="24"/>
        </w:rPr>
        <w:t xml:space="preserve"> </w:t>
      </w:r>
      <w:r w:rsidR="002C5FA5" w:rsidRPr="00303DE7">
        <w:rPr>
          <w:rFonts w:ascii="Arial" w:hAnsi="Arial" w:cs="Arial"/>
          <w:szCs w:val="24"/>
        </w:rPr>
        <w:t>districts</w:t>
      </w:r>
      <w:r w:rsidRPr="00303DE7">
        <w:rPr>
          <w:rFonts w:ascii="Arial" w:hAnsi="Arial" w:cs="Arial"/>
          <w:szCs w:val="24"/>
        </w:rPr>
        <w:t xml:space="preserve"> (Ashcroft, 2017). Furthermore, the effective implementation should rely on the alignment between the corporate leadership, hotel staff, technology partners, guests, and local authorities, and the systematic management of the stakeholders is a significant factor influencing the project's success. </w:t>
      </w:r>
    </w:p>
    <w:p w14:paraId="6C424D47" w14:textId="77777777" w:rsidR="00813C7B" w:rsidRPr="00303DE7" w:rsidRDefault="00813C7B" w:rsidP="00303DE7">
      <w:pPr>
        <w:spacing w:after="0" w:line="360" w:lineRule="auto"/>
        <w:rPr>
          <w:rFonts w:ascii="Arial" w:hAnsi="Arial" w:cs="Arial"/>
          <w:szCs w:val="24"/>
        </w:rPr>
      </w:pPr>
    </w:p>
    <w:p w14:paraId="469B7E0D" w14:textId="77777777" w:rsidR="00813C7B" w:rsidRPr="00303DE7" w:rsidRDefault="00357E57" w:rsidP="00303DE7">
      <w:pPr>
        <w:pStyle w:val="Heading1"/>
        <w:spacing w:after="0" w:line="360" w:lineRule="auto"/>
        <w:rPr>
          <w:rFonts w:ascii="Arial" w:hAnsi="Arial" w:cs="Arial"/>
          <w:szCs w:val="24"/>
        </w:rPr>
      </w:pPr>
      <w:bookmarkStart w:id="2" w:name="_Toc224377103"/>
      <w:r w:rsidRPr="00303DE7">
        <w:rPr>
          <w:rFonts w:ascii="Arial" w:hAnsi="Arial" w:cs="Arial"/>
          <w:szCs w:val="24"/>
        </w:rPr>
        <w:lastRenderedPageBreak/>
        <w:t>Situational Analysis: SWOT, PESTLE &amp; SMART Objectives</w:t>
      </w:r>
      <w:bookmarkEnd w:id="2"/>
    </w:p>
    <w:p w14:paraId="563F89DE" w14:textId="77777777" w:rsidR="00EA38D8" w:rsidRPr="00303DE7" w:rsidRDefault="00357E57" w:rsidP="00303DE7">
      <w:pPr>
        <w:pStyle w:val="Heading2"/>
        <w:spacing w:after="0" w:line="360" w:lineRule="auto"/>
        <w:rPr>
          <w:rFonts w:ascii="Arial" w:hAnsi="Arial" w:cs="Arial"/>
          <w:szCs w:val="24"/>
        </w:rPr>
      </w:pPr>
      <w:bookmarkStart w:id="3" w:name="_Toc224377104"/>
      <w:r w:rsidRPr="00303DE7">
        <w:rPr>
          <w:rFonts w:ascii="Arial" w:hAnsi="Arial" w:cs="Arial"/>
          <w:szCs w:val="24"/>
        </w:rPr>
        <w:t>SWOT Analysis</w:t>
      </w:r>
      <w:bookmarkEnd w:id="3"/>
    </w:p>
    <w:tbl>
      <w:tblPr>
        <w:tblStyle w:val="TableGrid"/>
        <w:tblW w:w="0" w:type="auto"/>
        <w:tblLook w:val="04A0" w:firstRow="1" w:lastRow="0" w:firstColumn="1" w:lastColumn="0" w:noHBand="0" w:noVBand="1"/>
      </w:tblPr>
      <w:tblGrid>
        <w:gridCol w:w="2357"/>
        <w:gridCol w:w="2243"/>
        <w:gridCol w:w="2438"/>
        <w:gridCol w:w="2312"/>
      </w:tblGrid>
      <w:tr w:rsidR="008750CE" w:rsidRPr="00303DE7" w14:paraId="4562132C" w14:textId="77777777" w:rsidTr="006C0B85">
        <w:tc>
          <w:tcPr>
            <w:tcW w:w="0" w:type="auto"/>
            <w:hideMark/>
          </w:tcPr>
          <w:p w14:paraId="5E98FEFC" w14:textId="77777777" w:rsidR="006C0B85" w:rsidRPr="00303DE7" w:rsidRDefault="00357E57" w:rsidP="00303DE7">
            <w:pPr>
              <w:spacing w:line="360" w:lineRule="auto"/>
              <w:jc w:val="center"/>
              <w:rPr>
                <w:rFonts w:ascii="Arial" w:hAnsi="Arial" w:cs="Arial"/>
                <w:b/>
                <w:szCs w:val="24"/>
              </w:rPr>
            </w:pPr>
            <w:r w:rsidRPr="00303DE7">
              <w:rPr>
                <w:rFonts w:ascii="Arial" w:hAnsi="Arial" w:cs="Arial"/>
                <w:b/>
                <w:szCs w:val="24"/>
              </w:rPr>
              <w:t>Strengths</w:t>
            </w:r>
          </w:p>
        </w:tc>
        <w:tc>
          <w:tcPr>
            <w:tcW w:w="0" w:type="auto"/>
            <w:hideMark/>
          </w:tcPr>
          <w:p w14:paraId="2E7AF49F" w14:textId="77777777" w:rsidR="006C0B85" w:rsidRPr="00303DE7" w:rsidRDefault="00357E57" w:rsidP="00303DE7">
            <w:pPr>
              <w:spacing w:line="360" w:lineRule="auto"/>
              <w:jc w:val="center"/>
              <w:rPr>
                <w:rFonts w:ascii="Arial" w:hAnsi="Arial" w:cs="Arial"/>
                <w:b/>
                <w:szCs w:val="24"/>
              </w:rPr>
            </w:pPr>
            <w:r w:rsidRPr="00303DE7">
              <w:rPr>
                <w:rFonts w:ascii="Arial" w:hAnsi="Arial" w:cs="Arial"/>
                <w:b/>
                <w:szCs w:val="24"/>
              </w:rPr>
              <w:t>Weaknesses</w:t>
            </w:r>
          </w:p>
        </w:tc>
        <w:tc>
          <w:tcPr>
            <w:tcW w:w="0" w:type="auto"/>
            <w:hideMark/>
          </w:tcPr>
          <w:p w14:paraId="3E0740E4" w14:textId="77777777" w:rsidR="006C0B85" w:rsidRPr="00303DE7" w:rsidRDefault="00357E57" w:rsidP="00303DE7">
            <w:pPr>
              <w:spacing w:line="360" w:lineRule="auto"/>
              <w:jc w:val="center"/>
              <w:rPr>
                <w:rFonts w:ascii="Arial" w:hAnsi="Arial" w:cs="Arial"/>
                <w:b/>
                <w:szCs w:val="24"/>
              </w:rPr>
            </w:pPr>
            <w:r w:rsidRPr="00303DE7">
              <w:rPr>
                <w:rFonts w:ascii="Arial" w:hAnsi="Arial" w:cs="Arial"/>
                <w:b/>
                <w:szCs w:val="24"/>
              </w:rPr>
              <w:t>Opportunities</w:t>
            </w:r>
          </w:p>
        </w:tc>
        <w:tc>
          <w:tcPr>
            <w:tcW w:w="0" w:type="auto"/>
            <w:hideMark/>
          </w:tcPr>
          <w:p w14:paraId="37514F75" w14:textId="77777777" w:rsidR="006C0B85" w:rsidRPr="00303DE7" w:rsidRDefault="00357E57" w:rsidP="00303DE7">
            <w:pPr>
              <w:spacing w:line="360" w:lineRule="auto"/>
              <w:jc w:val="center"/>
              <w:rPr>
                <w:rFonts w:ascii="Arial" w:hAnsi="Arial" w:cs="Arial"/>
                <w:b/>
                <w:szCs w:val="24"/>
              </w:rPr>
            </w:pPr>
            <w:r w:rsidRPr="00303DE7">
              <w:rPr>
                <w:rFonts w:ascii="Arial" w:hAnsi="Arial" w:cs="Arial"/>
                <w:b/>
                <w:szCs w:val="24"/>
              </w:rPr>
              <w:t>Threats</w:t>
            </w:r>
          </w:p>
        </w:tc>
      </w:tr>
      <w:tr w:rsidR="008750CE" w:rsidRPr="00303DE7" w14:paraId="4710C330" w14:textId="77777777" w:rsidTr="006C0B85">
        <w:tc>
          <w:tcPr>
            <w:tcW w:w="0" w:type="auto"/>
            <w:hideMark/>
          </w:tcPr>
          <w:p w14:paraId="5E864664"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Strong global brand reputation and loyalty base through Hilton Honors</w:t>
            </w:r>
          </w:p>
        </w:tc>
        <w:tc>
          <w:tcPr>
            <w:tcW w:w="0" w:type="auto"/>
            <w:hideMark/>
          </w:tcPr>
          <w:p w14:paraId="60474823"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High upfront investment in AI systems, staff training, and infrastructure</w:t>
            </w:r>
          </w:p>
        </w:tc>
        <w:tc>
          <w:tcPr>
            <w:tcW w:w="0" w:type="auto"/>
            <w:hideMark/>
          </w:tcPr>
          <w:p w14:paraId="29A75071"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Growing demand for personalised and contactless hospitality experiences</w:t>
            </w:r>
          </w:p>
        </w:tc>
        <w:tc>
          <w:tcPr>
            <w:tcW w:w="0" w:type="auto"/>
            <w:hideMark/>
          </w:tcPr>
          <w:p w14:paraId="12C5BDD8"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Cybersecurity risks and data privacy concerns related to AI-driven services</w:t>
            </w:r>
          </w:p>
        </w:tc>
      </w:tr>
      <w:tr w:rsidR="008750CE" w:rsidRPr="00303DE7" w14:paraId="0F8F7EC1" w14:textId="77777777" w:rsidTr="006C0B85">
        <w:tc>
          <w:tcPr>
            <w:tcW w:w="0" w:type="auto"/>
            <w:hideMark/>
          </w:tcPr>
          <w:p w14:paraId="691CD95C"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Existing digital ecosystem (mobile app, digital key, CRM data) enables rapid integration</w:t>
            </w:r>
          </w:p>
        </w:tc>
        <w:tc>
          <w:tcPr>
            <w:tcW w:w="0" w:type="auto"/>
            <w:hideMark/>
          </w:tcPr>
          <w:p w14:paraId="12CB7EDC"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Operational complexity across diverse properties and legacy systems</w:t>
            </w:r>
          </w:p>
        </w:tc>
        <w:tc>
          <w:tcPr>
            <w:tcW w:w="0" w:type="auto"/>
            <w:hideMark/>
          </w:tcPr>
          <w:p w14:paraId="23CE68A2"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Ability to differentiate from competitors through premium tech-enabled service</w:t>
            </w:r>
          </w:p>
        </w:tc>
        <w:tc>
          <w:tcPr>
            <w:tcW w:w="0" w:type="auto"/>
            <w:hideMark/>
          </w:tcPr>
          <w:p w14:paraId="4090D6DC"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Resistance from staff or guests unfamiliar with advanced technology</w:t>
            </w:r>
          </w:p>
        </w:tc>
      </w:tr>
      <w:tr w:rsidR="008750CE" w:rsidRPr="00303DE7" w14:paraId="39B3ECC6" w14:textId="77777777" w:rsidTr="006C0B85">
        <w:tc>
          <w:tcPr>
            <w:tcW w:w="0" w:type="auto"/>
            <w:hideMark/>
          </w:tcPr>
          <w:p w14:paraId="0EFE7ADF"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Established sustainability programmes support eco-focused amenities</w:t>
            </w:r>
          </w:p>
        </w:tc>
        <w:tc>
          <w:tcPr>
            <w:tcW w:w="0" w:type="auto"/>
            <w:hideMark/>
          </w:tcPr>
          <w:p w14:paraId="53BC7ECC"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Potential service inconsistency during the rapid six-month rollout</w:t>
            </w:r>
          </w:p>
        </w:tc>
        <w:tc>
          <w:tcPr>
            <w:tcW w:w="0" w:type="auto"/>
            <w:hideMark/>
          </w:tcPr>
          <w:p w14:paraId="01594463"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Expansion into high-value tech-savvy customer segments</w:t>
            </w:r>
          </w:p>
        </w:tc>
        <w:tc>
          <w:tcPr>
            <w:tcW w:w="0" w:type="auto"/>
            <w:hideMark/>
          </w:tcPr>
          <w:p w14:paraId="58A12922"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Intense competition from Marriott, Accor, and independent luxury hotels</w:t>
            </w:r>
          </w:p>
        </w:tc>
      </w:tr>
      <w:tr w:rsidR="008750CE" w:rsidRPr="00303DE7" w14:paraId="785F05BF" w14:textId="77777777" w:rsidTr="006C0B85">
        <w:tc>
          <w:tcPr>
            <w:tcW w:w="0" w:type="auto"/>
            <w:hideMark/>
          </w:tcPr>
          <w:p w14:paraId="468F2AB1"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Global procurement and partnerships capability</w:t>
            </w:r>
          </w:p>
        </w:tc>
        <w:tc>
          <w:tcPr>
            <w:tcW w:w="0" w:type="auto"/>
            <w:hideMark/>
          </w:tcPr>
          <w:p w14:paraId="7D659C11"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Dependence on third-party technology vendors</w:t>
            </w:r>
          </w:p>
        </w:tc>
        <w:tc>
          <w:tcPr>
            <w:tcW w:w="0" w:type="auto"/>
            <w:hideMark/>
          </w:tcPr>
          <w:p w14:paraId="3E213B3A"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Opportunities for cost savings via energy efficiency</w:t>
            </w:r>
          </w:p>
        </w:tc>
        <w:tc>
          <w:tcPr>
            <w:tcW w:w="0" w:type="auto"/>
            <w:hideMark/>
          </w:tcPr>
          <w:p w14:paraId="1BE9EE13" w14:textId="77777777" w:rsidR="006C0B85" w:rsidRPr="00303DE7" w:rsidRDefault="00357E57" w:rsidP="00303DE7">
            <w:pPr>
              <w:spacing w:line="360" w:lineRule="auto"/>
              <w:rPr>
                <w:rFonts w:ascii="Arial" w:hAnsi="Arial" w:cs="Arial"/>
                <w:szCs w:val="24"/>
              </w:rPr>
            </w:pPr>
            <w:r w:rsidRPr="00303DE7">
              <w:rPr>
                <w:rFonts w:ascii="Arial" w:hAnsi="Arial" w:cs="Arial"/>
                <w:szCs w:val="24"/>
              </w:rPr>
              <w:t>Regulatory constraints across different countries</w:t>
            </w:r>
          </w:p>
        </w:tc>
      </w:tr>
    </w:tbl>
    <w:p w14:paraId="706C6F16" w14:textId="77777777" w:rsidR="001664A7" w:rsidRPr="00303DE7" w:rsidRDefault="001664A7" w:rsidP="00303DE7">
      <w:pPr>
        <w:spacing w:after="0" w:line="360" w:lineRule="auto"/>
        <w:rPr>
          <w:rFonts w:ascii="Arial" w:hAnsi="Arial" w:cs="Arial"/>
          <w:szCs w:val="24"/>
        </w:rPr>
      </w:pPr>
    </w:p>
    <w:p w14:paraId="0AEEA531" w14:textId="77777777" w:rsidR="009F67F9" w:rsidRPr="00303DE7" w:rsidRDefault="00357E57" w:rsidP="00303DE7">
      <w:pPr>
        <w:pStyle w:val="Heading2"/>
        <w:spacing w:after="0" w:line="360" w:lineRule="auto"/>
        <w:rPr>
          <w:rFonts w:ascii="Arial" w:hAnsi="Arial" w:cs="Arial"/>
          <w:szCs w:val="24"/>
        </w:rPr>
      </w:pPr>
      <w:bookmarkStart w:id="4" w:name="_Toc224377105"/>
      <w:r w:rsidRPr="00303DE7">
        <w:rPr>
          <w:rFonts w:ascii="Arial" w:hAnsi="Arial" w:cs="Arial"/>
          <w:szCs w:val="24"/>
        </w:rPr>
        <w:t>PESTLE Analysis</w:t>
      </w:r>
      <w:bookmarkEnd w:id="4"/>
    </w:p>
    <w:tbl>
      <w:tblPr>
        <w:tblStyle w:val="TableGrid"/>
        <w:tblW w:w="0" w:type="auto"/>
        <w:tblLook w:val="04A0" w:firstRow="1" w:lastRow="0" w:firstColumn="1" w:lastColumn="0" w:noHBand="0" w:noVBand="1"/>
      </w:tblPr>
      <w:tblGrid>
        <w:gridCol w:w="1751"/>
        <w:gridCol w:w="7599"/>
      </w:tblGrid>
      <w:tr w:rsidR="008750CE" w:rsidRPr="00303DE7" w14:paraId="7D8AE1B0" w14:textId="77777777" w:rsidTr="00610EFE">
        <w:tc>
          <w:tcPr>
            <w:tcW w:w="0" w:type="auto"/>
            <w:hideMark/>
          </w:tcPr>
          <w:p w14:paraId="00440892" w14:textId="77777777" w:rsidR="00610EFE" w:rsidRPr="00303DE7" w:rsidRDefault="00357E57" w:rsidP="00303DE7">
            <w:pPr>
              <w:spacing w:line="360" w:lineRule="auto"/>
              <w:jc w:val="center"/>
              <w:rPr>
                <w:rFonts w:ascii="Arial" w:hAnsi="Arial" w:cs="Arial"/>
                <w:b/>
                <w:szCs w:val="24"/>
              </w:rPr>
            </w:pPr>
            <w:r w:rsidRPr="00303DE7">
              <w:rPr>
                <w:rFonts w:ascii="Arial" w:hAnsi="Arial" w:cs="Arial"/>
                <w:b/>
                <w:szCs w:val="24"/>
              </w:rPr>
              <w:t>Factor</w:t>
            </w:r>
          </w:p>
        </w:tc>
        <w:tc>
          <w:tcPr>
            <w:tcW w:w="0" w:type="auto"/>
            <w:hideMark/>
          </w:tcPr>
          <w:p w14:paraId="4D096C41" w14:textId="77777777" w:rsidR="00610EFE" w:rsidRPr="00303DE7" w:rsidRDefault="00357E57" w:rsidP="00303DE7">
            <w:pPr>
              <w:spacing w:line="360" w:lineRule="auto"/>
              <w:jc w:val="center"/>
              <w:rPr>
                <w:rFonts w:ascii="Arial" w:hAnsi="Arial" w:cs="Arial"/>
                <w:b/>
                <w:szCs w:val="24"/>
              </w:rPr>
            </w:pPr>
            <w:r w:rsidRPr="00303DE7">
              <w:rPr>
                <w:rFonts w:ascii="Arial" w:hAnsi="Arial" w:cs="Arial"/>
                <w:b/>
                <w:szCs w:val="24"/>
              </w:rPr>
              <w:t>Key Issues for StaySmart+ Global Rollout</w:t>
            </w:r>
          </w:p>
        </w:tc>
      </w:tr>
      <w:tr w:rsidR="008750CE" w:rsidRPr="00303DE7" w14:paraId="1F24EE67" w14:textId="77777777" w:rsidTr="00610EFE">
        <w:tc>
          <w:tcPr>
            <w:tcW w:w="0" w:type="auto"/>
            <w:hideMark/>
          </w:tcPr>
          <w:p w14:paraId="540110A0" w14:textId="77777777" w:rsidR="00610EFE" w:rsidRPr="00303DE7" w:rsidRDefault="00357E57" w:rsidP="00303DE7">
            <w:pPr>
              <w:spacing w:line="360" w:lineRule="auto"/>
              <w:rPr>
                <w:rFonts w:ascii="Arial" w:hAnsi="Arial" w:cs="Arial"/>
                <w:szCs w:val="24"/>
              </w:rPr>
            </w:pPr>
            <w:r w:rsidRPr="00303DE7">
              <w:rPr>
                <w:rFonts w:ascii="Arial" w:hAnsi="Arial" w:cs="Arial"/>
                <w:szCs w:val="24"/>
              </w:rPr>
              <w:t>Political/Legal</w:t>
            </w:r>
          </w:p>
        </w:tc>
        <w:tc>
          <w:tcPr>
            <w:tcW w:w="0" w:type="auto"/>
            <w:hideMark/>
          </w:tcPr>
          <w:p w14:paraId="47E7B559" w14:textId="2A736745" w:rsidR="00610EFE" w:rsidRPr="00303DE7" w:rsidRDefault="00357E57" w:rsidP="00303DE7">
            <w:pPr>
              <w:spacing w:line="360" w:lineRule="auto"/>
              <w:rPr>
                <w:rFonts w:ascii="Arial" w:hAnsi="Arial" w:cs="Arial"/>
                <w:szCs w:val="24"/>
              </w:rPr>
            </w:pPr>
            <w:r w:rsidRPr="00303DE7">
              <w:rPr>
                <w:rFonts w:ascii="Arial" w:hAnsi="Arial" w:cs="Arial"/>
                <w:szCs w:val="24"/>
              </w:rPr>
              <w:t xml:space="preserve">Guest information </w:t>
            </w:r>
            <w:r w:rsidR="002C5FA5" w:rsidRPr="00303DE7">
              <w:rPr>
                <w:rFonts w:ascii="Arial" w:hAnsi="Arial" w:cs="Arial"/>
                <w:szCs w:val="24"/>
              </w:rPr>
              <w:t>must</w:t>
            </w:r>
            <w:r w:rsidRPr="00303DE7">
              <w:rPr>
                <w:rFonts w:ascii="Arial" w:hAnsi="Arial" w:cs="Arial"/>
                <w:szCs w:val="24"/>
              </w:rPr>
              <w:t xml:space="preserve"> comply with legal regulations on data protection, including the EU General Data Protection Regulation (GDPR), alongside the local rules on AI control (Bharti and Aryal, 2023).</w:t>
            </w:r>
          </w:p>
        </w:tc>
      </w:tr>
      <w:tr w:rsidR="008750CE" w:rsidRPr="00303DE7" w14:paraId="2B8CB9F5" w14:textId="77777777" w:rsidTr="00610EFE">
        <w:tc>
          <w:tcPr>
            <w:tcW w:w="0" w:type="auto"/>
            <w:hideMark/>
          </w:tcPr>
          <w:p w14:paraId="66DA9B70" w14:textId="77777777" w:rsidR="00610EFE" w:rsidRPr="00303DE7" w:rsidRDefault="00357E57" w:rsidP="00303DE7">
            <w:pPr>
              <w:spacing w:line="360" w:lineRule="auto"/>
              <w:rPr>
                <w:rFonts w:ascii="Arial" w:hAnsi="Arial" w:cs="Arial"/>
                <w:szCs w:val="24"/>
              </w:rPr>
            </w:pPr>
            <w:r w:rsidRPr="00303DE7">
              <w:rPr>
                <w:rFonts w:ascii="Arial" w:hAnsi="Arial" w:cs="Arial"/>
                <w:szCs w:val="24"/>
              </w:rPr>
              <w:t>Economic</w:t>
            </w:r>
          </w:p>
        </w:tc>
        <w:tc>
          <w:tcPr>
            <w:tcW w:w="0" w:type="auto"/>
            <w:hideMark/>
          </w:tcPr>
          <w:p w14:paraId="6B8A1677" w14:textId="77777777" w:rsidR="00610EFE" w:rsidRPr="00303DE7" w:rsidRDefault="00357E57" w:rsidP="00303DE7">
            <w:pPr>
              <w:spacing w:line="360" w:lineRule="auto"/>
              <w:rPr>
                <w:rFonts w:ascii="Arial" w:hAnsi="Arial" w:cs="Arial"/>
                <w:szCs w:val="24"/>
                <w:highlight w:val="yellow"/>
              </w:rPr>
            </w:pPr>
            <w:r w:rsidRPr="00303DE7">
              <w:rPr>
                <w:rFonts w:ascii="Arial" w:hAnsi="Arial" w:cs="Arial"/>
                <w:szCs w:val="24"/>
              </w:rPr>
              <w:t>International travel recovery is lower than it was in 2024 global tourism, sharing a growth rate of about 8</w:t>
            </w:r>
            <w:r w:rsidR="004E1D15" w:rsidRPr="00303DE7">
              <w:rPr>
                <w:rFonts w:ascii="Arial" w:hAnsi="Arial" w:cs="Arial"/>
                <w:szCs w:val="24"/>
              </w:rPr>
              <w:t>8%</w:t>
            </w:r>
            <w:r w:rsidRPr="00303DE7">
              <w:rPr>
                <w:rFonts w:ascii="Arial" w:hAnsi="Arial" w:cs="Arial"/>
                <w:szCs w:val="24"/>
              </w:rPr>
              <w:t xml:space="preserve"> of the output compared </w:t>
            </w:r>
            <w:r w:rsidRPr="00303DE7">
              <w:rPr>
                <w:rFonts w:ascii="Arial" w:hAnsi="Arial" w:cs="Arial"/>
                <w:szCs w:val="24"/>
              </w:rPr>
              <w:lastRenderedPageBreak/>
              <w:t>to the state before the pandemic, and travel-spending patterns are affected by inflation (UNWTO Tourism, 2025).</w:t>
            </w:r>
          </w:p>
        </w:tc>
      </w:tr>
      <w:tr w:rsidR="008750CE" w:rsidRPr="00303DE7" w14:paraId="3A84F9B8" w14:textId="77777777" w:rsidTr="00610EFE">
        <w:tc>
          <w:tcPr>
            <w:tcW w:w="0" w:type="auto"/>
            <w:hideMark/>
          </w:tcPr>
          <w:p w14:paraId="50C6C70B" w14:textId="77777777" w:rsidR="00610EFE" w:rsidRPr="00303DE7" w:rsidRDefault="00357E57" w:rsidP="00303DE7">
            <w:pPr>
              <w:spacing w:line="360" w:lineRule="auto"/>
              <w:rPr>
                <w:rFonts w:ascii="Arial" w:hAnsi="Arial" w:cs="Arial"/>
                <w:szCs w:val="24"/>
              </w:rPr>
            </w:pPr>
            <w:r w:rsidRPr="00303DE7">
              <w:rPr>
                <w:rFonts w:ascii="Arial" w:hAnsi="Arial" w:cs="Arial"/>
                <w:szCs w:val="24"/>
              </w:rPr>
              <w:lastRenderedPageBreak/>
              <w:t>Social</w:t>
            </w:r>
          </w:p>
        </w:tc>
        <w:tc>
          <w:tcPr>
            <w:tcW w:w="0" w:type="auto"/>
            <w:hideMark/>
          </w:tcPr>
          <w:p w14:paraId="74CEBF12" w14:textId="77777777" w:rsidR="00CB2B7A" w:rsidRPr="00303DE7" w:rsidRDefault="00357E57" w:rsidP="00303DE7">
            <w:pPr>
              <w:spacing w:line="360" w:lineRule="auto"/>
              <w:rPr>
                <w:rFonts w:ascii="Arial" w:hAnsi="Arial" w:cs="Arial"/>
                <w:szCs w:val="24"/>
                <w:highlight w:val="yellow"/>
              </w:rPr>
            </w:pPr>
            <w:r w:rsidRPr="00303DE7">
              <w:rPr>
                <w:rFonts w:ascii="Arial" w:hAnsi="Arial" w:cs="Arial"/>
                <w:szCs w:val="24"/>
              </w:rPr>
              <w:t xml:space="preserve">During and after COVID-19, guests demand deeply personalised, seamless, hygienic experiences, and demand contactless services and digital interaction is thriving (Das, 2023). Service preferences and technology acceptance are under the impact of cultural differences. </w:t>
            </w:r>
          </w:p>
        </w:tc>
      </w:tr>
      <w:tr w:rsidR="008750CE" w:rsidRPr="00303DE7" w14:paraId="6426565D" w14:textId="77777777" w:rsidTr="00610EFE">
        <w:tc>
          <w:tcPr>
            <w:tcW w:w="0" w:type="auto"/>
            <w:hideMark/>
          </w:tcPr>
          <w:p w14:paraId="1A6CDC24" w14:textId="77777777" w:rsidR="00610EFE" w:rsidRPr="00303DE7" w:rsidRDefault="00357E57" w:rsidP="00303DE7">
            <w:pPr>
              <w:spacing w:line="360" w:lineRule="auto"/>
              <w:rPr>
                <w:rFonts w:ascii="Arial" w:hAnsi="Arial" w:cs="Arial"/>
                <w:szCs w:val="24"/>
              </w:rPr>
            </w:pPr>
            <w:r w:rsidRPr="00303DE7">
              <w:rPr>
                <w:rFonts w:ascii="Arial" w:hAnsi="Arial" w:cs="Arial"/>
                <w:szCs w:val="24"/>
              </w:rPr>
              <w:t>Technological</w:t>
            </w:r>
          </w:p>
        </w:tc>
        <w:tc>
          <w:tcPr>
            <w:tcW w:w="0" w:type="auto"/>
            <w:hideMark/>
          </w:tcPr>
          <w:p w14:paraId="5D4611D1" w14:textId="77777777" w:rsidR="0005354E" w:rsidRPr="00303DE7" w:rsidRDefault="00357E57" w:rsidP="00303DE7">
            <w:pPr>
              <w:spacing w:line="360" w:lineRule="auto"/>
              <w:rPr>
                <w:rFonts w:ascii="Arial" w:hAnsi="Arial" w:cs="Arial"/>
                <w:szCs w:val="24"/>
                <w:highlight w:val="yellow"/>
              </w:rPr>
            </w:pPr>
            <w:r w:rsidRPr="00303DE7">
              <w:rPr>
                <w:rFonts w:ascii="Arial" w:hAnsi="Arial" w:cs="Arial"/>
                <w:szCs w:val="24"/>
              </w:rPr>
              <w:t>The rapid evolution of AI, the Internet of Things (IoT), and mobile platforms makes it possible to have intelligent hospitality solutions, yet they need robust cybersecurity and ongoing upgrades to be efficient (Chung and Tan, 2025).</w:t>
            </w:r>
          </w:p>
        </w:tc>
      </w:tr>
      <w:tr w:rsidR="008750CE" w:rsidRPr="00303DE7" w14:paraId="304810F1" w14:textId="77777777" w:rsidTr="00610EFE">
        <w:tc>
          <w:tcPr>
            <w:tcW w:w="0" w:type="auto"/>
            <w:hideMark/>
          </w:tcPr>
          <w:p w14:paraId="2DCC2D04" w14:textId="77777777" w:rsidR="00610EFE" w:rsidRPr="00303DE7" w:rsidRDefault="00357E57" w:rsidP="00303DE7">
            <w:pPr>
              <w:spacing w:line="360" w:lineRule="auto"/>
              <w:rPr>
                <w:rFonts w:ascii="Arial" w:hAnsi="Arial" w:cs="Arial"/>
                <w:szCs w:val="24"/>
              </w:rPr>
            </w:pPr>
            <w:r w:rsidRPr="00303DE7">
              <w:rPr>
                <w:rFonts w:ascii="Arial" w:hAnsi="Arial" w:cs="Arial"/>
                <w:szCs w:val="24"/>
              </w:rPr>
              <w:t>Environmental</w:t>
            </w:r>
          </w:p>
        </w:tc>
        <w:tc>
          <w:tcPr>
            <w:tcW w:w="0" w:type="auto"/>
            <w:hideMark/>
          </w:tcPr>
          <w:p w14:paraId="0CE7B644" w14:textId="77777777" w:rsidR="00610EFE" w:rsidRPr="00303DE7" w:rsidRDefault="00357E57" w:rsidP="00303DE7">
            <w:pPr>
              <w:spacing w:line="360" w:lineRule="auto"/>
              <w:rPr>
                <w:rFonts w:ascii="Arial" w:hAnsi="Arial" w:cs="Arial"/>
                <w:szCs w:val="24"/>
                <w:highlight w:val="yellow"/>
              </w:rPr>
            </w:pPr>
            <w:r w:rsidRPr="00303DE7">
              <w:rPr>
                <w:rFonts w:ascii="Arial" w:hAnsi="Arial" w:cs="Arial"/>
                <w:szCs w:val="24"/>
              </w:rPr>
              <w:t>Hospitality also has its share of carbon emissions, and there is pressure to operate sustainably, as many travellers would love to be served by environmentally conscious accommodation providers (Legrand et al., 2022).</w:t>
            </w:r>
          </w:p>
        </w:tc>
      </w:tr>
    </w:tbl>
    <w:p w14:paraId="57BEB6E8" w14:textId="77777777" w:rsidR="000A7041" w:rsidRPr="00303DE7" w:rsidRDefault="000A7041" w:rsidP="00303DE7">
      <w:pPr>
        <w:spacing w:after="0" w:line="360" w:lineRule="auto"/>
        <w:rPr>
          <w:rFonts w:ascii="Arial" w:hAnsi="Arial" w:cs="Arial"/>
          <w:szCs w:val="24"/>
        </w:rPr>
      </w:pPr>
    </w:p>
    <w:p w14:paraId="4A7BB574" w14:textId="77777777" w:rsidR="00DB1109" w:rsidRPr="00303DE7" w:rsidRDefault="00357E57" w:rsidP="00303DE7">
      <w:pPr>
        <w:pStyle w:val="Heading2"/>
        <w:spacing w:after="0" w:line="360" w:lineRule="auto"/>
        <w:rPr>
          <w:rFonts w:ascii="Arial" w:hAnsi="Arial" w:cs="Arial"/>
          <w:szCs w:val="24"/>
        </w:rPr>
      </w:pPr>
      <w:bookmarkStart w:id="5" w:name="_Toc224377106"/>
      <w:r w:rsidRPr="00303DE7">
        <w:rPr>
          <w:rFonts w:ascii="Arial" w:hAnsi="Arial" w:cs="Arial"/>
          <w:szCs w:val="24"/>
        </w:rPr>
        <w:t>SMART Objectives</w:t>
      </w:r>
      <w:bookmarkEnd w:id="5"/>
    </w:p>
    <w:tbl>
      <w:tblPr>
        <w:tblStyle w:val="TableGrid"/>
        <w:tblW w:w="0" w:type="auto"/>
        <w:tblLook w:val="04A0" w:firstRow="1" w:lastRow="0" w:firstColumn="1" w:lastColumn="0" w:noHBand="0" w:noVBand="1"/>
      </w:tblPr>
      <w:tblGrid>
        <w:gridCol w:w="1217"/>
        <w:gridCol w:w="8133"/>
      </w:tblGrid>
      <w:tr w:rsidR="008750CE" w:rsidRPr="00303DE7" w14:paraId="51953E29" w14:textId="77777777" w:rsidTr="003D2940">
        <w:tc>
          <w:tcPr>
            <w:tcW w:w="0" w:type="auto"/>
            <w:hideMark/>
          </w:tcPr>
          <w:p w14:paraId="06ECEE73" w14:textId="77777777" w:rsidR="003D2940" w:rsidRPr="00303DE7" w:rsidRDefault="00357E57" w:rsidP="00303DE7">
            <w:pPr>
              <w:spacing w:line="360" w:lineRule="auto"/>
              <w:jc w:val="center"/>
              <w:rPr>
                <w:rFonts w:ascii="Arial" w:hAnsi="Arial" w:cs="Arial"/>
                <w:b/>
                <w:szCs w:val="24"/>
              </w:rPr>
            </w:pPr>
            <w:r w:rsidRPr="00303DE7">
              <w:rPr>
                <w:rFonts w:ascii="Arial" w:hAnsi="Arial" w:cs="Arial"/>
                <w:b/>
                <w:szCs w:val="24"/>
              </w:rPr>
              <w:t>Criterion</w:t>
            </w:r>
          </w:p>
        </w:tc>
        <w:tc>
          <w:tcPr>
            <w:tcW w:w="0" w:type="auto"/>
            <w:hideMark/>
          </w:tcPr>
          <w:p w14:paraId="4A8453F2" w14:textId="77777777" w:rsidR="003D2940" w:rsidRPr="00303DE7" w:rsidRDefault="00357E57" w:rsidP="00303DE7">
            <w:pPr>
              <w:spacing w:line="360" w:lineRule="auto"/>
              <w:jc w:val="center"/>
              <w:rPr>
                <w:rFonts w:ascii="Arial" w:hAnsi="Arial" w:cs="Arial"/>
                <w:b/>
                <w:szCs w:val="24"/>
              </w:rPr>
            </w:pPr>
            <w:r w:rsidRPr="00303DE7">
              <w:rPr>
                <w:rFonts w:ascii="Arial" w:hAnsi="Arial" w:cs="Arial"/>
                <w:b/>
                <w:szCs w:val="24"/>
              </w:rPr>
              <w:t>Objective</w:t>
            </w:r>
          </w:p>
        </w:tc>
      </w:tr>
      <w:tr w:rsidR="008750CE" w:rsidRPr="00303DE7" w14:paraId="20A5C987" w14:textId="77777777" w:rsidTr="003D2940">
        <w:tc>
          <w:tcPr>
            <w:tcW w:w="0" w:type="auto"/>
            <w:hideMark/>
          </w:tcPr>
          <w:p w14:paraId="657E7D2A"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S</w:t>
            </w:r>
          </w:p>
        </w:tc>
        <w:tc>
          <w:tcPr>
            <w:tcW w:w="0" w:type="auto"/>
            <w:hideMark/>
          </w:tcPr>
          <w:p w14:paraId="40949F08"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Launch StaySmart+ across selected Hilton London properties and key international flagship hotels, delivering AI concierge, personalised planning, and sustainability features.</w:t>
            </w:r>
          </w:p>
        </w:tc>
      </w:tr>
      <w:tr w:rsidR="008750CE" w:rsidRPr="00303DE7" w14:paraId="20668181" w14:textId="77777777" w:rsidTr="003D2940">
        <w:tc>
          <w:tcPr>
            <w:tcW w:w="0" w:type="auto"/>
            <w:hideMark/>
          </w:tcPr>
          <w:p w14:paraId="13310ECC"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M</w:t>
            </w:r>
          </w:p>
        </w:tc>
        <w:tc>
          <w:tcPr>
            <w:tcW w:w="0" w:type="auto"/>
            <w:hideMark/>
          </w:tcPr>
          <w:p w14:paraId="5C1157EA"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Achieve at least 30% adoption among eligible guests and a 15% increase in customer satisfaction scores within 12 months of launch.</w:t>
            </w:r>
          </w:p>
        </w:tc>
      </w:tr>
      <w:tr w:rsidR="008750CE" w:rsidRPr="00303DE7" w14:paraId="4F503514" w14:textId="77777777" w:rsidTr="003D2940">
        <w:tc>
          <w:tcPr>
            <w:tcW w:w="0" w:type="auto"/>
            <w:hideMark/>
          </w:tcPr>
          <w:p w14:paraId="1782EF02"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A</w:t>
            </w:r>
          </w:p>
        </w:tc>
        <w:tc>
          <w:tcPr>
            <w:tcW w:w="0" w:type="auto"/>
            <w:hideMark/>
          </w:tcPr>
          <w:p w14:paraId="1517DB99" w14:textId="798FED69" w:rsidR="003D2940" w:rsidRPr="00303DE7" w:rsidRDefault="00796B0E" w:rsidP="00303DE7">
            <w:pPr>
              <w:spacing w:line="360" w:lineRule="auto"/>
              <w:rPr>
                <w:rFonts w:ascii="Arial" w:hAnsi="Arial" w:cs="Arial"/>
                <w:szCs w:val="24"/>
              </w:rPr>
            </w:pPr>
            <w:r w:rsidRPr="00303DE7">
              <w:rPr>
                <w:rFonts w:ascii="Arial" w:hAnsi="Arial" w:cs="Arial"/>
                <w:szCs w:val="24"/>
              </w:rPr>
              <w:t>Use</w:t>
            </w:r>
            <w:r w:rsidR="00357E57" w:rsidRPr="00303DE7">
              <w:rPr>
                <w:rFonts w:ascii="Arial" w:hAnsi="Arial" w:cs="Arial"/>
                <w:szCs w:val="24"/>
              </w:rPr>
              <w:t xml:space="preserve"> existing digital platforms, trained staff, and strategic technology partners to ensure feasibility within available resources.</w:t>
            </w:r>
          </w:p>
        </w:tc>
      </w:tr>
      <w:tr w:rsidR="008750CE" w:rsidRPr="00303DE7" w14:paraId="359FE17B" w14:textId="77777777" w:rsidTr="003D2940">
        <w:tc>
          <w:tcPr>
            <w:tcW w:w="0" w:type="auto"/>
            <w:hideMark/>
          </w:tcPr>
          <w:p w14:paraId="53111875"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R</w:t>
            </w:r>
          </w:p>
        </w:tc>
        <w:tc>
          <w:tcPr>
            <w:tcW w:w="0" w:type="auto"/>
            <w:hideMark/>
          </w:tcPr>
          <w:p w14:paraId="51E41253"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Supports Hilton’s premium positioning, digital transformation strategy, and sustainability commitments.</w:t>
            </w:r>
          </w:p>
        </w:tc>
      </w:tr>
      <w:tr w:rsidR="008750CE" w:rsidRPr="00303DE7" w14:paraId="33ED340F" w14:textId="77777777" w:rsidTr="003D2940">
        <w:tc>
          <w:tcPr>
            <w:tcW w:w="0" w:type="auto"/>
            <w:hideMark/>
          </w:tcPr>
          <w:p w14:paraId="5199F1AA"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T</w:t>
            </w:r>
          </w:p>
        </w:tc>
        <w:tc>
          <w:tcPr>
            <w:tcW w:w="0" w:type="auto"/>
            <w:hideMark/>
          </w:tcPr>
          <w:p w14:paraId="19D8F9A0" w14:textId="77777777" w:rsidR="003D2940" w:rsidRPr="00303DE7" w:rsidRDefault="00357E57" w:rsidP="00303DE7">
            <w:pPr>
              <w:spacing w:line="360" w:lineRule="auto"/>
              <w:rPr>
                <w:rFonts w:ascii="Arial" w:hAnsi="Arial" w:cs="Arial"/>
                <w:szCs w:val="24"/>
              </w:rPr>
            </w:pPr>
            <w:r w:rsidRPr="00303DE7">
              <w:rPr>
                <w:rFonts w:ascii="Arial" w:hAnsi="Arial" w:cs="Arial"/>
                <w:szCs w:val="24"/>
              </w:rPr>
              <w:t xml:space="preserve">Complete phased global rollout within six months, with performance evaluation at </w:t>
            </w:r>
            <w:r w:rsidR="00F02006" w:rsidRPr="00303DE7">
              <w:rPr>
                <w:rFonts w:ascii="Arial" w:hAnsi="Arial" w:cs="Arial"/>
                <w:szCs w:val="24"/>
              </w:rPr>
              <w:t>6- and 12-month</w:t>
            </w:r>
            <w:r w:rsidRPr="00303DE7">
              <w:rPr>
                <w:rFonts w:ascii="Arial" w:hAnsi="Arial" w:cs="Arial"/>
                <w:szCs w:val="24"/>
              </w:rPr>
              <w:t xml:space="preserve"> post-launch.</w:t>
            </w:r>
          </w:p>
        </w:tc>
      </w:tr>
    </w:tbl>
    <w:p w14:paraId="2DF3017C" w14:textId="77777777" w:rsidR="003B6E9F" w:rsidRPr="00303DE7" w:rsidRDefault="003B6E9F" w:rsidP="00303DE7">
      <w:pPr>
        <w:spacing w:after="0" w:line="360" w:lineRule="auto"/>
        <w:rPr>
          <w:rFonts w:ascii="Arial" w:hAnsi="Arial" w:cs="Arial"/>
          <w:szCs w:val="24"/>
        </w:rPr>
      </w:pPr>
    </w:p>
    <w:p w14:paraId="5E8CCA50" w14:textId="77777777" w:rsidR="008552A3" w:rsidRPr="00303DE7" w:rsidRDefault="00357E57" w:rsidP="00303DE7">
      <w:pPr>
        <w:pStyle w:val="Heading1"/>
        <w:spacing w:after="0" w:line="360" w:lineRule="auto"/>
        <w:rPr>
          <w:rFonts w:ascii="Arial" w:hAnsi="Arial" w:cs="Arial"/>
          <w:szCs w:val="24"/>
        </w:rPr>
      </w:pPr>
      <w:bookmarkStart w:id="6" w:name="_Toc224377107"/>
      <w:r w:rsidRPr="00303DE7">
        <w:rPr>
          <w:rFonts w:ascii="Arial" w:hAnsi="Arial" w:cs="Arial"/>
          <w:szCs w:val="24"/>
        </w:rPr>
        <w:lastRenderedPageBreak/>
        <w:t>Identification &amp; Categorisation of Stakeholders</w:t>
      </w:r>
      <w:bookmarkEnd w:id="6"/>
    </w:p>
    <w:p w14:paraId="5A3A37DA" w14:textId="4257BC7E" w:rsidR="00F70C39" w:rsidRPr="00303DE7" w:rsidRDefault="00357E57" w:rsidP="00303DE7">
      <w:pPr>
        <w:spacing w:after="0" w:line="360" w:lineRule="auto"/>
        <w:rPr>
          <w:rFonts w:ascii="Arial" w:hAnsi="Arial" w:cs="Arial"/>
          <w:szCs w:val="24"/>
        </w:rPr>
      </w:pPr>
      <w:r w:rsidRPr="00303DE7">
        <w:rPr>
          <w:rFonts w:ascii="Arial" w:hAnsi="Arial" w:cs="Arial"/>
          <w:szCs w:val="24"/>
        </w:rPr>
        <w:t xml:space="preserve">StaySmart + programme is a complicated system of internal and external stakeholders whose interests, impact, and expectations </w:t>
      </w:r>
      <w:r w:rsidR="002C5FA5" w:rsidRPr="00303DE7">
        <w:rPr>
          <w:rFonts w:ascii="Arial" w:hAnsi="Arial" w:cs="Arial"/>
          <w:szCs w:val="24"/>
        </w:rPr>
        <w:t>must</w:t>
      </w:r>
      <w:r w:rsidRPr="00303DE7">
        <w:rPr>
          <w:rFonts w:ascii="Arial" w:hAnsi="Arial" w:cs="Arial"/>
          <w:szCs w:val="24"/>
        </w:rPr>
        <w:t xml:space="preserve"> be favorably coordinated so that the global implementation will be successful. Internal stakeholders are the board and senior leadership who directionally strategi</w:t>
      </w:r>
      <w:r w:rsidR="00E613B9">
        <w:rPr>
          <w:rFonts w:ascii="Arial" w:hAnsi="Arial" w:cs="Arial"/>
          <w:szCs w:val="24"/>
        </w:rPr>
        <w:t>s</w:t>
      </w:r>
      <w:r w:rsidRPr="00303DE7">
        <w:rPr>
          <w:rFonts w:ascii="Arial" w:hAnsi="Arial" w:cs="Arial"/>
          <w:szCs w:val="24"/>
        </w:rPr>
        <w:t>e and sign investment and monitors performance outcome; the project manager who balances timelines, resources, and cross-functional organi</w:t>
      </w:r>
      <w:r w:rsidR="00E613B9">
        <w:rPr>
          <w:rFonts w:ascii="Arial" w:hAnsi="Arial" w:cs="Arial"/>
          <w:szCs w:val="24"/>
        </w:rPr>
        <w:t>s</w:t>
      </w:r>
      <w:r w:rsidRPr="00303DE7">
        <w:rPr>
          <w:rFonts w:ascii="Arial" w:hAnsi="Arial" w:cs="Arial"/>
          <w:szCs w:val="24"/>
        </w:rPr>
        <w:t xml:space="preserve">ation; the IT and AI development team who design and integrate the technological infrastructure; and the operations and hotel managers who ensure implementation is repeated to the property level; frontline staff who delivers the guest experience; marketing and sales teams who position and promote the service; sustainability specialists </w:t>
      </w:r>
      <w:r w:rsidR="00A142BB" w:rsidRPr="00303DE7">
        <w:rPr>
          <w:rFonts w:ascii="Arial" w:hAnsi="Arial" w:cs="Arial"/>
          <w:szCs w:val="24"/>
        </w:rPr>
        <w:t>which ensure</w:t>
      </w:r>
      <w:r w:rsidRPr="00303DE7">
        <w:rPr>
          <w:rFonts w:ascii="Arial" w:hAnsi="Arial" w:cs="Arial"/>
          <w:szCs w:val="24"/>
        </w:rPr>
        <w:t xml:space="preserve"> that the environment meets targets; and the HR and training units who prepare employees to accept the new systems and new service standards. The internal stakeholders play a critical role in the project's success as they possess the means of control, regardless of what is required, and influence the day-to-day operations. It can enhance project viability and efficiency since their intimate understanding of the company culture and processes will ensure mitigation, critical feedback, and organisational alignment (Christopher et al., 2013). </w:t>
      </w:r>
    </w:p>
    <w:p w14:paraId="067D8967" w14:textId="77777777" w:rsidR="00050C73" w:rsidRPr="00303DE7" w:rsidRDefault="00357E57" w:rsidP="00303DE7">
      <w:pPr>
        <w:keepNext/>
        <w:spacing w:after="0" w:line="360" w:lineRule="auto"/>
        <w:jc w:val="center"/>
        <w:rPr>
          <w:rFonts w:ascii="Arial" w:hAnsi="Arial" w:cs="Arial"/>
          <w:szCs w:val="24"/>
        </w:rPr>
      </w:pPr>
      <w:r w:rsidRPr="001B7181">
        <w:rPr>
          <w:rFonts w:ascii="Arial" w:hAnsi="Arial" w:cs="Arial"/>
          <w:noProof/>
          <w:sz w:val="22"/>
        </w:rPr>
        <w:drawing>
          <wp:inline distT="0" distB="0" distL="0" distR="0" wp14:anchorId="057DA838" wp14:editId="40AB1B79">
            <wp:extent cx="5943600" cy="3221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3552" cy="3226749"/>
                    </a:xfrm>
                    <a:prstGeom prst="rect">
                      <a:avLst/>
                    </a:prstGeom>
                  </pic:spPr>
                </pic:pic>
              </a:graphicData>
            </a:graphic>
          </wp:inline>
        </w:drawing>
      </w:r>
    </w:p>
    <w:p w14:paraId="190CFAC7" w14:textId="77777777" w:rsidR="005A7555" w:rsidRPr="00303DE7" w:rsidRDefault="00357E57" w:rsidP="00303DE7">
      <w:pPr>
        <w:pStyle w:val="Caption"/>
        <w:spacing w:after="0" w:line="360" w:lineRule="auto"/>
        <w:jc w:val="center"/>
        <w:rPr>
          <w:rFonts w:ascii="Arial" w:hAnsi="Arial" w:cs="Arial"/>
          <w:sz w:val="24"/>
          <w:szCs w:val="24"/>
        </w:rPr>
      </w:pPr>
      <w:r w:rsidRPr="00303DE7">
        <w:rPr>
          <w:rFonts w:ascii="Arial" w:hAnsi="Arial" w:cs="Arial"/>
          <w:sz w:val="24"/>
          <w:szCs w:val="24"/>
        </w:rPr>
        <w:t xml:space="preserve">Figure </w:t>
      </w:r>
      <w:r w:rsidRPr="00303DE7">
        <w:rPr>
          <w:rFonts w:ascii="Arial" w:hAnsi="Arial" w:cs="Arial"/>
          <w:sz w:val="24"/>
          <w:szCs w:val="24"/>
        </w:rPr>
        <w:fldChar w:fldCharType="begin"/>
      </w:r>
      <w:r w:rsidRPr="00303DE7">
        <w:rPr>
          <w:rFonts w:ascii="Arial" w:hAnsi="Arial" w:cs="Arial"/>
          <w:sz w:val="24"/>
          <w:szCs w:val="24"/>
        </w:rPr>
        <w:instrText xml:space="preserve"> SEQ Figure \* ARABIC </w:instrText>
      </w:r>
      <w:r w:rsidRPr="00303DE7">
        <w:rPr>
          <w:rFonts w:ascii="Arial" w:hAnsi="Arial" w:cs="Arial"/>
          <w:sz w:val="24"/>
          <w:szCs w:val="24"/>
        </w:rPr>
        <w:fldChar w:fldCharType="separate"/>
      </w:r>
      <w:r w:rsidRPr="00303DE7">
        <w:rPr>
          <w:rFonts w:ascii="Arial" w:hAnsi="Arial" w:cs="Arial"/>
          <w:noProof/>
          <w:sz w:val="24"/>
          <w:szCs w:val="24"/>
        </w:rPr>
        <w:t>1</w:t>
      </w:r>
      <w:r w:rsidRPr="00303DE7">
        <w:rPr>
          <w:rFonts w:ascii="Arial" w:hAnsi="Arial" w:cs="Arial"/>
          <w:sz w:val="24"/>
          <w:szCs w:val="24"/>
        </w:rPr>
        <w:fldChar w:fldCharType="end"/>
      </w:r>
      <w:r w:rsidRPr="00303DE7">
        <w:rPr>
          <w:rFonts w:ascii="Arial" w:hAnsi="Arial" w:cs="Arial"/>
          <w:sz w:val="24"/>
          <w:szCs w:val="24"/>
        </w:rPr>
        <w:t>: Stakeholder Power–Interest Matrix</w:t>
      </w:r>
    </w:p>
    <w:p w14:paraId="21FD6D46" w14:textId="1532678C" w:rsidR="00791160" w:rsidRPr="00303DE7" w:rsidRDefault="00357E57" w:rsidP="00303DE7">
      <w:pPr>
        <w:spacing w:after="0" w:line="360" w:lineRule="auto"/>
        <w:rPr>
          <w:rFonts w:ascii="Arial" w:hAnsi="Arial" w:cs="Arial"/>
          <w:szCs w:val="24"/>
        </w:rPr>
      </w:pPr>
      <w:r w:rsidRPr="00303DE7">
        <w:rPr>
          <w:rFonts w:ascii="Arial" w:hAnsi="Arial" w:cs="Arial"/>
          <w:szCs w:val="24"/>
        </w:rPr>
        <w:lastRenderedPageBreak/>
        <w:t>Among the external stakeholders are guests whose use is the gauge of commercial success; technology providers that offer AI platforms and cybersecurity services; sustainability collaborators that offer eco-</w:t>
      </w:r>
      <w:r w:rsidR="00080F90" w:rsidRPr="00303DE7">
        <w:rPr>
          <w:rFonts w:ascii="Arial" w:hAnsi="Arial" w:cs="Arial"/>
          <w:szCs w:val="24"/>
        </w:rPr>
        <w:t>labelled</w:t>
      </w:r>
      <w:r w:rsidRPr="00303DE7">
        <w:rPr>
          <w:rFonts w:ascii="Arial" w:hAnsi="Arial" w:cs="Arial"/>
          <w:szCs w:val="24"/>
        </w:rPr>
        <w:t xml:space="preserve"> products and energy provisions; regulators that control the use of data and governance of AI; local communities impacted by tourism business; and investors who want to know about their financial gains. Stakeholder theory underlines that organisations should be able to strike a balance among the interests of </w:t>
      </w:r>
      <w:r w:rsidR="00371142" w:rsidRPr="00303DE7">
        <w:rPr>
          <w:rFonts w:ascii="Arial" w:hAnsi="Arial" w:cs="Arial"/>
          <w:szCs w:val="24"/>
        </w:rPr>
        <w:t>diverse groups</w:t>
      </w:r>
      <w:r w:rsidRPr="00303DE7">
        <w:rPr>
          <w:rFonts w:ascii="Arial" w:hAnsi="Arial" w:cs="Arial"/>
          <w:szCs w:val="24"/>
        </w:rPr>
        <w:t xml:space="preserve"> of people </w:t>
      </w:r>
      <w:r w:rsidR="002C5FA5" w:rsidRPr="00303DE7">
        <w:rPr>
          <w:rFonts w:ascii="Arial" w:hAnsi="Arial" w:cs="Arial"/>
          <w:szCs w:val="24"/>
        </w:rPr>
        <w:t>to</w:t>
      </w:r>
      <w:r w:rsidRPr="00303DE7">
        <w:rPr>
          <w:rFonts w:ascii="Arial" w:hAnsi="Arial" w:cs="Arial"/>
          <w:szCs w:val="24"/>
        </w:rPr>
        <w:t xml:space="preserve"> meet long-term value creation (Freeman, 1984). The key stakeholders are those who are necessary directly to the project delivery and the value creation, among which are leadership, employees, guests, investors, regulators, and major technology providers. Secondary stakeholders like the local communities, minor suppliers, and advocacy groups do not directly contribute to the service deployment, but they do shape the reputation and the social licence to operate. Stakeholder power is quite regional in global hospitality. Indicatively, in the European Union, regulators enjoy great control over the use of data, and guests may have greater expectations of digital services in high-technology markets like East Asia. Engagement strategies vary, in consequence, in respect of cultural norms, regulatory intensity, infrastructure maturity, and workforce capabilities to confirm the necessity of adaptive stakeholder management in the overall context of international operations (Mitchell et al., 1997). </w:t>
      </w:r>
    </w:p>
    <w:p w14:paraId="1255ED20" w14:textId="77777777" w:rsidR="005D2D46" w:rsidRPr="00303DE7" w:rsidRDefault="005D2D46" w:rsidP="00303DE7">
      <w:pPr>
        <w:spacing w:after="0" w:line="360" w:lineRule="auto"/>
        <w:rPr>
          <w:rFonts w:ascii="Arial" w:hAnsi="Arial" w:cs="Arial"/>
          <w:szCs w:val="24"/>
        </w:rPr>
      </w:pPr>
    </w:p>
    <w:p w14:paraId="05769E2D" w14:textId="77777777" w:rsidR="005D2D46" w:rsidRPr="00303DE7" w:rsidRDefault="00357E57" w:rsidP="00303DE7">
      <w:pPr>
        <w:pStyle w:val="Heading1"/>
        <w:spacing w:after="0" w:line="360" w:lineRule="auto"/>
        <w:rPr>
          <w:rFonts w:ascii="Arial" w:hAnsi="Arial" w:cs="Arial"/>
          <w:szCs w:val="24"/>
        </w:rPr>
      </w:pPr>
      <w:bookmarkStart w:id="7" w:name="_Toc224377108"/>
      <w:r w:rsidRPr="00303DE7">
        <w:rPr>
          <w:rFonts w:ascii="Arial" w:hAnsi="Arial" w:cs="Arial"/>
          <w:szCs w:val="24"/>
        </w:rPr>
        <w:t>Roles, Responsibilities, Benefits &amp; Challenges</w:t>
      </w:r>
      <w:bookmarkEnd w:id="7"/>
    </w:p>
    <w:tbl>
      <w:tblPr>
        <w:tblStyle w:val="TableGrid"/>
        <w:tblW w:w="0" w:type="auto"/>
        <w:tblLook w:val="04A0" w:firstRow="1" w:lastRow="0" w:firstColumn="1" w:lastColumn="0" w:noHBand="0" w:noVBand="1"/>
      </w:tblPr>
      <w:tblGrid>
        <w:gridCol w:w="1112"/>
        <w:gridCol w:w="921"/>
        <w:gridCol w:w="759"/>
        <w:gridCol w:w="561"/>
        <w:gridCol w:w="913"/>
        <w:gridCol w:w="781"/>
        <w:gridCol w:w="840"/>
        <w:gridCol w:w="1075"/>
        <w:gridCol w:w="737"/>
        <w:gridCol w:w="906"/>
        <w:gridCol w:w="745"/>
      </w:tblGrid>
      <w:tr w:rsidR="008750CE" w:rsidRPr="00303DE7" w14:paraId="721C43A0" w14:textId="77777777" w:rsidTr="00A23247">
        <w:tc>
          <w:tcPr>
            <w:tcW w:w="0" w:type="auto"/>
            <w:hideMark/>
          </w:tcPr>
          <w:p w14:paraId="329EC4A5"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Key Activities</w:t>
            </w:r>
          </w:p>
        </w:tc>
        <w:tc>
          <w:tcPr>
            <w:tcW w:w="0" w:type="auto"/>
            <w:hideMark/>
          </w:tcPr>
          <w:p w14:paraId="0FEAAC6F"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Board / Senior Leadership</w:t>
            </w:r>
          </w:p>
        </w:tc>
        <w:tc>
          <w:tcPr>
            <w:tcW w:w="0" w:type="auto"/>
            <w:hideMark/>
          </w:tcPr>
          <w:p w14:paraId="38E5E488"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Project Manager</w:t>
            </w:r>
          </w:p>
        </w:tc>
        <w:tc>
          <w:tcPr>
            <w:tcW w:w="0" w:type="auto"/>
            <w:hideMark/>
          </w:tcPr>
          <w:p w14:paraId="667D16D0"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IT &amp; AI Team</w:t>
            </w:r>
          </w:p>
        </w:tc>
        <w:tc>
          <w:tcPr>
            <w:tcW w:w="0" w:type="auto"/>
            <w:hideMark/>
          </w:tcPr>
          <w:p w14:paraId="67E1087F"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Operations / Hotel Managers</w:t>
            </w:r>
          </w:p>
        </w:tc>
        <w:tc>
          <w:tcPr>
            <w:tcW w:w="0" w:type="auto"/>
            <w:hideMark/>
          </w:tcPr>
          <w:p w14:paraId="3F0FCF4C"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Frontline Staff</w:t>
            </w:r>
          </w:p>
        </w:tc>
        <w:tc>
          <w:tcPr>
            <w:tcW w:w="0" w:type="auto"/>
            <w:hideMark/>
          </w:tcPr>
          <w:p w14:paraId="5C90644F"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Marketing &amp; Sales</w:t>
            </w:r>
          </w:p>
        </w:tc>
        <w:tc>
          <w:tcPr>
            <w:tcW w:w="0" w:type="auto"/>
            <w:hideMark/>
          </w:tcPr>
          <w:p w14:paraId="2A651267"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Sustainability Team</w:t>
            </w:r>
          </w:p>
        </w:tc>
        <w:tc>
          <w:tcPr>
            <w:tcW w:w="0" w:type="auto"/>
            <w:hideMark/>
          </w:tcPr>
          <w:p w14:paraId="027FBBE2"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HR &amp; Training</w:t>
            </w:r>
          </w:p>
        </w:tc>
        <w:tc>
          <w:tcPr>
            <w:tcW w:w="0" w:type="auto"/>
            <w:hideMark/>
          </w:tcPr>
          <w:p w14:paraId="795784FF"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Regulators</w:t>
            </w:r>
          </w:p>
        </w:tc>
        <w:tc>
          <w:tcPr>
            <w:tcW w:w="0" w:type="auto"/>
            <w:hideMark/>
          </w:tcPr>
          <w:p w14:paraId="2D9617D0" w14:textId="77777777" w:rsidR="00800F8F" w:rsidRPr="00303DE7" w:rsidRDefault="00357E57" w:rsidP="00303DE7">
            <w:pPr>
              <w:spacing w:line="360" w:lineRule="auto"/>
              <w:jc w:val="center"/>
              <w:rPr>
                <w:rFonts w:ascii="Arial" w:hAnsi="Arial" w:cs="Arial"/>
                <w:b/>
                <w:szCs w:val="24"/>
              </w:rPr>
            </w:pPr>
            <w:r w:rsidRPr="00303DE7">
              <w:rPr>
                <w:rFonts w:ascii="Arial" w:hAnsi="Arial" w:cs="Arial"/>
                <w:b/>
                <w:szCs w:val="24"/>
              </w:rPr>
              <w:t>Tech Vendors</w:t>
            </w:r>
          </w:p>
        </w:tc>
      </w:tr>
      <w:tr w:rsidR="008750CE" w:rsidRPr="00303DE7" w14:paraId="09E925D0" w14:textId="77777777" w:rsidTr="00A23247">
        <w:tc>
          <w:tcPr>
            <w:tcW w:w="0" w:type="auto"/>
            <w:hideMark/>
          </w:tcPr>
          <w:p w14:paraId="415B52C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Strategic approva</w:t>
            </w:r>
            <w:r w:rsidRPr="00303DE7">
              <w:rPr>
                <w:rFonts w:ascii="Arial" w:hAnsi="Arial" w:cs="Arial"/>
                <w:szCs w:val="24"/>
              </w:rPr>
              <w:lastRenderedPageBreak/>
              <w:t>l &amp; funding</w:t>
            </w:r>
          </w:p>
        </w:tc>
        <w:tc>
          <w:tcPr>
            <w:tcW w:w="0" w:type="auto"/>
            <w:hideMark/>
          </w:tcPr>
          <w:p w14:paraId="678272E1" w14:textId="77777777" w:rsidR="00800F8F" w:rsidRPr="00303DE7" w:rsidRDefault="00357E57" w:rsidP="00303DE7">
            <w:pPr>
              <w:spacing w:line="360" w:lineRule="auto"/>
              <w:rPr>
                <w:rFonts w:ascii="Arial" w:hAnsi="Arial" w:cs="Arial"/>
                <w:szCs w:val="24"/>
              </w:rPr>
            </w:pPr>
            <w:r w:rsidRPr="00303DE7">
              <w:rPr>
                <w:rFonts w:ascii="Arial" w:hAnsi="Arial" w:cs="Arial"/>
                <w:szCs w:val="24"/>
              </w:rPr>
              <w:lastRenderedPageBreak/>
              <w:t>A</w:t>
            </w:r>
          </w:p>
        </w:tc>
        <w:tc>
          <w:tcPr>
            <w:tcW w:w="0" w:type="auto"/>
            <w:hideMark/>
          </w:tcPr>
          <w:p w14:paraId="127E077E"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R</w:t>
            </w:r>
          </w:p>
        </w:tc>
        <w:tc>
          <w:tcPr>
            <w:tcW w:w="0" w:type="auto"/>
            <w:hideMark/>
          </w:tcPr>
          <w:p w14:paraId="07F239E1"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72A31CB1"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769095BA"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23CD0246"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ADCFB18"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5A997C04"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4D379D6A"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699EBDED"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r>
      <w:tr w:rsidR="008750CE" w:rsidRPr="00303DE7" w14:paraId="47D57506" w14:textId="77777777" w:rsidTr="00A23247">
        <w:tc>
          <w:tcPr>
            <w:tcW w:w="0" w:type="auto"/>
            <w:hideMark/>
          </w:tcPr>
          <w:p w14:paraId="505C4194"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Project planning &amp; coordination</w:t>
            </w:r>
          </w:p>
        </w:tc>
        <w:tc>
          <w:tcPr>
            <w:tcW w:w="0" w:type="auto"/>
            <w:hideMark/>
          </w:tcPr>
          <w:p w14:paraId="7E4C9A4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5BC6F1D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7A3824A9"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56E34EA5"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694CF578"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4871DB2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52F149D9"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0DAAEC24"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7131E08A"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21800891"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r>
      <w:tr w:rsidR="008750CE" w:rsidRPr="00303DE7" w14:paraId="3979AB46" w14:textId="77777777" w:rsidTr="00A23247">
        <w:tc>
          <w:tcPr>
            <w:tcW w:w="0" w:type="auto"/>
            <w:hideMark/>
          </w:tcPr>
          <w:p w14:paraId="62F7328E"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AI system development &amp; integration</w:t>
            </w:r>
          </w:p>
        </w:tc>
        <w:tc>
          <w:tcPr>
            <w:tcW w:w="0" w:type="auto"/>
            <w:hideMark/>
          </w:tcPr>
          <w:p w14:paraId="405B677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D9C75E8"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4663F19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03370891"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715061B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33C093ED"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7DF7C6BB"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258FF9C2"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1F6D4AD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3EDCD8E5"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R</w:t>
            </w:r>
          </w:p>
        </w:tc>
      </w:tr>
      <w:tr w:rsidR="008750CE" w:rsidRPr="00303DE7" w14:paraId="77EB2835" w14:textId="77777777" w:rsidTr="00A23247">
        <w:tc>
          <w:tcPr>
            <w:tcW w:w="0" w:type="auto"/>
            <w:hideMark/>
          </w:tcPr>
          <w:p w14:paraId="0BAC6D5B"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Operational implementation</w:t>
            </w:r>
          </w:p>
        </w:tc>
        <w:tc>
          <w:tcPr>
            <w:tcW w:w="0" w:type="auto"/>
            <w:hideMark/>
          </w:tcPr>
          <w:p w14:paraId="70EBF62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274E211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7B572AF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5A1842DC"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6FC9D8F2"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R</w:t>
            </w:r>
          </w:p>
        </w:tc>
        <w:tc>
          <w:tcPr>
            <w:tcW w:w="0" w:type="auto"/>
            <w:hideMark/>
          </w:tcPr>
          <w:p w14:paraId="2D94B2C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3C9A4CE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068471D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221002A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5B416C78"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r>
      <w:tr w:rsidR="008750CE" w:rsidRPr="00303DE7" w14:paraId="2018766E" w14:textId="77777777" w:rsidTr="00A23247">
        <w:tc>
          <w:tcPr>
            <w:tcW w:w="0" w:type="auto"/>
            <w:hideMark/>
          </w:tcPr>
          <w:p w14:paraId="137279AF"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Staff training &amp; capability building</w:t>
            </w:r>
          </w:p>
        </w:tc>
        <w:tc>
          <w:tcPr>
            <w:tcW w:w="0" w:type="auto"/>
            <w:hideMark/>
          </w:tcPr>
          <w:p w14:paraId="29B2EEF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50854826"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242DC74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0B42B0BC"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1882C9C8"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R</w:t>
            </w:r>
          </w:p>
        </w:tc>
        <w:tc>
          <w:tcPr>
            <w:tcW w:w="0" w:type="auto"/>
            <w:hideMark/>
          </w:tcPr>
          <w:p w14:paraId="6C83BAF2"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14A7C616"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366EA5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1E382BB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6BF138AF"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r>
      <w:tr w:rsidR="008750CE" w:rsidRPr="00303DE7" w14:paraId="07FA8A62" w14:textId="77777777" w:rsidTr="00A23247">
        <w:tc>
          <w:tcPr>
            <w:tcW w:w="0" w:type="auto"/>
            <w:hideMark/>
          </w:tcPr>
          <w:p w14:paraId="65842051"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Marketing &amp; service launch</w:t>
            </w:r>
          </w:p>
        </w:tc>
        <w:tc>
          <w:tcPr>
            <w:tcW w:w="0" w:type="auto"/>
            <w:hideMark/>
          </w:tcPr>
          <w:p w14:paraId="18D8B2C6"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4C4F0642"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0EAFF1E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EDF582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2944821E"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44407F1B"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79591036"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68CFECEA"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BC0AC3F"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799C9B30"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r>
      <w:tr w:rsidR="008750CE" w:rsidRPr="00303DE7" w14:paraId="3E4FDB01" w14:textId="77777777" w:rsidTr="00A23247">
        <w:tc>
          <w:tcPr>
            <w:tcW w:w="0" w:type="auto"/>
            <w:hideMark/>
          </w:tcPr>
          <w:p w14:paraId="319B9484"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 xml:space="preserve">Sustainability feature </w:t>
            </w:r>
            <w:r w:rsidRPr="00303DE7">
              <w:rPr>
                <w:rFonts w:ascii="Arial" w:hAnsi="Arial" w:cs="Arial"/>
                <w:szCs w:val="24"/>
              </w:rPr>
              <w:lastRenderedPageBreak/>
              <w:t>deployment</w:t>
            </w:r>
          </w:p>
        </w:tc>
        <w:tc>
          <w:tcPr>
            <w:tcW w:w="0" w:type="auto"/>
            <w:hideMark/>
          </w:tcPr>
          <w:p w14:paraId="389D474C" w14:textId="77777777" w:rsidR="00800F8F" w:rsidRPr="00303DE7" w:rsidRDefault="00357E57" w:rsidP="00303DE7">
            <w:pPr>
              <w:spacing w:line="360" w:lineRule="auto"/>
              <w:rPr>
                <w:rFonts w:ascii="Arial" w:hAnsi="Arial" w:cs="Arial"/>
                <w:szCs w:val="24"/>
              </w:rPr>
            </w:pPr>
            <w:r w:rsidRPr="00303DE7">
              <w:rPr>
                <w:rFonts w:ascii="Arial" w:hAnsi="Arial" w:cs="Arial"/>
                <w:szCs w:val="24"/>
              </w:rPr>
              <w:lastRenderedPageBreak/>
              <w:t>I</w:t>
            </w:r>
          </w:p>
        </w:tc>
        <w:tc>
          <w:tcPr>
            <w:tcW w:w="0" w:type="auto"/>
            <w:hideMark/>
          </w:tcPr>
          <w:p w14:paraId="04C5030F"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1512FEC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14C44E0B"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49F2AF3F"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7E39E70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E606A36"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23D74082"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13D2791F"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C7D4F1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r>
      <w:tr w:rsidR="008750CE" w:rsidRPr="00303DE7" w14:paraId="4D78762B" w14:textId="77777777" w:rsidTr="00A23247">
        <w:tc>
          <w:tcPr>
            <w:tcW w:w="0" w:type="auto"/>
            <w:hideMark/>
          </w:tcPr>
          <w:p w14:paraId="1891914E"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Compliance &amp; data governance</w:t>
            </w:r>
          </w:p>
        </w:tc>
        <w:tc>
          <w:tcPr>
            <w:tcW w:w="0" w:type="auto"/>
            <w:hideMark/>
          </w:tcPr>
          <w:p w14:paraId="23800BF2"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256F5A5"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5D1A6D4B"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R</w:t>
            </w:r>
          </w:p>
        </w:tc>
        <w:tc>
          <w:tcPr>
            <w:tcW w:w="0" w:type="auto"/>
            <w:hideMark/>
          </w:tcPr>
          <w:p w14:paraId="59DFB27C"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75CF208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261FC0F3"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2B39DEF4"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662B04B7"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1B60C4AA"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6A655B9D" w14:textId="77777777" w:rsidR="00800F8F" w:rsidRPr="00303DE7" w:rsidRDefault="00357E57" w:rsidP="00303DE7">
            <w:pPr>
              <w:spacing w:line="360" w:lineRule="auto"/>
              <w:rPr>
                <w:rFonts w:ascii="Arial" w:hAnsi="Arial" w:cs="Arial"/>
                <w:szCs w:val="24"/>
              </w:rPr>
            </w:pPr>
            <w:r w:rsidRPr="00303DE7">
              <w:rPr>
                <w:rFonts w:ascii="Arial" w:hAnsi="Arial" w:cs="Arial"/>
                <w:szCs w:val="24"/>
              </w:rPr>
              <w:t>C</w:t>
            </w:r>
          </w:p>
        </w:tc>
      </w:tr>
    </w:tbl>
    <w:p w14:paraId="215A2B30" w14:textId="77777777" w:rsidR="00C547B3" w:rsidRPr="00303DE7" w:rsidRDefault="00C547B3" w:rsidP="00303DE7">
      <w:pPr>
        <w:spacing w:after="0" w:line="360" w:lineRule="auto"/>
        <w:rPr>
          <w:rFonts w:ascii="Arial" w:hAnsi="Arial" w:cs="Arial"/>
          <w:szCs w:val="24"/>
        </w:rPr>
      </w:pPr>
    </w:p>
    <w:p w14:paraId="1B378291" w14:textId="12B019D1" w:rsidR="0027215D" w:rsidRPr="00303DE7" w:rsidRDefault="00357E57" w:rsidP="00303DE7">
      <w:pPr>
        <w:spacing w:after="0" w:line="360" w:lineRule="auto"/>
        <w:rPr>
          <w:rFonts w:ascii="Arial" w:hAnsi="Arial" w:cs="Arial"/>
          <w:szCs w:val="24"/>
        </w:rPr>
      </w:pPr>
      <w:r w:rsidRPr="00303DE7">
        <w:rPr>
          <w:rFonts w:ascii="Arial" w:hAnsi="Arial" w:cs="Arial"/>
          <w:szCs w:val="24"/>
        </w:rPr>
        <w:t xml:space="preserve">The stakeholders of the rollout of the StaySmart+ have key capabilities that have a direct impact on the success of the project. Internal technical teams present domain expertise in artificial intelligence and data architecture, systems integration, which is needed to produce dependable digital services at scale. Hotel managers and frontline staff can provide contextual intelligence </w:t>
      </w:r>
      <w:r w:rsidR="002C5FA5" w:rsidRPr="00303DE7">
        <w:rPr>
          <w:rFonts w:ascii="Arial" w:hAnsi="Arial" w:cs="Arial"/>
          <w:szCs w:val="24"/>
        </w:rPr>
        <w:t>about</w:t>
      </w:r>
      <w:r w:rsidRPr="00303DE7">
        <w:rPr>
          <w:rFonts w:ascii="Arial" w:hAnsi="Arial" w:cs="Arial"/>
          <w:szCs w:val="24"/>
        </w:rPr>
        <w:t xml:space="preserve"> guest expectations and service recovery practises, cultural specifics in local markets. This type of tacit knowledge cannot be easily codified, but it is still the focal point of good service within hospitality contexts (Bourne, 2015). The roles played by outside actors are also influential. Technology providers offer exclusive platforms and cybersecurity knowledge, whereas regulators offer institutional trustworthiness by tracking data protection acts and shopper regulations, and thus increase stakeholder confidence. Resource-dependence theory states that companies need to gain necessary and crucial external resources such as money, technology, and legal sanction by means of coordinating connections, and accordingly, stakeholder relations become a marker of methodical requirements instead of a selection of extracurricular action (Jiang et al., 2023). </w:t>
      </w:r>
    </w:p>
    <w:p w14:paraId="3B98BC02" w14:textId="77777777" w:rsidR="00385402" w:rsidRPr="00303DE7" w:rsidRDefault="00357E57" w:rsidP="00303DE7">
      <w:pPr>
        <w:spacing w:after="0" w:line="360" w:lineRule="auto"/>
        <w:rPr>
          <w:rFonts w:ascii="Arial" w:hAnsi="Arial" w:cs="Arial"/>
          <w:szCs w:val="24"/>
        </w:rPr>
      </w:pPr>
      <w:r w:rsidRPr="00303DE7">
        <w:rPr>
          <w:rFonts w:ascii="Arial" w:hAnsi="Arial" w:cs="Arial"/>
          <w:szCs w:val="24"/>
        </w:rPr>
        <w:t xml:space="preserve">Along with these advantages, there are severe challenges faced by stakeholders. The lack of talent within a workforce can be an issue in the successful use of AI tools, especially when digital literacy is uneven among different regions. Studies have shown that adoption of technology in service sectors is likely to fail when frontline employees either receive no training or believe that systems pose a threat to their jobs (Bhattacharyya, 2024). There are also ethical issues surrounding how automation may lead to a loss of human touch that characterises hospitality. Research indicates that guests are at ease with efficiency, but too much automation may diminish the sense of </w:t>
      </w:r>
      <w:r w:rsidRPr="00303DE7">
        <w:rPr>
          <w:rFonts w:ascii="Arial" w:hAnsi="Arial" w:cs="Arial"/>
          <w:szCs w:val="24"/>
        </w:rPr>
        <w:lastRenderedPageBreak/>
        <w:t xml:space="preserve">warmth and an emotional attachment (Mandić et al., 203). Magnetic goals lead to one more source of tension; there is a clash of institutional logic, that is, the focus that investors have on financial returns and the environmental performance and sustainability team has. The issue of cultural resistance </w:t>
      </w:r>
      <w:r w:rsidR="006D44C3">
        <w:rPr>
          <w:rFonts w:ascii="Arial" w:hAnsi="Arial" w:cs="Arial"/>
          <w:szCs w:val="24"/>
        </w:rPr>
        <w:t>can</w:t>
      </w:r>
      <w:r w:rsidRPr="00303DE7">
        <w:rPr>
          <w:rFonts w:ascii="Arial" w:hAnsi="Arial" w:cs="Arial"/>
          <w:szCs w:val="24"/>
        </w:rPr>
        <w:t xml:space="preserve"> also make the implementation process more challenging since the perceptions of data sharing, surveillance, and AI vary across civili</w:t>
      </w:r>
      <w:r w:rsidR="00E613B9">
        <w:rPr>
          <w:rFonts w:ascii="Arial" w:hAnsi="Arial" w:cs="Arial"/>
          <w:szCs w:val="24"/>
        </w:rPr>
        <w:t>s</w:t>
      </w:r>
      <w:r w:rsidRPr="00303DE7">
        <w:rPr>
          <w:rFonts w:ascii="Arial" w:hAnsi="Arial" w:cs="Arial"/>
          <w:szCs w:val="24"/>
        </w:rPr>
        <w:t>ations (Perez et al., 2024).</w:t>
      </w:r>
    </w:p>
    <w:p w14:paraId="6D716F91" w14:textId="77777777" w:rsidR="0081045A" w:rsidRPr="00303DE7" w:rsidRDefault="0081045A" w:rsidP="00303DE7">
      <w:pPr>
        <w:spacing w:after="0" w:line="360" w:lineRule="auto"/>
        <w:rPr>
          <w:rFonts w:ascii="Arial" w:hAnsi="Arial" w:cs="Arial"/>
          <w:szCs w:val="24"/>
        </w:rPr>
      </w:pPr>
    </w:p>
    <w:p w14:paraId="33D1FB86" w14:textId="77777777" w:rsidR="0081045A" w:rsidRPr="00303DE7" w:rsidRDefault="00357E57" w:rsidP="00303DE7">
      <w:pPr>
        <w:pStyle w:val="Heading1"/>
        <w:spacing w:after="0" w:line="360" w:lineRule="auto"/>
        <w:rPr>
          <w:rFonts w:ascii="Arial" w:hAnsi="Arial" w:cs="Arial"/>
          <w:szCs w:val="24"/>
        </w:rPr>
      </w:pPr>
      <w:bookmarkStart w:id="8" w:name="_Toc224377109"/>
      <w:r w:rsidRPr="00303DE7">
        <w:rPr>
          <w:rFonts w:ascii="Arial" w:hAnsi="Arial" w:cs="Arial"/>
          <w:szCs w:val="24"/>
        </w:rPr>
        <w:t>Frameworks, Models &amp; Engagement Tools</w:t>
      </w:r>
      <w:bookmarkEnd w:id="8"/>
    </w:p>
    <w:p w14:paraId="19AB023F" w14:textId="77777777" w:rsidR="000B1DF8" w:rsidRPr="00303DE7" w:rsidRDefault="00357E57" w:rsidP="00303DE7">
      <w:pPr>
        <w:spacing w:after="0" w:line="360" w:lineRule="auto"/>
        <w:rPr>
          <w:rFonts w:ascii="Arial" w:hAnsi="Arial" w:cs="Arial"/>
          <w:szCs w:val="24"/>
        </w:rPr>
      </w:pPr>
      <w:r w:rsidRPr="00303DE7">
        <w:rPr>
          <w:rFonts w:ascii="Arial" w:hAnsi="Arial" w:cs="Arial"/>
          <w:szCs w:val="24"/>
        </w:rPr>
        <w:t>The stakeholder engagement of StaySmart+ needs well-constructed frameworks that value influence, manage involvement, and maintain trust in different markets. The Stakeholder Salience Model assigns stakeholders in terms of power, legitimacy, and urgency, which allows managers to distribute attention tactically (Mitchell et</w:t>
      </w:r>
      <w:r w:rsidR="007E53AB" w:rsidRPr="00303DE7">
        <w:rPr>
          <w:rFonts w:ascii="Arial" w:hAnsi="Arial" w:cs="Arial"/>
          <w:szCs w:val="24"/>
        </w:rPr>
        <w:t xml:space="preserve"> </w:t>
      </w:r>
      <w:r w:rsidRPr="00303DE7">
        <w:rPr>
          <w:rFonts w:ascii="Arial" w:hAnsi="Arial" w:cs="Arial"/>
          <w:szCs w:val="24"/>
        </w:rPr>
        <w:t>a</w:t>
      </w:r>
      <w:r w:rsidR="007E53AB" w:rsidRPr="00303DE7">
        <w:rPr>
          <w:rFonts w:ascii="Arial" w:hAnsi="Arial" w:cs="Arial"/>
          <w:szCs w:val="24"/>
        </w:rPr>
        <w:t>l</w:t>
      </w:r>
      <w:r w:rsidRPr="00303DE7">
        <w:rPr>
          <w:rFonts w:ascii="Arial" w:hAnsi="Arial" w:cs="Arial"/>
          <w:szCs w:val="24"/>
        </w:rPr>
        <w:t>.</w:t>
      </w:r>
      <w:r w:rsidR="007E53AB" w:rsidRPr="00303DE7">
        <w:rPr>
          <w:rFonts w:ascii="Arial" w:hAnsi="Arial" w:cs="Arial"/>
          <w:szCs w:val="24"/>
        </w:rPr>
        <w:t>,</w:t>
      </w:r>
      <w:r w:rsidRPr="00303DE7">
        <w:rPr>
          <w:rFonts w:ascii="Arial" w:hAnsi="Arial" w:cs="Arial"/>
          <w:szCs w:val="24"/>
        </w:rPr>
        <w:t xml:space="preserve"> 1997). The regulators in this project have a high power and legitimacy since legal power in data protection exists, and the power of investors lies in the capital provision. Using the model, the engagement resources are directed towards the stakeholders whose involvement is critical in sustaining the project and therefore decreasing implementation risk within the complicated international setting. </w:t>
      </w:r>
    </w:p>
    <w:p w14:paraId="5081F810" w14:textId="77777777" w:rsidR="00B474EE" w:rsidRPr="00303DE7" w:rsidRDefault="00357E57" w:rsidP="00303DE7">
      <w:pPr>
        <w:pStyle w:val="Heading2"/>
        <w:spacing w:after="0" w:line="360" w:lineRule="auto"/>
        <w:rPr>
          <w:rFonts w:ascii="Arial" w:hAnsi="Arial" w:cs="Arial"/>
          <w:szCs w:val="24"/>
        </w:rPr>
      </w:pPr>
      <w:bookmarkStart w:id="9" w:name="_Toc224377110"/>
      <w:r w:rsidRPr="00303DE7">
        <w:rPr>
          <w:rFonts w:ascii="Arial" w:hAnsi="Arial" w:cs="Arial"/>
          <w:szCs w:val="24"/>
        </w:rPr>
        <w:t>Stakeholder Engagement Plan (4C Model)</w:t>
      </w:r>
      <w:bookmarkEnd w:id="9"/>
    </w:p>
    <w:tbl>
      <w:tblPr>
        <w:tblStyle w:val="TableGrid"/>
        <w:tblW w:w="0" w:type="auto"/>
        <w:tblLook w:val="04A0" w:firstRow="1" w:lastRow="0" w:firstColumn="1" w:lastColumn="0" w:noHBand="0" w:noVBand="1"/>
      </w:tblPr>
      <w:tblGrid>
        <w:gridCol w:w="1884"/>
        <w:gridCol w:w="1902"/>
        <w:gridCol w:w="3085"/>
        <w:gridCol w:w="2479"/>
      </w:tblGrid>
      <w:tr w:rsidR="008750CE" w:rsidRPr="00303DE7" w14:paraId="061CC22A" w14:textId="77777777" w:rsidTr="00127E80">
        <w:tc>
          <w:tcPr>
            <w:tcW w:w="0" w:type="auto"/>
            <w:hideMark/>
          </w:tcPr>
          <w:p w14:paraId="25165B1A" w14:textId="77777777" w:rsidR="00127E80" w:rsidRPr="00303DE7" w:rsidRDefault="00357E57" w:rsidP="00303DE7">
            <w:pPr>
              <w:spacing w:line="360" w:lineRule="auto"/>
              <w:jc w:val="center"/>
              <w:rPr>
                <w:rFonts w:ascii="Arial" w:hAnsi="Arial" w:cs="Arial"/>
                <w:b/>
                <w:szCs w:val="24"/>
              </w:rPr>
            </w:pPr>
            <w:r w:rsidRPr="00303DE7">
              <w:rPr>
                <w:rFonts w:ascii="Arial" w:hAnsi="Arial" w:cs="Arial"/>
                <w:b/>
                <w:szCs w:val="24"/>
              </w:rPr>
              <w:t>4C Element</w:t>
            </w:r>
          </w:p>
        </w:tc>
        <w:tc>
          <w:tcPr>
            <w:tcW w:w="0" w:type="auto"/>
            <w:hideMark/>
          </w:tcPr>
          <w:p w14:paraId="65B1AD64" w14:textId="77777777" w:rsidR="00127E80" w:rsidRPr="00303DE7" w:rsidRDefault="00357E57" w:rsidP="00303DE7">
            <w:pPr>
              <w:spacing w:line="360" w:lineRule="auto"/>
              <w:jc w:val="center"/>
              <w:rPr>
                <w:rFonts w:ascii="Arial" w:hAnsi="Arial" w:cs="Arial"/>
                <w:b/>
                <w:szCs w:val="24"/>
              </w:rPr>
            </w:pPr>
            <w:r w:rsidRPr="00303DE7">
              <w:rPr>
                <w:rFonts w:ascii="Arial" w:hAnsi="Arial" w:cs="Arial"/>
                <w:b/>
                <w:szCs w:val="24"/>
              </w:rPr>
              <w:t>Description</w:t>
            </w:r>
          </w:p>
        </w:tc>
        <w:tc>
          <w:tcPr>
            <w:tcW w:w="0" w:type="auto"/>
            <w:hideMark/>
          </w:tcPr>
          <w:p w14:paraId="6C55B0F7" w14:textId="77777777" w:rsidR="00127E80" w:rsidRPr="00303DE7" w:rsidRDefault="00357E57" w:rsidP="00303DE7">
            <w:pPr>
              <w:spacing w:line="360" w:lineRule="auto"/>
              <w:jc w:val="center"/>
              <w:rPr>
                <w:rFonts w:ascii="Arial" w:hAnsi="Arial" w:cs="Arial"/>
                <w:b/>
                <w:szCs w:val="24"/>
              </w:rPr>
            </w:pPr>
            <w:r w:rsidRPr="00303DE7">
              <w:rPr>
                <w:rFonts w:ascii="Arial" w:hAnsi="Arial" w:cs="Arial"/>
                <w:b/>
                <w:szCs w:val="24"/>
              </w:rPr>
              <w:t>Application to StaySmart+</w:t>
            </w:r>
          </w:p>
        </w:tc>
        <w:tc>
          <w:tcPr>
            <w:tcW w:w="0" w:type="auto"/>
            <w:hideMark/>
          </w:tcPr>
          <w:p w14:paraId="2E72D331" w14:textId="77777777" w:rsidR="00127E80" w:rsidRPr="00303DE7" w:rsidRDefault="00357E57" w:rsidP="00303DE7">
            <w:pPr>
              <w:spacing w:line="360" w:lineRule="auto"/>
              <w:jc w:val="center"/>
              <w:rPr>
                <w:rFonts w:ascii="Arial" w:hAnsi="Arial" w:cs="Arial"/>
                <w:b/>
                <w:szCs w:val="24"/>
              </w:rPr>
            </w:pPr>
            <w:r w:rsidRPr="00303DE7">
              <w:rPr>
                <w:rFonts w:ascii="Arial" w:hAnsi="Arial" w:cs="Arial"/>
                <w:b/>
                <w:szCs w:val="24"/>
              </w:rPr>
              <w:t>Key Stakeholders Involved</w:t>
            </w:r>
          </w:p>
        </w:tc>
      </w:tr>
      <w:tr w:rsidR="008750CE" w:rsidRPr="00303DE7" w14:paraId="40CA8CE7" w14:textId="77777777" w:rsidTr="00127E80">
        <w:tc>
          <w:tcPr>
            <w:tcW w:w="0" w:type="auto"/>
            <w:hideMark/>
          </w:tcPr>
          <w:p w14:paraId="1851840D"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Communication</w:t>
            </w:r>
          </w:p>
        </w:tc>
        <w:tc>
          <w:tcPr>
            <w:tcW w:w="0" w:type="auto"/>
            <w:hideMark/>
          </w:tcPr>
          <w:p w14:paraId="0A43A272"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Information sharing</w:t>
            </w:r>
          </w:p>
        </w:tc>
        <w:tc>
          <w:tcPr>
            <w:tcW w:w="0" w:type="auto"/>
            <w:hideMark/>
          </w:tcPr>
          <w:p w14:paraId="5FBB99F9"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Regular updates on rollout progress and benefits</w:t>
            </w:r>
          </w:p>
        </w:tc>
        <w:tc>
          <w:tcPr>
            <w:tcW w:w="0" w:type="auto"/>
            <w:hideMark/>
          </w:tcPr>
          <w:p w14:paraId="3B0EC5E4"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All stakeholders</w:t>
            </w:r>
          </w:p>
        </w:tc>
      </w:tr>
      <w:tr w:rsidR="008750CE" w:rsidRPr="00303DE7" w14:paraId="2D4F8443" w14:textId="77777777" w:rsidTr="00127E80">
        <w:tc>
          <w:tcPr>
            <w:tcW w:w="0" w:type="auto"/>
            <w:hideMark/>
          </w:tcPr>
          <w:p w14:paraId="358C41ED"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Consultation</w:t>
            </w:r>
          </w:p>
        </w:tc>
        <w:tc>
          <w:tcPr>
            <w:tcW w:w="0" w:type="auto"/>
            <w:hideMark/>
          </w:tcPr>
          <w:p w14:paraId="60C9E9ED"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Seeking feedback</w:t>
            </w:r>
          </w:p>
        </w:tc>
        <w:tc>
          <w:tcPr>
            <w:tcW w:w="0" w:type="auto"/>
            <w:hideMark/>
          </w:tcPr>
          <w:p w14:paraId="3D201838"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Workshops on system usability and service design</w:t>
            </w:r>
          </w:p>
        </w:tc>
        <w:tc>
          <w:tcPr>
            <w:tcW w:w="0" w:type="auto"/>
            <w:hideMark/>
          </w:tcPr>
          <w:p w14:paraId="134DDE22"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Staff, managers, guests, vendors</w:t>
            </w:r>
          </w:p>
        </w:tc>
      </w:tr>
      <w:tr w:rsidR="008750CE" w:rsidRPr="00303DE7" w14:paraId="6BDC5141" w14:textId="77777777" w:rsidTr="00127E80">
        <w:tc>
          <w:tcPr>
            <w:tcW w:w="0" w:type="auto"/>
            <w:hideMark/>
          </w:tcPr>
          <w:p w14:paraId="5E91C3DF"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Collaboration</w:t>
            </w:r>
          </w:p>
        </w:tc>
        <w:tc>
          <w:tcPr>
            <w:tcW w:w="0" w:type="auto"/>
            <w:hideMark/>
          </w:tcPr>
          <w:p w14:paraId="1914316F"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Joint decision making</w:t>
            </w:r>
          </w:p>
        </w:tc>
        <w:tc>
          <w:tcPr>
            <w:tcW w:w="0" w:type="auto"/>
            <w:hideMark/>
          </w:tcPr>
          <w:p w14:paraId="36B9269F"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Co-development of operational processes</w:t>
            </w:r>
          </w:p>
        </w:tc>
        <w:tc>
          <w:tcPr>
            <w:tcW w:w="0" w:type="auto"/>
            <w:hideMark/>
          </w:tcPr>
          <w:p w14:paraId="780B7D8C"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IT teams, operations, vendors</w:t>
            </w:r>
          </w:p>
        </w:tc>
      </w:tr>
      <w:tr w:rsidR="008750CE" w:rsidRPr="00303DE7" w14:paraId="1A0F7866" w14:textId="77777777" w:rsidTr="00127E80">
        <w:tc>
          <w:tcPr>
            <w:tcW w:w="0" w:type="auto"/>
            <w:hideMark/>
          </w:tcPr>
          <w:p w14:paraId="7E260BF1"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Commitment</w:t>
            </w:r>
          </w:p>
        </w:tc>
        <w:tc>
          <w:tcPr>
            <w:tcW w:w="0" w:type="auto"/>
            <w:hideMark/>
          </w:tcPr>
          <w:p w14:paraId="14A51AF5"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Long-term alignment</w:t>
            </w:r>
          </w:p>
        </w:tc>
        <w:tc>
          <w:tcPr>
            <w:tcW w:w="0" w:type="auto"/>
            <w:hideMark/>
          </w:tcPr>
          <w:p w14:paraId="1D07ECF7"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Formal agreements and training programmes</w:t>
            </w:r>
          </w:p>
        </w:tc>
        <w:tc>
          <w:tcPr>
            <w:tcW w:w="0" w:type="auto"/>
            <w:hideMark/>
          </w:tcPr>
          <w:p w14:paraId="541A8FE7" w14:textId="77777777" w:rsidR="00127E80" w:rsidRPr="00303DE7" w:rsidRDefault="00357E57" w:rsidP="00303DE7">
            <w:pPr>
              <w:spacing w:line="360" w:lineRule="auto"/>
              <w:rPr>
                <w:rFonts w:ascii="Arial" w:hAnsi="Arial" w:cs="Arial"/>
                <w:szCs w:val="24"/>
              </w:rPr>
            </w:pPr>
            <w:r w:rsidRPr="00303DE7">
              <w:rPr>
                <w:rFonts w:ascii="Arial" w:hAnsi="Arial" w:cs="Arial"/>
                <w:szCs w:val="24"/>
              </w:rPr>
              <w:t>Leadership, employees, partners</w:t>
            </w:r>
          </w:p>
        </w:tc>
      </w:tr>
    </w:tbl>
    <w:p w14:paraId="5E8A8E9C" w14:textId="77777777" w:rsidR="00127E80" w:rsidRPr="00303DE7" w:rsidRDefault="00127E80" w:rsidP="00303DE7">
      <w:pPr>
        <w:spacing w:after="0" w:line="360" w:lineRule="auto"/>
        <w:rPr>
          <w:rFonts w:ascii="Arial" w:hAnsi="Arial" w:cs="Arial"/>
          <w:szCs w:val="24"/>
        </w:rPr>
      </w:pPr>
    </w:p>
    <w:p w14:paraId="048DE14C" w14:textId="77777777" w:rsidR="00014D73" w:rsidRPr="00303DE7" w:rsidRDefault="00357E57" w:rsidP="00303DE7">
      <w:pPr>
        <w:spacing w:after="0" w:line="360" w:lineRule="auto"/>
        <w:rPr>
          <w:rFonts w:ascii="Arial" w:hAnsi="Arial" w:cs="Arial"/>
          <w:szCs w:val="24"/>
        </w:rPr>
      </w:pPr>
      <w:r w:rsidRPr="00303DE7">
        <w:rPr>
          <w:rFonts w:ascii="Arial" w:hAnsi="Arial" w:cs="Arial"/>
          <w:szCs w:val="24"/>
        </w:rPr>
        <w:lastRenderedPageBreak/>
        <w:t xml:space="preserve">The communication, consultation, collaboration, and commitment plan, as demonstrated in the 4C engagement plan, would provide organised communication, consultation, collaboration, and commitment to various stakeholders. Alabi (2024) claims that participative engagement is a source of trust and legitimacy, and the theory provided by Vroom and Yetton emphasises the importance of collaboration in gaining acceptance during decision-making. In the case of StaySmart +, this keeps frontline personnel, IT teams, and vendors on the same page globally. </w:t>
      </w:r>
    </w:p>
    <w:p w14:paraId="5208E64B" w14:textId="77777777" w:rsidR="00B474EE" w:rsidRPr="00F63AF3" w:rsidRDefault="00357E57" w:rsidP="00303DE7">
      <w:pPr>
        <w:pStyle w:val="Heading2"/>
        <w:spacing w:after="0" w:line="360" w:lineRule="auto"/>
        <w:rPr>
          <w:rFonts w:ascii="Arial" w:hAnsi="Arial" w:cs="Arial"/>
          <w:b/>
          <w:bCs/>
          <w:szCs w:val="24"/>
        </w:rPr>
      </w:pPr>
      <w:bookmarkStart w:id="10" w:name="_Toc224377111"/>
      <w:r w:rsidRPr="00F63AF3">
        <w:rPr>
          <w:rFonts w:ascii="Arial" w:hAnsi="Arial" w:cs="Arial"/>
          <w:b/>
          <w:bCs/>
          <w:szCs w:val="24"/>
        </w:rPr>
        <w:t>Communication Plan</w:t>
      </w:r>
      <w:bookmarkEnd w:id="10"/>
    </w:p>
    <w:tbl>
      <w:tblPr>
        <w:tblStyle w:val="TableGrid"/>
        <w:tblW w:w="0" w:type="auto"/>
        <w:tblLook w:val="04A0" w:firstRow="1" w:lastRow="0" w:firstColumn="1" w:lastColumn="0" w:noHBand="0" w:noVBand="1"/>
      </w:tblPr>
      <w:tblGrid>
        <w:gridCol w:w="2297"/>
        <w:gridCol w:w="2662"/>
        <w:gridCol w:w="1845"/>
        <w:gridCol w:w="2546"/>
      </w:tblGrid>
      <w:tr w:rsidR="008750CE" w:rsidRPr="00303DE7" w14:paraId="414DF7A3" w14:textId="77777777" w:rsidTr="00EE365E">
        <w:tc>
          <w:tcPr>
            <w:tcW w:w="0" w:type="auto"/>
            <w:hideMark/>
          </w:tcPr>
          <w:p w14:paraId="3A77A23D" w14:textId="77777777" w:rsidR="00EE365E" w:rsidRPr="00303DE7" w:rsidRDefault="00357E57" w:rsidP="00303DE7">
            <w:pPr>
              <w:spacing w:line="360" w:lineRule="auto"/>
              <w:jc w:val="center"/>
              <w:rPr>
                <w:rFonts w:ascii="Arial" w:hAnsi="Arial" w:cs="Arial"/>
                <w:b/>
                <w:szCs w:val="24"/>
              </w:rPr>
            </w:pPr>
            <w:r w:rsidRPr="00303DE7">
              <w:rPr>
                <w:rFonts w:ascii="Arial" w:hAnsi="Arial" w:cs="Arial"/>
                <w:b/>
                <w:szCs w:val="24"/>
              </w:rPr>
              <w:t>Stakeholder Group</w:t>
            </w:r>
          </w:p>
        </w:tc>
        <w:tc>
          <w:tcPr>
            <w:tcW w:w="0" w:type="auto"/>
            <w:hideMark/>
          </w:tcPr>
          <w:p w14:paraId="1A97D395" w14:textId="77777777" w:rsidR="00EE365E" w:rsidRPr="00303DE7" w:rsidRDefault="00357E57" w:rsidP="00303DE7">
            <w:pPr>
              <w:spacing w:line="360" w:lineRule="auto"/>
              <w:jc w:val="center"/>
              <w:rPr>
                <w:rFonts w:ascii="Arial" w:hAnsi="Arial" w:cs="Arial"/>
                <w:b/>
                <w:szCs w:val="24"/>
              </w:rPr>
            </w:pPr>
            <w:r w:rsidRPr="00303DE7">
              <w:rPr>
                <w:rFonts w:ascii="Arial" w:hAnsi="Arial" w:cs="Arial"/>
                <w:b/>
                <w:szCs w:val="24"/>
              </w:rPr>
              <w:t>Communication Method</w:t>
            </w:r>
          </w:p>
        </w:tc>
        <w:tc>
          <w:tcPr>
            <w:tcW w:w="0" w:type="auto"/>
            <w:hideMark/>
          </w:tcPr>
          <w:p w14:paraId="4D9CB14D" w14:textId="77777777" w:rsidR="00EE365E" w:rsidRPr="00303DE7" w:rsidRDefault="00357E57" w:rsidP="00303DE7">
            <w:pPr>
              <w:spacing w:line="360" w:lineRule="auto"/>
              <w:jc w:val="center"/>
              <w:rPr>
                <w:rFonts w:ascii="Arial" w:hAnsi="Arial" w:cs="Arial"/>
                <w:b/>
                <w:szCs w:val="24"/>
              </w:rPr>
            </w:pPr>
            <w:r w:rsidRPr="00303DE7">
              <w:rPr>
                <w:rFonts w:ascii="Arial" w:hAnsi="Arial" w:cs="Arial"/>
                <w:b/>
                <w:szCs w:val="24"/>
              </w:rPr>
              <w:t>Frequency</w:t>
            </w:r>
          </w:p>
        </w:tc>
        <w:tc>
          <w:tcPr>
            <w:tcW w:w="0" w:type="auto"/>
            <w:hideMark/>
          </w:tcPr>
          <w:p w14:paraId="0F4ABD54" w14:textId="77777777" w:rsidR="00EE365E" w:rsidRPr="00303DE7" w:rsidRDefault="00357E57" w:rsidP="00303DE7">
            <w:pPr>
              <w:spacing w:line="360" w:lineRule="auto"/>
              <w:jc w:val="center"/>
              <w:rPr>
                <w:rFonts w:ascii="Arial" w:hAnsi="Arial" w:cs="Arial"/>
                <w:b/>
                <w:szCs w:val="24"/>
              </w:rPr>
            </w:pPr>
            <w:r w:rsidRPr="00303DE7">
              <w:rPr>
                <w:rFonts w:ascii="Arial" w:hAnsi="Arial" w:cs="Arial"/>
                <w:b/>
                <w:szCs w:val="24"/>
              </w:rPr>
              <w:t>Purpose</w:t>
            </w:r>
          </w:p>
        </w:tc>
      </w:tr>
      <w:tr w:rsidR="008750CE" w:rsidRPr="00303DE7" w14:paraId="4060A66D" w14:textId="77777777" w:rsidTr="00EE365E">
        <w:tc>
          <w:tcPr>
            <w:tcW w:w="0" w:type="auto"/>
            <w:hideMark/>
          </w:tcPr>
          <w:p w14:paraId="672203ED"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Senior leadership &amp; investors</w:t>
            </w:r>
          </w:p>
        </w:tc>
        <w:tc>
          <w:tcPr>
            <w:tcW w:w="0" w:type="auto"/>
            <w:hideMark/>
          </w:tcPr>
          <w:p w14:paraId="1EFD8187"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Executive briefings</w:t>
            </w:r>
          </w:p>
        </w:tc>
        <w:tc>
          <w:tcPr>
            <w:tcW w:w="0" w:type="auto"/>
            <w:hideMark/>
          </w:tcPr>
          <w:p w14:paraId="7E5ED721"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Monthly</w:t>
            </w:r>
          </w:p>
        </w:tc>
        <w:tc>
          <w:tcPr>
            <w:tcW w:w="0" w:type="auto"/>
            <w:hideMark/>
          </w:tcPr>
          <w:p w14:paraId="17700AF2"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Monitor progress and risks</w:t>
            </w:r>
          </w:p>
        </w:tc>
      </w:tr>
      <w:tr w:rsidR="008750CE" w:rsidRPr="00303DE7" w14:paraId="42E8E061" w14:textId="77777777" w:rsidTr="00EE365E">
        <w:tc>
          <w:tcPr>
            <w:tcW w:w="0" w:type="auto"/>
            <w:hideMark/>
          </w:tcPr>
          <w:p w14:paraId="56DD8C7F"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Hotel managers</w:t>
            </w:r>
          </w:p>
        </w:tc>
        <w:tc>
          <w:tcPr>
            <w:tcW w:w="0" w:type="auto"/>
            <w:hideMark/>
          </w:tcPr>
          <w:p w14:paraId="0C63C95E"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Virtual meetings</w:t>
            </w:r>
          </w:p>
        </w:tc>
        <w:tc>
          <w:tcPr>
            <w:tcW w:w="0" w:type="auto"/>
            <w:hideMark/>
          </w:tcPr>
          <w:p w14:paraId="6B30DDD5"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Bi-weekly</w:t>
            </w:r>
          </w:p>
        </w:tc>
        <w:tc>
          <w:tcPr>
            <w:tcW w:w="0" w:type="auto"/>
            <w:hideMark/>
          </w:tcPr>
          <w:p w14:paraId="4CBB278B"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Coordinate implementation</w:t>
            </w:r>
          </w:p>
        </w:tc>
      </w:tr>
      <w:tr w:rsidR="008750CE" w:rsidRPr="00303DE7" w14:paraId="60CF4CDE" w14:textId="77777777" w:rsidTr="00EE365E">
        <w:tc>
          <w:tcPr>
            <w:tcW w:w="0" w:type="auto"/>
            <w:hideMark/>
          </w:tcPr>
          <w:p w14:paraId="7AF4BDC1"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Frontline staff</w:t>
            </w:r>
          </w:p>
        </w:tc>
        <w:tc>
          <w:tcPr>
            <w:tcW w:w="0" w:type="auto"/>
            <w:hideMark/>
          </w:tcPr>
          <w:p w14:paraId="1A20911F"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Training sessions &amp; intranet</w:t>
            </w:r>
          </w:p>
        </w:tc>
        <w:tc>
          <w:tcPr>
            <w:tcW w:w="0" w:type="auto"/>
            <w:hideMark/>
          </w:tcPr>
          <w:p w14:paraId="6E6C1D6A"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Weekly during rollout</w:t>
            </w:r>
          </w:p>
        </w:tc>
        <w:tc>
          <w:tcPr>
            <w:tcW w:w="0" w:type="auto"/>
            <w:hideMark/>
          </w:tcPr>
          <w:p w14:paraId="44B14C77"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Build capability and acceptance</w:t>
            </w:r>
          </w:p>
        </w:tc>
      </w:tr>
      <w:tr w:rsidR="008750CE" w:rsidRPr="00303DE7" w14:paraId="1A37F26D" w14:textId="77777777" w:rsidTr="00EE365E">
        <w:tc>
          <w:tcPr>
            <w:tcW w:w="0" w:type="auto"/>
            <w:hideMark/>
          </w:tcPr>
          <w:p w14:paraId="0BC4C01C"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Guests</w:t>
            </w:r>
          </w:p>
        </w:tc>
        <w:tc>
          <w:tcPr>
            <w:tcW w:w="0" w:type="auto"/>
            <w:hideMark/>
          </w:tcPr>
          <w:p w14:paraId="160AB563"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Mobile app notifications &amp; email</w:t>
            </w:r>
          </w:p>
        </w:tc>
        <w:tc>
          <w:tcPr>
            <w:tcW w:w="0" w:type="auto"/>
            <w:hideMark/>
          </w:tcPr>
          <w:p w14:paraId="33DD47D2"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Pre and post launch</w:t>
            </w:r>
          </w:p>
        </w:tc>
        <w:tc>
          <w:tcPr>
            <w:tcW w:w="0" w:type="auto"/>
            <w:hideMark/>
          </w:tcPr>
          <w:p w14:paraId="4B190740"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Promote adoption</w:t>
            </w:r>
          </w:p>
        </w:tc>
      </w:tr>
      <w:tr w:rsidR="008750CE" w:rsidRPr="00303DE7" w14:paraId="736B835D" w14:textId="77777777" w:rsidTr="00EE365E">
        <w:tc>
          <w:tcPr>
            <w:tcW w:w="0" w:type="auto"/>
            <w:hideMark/>
          </w:tcPr>
          <w:p w14:paraId="6F5C00B5"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Regulators</w:t>
            </w:r>
          </w:p>
        </w:tc>
        <w:tc>
          <w:tcPr>
            <w:tcW w:w="0" w:type="auto"/>
            <w:hideMark/>
          </w:tcPr>
          <w:p w14:paraId="37941A0A"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Formal reports</w:t>
            </w:r>
          </w:p>
        </w:tc>
        <w:tc>
          <w:tcPr>
            <w:tcW w:w="0" w:type="auto"/>
            <w:hideMark/>
          </w:tcPr>
          <w:p w14:paraId="47B7B5E4"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As required</w:t>
            </w:r>
          </w:p>
        </w:tc>
        <w:tc>
          <w:tcPr>
            <w:tcW w:w="0" w:type="auto"/>
            <w:hideMark/>
          </w:tcPr>
          <w:p w14:paraId="6DC9D7DF"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Ensure compliance</w:t>
            </w:r>
          </w:p>
        </w:tc>
      </w:tr>
      <w:tr w:rsidR="008750CE" w:rsidRPr="00303DE7" w14:paraId="17DF3CF1" w14:textId="77777777" w:rsidTr="00EE365E">
        <w:tc>
          <w:tcPr>
            <w:tcW w:w="0" w:type="auto"/>
            <w:hideMark/>
          </w:tcPr>
          <w:p w14:paraId="7E9B82A3"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Vendors</w:t>
            </w:r>
          </w:p>
        </w:tc>
        <w:tc>
          <w:tcPr>
            <w:tcW w:w="0" w:type="auto"/>
            <w:hideMark/>
          </w:tcPr>
          <w:p w14:paraId="2EEFB129"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Technical workshops</w:t>
            </w:r>
          </w:p>
        </w:tc>
        <w:tc>
          <w:tcPr>
            <w:tcW w:w="0" w:type="auto"/>
            <w:hideMark/>
          </w:tcPr>
          <w:p w14:paraId="3C6C34CE"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Weekly</w:t>
            </w:r>
          </w:p>
        </w:tc>
        <w:tc>
          <w:tcPr>
            <w:tcW w:w="0" w:type="auto"/>
            <w:hideMark/>
          </w:tcPr>
          <w:p w14:paraId="1E32A48B" w14:textId="77777777" w:rsidR="00EE365E" w:rsidRPr="00303DE7" w:rsidRDefault="00357E57" w:rsidP="00303DE7">
            <w:pPr>
              <w:spacing w:line="360" w:lineRule="auto"/>
              <w:rPr>
                <w:rFonts w:ascii="Arial" w:hAnsi="Arial" w:cs="Arial"/>
                <w:szCs w:val="24"/>
              </w:rPr>
            </w:pPr>
            <w:r w:rsidRPr="00303DE7">
              <w:rPr>
                <w:rFonts w:ascii="Arial" w:hAnsi="Arial" w:cs="Arial"/>
                <w:szCs w:val="24"/>
              </w:rPr>
              <w:t>Resolve integration issues</w:t>
            </w:r>
          </w:p>
        </w:tc>
      </w:tr>
    </w:tbl>
    <w:p w14:paraId="6A31B839" w14:textId="77777777" w:rsidR="00EE365E" w:rsidRPr="00303DE7" w:rsidRDefault="00EE365E" w:rsidP="00303DE7">
      <w:pPr>
        <w:spacing w:after="0" w:line="360" w:lineRule="auto"/>
        <w:rPr>
          <w:rFonts w:ascii="Arial" w:hAnsi="Arial" w:cs="Arial"/>
          <w:szCs w:val="24"/>
        </w:rPr>
      </w:pPr>
    </w:p>
    <w:p w14:paraId="10755846" w14:textId="77777777" w:rsidR="00014D73" w:rsidRPr="00303DE7" w:rsidRDefault="00357E57" w:rsidP="00303DE7">
      <w:pPr>
        <w:spacing w:after="0" w:line="360" w:lineRule="auto"/>
        <w:rPr>
          <w:rFonts w:ascii="Arial" w:hAnsi="Arial" w:cs="Arial"/>
          <w:szCs w:val="24"/>
        </w:rPr>
      </w:pPr>
      <w:r w:rsidRPr="00303DE7">
        <w:rPr>
          <w:rFonts w:ascii="Arial" w:hAnsi="Arial" w:cs="Arial"/>
          <w:szCs w:val="24"/>
        </w:rPr>
        <w:t xml:space="preserve">The organised communication strategy eliminates doubts and opposition in the process of technological change. Individualising the frequency and methodology between the various stakeholder groups, like weekly staff training or a monthly executive briefing, creates trust and transparency. It is more understandable and more involved in doing this in a global environment where the number of messages addressed to local culture and language is higher (Okonkwo et al., 2023). </w:t>
      </w:r>
    </w:p>
    <w:p w14:paraId="00C828AF" w14:textId="77777777" w:rsidR="00B6678E" w:rsidRPr="00303DE7" w:rsidRDefault="00357E57" w:rsidP="00303DE7">
      <w:pPr>
        <w:pStyle w:val="Heading2"/>
        <w:spacing w:after="0" w:line="360" w:lineRule="auto"/>
        <w:rPr>
          <w:rFonts w:ascii="Arial" w:hAnsi="Arial" w:cs="Arial"/>
          <w:szCs w:val="24"/>
        </w:rPr>
      </w:pPr>
      <w:bookmarkStart w:id="11" w:name="_Toc224377112"/>
      <w:r w:rsidRPr="00303DE7">
        <w:rPr>
          <w:rFonts w:ascii="Arial" w:hAnsi="Arial" w:cs="Arial"/>
          <w:szCs w:val="24"/>
        </w:rPr>
        <w:lastRenderedPageBreak/>
        <w:t>RACI Matrix (Engagement Activities)</w:t>
      </w:r>
      <w:bookmarkEnd w:id="11"/>
    </w:p>
    <w:tbl>
      <w:tblPr>
        <w:tblStyle w:val="TableGrid"/>
        <w:tblW w:w="0" w:type="auto"/>
        <w:tblLook w:val="04A0" w:firstRow="1" w:lastRow="0" w:firstColumn="1" w:lastColumn="0" w:noHBand="0" w:noVBand="1"/>
      </w:tblPr>
      <w:tblGrid>
        <w:gridCol w:w="1585"/>
        <w:gridCol w:w="1268"/>
        <w:gridCol w:w="1026"/>
        <w:gridCol w:w="731"/>
        <w:gridCol w:w="1256"/>
        <w:gridCol w:w="1332"/>
        <w:gridCol w:w="1147"/>
        <w:gridCol w:w="1005"/>
      </w:tblGrid>
      <w:tr w:rsidR="008750CE" w:rsidRPr="00303DE7" w14:paraId="4E190457" w14:textId="77777777" w:rsidTr="00FC7215">
        <w:tc>
          <w:tcPr>
            <w:tcW w:w="0" w:type="auto"/>
            <w:hideMark/>
          </w:tcPr>
          <w:p w14:paraId="19CD7E58"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Activity</w:t>
            </w:r>
          </w:p>
        </w:tc>
        <w:tc>
          <w:tcPr>
            <w:tcW w:w="0" w:type="auto"/>
            <w:hideMark/>
          </w:tcPr>
          <w:p w14:paraId="7B74B55B"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Leadership</w:t>
            </w:r>
          </w:p>
        </w:tc>
        <w:tc>
          <w:tcPr>
            <w:tcW w:w="0" w:type="auto"/>
            <w:hideMark/>
          </w:tcPr>
          <w:p w14:paraId="475E6306"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Project Manager</w:t>
            </w:r>
          </w:p>
        </w:tc>
        <w:tc>
          <w:tcPr>
            <w:tcW w:w="0" w:type="auto"/>
            <w:hideMark/>
          </w:tcPr>
          <w:p w14:paraId="0B09C243"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IT Team</w:t>
            </w:r>
          </w:p>
        </w:tc>
        <w:tc>
          <w:tcPr>
            <w:tcW w:w="0" w:type="auto"/>
            <w:hideMark/>
          </w:tcPr>
          <w:p w14:paraId="106E3918"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Operations</w:t>
            </w:r>
          </w:p>
        </w:tc>
        <w:tc>
          <w:tcPr>
            <w:tcW w:w="0" w:type="auto"/>
            <w:hideMark/>
          </w:tcPr>
          <w:p w14:paraId="6F90FC66"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HR/Training</w:t>
            </w:r>
          </w:p>
        </w:tc>
        <w:tc>
          <w:tcPr>
            <w:tcW w:w="0" w:type="auto"/>
            <w:hideMark/>
          </w:tcPr>
          <w:p w14:paraId="282FB51D"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Marketing</w:t>
            </w:r>
          </w:p>
        </w:tc>
        <w:tc>
          <w:tcPr>
            <w:tcW w:w="0" w:type="auto"/>
            <w:hideMark/>
          </w:tcPr>
          <w:p w14:paraId="4943EE47" w14:textId="77777777" w:rsidR="00FC7215" w:rsidRPr="00303DE7" w:rsidRDefault="00357E57" w:rsidP="00303DE7">
            <w:pPr>
              <w:spacing w:line="360" w:lineRule="auto"/>
              <w:jc w:val="center"/>
              <w:rPr>
                <w:rFonts w:ascii="Arial" w:hAnsi="Arial" w:cs="Arial"/>
                <w:b/>
                <w:szCs w:val="24"/>
              </w:rPr>
            </w:pPr>
            <w:r w:rsidRPr="00303DE7">
              <w:rPr>
                <w:rFonts w:ascii="Arial" w:hAnsi="Arial" w:cs="Arial"/>
                <w:b/>
                <w:szCs w:val="24"/>
              </w:rPr>
              <w:t>Vendors</w:t>
            </w:r>
          </w:p>
        </w:tc>
      </w:tr>
      <w:tr w:rsidR="008750CE" w:rsidRPr="00303DE7" w14:paraId="20E578AB" w14:textId="77777777" w:rsidTr="00FC7215">
        <w:tc>
          <w:tcPr>
            <w:tcW w:w="0" w:type="auto"/>
            <w:hideMark/>
          </w:tcPr>
          <w:p w14:paraId="30C862AF"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Engagement strategy approval</w:t>
            </w:r>
          </w:p>
        </w:tc>
        <w:tc>
          <w:tcPr>
            <w:tcW w:w="0" w:type="auto"/>
            <w:hideMark/>
          </w:tcPr>
          <w:p w14:paraId="127EAEB1"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A</w:t>
            </w:r>
          </w:p>
        </w:tc>
        <w:tc>
          <w:tcPr>
            <w:tcW w:w="0" w:type="auto"/>
            <w:hideMark/>
          </w:tcPr>
          <w:p w14:paraId="21006AFC"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R</w:t>
            </w:r>
          </w:p>
        </w:tc>
        <w:tc>
          <w:tcPr>
            <w:tcW w:w="0" w:type="auto"/>
            <w:hideMark/>
          </w:tcPr>
          <w:p w14:paraId="2814FF3E"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4890C21E"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7473D582"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1AD2C98D"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238ADA4D"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r>
      <w:tr w:rsidR="008750CE" w:rsidRPr="00303DE7" w14:paraId="76848935" w14:textId="77777777" w:rsidTr="00FC7215">
        <w:tc>
          <w:tcPr>
            <w:tcW w:w="0" w:type="auto"/>
            <w:hideMark/>
          </w:tcPr>
          <w:p w14:paraId="1E52F08B"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Stakeholder consultations</w:t>
            </w:r>
          </w:p>
        </w:tc>
        <w:tc>
          <w:tcPr>
            <w:tcW w:w="0" w:type="auto"/>
            <w:hideMark/>
          </w:tcPr>
          <w:p w14:paraId="6EE2D5B7"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0F2DC9CA"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6AA30B0B"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0BEB9BD6"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68C6175D"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127B3496"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1B9D2441"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r>
      <w:tr w:rsidR="008750CE" w:rsidRPr="00303DE7" w14:paraId="635E93FA" w14:textId="77777777" w:rsidTr="00FC7215">
        <w:tc>
          <w:tcPr>
            <w:tcW w:w="0" w:type="auto"/>
            <w:hideMark/>
          </w:tcPr>
          <w:p w14:paraId="5590ADEA"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Communication delivery</w:t>
            </w:r>
          </w:p>
        </w:tc>
        <w:tc>
          <w:tcPr>
            <w:tcW w:w="0" w:type="auto"/>
            <w:hideMark/>
          </w:tcPr>
          <w:p w14:paraId="2A6CC6FF"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2A1AE813"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6545E6A9"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45AEBF5B"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5BEFD75B"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1B259AF9"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0CB6FEED"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r>
      <w:tr w:rsidR="008750CE" w:rsidRPr="00303DE7" w14:paraId="34C66C66" w14:textId="77777777" w:rsidTr="00FC7215">
        <w:tc>
          <w:tcPr>
            <w:tcW w:w="0" w:type="auto"/>
            <w:hideMark/>
          </w:tcPr>
          <w:p w14:paraId="3E5FBB68"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Training programmes</w:t>
            </w:r>
          </w:p>
        </w:tc>
        <w:tc>
          <w:tcPr>
            <w:tcW w:w="0" w:type="auto"/>
            <w:hideMark/>
          </w:tcPr>
          <w:p w14:paraId="79A55999"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576B3419"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46BA841D"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7C6B2EFD"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36F693AD"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2C8C1FC0"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16AAE2AB"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r>
      <w:tr w:rsidR="008750CE" w:rsidRPr="00303DE7" w14:paraId="06438930" w14:textId="77777777" w:rsidTr="00FC7215">
        <w:tc>
          <w:tcPr>
            <w:tcW w:w="0" w:type="auto"/>
            <w:hideMark/>
          </w:tcPr>
          <w:p w14:paraId="3B395A53"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Feedback monitoring</w:t>
            </w:r>
          </w:p>
        </w:tc>
        <w:tc>
          <w:tcPr>
            <w:tcW w:w="0" w:type="auto"/>
            <w:hideMark/>
          </w:tcPr>
          <w:p w14:paraId="224AF0C1"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I</w:t>
            </w:r>
          </w:p>
        </w:tc>
        <w:tc>
          <w:tcPr>
            <w:tcW w:w="0" w:type="auto"/>
            <w:hideMark/>
          </w:tcPr>
          <w:p w14:paraId="3002E458"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A/R</w:t>
            </w:r>
          </w:p>
        </w:tc>
        <w:tc>
          <w:tcPr>
            <w:tcW w:w="0" w:type="auto"/>
            <w:hideMark/>
          </w:tcPr>
          <w:p w14:paraId="79FEE1B3"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42259925"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377109DE"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069452EF"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c>
          <w:tcPr>
            <w:tcW w:w="0" w:type="auto"/>
            <w:hideMark/>
          </w:tcPr>
          <w:p w14:paraId="033E40AB" w14:textId="77777777" w:rsidR="00FC7215" w:rsidRPr="00303DE7" w:rsidRDefault="00357E57" w:rsidP="00303DE7">
            <w:pPr>
              <w:spacing w:line="360" w:lineRule="auto"/>
              <w:rPr>
                <w:rFonts w:ascii="Arial" w:hAnsi="Arial" w:cs="Arial"/>
                <w:szCs w:val="24"/>
              </w:rPr>
            </w:pPr>
            <w:r w:rsidRPr="00303DE7">
              <w:rPr>
                <w:rFonts w:ascii="Arial" w:hAnsi="Arial" w:cs="Arial"/>
                <w:szCs w:val="24"/>
              </w:rPr>
              <w:t>C</w:t>
            </w:r>
          </w:p>
        </w:tc>
      </w:tr>
    </w:tbl>
    <w:p w14:paraId="67F2983B" w14:textId="77777777" w:rsidR="00B6678E" w:rsidRPr="00303DE7" w:rsidRDefault="00B6678E" w:rsidP="00303DE7">
      <w:pPr>
        <w:spacing w:after="0" w:line="360" w:lineRule="auto"/>
        <w:rPr>
          <w:rFonts w:ascii="Arial" w:hAnsi="Arial" w:cs="Arial"/>
          <w:szCs w:val="24"/>
        </w:rPr>
      </w:pPr>
    </w:p>
    <w:p w14:paraId="60C6FD31" w14:textId="77777777" w:rsidR="008D5AD7" w:rsidRPr="00303DE7" w:rsidRDefault="00357E57" w:rsidP="00303DE7">
      <w:pPr>
        <w:spacing w:after="0" w:line="360" w:lineRule="auto"/>
        <w:rPr>
          <w:rFonts w:ascii="Arial" w:hAnsi="Arial" w:cs="Arial"/>
          <w:szCs w:val="24"/>
        </w:rPr>
      </w:pPr>
      <w:r w:rsidRPr="00303DE7">
        <w:rPr>
          <w:rFonts w:ascii="Arial" w:hAnsi="Arial" w:cs="Arial"/>
          <w:szCs w:val="24"/>
        </w:rPr>
        <w:t>The RACI matrix ensures that the roles are clear and there are no duplications and a lack of accountability (PMI, 2021). When the project manager is given responsibility, and IT and HR are consulted or held accountable, there will be coordinated action. It is especially important to StaySmart+ in various regions, which facilitates the alignment of operations, fast decision-making, and confidence among internal and external stakeholders.</w:t>
      </w:r>
    </w:p>
    <w:p w14:paraId="4CEC35B0" w14:textId="77777777" w:rsidR="003F5DE6" w:rsidRPr="00303DE7" w:rsidRDefault="003F5DE6" w:rsidP="00303DE7">
      <w:pPr>
        <w:spacing w:after="0" w:line="360" w:lineRule="auto"/>
        <w:rPr>
          <w:rFonts w:ascii="Arial" w:hAnsi="Arial" w:cs="Arial"/>
          <w:szCs w:val="24"/>
        </w:rPr>
      </w:pPr>
    </w:p>
    <w:p w14:paraId="1CD48891" w14:textId="77777777" w:rsidR="003F5DE6" w:rsidRPr="00303DE7" w:rsidRDefault="00357E57" w:rsidP="00303DE7">
      <w:pPr>
        <w:pStyle w:val="Heading1"/>
        <w:spacing w:after="0" w:line="360" w:lineRule="auto"/>
        <w:rPr>
          <w:rFonts w:ascii="Arial" w:hAnsi="Arial" w:cs="Arial"/>
          <w:szCs w:val="24"/>
        </w:rPr>
      </w:pPr>
      <w:bookmarkStart w:id="12" w:name="_Toc224377113"/>
      <w:r w:rsidRPr="00303DE7">
        <w:rPr>
          <w:rFonts w:ascii="Arial" w:hAnsi="Arial" w:cs="Arial"/>
          <w:szCs w:val="24"/>
        </w:rPr>
        <w:t>Stakeholder Engagement Process &amp; Conflict Management</w:t>
      </w:r>
      <w:bookmarkEnd w:id="12"/>
    </w:p>
    <w:p w14:paraId="2087DE2C" w14:textId="5A459F6E" w:rsidR="00DF231C" w:rsidRPr="00303DE7" w:rsidRDefault="00357E57" w:rsidP="00303DE7">
      <w:pPr>
        <w:spacing w:after="0" w:line="360" w:lineRule="auto"/>
        <w:rPr>
          <w:rFonts w:ascii="Arial" w:hAnsi="Arial" w:cs="Arial"/>
          <w:szCs w:val="24"/>
        </w:rPr>
      </w:pPr>
      <w:r w:rsidRPr="00303DE7">
        <w:rPr>
          <w:rFonts w:ascii="Arial" w:hAnsi="Arial" w:cs="Arial"/>
          <w:szCs w:val="24"/>
        </w:rPr>
        <w:t xml:space="preserve">Management of stakeholders in an international programme like StaySmart+ should be done in a systematic manner where communication, consultation, collaboration, and commitment between various cultural and operational environments are integrated in a balanced manner. This structure is facilitated by the 4C framework to develop specific, adaptive strategies that bring about trust, alignment, and project achievement </w:t>
      </w:r>
      <w:r w:rsidRPr="00303DE7">
        <w:rPr>
          <w:rFonts w:ascii="Arial" w:hAnsi="Arial" w:cs="Arial"/>
          <w:szCs w:val="24"/>
        </w:rPr>
        <w:lastRenderedPageBreak/>
        <w:t xml:space="preserve">(Bourne, 2015). Being the Project Manager, I am the main coordinator, and </w:t>
      </w:r>
      <w:r w:rsidR="002C5FA5" w:rsidRPr="00303DE7">
        <w:rPr>
          <w:rFonts w:ascii="Arial" w:hAnsi="Arial" w:cs="Arial"/>
          <w:szCs w:val="24"/>
        </w:rPr>
        <w:t>each</w:t>
      </w:r>
      <w:r w:rsidRPr="00303DE7">
        <w:rPr>
          <w:rFonts w:ascii="Arial" w:hAnsi="Arial" w:cs="Arial"/>
          <w:szCs w:val="24"/>
        </w:rPr>
        <w:t xml:space="preserve"> engagement is to be determined and consistent with the strategic goals, the reality of the operations, and the expectations of various groups of stakeholders. </w:t>
      </w:r>
    </w:p>
    <w:p w14:paraId="1762FA01" w14:textId="77777777" w:rsidR="00D731CE" w:rsidRPr="00303DE7" w:rsidRDefault="00D731CE" w:rsidP="00303DE7">
      <w:pPr>
        <w:spacing w:after="0" w:line="360" w:lineRule="auto"/>
        <w:rPr>
          <w:rFonts w:ascii="Arial" w:hAnsi="Arial" w:cs="Arial"/>
          <w:szCs w:val="24"/>
        </w:rPr>
      </w:pPr>
    </w:p>
    <w:tbl>
      <w:tblPr>
        <w:tblStyle w:val="TableGrid"/>
        <w:tblW w:w="0" w:type="auto"/>
        <w:tblLook w:val="04A0" w:firstRow="1" w:lastRow="0" w:firstColumn="1" w:lastColumn="0" w:noHBand="0" w:noVBand="1"/>
      </w:tblPr>
      <w:tblGrid>
        <w:gridCol w:w="1884"/>
        <w:gridCol w:w="2118"/>
        <w:gridCol w:w="3073"/>
        <w:gridCol w:w="2275"/>
      </w:tblGrid>
      <w:tr w:rsidR="008750CE" w:rsidRPr="00303DE7" w14:paraId="7F05F294" w14:textId="77777777" w:rsidTr="001B229E">
        <w:tc>
          <w:tcPr>
            <w:tcW w:w="0" w:type="auto"/>
            <w:hideMark/>
          </w:tcPr>
          <w:p w14:paraId="4B1DBECC" w14:textId="77777777" w:rsidR="001B229E" w:rsidRPr="00303DE7" w:rsidRDefault="00357E57" w:rsidP="00303DE7">
            <w:pPr>
              <w:spacing w:line="360" w:lineRule="auto"/>
              <w:jc w:val="center"/>
              <w:rPr>
                <w:rFonts w:ascii="Arial" w:hAnsi="Arial" w:cs="Arial"/>
                <w:b/>
                <w:szCs w:val="24"/>
              </w:rPr>
            </w:pPr>
            <w:r w:rsidRPr="00303DE7">
              <w:rPr>
                <w:rFonts w:ascii="Arial" w:hAnsi="Arial" w:cs="Arial"/>
                <w:b/>
                <w:szCs w:val="24"/>
              </w:rPr>
              <w:t>4C Element</w:t>
            </w:r>
          </w:p>
        </w:tc>
        <w:tc>
          <w:tcPr>
            <w:tcW w:w="0" w:type="auto"/>
            <w:hideMark/>
          </w:tcPr>
          <w:p w14:paraId="4F2D680F" w14:textId="77777777" w:rsidR="001B229E" w:rsidRPr="00303DE7" w:rsidRDefault="00357E57" w:rsidP="00303DE7">
            <w:pPr>
              <w:spacing w:line="360" w:lineRule="auto"/>
              <w:jc w:val="center"/>
              <w:rPr>
                <w:rFonts w:ascii="Arial" w:hAnsi="Arial" w:cs="Arial"/>
                <w:b/>
                <w:szCs w:val="24"/>
              </w:rPr>
            </w:pPr>
            <w:r w:rsidRPr="00303DE7">
              <w:rPr>
                <w:rFonts w:ascii="Arial" w:hAnsi="Arial" w:cs="Arial"/>
                <w:b/>
                <w:szCs w:val="24"/>
              </w:rPr>
              <w:t>Description</w:t>
            </w:r>
          </w:p>
        </w:tc>
        <w:tc>
          <w:tcPr>
            <w:tcW w:w="0" w:type="auto"/>
            <w:hideMark/>
          </w:tcPr>
          <w:p w14:paraId="1BFDDA06" w14:textId="77777777" w:rsidR="001B229E" w:rsidRPr="00303DE7" w:rsidRDefault="00357E57" w:rsidP="00303DE7">
            <w:pPr>
              <w:spacing w:line="360" w:lineRule="auto"/>
              <w:jc w:val="center"/>
              <w:rPr>
                <w:rFonts w:ascii="Arial" w:hAnsi="Arial" w:cs="Arial"/>
                <w:b/>
                <w:szCs w:val="24"/>
              </w:rPr>
            </w:pPr>
            <w:r w:rsidRPr="00303DE7">
              <w:rPr>
                <w:rFonts w:ascii="Arial" w:hAnsi="Arial" w:cs="Arial"/>
                <w:b/>
                <w:szCs w:val="24"/>
              </w:rPr>
              <w:t>Application to StaySmart+</w:t>
            </w:r>
          </w:p>
        </w:tc>
        <w:tc>
          <w:tcPr>
            <w:tcW w:w="0" w:type="auto"/>
            <w:hideMark/>
          </w:tcPr>
          <w:p w14:paraId="74A1D219" w14:textId="77777777" w:rsidR="001B229E" w:rsidRPr="00303DE7" w:rsidRDefault="00357E57" w:rsidP="00303DE7">
            <w:pPr>
              <w:spacing w:line="360" w:lineRule="auto"/>
              <w:jc w:val="center"/>
              <w:rPr>
                <w:rFonts w:ascii="Arial" w:hAnsi="Arial" w:cs="Arial"/>
                <w:b/>
                <w:szCs w:val="24"/>
              </w:rPr>
            </w:pPr>
            <w:r w:rsidRPr="00303DE7">
              <w:rPr>
                <w:rFonts w:ascii="Arial" w:hAnsi="Arial" w:cs="Arial"/>
                <w:b/>
                <w:szCs w:val="24"/>
              </w:rPr>
              <w:t>Key Stakeholders Involved</w:t>
            </w:r>
          </w:p>
        </w:tc>
      </w:tr>
      <w:tr w:rsidR="008750CE" w:rsidRPr="00303DE7" w14:paraId="0FA54924" w14:textId="77777777" w:rsidTr="001B229E">
        <w:tc>
          <w:tcPr>
            <w:tcW w:w="0" w:type="auto"/>
            <w:hideMark/>
          </w:tcPr>
          <w:p w14:paraId="22380E61"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Communication</w:t>
            </w:r>
          </w:p>
        </w:tc>
        <w:tc>
          <w:tcPr>
            <w:tcW w:w="0" w:type="auto"/>
            <w:hideMark/>
          </w:tcPr>
          <w:p w14:paraId="5B8C6765"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Structured exchange of information to ensure mutual understanding</w:t>
            </w:r>
          </w:p>
        </w:tc>
        <w:tc>
          <w:tcPr>
            <w:tcW w:w="0" w:type="auto"/>
            <w:hideMark/>
          </w:tcPr>
          <w:p w14:paraId="34676476"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Implement digital dashboards for real-time updates on rollout progress, enable two-way communication channels for staff feedback, and tailor cross-cultural messages for international teams</w:t>
            </w:r>
          </w:p>
        </w:tc>
        <w:tc>
          <w:tcPr>
            <w:tcW w:w="0" w:type="auto"/>
            <w:hideMark/>
          </w:tcPr>
          <w:p w14:paraId="7D85C361"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Project manager, frontline staff, hotel managers, IT team, senior leadership</w:t>
            </w:r>
          </w:p>
        </w:tc>
      </w:tr>
      <w:tr w:rsidR="008750CE" w:rsidRPr="00303DE7" w14:paraId="15DBF1B8" w14:textId="77777777" w:rsidTr="001B229E">
        <w:tc>
          <w:tcPr>
            <w:tcW w:w="0" w:type="auto"/>
            <w:hideMark/>
          </w:tcPr>
          <w:p w14:paraId="52F3A8F1"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Consultation</w:t>
            </w:r>
          </w:p>
        </w:tc>
        <w:tc>
          <w:tcPr>
            <w:tcW w:w="0" w:type="auto"/>
            <w:hideMark/>
          </w:tcPr>
          <w:p w14:paraId="68A50E99"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Seeking input to inform decisions and improve design</w:t>
            </w:r>
          </w:p>
        </w:tc>
        <w:tc>
          <w:tcPr>
            <w:tcW w:w="0" w:type="auto"/>
            <w:hideMark/>
          </w:tcPr>
          <w:p w14:paraId="1F2DF6C0"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Conduct staff workshops on AI interface usability, gather pilot hotel feedback, and deploy guest surveys to refine personalised services</w:t>
            </w:r>
          </w:p>
        </w:tc>
        <w:tc>
          <w:tcPr>
            <w:tcW w:w="0" w:type="auto"/>
            <w:hideMark/>
          </w:tcPr>
          <w:p w14:paraId="415FDE32"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Project manager, hotel staff, guests, operations managers, vendors</w:t>
            </w:r>
          </w:p>
        </w:tc>
      </w:tr>
      <w:tr w:rsidR="008750CE" w:rsidRPr="00303DE7" w14:paraId="2CB9FB5A" w14:textId="77777777" w:rsidTr="001B229E">
        <w:tc>
          <w:tcPr>
            <w:tcW w:w="0" w:type="auto"/>
            <w:hideMark/>
          </w:tcPr>
          <w:p w14:paraId="31D4D33F"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Collaboration</w:t>
            </w:r>
          </w:p>
        </w:tc>
        <w:tc>
          <w:tcPr>
            <w:tcW w:w="0" w:type="auto"/>
            <w:hideMark/>
          </w:tcPr>
          <w:p w14:paraId="4CB8E297"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Joint decision-making and co-creation</w:t>
            </w:r>
          </w:p>
        </w:tc>
        <w:tc>
          <w:tcPr>
            <w:tcW w:w="0" w:type="auto"/>
            <w:hideMark/>
          </w:tcPr>
          <w:p w14:paraId="6BD9985D"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Co-design operational processes with frontline staff, establish vendor partnerships for technical delivery, and co-create sustainability initiatives.</w:t>
            </w:r>
          </w:p>
        </w:tc>
        <w:tc>
          <w:tcPr>
            <w:tcW w:w="0" w:type="auto"/>
            <w:hideMark/>
          </w:tcPr>
          <w:p w14:paraId="15B71C00"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Project manager, IT &amp; AI teams, operations managers, vendors, and the sustainability team</w:t>
            </w:r>
          </w:p>
        </w:tc>
      </w:tr>
      <w:tr w:rsidR="008750CE" w:rsidRPr="00303DE7" w14:paraId="47591409" w14:textId="77777777" w:rsidTr="001B229E">
        <w:tc>
          <w:tcPr>
            <w:tcW w:w="0" w:type="auto"/>
            <w:hideMark/>
          </w:tcPr>
          <w:p w14:paraId="75EC6CE1"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Commitment</w:t>
            </w:r>
          </w:p>
        </w:tc>
        <w:tc>
          <w:tcPr>
            <w:tcW w:w="0" w:type="auto"/>
            <w:hideMark/>
          </w:tcPr>
          <w:p w14:paraId="0A19F4FE"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Securing long-term alignment and accountability</w:t>
            </w:r>
          </w:p>
        </w:tc>
        <w:tc>
          <w:tcPr>
            <w:tcW w:w="0" w:type="auto"/>
            <w:hideMark/>
          </w:tcPr>
          <w:p w14:paraId="20D8747D" w14:textId="77777777" w:rsidR="001B229E" w:rsidRPr="00303DE7" w:rsidRDefault="00357E57" w:rsidP="00303DE7">
            <w:pPr>
              <w:spacing w:line="360" w:lineRule="auto"/>
              <w:rPr>
                <w:rFonts w:ascii="Arial" w:hAnsi="Arial" w:cs="Arial"/>
                <w:szCs w:val="24"/>
              </w:rPr>
            </w:pPr>
            <w:r w:rsidRPr="00303DE7">
              <w:rPr>
                <w:rFonts w:ascii="Arial" w:hAnsi="Arial" w:cs="Arial"/>
                <w:szCs w:val="24"/>
              </w:rPr>
              <w:t xml:space="preserve">Offer training incentives to staff, gain leadership sponsorship for initiatives, monitor performance </w:t>
            </w:r>
            <w:r w:rsidRPr="00303DE7">
              <w:rPr>
                <w:rFonts w:ascii="Arial" w:hAnsi="Arial" w:cs="Arial"/>
                <w:szCs w:val="24"/>
              </w:rPr>
              <w:lastRenderedPageBreak/>
              <w:t>metrics, and provide feedback loops.</w:t>
            </w:r>
          </w:p>
        </w:tc>
        <w:tc>
          <w:tcPr>
            <w:tcW w:w="0" w:type="auto"/>
            <w:hideMark/>
          </w:tcPr>
          <w:p w14:paraId="2AF9AC70" w14:textId="77777777" w:rsidR="001B229E" w:rsidRPr="00303DE7" w:rsidRDefault="00357E57" w:rsidP="00303DE7">
            <w:pPr>
              <w:spacing w:line="360" w:lineRule="auto"/>
              <w:rPr>
                <w:rFonts w:ascii="Arial" w:hAnsi="Arial" w:cs="Arial"/>
                <w:szCs w:val="24"/>
              </w:rPr>
            </w:pPr>
            <w:r w:rsidRPr="00303DE7">
              <w:rPr>
                <w:rFonts w:ascii="Arial" w:hAnsi="Arial" w:cs="Arial"/>
                <w:szCs w:val="24"/>
              </w:rPr>
              <w:lastRenderedPageBreak/>
              <w:t xml:space="preserve">Project manager, leadership, HR/training, </w:t>
            </w:r>
            <w:r w:rsidRPr="00303DE7">
              <w:rPr>
                <w:rFonts w:ascii="Arial" w:hAnsi="Arial" w:cs="Arial"/>
                <w:szCs w:val="24"/>
              </w:rPr>
              <w:lastRenderedPageBreak/>
              <w:t>operations, frontline staff</w:t>
            </w:r>
          </w:p>
        </w:tc>
      </w:tr>
    </w:tbl>
    <w:p w14:paraId="3F6284D2" w14:textId="77777777" w:rsidR="00C8767D" w:rsidRPr="00303DE7" w:rsidRDefault="00C8767D" w:rsidP="00303DE7">
      <w:pPr>
        <w:spacing w:after="0" w:line="360" w:lineRule="auto"/>
        <w:rPr>
          <w:rFonts w:ascii="Arial" w:hAnsi="Arial" w:cs="Arial"/>
          <w:szCs w:val="24"/>
        </w:rPr>
      </w:pPr>
    </w:p>
    <w:p w14:paraId="418E472D" w14:textId="3B49D66F" w:rsidR="00421649" w:rsidRPr="00303DE7" w:rsidRDefault="00357E57" w:rsidP="00303DE7">
      <w:pPr>
        <w:spacing w:after="0" w:line="360" w:lineRule="auto"/>
        <w:rPr>
          <w:rFonts w:ascii="Arial" w:hAnsi="Arial" w:cs="Arial"/>
          <w:szCs w:val="24"/>
        </w:rPr>
      </w:pPr>
      <w:r w:rsidRPr="00303DE7">
        <w:rPr>
          <w:rFonts w:ascii="Arial" w:hAnsi="Arial" w:cs="Arial"/>
          <w:szCs w:val="24"/>
        </w:rPr>
        <w:t xml:space="preserve">Communication is the core aspect of interaction. In the case of StaySmart+, the involvement of two-way communication channels is essential to the transfer of information, the acquisition of feedback, and the resolution of concerns during the project lifecycle. It has been observed that in successful communication, you can eradicate the level of uncertainties and gradually build trust in the deployments of technology (Freeman, 1984). I would introduce the adoption of a digital dashboard that they can use to provide real-time data about rollout status, system adoption, and problem resolution, and that is available to the leadership, operations managers, and frontline employees. Communication across cultures is especially important, considering that Hilton </w:t>
      </w:r>
      <w:r w:rsidR="002C5FA5" w:rsidRPr="00303DE7">
        <w:rPr>
          <w:rFonts w:ascii="Arial" w:hAnsi="Arial" w:cs="Arial"/>
          <w:szCs w:val="24"/>
        </w:rPr>
        <w:t>is in</w:t>
      </w:r>
      <w:r w:rsidRPr="00303DE7">
        <w:rPr>
          <w:rFonts w:ascii="Arial" w:hAnsi="Arial" w:cs="Arial"/>
          <w:szCs w:val="24"/>
        </w:rPr>
        <w:t xml:space="preserve"> various countries. The messages are personalised to local language, technological, and cultural situations, therefore guaranteeing understanding and relevance. My task consists of designing these communication channels, increasing levels of engagement, and modifying the content of messages depending on stakeholder feedback to maintain clarity and consistency.</w:t>
      </w:r>
    </w:p>
    <w:p w14:paraId="0A4D6FDA" w14:textId="11103BF6" w:rsidR="00312B44" w:rsidRPr="00303DE7" w:rsidRDefault="00357E57" w:rsidP="00303DE7">
      <w:pPr>
        <w:spacing w:after="0" w:line="360" w:lineRule="auto"/>
        <w:rPr>
          <w:rFonts w:ascii="Arial" w:hAnsi="Arial" w:cs="Arial"/>
          <w:szCs w:val="24"/>
        </w:rPr>
      </w:pPr>
      <w:r w:rsidRPr="00303DE7">
        <w:rPr>
          <w:rFonts w:ascii="Arial" w:hAnsi="Arial" w:cs="Arial"/>
          <w:szCs w:val="24"/>
        </w:rPr>
        <w:t xml:space="preserve">Consultation makes stakeholders actively influence project decisions. Pilot hotel workshops enable frontline employees to </w:t>
      </w:r>
      <w:r w:rsidR="00796B0E" w:rsidRPr="00303DE7">
        <w:rPr>
          <w:rFonts w:ascii="Arial" w:hAnsi="Arial" w:cs="Arial"/>
          <w:szCs w:val="24"/>
        </w:rPr>
        <w:t>evaluate</w:t>
      </w:r>
      <w:r w:rsidRPr="00303DE7">
        <w:rPr>
          <w:rFonts w:ascii="Arial" w:hAnsi="Arial" w:cs="Arial"/>
          <w:szCs w:val="24"/>
        </w:rPr>
        <w:t xml:space="preserve"> AI-based tools, uncover usability problems, and provide improvements to the service. Guest surveys supplement this by pointing to preferences towards personalised experiences, such as sustainable ones. Interest-based negotiation is used </w:t>
      </w:r>
      <w:r w:rsidR="002C5FA5" w:rsidRPr="00303DE7">
        <w:rPr>
          <w:rFonts w:ascii="Arial" w:hAnsi="Arial" w:cs="Arial"/>
          <w:szCs w:val="24"/>
        </w:rPr>
        <w:t>to</w:t>
      </w:r>
      <w:r w:rsidRPr="00303DE7">
        <w:rPr>
          <w:rFonts w:ascii="Arial" w:hAnsi="Arial" w:cs="Arial"/>
          <w:szCs w:val="24"/>
        </w:rPr>
        <w:t xml:space="preserve"> balance the difference in priorities, i.e., the staff issues that appeared due to the changes in the workplace and the operational interests of the leaders (Marshall, 2022). This is in line with the stakeholder theory, which focuses on the identification and inclusion of various stakeholder needs </w:t>
      </w:r>
      <w:r w:rsidR="002C5FA5" w:rsidRPr="00303DE7">
        <w:rPr>
          <w:rFonts w:ascii="Arial" w:hAnsi="Arial" w:cs="Arial"/>
          <w:szCs w:val="24"/>
        </w:rPr>
        <w:t>to</w:t>
      </w:r>
      <w:r w:rsidRPr="00303DE7">
        <w:rPr>
          <w:rFonts w:ascii="Arial" w:hAnsi="Arial" w:cs="Arial"/>
          <w:szCs w:val="24"/>
        </w:rPr>
        <w:t xml:space="preserve"> generate long-term value (Mitchell et al, 1997). That will be my role in facilitating workshops, synthesising feedback, and ensuring the outcomes of consultation are clearly integrated into project decision-making. </w:t>
      </w:r>
    </w:p>
    <w:p w14:paraId="57C8C441" w14:textId="552D0616" w:rsidR="00A72A02" w:rsidRPr="00303DE7" w:rsidRDefault="00357E57" w:rsidP="00303DE7">
      <w:pPr>
        <w:spacing w:after="0" w:line="360" w:lineRule="auto"/>
        <w:rPr>
          <w:rFonts w:ascii="Arial" w:hAnsi="Arial" w:cs="Arial"/>
          <w:szCs w:val="24"/>
        </w:rPr>
      </w:pPr>
      <w:r w:rsidRPr="00303DE7">
        <w:rPr>
          <w:rFonts w:ascii="Arial" w:hAnsi="Arial" w:cs="Arial"/>
          <w:szCs w:val="24"/>
        </w:rPr>
        <w:t xml:space="preserve">Co-creation builds upon consultation. Frontline employees co-create operational procedures, IT and AI staff teams </w:t>
      </w:r>
      <w:r w:rsidR="00796B0E" w:rsidRPr="00303DE7">
        <w:rPr>
          <w:rFonts w:ascii="Arial" w:hAnsi="Arial" w:cs="Arial"/>
          <w:szCs w:val="24"/>
        </w:rPr>
        <w:t>collaborate</w:t>
      </w:r>
      <w:r w:rsidRPr="00303DE7">
        <w:rPr>
          <w:rFonts w:ascii="Arial" w:hAnsi="Arial" w:cs="Arial"/>
          <w:szCs w:val="24"/>
        </w:rPr>
        <w:t xml:space="preserve"> with vendors to integrate systems, and sustainability teams get together to make guest experiences sustainable through </w:t>
      </w:r>
      <w:r w:rsidRPr="00303DE7">
        <w:rPr>
          <w:rFonts w:ascii="Arial" w:hAnsi="Arial" w:cs="Arial"/>
          <w:szCs w:val="24"/>
        </w:rPr>
        <w:lastRenderedPageBreak/>
        <w:t xml:space="preserve">embedded green initiatives. Such a participatory mode contributes to ownership, reduces resistance, and uses local knowledge, as explained by resource-dependence theory, which highlights the strategic importance of foreign expertise and resources (Jiang et al., 2023). Cultural intelligence is </w:t>
      </w:r>
      <w:r w:rsidR="00796B0E" w:rsidRPr="00303DE7">
        <w:rPr>
          <w:rFonts w:ascii="Arial" w:hAnsi="Arial" w:cs="Arial"/>
          <w:szCs w:val="24"/>
        </w:rPr>
        <w:t>used</w:t>
      </w:r>
      <w:r w:rsidRPr="00303DE7">
        <w:rPr>
          <w:rFonts w:ascii="Arial" w:hAnsi="Arial" w:cs="Arial"/>
          <w:szCs w:val="24"/>
        </w:rPr>
        <w:t xml:space="preserve"> with the aim of adapting collaborative practises to the local standards, e.g., in collectivist cultures, decision-making based on consensus is focused on, whereas in individualist countries, empowered ownership of tasks is in the spotlight (Gurkan and Suchow, 2023). My job is to coordinate the work, resolve conflicts, and make sure that the solutions developed together keep project schedules and quality within scope. </w:t>
      </w:r>
    </w:p>
    <w:p w14:paraId="4C1DC515" w14:textId="6C449013" w:rsidR="00587ABC" w:rsidRPr="00303DE7" w:rsidRDefault="00357E57" w:rsidP="00303DE7">
      <w:pPr>
        <w:spacing w:after="0" w:line="360" w:lineRule="auto"/>
        <w:rPr>
          <w:rFonts w:ascii="Arial" w:hAnsi="Arial" w:cs="Arial"/>
          <w:szCs w:val="24"/>
        </w:rPr>
      </w:pPr>
      <w:r w:rsidRPr="00303DE7">
        <w:rPr>
          <w:rFonts w:ascii="Arial" w:hAnsi="Arial" w:cs="Arial"/>
          <w:szCs w:val="24"/>
        </w:rPr>
        <w:t xml:space="preserve">Devotion binds in the long-term orientation and responsibility. Rewards of staffing are done via special training programmes, performance measurement, monitoring adoption, and guest satisfaction, and leadership sponsorship that provides formal approval and resources. Clearly outlined escalation mechanisms can be used when conflicts arise, when there are technical problems, or when there are regulatory compliance challenges. Using the ethical principles of stakeholder management, I create transparency in relation to the application of AI in service delivery, curbing fears of automation replacing human contact. Trust, motivation, and project objective followership are reinforced by commitment strategies, and they are necessary both to establish a globally consistent and locally adaptive rollout of StaySmart+ (Yao et al., 2023). Overall, the 4C model integrates communication, consultation, collaboration, and commitment; it approaches stakeholder engagement in a structured, flexible, and </w:t>
      </w:r>
      <w:r w:rsidR="00796B0E" w:rsidRPr="00303DE7">
        <w:rPr>
          <w:rFonts w:ascii="Arial" w:hAnsi="Arial" w:cs="Arial"/>
          <w:szCs w:val="24"/>
        </w:rPr>
        <w:t>purposeful</w:t>
      </w:r>
      <w:r w:rsidRPr="00303DE7">
        <w:rPr>
          <w:rFonts w:ascii="Arial" w:hAnsi="Arial" w:cs="Arial"/>
          <w:szCs w:val="24"/>
        </w:rPr>
        <w:t xml:space="preserve"> way, as well as implements interest-based negotiation, cultural intelligence, and escalation procedures.</w:t>
      </w:r>
    </w:p>
    <w:p w14:paraId="2D1E9DCF" w14:textId="77777777" w:rsidR="00BD3A7C" w:rsidRPr="00303DE7" w:rsidRDefault="00BD3A7C" w:rsidP="00303DE7">
      <w:pPr>
        <w:spacing w:after="0" w:line="360" w:lineRule="auto"/>
        <w:rPr>
          <w:rFonts w:ascii="Arial" w:hAnsi="Arial" w:cs="Arial"/>
          <w:szCs w:val="24"/>
        </w:rPr>
      </w:pPr>
    </w:p>
    <w:p w14:paraId="0A98C640" w14:textId="77777777" w:rsidR="00587ABC" w:rsidRPr="00303DE7" w:rsidRDefault="00357E57" w:rsidP="00303DE7">
      <w:pPr>
        <w:pStyle w:val="Heading1"/>
        <w:spacing w:after="0" w:line="360" w:lineRule="auto"/>
        <w:rPr>
          <w:rFonts w:ascii="Arial" w:hAnsi="Arial" w:cs="Arial"/>
          <w:szCs w:val="24"/>
        </w:rPr>
      </w:pPr>
      <w:bookmarkStart w:id="13" w:name="_Toc224377114"/>
      <w:r w:rsidRPr="00303DE7">
        <w:rPr>
          <w:rFonts w:ascii="Arial" w:hAnsi="Arial" w:cs="Arial"/>
          <w:szCs w:val="24"/>
        </w:rPr>
        <w:t>Impact of Stakeholder Engagement on Business Performance</w:t>
      </w:r>
      <w:bookmarkEnd w:id="13"/>
    </w:p>
    <w:p w14:paraId="21FA33A2" w14:textId="77777777" w:rsidR="003F2310" w:rsidRDefault="003F2310" w:rsidP="009A7426">
      <w:pPr>
        <w:spacing w:after="0" w:line="360" w:lineRule="auto"/>
        <w:rPr>
          <w:rFonts w:ascii="Arial" w:hAnsi="Arial" w:cs="Arial"/>
          <w:szCs w:val="24"/>
        </w:rPr>
      </w:pPr>
      <w:r w:rsidRPr="003F2310">
        <w:rPr>
          <w:rFonts w:ascii="Arial" w:hAnsi="Arial" w:cs="Arial"/>
          <w:szCs w:val="24"/>
        </w:rPr>
        <w:t xml:space="preserve">Effective stakeholder engagement directly affects business performance particularly on tricky, technological projects such as Hilton StaySmart+. Stakeholder consistency, dedication, and engagement influence the operating, economic, and reputational results in global hospitality (Christopher et al., 2013). Based on cause-effect, as well as balanced scorecard reasoning, the connexion between stakeholder engagement and organisational performance relationship can be measured in terms of guest satisfaction </w:t>
      </w:r>
      <w:r w:rsidRPr="003F2310">
        <w:rPr>
          <w:rFonts w:ascii="Arial" w:hAnsi="Arial" w:cs="Arial"/>
          <w:szCs w:val="24"/>
        </w:rPr>
        <w:lastRenderedPageBreak/>
        <w:t>and loyalty, employee engagement, brand reputation, operational efficiency, sustainability, and risk management. Embracing stakeholders such as front-line staff, management, IT divisions, and visitors, make Sure That StaySmart+ will provide personalised, a seamless and green customer experience that will exceed expectations</w:t>
      </w:r>
      <w:r>
        <w:rPr>
          <w:rFonts w:ascii="Arial" w:hAnsi="Arial" w:cs="Arial"/>
          <w:szCs w:val="24"/>
        </w:rPr>
        <w:t xml:space="preserve">. </w:t>
      </w:r>
      <w:r w:rsidRPr="003F2310">
        <w:rPr>
          <w:rFonts w:ascii="Arial" w:hAnsi="Arial" w:cs="Arial"/>
          <w:szCs w:val="24"/>
        </w:rPr>
        <w:t xml:space="preserve">According to the SERVQUAL model, the quality of service provided is based on employee competence, responsiveness, and empathy (Wider et al., 2024). Engagement in co-design workshops and pilot feedback loops puts the activities on par with the expectations of the guests thereby building trust and satisfaction. </w:t>
      </w:r>
    </w:p>
    <w:p w14:paraId="169B920A" w14:textId="1EB8B12C" w:rsidR="003F2310" w:rsidRDefault="003F2310" w:rsidP="003F2310">
      <w:pPr>
        <w:spacing w:after="0" w:line="360" w:lineRule="auto"/>
        <w:rPr>
          <w:rFonts w:ascii="Arial" w:hAnsi="Arial" w:cs="Arial"/>
          <w:szCs w:val="24"/>
        </w:rPr>
      </w:pPr>
      <w:r w:rsidRPr="003F2310">
        <w:rPr>
          <w:rFonts w:ascii="Arial" w:hAnsi="Arial" w:cs="Arial"/>
          <w:szCs w:val="24"/>
        </w:rPr>
        <w:t xml:space="preserve">The indicators that exhibit evidence of impact include KPIs like Net Promoter Scores, guest satisfaction score, repeat bookings or app adoption. Studies suggest that AI-based hospitality services may help boost customer satisfaction by 15 percent and that individualised service can boost loyalty (Bilgihan et al., 2025). Structured participation and empowerment also promote engagement of employees and lessen their resistance to technology as well as promote perceived organisational support. According to the Job Demands-Resources model, employees tend to be more engaged when the changes are accompanied by resources such as training, </w:t>
      </w:r>
      <w:r w:rsidR="00796B0E" w:rsidRPr="003F2310">
        <w:rPr>
          <w:rFonts w:ascii="Arial" w:hAnsi="Arial" w:cs="Arial"/>
          <w:szCs w:val="24"/>
        </w:rPr>
        <w:t>support,</w:t>
      </w:r>
      <w:r w:rsidRPr="003F2310">
        <w:rPr>
          <w:rFonts w:ascii="Arial" w:hAnsi="Arial" w:cs="Arial"/>
          <w:szCs w:val="24"/>
        </w:rPr>
        <w:t xml:space="preserve"> and recognition (Mazzetti et al., 2023). Participation enhances retention, lowers the recruitment cost, and continues operations</w:t>
      </w:r>
      <w:r>
        <w:rPr>
          <w:rFonts w:ascii="Arial" w:hAnsi="Arial" w:cs="Arial"/>
          <w:szCs w:val="24"/>
        </w:rPr>
        <w:t xml:space="preserve">. </w:t>
      </w:r>
      <w:r w:rsidRPr="003F2310">
        <w:rPr>
          <w:rFonts w:ascii="Arial" w:hAnsi="Arial" w:cs="Arial"/>
          <w:szCs w:val="24"/>
        </w:rPr>
        <w:t xml:space="preserve">Ethical, </w:t>
      </w:r>
      <w:r w:rsidR="00796B0E" w:rsidRPr="003F2310">
        <w:rPr>
          <w:rFonts w:ascii="Arial" w:hAnsi="Arial" w:cs="Arial"/>
          <w:szCs w:val="24"/>
        </w:rPr>
        <w:t>transparent,</w:t>
      </w:r>
      <w:r w:rsidRPr="003F2310">
        <w:rPr>
          <w:rFonts w:ascii="Arial" w:hAnsi="Arial" w:cs="Arial"/>
          <w:szCs w:val="24"/>
        </w:rPr>
        <w:t xml:space="preserve"> and culturally aware interaction improves the brand image and market trustworthiness. Organisational reliability is indicated by compliance with regulators, collaboration with vendors, and sensitivity to feedback on guests (Ashcroft, 2017). Reputation gains are measured through metrics like brand equity, social media </w:t>
      </w:r>
      <w:r w:rsidR="00796B0E" w:rsidRPr="003F2310">
        <w:rPr>
          <w:rFonts w:ascii="Arial" w:hAnsi="Arial" w:cs="Arial"/>
          <w:szCs w:val="24"/>
        </w:rPr>
        <w:t>sentiment,</w:t>
      </w:r>
      <w:r w:rsidRPr="003F2310">
        <w:rPr>
          <w:rFonts w:ascii="Arial" w:hAnsi="Arial" w:cs="Arial"/>
          <w:szCs w:val="24"/>
        </w:rPr>
        <w:t xml:space="preserve"> and awards in the industry. </w:t>
      </w:r>
    </w:p>
    <w:p w14:paraId="693E4858" w14:textId="6B843546" w:rsidR="00BB166D" w:rsidRDefault="003F2310" w:rsidP="00303DE7">
      <w:pPr>
        <w:spacing w:after="0" w:line="360" w:lineRule="auto"/>
        <w:rPr>
          <w:rFonts w:ascii="Arial" w:hAnsi="Arial" w:cs="Arial"/>
          <w:szCs w:val="24"/>
        </w:rPr>
      </w:pPr>
      <w:r w:rsidRPr="003F2310">
        <w:rPr>
          <w:rFonts w:ascii="Arial" w:hAnsi="Arial" w:cs="Arial"/>
          <w:szCs w:val="24"/>
        </w:rPr>
        <w:t>When stakeholders are engaged at an early stage, operational inefficiency and process bottlenecks, workflow inefficiencies, and site-specific constraints are considered through IT, operations, and training involvement and promote the elimination of errors, downtime, and costs (Mitchell et al., 1997)</w:t>
      </w:r>
      <w:r>
        <w:rPr>
          <w:rFonts w:ascii="Arial" w:hAnsi="Arial" w:cs="Arial"/>
          <w:szCs w:val="24"/>
        </w:rPr>
        <w:t xml:space="preserve">. </w:t>
      </w:r>
      <w:r w:rsidRPr="003F2310">
        <w:rPr>
          <w:rFonts w:ascii="Arial" w:hAnsi="Arial" w:cs="Arial"/>
          <w:szCs w:val="24"/>
        </w:rPr>
        <w:t>Sustainability is contributed to by stakeholders through environmental specialists, partners, and local communities, energy efficiency, waste reduction, and low-carbon products in accordance with the Hilton Travel with Purpose. Accountability and operating viability are exhibited by sustainability KPIs such as resource usage, waste minimi</w:t>
      </w:r>
      <w:r w:rsidR="001A5A86">
        <w:rPr>
          <w:rFonts w:ascii="Arial" w:hAnsi="Arial" w:cs="Arial"/>
          <w:szCs w:val="24"/>
        </w:rPr>
        <w:t>s</w:t>
      </w:r>
      <w:r w:rsidRPr="003F2310">
        <w:rPr>
          <w:rFonts w:ascii="Arial" w:hAnsi="Arial" w:cs="Arial"/>
          <w:szCs w:val="24"/>
        </w:rPr>
        <w:t>ation, and carbon footprint (Shumayla et al., 2025).</w:t>
      </w:r>
      <w:r w:rsidRPr="003F2310">
        <w:t xml:space="preserve"> </w:t>
      </w:r>
      <w:r w:rsidRPr="003F2310">
        <w:rPr>
          <w:rFonts w:ascii="Arial" w:hAnsi="Arial" w:cs="Arial"/>
          <w:szCs w:val="24"/>
        </w:rPr>
        <w:t xml:space="preserve">Lastly, stakeholder involvement minimises both strategic and </w:t>
      </w:r>
      <w:r w:rsidRPr="003F2310">
        <w:rPr>
          <w:rFonts w:ascii="Arial" w:hAnsi="Arial" w:cs="Arial"/>
          <w:szCs w:val="24"/>
        </w:rPr>
        <w:lastRenderedPageBreak/>
        <w:t xml:space="preserve">operational risks. Cooperation with regulators guarantees the data security and AI governance conformity, the bargaining of employees and suppliers, pilot </w:t>
      </w:r>
      <w:r w:rsidR="00796B0E" w:rsidRPr="003F2310">
        <w:rPr>
          <w:rFonts w:ascii="Arial" w:hAnsi="Arial" w:cs="Arial"/>
          <w:szCs w:val="24"/>
        </w:rPr>
        <w:t>testing,</w:t>
      </w:r>
      <w:r w:rsidRPr="003F2310">
        <w:rPr>
          <w:rFonts w:ascii="Arial" w:hAnsi="Arial" w:cs="Arial"/>
          <w:szCs w:val="24"/>
        </w:rPr>
        <w:t xml:space="preserve"> and guest consultative determine service and technical risks. </w:t>
      </w:r>
      <w:r w:rsidR="002C5FA5" w:rsidRPr="003F2310">
        <w:rPr>
          <w:rFonts w:ascii="Arial" w:hAnsi="Arial" w:cs="Arial"/>
          <w:szCs w:val="24"/>
        </w:rPr>
        <w:t>Incident</w:t>
      </w:r>
      <w:r w:rsidRPr="003F2310">
        <w:rPr>
          <w:rFonts w:ascii="Arial" w:hAnsi="Arial" w:cs="Arial"/>
          <w:szCs w:val="24"/>
        </w:rPr>
        <w:t xml:space="preserve"> reports, </w:t>
      </w:r>
      <w:r w:rsidR="00796B0E" w:rsidRPr="003F2310">
        <w:rPr>
          <w:rFonts w:ascii="Arial" w:hAnsi="Arial" w:cs="Arial"/>
          <w:szCs w:val="24"/>
        </w:rPr>
        <w:t>audits,</w:t>
      </w:r>
      <w:r w:rsidRPr="003F2310">
        <w:rPr>
          <w:rFonts w:ascii="Arial" w:hAnsi="Arial" w:cs="Arial"/>
          <w:szCs w:val="24"/>
        </w:rPr>
        <w:t xml:space="preserve"> and compliance rates give quantifiable risk reduction indicators. One of the success factors of international, technology-intensive projects is </w:t>
      </w:r>
      <w:r w:rsidR="00796B0E" w:rsidRPr="003F2310">
        <w:rPr>
          <w:rFonts w:ascii="Arial" w:hAnsi="Arial" w:cs="Arial"/>
          <w:szCs w:val="24"/>
        </w:rPr>
        <w:t>initiative-taking</w:t>
      </w:r>
      <w:r w:rsidRPr="003F2310">
        <w:rPr>
          <w:rFonts w:ascii="Arial" w:hAnsi="Arial" w:cs="Arial"/>
          <w:szCs w:val="24"/>
        </w:rPr>
        <w:t xml:space="preserve"> stakeholder management (PMI, 2021). In general, StaySmart+ represents the diverse beneficial effects of the involvement of stakeholders on business performance</w:t>
      </w:r>
      <w:r>
        <w:rPr>
          <w:rFonts w:ascii="Arial" w:hAnsi="Arial" w:cs="Arial"/>
          <w:szCs w:val="24"/>
        </w:rPr>
        <w:t>.</w:t>
      </w:r>
    </w:p>
    <w:p w14:paraId="156A5973" w14:textId="77777777" w:rsidR="003F2310" w:rsidRPr="003F2310" w:rsidRDefault="003F2310" w:rsidP="00303DE7">
      <w:pPr>
        <w:spacing w:after="0" w:line="360" w:lineRule="auto"/>
        <w:rPr>
          <w:rFonts w:ascii="Arial" w:hAnsi="Arial" w:cs="Arial"/>
          <w:szCs w:val="24"/>
          <w:highlight w:val="yellow"/>
        </w:rPr>
      </w:pPr>
    </w:p>
    <w:p w14:paraId="2BF63F76" w14:textId="77777777" w:rsidR="00F3147E" w:rsidRPr="00303DE7" w:rsidRDefault="00357E57" w:rsidP="00303DE7">
      <w:pPr>
        <w:pStyle w:val="Heading1"/>
        <w:spacing w:after="0" w:line="360" w:lineRule="auto"/>
        <w:rPr>
          <w:rFonts w:ascii="Arial" w:hAnsi="Arial" w:cs="Arial"/>
          <w:szCs w:val="24"/>
        </w:rPr>
      </w:pPr>
      <w:bookmarkStart w:id="14" w:name="_Toc224377115"/>
      <w:r w:rsidRPr="00303DE7">
        <w:rPr>
          <w:rFonts w:ascii="Arial" w:hAnsi="Arial" w:cs="Arial"/>
          <w:szCs w:val="24"/>
        </w:rPr>
        <w:t>Recommendations for Future Stakeholder Engagement</w:t>
      </w:r>
      <w:bookmarkEnd w:id="14"/>
    </w:p>
    <w:p w14:paraId="20ED4B90" w14:textId="77777777" w:rsidR="003F2310" w:rsidRDefault="003F2310" w:rsidP="009A7426">
      <w:pPr>
        <w:spacing w:after="0" w:line="360" w:lineRule="auto"/>
        <w:rPr>
          <w:rFonts w:ascii="Arial" w:hAnsi="Arial" w:cs="Arial"/>
          <w:szCs w:val="24"/>
        </w:rPr>
      </w:pPr>
      <w:r w:rsidRPr="003F2310">
        <w:rPr>
          <w:rFonts w:ascii="Arial" w:hAnsi="Arial" w:cs="Arial"/>
          <w:szCs w:val="24"/>
        </w:rPr>
        <w:t xml:space="preserve">According to the identification of the stakeholders, engagement processes, and impact on the business performance, various recommendations may advance stakeholder engagement of Hilton StaySmart+ and other technology-oriented services. One, there should be early processes of interaction with frontline employees and hotel management. In involvement of stakeholders in the planning and design, there is increased adoption and operational fit (Freeman, 1984). This </w:t>
      </w:r>
      <w:r>
        <w:rPr>
          <w:rFonts w:ascii="Arial" w:hAnsi="Arial" w:cs="Arial"/>
          <w:szCs w:val="24"/>
        </w:rPr>
        <w:t>can</w:t>
      </w:r>
      <w:r w:rsidRPr="003F2310">
        <w:rPr>
          <w:rFonts w:ascii="Arial" w:hAnsi="Arial" w:cs="Arial"/>
          <w:szCs w:val="24"/>
        </w:rPr>
        <w:t xml:space="preserve"> contain co-design workshops, pilot programs, and continuous feedback added to project dashboards. Two-way communication systems (collaboration platforms, intranet portals, etc.) enable employees to express their concerns, offer suggestions, exchange best practises, enhancing ownership and intrinsic motivation and minimising resistance to change (Gizaw, 2025). Custom training modules that blend scenario learning and gamification can also be used to refer the staff to the world of AI and custom service applications.</w:t>
      </w:r>
    </w:p>
    <w:p w14:paraId="4A78A7E8" w14:textId="77777777" w:rsidR="001A5A86" w:rsidRDefault="001A5A86" w:rsidP="009A7426">
      <w:pPr>
        <w:spacing w:after="0" w:line="360" w:lineRule="auto"/>
        <w:rPr>
          <w:rFonts w:ascii="Arial" w:hAnsi="Arial" w:cs="Arial"/>
          <w:szCs w:val="24"/>
          <w:highlight w:val="yellow"/>
        </w:rPr>
      </w:pPr>
      <w:r w:rsidRPr="001A5A86">
        <w:rPr>
          <w:rFonts w:ascii="Arial" w:hAnsi="Arial" w:cs="Arial"/>
          <w:szCs w:val="24"/>
        </w:rPr>
        <w:t>Secondly, the international deployment relies on culturally sensitive communication and consultation. There is a difference in stakeholder perception, technology acceptance, and responsiveness among regions (Strandt and Murnane-Rainey, 2025). The frameworks of cultural intelligence should be framed in the engagement planning to adapt messages, feedback, and processes of negotiations to the local realities. Indicatively, group consultation can be appropriate to collectivist societies and empowerment-based works in individualist societies. Digital tools that support multilingual communication minimise the risk of misinterpreting, trust building, and project legitimacy (Al Anakrih, 2025).</w:t>
      </w:r>
    </w:p>
    <w:p w14:paraId="11CE4BE5" w14:textId="77777777" w:rsidR="001A5A86" w:rsidRDefault="001A5A86" w:rsidP="009A7426">
      <w:pPr>
        <w:spacing w:after="0" w:line="360" w:lineRule="auto"/>
        <w:rPr>
          <w:rFonts w:ascii="Arial" w:hAnsi="Arial" w:cs="Arial"/>
          <w:szCs w:val="24"/>
        </w:rPr>
      </w:pPr>
      <w:r w:rsidRPr="001A5A86">
        <w:rPr>
          <w:rFonts w:ascii="Arial" w:hAnsi="Arial" w:cs="Arial"/>
          <w:szCs w:val="24"/>
        </w:rPr>
        <w:lastRenderedPageBreak/>
        <w:t>Third</w:t>
      </w:r>
      <w:r>
        <w:rPr>
          <w:rFonts w:ascii="Arial" w:hAnsi="Arial" w:cs="Arial"/>
          <w:szCs w:val="24"/>
        </w:rPr>
        <w:t>ly</w:t>
      </w:r>
      <w:r w:rsidRPr="001A5A86">
        <w:rPr>
          <w:rFonts w:ascii="Arial" w:hAnsi="Arial" w:cs="Arial"/>
          <w:szCs w:val="24"/>
        </w:rPr>
        <w:t>, creating partnerships with external stakeholders such as technology vendors and sustainability partners, are necessary in operations and innovations. Interest negotiation converts the goals, defines role and responsibilities, and alleviates conflicts (Alexe, 2025). Workshops with vendors involve in co-creation, which hastens the development and integration of AI systems, and partnership with sustainability partners helps to integrate sustainable operations into business. The result is service-level agreements and metrics on performance which are accountable and contribute towards strategic goals, including energy efficiency and low-carbon operations.</w:t>
      </w:r>
    </w:p>
    <w:p w14:paraId="32425726" w14:textId="70ED32BA" w:rsidR="001A5A86" w:rsidRPr="001A5A86" w:rsidRDefault="001A5A86" w:rsidP="009A7426">
      <w:pPr>
        <w:spacing w:after="0" w:line="360" w:lineRule="auto"/>
        <w:rPr>
          <w:rFonts w:ascii="Arial" w:hAnsi="Arial" w:cs="Arial"/>
          <w:szCs w:val="24"/>
        </w:rPr>
      </w:pPr>
      <w:r w:rsidRPr="001A5A86">
        <w:rPr>
          <w:rFonts w:ascii="Arial" w:hAnsi="Arial" w:cs="Arial"/>
          <w:szCs w:val="24"/>
        </w:rPr>
        <w:t xml:space="preserve">Fourthly, accountability is improved by legitimising the governance systems by ensuring they oversee engagement. Balanced scorecards should be used to track metrics like Net Promoter Score, employee engagement indices, adoption </w:t>
      </w:r>
      <w:r w:rsidR="00796B0E" w:rsidRPr="001A5A86">
        <w:rPr>
          <w:rFonts w:ascii="Arial" w:hAnsi="Arial" w:cs="Arial"/>
          <w:szCs w:val="24"/>
        </w:rPr>
        <w:t>rates,</w:t>
      </w:r>
      <w:r w:rsidRPr="001A5A86">
        <w:rPr>
          <w:rFonts w:ascii="Arial" w:hAnsi="Arial" w:cs="Arial"/>
          <w:szCs w:val="24"/>
        </w:rPr>
        <w:t xml:space="preserve"> and sustainability performance (Mitchell et al., 1997). The emerging risks or conflicts are tackled by having regular review sessions, reporting dashboards and escalation channels. Continuous stakeholder salience review and RACI matrices are aimed at high-impact stakeholders.</w:t>
      </w:r>
    </w:p>
    <w:p w14:paraId="3616272B" w14:textId="77777777" w:rsidR="00406018" w:rsidRDefault="001A5A86" w:rsidP="00303DE7">
      <w:pPr>
        <w:spacing w:after="0" w:line="360" w:lineRule="auto"/>
        <w:rPr>
          <w:rFonts w:ascii="Arial" w:hAnsi="Arial" w:cs="Arial"/>
          <w:szCs w:val="24"/>
        </w:rPr>
      </w:pPr>
      <w:r w:rsidRPr="001A5A86">
        <w:rPr>
          <w:rFonts w:ascii="Arial" w:hAnsi="Arial" w:cs="Arial"/>
          <w:szCs w:val="24"/>
        </w:rPr>
        <w:t>Lastly, the engagement strategies must be seen as scalable and adaptable. The lessons learnt at StaySmart+ are to be recorded as standard operating rules, such as engagement procedures, communication templates, and cultural adaptation measures. Ongoing professional learning of project managers in stakeholder management, negotiation, and cross-cultural competence is also beneficial in enhancing organisational resilience (Ashcroft, 2017). Focusing on early engagement, cross-cultural communication, cooperation, effective governance, and scalable processes, Hilton can systematically enhance service adoption, operational efficiency, sustainability consequences, and how the enterprise performs</w:t>
      </w:r>
      <w:r>
        <w:rPr>
          <w:rFonts w:ascii="Arial" w:hAnsi="Arial" w:cs="Arial"/>
          <w:szCs w:val="24"/>
        </w:rPr>
        <w:t>.</w:t>
      </w:r>
    </w:p>
    <w:p w14:paraId="0AE978B6" w14:textId="77777777" w:rsidR="001A5A86" w:rsidRPr="001A5A86" w:rsidRDefault="001A5A86" w:rsidP="00303DE7">
      <w:pPr>
        <w:spacing w:after="0" w:line="360" w:lineRule="auto"/>
        <w:rPr>
          <w:rFonts w:ascii="Arial" w:hAnsi="Arial" w:cs="Arial"/>
          <w:szCs w:val="24"/>
          <w:highlight w:val="yellow"/>
        </w:rPr>
      </w:pPr>
    </w:p>
    <w:p w14:paraId="39C89AA9" w14:textId="77777777" w:rsidR="00406018" w:rsidRPr="00303DE7" w:rsidRDefault="00357E57" w:rsidP="00303DE7">
      <w:pPr>
        <w:pStyle w:val="Heading1"/>
        <w:spacing w:after="0" w:line="360" w:lineRule="auto"/>
        <w:rPr>
          <w:rFonts w:ascii="Arial" w:hAnsi="Arial" w:cs="Arial"/>
          <w:szCs w:val="24"/>
        </w:rPr>
      </w:pPr>
      <w:bookmarkStart w:id="15" w:name="_Toc224377116"/>
      <w:r w:rsidRPr="00303DE7">
        <w:rPr>
          <w:rFonts w:ascii="Arial" w:hAnsi="Arial" w:cs="Arial"/>
          <w:szCs w:val="24"/>
        </w:rPr>
        <w:t>Conclusion</w:t>
      </w:r>
      <w:bookmarkEnd w:id="15"/>
    </w:p>
    <w:p w14:paraId="5FE2163E" w14:textId="77777777" w:rsidR="00BF174C" w:rsidRDefault="00357E57" w:rsidP="00303DE7">
      <w:pPr>
        <w:spacing w:after="0" w:line="360" w:lineRule="auto"/>
        <w:rPr>
          <w:rFonts w:ascii="Arial" w:hAnsi="Arial" w:cs="Arial"/>
          <w:szCs w:val="24"/>
        </w:rPr>
      </w:pPr>
      <w:r w:rsidRPr="00303DE7">
        <w:rPr>
          <w:rFonts w:ascii="Arial" w:hAnsi="Arial" w:cs="Arial"/>
          <w:szCs w:val="24"/>
        </w:rPr>
        <w:t xml:space="preserve">StaySmart+ is a significant strategic initiative of Hilton that will bring together AI-driven guest communication, tailored travel arrangements, and environmentally friendly facilities in its worldwide chain of hotels. This is the main objective of this report in terms of its scrutiny of the correct management of stakeholder involvement to ensure the successful design, implementation, and uptake of this innovative service. The analysis </w:t>
      </w:r>
      <w:r w:rsidRPr="00303DE7">
        <w:rPr>
          <w:rFonts w:ascii="Arial" w:hAnsi="Arial" w:cs="Arial"/>
          <w:szCs w:val="24"/>
        </w:rPr>
        <w:lastRenderedPageBreak/>
        <w:t xml:space="preserve">shows that identification and classification of the essential stakeholders, well-understood roles, duties, and influence, as well as implementation of a systematic engagement framework, are critical in the realisation of these goals. Engaging stakeholders is one of the pillars of project success, especially in a multifaceted international hospitality environment. Effective engagement ensures that internal stakeholders, in this case, leadership, operational managers, technical teams, and frontline staff, are aligned, skilled, and geared to provide a consistent, high-quality service experience. </w:t>
      </w:r>
    </w:p>
    <w:p w14:paraId="7F7C21FC" w14:textId="65A4E21A" w:rsidR="00244E26" w:rsidRPr="00BF174C" w:rsidRDefault="00357E57" w:rsidP="00303DE7">
      <w:pPr>
        <w:spacing w:after="0" w:line="360" w:lineRule="auto"/>
        <w:rPr>
          <w:rFonts w:ascii="Arial" w:hAnsi="Arial" w:cs="Arial"/>
          <w:szCs w:val="24"/>
          <w:highlight w:val="yellow"/>
        </w:rPr>
      </w:pPr>
      <w:r w:rsidRPr="00303DE7">
        <w:rPr>
          <w:rFonts w:ascii="Arial" w:hAnsi="Arial" w:cs="Arial"/>
          <w:szCs w:val="24"/>
        </w:rPr>
        <w:t xml:space="preserve">Similarly, active involvement of external stakeholders (such as guests, regulators, technology suppliers, and sustainability partners) drives legitimacy, helps to comply, and adopt. </w:t>
      </w:r>
      <w:r w:rsidR="00796B0E" w:rsidRPr="00303DE7">
        <w:rPr>
          <w:rFonts w:ascii="Arial" w:hAnsi="Arial" w:cs="Arial"/>
          <w:szCs w:val="24"/>
        </w:rPr>
        <w:t>Using</w:t>
      </w:r>
      <w:r w:rsidRPr="00303DE7">
        <w:rPr>
          <w:rFonts w:ascii="Arial" w:hAnsi="Arial" w:cs="Arial"/>
          <w:szCs w:val="24"/>
        </w:rPr>
        <w:t xml:space="preserve"> models like the 4C framework, the RACI matrix, stakeholder salience, and engagement plans, Hilton can achieve the integration of communication, consultation, collaboration, and commitment in an organised approach and be able to address regional cultural, operational, and regulatory diversity</w:t>
      </w:r>
      <w:r w:rsidR="00BF174C">
        <w:rPr>
          <w:rFonts w:ascii="Arial" w:hAnsi="Arial" w:cs="Arial"/>
          <w:szCs w:val="24"/>
        </w:rPr>
        <w:t xml:space="preserve">. </w:t>
      </w:r>
      <w:r w:rsidRPr="00303DE7">
        <w:rPr>
          <w:rFonts w:ascii="Arial" w:hAnsi="Arial" w:cs="Arial"/>
          <w:szCs w:val="24"/>
        </w:rPr>
        <w:t xml:space="preserve">The strategic significance of effective stakeholder engagement is reflected in various dimensions. It improves guest satisfaction and loyalty, strengthens worker engagement, brand reputation, spurs operational efficiency, sustainability goals, and risk reduction. In addition, the systematic interaction makes Hilton leverage its expertise and resources within the local environment, where the local knowledge and resources are essential, and consequently develop a foundation of innovation and competitive edge. </w:t>
      </w:r>
      <w:r w:rsidR="002E28D4" w:rsidRPr="00303DE7">
        <w:rPr>
          <w:rFonts w:ascii="Arial" w:hAnsi="Arial" w:cs="Arial"/>
          <w:szCs w:val="24"/>
        </w:rPr>
        <w:t>Overall</w:t>
      </w:r>
      <w:r w:rsidRPr="00303DE7">
        <w:rPr>
          <w:rFonts w:ascii="Arial" w:hAnsi="Arial" w:cs="Arial"/>
          <w:szCs w:val="24"/>
        </w:rPr>
        <w:t xml:space="preserve">, stakeholder engagement is not only an operational concept but a strategic asset that will make sure that projects like StaySmart+ are providing tangible business results, time to meet organisational goals, and create a sustainable value to all stakeholders in </w:t>
      </w:r>
      <w:r w:rsidR="00371142" w:rsidRPr="00303DE7">
        <w:rPr>
          <w:rFonts w:ascii="Arial" w:hAnsi="Arial" w:cs="Arial"/>
          <w:szCs w:val="24"/>
        </w:rPr>
        <w:t>a complex</w:t>
      </w:r>
      <w:r w:rsidRPr="00303DE7">
        <w:rPr>
          <w:rFonts w:ascii="Arial" w:hAnsi="Arial" w:cs="Arial"/>
          <w:szCs w:val="24"/>
        </w:rPr>
        <w:t xml:space="preserve"> global hospitality ecosystem. </w:t>
      </w:r>
    </w:p>
    <w:p w14:paraId="5830BC1A" w14:textId="77777777" w:rsidR="00E92571" w:rsidRPr="00303DE7" w:rsidRDefault="00E92571" w:rsidP="00303DE7">
      <w:pPr>
        <w:spacing w:after="0" w:line="360" w:lineRule="auto"/>
        <w:rPr>
          <w:rFonts w:ascii="Arial" w:hAnsi="Arial" w:cs="Arial"/>
          <w:szCs w:val="24"/>
        </w:rPr>
      </w:pPr>
    </w:p>
    <w:p w14:paraId="60AD1F83" w14:textId="77777777" w:rsidR="00E92571" w:rsidRPr="00303DE7" w:rsidRDefault="00357E57" w:rsidP="00303DE7">
      <w:pPr>
        <w:spacing w:after="0" w:line="360" w:lineRule="auto"/>
        <w:rPr>
          <w:rFonts w:ascii="Arial" w:hAnsi="Arial" w:cs="Arial"/>
          <w:szCs w:val="24"/>
        </w:rPr>
      </w:pPr>
      <w:r w:rsidRPr="00303DE7">
        <w:rPr>
          <w:rFonts w:ascii="Arial" w:hAnsi="Arial" w:cs="Arial"/>
          <w:szCs w:val="24"/>
        </w:rPr>
        <w:br w:type="page"/>
      </w:r>
    </w:p>
    <w:p w14:paraId="6C9EDE45" w14:textId="77777777" w:rsidR="00E92571" w:rsidRPr="00303DE7" w:rsidRDefault="00357E57" w:rsidP="00303DE7">
      <w:pPr>
        <w:pStyle w:val="Heading1"/>
        <w:spacing w:after="0" w:line="360" w:lineRule="auto"/>
        <w:rPr>
          <w:rFonts w:ascii="Arial" w:hAnsi="Arial" w:cs="Arial"/>
          <w:szCs w:val="24"/>
        </w:rPr>
      </w:pPr>
      <w:bookmarkStart w:id="16" w:name="_Toc224377117"/>
      <w:r w:rsidRPr="00303DE7">
        <w:rPr>
          <w:rFonts w:ascii="Arial" w:hAnsi="Arial" w:cs="Arial"/>
          <w:szCs w:val="24"/>
        </w:rPr>
        <w:lastRenderedPageBreak/>
        <w:t>References</w:t>
      </w:r>
      <w:bookmarkEnd w:id="16"/>
    </w:p>
    <w:p w14:paraId="59367AD0" w14:textId="6446D7B5" w:rsidR="00F63AF3"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Al Anakrih, M.G., (2025). Language in the Digital Era: How Artificial Intelligence </w:t>
      </w:r>
      <w:r w:rsidR="00FF049F" w:rsidRPr="00303DE7">
        <w:rPr>
          <w:rFonts w:ascii="Arial" w:hAnsi="Arial" w:cs="Arial"/>
          <w:szCs w:val="24"/>
          <w:shd w:val="clear" w:color="auto" w:fill="FFFFFF"/>
        </w:rPr>
        <w:t>is.</w:t>
      </w:r>
      <w:r w:rsidRPr="00303DE7">
        <w:rPr>
          <w:rFonts w:ascii="Arial" w:hAnsi="Arial" w:cs="Arial"/>
          <w:szCs w:val="24"/>
          <w:shd w:val="clear" w:color="auto" w:fill="FFFFFF"/>
        </w:rPr>
        <w:t xml:space="preserve"> </w:t>
      </w:r>
    </w:p>
    <w:p w14:paraId="4D061836" w14:textId="77777777" w:rsidR="00F63AF3"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Transforming Language Translation and Communication. </w:t>
      </w:r>
      <w:r w:rsidRPr="00303DE7">
        <w:rPr>
          <w:rFonts w:ascii="Arial" w:hAnsi="Arial" w:cs="Arial"/>
          <w:i/>
          <w:iCs/>
          <w:szCs w:val="24"/>
          <w:shd w:val="clear" w:color="auto" w:fill="FFFFFF"/>
        </w:rPr>
        <w:t xml:space="preserve">Egyptian Journal of </w:t>
      </w:r>
    </w:p>
    <w:p w14:paraId="25C1FCAC" w14:textId="1A1259A7"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Linguistics and Translation</w:t>
      </w:r>
      <w:r w:rsidRPr="00303DE7">
        <w:rPr>
          <w:rFonts w:ascii="Arial" w:hAnsi="Arial" w:cs="Arial"/>
          <w:szCs w:val="24"/>
          <w:shd w:val="clear" w:color="auto" w:fill="FFFFFF"/>
        </w:rPr>
        <w:t>, </w:t>
      </w:r>
      <w:r w:rsidRPr="00303DE7">
        <w:rPr>
          <w:rFonts w:ascii="Arial" w:hAnsi="Arial" w:cs="Arial"/>
          <w:i/>
          <w:iCs/>
          <w:szCs w:val="24"/>
          <w:shd w:val="clear" w:color="auto" w:fill="FFFFFF"/>
        </w:rPr>
        <w:t>15</w:t>
      </w:r>
      <w:r w:rsidRPr="00303DE7">
        <w:rPr>
          <w:rFonts w:ascii="Arial" w:hAnsi="Arial" w:cs="Arial"/>
          <w:szCs w:val="24"/>
          <w:shd w:val="clear" w:color="auto" w:fill="FFFFFF"/>
        </w:rPr>
        <w:t>(1), pp.106-137.</w:t>
      </w:r>
    </w:p>
    <w:p w14:paraId="6DA7CEB1" w14:textId="77777777" w:rsidR="00F63AF3" w:rsidRPr="00303DE7" w:rsidRDefault="00F63AF3" w:rsidP="00303DE7">
      <w:pPr>
        <w:spacing w:after="0" w:line="360" w:lineRule="auto"/>
        <w:ind w:left="720" w:hanging="720"/>
        <w:rPr>
          <w:rFonts w:ascii="Arial" w:hAnsi="Arial" w:cs="Arial"/>
          <w:szCs w:val="24"/>
          <w:shd w:val="clear" w:color="auto" w:fill="FFFFFF"/>
        </w:rPr>
      </w:pPr>
    </w:p>
    <w:p w14:paraId="038A1A60" w14:textId="77777777" w:rsidR="00F63AF3"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Alabi, M., (2024). Impact of Organi</w:t>
      </w:r>
      <w:r>
        <w:rPr>
          <w:rFonts w:ascii="Arial" w:hAnsi="Arial" w:cs="Arial"/>
          <w:szCs w:val="24"/>
          <w:shd w:val="clear" w:color="auto" w:fill="FFFFFF"/>
        </w:rPr>
        <w:t>s</w:t>
      </w:r>
      <w:r w:rsidRPr="00303DE7">
        <w:rPr>
          <w:rFonts w:ascii="Arial" w:hAnsi="Arial" w:cs="Arial"/>
          <w:szCs w:val="24"/>
          <w:shd w:val="clear" w:color="auto" w:fill="FFFFFF"/>
        </w:rPr>
        <w:t xml:space="preserve">ational Behavior Theories on Decision-Making in </w:t>
      </w:r>
    </w:p>
    <w:p w14:paraId="1E0712DA" w14:textId="59B15802"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Educational Institutions.</w:t>
      </w:r>
    </w:p>
    <w:p w14:paraId="3E49BC55" w14:textId="77777777" w:rsidR="007F78B0" w:rsidRPr="00303DE7" w:rsidRDefault="007F78B0" w:rsidP="00303DE7">
      <w:pPr>
        <w:spacing w:after="0" w:line="360" w:lineRule="auto"/>
        <w:ind w:left="720" w:hanging="720"/>
        <w:rPr>
          <w:rFonts w:ascii="Arial" w:hAnsi="Arial" w:cs="Arial"/>
          <w:szCs w:val="24"/>
          <w:shd w:val="clear" w:color="auto" w:fill="FFFFFF"/>
        </w:rPr>
      </w:pPr>
    </w:p>
    <w:p w14:paraId="5AADA6EC" w14:textId="77777777" w:rsidR="007F78B0"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Alexe, C.A., (2025). Interest-based negotiation: from conflict to cooperation. </w:t>
      </w:r>
    </w:p>
    <w:p w14:paraId="638B0C03" w14:textId="77777777" w:rsidR="007F78B0"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In </w:t>
      </w:r>
      <w:r w:rsidRPr="00303DE7">
        <w:rPr>
          <w:rFonts w:ascii="Arial" w:hAnsi="Arial" w:cs="Arial"/>
          <w:i/>
          <w:iCs/>
          <w:szCs w:val="24"/>
          <w:shd w:val="clear" w:color="auto" w:fill="FFFFFF"/>
        </w:rPr>
        <w:t xml:space="preserve">Psychological Adaptation and Conflict Resolution: Negotiation Techniques for </w:t>
      </w:r>
    </w:p>
    <w:p w14:paraId="2FC7FC6E" w14:textId="77777777" w:rsidR="007F78B0"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i/>
          <w:iCs/>
          <w:szCs w:val="24"/>
          <w:shd w:val="clear" w:color="auto" w:fill="FFFFFF"/>
        </w:rPr>
        <w:t xml:space="preserve">Promoting Emotional Well-Being and Social Responsibility in Adolescents, Young </w:t>
      </w:r>
    </w:p>
    <w:p w14:paraId="106AE9CC" w14:textId="6858BFEE"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Adults, and Professionals</w:t>
      </w:r>
      <w:r w:rsidRPr="00303DE7">
        <w:rPr>
          <w:rFonts w:ascii="Arial" w:hAnsi="Arial" w:cs="Arial"/>
          <w:szCs w:val="24"/>
          <w:shd w:val="clear" w:color="auto" w:fill="FFFFFF"/>
        </w:rPr>
        <w:t> (pp. 77-83). Universidad de La Rioja.</w:t>
      </w:r>
    </w:p>
    <w:p w14:paraId="7C90A67F" w14:textId="77777777" w:rsidR="007F78B0" w:rsidRPr="00303DE7" w:rsidRDefault="007F78B0" w:rsidP="00303DE7">
      <w:pPr>
        <w:spacing w:after="0" w:line="360" w:lineRule="auto"/>
        <w:ind w:left="720" w:hanging="720"/>
        <w:rPr>
          <w:rFonts w:ascii="Arial" w:hAnsi="Arial" w:cs="Arial"/>
          <w:szCs w:val="24"/>
          <w:shd w:val="clear" w:color="auto" w:fill="FFFFFF"/>
        </w:rPr>
      </w:pPr>
    </w:p>
    <w:p w14:paraId="25E55DC5" w14:textId="487957C4" w:rsidR="007F78B0"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Ashcroft, J. (2017) The relational lens: understanding, measuring, and </w:t>
      </w:r>
      <w:r w:rsidR="00FF049F" w:rsidRPr="00303DE7">
        <w:rPr>
          <w:rFonts w:ascii="Arial" w:hAnsi="Arial" w:cs="Arial"/>
          <w:szCs w:val="24"/>
        </w:rPr>
        <w:t>managing.</w:t>
      </w:r>
      <w:r w:rsidRPr="00303DE7">
        <w:rPr>
          <w:rFonts w:ascii="Arial" w:hAnsi="Arial" w:cs="Arial"/>
          <w:szCs w:val="24"/>
        </w:rPr>
        <w:t xml:space="preserve"> </w:t>
      </w:r>
    </w:p>
    <w:p w14:paraId="3AB0AE1B" w14:textId="77777777" w:rsidR="007F78B0"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stakeholder relationships. Cambridge: Cambridge University Press. Available at: </w:t>
      </w:r>
    </w:p>
    <w:p w14:paraId="590F06BA" w14:textId="3B0A675E" w:rsidR="00A46FC8" w:rsidRDefault="00695874" w:rsidP="00A46FC8">
      <w:pPr>
        <w:spacing w:after="0" w:line="360" w:lineRule="auto"/>
        <w:ind w:left="720" w:hanging="720"/>
      </w:pPr>
      <w:hyperlink r:id="rId9" w:anchor="CN-bp-1" w:history="1">
        <w:r w:rsidRPr="00D00B38">
          <w:rPr>
            <w:rStyle w:val="Hyperlink"/>
            <w:rFonts w:ascii="Arial" w:hAnsi="Arial" w:cs="Arial"/>
            <w:szCs w:val="24"/>
          </w:rPr>
          <w:t>https://www-cambridge-org.ezproxy.uwtsd.ac.uk/core/books/relational-lens/value-and-importance-of-relationships/718C31032061BDFA3F480BA2A53F45D4#CN-bp-1</w:t>
        </w:r>
      </w:hyperlink>
    </w:p>
    <w:p w14:paraId="4D81AE12" w14:textId="77777777" w:rsidR="00C8476B" w:rsidRDefault="00C8476B" w:rsidP="00A46FC8">
      <w:pPr>
        <w:spacing w:after="0" w:line="360" w:lineRule="auto"/>
        <w:ind w:left="720" w:hanging="720"/>
        <w:rPr>
          <w:rFonts w:ascii="Arial" w:hAnsi="Arial" w:cs="Arial"/>
          <w:szCs w:val="24"/>
        </w:rPr>
      </w:pPr>
    </w:p>
    <w:p w14:paraId="534A0900" w14:textId="1F140806" w:rsidR="00A46FC8" w:rsidRDefault="00AF523E" w:rsidP="00CE6AB4">
      <w:pPr>
        <w:spacing w:after="0" w:line="360" w:lineRule="auto"/>
        <w:rPr>
          <w:rFonts w:ascii="Arial" w:hAnsi="Arial" w:cs="Arial"/>
          <w:szCs w:val="24"/>
          <w:shd w:val="clear" w:color="auto" w:fill="FFFFFF"/>
        </w:rPr>
      </w:pPr>
      <w:r w:rsidRPr="00303DE7">
        <w:rPr>
          <w:rFonts w:ascii="Arial" w:hAnsi="Arial" w:cs="Arial"/>
          <w:szCs w:val="24"/>
          <w:shd w:val="clear" w:color="auto" w:fill="FFFFFF"/>
        </w:rPr>
        <w:t>Bharti, S.S. and Aryal, S.K., (2023). The right to privacy and an implication of the E</w:t>
      </w:r>
      <w:r w:rsidR="006B77B6">
        <w:rPr>
          <w:rFonts w:ascii="Arial" w:hAnsi="Arial" w:cs="Arial"/>
          <w:szCs w:val="24"/>
          <w:shd w:val="clear" w:color="auto" w:fill="FFFFFF"/>
        </w:rPr>
        <w:t>U</w:t>
      </w:r>
    </w:p>
    <w:p w14:paraId="56D2E203" w14:textId="0B9A356E" w:rsidR="006B77B6" w:rsidRDefault="00AF523E" w:rsidP="00C8476B">
      <w:pPr>
        <w:spacing w:after="0" w:line="360" w:lineRule="auto"/>
        <w:rPr>
          <w:rFonts w:ascii="Arial" w:hAnsi="Arial" w:cs="Arial"/>
          <w:szCs w:val="24"/>
          <w:shd w:val="clear" w:color="auto" w:fill="FFFFFF"/>
        </w:rPr>
      </w:pPr>
      <w:r w:rsidRPr="00303DE7">
        <w:rPr>
          <w:rFonts w:ascii="Arial" w:hAnsi="Arial" w:cs="Arial"/>
          <w:szCs w:val="24"/>
          <w:shd w:val="clear" w:color="auto" w:fill="FFFFFF"/>
        </w:rPr>
        <w:t xml:space="preserve">General Data Protection Regulation (GDPR) in Europe: Challenges to the </w:t>
      </w:r>
    </w:p>
    <w:p w14:paraId="12006C49" w14:textId="2F3E3551"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companies. </w:t>
      </w:r>
      <w:r w:rsidRPr="00303DE7">
        <w:rPr>
          <w:rFonts w:ascii="Arial" w:hAnsi="Arial" w:cs="Arial"/>
          <w:i/>
          <w:iCs/>
          <w:szCs w:val="24"/>
          <w:shd w:val="clear" w:color="auto" w:fill="FFFFFF"/>
        </w:rPr>
        <w:t>Journal of Contemporary European Studies</w:t>
      </w:r>
      <w:r w:rsidRPr="00303DE7">
        <w:rPr>
          <w:rFonts w:ascii="Arial" w:hAnsi="Arial" w:cs="Arial"/>
          <w:szCs w:val="24"/>
          <w:shd w:val="clear" w:color="auto" w:fill="FFFFFF"/>
        </w:rPr>
        <w:t>, </w:t>
      </w:r>
      <w:r w:rsidRPr="00303DE7">
        <w:rPr>
          <w:rFonts w:ascii="Arial" w:hAnsi="Arial" w:cs="Arial"/>
          <w:i/>
          <w:iCs/>
          <w:szCs w:val="24"/>
          <w:shd w:val="clear" w:color="auto" w:fill="FFFFFF"/>
        </w:rPr>
        <w:t>31</w:t>
      </w:r>
      <w:r w:rsidRPr="00303DE7">
        <w:rPr>
          <w:rFonts w:ascii="Arial" w:hAnsi="Arial" w:cs="Arial"/>
          <w:szCs w:val="24"/>
          <w:shd w:val="clear" w:color="auto" w:fill="FFFFFF"/>
        </w:rPr>
        <w:t>(4), pp.1391-1402.</w:t>
      </w:r>
    </w:p>
    <w:p w14:paraId="201ECBE9" w14:textId="77777777" w:rsidR="006B77B6" w:rsidRPr="00303DE7" w:rsidRDefault="006B77B6" w:rsidP="00303DE7">
      <w:pPr>
        <w:spacing w:after="0" w:line="360" w:lineRule="auto"/>
        <w:ind w:left="720" w:hanging="720"/>
        <w:rPr>
          <w:rFonts w:ascii="Arial" w:hAnsi="Arial" w:cs="Arial"/>
          <w:szCs w:val="24"/>
          <w:shd w:val="clear" w:color="auto" w:fill="FFFFFF"/>
        </w:rPr>
      </w:pPr>
    </w:p>
    <w:p w14:paraId="4A6ABC6F" w14:textId="77777777" w:rsidR="006B77B6"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Bhattacharyya, S.S., (2024). Co-working with robotic and automation technologies: </w:t>
      </w:r>
    </w:p>
    <w:p w14:paraId="47A76439" w14:textId="77777777" w:rsidR="00A46FC8"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technology anxiety of frontline workers in organisations. </w:t>
      </w:r>
      <w:r w:rsidRPr="00303DE7">
        <w:rPr>
          <w:rFonts w:ascii="Arial" w:hAnsi="Arial" w:cs="Arial"/>
          <w:i/>
          <w:iCs/>
          <w:szCs w:val="24"/>
          <w:shd w:val="clear" w:color="auto" w:fill="FFFFFF"/>
        </w:rPr>
        <w:t xml:space="preserve">Journal of Science and </w:t>
      </w:r>
    </w:p>
    <w:p w14:paraId="3546DA01" w14:textId="36006174"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Technology Policy Management</w:t>
      </w:r>
      <w:r w:rsidRPr="00303DE7">
        <w:rPr>
          <w:rFonts w:ascii="Arial" w:hAnsi="Arial" w:cs="Arial"/>
          <w:szCs w:val="24"/>
          <w:shd w:val="clear" w:color="auto" w:fill="FFFFFF"/>
        </w:rPr>
        <w:t>, </w:t>
      </w:r>
      <w:r w:rsidRPr="00303DE7">
        <w:rPr>
          <w:rFonts w:ascii="Arial" w:hAnsi="Arial" w:cs="Arial"/>
          <w:i/>
          <w:iCs/>
          <w:szCs w:val="24"/>
          <w:shd w:val="clear" w:color="auto" w:fill="FFFFFF"/>
        </w:rPr>
        <w:t>15</w:t>
      </w:r>
      <w:r w:rsidRPr="00303DE7">
        <w:rPr>
          <w:rFonts w:ascii="Arial" w:hAnsi="Arial" w:cs="Arial"/>
          <w:szCs w:val="24"/>
          <w:shd w:val="clear" w:color="auto" w:fill="FFFFFF"/>
        </w:rPr>
        <w:t>(5), pp.926-947.</w:t>
      </w:r>
    </w:p>
    <w:p w14:paraId="14B8453D" w14:textId="77777777" w:rsidR="00A46FC8" w:rsidRPr="00303DE7" w:rsidRDefault="00A46FC8" w:rsidP="00303DE7">
      <w:pPr>
        <w:spacing w:after="0" w:line="360" w:lineRule="auto"/>
        <w:ind w:left="720" w:hanging="720"/>
        <w:rPr>
          <w:rFonts w:ascii="Arial" w:hAnsi="Arial" w:cs="Arial"/>
          <w:szCs w:val="24"/>
          <w:shd w:val="clear" w:color="auto" w:fill="FFFFFF"/>
        </w:rPr>
      </w:pPr>
    </w:p>
    <w:p w14:paraId="7A920767" w14:textId="77777777" w:rsidR="00A46FC8"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Bilgihan, A., Ostinelli, M., Zhang, Y. and Lorenz, M., (2025). Artificial intelligence (AI) </w:t>
      </w:r>
    </w:p>
    <w:p w14:paraId="6E729DC9" w14:textId="77777777" w:rsidR="00A46FC8"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agents and the future of customer loyalty. </w:t>
      </w:r>
      <w:r w:rsidRPr="00303DE7">
        <w:rPr>
          <w:rFonts w:ascii="Arial" w:hAnsi="Arial" w:cs="Arial"/>
          <w:i/>
          <w:iCs/>
          <w:szCs w:val="24"/>
          <w:shd w:val="clear" w:color="auto" w:fill="FFFFFF"/>
        </w:rPr>
        <w:t xml:space="preserve">International Journal of Contemporary </w:t>
      </w:r>
    </w:p>
    <w:p w14:paraId="7A2615A7" w14:textId="4F32E471"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Hospitality Management</w:t>
      </w:r>
      <w:r w:rsidRPr="00303DE7">
        <w:rPr>
          <w:rFonts w:ascii="Arial" w:hAnsi="Arial" w:cs="Arial"/>
          <w:szCs w:val="24"/>
          <w:shd w:val="clear" w:color="auto" w:fill="FFFFFF"/>
        </w:rPr>
        <w:t>, </w:t>
      </w:r>
      <w:r w:rsidRPr="00303DE7">
        <w:rPr>
          <w:rFonts w:ascii="Arial" w:hAnsi="Arial" w:cs="Arial"/>
          <w:i/>
          <w:iCs/>
          <w:szCs w:val="24"/>
          <w:shd w:val="clear" w:color="auto" w:fill="FFFFFF"/>
        </w:rPr>
        <w:t>37</w:t>
      </w:r>
      <w:r w:rsidRPr="00303DE7">
        <w:rPr>
          <w:rFonts w:ascii="Arial" w:hAnsi="Arial" w:cs="Arial"/>
          <w:szCs w:val="24"/>
          <w:shd w:val="clear" w:color="auto" w:fill="FFFFFF"/>
        </w:rPr>
        <w:t>(9), pp.3240-3262.</w:t>
      </w:r>
    </w:p>
    <w:p w14:paraId="102E5565" w14:textId="77777777" w:rsidR="000A2A22" w:rsidRPr="00303DE7" w:rsidRDefault="000A2A22" w:rsidP="00303DE7">
      <w:pPr>
        <w:spacing w:after="0" w:line="360" w:lineRule="auto"/>
        <w:ind w:left="720" w:hanging="720"/>
        <w:rPr>
          <w:rFonts w:ascii="Arial" w:hAnsi="Arial" w:cs="Arial"/>
          <w:szCs w:val="24"/>
          <w:shd w:val="clear" w:color="auto" w:fill="FFFFFF"/>
        </w:rPr>
      </w:pPr>
    </w:p>
    <w:p w14:paraId="221997D6" w14:textId="7980196A" w:rsidR="00AF523E" w:rsidRPr="00E903FC" w:rsidRDefault="00AF523E" w:rsidP="00511016">
      <w:pPr>
        <w:spacing w:after="0" w:line="360" w:lineRule="auto"/>
        <w:ind w:left="720" w:hanging="720"/>
        <w:rPr>
          <w:rFonts w:ascii="Arial" w:hAnsi="Arial" w:cs="Arial"/>
          <w:i/>
          <w:iCs/>
          <w:szCs w:val="24"/>
        </w:rPr>
      </w:pPr>
      <w:r w:rsidRPr="00303DE7">
        <w:rPr>
          <w:rFonts w:ascii="Arial" w:hAnsi="Arial" w:cs="Arial"/>
          <w:szCs w:val="24"/>
        </w:rPr>
        <w:lastRenderedPageBreak/>
        <w:t xml:space="preserve">Bourne, L., </w:t>
      </w:r>
      <w:r w:rsidRPr="00303DE7">
        <w:rPr>
          <w:rFonts w:ascii="Arial" w:hAnsi="Arial" w:cs="Arial"/>
          <w:szCs w:val="24"/>
          <w:shd w:val="clear" w:color="auto" w:fill="FFFFFF"/>
        </w:rPr>
        <w:t>(</w:t>
      </w:r>
      <w:r w:rsidRPr="00303DE7">
        <w:rPr>
          <w:rFonts w:ascii="Arial" w:hAnsi="Arial" w:cs="Arial"/>
          <w:szCs w:val="24"/>
        </w:rPr>
        <w:t>2015</w:t>
      </w:r>
      <w:r w:rsidR="0027596B">
        <w:rPr>
          <w:rFonts w:ascii="Arial" w:hAnsi="Arial" w:cs="Arial"/>
          <w:szCs w:val="24"/>
        </w:rPr>
        <w:t>)</w:t>
      </w:r>
      <w:r w:rsidRPr="00303DE7">
        <w:rPr>
          <w:rFonts w:ascii="Arial" w:hAnsi="Arial" w:cs="Arial"/>
          <w:szCs w:val="24"/>
        </w:rPr>
        <w:t>. The three types of stakeholder communication. </w:t>
      </w:r>
      <w:r w:rsidRPr="00303DE7">
        <w:rPr>
          <w:rFonts w:ascii="Arial" w:hAnsi="Arial" w:cs="Arial"/>
          <w:i/>
          <w:iCs/>
          <w:szCs w:val="24"/>
        </w:rPr>
        <w:t>PM World Journal</w:t>
      </w:r>
      <w:r w:rsidRPr="00303DE7">
        <w:rPr>
          <w:rFonts w:ascii="Arial" w:hAnsi="Arial" w:cs="Arial"/>
          <w:szCs w:val="24"/>
        </w:rPr>
        <w:t>, </w:t>
      </w:r>
      <w:r w:rsidRPr="00303DE7">
        <w:rPr>
          <w:rFonts w:ascii="Arial" w:hAnsi="Arial" w:cs="Arial"/>
          <w:i/>
          <w:iCs/>
          <w:szCs w:val="24"/>
        </w:rPr>
        <w:t>4</w:t>
      </w:r>
      <w:r w:rsidRPr="00303DE7">
        <w:rPr>
          <w:rFonts w:ascii="Arial" w:hAnsi="Arial" w:cs="Arial"/>
          <w:szCs w:val="24"/>
        </w:rPr>
        <w:t>(9), pp.1-5.</w:t>
      </w:r>
    </w:p>
    <w:p w14:paraId="1E142061" w14:textId="77777777" w:rsidR="00E903FC" w:rsidRPr="00E903FC" w:rsidRDefault="00E903FC" w:rsidP="00E903FC">
      <w:pPr>
        <w:spacing w:after="0" w:line="360" w:lineRule="auto"/>
        <w:ind w:left="720" w:hanging="720"/>
        <w:rPr>
          <w:rFonts w:ascii="Arial" w:hAnsi="Arial" w:cs="Arial"/>
          <w:i/>
          <w:iCs/>
          <w:szCs w:val="24"/>
        </w:rPr>
      </w:pPr>
    </w:p>
    <w:p w14:paraId="5810475A" w14:textId="77777777" w:rsidR="00E903FC"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Christopher, M., Payne, A., and Ballantyne, D. (2013). Relationship Marketing: Creating </w:t>
      </w:r>
    </w:p>
    <w:p w14:paraId="4AE2C36F" w14:textId="5EB4C5AC" w:rsidR="00AF523E" w:rsidRPr="00303DE7" w:rsidRDefault="00AF523E" w:rsidP="00303DE7">
      <w:pPr>
        <w:spacing w:after="0" w:line="360" w:lineRule="auto"/>
        <w:ind w:left="720" w:hanging="720"/>
        <w:rPr>
          <w:rFonts w:ascii="Arial" w:hAnsi="Arial" w:cs="Arial"/>
          <w:szCs w:val="24"/>
        </w:rPr>
      </w:pPr>
      <w:r w:rsidRPr="00303DE7">
        <w:rPr>
          <w:rFonts w:ascii="Arial" w:hAnsi="Arial" w:cs="Arial"/>
          <w:szCs w:val="24"/>
        </w:rPr>
        <w:t>Stakeholder Value. Saint Louis: Taylor and Francis</w:t>
      </w:r>
    </w:p>
    <w:p w14:paraId="7FC029E5" w14:textId="77777777" w:rsidR="00E903F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Chung, K.C. and Tan, P.J.B., (2025). Artificial intelligence and internet of things to </w:t>
      </w:r>
    </w:p>
    <w:p w14:paraId="7870593B" w14:textId="038E28CE"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improve smart hospitality services. </w:t>
      </w:r>
      <w:r w:rsidRPr="00303DE7">
        <w:rPr>
          <w:rFonts w:ascii="Arial" w:hAnsi="Arial" w:cs="Arial"/>
          <w:i/>
          <w:iCs/>
          <w:szCs w:val="24"/>
          <w:shd w:val="clear" w:color="auto" w:fill="FFFFFF"/>
        </w:rPr>
        <w:t>Internet of Things</w:t>
      </w:r>
      <w:r w:rsidRPr="00303DE7">
        <w:rPr>
          <w:rFonts w:ascii="Arial" w:hAnsi="Arial" w:cs="Arial"/>
          <w:szCs w:val="24"/>
          <w:shd w:val="clear" w:color="auto" w:fill="FFFFFF"/>
        </w:rPr>
        <w:t>, </w:t>
      </w:r>
      <w:r w:rsidRPr="00303DE7">
        <w:rPr>
          <w:rFonts w:ascii="Arial" w:hAnsi="Arial" w:cs="Arial"/>
          <w:i/>
          <w:iCs/>
          <w:szCs w:val="24"/>
          <w:shd w:val="clear" w:color="auto" w:fill="FFFFFF"/>
        </w:rPr>
        <w:t>31</w:t>
      </w:r>
      <w:r w:rsidRPr="00303DE7">
        <w:rPr>
          <w:rFonts w:ascii="Arial" w:hAnsi="Arial" w:cs="Arial"/>
          <w:szCs w:val="24"/>
          <w:shd w:val="clear" w:color="auto" w:fill="FFFFFF"/>
        </w:rPr>
        <w:t>, p.101544.</w:t>
      </w:r>
    </w:p>
    <w:p w14:paraId="3ECD59EC" w14:textId="77777777" w:rsidR="002411AC" w:rsidRPr="00303DE7" w:rsidRDefault="002411AC" w:rsidP="00303DE7">
      <w:pPr>
        <w:spacing w:after="0" w:line="360" w:lineRule="auto"/>
        <w:ind w:left="720" w:hanging="720"/>
        <w:rPr>
          <w:rFonts w:ascii="Arial" w:hAnsi="Arial" w:cs="Arial"/>
          <w:szCs w:val="24"/>
          <w:shd w:val="clear" w:color="auto" w:fill="FFFFFF"/>
        </w:rPr>
      </w:pPr>
    </w:p>
    <w:p w14:paraId="7602A696" w14:textId="5626115A"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Das, M.P., (2023). Technology and Guest </w:t>
      </w:r>
      <w:r w:rsidR="00511016" w:rsidRPr="00303DE7">
        <w:rPr>
          <w:rFonts w:ascii="Arial" w:hAnsi="Arial" w:cs="Arial"/>
          <w:szCs w:val="24"/>
          <w:shd w:val="clear" w:color="auto" w:fill="FFFFFF"/>
        </w:rPr>
        <w:t>experience</w:t>
      </w:r>
      <w:r w:rsidRPr="00303DE7">
        <w:rPr>
          <w:rFonts w:ascii="Arial" w:hAnsi="Arial" w:cs="Arial"/>
          <w:szCs w:val="24"/>
          <w:shd w:val="clear" w:color="auto" w:fill="FFFFFF"/>
        </w:rPr>
        <w:t xml:space="preserve"> innovations reshaping </w:t>
      </w:r>
      <w:r w:rsidR="00FF049F" w:rsidRPr="00303DE7">
        <w:rPr>
          <w:rFonts w:ascii="Arial" w:hAnsi="Arial" w:cs="Arial"/>
          <w:szCs w:val="24"/>
          <w:shd w:val="clear" w:color="auto" w:fill="FFFFFF"/>
        </w:rPr>
        <w:t>hotel.</w:t>
      </w:r>
      <w:r w:rsidRPr="00303DE7">
        <w:rPr>
          <w:rFonts w:ascii="Arial" w:hAnsi="Arial" w:cs="Arial"/>
          <w:szCs w:val="24"/>
          <w:shd w:val="clear" w:color="auto" w:fill="FFFFFF"/>
        </w:rPr>
        <w:t xml:space="preserve"> </w:t>
      </w:r>
    </w:p>
    <w:p w14:paraId="3189E942" w14:textId="77777777"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management. </w:t>
      </w:r>
      <w:r w:rsidRPr="00303DE7">
        <w:rPr>
          <w:rFonts w:ascii="Arial" w:hAnsi="Arial" w:cs="Arial"/>
          <w:i/>
          <w:iCs/>
          <w:szCs w:val="24"/>
          <w:shd w:val="clear" w:color="auto" w:fill="FFFFFF"/>
        </w:rPr>
        <w:t>International Journal for Multidimensional Research Perspectives</w:t>
      </w:r>
      <w:r w:rsidRPr="00303DE7">
        <w:rPr>
          <w:rFonts w:ascii="Arial" w:hAnsi="Arial" w:cs="Arial"/>
          <w:szCs w:val="24"/>
          <w:shd w:val="clear" w:color="auto" w:fill="FFFFFF"/>
        </w:rPr>
        <w:t>, </w:t>
      </w:r>
      <w:r w:rsidRPr="00303DE7">
        <w:rPr>
          <w:rFonts w:ascii="Arial" w:hAnsi="Arial" w:cs="Arial"/>
          <w:i/>
          <w:iCs/>
          <w:szCs w:val="24"/>
          <w:shd w:val="clear" w:color="auto" w:fill="FFFFFF"/>
        </w:rPr>
        <w:t>1</w:t>
      </w:r>
      <w:r w:rsidRPr="00303DE7">
        <w:rPr>
          <w:rFonts w:ascii="Arial" w:hAnsi="Arial" w:cs="Arial"/>
          <w:szCs w:val="24"/>
          <w:shd w:val="clear" w:color="auto" w:fill="FFFFFF"/>
        </w:rPr>
        <w:t xml:space="preserve">(3), </w:t>
      </w:r>
    </w:p>
    <w:p w14:paraId="091C1975" w14:textId="5EBDC70B"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pp.76-95.</w:t>
      </w:r>
    </w:p>
    <w:p w14:paraId="5D1ABC81" w14:textId="77777777" w:rsidR="002411AC" w:rsidRPr="00303DE7" w:rsidRDefault="002411AC" w:rsidP="00303DE7">
      <w:pPr>
        <w:spacing w:after="0" w:line="360" w:lineRule="auto"/>
        <w:ind w:left="720" w:hanging="720"/>
        <w:rPr>
          <w:rFonts w:ascii="Arial" w:hAnsi="Arial" w:cs="Arial"/>
          <w:szCs w:val="24"/>
          <w:shd w:val="clear" w:color="auto" w:fill="FFFFFF"/>
        </w:rPr>
      </w:pPr>
    </w:p>
    <w:p w14:paraId="5B449138" w14:textId="77777777"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Derowitsch, J., Ngo, T., Katt, T., Henning, M. and Soukup, L., (2025). Strategic Audit: </w:t>
      </w:r>
    </w:p>
    <w:p w14:paraId="16095C12" w14:textId="65BE941A"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Hilton Worldwide Holdings, Inc.</w:t>
      </w:r>
    </w:p>
    <w:p w14:paraId="132C75DB" w14:textId="77777777" w:rsidR="002411AC" w:rsidRPr="00303DE7" w:rsidRDefault="002411AC" w:rsidP="00303DE7">
      <w:pPr>
        <w:spacing w:after="0" w:line="360" w:lineRule="auto"/>
        <w:ind w:left="720" w:hanging="720"/>
        <w:rPr>
          <w:rFonts w:ascii="Arial" w:hAnsi="Arial" w:cs="Arial"/>
          <w:szCs w:val="24"/>
          <w:shd w:val="clear" w:color="auto" w:fill="FFFFFF"/>
        </w:rPr>
      </w:pPr>
    </w:p>
    <w:p w14:paraId="6A9536CC" w14:textId="77777777" w:rsidR="002411AC"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Freeman, R. E. (1984). Strategic Management: A Stakeholder Approach. Boston, MA: </w:t>
      </w:r>
    </w:p>
    <w:p w14:paraId="001DEBB8" w14:textId="2BB219D1" w:rsidR="00AF523E" w:rsidRPr="00303DE7" w:rsidRDefault="00AF523E" w:rsidP="00303DE7">
      <w:pPr>
        <w:spacing w:after="0" w:line="360" w:lineRule="auto"/>
        <w:ind w:left="720" w:hanging="720"/>
        <w:rPr>
          <w:rFonts w:ascii="Arial" w:hAnsi="Arial" w:cs="Arial"/>
          <w:szCs w:val="24"/>
        </w:rPr>
      </w:pPr>
      <w:r w:rsidRPr="00303DE7">
        <w:rPr>
          <w:rFonts w:ascii="Arial" w:hAnsi="Arial" w:cs="Arial"/>
          <w:szCs w:val="24"/>
        </w:rPr>
        <w:t>Pitman.</w:t>
      </w:r>
    </w:p>
    <w:p w14:paraId="117C174F" w14:textId="77777777"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Gizaw, T.Z., (2025). Pathways to Employee Engagement: The Mediating Influence of </w:t>
      </w:r>
    </w:p>
    <w:p w14:paraId="1A2D26A4" w14:textId="77777777"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Feedback and Management-Employee Relationships on Sense of Belonging and </w:t>
      </w:r>
    </w:p>
    <w:p w14:paraId="16E8A8C5" w14:textId="6096F475"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Intrinsic Motivation.</w:t>
      </w:r>
    </w:p>
    <w:p w14:paraId="3D11C6D8" w14:textId="77777777" w:rsidR="002411AC" w:rsidRPr="00303DE7" w:rsidRDefault="002411AC" w:rsidP="00303DE7">
      <w:pPr>
        <w:spacing w:after="0" w:line="360" w:lineRule="auto"/>
        <w:ind w:left="720" w:hanging="720"/>
        <w:rPr>
          <w:rFonts w:ascii="Arial" w:hAnsi="Arial" w:cs="Arial"/>
          <w:szCs w:val="24"/>
          <w:shd w:val="clear" w:color="auto" w:fill="FFFFFF"/>
        </w:rPr>
      </w:pPr>
    </w:p>
    <w:p w14:paraId="7C6E7C93" w14:textId="77777777"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Gürkan, N. and Suchow, J.W., (2023). Harnessing collective intelligence under a lack of </w:t>
      </w:r>
    </w:p>
    <w:p w14:paraId="769F4683" w14:textId="6E0622B5"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cultural consensus. </w:t>
      </w:r>
      <w:r w:rsidRPr="00303DE7">
        <w:rPr>
          <w:rFonts w:ascii="Arial" w:hAnsi="Arial" w:cs="Arial"/>
          <w:i/>
          <w:iCs/>
          <w:szCs w:val="24"/>
          <w:shd w:val="clear" w:color="auto" w:fill="FFFFFF"/>
        </w:rPr>
        <w:t>arXiv preprint arXiv:2309.09787</w:t>
      </w:r>
      <w:r w:rsidRPr="00303DE7">
        <w:rPr>
          <w:rFonts w:ascii="Arial" w:hAnsi="Arial" w:cs="Arial"/>
          <w:szCs w:val="24"/>
          <w:shd w:val="clear" w:color="auto" w:fill="FFFFFF"/>
        </w:rPr>
        <w:t>.</w:t>
      </w:r>
    </w:p>
    <w:p w14:paraId="730D6939" w14:textId="77777777" w:rsidR="002411AC" w:rsidRPr="00303DE7" w:rsidRDefault="002411AC" w:rsidP="00303DE7">
      <w:pPr>
        <w:spacing w:after="0" w:line="360" w:lineRule="auto"/>
        <w:ind w:left="720" w:hanging="720"/>
        <w:rPr>
          <w:rFonts w:ascii="Arial" w:hAnsi="Arial" w:cs="Arial"/>
          <w:szCs w:val="24"/>
          <w:shd w:val="clear" w:color="auto" w:fill="FFFFFF"/>
        </w:rPr>
      </w:pPr>
    </w:p>
    <w:p w14:paraId="3793EF14" w14:textId="77777777"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Harrison, J.S., Kelso, A., Reilly, P. and Sadler, W., (2022). Hilton Worldwide Holdings </w:t>
      </w:r>
    </w:p>
    <w:p w14:paraId="5760F998" w14:textId="648AB022"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Inc.</w:t>
      </w:r>
    </w:p>
    <w:p w14:paraId="75CD778A" w14:textId="77777777" w:rsidR="002411AC" w:rsidRPr="00303DE7" w:rsidRDefault="002411AC" w:rsidP="00303DE7">
      <w:pPr>
        <w:spacing w:after="0" w:line="360" w:lineRule="auto"/>
        <w:ind w:left="720" w:hanging="720"/>
        <w:rPr>
          <w:rFonts w:ascii="Arial" w:hAnsi="Arial" w:cs="Arial"/>
          <w:szCs w:val="24"/>
          <w:shd w:val="clear" w:color="auto" w:fill="FFFFFF"/>
        </w:rPr>
      </w:pPr>
    </w:p>
    <w:p w14:paraId="6AC2632B" w14:textId="5726EED2" w:rsidR="002411AC"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Jiang, H., Luo, Y., Xia, J., Hitt, </w:t>
      </w:r>
      <w:r w:rsidR="00796B0E" w:rsidRPr="00303DE7">
        <w:rPr>
          <w:rFonts w:ascii="Arial" w:hAnsi="Arial" w:cs="Arial"/>
          <w:szCs w:val="24"/>
          <w:shd w:val="clear" w:color="auto" w:fill="FFFFFF"/>
        </w:rPr>
        <w:t>M.,</w:t>
      </w:r>
      <w:r w:rsidRPr="00303DE7">
        <w:rPr>
          <w:rFonts w:ascii="Arial" w:hAnsi="Arial" w:cs="Arial"/>
          <w:szCs w:val="24"/>
          <w:shd w:val="clear" w:color="auto" w:fill="FFFFFF"/>
        </w:rPr>
        <w:t xml:space="preserve"> and Shen, J. (2023). Resource dependence theory in </w:t>
      </w:r>
    </w:p>
    <w:p w14:paraId="3E541EC0" w14:textId="666FD16E"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international business: Progress and prospects. </w:t>
      </w:r>
      <w:r w:rsidRPr="00303DE7">
        <w:rPr>
          <w:rFonts w:ascii="Arial" w:hAnsi="Arial" w:cs="Arial"/>
          <w:i/>
          <w:iCs/>
          <w:szCs w:val="24"/>
          <w:shd w:val="clear" w:color="auto" w:fill="FFFFFF"/>
        </w:rPr>
        <w:t>Global strategy journal</w:t>
      </w:r>
      <w:r w:rsidRPr="00303DE7">
        <w:rPr>
          <w:rFonts w:ascii="Arial" w:hAnsi="Arial" w:cs="Arial"/>
          <w:szCs w:val="24"/>
          <w:shd w:val="clear" w:color="auto" w:fill="FFFFFF"/>
        </w:rPr>
        <w:t>, </w:t>
      </w:r>
      <w:r w:rsidRPr="00303DE7">
        <w:rPr>
          <w:rFonts w:ascii="Arial" w:hAnsi="Arial" w:cs="Arial"/>
          <w:i/>
          <w:iCs/>
          <w:szCs w:val="24"/>
          <w:shd w:val="clear" w:color="auto" w:fill="FFFFFF"/>
        </w:rPr>
        <w:t>13</w:t>
      </w:r>
      <w:r w:rsidRPr="00303DE7">
        <w:rPr>
          <w:rFonts w:ascii="Arial" w:hAnsi="Arial" w:cs="Arial"/>
          <w:szCs w:val="24"/>
          <w:shd w:val="clear" w:color="auto" w:fill="FFFFFF"/>
        </w:rPr>
        <w:t>(1), pp.3-57.</w:t>
      </w:r>
    </w:p>
    <w:p w14:paraId="7490E4D1" w14:textId="77777777" w:rsidR="00062182" w:rsidRPr="00303DE7" w:rsidRDefault="00062182" w:rsidP="00303DE7">
      <w:pPr>
        <w:spacing w:after="0" w:line="360" w:lineRule="auto"/>
        <w:ind w:left="720" w:hanging="720"/>
        <w:rPr>
          <w:rFonts w:ascii="Arial" w:hAnsi="Arial" w:cs="Arial"/>
          <w:szCs w:val="24"/>
          <w:shd w:val="clear" w:color="auto" w:fill="FFFFFF"/>
        </w:rPr>
      </w:pPr>
    </w:p>
    <w:p w14:paraId="2571F423" w14:textId="77777777" w:rsidR="00062182"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Legrand, W., Chen, J.S. and Laeis, G.C., (2022). </w:t>
      </w:r>
      <w:r w:rsidRPr="00303DE7">
        <w:rPr>
          <w:rFonts w:ascii="Arial" w:hAnsi="Arial" w:cs="Arial"/>
          <w:i/>
          <w:iCs/>
          <w:szCs w:val="24"/>
          <w:shd w:val="clear" w:color="auto" w:fill="FFFFFF"/>
        </w:rPr>
        <w:t xml:space="preserve">Sustainability in the hospitality </w:t>
      </w:r>
    </w:p>
    <w:p w14:paraId="309FCBBF" w14:textId="69B06525" w:rsidR="001B7181" w:rsidRDefault="00AF523E" w:rsidP="001B7181">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lastRenderedPageBreak/>
        <w:t>industry: Principles of sustainable operations</w:t>
      </w:r>
      <w:r w:rsidRPr="00303DE7">
        <w:rPr>
          <w:rFonts w:ascii="Arial" w:hAnsi="Arial" w:cs="Arial"/>
          <w:szCs w:val="24"/>
          <w:shd w:val="clear" w:color="auto" w:fill="FFFFFF"/>
        </w:rPr>
        <w:t>. Routledge.</w:t>
      </w:r>
    </w:p>
    <w:p w14:paraId="326BB612" w14:textId="77777777" w:rsidR="00062182" w:rsidRPr="00303DE7" w:rsidRDefault="00062182" w:rsidP="00303DE7">
      <w:pPr>
        <w:spacing w:after="0" w:line="360" w:lineRule="auto"/>
        <w:ind w:left="720" w:hanging="720"/>
        <w:rPr>
          <w:rFonts w:ascii="Arial" w:hAnsi="Arial" w:cs="Arial"/>
          <w:szCs w:val="24"/>
          <w:shd w:val="clear" w:color="auto" w:fill="FFFFFF"/>
        </w:rPr>
      </w:pPr>
    </w:p>
    <w:p w14:paraId="24342004"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Mandić, D., Panić, A. and Šain, M.Č., (2023), December. Automated service delivery in </w:t>
      </w:r>
    </w:p>
    <w:p w14:paraId="341BD2A1"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hotels: balancing efficiency and human interaction for optimal guest satisfaction. </w:t>
      </w:r>
    </w:p>
    <w:p w14:paraId="1594A70E" w14:textId="0F3ECCE4" w:rsidR="00062182"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In </w:t>
      </w:r>
      <w:r w:rsidRPr="00303DE7">
        <w:rPr>
          <w:rFonts w:ascii="Arial" w:hAnsi="Arial" w:cs="Arial"/>
          <w:i/>
          <w:iCs/>
          <w:szCs w:val="24"/>
          <w:shd w:val="clear" w:color="auto" w:fill="FFFFFF"/>
        </w:rPr>
        <w:t xml:space="preserve">International Scientific Conference on Economics, </w:t>
      </w:r>
      <w:r w:rsidR="00796B0E" w:rsidRPr="00303DE7">
        <w:rPr>
          <w:rFonts w:ascii="Arial" w:hAnsi="Arial" w:cs="Arial"/>
          <w:i/>
          <w:iCs/>
          <w:szCs w:val="24"/>
          <w:shd w:val="clear" w:color="auto" w:fill="FFFFFF"/>
        </w:rPr>
        <w:t>Management,</w:t>
      </w:r>
      <w:r w:rsidRPr="00303DE7">
        <w:rPr>
          <w:rFonts w:ascii="Arial" w:hAnsi="Arial" w:cs="Arial"/>
          <w:i/>
          <w:iCs/>
          <w:szCs w:val="24"/>
          <w:shd w:val="clear" w:color="auto" w:fill="FFFFFF"/>
        </w:rPr>
        <w:t xml:space="preserve"> and Information</w:t>
      </w:r>
    </w:p>
    <w:p w14:paraId="123BECF9" w14:textId="2A6C3E09"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 xml:space="preserve"> Technologies</w:t>
      </w:r>
      <w:r w:rsidRPr="00303DE7">
        <w:rPr>
          <w:rFonts w:ascii="Arial" w:hAnsi="Arial" w:cs="Arial"/>
          <w:szCs w:val="24"/>
          <w:shd w:val="clear" w:color="auto" w:fill="FFFFFF"/>
        </w:rPr>
        <w:t> (Vol. 1, No. 1, pp. 167-174).</w:t>
      </w:r>
    </w:p>
    <w:p w14:paraId="6BDDE035" w14:textId="77777777" w:rsidR="00062182" w:rsidRPr="00303DE7" w:rsidRDefault="00062182" w:rsidP="00303DE7">
      <w:pPr>
        <w:spacing w:after="0" w:line="360" w:lineRule="auto"/>
        <w:ind w:left="720" w:hanging="720"/>
        <w:rPr>
          <w:rFonts w:ascii="Arial" w:hAnsi="Arial" w:cs="Arial"/>
          <w:szCs w:val="24"/>
          <w:shd w:val="clear" w:color="auto" w:fill="FFFFFF"/>
        </w:rPr>
      </w:pPr>
    </w:p>
    <w:p w14:paraId="294F09A2" w14:textId="77777777" w:rsidR="00062182"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Marshall, R.C., (2022). Leadership models, processes, and practices. In </w:t>
      </w:r>
      <w:r w:rsidRPr="00303DE7">
        <w:rPr>
          <w:rFonts w:ascii="Arial" w:hAnsi="Arial" w:cs="Arial"/>
          <w:i/>
          <w:iCs/>
          <w:szCs w:val="24"/>
          <w:shd w:val="clear" w:color="auto" w:fill="FFFFFF"/>
        </w:rPr>
        <w:t xml:space="preserve">Clinical </w:t>
      </w:r>
    </w:p>
    <w:p w14:paraId="7933F330"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Informatics Study Guide: Text and Review</w:t>
      </w:r>
      <w:r w:rsidRPr="00303DE7">
        <w:rPr>
          <w:rFonts w:ascii="Arial" w:hAnsi="Arial" w:cs="Arial"/>
          <w:szCs w:val="24"/>
          <w:shd w:val="clear" w:color="auto" w:fill="FFFFFF"/>
        </w:rPr>
        <w:t xml:space="preserve"> (pp. 263-283). Cham: Springer International </w:t>
      </w:r>
    </w:p>
    <w:p w14:paraId="1FFEB96B" w14:textId="58315FC5"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Publishing.</w:t>
      </w:r>
    </w:p>
    <w:p w14:paraId="3EECC030" w14:textId="77777777" w:rsidR="00062182" w:rsidRPr="00303DE7" w:rsidRDefault="00062182" w:rsidP="00303DE7">
      <w:pPr>
        <w:spacing w:after="0" w:line="360" w:lineRule="auto"/>
        <w:ind w:left="720" w:hanging="720"/>
        <w:rPr>
          <w:rFonts w:ascii="Arial" w:hAnsi="Arial" w:cs="Arial"/>
          <w:szCs w:val="24"/>
          <w:shd w:val="clear" w:color="auto" w:fill="FFFFFF"/>
        </w:rPr>
      </w:pPr>
    </w:p>
    <w:p w14:paraId="5E11440A"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Mazzetti, G., Robledo, E., Vignoli, M., Topa, G., Guglielmi, D. and Schaufeli, W.B., </w:t>
      </w:r>
    </w:p>
    <w:p w14:paraId="694A75BC" w14:textId="5DB8A6C6"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(2023). Work engagement: A meta-analysis using the job demands-</w:t>
      </w:r>
      <w:r w:rsidR="002C5FA5" w:rsidRPr="00303DE7">
        <w:rPr>
          <w:rFonts w:ascii="Arial" w:hAnsi="Arial" w:cs="Arial"/>
          <w:szCs w:val="24"/>
          <w:shd w:val="clear" w:color="auto" w:fill="FFFFFF"/>
        </w:rPr>
        <w:t>resources.</w:t>
      </w:r>
      <w:r w:rsidRPr="00303DE7">
        <w:rPr>
          <w:rFonts w:ascii="Arial" w:hAnsi="Arial" w:cs="Arial"/>
          <w:szCs w:val="24"/>
          <w:shd w:val="clear" w:color="auto" w:fill="FFFFFF"/>
        </w:rPr>
        <w:t xml:space="preserve"> </w:t>
      </w:r>
    </w:p>
    <w:p w14:paraId="0A1BF0C0" w14:textId="576C1ABC"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model. </w:t>
      </w:r>
      <w:r w:rsidRPr="00303DE7">
        <w:rPr>
          <w:rFonts w:ascii="Arial" w:hAnsi="Arial" w:cs="Arial"/>
          <w:i/>
          <w:iCs/>
          <w:szCs w:val="24"/>
          <w:shd w:val="clear" w:color="auto" w:fill="FFFFFF"/>
        </w:rPr>
        <w:t>Psychological reports</w:t>
      </w:r>
      <w:r w:rsidRPr="00303DE7">
        <w:rPr>
          <w:rFonts w:ascii="Arial" w:hAnsi="Arial" w:cs="Arial"/>
          <w:szCs w:val="24"/>
          <w:shd w:val="clear" w:color="auto" w:fill="FFFFFF"/>
        </w:rPr>
        <w:t>, </w:t>
      </w:r>
      <w:r w:rsidRPr="00303DE7">
        <w:rPr>
          <w:rFonts w:ascii="Arial" w:hAnsi="Arial" w:cs="Arial"/>
          <w:i/>
          <w:iCs/>
          <w:szCs w:val="24"/>
          <w:shd w:val="clear" w:color="auto" w:fill="FFFFFF"/>
        </w:rPr>
        <w:t>126</w:t>
      </w:r>
      <w:r w:rsidRPr="00303DE7">
        <w:rPr>
          <w:rFonts w:ascii="Arial" w:hAnsi="Arial" w:cs="Arial"/>
          <w:szCs w:val="24"/>
          <w:shd w:val="clear" w:color="auto" w:fill="FFFFFF"/>
        </w:rPr>
        <w:t>(3), pp.1069-1107.</w:t>
      </w:r>
    </w:p>
    <w:p w14:paraId="044E7ADB" w14:textId="77777777" w:rsidR="00062182" w:rsidRPr="00303DE7" w:rsidRDefault="00062182" w:rsidP="00303DE7">
      <w:pPr>
        <w:spacing w:after="0" w:line="360" w:lineRule="auto"/>
        <w:ind w:left="720" w:hanging="720"/>
        <w:rPr>
          <w:rFonts w:ascii="Arial" w:hAnsi="Arial" w:cs="Arial"/>
          <w:szCs w:val="24"/>
          <w:shd w:val="clear" w:color="auto" w:fill="FFFFFF"/>
        </w:rPr>
      </w:pPr>
    </w:p>
    <w:p w14:paraId="163B8C78" w14:textId="77777777" w:rsidR="00062182"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Mitchell, R.K., Agle, B.R. and Wood, D.J., </w:t>
      </w:r>
      <w:r w:rsidRPr="00303DE7">
        <w:rPr>
          <w:rFonts w:ascii="Arial" w:hAnsi="Arial" w:cs="Arial"/>
          <w:szCs w:val="24"/>
          <w:shd w:val="clear" w:color="auto" w:fill="FFFFFF"/>
        </w:rPr>
        <w:t>(</w:t>
      </w:r>
      <w:r w:rsidRPr="00303DE7">
        <w:rPr>
          <w:rFonts w:ascii="Arial" w:hAnsi="Arial" w:cs="Arial"/>
          <w:szCs w:val="24"/>
        </w:rPr>
        <w:t>1997</w:t>
      </w:r>
      <w:r w:rsidRPr="00303DE7">
        <w:rPr>
          <w:rFonts w:ascii="Arial" w:hAnsi="Arial" w:cs="Arial"/>
          <w:szCs w:val="24"/>
          <w:shd w:val="clear" w:color="auto" w:fill="FFFFFF"/>
        </w:rPr>
        <w:t>)</w:t>
      </w:r>
      <w:r w:rsidRPr="00303DE7">
        <w:rPr>
          <w:rFonts w:ascii="Arial" w:hAnsi="Arial" w:cs="Arial"/>
          <w:szCs w:val="24"/>
        </w:rPr>
        <w:t xml:space="preserve">. Toward a theory of stakeholder </w:t>
      </w:r>
    </w:p>
    <w:p w14:paraId="614C2EB8" w14:textId="0A2354F4" w:rsidR="00062182"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identification and salience: Defining the principle of who and what </w:t>
      </w:r>
      <w:r w:rsidR="002C5FA5" w:rsidRPr="00303DE7">
        <w:rPr>
          <w:rFonts w:ascii="Arial" w:hAnsi="Arial" w:cs="Arial"/>
          <w:szCs w:val="24"/>
        </w:rPr>
        <w:t>really.</w:t>
      </w:r>
      <w:r w:rsidRPr="00303DE7">
        <w:rPr>
          <w:rFonts w:ascii="Arial" w:hAnsi="Arial" w:cs="Arial"/>
          <w:szCs w:val="24"/>
        </w:rPr>
        <w:t xml:space="preserve"> </w:t>
      </w:r>
    </w:p>
    <w:p w14:paraId="6CEFB609" w14:textId="05888468" w:rsidR="00AF523E" w:rsidRDefault="00AF523E" w:rsidP="00303DE7">
      <w:pPr>
        <w:spacing w:after="0" w:line="360" w:lineRule="auto"/>
        <w:ind w:left="720" w:hanging="720"/>
        <w:rPr>
          <w:rFonts w:ascii="Arial" w:hAnsi="Arial" w:cs="Arial"/>
          <w:szCs w:val="24"/>
        </w:rPr>
      </w:pPr>
      <w:r w:rsidRPr="00303DE7">
        <w:rPr>
          <w:rFonts w:ascii="Arial" w:hAnsi="Arial" w:cs="Arial"/>
          <w:szCs w:val="24"/>
        </w:rPr>
        <w:t>counts. </w:t>
      </w:r>
      <w:r w:rsidRPr="00303DE7">
        <w:rPr>
          <w:rFonts w:ascii="Arial" w:hAnsi="Arial" w:cs="Arial"/>
          <w:i/>
          <w:iCs/>
          <w:szCs w:val="24"/>
        </w:rPr>
        <w:t>Academy of management review</w:t>
      </w:r>
      <w:r w:rsidRPr="00303DE7">
        <w:rPr>
          <w:rFonts w:ascii="Arial" w:hAnsi="Arial" w:cs="Arial"/>
          <w:szCs w:val="24"/>
        </w:rPr>
        <w:t>, </w:t>
      </w:r>
      <w:r w:rsidRPr="00303DE7">
        <w:rPr>
          <w:rFonts w:ascii="Arial" w:hAnsi="Arial" w:cs="Arial"/>
          <w:i/>
          <w:iCs/>
          <w:szCs w:val="24"/>
        </w:rPr>
        <w:t>22</w:t>
      </w:r>
      <w:r w:rsidRPr="00303DE7">
        <w:rPr>
          <w:rFonts w:ascii="Arial" w:hAnsi="Arial" w:cs="Arial"/>
          <w:szCs w:val="24"/>
        </w:rPr>
        <w:t>(4), pp.853-886.</w:t>
      </w:r>
    </w:p>
    <w:p w14:paraId="70CC20E7" w14:textId="77777777" w:rsidR="00062182" w:rsidRPr="00303DE7" w:rsidRDefault="00062182" w:rsidP="00303DE7">
      <w:pPr>
        <w:spacing w:after="0" w:line="360" w:lineRule="auto"/>
        <w:ind w:left="720" w:hanging="720"/>
        <w:rPr>
          <w:rFonts w:ascii="Arial" w:hAnsi="Arial" w:cs="Arial"/>
          <w:szCs w:val="24"/>
        </w:rPr>
      </w:pPr>
    </w:p>
    <w:p w14:paraId="2F94AA26"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Okonkwo, I., Mujinga, J., Namkoisse, E. and Francisco, A., (2023). Locali</w:t>
      </w:r>
      <w:r>
        <w:rPr>
          <w:rFonts w:ascii="Arial" w:hAnsi="Arial" w:cs="Arial"/>
          <w:szCs w:val="24"/>
          <w:shd w:val="clear" w:color="auto" w:fill="FFFFFF"/>
        </w:rPr>
        <w:t>s</w:t>
      </w:r>
      <w:r w:rsidRPr="00303DE7">
        <w:rPr>
          <w:rFonts w:ascii="Arial" w:hAnsi="Arial" w:cs="Arial"/>
          <w:szCs w:val="24"/>
          <w:shd w:val="clear" w:color="auto" w:fill="FFFFFF"/>
        </w:rPr>
        <w:t xml:space="preserve">ation and </w:t>
      </w:r>
    </w:p>
    <w:p w14:paraId="2027D983" w14:textId="77777777" w:rsidR="00062182"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global marketing: Adapting digital strategies for diverse audiences. </w:t>
      </w:r>
      <w:r w:rsidRPr="00303DE7">
        <w:rPr>
          <w:rFonts w:ascii="Arial" w:hAnsi="Arial" w:cs="Arial"/>
          <w:i/>
          <w:iCs/>
          <w:szCs w:val="24"/>
          <w:shd w:val="clear" w:color="auto" w:fill="FFFFFF"/>
        </w:rPr>
        <w:t xml:space="preserve">Journal of Digital </w:t>
      </w:r>
    </w:p>
    <w:p w14:paraId="432771A1" w14:textId="75502EFF"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Marketing and Communication</w:t>
      </w:r>
      <w:r w:rsidRPr="00303DE7">
        <w:rPr>
          <w:rFonts w:ascii="Arial" w:hAnsi="Arial" w:cs="Arial"/>
          <w:szCs w:val="24"/>
          <w:shd w:val="clear" w:color="auto" w:fill="FFFFFF"/>
        </w:rPr>
        <w:t>, </w:t>
      </w:r>
      <w:r w:rsidRPr="00303DE7">
        <w:rPr>
          <w:rFonts w:ascii="Arial" w:hAnsi="Arial" w:cs="Arial"/>
          <w:i/>
          <w:iCs/>
          <w:szCs w:val="24"/>
          <w:shd w:val="clear" w:color="auto" w:fill="FFFFFF"/>
        </w:rPr>
        <w:t>3</w:t>
      </w:r>
      <w:r w:rsidRPr="00303DE7">
        <w:rPr>
          <w:rFonts w:ascii="Arial" w:hAnsi="Arial" w:cs="Arial"/>
          <w:szCs w:val="24"/>
          <w:shd w:val="clear" w:color="auto" w:fill="FFFFFF"/>
        </w:rPr>
        <w:t>(2), pp.66-80.</w:t>
      </w:r>
    </w:p>
    <w:p w14:paraId="537D64C3" w14:textId="77777777" w:rsidR="00062182" w:rsidRPr="00303DE7" w:rsidRDefault="00062182" w:rsidP="00303DE7">
      <w:pPr>
        <w:spacing w:after="0" w:line="360" w:lineRule="auto"/>
        <w:ind w:left="720" w:hanging="720"/>
        <w:rPr>
          <w:rFonts w:ascii="Arial" w:hAnsi="Arial" w:cs="Arial"/>
          <w:szCs w:val="24"/>
          <w:shd w:val="clear" w:color="auto" w:fill="FFFFFF"/>
        </w:rPr>
      </w:pPr>
    </w:p>
    <w:p w14:paraId="74CA6E39"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Perez, J., Robinson, W., Martin, L., Robinson, B., Lee, S., Rodriguez, C. and Lee, R.,</w:t>
      </w:r>
    </w:p>
    <w:p w14:paraId="5D57745F"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 (2024). Organi</w:t>
      </w:r>
      <w:r>
        <w:rPr>
          <w:rFonts w:ascii="Arial" w:hAnsi="Arial" w:cs="Arial"/>
          <w:szCs w:val="24"/>
          <w:shd w:val="clear" w:color="auto" w:fill="FFFFFF"/>
        </w:rPr>
        <w:t>s</w:t>
      </w:r>
      <w:r w:rsidRPr="00303DE7">
        <w:rPr>
          <w:rFonts w:ascii="Arial" w:hAnsi="Arial" w:cs="Arial"/>
          <w:szCs w:val="24"/>
          <w:shd w:val="clear" w:color="auto" w:fill="FFFFFF"/>
        </w:rPr>
        <w:t xml:space="preserve">ational Resistance and Cultural Barriers to AI Based Data Governance </w:t>
      </w:r>
    </w:p>
    <w:p w14:paraId="5B3EF8CA" w14:textId="14F3858F"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Adoption.</w:t>
      </w:r>
    </w:p>
    <w:p w14:paraId="62719E9D" w14:textId="77777777" w:rsidR="00062182" w:rsidRPr="00303DE7" w:rsidRDefault="00062182" w:rsidP="00303DE7">
      <w:pPr>
        <w:spacing w:after="0" w:line="360" w:lineRule="auto"/>
        <w:ind w:left="720" w:hanging="720"/>
        <w:rPr>
          <w:rFonts w:ascii="Arial" w:hAnsi="Arial" w:cs="Arial"/>
          <w:szCs w:val="24"/>
          <w:shd w:val="clear" w:color="auto" w:fill="FFFFFF"/>
        </w:rPr>
      </w:pPr>
    </w:p>
    <w:p w14:paraId="6C3B5426" w14:textId="77777777" w:rsidR="00062182"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PMI (2021). The Standard for Project Management and a Guide to the Project </w:t>
      </w:r>
    </w:p>
    <w:p w14:paraId="285E992F" w14:textId="77777777" w:rsidR="00062182"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Management Body of Knowledge (7th ed.). PMBOK Guide, Project Management </w:t>
      </w:r>
    </w:p>
    <w:p w14:paraId="19DB4C48" w14:textId="3B182560" w:rsidR="00AF523E" w:rsidRPr="00303DE7" w:rsidRDefault="00AF523E" w:rsidP="00303DE7">
      <w:pPr>
        <w:spacing w:after="0" w:line="360" w:lineRule="auto"/>
        <w:ind w:left="720" w:hanging="720"/>
        <w:rPr>
          <w:rFonts w:ascii="Arial" w:hAnsi="Arial" w:cs="Arial"/>
          <w:szCs w:val="24"/>
        </w:rPr>
      </w:pPr>
      <w:r w:rsidRPr="00303DE7">
        <w:rPr>
          <w:rFonts w:ascii="Arial" w:hAnsi="Arial" w:cs="Arial"/>
          <w:szCs w:val="24"/>
        </w:rPr>
        <w:t>Institute (PMI).</w:t>
      </w:r>
    </w:p>
    <w:p w14:paraId="1596B685" w14:textId="77777777" w:rsidR="00062182"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Shumayla, S., Lalchandani, K., Verma, D., Usmanova, G., Hussain, S. and Kumar, S., </w:t>
      </w:r>
    </w:p>
    <w:p w14:paraId="1E8B4138" w14:textId="77777777"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lastRenderedPageBreak/>
        <w:t xml:space="preserve">(2025). Sustainability of evidence-based policy engagement model: A case study of </w:t>
      </w:r>
    </w:p>
    <w:p w14:paraId="0D0A130B" w14:textId="77D41735"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Advance Family Planning initiative in India. </w:t>
      </w:r>
      <w:r w:rsidRPr="00303DE7">
        <w:rPr>
          <w:rFonts w:ascii="Arial" w:hAnsi="Arial" w:cs="Arial"/>
          <w:i/>
          <w:iCs/>
          <w:szCs w:val="24"/>
          <w:shd w:val="clear" w:color="auto" w:fill="FFFFFF"/>
        </w:rPr>
        <w:t>PLoS One</w:t>
      </w:r>
      <w:r w:rsidRPr="00303DE7">
        <w:rPr>
          <w:rFonts w:ascii="Arial" w:hAnsi="Arial" w:cs="Arial"/>
          <w:szCs w:val="24"/>
          <w:shd w:val="clear" w:color="auto" w:fill="FFFFFF"/>
        </w:rPr>
        <w:t>, </w:t>
      </w:r>
      <w:r w:rsidRPr="00303DE7">
        <w:rPr>
          <w:rFonts w:ascii="Arial" w:hAnsi="Arial" w:cs="Arial"/>
          <w:i/>
          <w:iCs/>
          <w:szCs w:val="24"/>
          <w:shd w:val="clear" w:color="auto" w:fill="FFFFFF"/>
        </w:rPr>
        <w:t>20</w:t>
      </w:r>
      <w:r w:rsidRPr="00303DE7">
        <w:rPr>
          <w:rFonts w:ascii="Arial" w:hAnsi="Arial" w:cs="Arial"/>
          <w:szCs w:val="24"/>
          <w:shd w:val="clear" w:color="auto" w:fill="FFFFFF"/>
        </w:rPr>
        <w:t>(4), p.e0320295.</w:t>
      </w:r>
    </w:p>
    <w:p w14:paraId="5FB1CA02" w14:textId="77777777" w:rsidR="00FD666F" w:rsidRPr="00303DE7" w:rsidRDefault="00FD666F" w:rsidP="00303DE7">
      <w:pPr>
        <w:spacing w:after="0" w:line="360" w:lineRule="auto"/>
        <w:ind w:left="720" w:hanging="720"/>
        <w:rPr>
          <w:rFonts w:ascii="Arial" w:hAnsi="Arial" w:cs="Arial"/>
          <w:szCs w:val="24"/>
          <w:shd w:val="clear" w:color="auto" w:fill="FFFFFF"/>
        </w:rPr>
      </w:pPr>
    </w:p>
    <w:p w14:paraId="7DFEEC11" w14:textId="77777777"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Strandt, E. and Murnane</w:t>
      </w:r>
      <w:r w:rsidRPr="00303DE7">
        <w:rPr>
          <w:rFonts w:ascii="Cambria Math" w:hAnsi="Cambria Math" w:cs="Cambria Math"/>
          <w:szCs w:val="24"/>
          <w:shd w:val="clear" w:color="auto" w:fill="FFFFFF"/>
        </w:rPr>
        <w:t>‐</w:t>
      </w:r>
      <w:r w:rsidRPr="00303DE7">
        <w:rPr>
          <w:rFonts w:ascii="Arial" w:hAnsi="Arial" w:cs="Arial"/>
          <w:szCs w:val="24"/>
          <w:shd w:val="clear" w:color="auto" w:fill="FFFFFF"/>
        </w:rPr>
        <w:t>Rainey, J., (2025). Cross</w:t>
      </w:r>
      <w:r w:rsidRPr="00303DE7">
        <w:rPr>
          <w:rFonts w:ascii="Cambria Math" w:hAnsi="Cambria Math" w:cs="Cambria Math"/>
          <w:szCs w:val="24"/>
          <w:shd w:val="clear" w:color="auto" w:fill="FFFFFF"/>
        </w:rPr>
        <w:t>‐</w:t>
      </w:r>
      <w:r w:rsidRPr="00303DE7">
        <w:rPr>
          <w:rFonts w:ascii="Arial" w:hAnsi="Arial" w:cs="Arial"/>
          <w:szCs w:val="24"/>
          <w:shd w:val="clear" w:color="auto" w:fill="FFFFFF"/>
        </w:rPr>
        <w:t xml:space="preserve">Cultural Differences in AI </w:t>
      </w:r>
    </w:p>
    <w:p w14:paraId="74933B7B" w14:textId="77777777"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Acceptance among Leaders: A UTAUT</w:t>
      </w:r>
      <w:r w:rsidRPr="00303DE7">
        <w:rPr>
          <w:rFonts w:ascii="Cambria Math" w:hAnsi="Cambria Math" w:cs="Cambria Math"/>
          <w:szCs w:val="24"/>
          <w:shd w:val="clear" w:color="auto" w:fill="FFFFFF"/>
        </w:rPr>
        <w:t>‐</w:t>
      </w:r>
      <w:r w:rsidRPr="00303DE7">
        <w:rPr>
          <w:rFonts w:ascii="Arial" w:hAnsi="Arial" w:cs="Arial"/>
          <w:szCs w:val="24"/>
          <w:shd w:val="clear" w:color="auto" w:fill="FFFFFF"/>
        </w:rPr>
        <w:t xml:space="preserve">Based Study of Western and Eastern </w:t>
      </w:r>
    </w:p>
    <w:p w14:paraId="568938E7" w14:textId="37B34CBA"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Perspectives. </w:t>
      </w:r>
      <w:r w:rsidRPr="00303DE7">
        <w:rPr>
          <w:rFonts w:ascii="Arial" w:hAnsi="Arial" w:cs="Arial"/>
          <w:i/>
          <w:iCs/>
          <w:szCs w:val="24"/>
          <w:shd w:val="clear" w:color="auto" w:fill="FFFFFF"/>
        </w:rPr>
        <w:t>Journal of Leadership Studies</w:t>
      </w:r>
      <w:r w:rsidRPr="00303DE7">
        <w:rPr>
          <w:rFonts w:ascii="Arial" w:hAnsi="Arial" w:cs="Arial"/>
          <w:szCs w:val="24"/>
          <w:shd w:val="clear" w:color="auto" w:fill="FFFFFF"/>
        </w:rPr>
        <w:t>, </w:t>
      </w:r>
      <w:r w:rsidRPr="00303DE7">
        <w:rPr>
          <w:rFonts w:ascii="Arial" w:hAnsi="Arial" w:cs="Arial"/>
          <w:i/>
          <w:iCs/>
          <w:szCs w:val="24"/>
          <w:shd w:val="clear" w:color="auto" w:fill="FFFFFF"/>
        </w:rPr>
        <w:t>19</w:t>
      </w:r>
      <w:r w:rsidRPr="00303DE7">
        <w:rPr>
          <w:rFonts w:ascii="Arial" w:hAnsi="Arial" w:cs="Arial"/>
          <w:szCs w:val="24"/>
          <w:shd w:val="clear" w:color="auto" w:fill="FFFFFF"/>
        </w:rPr>
        <w:t>(2), p.e70017.</w:t>
      </w:r>
    </w:p>
    <w:p w14:paraId="5EBD0325" w14:textId="77777777" w:rsidR="00FD666F" w:rsidRPr="00303DE7" w:rsidRDefault="00FD666F" w:rsidP="00303DE7">
      <w:pPr>
        <w:spacing w:after="0" w:line="360" w:lineRule="auto"/>
        <w:ind w:left="720" w:hanging="720"/>
        <w:rPr>
          <w:rFonts w:ascii="Arial" w:hAnsi="Arial" w:cs="Arial"/>
          <w:szCs w:val="24"/>
          <w:shd w:val="clear" w:color="auto" w:fill="FFFFFF"/>
        </w:rPr>
      </w:pPr>
    </w:p>
    <w:p w14:paraId="583732BF" w14:textId="77777777" w:rsidR="00FD666F"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UN Tourism (2025). </w:t>
      </w:r>
      <w:r w:rsidRPr="00303DE7">
        <w:rPr>
          <w:rFonts w:ascii="Arial" w:hAnsi="Arial" w:cs="Arial"/>
          <w:i/>
          <w:iCs/>
          <w:szCs w:val="24"/>
        </w:rPr>
        <w:t>International Tourism to Reach Pre-Pandemic Levels in 2024</w:t>
      </w:r>
      <w:r w:rsidRPr="00303DE7">
        <w:rPr>
          <w:rFonts w:ascii="Arial" w:hAnsi="Arial" w:cs="Arial"/>
          <w:szCs w:val="24"/>
        </w:rPr>
        <w:t xml:space="preserve">. </w:t>
      </w:r>
    </w:p>
    <w:p w14:paraId="6958E0B0" w14:textId="142E887F" w:rsidR="00AF523E" w:rsidRDefault="00AF523E" w:rsidP="00303DE7">
      <w:pPr>
        <w:spacing w:after="0" w:line="360" w:lineRule="auto"/>
        <w:ind w:left="720" w:hanging="720"/>
        <w:rPr>
          <w:rFonts w:ascii="Arial" w:hAnsi="Arial" w:cs="Arial"/>
          <w:szCs w:val="24"/>
        </w:rPr>
      </w:pPr>
      <w:r w:rsidRPr="00303DE7">
        <w:rPr>
          <w:rFonts w:ascii="Arial" w:hAnsi="Arial" w:cs="Arial"/>
          <w:szCs w:val="24"/>
        </w:rPr>
        <w:t xml:space="preserve">[online] Untourism.int. Available at: </w:t>
      </w:r>
      <w:hyperlink r:id="rId10" w:history="1">
        <w:r w:rsidRPr="00303DE7">
          <w:rPr>
            <w:rStyle w:val="Hyperlink"/>
            <w:rFonts w:ascii="Arial" w:hAnsi="Arial" w:cs="Arial"/>
            <w:szCs w:val="24"/>
          </w:rPr>
          <w:t>https://www.untourism.int/news/international-tourism-to-reach-pre-pandemic-levels-in-2024</w:t>
        </w:r>
      </w:hyperlink>
      <w:r w:rsidRPr="00303DE7">
        <w:rPr>
          <w:rFonts w:ascii="Arial" w:hAnsi="Arial" w:cs="Arial"/>
          <w:szCs w:val="24"/>
        </w:rPr>
        <w:t xml:space="preserve"> [Accessed 24 Feb. 2026].</w:t>
      </w:r>
    </w:p>
    <w:p w14:paraId="751CFA0E" w14:textId="77777777" w:rsidR="00FD666F" w:rsidRPr="00303DE7" w:rsidRDefault="00FD666F" w:rsidP="00303DE7">
      <w:pPr>
        <w:spacing w:after="0" w:line="360" w:lineRule="auto"/>
        <w:ind w:left="720" w:hanging="720"/>
        <w:rPr>
          <w:rFonts w:ascii="Arial" w:hAnsi="Arial" w:cs="Arial"/>
          <w:szCs w:val="24"/>
        </w:rPr>
      </w:pPr>
    </w:p>
    <w:p w14:paraId="09B67D90" w14:textId="77777777"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Wider, W., Tan, F.P., Tan, Y.P., Lin, J., Fauzi, M.A., Wong, L.S., Tanucan, J.C.M. and </w:t>
      </w:r>
    </w:p>
    <w:p w14:paraId="2DA5656E" w14:textId="3CA57C55"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Hossain, S.F.A., (2024). Service quality (SERVQUAL) model in private higher </w:t>
      </w:r>
      <w:r w:rsidR="002C5FA5" w:rsidRPr="00303DE7">
        <w:rPr>
          <w:rFonts w:ascii="Arial" w:hAnsi="Arial" w:cs="Arial"/>
          <w:szCs w:val="24"/>
          <w:shd w:val="clear" w:color="auto" w:fill="FFFFFF"/>
        </w:rPr>
        <w:t>education.</w:t>
      </w:r>
      <w:r w:rsidRPr="00303DE7">
        <w:rPr>
          <w:rFonts w:ascii="Arial" w:hAnsi="Arial" w:cs="Arial"/>
          <w:szCs w:val="24"/>
          <w:shd w:val="clear" w:color="auto" w:fill="FFFFFF"/>
        </w:rPr>
        <w:t xml:space="preserve"> </w:t>
      </w:r>
    </w:p>
    <w:p w14:paraId="1D34F444" w14:textId="7C15F448" w:rsidR="00FD666F" w:rsidRDefault="00AF523E" w:rsidP="00303DE7">
      <w:pPr>
        <w:spacing w:after="0" w:line="360" w:lineRule="auto"/>
        <w:ind w:left="720" w:hanging="720"/>
        <w:rPr>
          <w:rFonts w:ascii="Arial" w:hAnsi="Arial" w:cs="Arial"/>
          <w:i/>
          <w:iCs/>
          <w:szCs w:val="24"/>
          <w:shd w:val="clear" w:color="auto" w:fill="FFFFFF"/>
        </w:rPr>
      </w:pPr>
      <w:r w:rsidRPr="00303DE7">
        <w:rPr>
          <w:rFonts w:ascii="Arial" w:hAnsi="Arial" w:cs="Arial"/>
          <w:szCs w:val="24"/>
          <w:shd w:val="clear" w:color="auto" w:fill="FFFFFF"/>
        </w:rPr>
        <w:t xml:space="preserve">institutions: A bibliometric analysis of past, present, and </w:t>
      </w:r>
      <w:r w:rsidR="00796B0E" w:rsidRPr="00303DE7">
        <w:rPr>
          <w:rFonts w:ascii="Arial" w:hAnsi="Arial" w:cs="Arial"/>
          <w:szCs w:val="24"/>
          <w:shd w:val="clear" w:color="auto" w:fill="FFFFFF"/>
        </w:rPr>
        <w:t>prospects</w:t>
      </w:r>
      <w:r w:rsidRPr="00303DE7">
        <w:rPr>
          <w:rFonts w:ascii="Arial" w:hAnsi="Arial" w:cs="Arial"/>
          <w:szCs w:val="24"/>
          <w:shd w:val="clear" w:color="auto" w:fill="FFFFFF"/>
        </w:rPr>
        <w:t>. </w:t>
      </w:r>
      <w:r w:rsidRPr="00303DE7">
        <w:rPr>
          <w:rFonts w:ascii="Arial" w:hAnsi="Arial" w:cs="Arial"/>
          <w:i/>
          <w:iCs/>
          <w:szCs w:val="24"/>
          <w:shd w:val="clear" w:color="auto" w:fill="FFFFFF"/>
        </w:rPr>
        <w:t xml:space="preserve">Social </w:t>
      </w:r>
    </w:p>
    <w:p w14:paraId="11B0B9ED" w14:textId="3D31090C" w:rsidR="00AF523E"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i/>
          <w:iCs/>
          <w:szCs w:val="24"/>
          <w:shd w:val="clear" w:color="auto" w:fill="FFFFFF"/>
        </w:rPr>
        <w:t>Sciences &amp; Humanities Open</w:t>
      </w:r>
      <w:r w:rsidRPr="00303DE7">
        <w:rPr>
          <w:rFonts w:ascii="Arial" w:hAnsi="Arial" w:cs="Arial"/>
          <w:szCs w:val="24"/>
          <w:shd w:val="clear" w:color="auto" w:fill="FFFFFF"/>
        </w:rPr>
        <w:t>, </w:t>
      </w:r>
      <w:r w:rsidRPr="00303DE7">
        <w:rPr>
          <w:rFonts w:ascii="Arial" w:hAnsi="Arial" w:cs="Arial"/>
          <w:i/>
          <w:iCs/>
          <w:szCs w:val="24"/>
          <w:shd w:val="clear" w:color="auto" w:fill="FFFFFF"/>
        </w:rPr>
        <w:t>9</w:t>
      </w:r>
      <w:r w:rsidRPr="00303DE7">
        <w:rPr>
          <w:rFonts w:ascii="Arial" w:hAnsi="Arial" w:cs="Arial"/>
          <w:szCs w:val="24"/>
          <w:shd w:val="clear" w:color="auto" w:fill="FFFFFF"/>
        </w:rPr>
        <w:t>, p.100805.</w:t>
      </w:r>
    </w:p>
    <w:p w14:paraId="6F5AEBAF" w14:textId="77777777" w:rsidR="00FD666F" w:rsidRPr="00303DE7" w:rsidRDefault="00FD666F" w:rsidP="00303DE7">
      <w:pPr>
        <w:spacing w:after="0" w:line="360" w:lineRule="auto"/>
        <w:ind w:left="720" w:hanging="720"/>
        <w:rPr>
          <w:rFonts w:ascii="Arial" w:hAnsi="Arial" w:cs="Arial"/>
          <w:szCs w:val="24"/>
          <w:shd w:val="clear" w:color="auto" w:fill="FFFFFF"/>
        </w:rPr>
      </w:pPr>
    </w:p>
    <w:p w14:paraId="2D0FA40F" w14:textId="77777777"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Yao, Y., Zhang, L. and Sun, H., (2023). Enhancing project managers’ strategy </w:t>
      </w:r>
    </w:p>
    <w:p w14:paraId="75ABACCE" w14:textId="77777777"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 xml:space="preserve">commitment by leader-leader exchange: The role of psychological empowerment and </w:t>
      </w:r>
    </w:p>
    <w:p w14:paraId="6F0A2C8D" w14:textId="77777777" w:rsidR="00FD666F"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organi</w:t>
      </w:r>
      <w:r>
        <w:rPr>
          <w:rFonts w:ascii="Arial" w:hAnsi="Arial" w:cs="Arial"/>
          <w:szCs w:val="24"/>
          <w:shd w:val="clear" w:color="auto" w:fill="FFFFFF"/>
        </w:rPr>
        <w:t>s</w:t>
      </w:r>
      <w:r w:rsidRPr="00303DE7">
        <w:rPr>
          <w:rFonts w:ascii="Arial" w:hAnsi="Arial" w:cs="Arial"/>
          <w:szCs w:val="24"/>
          <w:shd w:val="clear" w:color="auto" w:fill="FFFFFF"/>
        </w:rPr>
        <w:t>ational identification. </w:t>
      </w:r>
      <w:r w:rsidRPr="00303DE7">
        <w:rPr>
          <w:rFonts w:ascii="Arial" w:hAnsi="Arial" w:cs="Arial"/>
          <w:i/>
          <w:iCs/>
          <w:szCs w:val="24"/>
          <w:shd w:val="clear" w:color="auto" w:fill="FFFFFF"/>
        </w:rPr>
        <w:t>International Journal of Project Management</w:t>
      </w:r>
      <w:r w:rsidRPr="00303DE7">
        <w:rPr>
          <w:rFonts w:ascii="Arial" w:hAnsi="Arial" w:cs="Arial"/>
          <w:szCs w:val="24"/>
          <w:shd w:val="clear" w:color="auto" w:fill="FFFFFF"/>
        </w:rPr>
        <w:t>, </w:t>
      </w:r>
      <w:r w:rsidRPr="00303DE7">
        <w:rPr>
          <w:rFonts w:ascii="Arial" w:hAnsi="Arial" w:cs="Arial"/>
          <w:i/>
          <w:iCs/>
          <w:szCs w:val="24"/>
          <w:shd w:val="clear" w:color="auto" w:fill="FFFFFF"/>
        </w:rPr>
        <w:t>41</w:t>
      </w:r>
      <w:r w:rsidRPr="00303DE7">
        <w:rPr>
          <w:rFonts w:ascii="Arial" w:hAnsi="Arial" w:cs="Arial"/>
          <w:szCs w:val="24"/>
          <w:shd w:val="clear" w:color="auto" w:fill="FFFFFF"/>
        </w:rPr>
        <w:t xml:space="preserve">(3), </w:t>
      </w:r>
    </w:p>
    <w:p w14:paraId="43D9617C" w14:textId="5611417D" w:rsidR="00AF523E" w:rsidRPr="00303DE7" w:rsidRDefault="00AF523E" w:rsidP="00303DE7">
      <w:pPr>
        <w:spacing w:after="0" w:line="360" w:lineRule="auto"/>
        <w:ind w:left="720" w:hanging="720"/>
        <w:rPr>
          <w:rFonts w:ascii="Arial" w:hAnsi="Arial" w:cs="Arial"/>
          <w:szCs w:val="24"/>
          <w:shd w:val="clear" w:color="auto" w:fill="FFFFFF"/>
        </w:rPr>
      </w:pPr>
      <w:r w:rsidRPr="00303DE7">
        <w:rPr>
          <w:rFonts w:ascii="Arial" w:hAnsi="Arial" w:cs="Arial"/>
          <w:szCs w:val="24"/>
          <w:shd w:val="clear" w:color="auto" w:fill="FFFFFF"/>
        </w:rPr>
        <w:t>p.102465.</w:t>
      </w:r>
    </w:p>
    <w:sectPr w:rsidR="00AF523E" w:rsidRPr="00303DE7">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3193F" w14:textId="77777777" w:rsidR="00182D91" w:rsidRDefault="00182D91">
      <w:pPr>
        <w:spacing w:after="0" w:line="240" w:lineRule="auto"/>
      </w:pPr>
      <w:r>
        <w:separator/>
      </w:r>
    </w:p>
  </w:endnote>
  <w:endnote w:type="continuationSeparator" w:id="0">
    <w:p w14:paraId="48259E34" w14:textId="77777777" w:rsidR="00182D91" w:rsidRDefault="00182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2101C" w14:textId="77777777" w:rsidR="00D44402" w:rsidRDefault="00D444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E9338" w14:textId="77777777" w:rsidR="00D44402" w:rsidRDefault="00D444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930C3" w14:textId="77777777" w:rsidR="00D44402" w:rsidRDefault="00D44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0FA94" w14:textId="77777777" w:rsidR="00182D91" w:rsidRDefault="00182D91">
      <w:pPr>
        <w:spacing w:after="0" w:line="240" w:lineRule="auto"/>
      </w:pPr>
      <w:r>
        <w:separator/>
      </w:r>
    </w:p>
  </w:footnote>
  <w:footnote w:type="continuationSeparator" w:id="0">
    <w:p w14:paraId="61951C02" w14:textId="77777777" w:rsidR="00182D91" w:rsidRDefault="00182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FFACC" w14:textId="77777777" w:rsidR="00D44402" w:rsidRDefault="00D444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33C3DC19" w14:textId="77777777" w:rsidR="00D44402" w:rsidRDefault="00D444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BDF8D3C" w14:textId="77777777" w:rsidR="00D44402" w:rsidRDefault="00D44402"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5CBAD" w14:textId="77777777" w:rsidR="00D44402" w:rsidRDefault="00D44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A1360C0C">
      <w:start w:val="1"/>
      <w:numFmt w:val="bullet"/>
      <w:lvlText w:val=""/>
      <w:lvlJc w:val="left"/>
      <w:pPr>
        <w:ind w:left="720" w:hanging="360"/>
      </w:pPr>
      <w:rPr>
        <w:rFonts w:ascii="Symbol" w:hAnsi="Symbol" w:hint="default"/>
      </w:rPr>
    </w:lvl>
    <w:lvl w:ilvl="1" w:tplc="91444948" w:tentative="1">
      <w:start w:val="1"/>
      <w:numFmt w:val="bullet"/>
      <w:lvlText w:val="o"/>
      <w:lvlJc w:val="left"/>
      <w:pPr>
        <w:ind w:left="1440" w:hanging="360"/>
      </w:pPr>
      <w:rPr>
        <w:rFonts w:ascii="Courier New" w:hAnsi="Courier New" w:cs="Courier New" w:hint="default"/>
      </w:rPr>
    </w:lvl>
    <w:lvl w:ilvl="2" w:tplc="C952EFCE" w:tentative="1">
      <w:start w:val="1"/>
      <w:numFmt w:val="bullet"/>
      <w:lvlText w:val=""/>
      <w:lvlJc w:val="left"/>
      <w:pPr>
        <w:ind w:left="2160" w:hanging="360"/>
      </w:pPr>
      <w:rPr>
        <w:rFonts w:ascii="Wingdings" w:hAnsi="Wingdings" w:hint="default"/>
      </w:rPr>
    </w:lvl>
    <w:lvl w:ilvl="3" w:tplc="6B3C58F6" w:tentative="1">
      <w:start w:val="1"/>
      <w:numFmt w:val="bullet"/>
      <w:lvlText w:val=""/>
      <w:lvlJc w:val="left"/>
      <w:pPr>
        <w:ind w:left="2880" w:hanging="360"/>
      </w:pPr>
      <w:rPr>
        <w:rFonts w:ascii="Symbol" w:hAnsi="Symbol" w:hint="default"/>
      </w:rPr>
    </w:lvl>
    <w:lvl w:ilvl="4" w:tplc="5EB4A350" w:tentative="1">
      <w:start w:val="1"/>
      <w:numFmt w:val="bullet"/>
      <w:lvlText w:val="o"/>
      <w:lvlJc w:val="left"/>
      <w:pPr>
        <w:ind w:left="3600" w:hanging="360"/>
      </w:pPr>
      <w:rPr>
        <w:rFonts w:ascii="Courier New" w:hAnsi="Courier New" w:cs="Courier New" w:hint="default"/>
      </w:rPr>
    </w:lvl>
    <w:lvl w:ilvl="5" w:tplc="A266C908" w:tentative="1">
      <w:start w:val="1"/>
      <w:numFmt w:val="bullet"/>
      <w:lvlText w:val=""/>
      <w:lvlJc w:val="left"/>
      <w:pPr>
        <w:ind w:left="4320" w:hanging="360"/>
      </w:pPr>
      <w:rPr>
        <w:rFonts w:ascii="Wingdings" w:hAnsi="Wingdings" w:hint="default"/>
      </w:rPr>
    </w:lvl>
    <w:lvl w:ilvl="6" w:tplc="F4C6124A" w:tentative="1">
      <w:start w:val="1"/>
      <w:numFmt w:val="bullet"/>
      <w:lvlText w:val=""/>
      <w:lvlJc w:val="left"/>
      <w:pPr>
        <w:ind w:left="5040" w:hanging="360"/>
      </w:pPr>
      <w:rPr>
        <w:rFonts w:ascii="Symbol" w:hAnsi="Symbol" w:hint="default"/>
      </w:rPr>
    </w:lvl>
    <w:lvl w:ilvl="7" w:tplc="E384FE28" w:tentative="1">
      <w:start w:val="1"/>
      <w:numFmt w:val="bullet"/>
      <w:lvlText w:val="o"/>
      <w:lvlJc w:val="left"/>
      <w:pPr>
        <w:ind w:left="5760" w:hanging="360"/>
      </w:pPr>
      <w:rPr>
        <w:rFonts w:ascii="Courier New" w:hAnsi="Courier New" w:cs="Courier New" w:hint="default"/>
      </w:rPr>
    </w:lvl>
    <w:lvl w:ilvl="8" w:tplc="035AEA0C" w:tentative="1">
      <w:start w:val="1"/>
      <w:numFmt w:val="bullet"/>
      <w:lvlText w:val=""/>
      <w:lvlJc w:val="left"/>
      <w:pPr>
        <w:ind w:left="6480" w:hanging="360"/>
      </w:pPr>
      <w:rPr>
        <w:rFonts w:ascii="Wingdings" w:hAnsi="Wingdings" w:hint="default"/>
      </w:rPr>
    </w:lvl>
  </w:abstractNum>
  <w:abstractNum w:abstractNumId="1" w15:restartNumberingAfterBreak="0">
    <w:nsid w:val="16586BF2"/>
    <w:multiLevelType w:val="hybridMultilevel"/>
    <w:tmpl w:val="E5C8BE4E"/>
    <w:lvl w:ilvl="0" w:tplc="B9826316">
      <w:start w:val="1"/>
      <w:numFmt w:val="bullet"/>
      <w:lvlText w:val=""/>
      <w:lvlJc w:val="left"/>
      <w:pPr>
        <w:ind w:left="720" w:hanging="360"/>
      </w:pPr>
      <w:rPr>
        <w:rFonts w:ascii="Symbol" w:hAnsi="Symbol" w:hint="default"/>
      </w:rPr>
    </w:lvl>
    <w:lvl w:ilvl="1" w:tplc="9C1C8020" w:tentative="1">
      <w:start w:val="1"/>
      <w:numFmt w:val="bullet"/>
      <w:lvlText w:val="o"/>
      <w:lvlJc w:val="left"/>
      <w:pPr>
        <w:ind w:left="1440" w:hanging="360"/>
      </w:pPr>
      <w:rPr>
        <w:rFonts w:ascii="Courier New" w:hAnsi="Courier New" w:cs="Courier New" w:hint="default"/>
      </w:rPr>
    </w:lvl>
    <w:lvl w:ilvl="2" w:tplc="C6D0BE62" w:tentative="1">
      <w:start w:val="1"/>
      <w:numFmt w:val="bullet"/>
      <w:lvlText w:val=""/>
      <w:lvlJc w:val="left"/>
      <w:pPr>
        <w:ind w:left="2160" w:hanging="360"/>
      </w:pPr>
      <w:rPr>
        <w:rFonts w:ascii="Wingdings" w:hAnsi="Wingdings" w:hint="default"/>
      </w:rPr>
    </w:lvl>
    <w:lvl w:ilvl="3" w:tplc="605AC732" w:tentative="1">
      <w:start w:val="1"/>
      <w:numFmt w:val="bullet"/>
      <w:lvlText w:val=""/>
      <w:lvlJc w:val="left"/>
      <w:pPr>
        <w:ind w:left="2880" w:hanging="360"/>
      </w:pPr>
      <w:rPr>
        <w:rFonts w:ascii="Symbol" w:hAnsi="Symbol" w:hint="default"/>
      </w:rPr>
    </w:lvl>
    <w:lvl w:ilvl="4" w:tplc="83721386" w:tentative="1">
      <w:start w:val="1"/>
      <w:numFmt w:val="bullet"/>
      <w:lvlText w:val="o"/>
      <w:lvlJc w:val="left"/>
      <w:pPr>
        <w:ind w:left="3600" w:hanging="360"/>
      </w:pPr>
      <w:rPr>
        <w:rFonts w:ascii="Courier New" w:hAnsi="Courier New" w:cs="Courier New" w:hint="default"/>
      </w:rPr>
    </w:lvl>
    <w:lvl w:ilvl="5" w:tplc="468A9D32" w:tentative="1">
      <w:start w:val="1"/>
      <w:numFmt w:val="bullet"/>
      <w:lvlText w:val=""/>
      <w:lvlJc w:val="left"/>
      <w:pPr>
        <w:ind w:left="4320" w:hanging="360"/>
      </w:pPr>
      <w:rPr>
        <w:rFonts w:ascii="Wingdings" w:hAnsi="Wingdings" w:hint="default"/>
      </w:rPr>
    </w:lvl>
    <w:lvl w:ilvl="6" w:tplc="36A00486" w:tentative="1">
      <w:start w:val="1"/>
      <w:numFmt w:val="bullet"/>
      <w:lvlText w:val=""/>
      <w:lvlJc w:val="left"/>
      <w:pPr>
        <w:ind w:left="5040" w:hanging="360"/>
      </w:pPr>
      <w:rPr>
        <w:rFonts w:ascii="Symbol" w:hAnsi="Symbol" w:hint="default"/>
      </w:rPr>
    </w:lvl>
    <w:lvl w:ilvl="7" w:tplc="CAAE05A8" w:tentative="1">
      <w:start w:val="1"/>
      <w:numFmt w:val="bullet"/>
      <w:lvlText w:val="o"/>
      <w:lvlJc w:val="left"/>
      <w:pPr>
        <w:ind w:left="5760" w:hanging="360"/>
      </w:pPr>
      <w:rPr>
        <w:rFonts w:ascii="Courier New" w:hAnsi="Courier New" w:cs="Courier New" w:hint="default"/>
      </w:rPr>
    </w:lvl>
    <w:lvl w:ilvl="8" w:tplc="81F879F2" w:tentative="1">
      <w:start w:val="1"/>
      <w:numFmt w:val="bullet"/>
      <w:lvlText w:val=""/>
      <w:lvlJc w:val="left"/>
      <w:pPr>
        <w:ind w:left="6480" w:hanging="360"/>
      </w:pPr>
      <w:rPr>
        <w:rFonts w:ascii="Wingdings" w:hAnsi="Wingdings" w:hint="default"/>
      </w:rPr>
    </w:lvl>
  </w:abstractNum>
  <w:abstractNum w:abstractNumId="2" w15:restartNumberingAfterBreak="0">
    <w:nsid w:val="5C671407"/>
    <w:multiLevelType w:val="hybridMultilevel"/>
    <w:tmpl w:val="274E4772"/>
    <w:lvl w:ilvl="0" w:tplc="8DCAEDF6">
      <w:start w:val="1"/>
      <w:numFmt w:val="decimal"/>
      <w:lvlText w:val="%1."/>
      <w:lvlJc w:val="left"/>
      <w:pPr>
        <w:ind w:left="720" w:hanging="360"/>
      </w:pPr>
    </w:lvl>
    <w:lvl w:ilvl="1" w:tplc="923C84F0" w:tentative="1">
      <w:start w:val="1"/>
      <w:numFmt w:val="lowerLetter"/>
      <w:lvlText w:val="%2."/>
      <w:lvlJc w:val="left"/>
      <w:pPr>
        <w:ind w:left="1440" w:hanging="360"/>
      </w:pPr>
    </w:lvl>
    <w:lvl w:ilvl="2" w:tplc="4D62103A" w:tentative="1">
      <w:start w:val="1"/>
      <w:numFmt w:val="lowerRoman"/>
      <w:lvlText w:val="%3."/>
      <w:lvlJc w:val="right"/>
      <w:pPr>
        <w:ind w:left="2160" w:hanging="180"/>
      </w:pPr>
    </w:lvl>
    <w:lvl w:ilvl="3" w:tplc="BF50108E" w:tentative="1">
      <w:start w:val="1"/>
      <w:numFmt w:val="decimal"/>
      <w:lvlText w:val="%4."/>
      <w:lvlJc w:val="left"/>
      <w:pPr>
        <w:ind w:left="2880" w:hanging="360"/>
      </w:pPr>
    </w:lvl>
    <w:lvl w:ilvl="4" w:tplc="60AC1598" w:tentative="1">
      <w:start w:val="1"/>
      <w:numFmt w:val="lowerLetter"/>
      <w:lvlText w:val="%5."/>
      <w:lvlJc w:val="left"/>
      <w:pPr>
        <w:ind w:left="3600" w:hanging="360"/>
      </w:pPr>
    </w:lvl>
    <w:lvl w:ilvl="5" w:tplc="DAAC9B50" w:tentative="1">
      <w:start w:val="1"/>
      <w:numFmt w:val="lowerRoman"/>
      <w:lvlText w:val="%6."/>
      <w:lvlJc w:val="right"/>
      <w:pPr>
        <w:ind w:left="4320" w:hanging="180"/>
      </w:pPr>
    </w:lvl>
    <w:lvl w:ilvl="6" w:tplc="E0605E02" w:tentative="1">
      <w:start w:val="1"/>
      <w:numFmt w:val="decimal"/>
      <w:lvlText w:val="%7."/>
      <w:lvlJc w:val="left"/>
      <w:pPr>
        <w:ind w:left="5040" w:hanging="360"/>
      </w:pPr>
    </w:lvl>
    <w:lvl w:ilvl="7" w:tplc="D3FAD60C" w:tentative="1">
      <w:start w:val="1"/>
      <w:numFmt w:val="lowerLetter"/>
      <w:lvlText w:val="%8."/>
      <w:lvlJc w:val="left"/>
      <w:pPr>
        <w:ind w:left="5760" w:hanging="360"/>
      </w:pPr>
    </w:lvl>
    <w:lvl w:ilvl="8" w:tplc="3490F724" w:tentative="1">
      <w:start w:val="1"/>
      <w:numFmt w:val="lowerRoman"/>
      <w:lvlText w:val="%9."/>
      <w:lvlJc w:val="right"/>
      <w:pPr>
        <w:ind w:left="6480" w:hanging="180"/>
      </w:pPr>
    </w:lvl>
  </w:abstractNum>
  <w:num w:numId="1" w16cid:durableId="656803737">
    <w:abstractNumId w:val="0"/>
  </w:num>
  <w:num w:numId="2" w16cid:durableId="52851275">
    <w:abstractNumId w:val="1"/>
  </w:num>
  <w:num w:numId="3" w16cid:durableId="1303651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2B1D"/>
    <w:rsid w:val="00007240"/>
    <w:rsid w:val="00010590"/>
    <w:rsid w:val="0001178C"/>
    <w:rsid w:val="0001436C"/>
    <w:rsid w:val="00014B40"/>
    <w:rsid w:val="00014D73"/>
    <w:rsid w:val="00017183"/>
    <w:rsid w:val="000202B7"/>
    <w:rsid w:val="00022609"/>
    <w:rsid w:val="00034E85"/>
    <w:rsid w:val="000401F5"/>
    <w:rsid w:val="000403DC"/>
    <w:rsid w:val="000407A3"/>
    <w:rsid w:val="00040DA7"/>
    <w:rsid w:val="00043794"/>
    <w:rsid w:val="000446BA"/>
    <w:rsid w:val="00050C73"/>
    <w:rsid w:val="000528D5"/>
    <w:rsid w:val="000532E8"/>
    <w:rsid w:val="0005354E"/>
    <w:rsid w:val="000553F1"/>
    <w:rsid w:val="00062182"/>
    <w:rsid w:val="000624BC"/>
    <w:rsid w:val="000631C9"/>
    <w:rsid w:val="0006684D"/>
    <w:rsid w:val="00071CEB"/>
    <w:rsid w:val="00076409"/>
    <w:rsid w:val="00080F90"/>
    <w:rsid w:val="0008149D"/>
    <w:rsid w:val="00087706"/>
    <w:rsid w:val="00093C6D"/>
    <w:rsid w:val="000956FF"/>
    <w:rsid w:val="000A2A22"/>
    <w:rsid w:val="000A31C2"/>
    <w:rsid w:val="000A3FE5"/>
    <w:rsid w:val="000A4E2D"/>
    <w:rsid w:val="000A5BF6"/>
    <w:rsid w:val="000A7041"/>
    <w:rsid w:val="000B1DF8"/>
    <w:rsid w:val="000B2B02"/>
    <w:rsid w:val="000D27A8"/>
    <w:rsid w:val="000D44F5"/>
    <w:rsid w:val="000D56EF"/>
    <w:rsid w:val="000E4057"/>
    <w:rsid w:val="000F0C31"/>
    <w:rsid w:val="000F419C"/>
    <w:rsid w:val="000F425A"/>
    <w:rsid w:val="00102444"/>
    <w:rsid w:val="00104C71"/>
    <w:rsid w:val="00106E4F"/>
    <w:rsid w:val="00107498"/>
    <w:rsid w:val="00107C0F"/>
    <w:rsid w:val="001216C7"/>
    <w:rsid w:val="00124993"/>
    <w:rsid w:val="00127E80"/>
    <w:rsid w:val="001309C8"/>
    <w:rsid w:val="00142401"/>
    <w:rsid w:val="00144F69"/>
    <w:rsid w:val="00145914"/>
    <w:rsid w:val="00145C7E"/>
    <w:rsid w:val="00156299"/>
    <w:rsid w:val="001574FE"/>
    <w:rsid w:val="00160724"/>
    <w:rsid w:val="00161431"/>
    <w:rsid w:val="001664A7"/>
    <w:rsid w:val="0017246A"/>
    <w:rsid w:val="001732CE"/>
    <w:rsid w:val="00173455"/>
    <w:rsid w:val="001810B4"/>
    <w:rsid w:val="001817CB"/>
    <w:rsid w:val="0018235D"/>
    <w:rsid w:val="00182D91"/>
    <w:rsid w:val="0018545A"/>
    <w:rsid w:val="001863CD"/>
    <w:rsid w:val="00191971"/>
    <w:rsid w:val="00192B0D"/>
    <w:rsid w:val="001A0B81"/>
    <w:rsid w:val="001A0F16"/>
    <w:rsid w:val="001A0FE9"/>
    <w:rsid w:val="001A3032"/>
    <w:rsid w:val="001A5A86"/>
    <w:rsid w:val="001A7A2B"/>
    <w:rsid w:val="001B0942"/>
    <w:rsid w:val="001B229E"/>
    <w:rsid w:val="001B706D"/>
    <w:rsid w:val="001B7181"/>
    <w:rsid w:val="001C159B"/>
    <w:rsid w:val="001C2B8C"/>
    <w:rsid w:val="001C572B"/>
    <w:rsid w:val="001C6ABF"/>
    <w:rsid w:val="001D082B"/>
    <w:rsid w:val="001D7C27"/>
    <w:rsid w:val="001F1141"/>
    <w:rsid w:val="001F1D60"/>
    <w:rsid w:val="001F47B9"/>
    <w:rsid w:val="00201903"/>
    <w:rsid w:val="00205FBC"/>
    <w:rsid w:val="00217F8F"/>
    <w:rsid w:val="0022050C"/>
    <w:rsid w:val="00222CC0"/>
    <w:rsid w:val="002331BC"/>
    <w:rsid w:val="00234C26"/>
    <w:rsid w:val="002411AC"/>
    <w:rsid w:val="002413BE"/>
    <w:rsid w:val="00244E26"/>
    <w:rsid w:val="00250A86"/>
    <w:rsid w:val="00250BAF"/>
    <w:rsid w:val="00252656"/>
    <w:rsid w:val="00256A07"/>
    <w:rsid w:val="00256E5C"/>
    <w:rsid w:val="00257C58"/>
    <w:rsid w:val="0027215D"/>
    <w:rsid w:val="0027596B"/>
    <w:rsid w:val="00283AC3"/>
    <w:rsid w:val="002852F1"/>
    <w:rsid w:val="00287DEB"/>
    <w:rsid w:val="002957A8"/>
    <w:rsid w:val="002A17D1"/>
    <w:rsid w:val="002A683C"/>
    <w:rsid w:val="002B0975"/>
    <w:rsid w:val="002B3CAA"/>
    <w:rsid w:val="002C1176"/>
    <w:rsid w:val="002C5FA5"/>
    <w:rsid w:val="002D45C2"/>
    <w:rsid w:val="002D4E24"/>
    <w:rsid w:val="002E2166"/>
    <w:rsid w:val="002E28D4"/>
    <w:rsid w:val="002E783D"/>
    <w:rsid w:val="002F31F6"/>
    <w:rsid w:val="003008D1"/>
    <w:rsid w:val="00303DE7"/>
    <w:rsid w:val="0030467D"/>
    <w:rsid w:val="00307E34"/>
    <w:rsid w:val="00312B44"/>
    <w:rsid w:val="003237FE"/>
    <w:rsid w:val="00324C80"/>
    <w:rsid w:val="003277E4"/>
    <w:rsid w:val="003404EA"/>
    <w:rsid w:val="00350909"/>
    <w:rsid w:val="00350DA8"/>
    <w:rsid w:val="00354E9B"/>
    <w:rsid w:val="00357E57"/>
    <w:rsid w:val="00371142"/>
    <w:rsid w:val="003713CB"/>
    <w:rsid w:val="003750E6"/>
    <w:rsid w:val="00381AFE"/>
    <w:rsid w:val="00382764"/>
    <w:rsid w:val="00385402"/>
    <w:rsid w:val="00386A60"/>
    <w:rsid w:val="00392165"/>
    <w:rsid w:val="003966CB"/>
    <w:rsid w:val="00397A12"/>
    <w:rsid w:val="003B2E32"/>
    <w:rsid w:val="003B6220"/>
    <w:rsid w:val="003B6D98"/>
    <w:rsid w:val="003B6E9F"/>
    <w:rsid w:val="003C4475"/>
    <w:rsid w:val="003D2940"/>
    <w:rsid w:val="003D3815"/>
    <w:rsid w:val="003D6051"/>
    <w:rsid w:val="003E6748"/>
    <w:rsid w:val="003F0F03"/>
    <w:rsid w:val="003F1E6B"/>
    <w:rsid w:val="003F2310"/>
    <w:rsid w:val="003F2565"/>
    <w:rsid w:val="003F3465"/>
    <w:rsid w:val="003F5DE6"/>
    <w:rsid w:val="003F5E01"/>
    <w:rsid w:val="00402B6B"/>
    <w:rsid w:val="0040556D"/>
    <w:rsid w:val="00406018"/>
    <w:rsid w:val="00407E47"/>
    <w:rsid w:val="00421649"/>
    <w:rsid w:val="00440D8C"/>
    <w:rsid w:val="0044222F"/>
    <w:rsid w:val="00454DC2"/>
    <w:rsid w:val="004620F0"/>
    <w:rsid w:val="00463A29"/>
    <w:rsid w:val="0046442B"/>
    <w:rsid w:val="00466B61"/>
    <w:rsid w:val="00466B91"/>
    <w:rsid w:val="004768E0"/>
    <w:rsid w:val="00483730"/>
    <w:rsid w:val="00486402"/>
    <w:rsid w:val="004959F3"/>
    <w:rsid w:val="0049655F"/>
    <w:rsid w:val="00496A07"/>
    <w:rsid w:val="004A02E4"/>
    <w:rsid w:val="004A037B"/>
    <w:rsid w:val="004A351B"/>
    <w:rsid w:val="004A6705"/>
    <w:rsid w:val="004A76A9"/>
    <w:rsid w:val="004A7730"/>
    <w:rsid w:val="004B0727"/>
    <w:rsid w:val="004B1F79"/>
    <w:rsid w:val="004C085F"/>
    <w:rsid w:val="004C0D17"/>
    <w:rsid w:val="004C30B1"/>
    <w:rsid w:val="004C5212"/>
    <w:rsid w:val="004D1F75"/>
    <w:rsid w:val="004E1D15"/>
    <w:rsid w:val="004E46D9"/>
    <w:rsid w:val="00511016"/>
    <w:rsid w:val="0051112A"/>
    <w:rsid w:val="0051318A"/>
    <w:rsid w:val="00521BE3"/>
    <w:rsid w:val="005236E9"/>
    <w:rsid w:val="00531F05"/>
    <w:rsid w:val="00532E4D"/>
    <w:rsid w:val="00532F7A"/>
    <w:rsid w:val="00537136"/>
    <w:rsid w:val="005379F0"/>
    <w:rsid w:val="0054023C"/>
    <w:rsid w:val="00540373"/>
    <w:rsid w:val="00540FF6"/>
    <w:rsid w:val="005473A2"/>
    <w:rsid w:val="005475A8"/>
    <w:rsid w:val="00550832"/>
    <w:rsid w:val="00560013"/>
    <w:rsid w:val="00560948"/>
    <w:rsid w:val="00563038"/>
    <w:rsid w:val="005678F3"/>
    <w:rsid w:val="00574A1B"/>
    <w:rsid w:val="00575719"/>
    <w:rsid w:val="0058016F"/>
    <w:rsid w:val="00582272"/>
    <w:rsid w:val="00587ABC"/>
    <w:rsid w:val="00596B94"/>
    <w:rsid w:val="005A0FCA"/>
    <w:rsid w:val="005A4A3C"/>
    <w:rsid w:val="005A6D79"/>
    <w:rsid w:val="005A7555"/>
    <w:rsid w:val="005B0F5A"/>
    <w:rsid w:val="005B2A8C"/>
    <w:rsid w:val="005B4AAF"/>
    <w:rsid w:val="005B61EA"/>
    <w:rsid w:val="005C0391"/>
    <w:rsid w:val="005C1D9B"/>
    <w:rsid w:val="005D2D46"/>
    <w:rsid w:val="005D5CC3"/>
    <w:rsid w:val="005E1D3B"/>
    <w:rsid w:val="005F0537"/>
    <w:rsid w:val="005F1FBF"/>
    <w:rsid w:val="005F4465"/>
    <w:rsid w:val="005F768F"/>
    <w:rsid w:val="00604FE9"/>
    <w:rsid w:val="0060528A"/>
    <w:rsid w:val="00610EFE"/>
    <w:rsid w:val="0063163C"/>
    <w:rsid w:val="00632FB5"/>
    <w:rsid w:val="00635F07"/>
    <w:rsid w:val="006374C9"/>
    <w:rsid w:val="006446BB"/>
    <w:rsid w:val="006468C0"/>
    <w:rsid w:val="006475B8"/>
    <w:rsid w:val="0065581E"/>
    <w:rsid w:val="00656AA5"/>
    <w:rsid w:val="0066205D"/>
    <w:rsid w:val="006646E5"/>
    <w:rsid w:val="00665061"/>
    <w:rsid w:val="0068014D"/>
    <w:rsid w:val="00682D5A"/>
    <w:rsid w:val="0069300C"/>
    <w:rsid w:val="00693C5D"/>
    <w:rsid w:val="00695874"/>
    <w:rsid w:val="00695EEC"/>
    <w:rsid w:val="006A3C3F"/>
    <w:rsid w:val="006B1797"/>
    <w:rsid w:val="006B77B6"/>
    <w:rsid w:val="006C0B85"/>
    <w:rsid w:val="006C37D3"/>
    <w:rsid w:val="006D24B8"/>
    <w:rsid w:val="006D44C3"/>
    <w:rsid w:val="006D785A"/>
    <w:rsid w:val="006D7BF8"/>
    <w:rsid w:val="006E2E32"/>
    <w:rsid w:val="006E4C6E"/>
    <w:rsid w:val="006E676F"/>
    <w:rsid w:val="006E6917"/>
    <w:rsid w:val="006E7D34"/>
    <w:rsid w:val="006F0478"/>
    <w:rsid w:val="006F5378"/>
    <w:rsid w:val="006F789B"/>
    <w:rsid w:val="00700676"/>
    <w:rsid w:val="007029F9"/>
    <w:rsid w:val="00710509"/>
    <w:rsid w:val="00710C51"/>
    <w:rsid w:val="00712F82"/>
    <w:rsid w:val="00713C96"/>
    <w:rsid w:val="00730027"/>
    <w:rsid w:val="00730299"/>
    <w:rsid w:val="00742BA4"/>
    <w:rsid w:val="00745758"/>
    <w:rsid w:val="007521CF"/>
    <w:rsid w:val="00766130"/>
    <w:rsid w:val="00770BA0"/>
    <w:rsid w:val="00785822"/>
    <w:rsid w:val="00791160"/>
    <w:rsid w:val="00791442"/>
    <w:rsid w:val="00795160"/>
    <w:rsid w:val="00796B0E"/>
    <w:rsid w:val="007978B8"/>
    <w:rsid w:val="007A3A32"/>
    <w:rsid w:val="007A551F"/>
    <w:rsid w:val="007B0CD2"/>
    <w:rsid w:val="007B21A0"/>
    <w:rsid w:val="007B3780"/>
    <w:rsid w:val="007C1D00"/>
    <w:rsid w:val="007C4FBA"/>
    <w:rsid w:val="007C5313"/>
    <w:rsid w:val="007E07BB"/>
    <w:rsid w:val="007E165A"/>
    <w:rsid w:val="007E53AB"/>
    <w:rsid w:val="007E69F0"/>
    <w:rsid w:val="007E74A7"/>
    <w:rsid w:val="007F01B6"/>
    <w:rsid w:val="007F2FDD"/>
    <w:rsid w:val="007F54F4"/>
    <w:rsid w:val="007F78B0"/>
    <w:rsid w:val="008006A9"/>
    <w:rsid w:val="00800F8F"/>
    <w:rsid w:val="00802F66"/>
    <w:rsid w:val="0081045A"/>
    <w:rsid w:val="00813C7B"/>
    <w:rsid w:val="00823052"/>
    <w:rsid w:val="00827293"/>
    <w:rsid w:val="00840E87"/>
    <w:rsid w:val="0084356B"/>
    <w:rsid w:val="00843E71"/>
    <w:rsid w:val="00853131"/>
    <w:rsid w:val="00854362"/>
    <w:rsid w:val="00854768"/>
    <w:rsid w:val="008552A3"/>
    <w:rsid w:val="00863F05"/>
    <w:rsid w:val="00867862"/>
    <w:rsid w:val="00867FC0"/>
    <w:rsid w:val="00871585"/>
    <w:rsid w:val="008718F9"/>
    <w:rsid w:val="008724BE"/>
    <w:rsid w:val="008750CE"/>
    <w:rsid w:val="0088274F"/>
    <w:rsid w:val="00883F54"/>
    <w:rsid w:val="00884739"/>
    <w:rsid w:val="008A5EA7"/>
    <w:rsid w:val="008B3E1A"/>
    <w:rsid w:val="008B4661"/>
    <w:rsid w:val="008C6CB0"/>
    <w:rsid w:val="008D27B5"/>
    <w:rsid w:val="008D404B"/>
    <w:rsid w:val="008D5AD7"/>
    <w:rsid w:val="008E170C"/>
    <w:rsid w:val="008E78C9"/>
    <w:rsid w:val="008E7F85"/>
    <w:rsid w:val="008F3116"/>
    <w:rsid w:val="009032E6"/>
    <w:rsid w:val="0090372A"/>
    <w:rsid w:val="00911690"/>
    <w:rsid w:val="0091483F"/>
    <w:rsid w:val="00914F16"/>
    <w:rsid w:val="0091704F"/>
    <w:rsid w:val="00921602"/>
    <w:rsid w:val="00921E19"/>
    <w:rsid w:val="0092632C"/>
    <w:rsid w:val="00927825"/>
    <w:rsid w:val="00930600"/>
    <w:rsid w:val="00934734"/>
    <w:rsid w:val="00935075"/>
    <w:rsid w:val="00937C07"/>
    <w:rsid w:val="00937C4B"/>
    <w:rsid w:val="0094411A"/>
    <w:rsid w:val="00946883"/>
    <w:rsid w:val="00955871"/>
    <w:rsid w:val="00955A1F"/>
    <w:rsid w:val="009623FD"/>
    <w:rsid w:val="00964A4F"/>
    <w:rsid w:val="00971011"/>
    <w:rsid w:val="009721F0"/>
    <w:rsid w:val="00983947"/>
    <w:rsid w:val="00991F89"/>
    <w:rsid w:val="00992593"/>
    <w:rsid w:val="0099341C"/>
    <w:rsid w:val="00993DE1"/>
    <w:rsid w:val="009953C5"/>
    <w:rsid w:val="009A4EAD"/>
    <w:rsid w:val="009A5B17"/>
    <w:rsid w:val="009A5F09"/>
    <w:rsid w:val="009A7426"/>
    <w:rsid w:val="009B57CA"/>
    <w:rsid w:val="009B5A6A"/>
    <w:rsid w:val="009B6724"/>
    <w:rsid w:val="009C60F1"/>
    <w:rsid w:val="009D2591"/>
    <w:rsid w:val="009D2A5E"/>
    <w:rsid w:val="009D34DA"/>
    <w:rsid w:val="009D364B"/>
    <w:rsid w:val="009D67AD"/>
    <w:rsid w:val="009E5530"/>
    <w:rsid w:val="009F67F9"/>
    <w:rsid w:val="009F6BDF"/>
    <w:rsid w:val="00A030FF"/>
    <w:rsid w:val="00A05A71"/>
    <w:rsid w:val="00A0768B"/>
    <w:rsid w:val="00A105DC"/>
    <w:rsid w:val="00A11B22"/>
    <w:rsid w:val="00A142BB"/>
    <w:rsid w:val="00A23247"/>
    <w:rsid w:val="00A46FC8"/>
    <w:rsid w:val="00A478DB"/>
    <w:rsid w:val="00A53E0A"/>
    <w:rsid w:val="00A56384"/>
    <w:rsid w:val="00A610B5"/>
    <w:rsid w:val="00A67BAC"/>
    <w:rsid w:val="00A67CE4"/>
    <w:rsid w:val="00A723F4"/>
    <w:rsid w:val="00A72A02"/>
    <w:rsid w:val="00A731A5"/>
    <w:rsid w:val="00A731FC"/>
    <w:rsid w:val="00A73F17"/>
    <w:rsid w:val="00A74605"/>
    <w:rsid w:val="00A80B7D"/>
    <w:rsid w:val="00A85BE5"/>
    <w:rsid w:val="00A87576"/>
    <w:rsid w:val="00A87622"/>
    <w:rsid w:val="00A94AE9"/>
    <w:rsid w:val="00A97AE0"/>
    <w:rsid w:val="00AA6BEA"/>
    <w:rsid w:val="00AB121E"/>
    <w:rsid w:val="00AD1547"/>
    <w:rsid w:val="00AD3547"/>
    <w:rsid w:val="00AD36C9"/>
    <w:rsid w:val="00AD4684"/>
    <w:rsid w:val="00AD5B39"/>
    <w:rsid w:val="00AD66A8"/>
    <w:rsid w:val="00AD6B05"/>
    <w:rsid w:val="00AE5133"/>
    <w:rsid w:val="00AF01F3"/>
    <w:rsid w:val="00AF1065"/>
    <w:rsid w:val="00AF3744"/>
    <w:rsid w:val="00AF523E"/>
    <w:rsid w:val="00AF6705"/>
    <w:rsid w:val="00B04C54"/>
    <w:rsid w:val="00B04DB7"/>
    <w:rsid w:val="00B06C2C"/>
    <w:rsid w:val="00B10B9C"/>
    <w:rsid w:val="00B12550"/>
    <w:rsid w:val="00B1283F"/>
    <w:rsid w:val="00B214DE"/>
    <w:rsid w:val="00B44CA7"/>
    <w:rsid w:val="00B45C6F"/>
    <w:rsid w:val="00B45FD2"/>
    <w:rsid w:val="00B46594"/>
    <w:rsid w:val="00B474EE"/>
    <w:rsid w:val="00B47BEB"/>
    <w:rsid w:val="00B52A15"/>
    <w:rsid w:val="00B55170"/>
    <w:rsid w:val="00B6678E"/>
    <w:rsid w:val="00B706B3"/>
    <w:rsid w:val="00B83D0E"/>
    <w:rsid w:val="00B9027F"/>
    <w:rsid w:val="00B956A3"/>
    <w:rsid w:val="00BA4BE3"/>
    <w:rsid w:val="00BA5040"/>
    <w:rsid w:val="00BB166D"/>
    <w:rsid w:val="00BB332B"/>
    <w:rsid w:val="00BB7F9F"/>
    <w:rsid w:val="00BC2837"/>
    <w:rsid w:val="00BC6237"/>
    <w:rsid w:val="00BD3A7C"/>
    <w:rsid w:val="00BD3DC9"/>
    <w:rsid w:val="00BE1926"/>
    <w:rsid w:val="00BF174C"/>
    <w:rsid w:val="00BF488E"/>
    <w:rsid w:val="00C016C0"/>
    <w:rsid w:val="00C019D3"/>
    <w:rsid w:val="00C05325"/>
    <w:rsid w:val="00C07098"/>
    <w:rsid w:val="00C23CE5"/>
    <w:rsid w:val="00C30CA7"/>
    <w:rsid w:val="00C33318"/>
    <w:rsid w:val="00C3429C"/>
    <w:rsid w:val="00C362E1"/>
    <w:rsid w:val="00C404C2"/>
    <w:rsid w:val="00C40DF5"/>
    <w:rsid w:val="00C4185F"/>
    <w:rsid w:val="00C547B3"/>
    <w:rsid w:val="00C579D7"/>
    <w:rsid w:val="00C60C92"/>
    <w:rsid w:val="00C67B6F"/>
    <w:rsid w:val="00C71C6A"/>
    <w:rsid w:val="00C76260"/>
    <w:rsid w:val="00C809C2"/>
    <w:rsid w:val="00C844A4"/>
    <w:rsid w:val="00C8476B"/>
    <w:rsid w:val="00C87318"/>
    <w:rsid w:val="00C8767D"/>
    <w:rsid w:val="00C91D4B"/>
    <w:rsid w:val="00C9395F"/>
    <w:rsid w:val="00C93A96"/>
    <w:rsid w:val="00CA0925"/>
    <w:rsid w:val="00CA4D05"/>
    <w:rsid w:val="00CB00D5"/>
    <w:rsid w:val="00CB2B7A"/>
    <w:rsid w:val="00CC6206"/>
    <w:rsid w:val="00CE149A"/>
    <w:rsid w:val="00CE20FE"/>
    <w:rsid w:val="00CE6AB4"/>
    <w:rsid w:val="00CF05F6"/>
    <w:rsid w:val="00CF1D8C"/>
    <w:rsid w:val="00CF3AD7"/>
    <w:rsid w:val="00CF40DB"/>
    <w:rsid w:val="00CF5936"/>
    <w:rsid w:val="00CF607E"/>
    <w:rsid w:val="00D05792"/>
    <w:rsid w:val="00D150D6"/>
    <w:rsid w:val="00D16484"/>
    <w:rsid w:val="00D165ED"/>
    <w:rsid w:val="00D1730B"/>
    <w:rsid w:val="00D33EED"/>
    <w:rsid w:val="00D35459"/>
    <w:rsid w:val="00D410CC"/>
    <w:rsid w:val="00D44402"/>
    <w:rsid w:val="00D51288"/>
    <w:rsid w:val="00D51E7A"/>
    <w:rsid w:val="00D52E9A"/>
    <w:rsid w:val="00D633BE"/>
    <w:rsid w:val="00D646BF"/>
    <w:rsid w:val="00D731CE"/>
    <w:rsid w:val="00D818F9"/>
    <w:rsid w:val="00D82749"/>
    <w:rsid w:val="00D82995"/>
    <w:rsid w:val="00D94225"/>
    <w:rsid w:val="00D94761"/>
    <w:rsid w:val="00D952F4"/>
    <w:rsid w:val="00D97F0B"/>
    <w:rsid w:val="00DA78AD"/>
    <w:rsid w:val="00DB1109"/>
    <w:rsid w:val="00DB330C"/>
    <w:rsid w:val="00DB6CEB"/>
    <w:rsid w:val="00DC1FE4"/>
    <w:rsid w:val="00DC6CE8"/>
    <w:rsid w:val="00DD44EA"/>
    <w:rsid w:val="00DD5E48"/>
    <w:rsid w:val="00DD6690"/>
    <w:rsid w:val="00DE1E73"/>
    <w:rsid w:val="00DF231C"/>
    <w:rsid w:val="00E03910"/>
    <w:rsid w:val="00E06CB6"/>
    <w:rsid w:val="00E1102F"/>
    <w:rsid w:val="00E13095"/>
    <w:rsid w:val="00E13BAC"/>
    <w:rsid w:val="00E17F4C"/>
    <w:rsid w:val="00E25B5E"/>
    <w:rsid w:val="00E30880"/>
    <w:rsid w:val="00E435E8"/>
    <w:rsid w:val="00E441D1"/>
    <w:rsid w:val="00E47C7D"/>
    <w:rsid w:val="00E50747"/>
    <w:rsid w:val="00E518CF"/>
    <w:rsid w:val="00E54B57"/>
    <w:rsid w:val="00E56D9A"/>
    <w:rsid w:val="00E579E5"/>
    <w:rsid w:val="00E613B9"/>
    <w:rsid w:val="00E614E6"/>
    <w:rsid w:val="00E633C7"/>
    <w:rsid w:val="00E7014C"/>
    <w:rsid w:val="00E72236"/>
    <w:rsid w:val="00E841E5"/>
    <w:rsid w:val="00E85D10"/>
    <w:rsid w:val="00E903FC"/>
    <w:rsid w:val="00E92571"/>
    <w:rsid w:val="00E93C34"/>
    <w:rsid w:val="00EA01B0"/>
    <w:rsid w:val="00EA38D8"/>
    <w:rsid w:val="00EA7304"/>
    <w:rsid w:val="00EB191A"/>
    <w:rsid w:val="00EB2943"/>
    <w:rsid w:val="00EB5E21"/>
    <w:rsid w:val="00EB6749"/>
    <w:rsid w:val="00EC5D7E"/>
    <w:rsid w:val="00EC75A8"/>
    <w:rsid w:val="00ED63A9"/>
    <w:rsid w:val="00ED696B"/>
    <w:rsid w:val="00ED7EAA"/>
    <w:rsid w:val="00EE365E"/>
    <w:rsid w:val="00EF6D1E"/>
    <w:rsid w:val="00EF7B52"/>
    <w:rsid w:val="00F01B92"/>
    <w:rsid w:val="00F02006"/>
    <w:rsid w:val="00F04923"/>
    <w:rsid w:val="00F07182"/>
    <w:rsid w:val="00F1212A"/>
    <w:rsid w:val="00F13B04"/>
    <w:rsid w:val="00F150A3"/>
    <w:rsid w:val="00F16FE9"/>
    <w:rsid w:val="00F2413B"/>
    <w:rsid w:val="00F307B6"/>
    <w:rsid w:val="00F3147E"/>
    <w:rsid w:val="00F3521B"/>
    <w:rsid w:val="00F3599C"/>
    <w:rsid w:val="00F36390"/>
    <w:rsid w:val="00F42366"/>
    <w:rsid w:val="00F42650"/>
    <w:rsid w:val="00F446C2"/>
    <w:rsid w:val="00F47358"/>
    <w:rsid w:val="00F47FFB"/>
    <w:rsid w:val="00F57901"/>
    <w:rsid w:val="00F63AF3"/>
    <w:rsid w:val="00F66F3F"/>
    <w:rsid w:val="00F70C39"/>
    <w:rsid w:val="00F71BBD"/>
    <w:rsid w:val="00F720F0"/>
    <w:rsid w:val="00F76964"/>
    <w:rsid w:val="00F7721A"/>
    <w:rsid w:val="00F84327"/>
    <w:rsid w:val="00F859EC"/>
    <w:rsid w:val="00F872C1"/>
    <w:rsid w:val="00F90C35"/>
    <w:rsid w:val="00F9239F"/>
    <w:rsid w:val="00F967B6"/>
    <w:rsid w:val="00F9787E"/>
    <w:rsid w:val="00FA2BB9"/>
    <w:rsid w:val="00FA41A4"/>
    <w:rsid w:val="00FB3178"/>
    <w:rsid w:val="00FB53BC"/>
    <w:rsid w:val="00FC32D4"/>
    <w:rsid w:val="00FC46A5"/>
    <w:rsid w:val="00FC501E"/>
    <w:rsid w:val="00FC7215"/>
    <w:rsid w:val="00FD666F"/>
    <w:rsid w:val="00FE5044"/>
    <w:rsid w:val="00FF049F"/>
    <w:rsid w:val="00FF2BCC"/>
    <w:rsid w:val="00FF6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D0676"/>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6C0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3147E"/>
    <w:pPr>
      <w:spacing w:after="0" w:line="240" w:lineRule="auto"/>
    </w:pPr>
    <w:rPr>
      <w:rFonts w:ascii="Times New Roman" w:hAnsi="Times New Roman"/>
      <w:sz w:val="24"/>
      <w:lang w:val="en-GB"/>
    </w:rPr>
  </w:style>
  <w:style w:type="paragraph" w:styleId="TOCHeading">
    <w:name w:val="TOC Heading"/>
    <w:basedOn w:val="Heading1"/>
    <w:next w:val="Normal"/>
    <w:uiPriority w:val="39"/>
    <w:unhideWhenUsed/>
    <w:qFormat/>
    <w:rsid w:val="00382764"/>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382764"/>
    <w:pPr>
      <w:spacing w:after="100"/>
    </w:pPr>
  </w:style>
  <w:style w:type="paragraph" w:styleId="TOC2">
    <w:name w:val="toc 2"/>
    <w:basedOn w:val="Normal"/>
    <w:next w:val="Normal"/>
    <w:autoRedefine/>
    <w:uiPriority w:val="39"/>
    <w:unhideWhenUsed/>
    <w:rsid w:val="00382764"/>
    <w:pPr>
      <w:spacing w:after="100"/>
      <w:ind w:left="240"/>
    </w:pPr>
  </w:style>
  <w:style w:type="paragraph" w:styleId="FootnoteText">
    <w:name w:val="footnote text"/>
    <w:basedOn w:val="Normal"/>
    <w:link w:val="FootnoteTextChar"/>
    <w:uiPriority w:val="99"/>
    <w:semiHidden/>
    <w:unhideWhenUsed/>
    <w:rsid w:val="006E67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676F"/>
    <w:rPr>
      <w:rFonts w:ascii="Times New Roman" w:hAnsi="Times New Roman"/>
      <w:sz w:val="20"/>
      <w:szCs w:val="20"/>
      <w:lang w:val="en-GB"/>
    </w:rPr>
  </w:style>
  <w:style w:type="character" w:styleId="FootnoteReference">
    <w:name w:val="footnote reference"/>
    <w:basedOn w:val="DefaultParagraphFont"/>
    <w:uiPriority w:val="99"/>
    <w:semiHidden/>
    <w:unhideWhenUsed/>
    <w:rsid w:val="006E676F"/>
    <w:rPr>
      <w:vertAlign w:val="superscript"/>
    </w:rPr>
  </w:style>
  <w:style w:type="character" w:styleId="FollowedHyperlink">
    <w:name w:val="FollowedHyperlink"/>
    <w:basedOn w:val="DefaultParagraphFont"/>
    <w:uiPriority w:val="99"/>
    <w:semiHidden/>
    <w:unhideWhenUsed/>
    <w:rsid w:val="007F78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untourism.int/news/international-tourism-to-reach-pre-pandemic-levels-in-2024" TargetMode="External"/><Relationship Id="rId4" Type="http://schemas.openxmlformats.org/officeDocument/2006/relationships/settings" Target="settings.xml"/><Relationship Id="rId9" Type="http://schemas.openxmlformats.org/officeDocument/2006/relationships/hyperlink" Target="https://www-cambridge-org.ezproxy.uwtsd.ac.uk/core/books/relational-lens/value-and-importance-of-relationships/718C31032061BDFA3F480BA2A53F45D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267D2-2651-4047-BBE3-9FEC2838D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25</Pages>
  <Words>6210</Words>
  <Characters>35402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nadia qamar</cp:lastModifiedBy>
  <cp:revision>45</cp:revision>
  <dcterms:created xsi:type="dcterms:W3CDTF">2026-02-24T06:09:00Z</dcterms:created>
  <dcterms:modified xsi:type="dcterms:W3CDTF">2026-03-15T17:02:00Z</dcterms:modified>
</cp:coreProperties>
</file>