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54BBC8" w14:textId="69538EB8" w:rsidR="00EF266C" w:rsidRDefault="00E36BEA" w:rsidP="00EF266C">
      <w:pPr>
        <w:jc w:val="center"/>
        <w:rPr>
          <w:b/>
          <w:bCs/>
          <w:sz w:val="28"/>
          <w:szCs w:val="28"/>
        </w:rPr>
      </w:pPr>
      <w:r>
        <w:rPr>
          <w:b/>
          <w:bCs/>
          <w:noProof/>
          <w:sz w:val="28"/>
          <w:szCs w:val="28"/>
        </w:rPr>
        <w:drawing>
          <wp:inline distT="0" distB="0" distL="0" distR="0" wp14:anchorId="4597132B" wp14:editId="40060B21">
            <wp:extent cx="2425700" cy="2883642"/>
            <wp:effectExtent l="0" t="0" r="0" b="0"/>
            <wp:docPr id="1565038166" name="Picture 1" descr="A stone face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038166" name="Picture 1" descr="A stone face with a blue background&#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36813" cy="2896852"/>
                    </a:xfrm>
                    <a:prstGeom prst="rect">
                      <a:avLst/>
                    </a:prstGeom>
                  </pic:spPr>
                </pic:pic>
              </a:graphicData>
            </a:graphic>
          </wp:inline>
        </w:drawing>
      </w:r>
    </w:p>
    <w:p w14:paraId="7A61C2F6" w14:textId="42378296" w:rsidR="00EF266C" w:rsidRDefault="00E36BEA" w:rsidP="00EF266C">
      <w:pPr>
        <w:jc w:val="center"/>
        <w:rPr>
          <w:b/>
          <w:bCs/>
          <w:noProof/>
          <w:sz w:val="28"/>
          <w:szCs w:val="28"/>
        </w:rPr>
      </w:pPr>
      <w:r>
        <w:rPr>
          <w:b/>
          <w:bCs/>
          <w:noProof/>
          <w:sz w:val="28"/>
          <w:szCs w:val="28"/>
        </w:rPr>
        <w:drawing>
          <wp:inline distT="0" distB="0" distL="0" distR="0" wp14:anchorId="7C44A590" wp14:editId="7A5B113E">
            <wp:extent cx="2096428" cy="2400300"/>
            <wp:effectExtent l="0" t="0" r="0" b="0"/>
            <wp:docPr id="633532763" name="Picture 2" descr="A close-up of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32763" name="Picture 2" descr="A close-up of a rock&#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12992" cy="2419265"/>
                    </a:xfrm>
                    <a:prstGeom prst="rect">
                      <a:avLst/>
                    </a:prstGeom>
                  </pic:spPr>
                </pic:pic>
              </a:graphicData>
            </a:graphic>
          </wp:inline>
        </w:drawing>
      </w:r>
      <w:r w:rsidR="00EF266C">
        <w:rPr>
          <w:b/>
          <w:bCs/>
          <w:noProof/>
          <w:sz w:val="28"/>
          <w:szCs w:val="28"/>
        </w:rPr>
        <w:t xml:space="preserve">  </w:t>
      </w:r>
      <w:r>
        <w:rPr>
          <w:b/>
          <w:bCs/>
          <w:noProof/>
          <w:sz w:val="28"/>
          <w:szCs w:val="28"/>
        </w:rPr>
        <w:drawing>
          <wp:inline distT="0" distB="0" distL="0" distR="0" wp14:anchorId="66997EF8" wp14:editId="24A573E0">
            <wp:extent cx="1964764" cy="2406650"/>
            <wp:effectExtent l="0" t="0" r="0" b="0"/>
            <wp:docPr id="1175866701" name="Picture 3" descr="A close-up of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66701" name="Picture 3" descr="A close-up of a rock&#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82126" cy="2427916"/>
                    </a:xfrm>
                    <a:prstGeom prst="rect">
                      <a:avLst/>
                    </a:prstGeom>
                  </pic:spPr>
                </pic:pic>
              </a:graphicData>
            </a:graphic>
          </wp:inline>
        </w:drawing>
      </w:r>
    </w:p>
    <w:p w14:paraId="1109F5A4" w14:textId="4A7F35F9" w:rsidR="00EF266C" w:rsidRPr="00EF266C" w:rsidRDefault="00EF266C" w:rsidP="00EF266C">
      <w:pPr>
        <w:jc w:val="center"/>
        <w:rPr>
          <w:noProof/>
          <w:sz w:val="20"/>
          <w:szCs w:val="20"/>
        </w:rPr>
      </w:pPr>
      <w:r w:rsidRPr="00EF266C">
        <w:rPr>
          <w:noProof/>
          <w:sz w:val="20"/>
          <w:szCs w:val="20"/>
        </w:rPr>
        <w:t>(Figure</w:t>
      </w:r>
      <w:r w:rsidR="002216CA">
        <w:rPr>
          <w:noProof/>
          <w:sz w:val="20"/>
          <w:szCs w:val="20"/>
        </w:rPr>
        <w:t>s</w:t>
      </w:r>
      <w:r w:rsidRPr="00EF266C">
        <w:rPr>
          <w:noProof/>
          <w:sz w:val="20"/>
          <w:szCs w:val="20"/>
        </w:rPr>
        <w:t xml:space="preserve"> 1 to 3, Jenkins, 2025).</w:t>
      </w:r>
    </w:p>
    <w:p w14:paraId="09204CDE" w14:textId="77777777" w:rsidR="00EF266C" w:rsidRDefault="00EF266C" w:rsidP="00EF266C">
      <w:pPr>
        <w:rPr>
          <w:b/>
          <w:bCs/>
          <w:noProof/>
          <w:sz w:val="28"/>
          <w:szCs w:val="28"/>
        </w:rPr>
      </w:pPr>
    </w:p>
    <w:p w14:paraId="58BCDC08" w14:textId="472F6C86" w:rsidR="001D7D4E" w:rsidRPr="00EA15A8" w:rsidRDefault="00EA15A8">
      <w:pPr>
        <w:rPr>
          <w:b/>
          <w:bCs/>
          <w:sz w:val="28"/>
          <w:szCs w:val="28"/>
        </w:rPr>
      </w:pPr>
      <w:r w:rsidRPr="00EA15A8">
        <w:rPr>
          <w:b/>
          <w:bCs/>
          <w:sz w:val="28"/>
          <w:szCs w:val="28"/>
        </w:rPr>
        <w:t xml:space="preserve">Ancient Egyptian </w:t>
      </w:r>
      <w:r w:rsidR="00DE4A44">
        <w:rPr>
          <w:b/>
          <w:bCs/>
          <w:sz w:val="28"/>
          <w:szCs w:val="28"/>
        </w:rPr>
        <w:t>m</w:t>
      </w:r>
      <w:r w:rsidRPr="00EA15A8">
        <w:rPr>
          <w:b/>
          <w:bCs/>
          <w:sz w:val="28"/>
          <w:szCs w:val="28"/>
        </w:rPr>
        <w:t>iniature clay head.</w:t>
      </w:r>
    </w:p>
    <w:p w14:paraId="7683F7D9" w14:textId="64DF789F" w:rsidR="009E2B39" w:rsidRPr="00EA15A8" w:rsidRDefault="009E2B39">
      <w:pPr>
        <w:rPr>
          <w:b/>
          <w:bCs/>
          <w:sz w:val="24"/>
          <w:szCs w:val="24"/>
        </w:rPr>
      </w:pPr>
      <w:r w:rsidRPr="00EA15A8">
        <w:rPr>
          <w:b/>
          <w:bCs/>
          <w:sz w:val="24"/>
          <w:szCs w:val="24"/>
        </w:rPr>
        <w:t>Cyfarthfa Castle Museum, Merthyr Tydfil. (CCM 175.996).</w:t>
      </w:r>
    </w:p>
    <w:p w14:paraId="017E134E" w14:textId="7F876B64" w:rsidR="009E2B39" w:rsidRPr="00EA15A8" w:rsidRDefault="009E2B39">
      <w:pPr>
        <w:rPr>
          <w:sz w:val="24"/>
          <w:szCs w:val="24"/>
        </w:rPr>
      </w:pPr>
      <w:r w:rsidRPr="00EA15A8">
        <w:rPr>
          <w:b/>
          <w:bCs/>
          <w:sz w:val="24"/>
          <w:szCs w:val="24"/>
        </w:rPr>
        <w:t>Object type</w:t>
      </w:r>
      <w:r w:rsidRPr="00EA15A8">
        <w:rPr>
          <w:sz w:val="24"/>
          <w:szCs w:val="24"/>
        </w:rPr>
        <w:t xml:space="preserve">: </w:t>
      </w:r>
      <w:r w:rsidR="00CB4C1D" w:rsidRPr="00EA15A8">
        <w:rPr>
          <w:sz w:val="24"/>
          <w:szCs w:val="24"/>
        </w:rPr>
        <w:t>Small</w:t>
      </w:r>
      <w:r w:rsidR="009F0B1D">
        <w:rPr>
          <w:sz w:val="24"/>
          <w:szCs w:val="24"/>
        </w:rPr>
        <w:t xml:space="preserve"> clay</w:t>
      </w:r>
      <w:r w:rsidRPr="00EA15A8">
        <w:rPr>
          <w:sz w:val="24"/>
          <w:szCs w:val="24"/>
        </w:rPr>
        <w:t xml:space="preserve"> </w:t>
      </w:r>
      <w:r w:rsidR="009F0B1D">
        <w:rPr>
          <w:sz w:val="24"/>
          <w:szCs w:val="24"/>
        </w:rPr>
        <w:t>human</w:t>
      </w:r>
      <w:r w:rsidRPr="00EA15A8">
        <w:rPr>
          <w:sz w:val="24"/>
          <w:szCs w:val="24"/>
        </w:rPr>
        <w:t xml:space="preserve"> head.</w:t>
      </w:r>
    </w:p>
    <w:p w14:paraId="7AE89498" w14:textId="00FA1E45" w:rsidR="009E2B39" w:rsidRPr="00EA15A8" w:rsidRDefault="009E2B39">
      <w:pPr>
        <w:rPr>
          <w:sz w:val="24"/>
          <w:szCs w:val="24"/>
        </w:rPr>
      </w:pPr>
      <w:r w:rsidRPr="00EA15A8">
        <w:rPr>
          <w:b/>
          <w:bCs/>
          <w:sz w:val="24"/>
          <w:szCs w:val="24"/>
        </w:rPr>
        <w:t>Material</w:t>
      </w:r>
      <w:r w:rsidRPr="00EA15A8">
        <w:rPr>
          <w:sz w:val="24"/>
          <w:szCs w:val="24"/>
        </w:rPr>
        <w:t xml:space="preserve">: </w:t>
      </w:r>
      <w:r w:rsidR="00EA15A8">
        <w:rPr>
          <w:sz w:val="24"/>
          <w:szCs w:val="24"/>
        </w:rPr>
        <w:t xml:space="preserve">Egyptian </w:t>
      </w:r>
      <w:r w:rsidRPr="00EA15A8">
        <w:rPr>
          <w:sz w:val="24"/>
          <w:szCs w:val="24"/>
        </w:rPr>
        <w:t>Marl clay</w:t>
      </w:r>
      <w:r w:rsidR="00EA15A8">
        <w:rPr>
          <w:sz w:val="24"/>
          <w:szCs w:val="24"/>
        </w:rPr>
        <w:t>.</w:t>
      </w:r>
    </w:p>
    <w:p w14:paraId="5DD00D0A" w14:textId="1F336E5D" w:rsidR="009E2B39" w:rsidRPr="00EA15A8" w:rsidRDefault="009E2B39">
      <w:pPr>
        <w:rPr>
          <w:sz w:val="24"/>
          <w:szCs w:val="24"/>
        </w:rPr>
      </w:pPr>
      <w:r w:rsidRPr="00EA15A8">
        <w:rPr>
          <w:b/>
          <w:bCs/>
          <w:sz w:val="24"/>
          <w:szCs w:val="24"/>
        </w:rPr>
        <w:t>Period</w:t>
      </w:r>
      <w:r w:rsidRPr="00EA15A8">
        <w:rPr>
          <w:sz w:val="24"/>
          <w:szCs w:val="24"/>
        </w:rPr>
        <w:t>: Not known, but possibly New Kingdom, Egypt, (circa. 1500-1000 BC).</w:t>
      </w:r>
    </w:p>
    <w:p w14:paraId="22AA5A2B" w14:textId="233C7EE3" w:rsidR="009E2B39" w:rsidRPr="00EA15A8" w:rsidRDefault="009E2B39">
      <w:pPr>
        <w:rPr>
          <w:sz w:val="24"/>
          <w:szCs w:val="24"/>
        </w:rPr>
      </w:pPr>
      <w:r w:rsidRPr="00EA15A8">
        <w:rPr>
          <w:b/>
          <w:bCs/>
          <w:sz w:val="24"/>
          <w:szCs w:val="24"/>
        </w:rPr>
        <w:t>Provenance</w:t>
      </w:r>
      <w:r w:rsidRPr="00EA15A8">
        <w:rPr>
          <w:sz w:val="24"/>
          <w:szCs w:val="24"/>
        </w:rPr>
        <w:t>: Provenance unknown. Donated to the museum (1911-1930), from the estate of the late Major Harry Hartley Southey.</w:t>
      </w:r>
    </w:p>
    <w:p w14:paraId="400EF5C4" w14:textId="3BB5924A" w:rsidR="009E2B39" w:rsidRDefault="009E2B39">
      <w:pPr>
        <w:rPr>
          <w:sz w:val="24"/>
          <w:szCs w:val="24"/>
        </w:rPr>
      </w:pPr>
      <w:r w:rsidRPr="00EA15A8">
        <w:rPr>
          <w:b/>
          <w:bCs/>
          <w:sz w:val="24"/>
          <w:szCs w:val="24"/>
        </w:rPr>
        <w:t>Dimensions</w:t>
      </w:r>
      <w:r w:rsidRPr="00EA15A8">
        <w:rPr>
          <w:sz w:val="24"/>
          <w:szCs w:val="24"/>
        </w:rPr>
        <w:t>: Height 5.7cm. Width 5.6cm. Thickness 4.3cm.</w:t>
      </w:r>
    </w:p>
    <w:p w14:paraId="2D332E48" w14:textId="77777777" w:rsidR="00EA15A8" w:rsidRDefault="00EA15A8">
      <w:pPr>
        <w:rPr>
          <w:sz w:val="24"/>
          <w:szCs w:val="24"/>
        </w:rPr>
      </w:pPr>
    </w:p>
    <w:p w14:paraId="0B9ADED6" w14:textId="3454433F" w:rsidR="00EA15A8" w:rsidRDefault="00EA15A8">
      <w:pPr>
        <w:rPr>
          <w:sz w:val="24"/>
          <w:szCs w:val="24"/>
        </w:rPr>
      </w:pPr>
      <w:r>
        <w:rPr>
          <w:sz w:val="24"/>
          <w:szCs w:val="24"/>
        </w:rPr>
        <w:lastRenderedPageBreak/>
        <w:t>Object analysis by Gareth Jenkins.</w:t>
      </w:r>
    </w:p>
    <w:p w14:paraId="178A8ECF" w14:textId="7C45FE29" w:rsidR="00EA15A8" w:rsidRDefault="00EA15A8">
      <w:pPr>
        <w:rPr>
          <w:sz w:val="24"/>
          <w:szCs w:val="24"/>
        </w:rPr>
      </w:pPr>
      <w:r>
        <w:rPr>
          <w:sz w:val="24"/>
          <w:szCs w:val="24"/>
        </w:rPr>
        <w:t xml:space="preserve">This </w:t>
      </w:r>
      <w:r w:rsidR="009F0B1D">
        <w:rPr>
          <w:sz w:val="24"/>
          <w:szCs w:val="24"/>
        </w:rPr>
        <w:t>small</w:t>
      </w:r>
      <w:r>
        <w:rPr>
          <w:sz w:val="24"/>
          <w:szCs w:val="24"/>
        </w:rPr>
        <w:t xml:space="preserve"> </w:t>
      </w:r>
      <w:r w:rsidR="00331E7E">
        <w:rPr>
          <w:sz w:val="24"/>
          <w:szCs w:val="24"/>
        </w:rPr>
        <w:t xml:space="preserve">and incomplete, </w:t>
      </w:r>
      <w:r>
        <w:rPr>
          <w:sz w:val="24"/>
          <w:szCs w:val="24"/>
        </w:rPr>
        <w:t>clay</w:t>
      </w:r>
      <w:r w:rsidR="00C12983">
        <w:rPr>
          <w:sz w:val="24"/>
          <w:szCs w:val="24"/>
        </w:rPr>
        <w:t xml:space="preserve"> human</w:t>
      </w:r>
      <w:r>
        <w:rPr>
          <w:sz w:val="24"/>
          <w:szCs w:val="24"/>
        </w:rPr>
        <w:t xml:space="preserve"> head has significant damage </w:t>
      </w:r>
      <w:r w:rsidR="00C61B6D">
        <w:rPr>
          <w:sz w:val="24"/>
          <w:szCs w:val="24"/>
        </w:rPr>
        <w:t>to</w:t>
      </w:r>
      <w:r>
        <w:rPr>
          <w:sz w:val="24"/>
          <w:szCs w:val="24"/>
        </w:rPr>
        <w:t xml:space="preserve"> several areas, including on both sides of the face where the ears might have been. Also, below the chin where a small beard may have been and at the rear where it is believed to have slotted into a much larger feature such as a cartonnage</w:t>
      </w:r>
      <w:r w:rsidR="00C61B6D">
        <w:rPr>
          <w:sz w:val="24"/>
          <w:szCs w:val="24"/>
        </w:rPr>
        <w:t xml:space="preserve"> mask</w:t>
      </w:r>
      <w:r>
        <w:rPr>
          <w:sz w:val="24"/>
          <w:szCs w:val="24"/>
        </w:rPr>
        <w:t>.</w:t>
      </w:r>
      <w:r w:rsidR="00C61B6D">
        <w:rPr>
          <w:sz w:val="24"/>
          <w:szCs w:val="24"/>
        </w:rPr>
        <w:t xml:space="preserve"> There are also some areas to the face where the clay has flaked revealing the underlying layer of clay. It appears to have been painted, as there are the remains of black paint within the eye sockets, in the nostrils and along the profile of the </w:t>
      </w:r>
      <w:r w:rsidR="00831092">
        <w:rPr>
          <w:sz w:val="24"/>
          <w:szCs w:val="24"/>
        </w:rPr>
        <w:t xml:space="preserve">face and </w:t>
      </w:r>
      <w:r w:rsidR="00C61B6D">
        <w:rPr>
          <w:sz w:val="24"/>
          <w:szCs w:val="24"/>
        </w:rPr>
        <w:t>chin. Its overall colour is a grey/beige, but there also appears to be a subtle hint of green.</w:t>
      </w:r>
    </w:p>
    <w:p w14:paraId="4868DA4E" w14:textId="4757EBF1" w:rsidR="00C61B6D" w:rsidRDefault="00C61B6D">
      <w:pPr>
        <w:rPr>
          <w:sz w:val="24"/>
          <w:szCs w:val="24"/>
        </w:rPr>
      </w:pPr>
      <w:r>
        <w:rPr>
          <w:sz w:val="24"/>
          <w:szCs w:val="24"/>
        </w:rPr>
        <w:t xml:space="preserve">To the rear is a groove of approximately 2.8cm in length, and with a width of between 1.5cm and 1cm. This groove appears to have been made by placing a finger into the clay during </w:t>
      </w:r>
      <w:r w:rsidR="00831092">
        <w:rPr>
          <w:sz w:val="24"/>
          <w:szCs w:val="24"/>
        </w:rPr>
        <w:t>preparation and</w:t>
      </w:r>
      <w:r>
        <w:rPr>
          <w:sz w:val="24"/>
          <w:szCs w:val="24"/>
        </w:rPr>
        <w:t xml:space="preserve"> may have been created to </w:t>
      </w:r>
      <w:r w:rsidR="00831092">
        <w:rPr>
          <w:sz w:val="24"/>
          <w:szCs w:val="24"/>
        </w:rPr>
        <w:t>support or secure</w:t>
      </w:r>
      <w:r>
        <w:rPr>
          <w:sz w:val="24"/>
          <w:szCs w:val="24"/>
        </w:rPr>
        <w:t xml:space="preserve"> the head </w:t>
      </w:r>
      <w:r w:rsidR="00831092">
        <w:rPr>
          <w:sz w:val="24"/>
          <w:szCs w:val="24"/>
        </w:rPr>
        <w:t>when s</w:t>
      </w:r>
      <w:r>
        <w:rPr>
          <w:sz w:val="24"/>
          <w:szCs w:val="24"/>
        </w:rPr>
        <w:t>lotted int</w:t>
      </w:r>
      <w:r w:rsidR="00831092">
        <w:rPr>
          <w:sz w:val="24"/>
          <w:szCs w:val="24"/>
        </w:rPr>
        <w:t>o a mask</w:t>
      </w:r>
      <w:r>
        <w:rPr>
          <w:sz w:val="24"/>
          <w:szCs w:val="24"/>
        </w:rPr>
        <w:t>.</w:t>
      </w:r>
      <w:r w:rsidR="00C57966">
        <w:rPr>
          <w:sz w:val="24"/>
          <w:szCs w:val="24"/>
        </w:rPr>
        <w:t xml:space="preserve"> Figures 4 and 5 show the groove.</w:t>
      </w:r>
    </w:p>
    <w:p w14:paraId="3B0A4919" w14:textId="77777777" w:rsidR="00434375" w:rsidRDefault="00434375">
      <w:pPr>
        <w:rPr>
          <w:sz w:val="24"/>
          <w:szCs w:val="24"/>
        </w:rPr>
      </w:pPr>
    </w:p>
    <w:p w14:paraId="7AB83572" w14:textId="5C05B11A" w:rsidR="000326C3" w:rsidRDefault="00434375">
      <w:pPr>
        <w:rPr>
          <w:sz w:val="24"/>
          <w:szCs w:val="24"/>
        </w:rPr>
      </w:pPr>
      <w:r>
        <w:rPr>
          <w:noProof/>
          <w:sz w:val="24"/>
          <w:szCs w:val="24"/>
        </w:rPr>
        <w:drawing>
          <wp:inline distT="0" distB="0" distL="0" distR="0" wp14:anchorId="1710046F" wp14:editId="438A2859">
            <wp:extent cx="2406650" cy="1964690"/>
            <wp:effectExtent l="0" t="0" r="0" b="0"/>
            <wp:docPr id="1720024010" name="Picture 4" descr="A piece of rock with a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024010" name="Picture 4" descr="A piece of rock with a label&#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42740" cy="1994152"/>
                    </a:xfrm>
                    <a:prstGeom prst="rect">
                      <a:avLst/>
                    </a:prstGeom>
                  </pic:spPr>
                </pic:pic>
              </a:graphicData>
            </a:graphic>
          </wp:inline>
        </w:drawing>
      </w:r>
      <w:r>
        <w:rPr>
          <w:sz w:val="24"/>
          <w:szCs w:val="24"/>
        </w:rPr>
        <w:t xml:space="preserve">            </w:t>
      </w:r>
      <w:r>
        <w:rPr>
          <w:noProof/>
          <w:sz w:val="24"/>
          <w:szCs w:val="24"/>
        </w:rPr>
        <w:drawing>
          <wp:inline distT="0" distB="0" distL="0" distR="0" wp14:anchorId="74BEF6B8" wp14:editId="14A3068C">
            <wp:extent cx="2927350" cy="1980647"/>
            <wp:effectExtent l="0" t="0" r="6350" b="635"/>
            <wp:docPr id="1347604441" name="Picture 5" descr="A piece of bread with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604441" name="Picture 5" descr="A piece of bread with a piece of pap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44850" cy="1992487"/>
                    </a:xfrm>
                    <a:prstGeom prst="rect">
                      <a:avLst/>
                    </a:prstGeom>
                  </pic:spPr>
                </pic:pic>
              </a:graphicData>
            </a:graphic>
          </wp:inline>
        </w:drawing>
      </w:r>
    </w:p>
    <w:p w14:paraId="33C6015F" w14:textId="78B3FC33" w:rsidR="002216CA" w:rsidRDefault="002216CA" w:rsidP="003308BB">
      <w:pPr>
        <w:jc w:val="center"/>
        <w:rPr>
          <w:sz w:val="24"/>
          <w:szCs w:val="24"/>
        </w:rPr>
      </w:pPr>
      <w:r>
        <w:rPr>
          <w:sz w:val="20"/>
          <w:szCs w:val="20"/>
        </w:rPr>
        <w:t>(</w:t>
      </w:r>
      <w:r w:rsidR="00434375" w:rsidRPr="00434375">
        <w:rPr>
          <w:sz w:val="20"/>
          <w:szCs w:val="20"/>
        </w:rPr>
        <w:t xml:space="preserve">Figure </w:t>
      </w:r>
      <w:r w:rsidR="006C1D71">
        <w:rPr>
          <w:sz w:val="20"/>
          <w:szCs w:val="20"/>
        </w:rPr>
        <w:t>4</w:t>
      </w:r>
      <w:r w:rsidR="00434375" w:rsidRPr="00434375">
        <w:rPr>
          <w:sz w:val="20"/>
          <w:szCs w:val="20"/>
        </w:rPr>
        <w:t xml:space="preserve"> and </w:t>
      </w:r>
      <w:r w:rsidR="006C1D71">
        <w:rPr>
          <w:sz w:val="20"/>
          <w:szCs w:val="20"/>
        </w:rPr>
        <w:t>5</w:t>
      </w:r>
      <w:r w:rsidR="00434375" w:rsidRPr="00434375">
        <w:rPr>
          <w:sz w:val="20"/>
          <w:szCs w:val="20"/>
        </w:rPr>
        <w:t xml:space="preserve">, photographs of </w:t>
      </w:r>
      <w:r w:rsidR="00434375">
        <w:rPr>
          <w:sz w:val="20"/>
          <w:szCs w:val="20"/>
        </w:rPr>
        <w:t xml:space="preserve">the </w:t>
      </w:r>
      <w:r w:rsidR="00434375" w:rsidRPr="00434375">
        <w:rPr>
          <w:sz w:val="20"/>
          <w:szCs w:val="20"/>
        </w:rPr>
        <w:t>groove at the back of the head</w:t>
      </w:r>
      <w:r>
        <w:rPr>
          <w:sz w:val="20"/>
          <w:szCs w:val="20"/>
        </w:rPr>
        <w:t>,</w:t>
      </w:r>
      <w:r w:rsidR="00434375" w:rsidRPr="00434375">
        <w:rPr>
          <w:sz w:val="20"/>
          <w:szCs w:val="20"/>
        </w:rPr>
        <w:t xml:space="preserve"> Jenkins, 2025).</w:t>
      </w:r>
    </w:p>
    <w:p w14:paraId="2A12E211" w14:textId="77777777" w:rsidR="003308BB" w:rsidRDefault="003308BB">
      <w:pPr>
        <w:rPr>
          <w:sz w:val="24"/>
          <w:szCs w:val="24"/>
        </w:rPr>
      </w:pPr>
    </w:p>
    <w:p w14:paraId="67FD98CA" w14:textId="2BDF2172" w:rsidR="00831092" w:rsidRDefault="00831092">
      <w:pPr>
        <w:rPr>
          <w:sz w:val="24"/>
          <w:szCs w:val="24"/>
        </w:rPr>
      </w:pPr>
      <w:r>
        <w:rPr>
          <w:sz w:val="24"/>
          <w:szCs w:val="24"/>
        </w:rPr>
        <w:t>A</w:t>
      </w:r>
      <w:r w:rsidR="006503BE">
        <w:rPr>
          <w:sz w:val="24"/>
          <w:szCs w:val="24"/>
        </w:rPr>
        <w:t xml:space="preserve"> visual examination</w:t>
      </w:r>
      <w:r>
        <w:rPr>
          <w:sz w:val="24"/>
          <w:szCs w:val="24"/>
        </w:rPr>
        <w:t xml:space="preserve"> of the clay fabric has concluded that it is of Egyptian marl clay, designated Marl A3 under the Vienna System (Arnold &amp; Bourriau,</w:t>
      </w:r>
      <w:r w:rsidR="00E4655F">
        <w:rPr>
          <w:sz w:val="24"/>
          <w:szCs w:val="24"/>
        </w:rPr>
        <w:t xml:space="preserve"> </w:t>
      </w:r>
      <w:r w:rsidR="00116FFE">
        <w:rPr>
          <w:sz w:val="24"/>
          <w:szCs w:val="24"/>
        </w:rPr>
        <w:t>1993</w:t>
      </w:r>
      <w:r w:rsidR="00200EB9">
        <w:rPr>
          <w:sz w:val="24"/>
          <w:szCs w:val="24"/>
        </w:rPr>
        <w:t>, pp.168-186, plate V).</w:t>
      </w:r>
    </w:p>
    <w:p w14:paraId="5D23ACD0" w14:textId="77777777" w:rsidR="000A5B19" w:rsidRDefault="00200EB9">
      <w:pPr>
        <w:rPr>
          <w:sz w:val="24"/>
          <w:szCs w:val="24"/>
        </w:rPr>
      </w:pPr>
      <w:r w:rsidRPr="00C028DE">
        <w:rPr>
          <w:b/>
          <w:bCs/>
          <w:sz w:val="24"/>
          <w:szCs w:val="24"/>
        </w:rPr>
        <w:t>Marl A3 clay</w:t>
      </w:r>
      <w:r w:rsidR="000A5B19">
        <w:rPr>
          <w:sz w:val="24"/>
          <w:szCs w:val="24"/>
        </w:rPr>
        <w:t>.</w:t>
      </w:r>
    </w:p>
    <w:p w14:paraId="74BB9D1E" w14:textId="1C94D94F" w:rsidR="00C028DE" w:rsidRDefault="00727707" w:rsidP="00C028DE">
      <w:pPr>
        <w:rPr>
          <w:sz w:val="24"/>
          <w:szCs w:val="24"/>
        </w:rPr>
      </w:pPr>
      <w:r w:rsidRPr="00727707">
        <w:rPr>
          <w:sz w:val="24"/>
          <w:szCs w:val="24"/>
        </w:rPr>
        <w:t>Marl clays are calcareous, meaning they are primarily composed of calcium carbonate, and they can be found in wadi deposits or in limestone and shales near the</w:t>
      </w:r>
      <w:r>
        <w:rPr>
          <w:sz w:val="24"/>
          <w:szCs w:val="24"/>
        </w:rPr>
        <w:t xml:space="preserve"> river</w:t>
      </w:r>
      <w:r w:rsidRPr="00727707">
        <w:rPr>
          <w:sz w:val="24"/>
          <w:szCs w:val="24"/>
        </w:rPr>
        <w:t xml:space="preserve"> Nile</w:t>
      </w:r>
      <w:r>
        <w:rPr>
          <w:sz w:val="24"/>
          <w:szCs w:val="24"/>
        </w:rPr>
        <w:t xml:space="preserve"> (Nicholson &amp; Shaw, 2009</w:t>
      </w:r>
      <w:r w:rsidR="00BB64AC">
        <w:rPr>
          <w:sz w:val="24"/>
          <w:szCs w:val="24"/>
        </w:rPr>
        <w:t>, pp.121-131)</w:t>
      </w:r>
      <w:r w:rsidRPr="00727707">
        <w:rPr>
          <w:sz w:val="24"/>
          <w:szCs w:val="24"/>
        </w:rPr>
        <w:t>.</w:t>
      </w:r>
      <w:r w:rsidR="00BB64AC">
        <w:rPr>
          <w:sz w:val="24"/>
          <w:szCs w:val="24"/>
        </w:rPr>
        <w:t xml:space="preserve"> </w:t>
      </w:r>
      <w:r w:rsidR="00BB64AC" w:rsidRPr="00BB64AC">
        <w:rPr>
          <w:sz w:val="24"/>
          <w:szCs w:val="24"/>
        </w:rPr>
        <w:t>Due to their high mineral salt content, marl clays typically fire to a cream or white colour, and their surface may appear to have a white slip covering</w:t>
      </w:r>
      <w:r w:rsidR="00BB64AC">
        <w:rPr>
          <w:sz w:val="24"/>
          <w:szCs w:val="24"/>
        </w:rPr>
        <w:t xml:space="preserve"> (Nicholson &amp; Shaw, 2009, pp.121-131)</w:t>
      </w:r>
      <w:r w:rsidR="00BB64AC" w:rsidRPr="00BB64AC">
        <w:rPr>
          <w:sz w:val="24"/>
          <w:szCs w:val="24"/>
        </w:rPr>
        <w:t xml:space="preserve">. </w:t>
      </w:r>
      <w:r w:rsidR="00C028DE" w:rsidRPr="00C028DE">
        <w:rPr>
          <w:sz w:val="24"/>
          <w:szCs w:val="24"/>
        </w:rPr>
        <w:t xml:space="preserve">This coating may take on the appearance of a </w:t>
      </w:r>
      <w:r w:rsidR="004B14DC">
        <w:rPr>
          <w:sz w:val="24"/>
          <w:szCs w:val="24"/>
        </w:rPr>
        <w:t xml:space="preserve">pale </w:t>
      </w:r>
      <w:r w:rsidR="00C028DE" w:rsidRPr="00C028DE">
        <w:rPr>
          <w:sz w:val="24"/>
          <w:szCs w:val="24"/>
        </w:rPr>
        <w:t>green</w:t>
      </w:r>
      <w:r w:rsidR="004B14DC">
        <w:rPr>
          <w:sz w:val="24"/>
          <w:szCs w:val="24"/>
        </w:rPr>
        <w:t>ish-grey</w:t>
      </w:r>
      <w:r w:rsidR="00C028DE" w:rsidRPr="00C028DE">
        <w:rPr>
          <w:sz w:val="24"/>
          <w:szCs w:val="24"/>
        </w:rPr>
        <w:t xml:space="preserve"> </w:t>
      </w:r>
      <w:r w:rsidR="004B14DC">
        <w:rPr>
          <w:sz w:val="24"/>
          <w:szCs w:val="24"/>
        </w:rPr>
        <w:t>colour</w:t>
      </w:r>
      <w:r w:rsidR="00C028DE" w:rsidRPr="00C028DE">
        <w:rPr>
          <w:sz w:val="24"/>
          <w:szCs w:val="24"/>
        </w:rPr>
        <w:t xml:space="preserve"> if </w:t>
      </w:r>
      <w:r w:rsidR="004B14DC">
        <w:rPr>
          <w:sz w:val="24"/>
          <w:szCs w:val="24"/>
        </w:rPr>
        <w:t>fired</w:t>
      </w:r>
      <w:r w:rsidR="00C028DE" w:rsidRPr="00C028DE">
        <w:rPr>
          <w:sz w:val="24"/>
          <w:szCs w:val="24"/>
        </w:rPr>
        <w:t xml:space="preserve"> at a high enough temperature</w:t>
      </w:r>
      <w:r w:rsidR="00C028DE">
        <w:rPr>
          <w:sz w:val="24"/>
          <w:szCs w:val="24"/>
        </w:rPr>
        <w:t xml:space="preserve"> (</w:t>
      </w:r>
      <w:r w:rsidR="004B14DC">
        <w:rPr>
          <w:sz w:val="24"/>
          <w:szCs w:val="24"/>
        </w:rPr>
        <w:t xml:space="preserve">Arnold &amp; Bourriau, </w:t>
      </w:r>
      <w:r w:rsidR="009F0B1D">
        <w:rPr>
          <w:sz w:val="24"/>
          <w:szCs w:val="24"/>
        </w:rPr>
        <w:t>1993</w:t>
      </w:r>
      <w:r w:rsidR="004B14DC">
        <w:rPr>
          <w:sz w:val="24"/>
          <w:szCs w:val="24"/>
        </w:rPr>
        <w:t xml:space="preserve">, p.177; </w:t>
      </w:r>
      <w:r w:rsidR="00C028DE">
        <w:rPr>
          <w:sz w:val="24"/>
          <w:szCs w:val="24"/>
        </w:rPr>
        <w:t>Nicholson &amp; Shaw, 2009, pp.121-131</w:t>
      </w:r>
      <w:r w:rsidR="00BA16AA">
        <w:rPr>
          <w:sz w:val="24"/>
          <w:szCs w:val="24"/>
        </w:rPr>
        <w:t xml:space="preserve">; </w:t>
      </w:r>
      <w:bookmarkStart w:id="0" w:name="_Hlk211346331"/>
      <w:r w:rsidR="00BA16AA">
        <w:rPr>
          <w:sz w:val="24"/>
          <w:szCs w:val="24"/>
        </w:rPr>
        <w:t xml:space="preserve">Rzeuska, </w:t>
      </w:r>
      <w:r w:rsidR="006555AB">
        <w:rPr>
          <w:sz w:val="24"/>
          <w:szCs w:val="24"/>
        </w:rPr>
        <w:t>2011</w:t>
      </w:r>
      <w:r w:rsidR="00BA16AA">
        <w:rPr>
          <w:sz w:val="24"/>
          <w:szCs w:val="24"/>
        </w:rPr>
        <w:t>,</w:t>
      </w:r>
      <w:r w:rsidR="006555AB">
        <w:rPr>
          <w:sz w:val="24"/>
          <w:szCs w:val="24"/>
        </w:rPr>
        <w:t xml:space="preserve"> </w:t>
      </w:r>
      <w:r w:rsidR="00BA16AA">
        <w:rPr>
          <w:sz w:val="24"/>
          <w:szCs w:val="24"/>
        </w:rPr>
        <w:t>pp.462-465</w:t>
      </w:r>
      <w:bookmarkEnd w:id="0"/>
      <w:r w:rsidR="00C028DE">
        <w:rPr>
          <w:sz w:val="24"/>
          <w:szCs w:val="24"/>
        </w:rPr>
        <w:t>).</w:t>
      </w:r>
    </w:p>
    <w:p w14:paraId="7B92DA18" w14:textId="3837E2A0" w:rsidR="00BA16AA" w:rsidRDefault="00C028DE" w:rsidP="00C028DE">
      <w:pPr>
        <w:rPr>
          <w:sz w:val="24"/>
          <w:szCs w:val="24"/>
        </w:rPr>
      </w:pPr>
      <w:r>
        <w:rPr>
          <w:sz w:val="24"/>
          <w:szCs w:val="24"/>
        </w:rPr>
        <w:lastRenderedPageBreak/>
        <w:t xml:space="preserve">Marl A fabrics </w:t>
      </w:r>
      <w:r w:rsidRPr="00C028DE">
        <w:rPr>
          <w:sz w:val="24"/>
          <w:szCs w:val="24"/>
        </w:rPr>
        <w:t>contain fine to medium-sized mineral inclusions within a solid, uniform matrix</w:t>
      </w:r>
      <w:r>
        <w:rPr>
          <w:sz w:val="24"/>
          <w:szCs w:val="24"/>
        </w:rPr>
        <w:t xml:space="preserve"> and t</w:t>
      </w:r>
      <w:r w:rsidRPr="00C028DE">
        <w:rPr>
          <w:sz w:val="24"/>
          <w:szCs w:val="24"/>
        </w:rPr>
        <w:t>hey are</w:t>
      </w:r>
      <w:r>
        <w:rPr>
          <w:sz w:val="24"/>
          <w:szCs w:val="24"/>
        </w:rPr>
        <w:t xml:space="preserve"> usually</w:t>
      </w:r>
      <w:r w:rsidRPr="00C028DE">
        <w:rPr>
          <w:sz w:val="24"/>
          <w:szCs w:val="24"/>
        </w:rPr>
        <w:t xml:space="preserve"> located in Upper Egypt, most likely in the Theban region</w:t>
      </w:r>
      <w:r>
        <w:rPr>
          <w:sz w:val="24"/>
          <w:szCs w:val="24"/>
        </w:rPr>
        <w:t xml:space="preserve"> (</w:t>
      </w:r>
      <w:r w:rsidR="004B14DC">
        <w:rPr>
          <w:sz w:val="24"/>
          <w:szCs w:val="24"/>
        </w:rPr>
        <w:t xml:space="preserve">Arnold &amp; Bourriau, </w:t>
      </w:r>
      <w:r w:rsidR="009F0B1D">
        <w:rPr>
          <w:sz w:val="24"/>
          <w:szCs w:val="24"/>
        </w:rPr>
        <w:t>(1993),</w:t>
      </w:r>
      <w:r w:rsidR="004B14DC">
        <w:rPr>
          <w:sz w:val="24"/>
          <w:szCs w:val="24"/>
        </w:rPr>
        <w:t xml:space="preserve"> p. 177; </w:t>
      </w:r>
      <w:r>
        <w:rPr>
          <w:sz w:val="24"/>
          <w:szCs w:val="24"/>
        </w:rPr>
        <w:t>Nicholson &amp; Shaw, 2009, p</w:t>
      </w:r>
      <w:r w:rsidRPr="00C028DE">
        <w:rPr>
          <w:sz w:val="24"/>
          <w:szCs w:val="24"/>
        </w:rPr>
        <w:t>.</w:t>
      </w:r>
      <w:r>
        <w:rPr>
          <w:sz w:val="24"/>
          <w:szCs w:val="24"/>
        </w:rPr>
        <w:t xml:space="preserve"> 131</w:t>
      </w:r>
      <w:r w:rsidR="00BA16AA">
        <w:rPr>
          <w:sz w:val="24"/>
          <w:szCs w:val="24"/>
        </w:rPr>
        <w:t>;</w:t>
      </w:r>
      <w:r w:rsidR="00BA16AA" w:rsidRPr="00BA16AA">
        <w:rPr>
          <w:sz w:val="24"/>
          <w:szCs w:val="24"/>
        </w:rPr>
        <w:t xml:space="preserve"> Rzeuska, </w:t>
      </w:r>
      <w:r w:rsidR="006555AB">
        <w:rPr>
          <w:sz w:val="24"/>
          <w:szCs w:val="24"/>
        </w:rPr>
        <w:t>2011</w:t>
      </w:r>
      <w:r w:rsidR="00BA16AA" w:rsidRPr="00BA16AA">
        <w:rPr>
          <w:sz w:val="24"/>
          <w:szCs w:val="24"/>
        </w:rPr>
        <w:t>, pp.462-465</w:t>
      </w:r>
      <w:r w:rsidR="00BA16AA">
        <w:rPr>
          <w:sz w:val="24"/>
          <w:szCs w:val="24"/>
        </w:rPr>
        <w:t xml:space="preserve"> </w:t>
      </w:r>
      <w:r>
        <w:rPr>
          <w:sz w:val="24"/>
          <w:szCs w:val="24"/>
        </w:rPr>
        <w:t>).</w:t>
      </w:r>
      <w:r w:rsidRPr="00C028DE">
        <w:rPr>
          <w:sz w:val="24"/>
          <w:szCs w:val="24"/>
        </w:rPr>
        <w:t xml:space="preserve"> </w:t>
      </w:r>
    </w:p>
    <w:p w14:paraId="46F5527F" w14:textId="6D64B992" w:rsidR="00BA16AA" w:rsidRPr="008A1A4D" w:rsidRDefault="00BA16AA" w:rsidP="00C028DE">
      <w:pPr>
        <w:rPr>
          <w:b/>
          <w:bCs/>
          <w:sz w:val="24"/>
          <w:szCs w:val="24"/>
        </w:rPr>
      </w:pPr>
      <w:r w:rsidRPr="008A1A4D">
        <w:rPr>
          <w:b/>
          <w:bCs/>
          <w:sz w:val="24"/>
          <w:szCs w:val="24"/>
        </w:rPr>
        <w:t>Purpose and meaning.</w:t>
      </w:r>
    </w:p>
    <w:p w14:paraId="532854AA" w14:textId="7E2B2497" w:rsidR="008A1A4D" w:rsidRDefault="009F0B1D" w:rsidP="008A1A4D">
      <w:pPr>
        <w:rPr>
          <w:sz w:val="24"/>
          <w:szCs w:val="24"/>
        </w:rPr>
      </w:pPr>
      <w:r>
        <w:rPr>
          <w:sz w:val="24"/>
          <w:szCs w:val="24"/>
        </w:rPr>
        <w:t>Little</w:t>
      </w:r>
      <w:r w:rsidR="000D4A6C">
        <w:rPr>
          <w:sz w:val="24"/>
          <w:szCs w:val="24"/>
        </w:rPr>
        <w:t xml:space="preserve"> research has been conducted in relation to these miniature heads and  therefore their true purpose is the subject of debate (Zinn, 2025</w:t>
      </w:r>
      <w:r w:rsidR="00E4655F">
        <w:rPr>
          <w:sz w:val="24"/>
          <w:szCs w:val="24"/>
        </w:rPr>
        <w:t>,</w:t>
      </w:r>
      <w:r w:rsidR="000D4A6C">
        <w:rPr>
          <w:sz w:val="24"/>
          <w:szCs w:val="24"/>
        </w:rPr>
        <w:t xml:space="preserve"> </w:t>
      </w:r>
      <w:r w:rsidR="000D4A6C" w:rsidRPr="00C12983">
        <w:rPr>
          <w:i/>
          <w:iCs/>
          <w:sz w:val="24"/>
          <w:szCs w:val="24"/>
        </w:rPr>
        <w:t>pers comm</w:t>
      </w:r>
      <w:r w:rsidR="000D4A6C">
        <w:rPr>
          <w:sz w:val="24"/>
          <w:szCs w:val="24"/>
        </w:rPr>
        <w:t xml:space="preserve">). </w:t>
      </w:r>
      <w:r w:rsidR="003C776F">
        <w:rPr>
          <w:sz w:val="24"/>
          <w:szCs w:val="24"/>
        </w:rPr>
        <w:t>The</w:t>
      </w:r>
      <w:r w:rsidR="00ED5DBC">
        <w:rPr>
          <w:sz w:val="24"/>
          <w:szCs w:val="24"/>
        </w:rPr>
        <w:t>y</w:t>
      </w:r>
      <w:r w:rsidR="003C776F">
        <w:rPr>
          <w:sz w:val="24"/>
          <w:szCs w:val="24"/>
        </w:rPr>
        <w:t xml:space="preserve"> have been associated with the ‘Rishi’ style </w:t>
      </w:r>
      <w:r w:rsidR="00FF4B5E">
        <w:rPr>
          <w:sz w:val="24"/>
          <w:szCs w:val="24"/>
        </w:rPr>
        <w:t xml:space="preserve">cartonnage </w:t>
      </w:r>
      <w:r w:rsidR="003C776F">
        <w:rPr>
          <w:sz w:val="24"/>
          <w:szCs w:val="24"/>
        </w:rPr>
        <w:t>coffin masks of the New Kingdom (</w:t>
      </w:r>
      <w:r w:rsidR="00FF4B5E">
        <w:rPr>
          <w:sz w:val="24"/>
          <w:szCs w:val="24"/>
        </w:rPr>
        <w:t>Dodson,1998, p. 93</w:t>
      </w:r>
      <w:r w:rsidR="006503BE">
        <w:rPr>
          <w:sz w:val="24"/>
          <w:szCs w:val="24"/>
        </w:rPr>
        <w:t>-99</w:t>
      </w:r>
      <w:r w:rsidR="00FF4B5E">
        <w:rPr>
          <w:sz w:val="24"/>
          <w:szCs w:val="24"/>
        </w:rPr>
        <w:t xml:space="preserve">; </w:t>
      </w:r>
      <w:r w:rsidR="003C776F">
        <w:rPr>
          <w:sz w:val="24"/>
          <w:szCs w:val="24"/>
        </w:rPr>
        <w:t>Garstang,</w:t>
      </w:r>
      <w:r w:rsidR="009E741F">
        <w:rPr>
          <w:sz w:val="24"/>
          <w:szCs w:val="24"/>
        </w:rPr>
        <w:t xml:space="preserve"> 1907,</w:t>
      </w:r>
      <w:r w:rsidR="003C776F">
        <w:rPr>
          <w:sz w:val="24"/>
          <w:szCs w:val="24"/>
        </w:rPr>
        <w:t xml:space="preserve"> pp. </w:t>
      </w:r>
      <w:r w:rsidR="00FF4B5E">
        <w:rPr>
          <w:sz w:val="24"/>
          <w:szCs w:val="24"/>
        </w:rPr>
        <w:t>1</w:t>
      </w:r>
      <w:r w:rsidR="003C776F">
        <w:rPr>
          <w:sz w:val="24"/>
          <w:szCs w:val="24"/>
        </w:rPr>
        <w:t>74-176</w:t>
      </w:r>
      <w:r w:rsidR="009E741F">
        <w:rPr>
          <w:sz w:val="24"/>
          <w:szCs w:val="24"/>
        </w:rPr>
        <w:t>; Lythgoe, 1917, pp.16-24</w:t>
      </w:r>
      <w:r w:rsidR="003C776F">
        <w:rPr>
          <w:sz w:val="24"/>
          <w:szCs w:val="24"/>
        </w:rPr>
        <w:t>).</w:t>
      </w:r>
      <w:r w:rsidR="009E741F">
        <w:rPr>
          <w:sz w:val="24"/>
          <w:szCs w:val="24"/>
        </w:rPr>
        <w:t xml:space="preserve"> </w:t>
      </w:r>
      <w:r w:rsidR="009E741F" w:rsidRPr="009E741F">
        <w:rPr>
          <w:sz w:val="24"/>
          <w:szCs w:val="24"/>
        </w:rPr>
        <w:t>Rishi coffins are anthropoid coffins; the word "Rishi" means "feathery" in Arabic</w:t>
      </w:r>
      <w:r w:rsidR="009E741F">
        <w:rPr>
          <w:sz w:val="24"/>
          <w:szCs w:val="24"/>
        </w:rPr>
        <w:t xml:space="preserve"> (Lythgoe, 1917, p.16)</w:t>
      </w:r>
      <w:r w:rsidR="009E741F" w:rsidRPr="009E741F">
        <w:rPr>
          <w:sz w:val="24"/>
          <w:szCs w:val="24"/>
        </w:rPr>
        <w:t>.</w:t>
      </w:r>
      <w:r w:rsidR="009E741F">
        <w:rPr>
          <w:sz w:val="24"/>
          <w:szCs w:val="24"/>
        </w:rPr>
        <w:t xml:space="preserve"> They have certain key characteristics, such as a </w:t>
      </w:r>
      <w:r w:rsidR="00FF4B5E">
        <w:rPr>
          <w:sz w:val="24"/>
          <w:szCs w:val="24"/>
        </w:rPr>
        <w:t>prominent</w:t>
      </w:r>
      <w:r w:rsidR="009E741F">
        <w:rPr>
          <w:sz w:val="24"/>
          <w:szCs w:val="24"/>
        </w:rPr>
        <w:t xml:space="preserve"> </w:t>
      </w:r>
      <w:r w:rsidR="00FF4B5E">
        <w:rPr>
          <w:sz w:val="24"/>
          <w:szCs w:val="24"/>
        </w:rPr>
        <w:t xml:space="preserve">feather pattern over the top and sides of the mask, which </w:t>
      </w:r>
      <w:r w:rsidR="00FF4B5E" w:rsidRPr="00FF4B5E">
        <w:rPr>
          <w:sz w:val="24"/>
          <w:szCs w:val="24"/>
        </w:rPr>
        <w:t>portray the deceased as a bird with a human head, its wings wrapped protectively along the body</w:t>
      </w:r>
      <w:r w:rsidR="008A1A4D">
        <w:rPr>
          <w:sz w:val="24"/>
          <w:szCs w:val="24"/>
        </w:rPr>
        <w:t>, with the miniature</w:t>
      </w:r>
      <w:r w:rsidR="00FF4B5E">
        <w:rPr>
          <w:sz w:val="24"/>
          <w:szCs w:val="24"/>
        </w:rPr>
        <w:t xml:space="preserve"> </w:t>
      </w:r>
      <w:r w:rsidR="008A1A4D">
        <w:rPr>
          <w:sz w:val="24"/>
          <w:szCs w:val="24"/>
        </w:rPr>
        <w:t xml:space="preserve">heads being </w:t>
      </w:r>
      <w:r w:rsidR="008A1A4D" w:rsidRPr="008A1A4D">
        <w:rPr>
          <w:sz w:val="24"/>
          <w:szCs w:val="24"/>
        </w:rPr>
        <w:t>entirely out of proportion to the mask's main features</w:t>
      </w:r>
      <w:r w:rsidR="008A1A4D">
        <w:rPr>
          <w:sz w:val="24"/>
          <w:szCs w:val="24"/>
        </w:rPr>
        <w:t xml:space="preserve"> </w:t>
      </w:r>
      <w:r w:rsidR="008A1A4D" w:rsidRPr="008A1A4D">
        <w:rPr>
          <w:sz w:val="24"/>
          <w:szCs w:val="24"/>
        </w:rPr>
        <w:t xml:space="preserve">(Dodson, 1998, pp. </w:t>
      </w:r>
      <w:r w:rsidR="00C46E56">
        <w:rPr>
          <w:sz w:val="24"/>
          <w:szCs w:val="24"/>
        </w:rPr>
        <w:t>93-</w:t>
      </w:r>
      <w:r w:rsidR="008A1A4D" w:rsidRPr="008A1A4D">
        <w:rPr>
          <w:sz w:val="24"/>
          <w:szCs w:val="24"/>
        </w:rPr>
        <w:t>99).</w:t>
      </w:r>
      <w:r w:rsidR="006C1D71">
        <w:rPr>
          <w:sz w:val="24"/>
          <w:szCs w:val="24"/>
        </w:rPr>
        <w:t xml:space="preserve"> Figure 6 below is a photograph of a Rishi style cartonnage mask with a miniature head currently at </w:t>
      </w:r>
      <w:r w:rsidR="00B14E8B">
        <w:rPr>
          <w:sz w:val="24"/>
          <w:szCs w:val="24"/>
        </w:rPr>
        <w:t>Liverpool Museum</w:t>
      </w:r>
      <w:r w:rsidR="006C1D71">
        <w:rPr>
          <w:sz w:val="24"/>
          <w:szCs w:val="24"/>
        </w:rPr>
        <w:t xml:space="preserve"> which has been dated to the New </w:t>
      </w:r>
      <w:r w:rsidR="00C57966">
        <w:rPr>
          <w:sz w:val="24"/>
          <w:szCs w:val="24"/>
        </w:rPr>
        <w:t>Kingdom and</w:t>
      </w:r>
      <w:r w:rsidR="006C1D71">
        <w:rPr>
          <w:sz w:val="24"/>
          <w:szCs w:val="24"/>
        </w:rPr>
        <w:t xml:space="preserve"> </w:t>
      </w:r>
      <w:r w:rsidR="0014194D">
        <w:rPr>
          <w:sz w:val="24"/>
          <w:szCs w:val="24"/>
        </w:rPr>
        <w:t xml:space="preserve">provides a </w:t>
      </w:r>
      <w:r w:rsidR="006C1D71">
        <w:rPr>
          <w:sz w:val="24"/>
          <w:szCs w:val="24"/>
        </w:rPr>
        <w:t>potential purpose f</w:t>
      </w:r>
      <w:r w:rsidR="0014194D">
        <w:rPr>
          <w:sz w:val="24"/>
          <w:szCs w:val="24"/>
        </w:rPr>
        <w:t>or</w:t>
      </w:r>
      <w:r w:rsidR="006C1D71">
        <w:rPr>
          <w:sz w:val="24"/>
          <w:szCs w:val="24"/>
        </w:rPr>
        <w:t xml:space="preserve"> the miniature head </w:t>
      </w:r>
      <w:r w:rsidR="0014194D">
        <w:rPr>
          <w:sz w:val="24"/>
          <w:szCs w:val="24"/>
        </w:rPr>
        <w:t xml:space="preserve">subject of this </w:t>
      </w:r>
      <w:r w:rsidR="00331E7E">
        <w:rPr>
          <w:sz w:val="24"/>
          <w:szCs w:val="24"/>
        </w:rPr>
        <w:t>catalogue and</w:t>
      </w:r>
      <w:r w:rsidR="009153C4">
        <w:rPr>
          <w:sz w:val="24"/>
          <w:szCs w:val="24"/>
        </w:rPr>
        <w:t xml:space="preserve"> </w:t>
      </w:r>
      <w:r w:rsidR="0014194D">
        <w:rPr>
          <w:sz w:val="24"/>
          <w:szCs w:val="24"/>
        </w:rPr>
        <w:t xml:space="preserve">held </w:t>
      </w:r>
      <w:r w:rsidR="006C1D71">
        <w:rPr>
          <w:sz w:val="24"/>
          <w:szCs w:val="24"/>
        </w:rPr>
        <w:t>at Cyfarthfa Castle Museum.</w:t>
      </w:r>
    </w:p>
    <w:p w14:paraId="4BCBFCD3" w14:textId="3662CF64" w:rsidR="006C1D71" w:rsidRDefault="006C1D71" w:rsidP="006C1D71">
      <w:pPr>
        <w:jc w:val="center"/>
        <w:rPr>
          <w:sz w:val="24"/>
          <w:szCs w:val="24"/>
        </w:rPr>
      </w:pPr>
      <w:r>
        <w:rPr>
          <w:noProof/>
          <w:sz w:val="24"/>
          <w:szCs w:val="24"/>
        </w:rPr>
        <w:drawing>
          <wp:inline distT="0" distB="0" distL="0" distR="0" wp14:anchorId="07BB0978" wp14:editId="680FDB0F">
            <wp:extent cx="3194019" cy="4667250"/>
            <wp:effectExtent l="0" t="0" r="6985" b="0"/>
            <wp:docPr id="1736585536" name="Picture 9" descr="A close-up of a stat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585536" name="Picture 9" descr="A close-up of a statu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219419" cy="4704365"/>
                    </a:xfrm>
                    <a:prstGeom prst="rect">
                      <a:avLst/>
                    </a:prstGeom>
                  </pic:spPr>
                </pic:pic>
              </a:graphicData>
            </a:graphic>
          </wp:inline>
        </w:drawing>
      </w:r>
    </w:p>
    <w:p w14:paraId="59E24B6C" w14:textId="5CD9BBA9" w:rsidR="002216CA" w:rsidRPr="0014194D" w:rsidRDefault="006C1D71" w:rsidP="0014194D">
      <w:pPr>
        <w:jc w:val="center"/>
        <w:rPr>
          <w:sz w:val="20"/>
          <w:szCs w:val="20"/>
        </w:rPr>
      </w:pPr>
      <w:r w:rsidRPr="0014194D">
        <w:rPr>
          <w:sz w:val="20"/>
          <w:szCs w:val="20"/>
        </w:rPr>
        <w:t>(Figure 6, rishi-style mummy mask</w:t>
      </w:r>
      <w:r w:rsidR="00DE4A44">
        <w:rPr>
          <w:sz w:val="20"/>
          <w:szCs w:val="20"/>
        </w:rPr>
        <w:t>.</w:t>
      </w:r>
      <w:r w:rsidR="0014194D" w:rsidRPr="0014194D">
        <w:rPr>
          <w:sz w:val="20"/>
          <w:szCs w:val="20"/>
        </w:rPr>
        <w:t xml:space="preserve"> National Museums Liverpool, 2025).</w:t>
      </w:r>
    </w:p>
    <w:p w14:paraId="3ECDF219" w14:textId="1D127C12" w:rsidR="000D4A6C" w:rsidRDefault="00C64568" w:rsidP="000D4A6C">
      <w:pPr>
        <w:rPr>
          <w:sz w:val="24"/>
          <w:szCs w:val="24"/>
        </w:rPr>
      </w:pPr>
      <w:r w:rsidRPr="00C64568">
        <w:rPr>
          <w:sz w:val="24"/>
          <w:szCs w:val="24"/>
        </w:rPr>
        <w:lastRenderedPageBreak/>
        <w:t>It has been proposed that the little head symbolised the bird's beak due to the arrangement of the feathers surrounding the face</w:t>
      </w:r>
      <w:r>
        <w:rPr>
          <w:sz w:val="24"/>
          <w:szCs w:val="24"/>
        </w:rPr>
        <w:t xml:space="preserve"> (Ikram &amp; Dodson, 1998, p.169)</w:t>
      </w:r>
      <w:r w:rsidRPr="00C64568">
        <w:rPr>
          <w:sz w:val="24"/>
          <w:szCs w:val="24"/>
        </w:rPr>
        <w:t>.</w:t>
      </w:r>
      <w:r>
        <w:rPr>
          <w:sz w:val="24"/>
          <w:szCs w:val="24"/>
        </w:rPr>
        <w:t xml:space="preserve"> </w:t>
      </w:r>
      <w:r w:rsidR="000D4A6C">
        <w:rPr>
          <w:sz w:val="24"/>
          <w:szCs w:val="24"/>
        </w:rPr>
        <w:t>I</w:t>
      </w:r>
      <w:r>
        <w:rPr>
          <w:sz w:val="24"/>
          <w:szCs w:val="24"/>
        </w:rPr>
        <w:t>t has also been proposed that t</w:t>
      </w:r>
      <w:r w:rsidRPr="00C64568">
        <w:rPr>
          <w:sz w:val="24"/>
          <w:szCs w:val="24"/>
        </w:rPr>
        <w:t xml:space="preserve">he </w:t>
      </w:r>
      <w:r>
        <w:rPr>
          <w:sz w:val="24"/>
          <w:szCs w:val="24"/>
        </w:rPr>
        <w:t>masks</w:t>
      </w:r>
      <w:r w:rsidRPr="00C64568">
        <w:rPr>
          <w:sz w:val="24"/>
          <w:szCs w:val="24"/>
        </w:rPr>
        <w:t>' overall design appears to have dictated the small face more so than a current style</w:t>
      </w:r>
      <w:r>
        <w:rPr>
          <w:sz w:val="24"/>
          <w:szCs w:val="24"/>
        </w:rPr>
        <w:t xml:space="preserve"> (Garstang, 19</w:t>
      </w:r>
      <w:r w:rsidR="002216CA">
        <w:rPr>
          <w:sz w:val="24"/>
          <w:szCs w:val="24"/>
        </w:rPr>
        <w:t>0</w:t>
      </w:r>
      <w:r>
        <w:rPr>
          <w:sz w:val="24"/>
          <w:szCs w:val="24"/>
        </w:rPr>
        <w:t>7, p.176)</w:t>
      </w:r>
      <w:r w:rsidRPr="00C64568">
        <w:rPr>
          <w:sz w:val="24"/>
          <w:szCs w:val="24"/>
        </w:rPr>
        <w:t>.</w:t>
      </w:r>
      <w:r w:rsidR="000D4A6C">
        <w:rPr>
          <w:sz w:val="24"/>
          <w:szCs w:val="24"/>
        </w:rPr>
        <w:t xml:space="preserve"> However, t</w:t>
      </w:r>
      <w:r w:rsidR="000D4A6C" w:rsidRPr="000D4A6C">
        <w:rPr>
          <w:sz w:val="24"/>
          <w:szCs w:val="24"/>
        </w:rPr>
        <w:t xml:space="preserve">he placement of the wing feathers along the side of the face would suggest that the whole mask was intended to depict a human-headed bird, or </w:t>
      </w:r>
      <w:r w:rsidR="000D4A6C" w:rsidRPr="000D4A6C">
        <w:rPr>
          <w:i/>
          <w:iCs/>
          <w:sz w:val="24"/>
          <w:szCs w:val="24"/>
        </w:rPr>
        <w:t>ba</w:t>
      </w:r>
      <w:r w:rsidR="000D4A6C">
        <w:rPr>
          <w:i/>
          <w:iCs/>
          <w:sz w:val="24"/>
          <w:szCs w:val="24"/>
        </w:rPr>
        <w:t xml:space="preserve"> </w:t>
      </w:r>
      <w:r w:rsidR="000D4A6C" w:rsidRPr="000D4A6C">
        <w:rPr>
          <w:sz w:val="24"/>
          <w:szCs w:val="24"/>
        </w:rPr>
        <w:t>(Ikram &amp; Dodson, 1998, p. 169).</w:t>
      </w:r>
    </w:p>
    <w:p w14:paraId="6E1EC70A" w14:textId="3B024F4A" w:rsidR="006C73BB" w:rsidRDefault="00ED5DBC" w:rsidP="006C73BB">
      <w:pPr>
        <w:rPr>
          <w:sz w:val="24"/>
          <w:szCs w:val="24"/>
        </w:rPr>
      </w:pPr>
      <w:r>
        <w:rPr>
          <w:sz w:val="24"/>
          <w:szCs w:val="24"/>
        </w:rPr>
        <w:t xml:space="preserve">The concept of the </w:t>
      </w:r>
      <w:r w:rsidRPr="00E4655F">
        <w:rPr>
          <w:i/>
          <w:iCs/>
          <w:sz w:val="24"/>
          <w:szCs w:val="24"/>
        </w:rPr>
        <w:t>ba</w:t>
      </w:r>
      <w:r>
        <w:rPr>
          <w:sz w:val="24"/>
          <w:szCs w:val="24"/>
        </w:rPr>
        <w:t xml:space="preserve"> in ancient Egyptian funerary practices was highly significant</w:t>
      </w:r>
      <w:r w:rsidR="006C73BB">
        <w:rPr>
          <w:sz w:val="24"/>
          <w:szCs w:val="24"/>
        </w:rPr>
        <w:t xml:space="preserve">, with the </w:t>
      </w:r>
      <w:r w:rsidR="006C73BB" w:rsidRPr="006C73BB">
        <w:rPr>
          <w:i/>
          <w:iCs/>
          <w:sz w:val="24"/>
          <w:szCs w:val="24"/>
        </w:rPr>
        <w:t>ba</w:t>
      </w:r>
      <w:r w:rsidR="00A5332F" w:rsidRPr="006C73BB">
        <w:rPr>
          <w:i/>
          <w:iCs/>
          <w:sz w:val="24"/>
          <w:szCs w:val="24"/>
        </w:rPr>
        <w:t xml:space="preserve"> </w:t>
      </w:r>
      <w:r w:rsidR="006C73BB" w:rsidRPr="006C73BB">
        <w:rPr>
          <w:sz w:val="24"/>
          <w:szCs w:val="24"/>
        </w:rPr>
        <w:t>being</w:t>
      </w:r>
      <w:r w:rsidR="006C73BB">
        <w:rPr>
          <w:i/>
          <w:iCs/>
          <w:sz w:val="24"/>
          <w:szCs w:val="24"/>
        </w:rPr>
        <w:t xml:space="preserve"> </w:t>
      </w:r>
      <w:r w:rsidR="00A5332F" w:rsidRPr="00A5332F">
        <w:rPr>
          <w:sz w:val="24"/>
          <w:szCs w:val="24"/>
        </w:rPr>
        <w:t>viewed as a moving spirit that embodied the deceased's personality or soul</w:t>
      </w:r>
      <w:r w:rsidR="00A5332F">
        <w:rPr>
          <w:sz w:val="24"/>
          <w:szCs w:val="24"/>
        </w:rPr>
        <w:t xml:space="preserve"> (</w:t>
      </w:r>
      <w:r w:rsidR="006C73BB">
        <w:rPr>
          <w:sz w:val="24"/>
          <w:szCs w:val="24"/>
        </w:rPr>
        <w:t xml:space="preserve">Taylor, 2001, pp. 20-23; </w:t>
      </w:r>
      <w:r w:rsidR="00A5332F">
        <w:rPr>
          <w:sz w:val="24"/>
          <w:szCs w:val="24"/>
        </w:rPr>
        <w:t>Tyldesley, 2011, p.114)</w:t>
      </w:r>
      <w:r w:rsidR="00A5332F" w:rsidRPr="00A5332F">
        <w:rPr>
          <w:sz w:val="24"/>
          <w:szCs w:val="24"/>
        </w:rPr>
        <w:t>.</w:t>
      </w:r>
      <w:r w:rsidR="006C73BB">
        <w:rPr>
          <w:sz w:val="24"/>
          <w:szCs w:val="24"/>
        </w:rPr>
        <w:t xml:space="preserve"> </w:t>
      </w:r>
      <w:r w:rsidR="006C73BB" w:rsidRPr="006C73BB">
        <w:rPr>
          <w:sz w:val="24"/>
          <w:szCs w:val="24"/>
        </w:rPr>
        <w:t>Frequently portrayed as a bird with a human head,</w:t>
      </w:r>
      <w:r w:rsidR="0046645E">
        <w:rPr>
          <w:sz w:val="24"/>
          <w:szCs w:val="24"/>
        </w:rPr>
        <w:t xml:space="preserve"> (Figure </w:t>
      </w:r>
      <w:r w:rsidR="00C57966">
        <w:rPr>
          <w:sz w:val="24"/>
          <w:szCs w:val="24"/>
        </w:rPr>
        <w:t>7</w:t>
      </w:r>
      <w:r w:rsidR="0046645E">
        <w:rPr>
          <w:sz w:val="24"/>
          <w:szCs w:val="24"/>
        </w:rPr>
        <w:t>),</w:t>
      </w:r>
      <w:r w:rsidR="006C73BB" w:rsidRPr="006C73BB">
        <w:rPr>
          <w:sz w:val="24"/>
          <w:szCs w:val="24"/>
        </w:rPr>
        <w:t xml:space="preserve"> </w:t>
      </w:r>
      <w:r w:rsidR="006C73BB">
        <w:rPr>
          <w:sz w:val="24"/>
          <w:szCs w:val="24"/>
        </w:rPr>
        <w:t xml:space="preserve">the </w:t>
      </w:r>
      <w:r w:rsidR="006C73BB" w:rsidRPr="006C73BB">
        <w:rPr>
          <w:i/>
          <w:iCs/>
          <w:sz w:val="24"/>
          <w:szCs w:val="24"/>
        </w:rPr>
        <w:t>ba</w:t>
      </w:r>
      <w:r w:rsidR="006C73BB" w:rsidRPr="006C73BB">
        <w:rPr>
          <w:sz w:val="24"/>
          <w:szCs w:val="24"/>
        </w:rPr>
        <w:t xml:space="preserve"> resided in a deceased person's tomb </w:t>
      </w:r>
      <w:r w:rsidR="002309E8">
        <w:rPr>
          <w:sz w:val="24"/>
          <w:szCs w:val="24"/>
        </w:rPr>
        <w:t>and</w:t>
      </w:r>
      <w:r w:rsidR="006C73BB" w:rsidRPr="006C73BB">
        <w:rPr>
          <w:sz w:val="24"/>
          <w:szCs w:val="24"/>
        </w:rPr>
        <w:t xml:space="preserve"> had the ability to fly to the world of the </w:t>
      </w:r>
      <w:r w:rsidR="002309E8" w:rsidRPr="006C73BB">
        <w:rPr>
          <w:sz w:val="24"/>
          <w:szCs w:val="24"/>
        </w:rPr>
        <w:t>living</w:t>
      </w:r>
      <w:r w:rsidR="002309E8">
        <w:rPr>
          <w:sz w:val="24"/>
          <w:szCs w:val="24"/>
        </w:rPr>
        <w:t xml:space="preserve"> during the day where it could feed itself, but</w:t>
      </w:r>
      <w:r w:rsidR="007E5F85">
        <w:rPr>
          <w:sz w:val="24"/>
          <w:szCs w:val="24"/>
        </w:rPr>
        <w:t xml:space="preserve"> had to </w:t>
      </w:r>
      <w:r w:rsidR="006C73BB">
        <w:rPr>
          <w:sz w:val="24"/>
          <w:szCs w:val="24"/>
        </w:rPr>
        <w:t>return to the tomb at night to be reunited with the deceased’s body</w:t>
      </w:r>
      <w:r w:rsidR="007E5F85">
        <w:rPr>
          <w:sz w:val="24"/>
          <w:szCs w:val="24"/>
        </w:rPr>
        <w:t xml:space="preserve">, otherwise the </w:t>
      </w:r>
      <w:r w:rsidR="007E5F85" w:rsidRPr="007E5F85">
        <w:rPr>
          <w:sz w:val="24"/>
          <w:szCs w:val="24"/>
        </w:rPr>
        <w:t>deceased would perish</w:t>
      </w:r>
      <w:r w:rsidR="006C73BB">
        <w:rPr>
          <w:sz w:val="24"/>
          <w:szCs w:val="24"/>
        </w:rPr>
        <w:t xml:space="preserve"> (Taylor, 2011, pp. 20-23; Tyldesley, 2011, p. 114)</w:t>
      </w:r>
      <w:r w:rsidR="006C73BB" w:rsidRPr="006C73BB">
        <w:rPr>
          <w:sz w:val="24"/>
          <w:szCs w:val="24"/>
        </w:rPr>
        <w:t>.</w:t>
      </w:r>
    </w:p>
    <w:p w14:paraId="2CA9F0A9" w14:textId="0E825C30" w:rsidR="0046645E" w:rsidRDefault="0046645E" w:rsidP="0046645E">
      <w:pPr>
        <w:jc w:val="center"/>
        <w:rPr>
          <w:sz w:val="24"/>
          <w:szCs w:val="24"/>
        </w:rPr>
      </w:pPr>
      <w:r w:rsidRPr="0046645E">
        <w:rPr>
          <w:noProof/>
          <w:sz w:val="24"/>
          <w:szCs w:val="24"/>
        </w:rPr>
        <w:drawing>
          <wp:inline distT="0" distB="0" distL="0" distR="0" wp14:anchorId="593E75EA" wp14:editId="12FDAC4B">
            <wp:extent cx="2616200" cy="3009047"/>
            <wp:effectExtent l="0" t="0" r="0" b="1270"/>
            <wp:docPr id="670932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30283" cy="3025244"/>
                    </a:xfrm>
                    <a:prstGeom prst="rect">
                      <a:avLst/>
                    </a:prstGeom>
                    <a:noFill/>
                    <a:ln>
                      <a:noFill/>
                    </a:ln>
                  </pic:spPr>
                </pic:pic>
              </a:graphicData>
            </a:graphic>
          </wp:inline>
        </w:drawing>
      </w:r>
    </w:p>
    <w:p w14:paraId="7D2C1026" w14:textId="18D23660" w:rsidR="00B14E8B" w:rsidRDefault="0046645E" w:rsidP="0046645E">
      <w:pPr>
        <w:jc w:val="center"/>
        <w:rPr>
          <w:sz w:val="20"/>
          <w:szCs w:val="20"/>
        </w:rPr>
      </w:pPr>
      <w:r w:rsidRPr="0046645E">
        <w:rPr>
          <w:sz w:val="20"/>
          <w:szCs w:val="20"/>
        </w:rPr>
        <w:t xml:space="preserve">Figure  </w:t>
      </w:r>
      <w:r w:rsidR="00C57966">
        <w:rPr>
          <w:sz w:val="20"/>
          <w:szCs w:val="20"/>
        </w:rPr>
        <w:t>7</w:t>
      </w:r>
      <w:r w:rsidRPr="0046645E">
        <w:rPr>
          <w:sz w:val="20"/>
          <w:szCs w:val="20"/>
        </w:rPr>
        <w:t xml:space="preserve">,  </w:t>
      </w:r>
      <w:r w:rsidRPr="0046645E">
        <w:rPr>
          <w:i/>
          <w:iCs/>
          <w:sz w:val="20"/>
          <w:szCs w:val="20"/>
        </w:rPr>
        <w:t>Nefertari, beloved Great Royal Wife of Ramesses the Great, depicted in Ba Bird</w:t>
      </w:r>
      <w:r w:rsidR="00116FFE">
        <w:rPr>
          <w:i/>
          <w:iCs/>
          <w:sz w:val="20"/>
          <w:szCs w:val="20"/>
        </w:rPr>
        <w:t xml:space="preserve">.  </w:t>
      </w:r>
      <w:r w:rsidRPr="0046645E">
        <w:rPr>
          <w:sz w:val="20"/>
          <w:szCs w:val="20"/>
        </w:rPr>
        <w:t>Egypt Museum, 2025).</w:t>
      </w:r>
    </w:p>
    <w:p w14:paraId="50CAEEF6" w14:textId="3F7BD88F" w:rsidR="00781C84" w:rsidRDefault="00B14E8B" w:rsidP="000D4A6C">
      <w:pPr>
        <w:rPr>
          <w:sz w:val="24"/>
          <w:szCs w:val="24"/>
        </w:rPr>
      </w:pPr>
      <w:r>
        <w:rPr>
          <w:sz w:val="24"/>
          <w:szCs w:val="24"/>
        </w:rPr>
        <w:t xml:space="preserve">Similar miniature heads have been found at other sites in Egypt, with the current consensus of opinion being that they are a feature of rishi masks from the </w:t>
      </w:r>
      <w:r w:rsidR="00C57966">
        <w:rPr>
          <w:sz w:val="24"/>
          <w:szCs w:val="24"/>
        </w:rPr>
        <w:t>N</w:t>
      </w:r>
      <w:r>
        <w:rPr>
          <w:sz w:val="24"/>
          <w:szCs w:val="24"/>
        </w:rPr>
        <w:t>ew Kingdom period (Dodson,1998, pp. 93-99; Serrano, et al, 2013, pp. 7-16).</w:t>
      </w:r>
      <w:r w:rsidR="00C57966">
        <w:rPr>
          <w:sz w:val="24"/>
          <w:szCs w:val="24"/>
        </w:rPr>
        <w:t xml:space="preserve"> Figure 8 is a photograph of a mask with miniature head found during excavations in 2013 at Qubbett el- Hawa. </w:t>
      </w:r>
    </w:p>
    <w:p w14:paraId="6471955C" w14:textId="1A99E04F" w:rsidR="00781C84" w:rsidRDefault="00B14E8B" w:rsidP="000D4A6C">
      <w:pPr>
        <w:rPr>
          <w:sz w:val="24"/>
          <w:szCs w:val="24"/>
        </w:rPr>
      </w:pPr>
      <w:r>
        <w:rPr>
          <w:sz w:val="24"/>
          <w:szCs w:val="24"/>
        </w:rPr>
        <w:t>It is therefore quite probable that the miniature clay head</w:t>
      </w:r>
      <w:r w:rsidR="00C57966">
        <w:rPr>
          <w:sz w:val="24"/>
          <w:szCs w:val="24"/>
        </w:rPr>
        <w:t xml:space="preserve"> at Cyfarthfa Castle Museum was originally part of a rishi style cartonnage mask, created during the New Kingdom period in ancient Egypt and epitomises the funerary culture and belief</w:t>
      </w:r>
      <w:r w:rsidR="00F745E1">
        <w:rPr>
          <w:sz w:val="24"/>
          <w:szCs w:val="24"/>
        </w:rPr>
        <w:t>s</w:t>
      </w:r>
      <w:r w:rsidR="00C57966">
        <w:rPr>
          <w:sz w:val="24"/>
          <w:szCs w:val="24"/>
        </w:rPr>
        <w:t xml:space="preserve"> </w:t>
      </w:r>
      <w:r w:rsidR="00F745E1">
        <w:rPr>
          <w:sz w:val="24"/>
          <w:szCs w:val="24"/>
        </w:rPr>
        <w:t>of</w:t>
      </w:r>
      <w:r w:rsidR="00C57966">
        <w:rPr>
          <w:sz w:val="24"/>
          <w:szCs w:val="24"/>
        </w:rPr>
        <w:t xml:space="preserve"> the time.</w:t>
      </w:r>
    </w:p>
    <w:p w14:paraId="675C8720" w14:textId="77777777" w:rsidR="00C57966" w:rsidRDefault="00C57966" w:rsidP="000D4A6C">
      <w:pPr>
        <w:rPr>
          <w:sz w:val="24"/>
          <w:szCs w:val="24"/>
        </w:rPr>
      </w:pPr>
    </w:p>
    <w:p w14:paraId="40D4E5B4" w14:textId="77777777" w:rsidR="00C57966" w:rsidRDefault="00C57966" w:rsidP="000D4A6C">
      <w:pPr>
        <w:rPr>
          <w:sz w:val="24"/>
          <w:szCs w:val="24"/>
        </w:rPr>
      </w:pPr>
    </w:p>
    <w:p w14:paraId="4F6050E4" w14:textId="77777777" w:rsidR="00C57966" w:rsidRDefault="00C57966" w:rsidP="000D4A6C">
      <w:pPr>
        <w:rPr>
          <w:sz w:val="24"/>
          <w:szCs w:val="24"/>
        </w:rPr>
      </w:pPr>
    </w:p>
    <w:p w14:paraId="15F179BB" w14:textId="503036F1" w:rsidR="00C57966" w:rsidRPr="000D4A6C" w:rsidRDefault="00C57966" w:rsidP="00C57966">
      <w:pPr>
        <w:jc w:val="center"/>
        <w:rPr>
          <w:sz w:val="24"/>
          <w:szCs w:val="24"/>
        </w:rPr>
      </w:pPr>
      <w:r>
        <w:rPr>
          <w:noProof/>
          <w:sz w:val="24"/>
          <w:szCs w:val="24"/>
        </w:rPr>
        <w:lastRenderedPageBreak/>
        <w:drawing>
          <wp:inline distT="0" distB="0" distL="0" distR="0" wp14:anchorId="64B88A73" wp14:editId="7BC20628">
            <wp:extent cx="5264150" cy="3663209"/>
            <wp:effectExtent l="0" t="0" r="0" b="0"/>
            <wp:docPr id="769830500" name="Picture 1" descr="A hand touching a stat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830500" name="Picture 1" descr="A hand touching a statu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286029" cy="3678434"/>
                    </a:xfrm>
                    <a:prstGeom prst="rect">
                      <a:avLst/>
                    </a:prstGeom>
                  </pic:spPr>
                </pic:pic>
              </a:graphicData>
            </a:graphic>
          </wp:inline>
        </w:drawing>
      </w:r>
    </w:p>
    <w:p w14:paraId="1C4D018A" w14:textId="3050ABEE" w:rsidR="00C64568" w:rsidRPr="00C57966" w:rsidRDefault="00C57966" w:rsidP="00C64568">
      <w:pPr>
        <w:rPr>
          <w:sz w:val="20"/>
          <w:szCs w:val="20"/>
        </w:rPr>
      </w:pPr>
      <w:r w:rsidRPr="00C57966">
        <w:rPr>
          <w:sz w:val="20"/>
          <w:szCs w:val="20"/>
        </w:rPr>
        <w:t>(Figure 8. Photograph of a miniature head in a rishi style cartonnage found at Qubbet el-Hawa</w:t>
      </w:r>
      <w:r w:rsidR="00DE4A44">
        <w:rPr>
          <w:sz w:val="20"/>
          <w:szCs w:val="20"/>
        </w:rPr>
        <w:t>.</w:t>
      </w:r>
      <w:r w:rsidRPr="00C57966">
        <w:rPr>
          <w:sz w:val="20"/>
          <w:szCs w:val="20"/>
        </w:rPr>
        <w:t xml:space="preserve"> Serrano, 2013).</w:t>
      </w:r>
    </w:p>
    <w:p w14:paraId="4B32C7C7" w14:textId="77777777" w:rsidR="003308BB" w:rsidRDefault="003308BB" w:rsidP="00C64568">
      <w:pPr>
        <w:rPr>
          <w:b/>
          <w:bCs/>
          <w:sz w:val="24"/>
          <w:szCs w:val="24"/>
        </w:rPr>
      </w:pPr>
    </w:p>
    <w:p w14:paraId="20EE748A" w14:textId="31775CE0" w:rsidR="00F745E1" w:rsidRPr="00F745E1" w:rsidRDefault="00F745E1" w:rsidP="00C64568">
      <w:pPr>
        <w:rPr>
          <w:b/>
          <w:bCs/>
          <w:sz w:val="24"/>
          <w:szCs w:val="24"/>
        </w:rPr>
      </w:pPr>
      <w:r w:rsidRPr="00F745E1">
        <w:rPr>
          <w:b/>
          <w:bCs/>
          <w:sz w:val="24"/>
          <w:szCs w:val="24"/>
        </w:rPr>
        <w:t>Photographs.</w:t>
      </w:r>
    </w:p>
    <w:p w14:paraId="562CA7A1" w14:textId="592DC91D" w:rsidR="00F745E1" w:rsidRPr="002E2E69" w:rsidRDefault="00F745E1" w:rsidP="00C64568">
      <w:pPr>
        <w:rPr>
          <w:b/>
          <w:bCs/>
          <w:sz w:val="24"/>
          <w:szCs w:val="24"/>
        </w:rPr>
      </w:pPr>
      <w:r>
        <w:rPr>
          <w:sz w:val="24"/>
          <w:szCs w:val="24"/>
        </w:rPr>
        <w:t>Jenkins, G. (2025). Photographs of Ancient Egyptian miniature clay head. (Not published).</w:t>
      </w:r>
    </w:p>
    <w:p w14:paraId="38B28398" w14:textId="30574220" w:rsidR="00F745E1" w:rsidRPr="002E2E69" w:rsidRDefault="00F745E1" w:rsidP="00C64568">
      <w:pPr>
        <w:rPr>
          <w:b/>
          <w:bCs/>
          <w:sz w:val="24"/>
          <w:szCs w:val="24"/>
        </w:rPr>
      </w:pPr>
      <w:r w:rsidRPr="002E2E69">
        <w:rPr>
          <w:b/>
          <w:bCs/>
          <w:sz w:val="24"/>
          <w:szCs w:val="24"/>
        </w:rPr>
        <w:t>Bibliography.</w:t>
      </w:r>
    </w:p>
    <w:p w14:paraId="0EF2D264" w14:textId="540F8955" w:rsidR="009F0B1D" w:rsidRDefault="009F0B1D" w:rsidP="002E2E69">
      <w:pPr>
        <w:rPr>
          <w:sz w:val="24"/>
          <w:szCs w:val="24"/>
        </w:rPr>
      </w:pPr>
      <w:r w:rsidRPr="009F0B1D">
        <w:rPr>
          <w:sz w:val="24"/>
          <w:szCs w:val="24"/>
        </w:rPr>
        <w:t xml:space="preserve">Arnold, D. and Bourriau, J. (Eds). (1993). </w:t>
      </w:r>
      <w:r w:rsidRPr="009F0B1D">
        <w:rPr>
          <w:i/>
          <w:iCs/>
          <w:sz w:val="24"/>
          <w:szCs w:val="24"/>
        </w:rPr>
        <w:t>An Introduction to Ancient Egyptian Pottery</w:t>
      </w:r>
      <w:r w:rsidRPr="009F0B1D">
        <w:rPr>
          <w:sz w:val="24"/>
          <w:szCs w:val="24"/>
        </w:rPr>
        <w:t xml:space="preserve">. </w:t>
      </w:r>
      <w:r w:rsidR="006555AB">
        <w:rPr>
          <w:sz w:val="24"/>
          <w:szCs w:val="24"/>
        </w:rPr>
        <w:t xml:space="preserve">Mainz: </w:t>
      </w:r>
      <w:r w:rsidRPr="009F0B1D">
        <w:rPr>
          <w:sz w:val="24"/>
          <w:szCs w:val="24"/>
        </w:rPr>
        <w:t>Verlag Philipp von Zabern.</w:t>
      </w:r>
    </w:p>
    <w:p w14:paraId="6AD9B587" w14:textId="07400EC4" w:rsidR="002E2E69" w:rsidRPr="002E2E69" w:rsidRDefault="002E2E69" w:rsidP="002E2E69">
      <w:pPr>
        <w:rPr>
          <w:sz w:val="24"/>
          <w:szCs w:val="24"/>
        </w:rPr>
      </w:pPr>
      <w:r w:rsidRPr="002E2E69">
        <w:rPr>
          <w:sz w:val="24"/>
          <w:szCs w:val="24"/>
        </w:rPr>
        <w:t>Bourriau, J. D., and P. T. Nicholson.</w:t>
      </w:r>
      <w:r w:rsidR="006555AB">
        <w:rPr>
          <w:sz w:val="24"/>
          <w:szCs w:val="24"/>
        </w:rPr>
        <w:t xml:space="preserve"> (1992).</w:t>
      </w:r>
      <w:r w:rsidRPr="002E2E69">
        <w:rPr>
          <w:sz w:val="24"/>
          <w:szCs w:val="24"/>
        </w:rPr>
        <w:t xml:space="preserve"> </w:t>
      </w:r>
      <w:bookmarkStart w:id="1" w:name="_Int_tza76f2r"/>
      <w:r w:rsidRPr="002E2E69">
        <w:rPr>
          <w:sz w:val="24"/>
          <w:szCs w:val="24"/>
        </w:rPr>
        <w:t>“Marl Clay Pottery Fabrics of the New Kingdom from Memphis, Saqqara and Amarna.”</w:t>
      </w:r>
      <w:bookmarkEnd w:id="1"/>
      <w:r w:rsidRPr="002E2E69">
        <w:rPr>
          <w:sz w:val="24"/>
          <w:szCs w:val="24"/>
        </w:rPr>
        <w:t xml:space="preserve"> </w:t>
      </w:r>
      <w:r w:rsidRPr="002E2E69">
        <w:rPr>
          <w:i/>
          <w:iCs/>
          <w:sz w:val="24"/>
          <w:szCs w:val="24"/>
        </w:rPr>
        <w:t>The Journal of Egyptian Archaeology</w:t>
      </w:r>
      <w:r w:rsidRPr="002E2E69">
        <w:rPr>
          <w:sz w:val="24"/>
          <w:szCs w:val="24"/>
        </w:rPr>
        <w:t xml:space="preserve">, vol. 78, 1992, pp. 29–91. </w:t>
      </w:r>
      <w:r w:rsidRPr="002E2E69">
        <w:rPr>
          <w:i/>
          <w:iCs/>
          <w:sz w:val="24"/>
          <w:szCs w:val="24"/>
        </w:rPr>
        <w:t>JSTOR.</w:t>
      </w:r>
      <w:r w:rsidRPr="002E2E69">
        <w:rPr>
          <w:sz w:val="24"/>
          <w:szCs w:val="24"/>
        </w:rPr>
        <w:t xml:space="preserve">  Available at: https://doi.org/10.2307/3822066. (Accessed 10 Oct. 2025).</w:t>
      </w:r>
    </w:p>
    <w:p w14:paraId="2579AA48" w14:textId="77777777" w:rsidR="002E2E69" w:rsidRPr="002E2E69" w:rsidRDefault="002E2E69" w:rsidP="002E2E69">
      <w:pPr>
        <w:rPr>
          <w:sz w:val="24"/>
          <w:szCs w:val="24"/>
        </w:rPr>
      </w:pPr>
      <w:r w:rsidRPr="002E2E69">
        <w:rPr>
          <w:sz w:val="24"/>
          <w:szCs w:val="24"/>
        </w:rPr>
        <w:t xml:space="preserve">Brewer, D. J. (2012). </w:t>
      </w:r>
      <w:r w:rsidRPr="002E2E69">
        <w:rPr>
          <w:i/>
          <w:iCs/>
          <w:sz w:val="24"/>
          <w:szCs w:val="24"/>
        </w:rPr>
        <w:t>The Archaeology of Ancient Egypt: Beyond Pharaohs</w:t>
      </w:r>
      <w:r w:rsidRPr="002E2E69">
        <w:rPr>
          <w:sz w:val="24"/>
          <w:szCs w:val="24"/>
        </w:rPr>
        <w:t>. Cambridge University Press.</w:t>
      </w:r>
    </w:p>
    <w:p w14:paraId="636F5ED1" w14:textId="77777777" w:rsidR="002E2E69" w:rsidRPr="002E2E69" w:rsidRDefault="002E2E69" w:rsidP="002E2E69">
      <w:pPr>
        <w:rPr>
          <w:sz w:val="24"/>
          <w:szCs w:val="24"/>
        </w:rPr>
      </w:pPr>
      <w:r w:rsidRPr="002E2E69">
        <w:rPr>
          <w:sz w:val="24"/>
          <w:szCs w:val="24"/>
        </w:rPr>
        <w:t xml:space="preserve">Dodson, A. (2015). </w:t>
      </w:r>
      <w:r w:rsidRPr="002E2E69">
        <w:rPr>
          <w:i/>
          <w:iCs/>
          <w:sz w:val="24"/>
          <w:szCs w:val="24"/>
        </w:rPr>
        <w:t>Ancient Egyptian Coffins: The Medelhavsmuseet Collection</w:t>
      </w:r>
      <w:r w:rsidRPr="002E2E69">
        <w:rPr>
          <w:sz w:val="24"/>
          <w:szCs w:val="24"/>
        </w:rPr>
        <w:t>. National Museums of World Culture.</w:t>
      </w:r>
    </w:p>
    <w:p w14:paraId="42957535" w14:textId="77777777" w:rsidR="002E2E69" w:rsidRPr="002E2E69" w:rsidRDefault="002E2E69" w:rsidP="002E2E69">
      <w:pPr>
        <w:rPr>
          <w:sz w:val="24"/>
          <w:szCs w:val="24"/>
        </w:rPr>
      </w:pPr>
      <w:r w:rsidRPr="002E2E69">
        <w:rPr>
          <w:sz w:val="24"/>
          <w:szCs w:val="24"/>
        </w:rPr>
        <w:t xml:space="preserve">Egypt Museum, Cairo, (2025). </w:t>
      </w:r>
      <w:r w:rsidRPr="002E2E69">
        <w:rPr>
          <w:i/>
          <w:iCs/>
          <w:sz w:val="24"/>
          <w:szCs w:val="24"/>
        </w:rPr>
        <w:t>Artifacts: Ba Bird</w:t>
      </w:r>
      <w:r w:rsidRPr="002E2E69">
        <w:rPr>
          <w:sz w:val="24"/>
          <w:szCs w:val="24"/>
        </w:rPr>
        <w:t xml:space="preserve">. Available at: </w:t>
      </w:r>
      <w:hyperlink r:id="rId14" w:history="1">
        <w:r w:rsidRPr="002E2E69">
          <w:rPr>
            <w:rStyle w:val="Hyperlink"/>
            <w:sz w:val="24"/>
            <w:szCs w:val="24"/>
          </w:rPr>
          <w:t>https://egypt-museum.com/ba-bird/</w:t>
        </w:r>
      </w:hyperlink>
      <w:r w:rsidRPr="002E2E69">
        <w:rPr>
          <w:sz w:val="24"/>
          <w:szCs w:val="24"/>
        </w:rPr>
        <w:t xml:space="preserve"> (Accessed: 15 October 2025).</w:t>
      </w:r>
    </w:p>
    <w:p w14:paraId="64985808" w14:textId="77777777" w:rsidR="002E2E69" w:rsidRPr="002E2E69" w:rsidRDefault="002E2E69" w:rsidP="002E2E69">
      <w:pPr>
        <w:rPr>
          <w:sz w:val="24"/>
          <w:szCs w:val="24"/>
        </w:rPr>
      </w:pPr>
      <w:r w:rsidRPr="002E2E69">
        <w:rPr>
          <w:sz w:val="24"/>
          <w:szCs w:val="24"/>
        </w:rPr>
        <w:lastRenderedPageBreak/>
        <w:t xml:space="preserve">Garstang, J. (1907). </w:t>
      </w:r>
      <w:r w:rsidRPr="002E2E69">
        <w:rPr>
          <w:i/>
          <w:iCs/>
          <w:sz w:val="24"/>
          <w:szCs w:val="24"/>
        </w:rPr>
        <w:t>The Burial Customs of Ancient Egypt as Illustrated by Tombs of the Middle Kingdom, being a Report of Excavations made in the Necropolis of Beni Hassan during 1902-3-4.</w:t>
      </w:r>
      <w:r w:rsidRPr="002E2E69">
        <w:rPr>
          <w:sz w:val="24"/>
          <w:szCs w:val="24"/>
        </w:rPr>
        <w:t xml:space="preserve"> London: Archibald Constable &amp; Co. Ltd.</w:t>
      </w:r>
    </w:p>
    <w:p w14:paraId="4376294F" w14:textId="77777777" w:rsidR="002E2E69" w:rsidRDefault="002E2E69" w:rsidP="002E2E69">
      <w:pPr>
        <w:rPr>
          <w:sz w:val="24"/>
          <w:szCs w:val="24"/>
        </w:rPr>
      </w:pPr>
      <w:r w:rsidRPr="002E2E69">
        <w:rPr>
          <w:sz w:val="24"/>
          <w:szCs w:val="24"/>
        </w:rPr>
        <w:t xml:space="preserve">Grajetzki, W. (2003). </w:t>
      </w:r>
      <w:bookmarkStart w:id="2" w:name="_Int_zx8F9OTG"/>
      <w:r w:rsidRPr="002E2E69">
        <w:rPr>
          <w:i/>
          <w:iCs/>
          <w:sz w:val="24"/>
          <w:szCs w:val="24"/>
        </w:rPr>
        <w:t>Burial customs in ancient Egypt: life in death for rich and poor</w:t>
      </w:r>
      <w:r w:rsidRPr="002E2E69">
        <w:rPr>
          <w:sz w:val="24"/>
          <w:szCs w:val="24"/>
        </w:rPr>
        <w:t>.</w:t>
      </w:r>
      <w:bookmarkEnd w:id="2"/>
      <w:r w:rsidRPr="002E2E69">
        <w:rPr>
          <w:sz w:val="24"/>
          <w:szCs w:val="24"/>
        </w:rPr>
        <w:t xml:space="preserve"> London; Duckworth.</w:t>
      </w:r>
    </w:p>
    <w:p w14:paraId="5202EC94" w14:textId="41B3AA9F" w:rsidR="003308BB" w:rsidRPr="002E2E69" w:rsidRDefault="003308BB" w:rsidP="002E2E69">
      <w:pPr>
        <w:rPr>
          <w:sz w:val="24"/>
          <w:szCs w:val="24"/>
        </w:rPr>
      </w:pPr>
      <w:r>
        <w:rPr>
          <w:sz w:val="24"/>
          <w:szCs w:val="24"/>
        </w:rPr>
        <w:t xml:space="preserve">Harris, J. R. (1989). </w:t>
      </w:r>
      <w:r w:rsidRPr="003308BB">
        <w:rPr>
          <w:i/>
          <w:iCs/>
          <w:sz w:val="24"/>
          <w:szCs w:val="24"/>
        </w:rPr>
        <w:t>Ancient Egyptian Materials &amp; Industries</w:t>
      </w:r>
      <w:r>
        <w:rPr>
          <w:sz w:val="24"/>
          <w:szCs w:val="24"/>
        </w:rPr>
        <w:t>, 4</w:t>
      </w:r>
      <w:r w:rsidRPr="003308BB">
        <w:rPr>
          <w:sz w:val="24"/>
          <w:szCs w:val="24"/>
          <w:vertAlign w:val="superscript"/>
        </w:rPr>
        <w:t>th</w:t>
      </w:r>
      <w:r>
        <w:rPr>
          <w:sz w:val="24"/>
          <w:szCs w:val="24"/>
        </w:rPr>
        <w:t xml:space="preserve"> ed. London: Histories and Mysteries of Man Ltd. (Lucas, A. 1926).</w:t>
      </w:r>
    </w:p>
    <w:p w14:paraId="6632F264" w14:textId="77777777" w:rsidR="002E2E69" w:rsidRPr="002E2E69" w:rsidRDefault="002E2E69" w:rsidP="002E2E69">
      <w:pPr>
        <w:rPr>
          <w:sz w:val="24"/>
          <w:szCs w:val="24"/>
        </w:rPr>
      </w:pPr>
      <w:r w:rsidRPr="002E2E69">
        <w:rPr>
          <w:sz w:val="24"/>
          <w:szCs w:val="24"/>
        </w:rPr>
        <w:t xml:space="preserve">Ikram, S. &amp; Dodson, A. (1998). </w:t>
      </w:r>
      <w:r w:rsidRPr="002E2E69">
        <w:rPr>
          <w:i/>
          <w:iCs/>
          <w:sz w:val="24"/>
          <w:szCs w:val="24"/>
        </w:rPr>
        <w:t>The Mummy in Ancient Egypt: Equipping the Dead for Eternity.</w:t>
      </w:r>
      <w:r w:rsidRPr="002E2E69">
        <w:rPr>
          <w:sz w:val="24"/>
          <w:szCs w:val="24"/>
        </w:rPr>
        <w:t xml:space="preserve"> Thames &amp; Hudson.</w:t>
      </w:r>
    </w:p>
    <w:p w14:paraId="5E9451E4" w14:textId="77777777" w:rsidR="002E2E69" w:rsidRPr="002E2E69" w:rsidRDefault="002E2E69" w:rsidP="002E2E69">
      <w:pPr>
        <w:rPr>
          <w:sz w:val="24"/>
          <w:szCs w:val="24"/>
        </w:rPr>
      </w:pPr>
      <w:r w:rsidRPr="002E2E69">
        <w:rPr>
          <w:sz w:val="24"/>
          <w:szCs w:val="24"/>
        </w:rPr>
        <w:t>Lythgoe, A. M., Lansing, A., &amp; N. de Garis Davies. (1917). ‘The Egyptian Expedition 1915-16’. </w:t>
      </w:r>
      <w:r w:rsidRPr="002E2E69">
        <w:rPr>
          <w:i/>
          <w:iCs/>
          <w:sz w:val="24"/>
          <w:szCs w:val="24"/>
        </w:rPr>
        <w:t>The Metropolitan Museum of Art Bulletin</w:t>
      </w:r>
      <w:r w:rsidRPr="002E2E69">
        <w:rPr>
          <w:sz w:val="24"/>
          <w:szCs w:val="24"/>
        </w:rPr>
        <w:t>, </w:t>
      </w:r>
      <w:r w:rsidRPr="002E2E69">
        <w:rPr>
          <w:i/>
          <w:iCs/>
          <w:sz w:val="24"/>
          <w:szCs w:val="24"/>
        </w:rPr>
        <w:t>12</w:t>
      </w:r>
      <w:r w:rsidRPr="002E2E69">
        <w:rPr>
          <w:sz w:val="24"/>
          <w:szCs w:val="24"/>
        </w:rPr>
        <w:t xml:space="preserve">(5), 1–31. Available at: </w:t>
      </w:r>
      <w:hyperlink r:id="rId15" w:history="1">
        <w:r w:rsidRPr="002E2E69">
          <w:rPr>
            <w:rStyle w:val="Hyperlink"/>
            <w:sz w:val="24"/>
            <w:szCs w:val="24"/>
          </w:rPr>
          <w:t>https://doi.org/10.2307/3253911</w:t>
        </w:r>
      </w:hyperlink>
      <w:r w:rsidRPr="002E2E69">
        <w:rPr>
          <w:sz w:val="24"/>
          <w:szCs w:val="24"/>
        </w:rPr>
        <w:t xml:space="preserve"> (Accessed: 6 October 2025).</w:t>
      </w:r>
    </w:p>
    <w:p w14:paraId="5E71D145" w14:textId="77777777" w:rsidR="002E2E69" w:rsidRDefault="002E2E69" w:rsidP="002E2E69">
      <w:pPr>
        <w:rPr>
          <w:sz w:val="24"/>
          <w:szCs w:val="24"/>
        </w:rPr>
      </w:pPr>
      <w:r w:rsidRPr="002E2E69">
        <w:rPr>
          <w:sz w:val="24"/>
          <w:szCs w:val="24"/>
        </w:rPr>
        <w:t xml:space="preserve">National Museums Liverpool. (2025). </w:t>
      </w:r>
      <w:r w:rsidRPr="002E2E69">
        <w:rPr>
          <w:i/>
          <w:iCs/>
          <w:sz w:val="24"/>
          <w:szCs w:val="24"/>
        </w:rPr>
        <w:t>Mummy Mask: 1580-1550 BC (Dynasty 17- Dynasty 18 early)</w:t>
      </w:r>
      <w:r w:rsidRPr="002E2E69">
        <w:rPr>
          <w:sz w:val="24"/>
          <w:szCs w:val="24"/>
        </w:rPr>
        <w:t>. Available at: https://www.liverpoolmuseums.org.uk/artifact/mummy-mask  (Accessed: 7 October 2025).</w:t>
      </w:r>
    </w:p>
    <w:p w14:paraId="090C88C3" w14:textId="77777777" w:rsidR="002E2E69" w:rsidRPr="002E2E69" w:rsidRDefault="002E2E69" w:rsidP="002E2E69">
      <w:pPr>
        <w:rPr>
          <w:sz w:val="24"/>
          <w:szCs w:val="24"/>
        </w:rPr>
      </w:pPr>
      <w:r w:rsidRPr="002E2E69">
        <w:rPr>
          <w:sz w:val="24"/>
          <w:szCs w:val="24"/>
        </w:rPr>
        <w:t xml:space="preserve">Nicholson, P. T. &amp; Shaw, I. (Eds.) (2009). </w:t>
      </w:r>
      <w:r w:rsidRPr="002E2E69">
        <w:rPr>
          <w:i/>
          <w:iCs/>
          <w:sz w:val="24"/>
          <w:szCs w:val="24"/>
        </w:rPr>
        <w:t>Ancient Egyptian Materials and Technology</w:t>
      </w:r>
      <w:r w:rsidRPr="002E2E69">
        <w:rPr>
          <w:sz w:val="24"/>
          <w:szCs w:val="24"/>
        </w:rPr>
        <w:t>. Cambridge University Press.</w:t>
      </w:r>
    </w:p>
    <w:p w14:paraId="04BF70C6" w14:textId="6FA10247" w:rsidR="002E2E69" w:rsidRPr="002E2E69" w:rsidRDefault="002E2E69" w:rsidP="002E2E69">
      <w:pPr>
        <w:rPr>
          <w:sz w:val="24"/>
          <w:szCs w:val="24"/>
        </w:rPr>
      </w:pPr>
      <w:r w:rsidRPr="002E2E69">
        <w:rPr>
          <w:sz w:val="24"/>
          <w:szCs w:val="24"/>
        </w:rPr>
        <w:t>Rzeuska, T.</w:t>
      </w:r>
      <w:r w:rsidR="006555AB">
        <w:rPr>
          <w:sz w:val="24"/>
          <w:szCs w:val="24"/>
        </w:rPr>
        <w:t xml:space="preserve"> I.</w:t>
      </w:r>
      <w:r w:rsidRPr="002E2E69">
        <w:rPr>
          <w:sz w:val="24"/>
          <w:szCs w:val="24"/>
        </w:rPr>
        <w:t xml:space="preserve"> (</w:t>
      </w:r>
      <w:r w:rsidR="006555AB">
        <w:rPr>
          <w:sz w:val="24"/>
          <w:szCs w:val="24"/>
        </w:rPr>
        <w:t>2011</w:t>
      </w:r>
      <w:r w:rsidRPr="002E2E69">
        <w:rPr>
          <w:sz w:val="24"/>
          <w:szCs w:val="24"/>
        </w:rPr>
        <w:t xml:space="preserve">). </w:t>
      </w:r>
      <w:bookmarkStart w:id="3" w:name="_Int_qpAR0ShO"/>
      <w:r w:rsidRPr="002E2E69">
        <w:rPr>
          <w:sz w:val="24"/>
          <w:szCs w:val="24"/>
        </w:rPr>
        <w:t>“Grain, water and wine. Remarks on the Marl A3 Transport-Storage Jars from Middle Kingdom Elephantine.”</w:t>
      </w:r>
      <w:bookmarkEnd w:id="3"/>
      <w:r w:rsidRPr="002E2E69">
        <w:rPr>
          <w:sz w:val="24"/>
          <w:szCs w:val="24"/>
        </w:rPr>
        <w:t xml:space="preserve"> </w:t>
      </w:r>
      <w:r w:rsidRPr="002E2E69">
        <w:rPr>
          <w:i/>
          <w:iCs/>
          <w:sz w:val="24"/>
          <w:szCs w:val="24"/>
        </w:rPr>
        <w:t>In Cahiers De La Céramique Égyptienne 9</w:t>
      </w:r>
      <w:r w:rsidRPr="002E2E69">
        <w:rPr>
          <w:sz w:val="24"/>
          <w:szCs w:val="24"/>
        </w:rPr>
        <w:t xml:space="preserve"> (2011), Insitut Francais D’Archéologie Orientale, Le Claire. Available at: </w:t>
      </w:r>
      <w:hyperlink r:id="rId16" w:history="1">
        <w:r w:rsidRPr="002E2E69">
          <w:rPr>
            <w:rStyle w:val="Hyperlink"/>
            <w:sz w:val="24"/>
            <w:szCs w:val="24"/>
          </w:rPr>
          <w:t>https://www.academia.edu/1512978/Grain_water_and_wine_Remarks_on_the_Marl_A3_Transport_Storage_Jars_from_Middle_Kingdom_Elephantine?email_work_card=view-paper</w:t>
        </w:r>
      </w:hyperlink>
      <w:r w:rsidRPr="002E2E69">
        <w:rPr>
          <w:sz w:val="24"/>
          <w:szCs w:val="24"/>
        </w:rPr>
        <w:t xml:space="preserve"> (Accessed: 13 October 2025).</w:t>
      </w:r>
    </w:p>
    <w:p w14:paraId="004081F9" w14:textId="77777777" w:rsidR="002E2E69" w:rsidRPr="002E2E69" w:rsidRDefault="002E2E69" w:rsidP="002E2E69">
      <w:pPr>
        <w:rPr>
          <w:sz w:val="24"/>
          <w:szCs w:val="24"/>
        </w:rPr>
      </w:pPr>
      <w:r w:rsidRPr="002E2E69">
        <w:rPr>
          <w:sz w:val="24"/>
          <w:szCs w:val="24"/>
        </w:rPr>
        <w:t xml:space="preserve">Serrano, A. J. </w:t>
      </w:r>
      <w:r w:rsidRPr="002E2E69">
        <w:rPr>
          <w:i/>
          <w:iCs/>
          <w:sz w:val="24"/>
          <w:szCs w:val="24"/>
        </w:rPr>
        <w:t>et al</w:t>
      </w:r>
      <w:r w:rsidRPr="002E2E69">
        <w:rPr>
          <w:sz w:val="24"/>
          <w:szCs w:val="24"/>
        </w:rPr>
        <w:t xml:space="preserve">. (2013). </w:t>
      </w:r>
      <w:bookmarkStart w:id="4" w:name="_Int_xcJFRZ74"/>
      <w:r w:rsidRPr="002E2E69">
        <w:rPr>
          <w:sz w:val="24"/>
          <w:szCs w:val="24"/>
        </w:rPr>
        <w:t>“Proyecto Qubbet El-Hawa: Las Tumbas 31 (Sarenput II), 33 Y 34.</w:t>
      </w:r>
      <w:bookmarkEnd w:id="4"/>
      <w:r w:rsidRPr="002E2E69">
        <w:rPr>
          <w:sz w:val="24"/>
          <w:szCs w:val="24"/>
        </w:rPr>
        <w:t xml:space="preserve"> Quinta Campaña” [Qubbet El-Hawa Project: Tombs 31 (Sarenput II), 33 and 34. Fifth Campaign]. BAEDE, No.22, pp. 7-85. </w:t>
      </w:r>
    </w:p>
    <w:p w14:paraId="7BD509CB" w14:textId="77777777" w:rsidR="002E2E69" w:rsidRPr="002E2E69" w:rsidRDefault="002E2E69" w:rsidP="002E2E69">
      <w:pPr>
        <w:rPr>
          <w:sz w:val="24"/>
          <w:szCs w:val="24"/>
        </w:rPr>
      </w:pPr>
      <w:r w:rsidRPr="002E2E69">
        <w:rPr>
          <w:sz w:val="24"/>
          <w:szCs w:val="24"/>
        </w:rPr>
        <w:t xml:space="preserve">Shaw, I. &amp; Nicholson, P. (1995). </w:t>
      </w:r>
      <w:r w:rsidRPr="002E2E69">
        <w:rPr>
          <w:i/>
          <w:iCs/>
          <w:sz w:val="24"/>
          <w:szCs w:val="24"/>
        </w:rPr>
        <w:t>The Dictionary of Ancient Egypt</w:t>
      </w:r>
      <w:r w:rsidRPr="002E2E69">
        <w:rPr>
          <w:sz w:val="24"/>
          <w:szCs w:val="24"/>
        </w:rPr>
        <w:t>. London: British Museum Press.</w:t>
      </w:r>
    </w:p>
    <w:p w14:paraId="1ADD702B" w14:textId="77777777" w:rsidR="002E2E69" w:rsidRPr="002E2E69" w:rsidRDefault="002E2E69" w:rsidP="002E2E69">
      <w:pPr>
        <w:rPr>
          <w:sz w:val="24"/>
          <w:szCs w:val="24"/>
        </w:rPr>
      </w:pPr>
      <w:r w:rsidRPr="002E2E69">
        <w:rPr>
          <w:sz w:val="24"/>
          <w:szCs w:val="24"/>
        </w:rPr>
        <w:t xml:space="preserve">Taylor, J. (2001). </w:t>
      </w:r>
      <w:r w:rsidRPr="002E2E69">
        <w:rPr>
          <w:i/>
          <w:iCs/>
          <w:sz w:val="24"/>
          <w:szCs w:val="24"/>
        </w:rPr>
        <w:t>Death and Afterlife in Ancient Egypt</w:t>
      </w:r>
      <w:r w:rsidRPr="002E2E69">
        <w:rPr>
          <w:sz w:val="24"/>
          <w:szCs w:val="24"/>
        </w:rPr>
        <w:t>. London: British Museum.</w:t>
      </w:r>
    </w:p>
    <w:p w14:paraId="3C24E9ED" w14:textId="77777777" w:rsidR="002E2E69" w:rsidRPr="002E2E69" w:rsidRDefault="002E2E69" w:rsidP="002E2E69">
      <w:pPr>
        <w:rPr>
          <w:sz w:val="24"/>
          <w:szCs w:val="24"/>
        </w:rPr>
      </w:pPr>
      <w:r w:rsidRPr="002E2E69">
        <w:rPr>
          <w:sz w:val="24"/>
          <w:szCs w:val="24"/>
        </w:rPr>
        <w:t xml:space="preserve">Taylor, J. (2010). </w:t>
      </w:r>
      <w:r w:rsidRPr="002E2E69">
        <w:rPr>
          <w:i/>
          <w:iCs/>
          <w:sz w:val="24"/>
          <w:szCs w:val="24"/>
        </w:rPr>
        <w:t>Egyptian Mummies</w:t>
      </w:r>
      <w:r w:rsidRPr="002E2E69">
        <w:rPr>
          <w:sz w:val="24"/>
          <w:szCs w:val="24"/>
        </w:rPr>
        <w:t>. British Museum Press.</w:t>
      </w:r>
    </w:p>
    <w:p w14:paraId="6F2F0DCC" w14:textId="77777777" w:rsidR="002E2E69" w:rsidRPr="002E2E69" w:rsidRDefault="002E2E69" w:rsidP="002E2E69">
      <w:pPr>
        <w:rPr>
          <w:sz w:val="24"/>
          <w:szCs w:val="24"/>
        </w:rPr>
      </w:pPr>
      <w:r w:rsidRPr="002E2E69">
        <w:rPr>
          <w:sz w:val="24"/>
          <w:szCs w:val="24"/>
        </w:rPr>
        <w:t xml:space="preserve">Taylor, J. (2010). </w:t>
      </w:r>
      <w:r w:rsidRPr="002E2E69">
        <w:rPr>
          <w:i/>
          <w:iCs/>
          <w:sz w:val="24"/>
          <w:szCs w:val="24"/>
        </w:rPr>
        <w:t>Journey through the Afterlife: Ancient Egyptian Book of the Dead</w:t>
      </w:r>
      <w:r w:rsidRPr="002E2E69">
        <w:rPr>
          <w:sz w:val="24"/>
          <w:szCs w:val="24"/>
        </w:rPr>
        <w:t>. London: British Museum.</w:t>
      </w:r>
    </w:p>
    <w:p w14:paraId="3BC481E0" w14:textId="77777777" w:rsidR="002E2E69" w:rsidRPr="002E2E69" w:rsidRDefault="002E2E69" w:rsidP="002E2E69">
      <w:pPr>
        <w:rPr>
          <w:sz w:val="24"/>
          <w:szCs w:val="24"/>
        </w:rPr>
      </w:pPr>
      <w:r w:rsidRPr="002E2E69">
        <w:rPr>
          <w:sz w:val="24"/>
          <w:szCs w:val="24"/>
        </w:rPr>
        <w:t xml:space="preserve">Tyldesley, J. (2011). </w:t>
      </w:r>
      <w:r w:rsidRPr="002E2E69">
        <w:rPr>
          <w:i/>
          <w:iCs/>
          <w:sz w:val="24"/>
          <w:szCs w:val="24"/>
        </w:rPr>
        <w:t>The Penguin Book of Myths &amp; Legends of Ancient Egypt</w:t>
      </w:r>
      <w:r w:rsidRPr="002E2E69">
        <w:rPr>
          <w:sz w:val="24"/>
          <w:szCs w:val="24"/>
        </w:rPr>
        <w:t>. Penguin Books.</w:t>
      </w:r>
    </w:p>
    <w:p w14:paraId="20607A2A" w14:textId="7D6AE49C" w:rsidR="00200EB9" w:rsidRPr="00EA15A8" w:rsidRDefault="002E2E69">
      <w:pPr>
        <w:rPr>
          <w:sz w:val="24"/>
          <w:szCs w:val="24"/>
        </w:rPr>
      </w:pPr>
      <w:r w:rsidRPr="002E2E69">
        <w:rPr>
          <w:sz w:val="24"/>
          <w:szCs w:val="24"/>
        </w:rPr>
        <w:t xml:space="preserve">Zinn, K. (2025). </w:t>
      </w:r>
      <w:r w:rsidRPr="002E2E69">
        <w:rPr>
          <w:i/>
          <w:iCs/>
          <w:sz w:val="24"/>
          <w:szCs w:val="24"/>
        </w:rPr>
        <w:t>Conversation with Gareth Jenkins during handling session</w:t>
      </w:r>
      <w:r w:rsidRPr="002E2E69">
        <w:rPr>
          <w:sz w:val="24"/>
          <w:szCs w:val="24"/>
        </w:rPr>
        <w:t xml:space="preserve">, 10 October. </w:t>
      </w:r>
    </w:p>
    <w:sectPr w:rsidR="00200EB9" w:rsidRPr="00EA15A8">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621E6" w14:textId="77777777" w:rsidR="00F34340" w:rsidRDefault="00F34340" w:rsidP="0014194D">
      <w:pPr>
        <w:spacing w:after="0" w:line="240" w:lineRule="auto"/>
      </w:pPr>
      <w:r>
        <w:separator/>
      </w:r>
    </w:p>
  </w:endnote>
  <w:endnote w:type="continuationSeparator" w:id="0">
    <w:p w14:paraId="3420D635" w14:textId="77777777" w:rsidR="00F34340" w:rsidRDefault="00F34340" w:rsidP="00141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7179426"/>
      <w:docPartObj>
        <w:docPartGallery w:val="Page Numbers (Bottom of Page)"/>
        <w:docPartUnique/>
      </w:docPartObj>
    </w:sdtPr>
    <w:sdtEndPr>
      <w:rPr>
        <w:noProof/>
      </w:rPr>
    </w:sdtEndPr>
    <w:sdtContent>
      <w:p w14:paraId="3F4EEB31" w14:textId="3FBAC3CB" w:rsidR="0014194D" w:rsidRDefault="001419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1B18EB" w14:textId="77777777" w:rsidR="0014194D" w:rsidRDefault="001419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79057" w14:textId="77777777" w:rsidR="00F34340" w:rsidRDefault="00F34340" w:rsidP="0014194D">
      <w:pPr>
        <w:spacing w:after="0" w:line="240" w:lineRule="auto"/>
      </w:pPr>
      <w:r>
        <w:separator/>
      </w:r>
    </w:p>
  </w:footnote>
  <w:footnote w:type="continuationSeparator" w:id="0">
    <w:p w14:paraId="3D4F4ADA" w14:textId="77777777" w:rsidR="00F34340" w:rsidRDefault="00F34340" w:rsidP="00141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CF6EF6" w14:textId="77777777" w:rsidR="00C447C2" w:rsidRDefault="00C447C2" w:rsidP="00C447C2">
    <w:pPr>
      <w:pStyle w:val="Header"/>
      <w:jc w:val="right"/>
      <w:rPr>
        <w:sz w:val="16"/>
        <w:szCs w:val="16"/>
      </w:rPr>
    </w:pPr>
    <w:r w:rsidRPr="00C447C2">
      <w:rPr>
        <w:sz w:val="16"/>
        <w:szCs w:val="16"/>
      </w:rPr>
      <w:t xml:space="preserve">HPAH6085. Exhibiting the Past: Ancient Egypt, death and modern representation. </w:t>
    </w:r>
  </w:p>
  <w:p w14:paraId="6D7AF4CE" w14:textId="4544CF3F" w:rsidR="00C447C2" w:rsidRPr="00C447C2" w:rsidRDefault="00C447C2" w:rsidP="00C447C2">
    <w:pPr>
      <w:pStyle w:val="Header"/>
      <w:jc w:val="right"/>
      <w:rPr>
        <w:sz w:val="16"/>
        <w:szCs w:val="16"/>
      </w:rPr>
    </w:pPr>
    <w:r w:rsidRPr="00C447C2">
      <w:rPr>
        <w:sz w:val="16"/>
        <w:szCs w:val="16"/>
      </w:rPr>
      <w:t>Gareth Jenkins (99091195). October 2025.</w:t>
    </w:r>
  </w:p>
  <w:p w14:paraId="1E055F9B" w14:textId="77777777" w:rsidR="00C447C2" w:rsidRDefault="00C447C2">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tza76f2r" int2:invalidationBookmarkName="" int2:hashCode="yB0TcOCmon+ERb" int2:id="lautWrz3">
      <int2:state int2:value="Rejected" int2:type="similarity"/>
    </int2:bookmark>
    <int2:bookmark int2:bookmarkName="_Int_zx8F9OTG" int2:invalidationBookmarkName="" int2:hashCode="qmJBfoGYCC0USZ" int2:id="gzzpw7P8">
      <int2:state int2:value="Rejected" int2:type="similarity"/>
    </int2:bookmark>
    <int2:bookmark int2:bookmarkName="_Int_qpAR0ShO" int2:invalidationBookmarkName="" int2:hashCode="CLavH2vrOU2AHB" int2:id="Z3vsXrQe">
      <int2:state int2:value="Rejected" int2:type="similarity"/>
    </int2:bookmark>
    <int2:bookmark int2:bookmarkName="_Int_xcJFRZ74" int2:invalidationBookmarkName="" int2:hashCode="3RqYKTVCvehHnv" int2:id="Uq8aYZP3">
      <int2:state int2:value="Reject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B39"/>
    <w:rsid w:val="000326C3"/>
    <w:rsid w:val="000A5B19"/>
    <w:rsid w:val="000D4A6C"/>
    <w:rsid w:val="00116FFE"/>
    <w:rsid w:val="0014194D"/>
    <w:rsid w:val="0016504F"/>
    <w:rsid w:val="00192F99"/>
    <w:rsid w:val="001D7D4E"/>
    <w:rsid w:val="001F7346"/>
    <w:rsid w:val="00200EB9"/>
    <w:rsid w:val="002216CA"/>
    <w:rsid w:val="002309E8"/>
    <w:rsid w:val="002D3C87"/>
    <w:rsid w:val="002E2E69"/>
    <w:rsid w:val="003308BB"/>
    <w:rsid w:val="00331E7E"/>
    <w:rsid w:val="0037120D"/>
    <w:rsid w:val="003C776F"/>
    <w:rsid w:val="00434375"/>
    <w:rsid w:val="00450861"/>
    <w:rsid w:val="00454A2D"/>
    <w:rsid w:val="0046645E"/>
    <w:rsid w:val="004B14DC"/>
    <w:rsid w:val="005454BE"/>
    <w:rsid w:val="00556D82"/>
    <w:rsid w:val="005C41FB"/>
    <w:rsid w:val="00617830"/>
    <w:rsid w:val="006503BE"/>
    <w:rsid w:val="006555AB"/>
    <w:rsid w:val="00676C91"/>
    <w:rsid w:val="00684390"/>
    <w:rsid w:val="006C1D71"/>
    <w:rsid w:val="006C73BB"/>
    <w:rsid w:val="00712F20"/>
    <w:rsid w:val="00724179"/>
    <w:rsid w:val="00727707"/>
    <w:rsid w:val="00754C95"/>
    <w:rsid w:val="00781C84"/>
    <w:rsid w:val="007A1421"/>
    <w:rsid w:val="007E5F85"/>
    <w:rsid w:val="00806BD0"/>
    <w:rsid w:val="0081723E"/>
    <w:rsid w:val="00831092"/>
    <w:rsid w:val="00860034"/>
    <w:rsid w:val="00866763"/>
    <w:rsid w:val="00893C2B"/>
    <w:rsid w:val="008A1A4D"/>
    <w:rsid w:val="009153C4"/>
    <w:rsid w:val="00946168"/>
    <w:rsid w:val="00993A85"/>
    <w:rsid w:val="009A79A1"/>
    <w:rsid w:val="009E2B39"/>
    <w:rsid w:val="009E741F"/>
    <w:rsid w:val="009E7510"/>
    <w:rsid w:val="009F0B1D"/>
    <w:rsid w:val="00A33829"/>
    <w:rsid w:val="00A5332F"/>
    <w:rsid w:val="00A978D8"/>
    <w:rsid w:val="00AB5B86"/>
    <w:rsid w:val="00AD2A29"/>
    <w:rsid w:val="00B14E8B"/>
    <w:rsid w:val="00BA16AA"/>
    <w:rsid w:val="00BB64AC"/>
    <w:rsid w:val="00C028DE"/>
    <w:rsid w:val="00C12983"/>
    <w:rsid w:val="00C447C2"/>
    <w:rsid w:val="00C46E56"/>
    <w:rsid w:val="00C5333F"/>
    <w:rsid w:val="00C57966"/>
    <w:rsid w:val="00C61B6D"/>
    <w:rsid w:val="00C64568"/>
    <w:rsid w:val="00C819B1"/>
    <w:rsid w:val="00CB4C1D"/>
    <w:rsid w:val="00CD750F"/>
    <w:rsid w:val="00CE3A9C"/>
    <w:rsid w:val="00D46A6C"/>
    <w:rsid w:val="00D614A1"/>
    <w:rsid w:val="00DE4A44"/>
    <w:rsid w:val="00E36BEA"/>
    <w:rsid w:val="00E4655F"/>
    <w:rsid w:val="00EA15A8"/>
    <w:rsid w:val="00ED5DBC"/>
    <w:rsid w:val="00EF266C"/>
    <w:rsid w:val="00F16A46"/>
    <w:rsid w:val="00F34340"/>
    <w:rsid w:val="00F35330"/>
    <w:rsid w:val="00F56485"/>
    <w:rsid w:val="00F745E1"/>
    <w:rsid w:val="00FF4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CD1DA"/>
  <w15:chartTrackingRefBased/>
  <w15:docId w15:val="{1E9073A0-C0A0-42E9-9F96-80CB582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B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2B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B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B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B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B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B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B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B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B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2B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B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B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B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B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B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B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B39"/>
    <w:rPr>
      <w:rFonts w:eastAsiaTheme="majorEastAsia" w:cstheme="majorBidi"/>
      <w:color w:val="272727" w:themeColor="text1" w:themeTint="D8"/>
    </w:rPr>
  </w:style>
  <w:style w:type="paragraph" w:styleId="Title">
    <w:name w:val="Title"/>
    <w:basedOn w:val="Normal"/>
    <w:next w:val="Normal"/>
    <w:link w:val="TitleChar"/>
    <w:uiPriority w:val="10"/>
    <w:qFormat/>
    <w:rsid w:val="009E2B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B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B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B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B39"/>
    <w:pPr>
      <w:spacing w:before="160"/>
      <w:jc w:val="center"/>
    </w:pPr>
    <w:rPr>
      <w:i/>
      <w:iCs/>
      <w:color w:val="404040" w:themeColor="text1" w:themeTint="BF"/>
    </w:rPr>
  </w:style>
  <w:style w:type="character" w:customStyle="1" w:styleId="QuoteChar">
    <w:name w:val="Quote Char"/>
    <w:basedOn w:val="DefaultParagraphFont"/>
    <w:link w:val="Quote"/>
    <w:uiPriority w:val="29"/>
    <w:rsid w:val="009E2B39"/>
    <w:rPr>
      <w:i/>
      <w:iCs/>
      <w:color w:val="404040" w:themeColor="text1" w:themeTint="BF"/>
    </w:rPr>
  </w:style>
  <w:style w:type="paragraph" w:styleId="ListParagraph">
    <w:name w:val="List Paragraph"/>
    <w:basedOn w:val="Normal"/>
    <w:uiPriority w:val="34"/>
    <w:qFormat/>
    <w:rsid w:val="009E2B39"/>
    <w:pPr>
      <w:ind w:left="720"/>
      <w:contextualSpacing/>
    </w:pPr>
  </w:style>
  <w:style w:type="character" w:styleId="IntenseEmphasis">
    <w:name w:val="Intense Emphasis"/>
    <w:basedOn w:val="DefaultParagraphFont"/>
    <w:uiPriority w:val="21"/>
    <w:qFormat/>
    <w:rsid w:val="009E2B39"/>
    <w:rPr>
      <w:i/>
      <w:iCs/>
      <w:color w:val="0F4761" w:themeColor="accent1" w:themeShade="BF"/>
    </w:rPr>
  </w:style>
  <w:style w:type="paragraph" w:styleId="IntenseQuote">
    <w:name w:val="Intense Quote"/>
    <w:basedOn w:val="Normal"/>
    <w:next w:val="Normal"/>
    <w:link w:val="IntenseQuoteChar"/>
    <w:uiPriority w:val="30"/>
    <w:qFormat/>
    <w:rsid w:val="009E2B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B39"/>
    <w:rPr>
      <w:i/>
      <w:iCs/>
      <w:color w:val="0F4761" w:themeColor="accent1" w:themeShade="BF"/>
    </w:rPr>
  </w:style>
  <w:style w:type="character" w:styleId="IntenseReference">
    <w:name w:val="Intense Reference"/>
    <w:basedOn w:val="DefaultParagraphFont"/>
    <w:uiPriority w:val="32"/>
    <w:qFormat/>
    <w:rsid w:val="009E2B39"/>
    <w:rPr>
      <w:b/>
      <w:bCs/>
      <w:smallCaps/>
      <w:color w:val="0F4761" w:themeColor="accent1" w:themeShade="BF"/>
      <w:spacing w:val="5"/>
    </w:rPr>
  </w:style>
  <w:style w:type="paragraph" w:styleId="Header">
    <w:name w:val="header"/>
    <w:basedOn w:val="Normal"/>
    <w:link w:val="HeaderChar"/>
    <w:uiPriority w:val="99"/>
    <w:unhideWhenUsed/>
    <w:rsid w:val="00141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94D"/>
  </w:style>
  <w:style w:type="paragraph" w:styleId="Footer">
    <w:name w:val="footer"/>
    <w:basedOn w:val="Normal"/>
    <w:link w:val="FooterChar"/>
    <w:uiPriority w:val="99"/>
    <w:unhideWhenUsed/>
    <w:rsid w:val="00141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94D"/>
  </w:style>
  <w:style w:type="character" w:styleId="Hyperlink">
    <w:name w:val="Hyperlink"/>
    <w:basedOn w:val="DefaultParagraphFont"/>
    <w:uiPriority w:val="99"/>
    <w:unhideWhenUsed/>
    <w:rsid w:val="002E2E69"/>
    <w:rPr>
      <w:color w:val="467886" w:themeColor="hyperlink"/>
      <w:u w:val="single"/>
    </w:rPr>
  </w:style>
  <w:style w:type="character" w:styleId="UnresolvedMention">
    <w:name w:val="Unresolved Mention"/>
    <w:basedOn w:val="DefaultParagraphFont"/>
    <w:uiPriority w:val="99"/>
    <w:semiHidden/>
    <w:unhideWhenUsed/>
    <w:rsid w:val="002E2E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footer" Target="footer1.xml"/><Relationship Id="rId3" Type="http://schemas.openxmlformats.org/officeDocument/2006/relationships/webSettings" Target="webSettings.xml"/><Relationship Id="rId21" Type="http://schemas.microsoft.com/office/2020/10/relationships/intelligence" Target="intelligence2.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academia.edu/1512978/Grain_water_and_wine_Remarks_on_the_Marl_A3_Transport_Storage_Jars_from_Middle_Kingdom_Elephantine?email_work_card=view-paper"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hyperlink" Target="https://doi.org/10.2307/3253911" TargetMode="External"/><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egypt-museum.com/ba-bi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587</TotalTime>
  <Pages>1</Pages>
  <Words>1355</Words>
  <Characters>7725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27</cp:revision>
  <cp:lastPrinted>2025-10-25T12:07:00Z</cp:lastPrinted>
  <dcterms:created xsi:type="dcterms:W3CDTF">2025-10-13T16:33:00Z</dcterms:created>
  <dcterms:modified xsi:type="dcterms:W3CDTF">2025-10-25T12:13:00Z</dcterms:modified>
</cp:coreProperties>
</file>