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25190" w14:textId="77777777" w:rsidR="002C314D" w:rsidRPr="00877EE2" w:rsidRDefault="002C314D" w:rsidP="002C314D">
      <w:pPr>
        <w:pStyle w:val="Title"/>
        <w:jc w:val="center"/>
        <w:rPr>
          <w:lang w:val="en-GB"/>
        </w:rPr>
      </w:pPr>
      <w:r w:rsidRPr="00877EE2">
        <w:rPr>
          <w:lang w:val="en-GB"/>
        </w:rPr>
        <w:t>Financial performance and</w:t>
      </w:r>
    </w:p>
    <w:p w14:paraId="47FFE964" w14:textId="77777777" w:rsidR="002C314D" w:rsidRPr="00877EE2" w:rsidRDefault="002C314D" w:rsidP="002C314D">
      <w:pPr>
        <w:pStyle w:val="Title"/>
        <w:jc w:val="center"/>
        <w:rPr>
          <w:lang w:val="en-GB"/>
        </w:rPr>
      </w:pPr>
      <w:r w:rsidRPr="00877EE2">
        <w:rPr>
          <w:lang w:val="en-GB"/>
        </w:rPr>
        <w:t>Management</w:t>
      </w:r>
    </w:p>
    <w:p w14:paraId="3FA97745" w14:textId="55847D20" w:rsidR="00881A34" w:rsidRPr="00877EE2" w:rsidRDefault="00881A34" w:rsidP="002C314D">
      <w:pPr>
        <w:spacing w:line="360" w:lineRule="auto"/>
        <w:jc w:val="center"/>
        <w:rPr>
          <w:rFonts w:ascii="Times New Roman" w:hAnsi="Times New Roman" w:cs="Times New Roman"/>
          <w:sz w:val="24"/>
          <w:szCs w:val="24"/>
          <w:lang w:val="en-GB"/>
        </w:rPr>
      </w:pPr>
      <w:r w:rsidRPr="00877EE2">
        <w:rPr>
          <w:rFonts w:ascii="Times New Roman" w:hAnsi="Times New Roman" w:cs="Times New Roman"/>
          <w:sz w:val="24"/>
          <w:szCs w:val="24"/>
          <w:lang w:val="en-GB"/>
        </w:rPr>
        <w:t>Student ID</w:t>
      </w:r>
      <w:r w:rsidR="00A10825">
        <w:rPr>
          <w:rFonts w:ascii="Times New Roman" w:hAnsi="Times New Roman" w:cs="Times New Roman"/>
          <w:sz w:val="24"/>
          <w:szCs w:val="24"/>
          <w:lang w:val="en-GB"/>
        </w:rPr>
        <w:t>. 211</w:t>
      </w:r>
      <w:r w:rsidR="00A64F44">
        <w:rPr>
          <w:rFonts w:ascii="Times New Roman" w:hAnsi="Times New Roman" w:cs="Times New Roman"/>
          <w:sz w:val="24"/>
          <w:szCs w:val="24"/>
          <w:lang w:val="en-GB"/>
        </w:rPr>
        <w:t>4284</w:t>
      </w:r>
    </w:p>
    <w:p w14:paraId="63517904" w14:textId="77777777" w:rsidR="007B4709" w:rsidRPr="00877EE2" w:rsidRDefault="007B4709">
      <w:pPr>
        <w:rPr>
          <w:rFonts w:ascii="Times New Roman" w:hAnsi="Times New Roman" w:cs="Times New Roman"/>
          <w:sz w:val="24"/>
          <w:szCs w:val="24"/>
          <w:lang w:val="en-GB"/>
        </w:rPr>
      </w:pPr>
      <w:r w:rsidRPr="00877EE2">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IN" w:eastAsia="en-US"/>
        </w:rPr>
        <w:id w:val="2110697580"/>
        <w:docPartObj>
          <w:docPartGallery w:val="Table of Contents"/>
          <w:docPartUnique/>
        </w:docPartObj>
      </w:sdtPr>
      <w:sdtEndPr>
        <w:rPr>
          <w:noProof/>
        </w:rPr>
      </w:sdtEndPr>
      <w:sdtContent>
        <w:p w14:paraId="479C7E52" w14:textId="77777777" w:rsidR="006D7DC6" w:rsidRPr="00C602B8" w:rsidRDefault="006D7DC6" w:rsidP="00C602B8">
          <w:pPr>
            <w:pStyle w:val="TOCHeading"/>
            <w:spacing w:line="360" w:lineRule="auto"/>
            <w:rPr>
              <w:rFonts w:ascii="Times New Roman" w:hAnsi="Times New Roman" w:cs="Times New Roman"/>
              <w:sz w:val="24"/>
              <w:szCs w:val="24"/>
            </w:rPr>
          </w:pPr>
          <w:r w:rsidRPr="00C602B8">
            <w:rPr>
              <w:rFonts w:ascii="Times New Roman" w:hAnsi="Times New Roman" w:cs="Times New Roman"/>
              <w:sz w:val="24"/>
              <w:szCs w:val="24"/>
            </w:rPr>
            <w:t>Table of Contents</w:t>
          </w:r>
        </w:p>
        <w:p w14:paraId="59A6F0E5" w14:textId="77777777" w:rsidR="00C602B8" w:rsidRPr="00C602B8" w:rsidRDefault="006D7DC6" w:rsidP="00C602B8">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C602B8">
            <w:rPr>
              <w:rFonts w:ascii="Times New Roman" w:hAnsi="Times New Roman" w:cs="Times New Roman"/>
              <w:sz w:val="24"/>
              <w:szCs w:val="24"/>
            </w:rPr>
            <w:fldChar w:fldCharType="begin"/>
          </w:r>
          <w:r w:rsidRPr="00C602B8">
            <w:rPr>
              <w:rFonts w:ascii="Times New Roman" w:hAnsi="Times New Roman" w:cs="Times New Roman"/>
              <w:sz w:val="24"/>
              <w:szCs w:val="24"/>
            </w:rPr>
            <w:instrText xml:space="preserve"> TOC \o "1-3" \h \z \u </w:instrText>
          </w:r>
          <w:r w:rsidRPr="00C602B8">
            <w:rPr>
              <w:rFonts w:ascii="Times New Roman" w:hAnsi="Times New Roman" w:cs="Times New Roman"/>
              <w:sz w:val="24"/>
              <w:szCs w:val="24"/>
            </w:rPr>
            <w:fldChar w:fldCharType="separate"/>
          </w:r>
          <w:hyperlink w:anchor="_Toc214455533" w:history="1">
            <w:r w:rsidR="00C602B8" w:rsidRPr="00C602B8">
              <w:rPr>
                <w:rStyle w:val="Hyperlink"/>
                <w:rFonts w:ascii="Times New Roman" w:hAnsi="Times New Roman" w:cs="Times New Roman"/>
                <w:noProof/>
                <w:sz w:val="24"/>
                <w:szCs w:val="24"/>
                <w:lang w:val="en-GB"/>
              </w:rPr>
              <w:t>Introduction</w:t>
            </w:r>
            <w:r w:rsidR="00C602B8" w:rsidRPr="00C602B8">
              <w:rPr>
                <w:rFonts w:ascii="Times New Roman" w:hAnsi="Times New Roman" w:cs="Times New Roman"/>
                <w:noProof/>
                <w:webHidden/>
                <w:sz w:val="24"/>
                <w:szCs w:val="24"/>
              </w:rPr>
              <w:tab/>
            </w:r>
            <w:r w:rsidR="00C602B8" w:rsidRPr="00C602B8">
              <w:rPr>
                <w:rFonts w:ascii="Times New Roman" w:hAnsi="Times New Roman" w:cs="Times New Roman"/>
                <w:noProof/>
                <w:webHidden/>
                <w:sz w:val="24"/>
                <w:szCs w:val="24"/>
              </w:rPr>
              <w:fldChar w:fldCharType="begin"/>
            </w:r>
            <w:r w:rsidR="00C602B8" w:rsidRPr="00C602B8">
              <w:rPr>
                <w:rFonts w:ascii="Times New Roman" w:hAnsi="Times New Roman" w:cs="Times New Roman"/>
                <w:noProof/>
                <w:webHidden/>
                <w:sz w:val="24"/>
                <w:szCs w:val="24"/>
              </w:rPr>
              <w:instrText xml:space="preserve"> PAGEREF _Toc214455533 \h </w:instrText>
            </w:r>
            <w:r w:rsidR="00C602B8" w:rsidRPr="00C602B8">
              <w:rPr>
                <w:rFonts w:ascii="Times New Roman" w:hAnsi="Times New Roman" w:cs="Times New Roman"/>
                <w:noProof/>
                <w:webHidden/>
                <w:sz w:val="24"/>
                <w:szCs w:val="24"/>
              </w:rPr>
            </w:r>
            <w:r w:rsidR="00C602B8" w:rsidRPr="00C602B8">
              <w:rPr>
                <w:rFonts w:ascii="Times New Roman" w:hAnsi="Times New Roman" w:cs="Times New Roman"/>
                <w:noProof/>
                <w:webHidden/>
                <w:sz w:val="24"/>
                <w:szCs w:val="24"/>
              </w:rPr>
              <w:fldChar w:fldCharType="separate"/>
            </w:r>
            <w:r w:rsidR="00C602B8" w:rsidRPr="00C602B8">
              <w:rPr>
                <w:rFonts w:ascii="Times New Roman" w:hAnsi="Times New Roman" w:cs="Times New Roman"/>
                <w:noProof/>
                <w:webHidden/>
                <w:sz w:val="24"/>
                <w:szCs w:val="24"/>
              </w:rPr>
              <w:t>3</w:t>
            </w:r>
            <w:r w:rsidR="00C602B8" w:rsidRPr="00C602B8">
              <w:rPr>
                <w:rFonts w:ascii="Times New Roman" w:hAnsi="Times New Roman" w:cs="Times New Roman"/>
                <w:noProof/>
                <w:webHidden/>
                <w:sz w:val="24"/>
                <w:szCs w:val="24"/>
              </w:rPr>
              <w:fldChar w:fldCharType="end"/>
            </w:r>
          </w:hyperlink>
        </w:p>
        <w:p w14:paraId="74746A9D" w14:textId="77777777" w:rsidR="00C602B8" w:rsidRPr="00C602B8" w:rsidRDefault="00C602B8" w:rsidP="00C602B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4455534" w:history="1">
            <w:r w:rsidRPr="00C602B8">
              <w:rPr>
                <w:rStyle w:val="Hyperlink"/>
                <w:rFonts w:ascii="Times New Roman" w:hAnsi="Times New Roman" w:cs="Times New Roman"/>
                <w:noProof/>
                <w:sz w:val="24"/>
                <w:szCs w:val="24"/>
                <w:lang w:val="en-GB"/>
              </w:rPr>
              <w:t>1. Financial Health Check</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_Toc214455534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3</w:t>
            </w:r>
            <w:r w:rsidRPr="00C602B8">
              <w:rPr>
                <w:rFonts w:ascii="Times New Roman" w:hAnsi="Times New Roman" w:cs="Times New Roman"/>
                <w:noProof/>
                <w:webHidden/>
                <w:sz w:val="24"/>
                <w:szCs w:val="24"/>
              </w:rPr>
              <w:fldChar w:fldCharType="end"/>
            </w:r>
          </w:hyperlink>
        </w:p>
        <w:p w14:paraId="312AF8AE"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35" w:history="1">
            <w:r w:rsidRPr="00C602B8">
              <w:rPr>
                <w:rStyle w:val="Hyperlink"/>
                <w:rFonts w:ascii="Times New Roman" w:hAnsi="Times New Roman" w:cs="Times New Roman"/>
                <w:noProof/>
                <w:sz w:val="24"/>
                <w:szCs w:val="24"/>
                <w:lang w:val="en-GB"/>
              </w:rPr>
              <w:t>1.1 Analysis of the Firm’s Financial Statements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_Toc214455535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3</w:t>
            </w:r>
            <w:r w:rsidRPr="00C602B8">
              <w:rPr>
                <w:rFonts w:ascii="Times New Roman" w:hAnsi="Times New Roman" w:cs="Times New Roman"/>
                <w:noProof/>
                <w:webHidden/>
                <w:sz w:val="24"/>
                <w:szCs w:val="24"/>
              </w:rPr>
              <w:fldChar w:fldCharType="end"/>
            </w:r>
          </w:hyperlink>
        </w:p>
        <w:p w14:paraId="5892F769"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36" w:history="1">
            <w:r w:rsidRPr="00C602B8">
              <w:rPr>
                <w:rStyle w:val="Hyperlink"/>
                <w:rFonts w:ascii="Times New Roman" w:hAnsi="Times New Roman" w:cs="Times New Roman"/>
                <w:noProof/>
                <w:sz w:val="24"/>
                <w:szCs w:val="24"/>
                <w:lang w:val="en-GB"/>
              </w:rPr>
              <w:t>1.2 Ratio Analysis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_Toc214455536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4</w:t>
            </w:r>
            <w:r w:rsidRPr="00C602B8">
              <w:rPr>
                <w:rFonts w:ascii="Times New Roman" w:hAnsi="Times New Roman" w:cs="Times New Roman"/>
                <w:noProof/>
                <w:webHidden/>
                <w:sz w:val="24"/>
                <w:szCs w:val="24"/>
              </w:rPr>
              <w:fldChar w:fldCharType="end"/>
            </w:r>
          </w:hyperlink>
        </w:p>
        <w:p w14:paraId="192A6CEF"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37" w:history="1">
            <w:r w:rsidRPr="00C602B8">
              <w:rPr>
                <w:rStyle w:val="Hyperlink"/>
                <w:rFonts w:ascii="Times New Roman" w:hAnsi="Times New Roman" w:cs="Times New Roman"/>
                <w:noProof/>
                <w:sz w:val="24"/>
                <w:szCs w:val="24"/>
                <w:lang w:val="en-GB"/>
              </w:rPr>
              <w:t>1.3 Trends, Strengths and Threats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_Toc214455537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5</w:t>
            </w:r>
            <w:r w:rsidRPr="00C602B8">
              <w:rPr>
                <w:rFonts w:ascii="Times New Roman" w:hAnsi="Times New Roman" w:cs="Times New Roman"/>
                <w:noProof/>
                <w:webHidden/>
                <w:sz w:val="24"/>
                <w:szCs w:val="24"/>
              </w:rPr>
              <w:fldChar w:fldCharType="end"/>
            </w:r>
          </w:hyperlink>
        </w:p>
        <w:p w14:paraId="0BA1D4FC"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38" w:history="1">
            <w:r w:rsidRPr="00C602B8">
              <w:rPr>
                <w:rStyle w:val="Hyperlink"/>
                <w:rFonts w:ascii="Times New Roman" w:hAnsi="Times New Roman" w:cs="Times New Roman"/>
                <w:noProof/>
                <w:sz w:val="24"/>
                <w:szCs w:val="24"/>
                <w:lang w:val="en-GB"/>
              </w:rPr>
              <w:t>1.4 Corporate Failure Prediction (Altman Z-Score)</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_Toc214455538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7</w:t>
            </w:r>
            <w:r w:rsidRPr="00C602B8">
              <w:rPr>
                <w:rFonts w:ascii="Times New Roman" w:hAnsi="Times New Roman" w:cs="Times New Roman"/>
                <w:noProof/>
                <w:webHidden/>
                <w:sz w:val="24"/>
                <w:szCs w:val="24"/>
              </w:rPr>
              <w:fldChar w:fldCharType="end"/>
            </w:r>
          </w:hyperlink>
        </w:p>
        <w:p w14:paraId="5A7477F3" w14:textId="77777777" w:rsidR="00C602B8" w:rsidRPr="00C602B8" w:rsidRDefault="00C602B8" w:rsidP="00C602B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4455539" w:history="1">
            <w:r w:rsidRPr="00C602B8">
              <w:rPr>
                <w:rStyle w:val="Hyperlink"/>
                <w:rFonts w:ascii="Times New Roman" w:hAnsi="Times New Roman" w:cs="Times New Roman"/>
                <w:noProof/>
                <w:sz w:val="24"/>
                <w:szCs w:val="24"/>
                <w:lang w:val="en-GB"/>
              </w:rPr>
              <w:t>2. Working Capital Management Analysis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_Toc214455539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8</w:t>
            </w:r>
            <w:r w:rsidRPr="00C602B8">
              <w:rPr>
                <w:rFonts w:ascii="Times New Roman" w:hAnsi="Times New Roman" w:cs="Times New Roman"/>
                <w:noProof/>
                <w:webHidden/>
                <w:sz w:val="24"/>
                <w:szCs w:val="24"/>
              </w:rPr>
              <w:fldChar w:fldCharType="end"/>
            </w:r>
          </w:hyperlink>
        </w:p>
        <w:p w14:paraId="412A8C27"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40" w:history="1">
            <w:r w:rsidRPr="00C602B8">
              <w:rPr>
                <w:rStyle w:val="Hyperlink"/>
                <w:rFonts w:ascii="Times New Roman" w:hAnsi="Times New Roman" w:cs="Times New Roman"/>
                <w:noProof/>
                <w:sz w:val="24"/>
                <w:szCs w:val="24"/>
                <w:lang w:val="en-GB"/>
              </w:rPr>
              <w:t>2.1 Assessment of the Cash Operating Cycle</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_Toc214455540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8</w:t>
            </w:r>
            <w:r w:rsidRPr="00C602B8">
              <w:rPr>
                <w:rFonts w:ascii="Times New Roman" w:hAnsi="Times New Roman" w:cs="Times New Roman"/>
                <w:noProof/>
                <w:webHidden/>
                <w:sz w:val="24"/>
                <w:szCs w:val="24"/>
              </w:rPr>
              <w:fldChar w:fldCharType="end"/>
            </w:r>
          </w:hyperlink>
        </w:p>
        <w:p w14:paraId="184F9D12"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41" w:history="1">
            <w:r w:rsidRPr="00C602B8">
              <w:rPr>
                <w:rStyle w:val="Hyperlink"/>
                <w:rFonts w:ascii="Times New Roman" w:hAnsi="Times New Roman" w:cs="Times New Roman"/>
                <w:noProof/>
                <w:sz w:val="24"/>
                <w:szCs w:val="24"/>
                <w:lang w:val="en-GB"/>
              </w:rPr>
              <w:t>2.2 Strategies to Improve Liquidity through Working Capital Reforms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_Toc214455541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9</w:t>
            </w:r>
            <w:r w:rsidRPr="00C602B8">
              <w:rPr>
                <w:rFonts w:ascii="Times New Roman" w:hAnsi="Times New Roman" w:cs="Times New Roman"/>
                <w:noProof/>
                <w:webHidden/>
                <w:sz w:val="24"/>
                <w:szCs w:val="24"/>
              </w:rPr>
              <w:fldChar w:fldCharType="end"/>
            </w:r>
          </w:hyperlink>
        </w:p>
        <w:p w14:paraId="41497A67"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42" w:history="1">
            <w:r w:rsidRPr="00C602B8">
              <w:rPr>
                <w:rStyle w:val="Hyperlink"/>
                <w:rFonts w:ascii="Times New Roman" w:hAnsi="Times New Roman" w:cs="Times New Roman"/>
                <w:noProof/>
                <w:sz w:val="24"/>
                <w:szCs w:val="24"/>
                <w:lang w:val="en-GB"/>
              </w:rPr>
              <w:t>2.3 Comparison of Short-Term and Long-Term Financing Options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_Toc214455542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9</w:t>
            </w:r>
            <w:r w:rsidRPr="00C602B8">
              <w:rPr>
                <w:rFonts w:ascii="Times New Roman" w:hAnsi="Times New Roman" w:cs="Times New Roman"/>
                <w:noProof/>
                <w:webHidden/>
                <w:sz w:val="24"/>
                <w:szCs w:val="24"/>
              </w:rPr>
              <w:fldChar w:fldCharType="end"/>
            </w:r>
          </w:hyperlink>
        </w:p>
        <w:p w14:paraId="3AE9AA78" w14:textId="77777777" w:rsidR="00C602B8" w:rsidRPr="00C602B8" w:rsidRDefault="00C602B8" w:rsidP="00C602B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4455543" w:history="1">
            <w:r w:rsidRPr="00C602B8">
              <w:rPr>
                <w:rStyle w:val="Hyperlink"/>
                <w:rFonts w:ascii="Times New Roman" w:hAnsi="Times New Roman" w:cs="Times New Roman"/>
                <w:noProof/>
                <w:sz w:val="24"/>
                <w:szCs w:val="24"/>
              </w:rPr>
              <w:t>3. Strategic Financial Restructuring Plan</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_Toc214455543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11</w:t>
            </w:r>
            <w:r w:rsidRPr="00C602B8">
              <w:rPr>
                <w:rFonts w:ascii="Times New Roman" w:hAnsi="Times New Roman" w:cs="Times New Roman"/>
                <w:noProof/>
                <w:webHidden/>
                <w:sz w:val="24"/>
                <w:szCs w:val="24"/>
              </w:rPr>
              <w:fldChar w:fldCharType="end"/>
            </w:r>
          </w:hyperlink>
        </w:p>
        <w:p w14:paraId="313D8A65"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44" w:history="1">
            <w:r w:rsidRPr="00C602B8">
              <w:rPr>
                <w:rStyle w:val="Hyperlink"/>
                <w:rFonts w:ascii="Times New Roman" w:hAnsi="Times New Roman" w:cs="Times New Roman"/>
                <w:noProof/>
                <w:sz w:val="24"/>
                <w:szCs w:val="24"/>
                <w:lang w:val="en-GB"/>
              </w:rPr>
              <w:t>3.1 Recommended Financial Restructuring Options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_Toc214455544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11</w:t>
            </w:r>
            <w:r w:rsidRPr="00C602B8">
              <w:rPr>
                <w:rFonts w:ascii="Times New Roman" w:hAnsi="Times New Roman" w:cs="Times New Roman"/>
                <w:noProof/>
                <w:webHidden/>
                <w:sz w:val="24"/>
                <w:szCs w:val="24"/>
              </w:rPr>
              <w:fldChar w:fldCharType="end"/>
            </w:r>
          </w:hyperlink>
        </w:p>
        <w:p w14:paraId="20F32580"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45" w:history="1">
            <w:r w:rsidRPr="00C602B8">
              <w:rPr>
                <w:rStyle w:val="Hyperlink"/>
                <w:rFonts w:ascii="Times New Roman" w:hAnsi="Times New Roman" w:cs="Times New Roman"/>
                <w:noProof/>
                <w:sz w:val="24"/>
                <w:szCs w:val="24"/>
                <w:lang w:val="en-GB"/>
              </w:rPr>
              <w:t>3.2 Impact on Shareholder Value, Debt Structure, and Operational Flexibility</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_Toc214455545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12</w:t>
            </w:r>
            <w:r w:rsidRPr="00C602B8">
              <w:rPr>
                <w:rFonts w:ascii="Times New Roman" w:hAnsi="Times New Roman" w:cs="Times New Roman"/>
                <w:noProof/>
                <w:webHidden/>
                <w:sz w:val="24"/>
                <w:szCs w:val="24"/>
              </w:rPr>
              <w:fldChar w:fldCharType="end"/>
            </w:r>
          </w:hyperlink>
        </w:p>
        <w:p w14:paraId="2AF26D0D"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46" w:history="1">
            <w:r w:rsidRPr="00C602B8">
              <w:rPr>
                <w:rStyle w:val="Hyperlink"/>
                <w:rFonts w:ascii="Times New Roman" w:hAnsi="Times New Roman" w:cs="Times New Roman"/>
                <w:noProof/>
                <w:sz w:val="24"/>
                <w:szCs w:val="24"/>
                <w:lang w:val="en-GB"/>
              </w:rPr>
              <w:t>3.3 International and Ethical Considerations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_Toc214455546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13</w:t>
            </w:r>
            <w:r w:rsidRPr="00C602B8">
              <w:rPr>
                <w:rFonts w:ascii="Times New Roman" w:hAnsi="Times New Roman" w:cs="Times New Roman"/>
                <w:noProof/>
                <w:webHidden/>
                <w:sz w:val="24"/>
                <w:szCs w:val="24"/>
              </w:rPr>
              <w:fldChar w:fldCharType="end"/>
            </w:r>
          </w:hyperlink>
        </w:p>
        <w:p w14:paraId="314E657D" w14:textId="77777777" w:rsidR="00C602B8" w:rsidRPr="00C602B8" w:rsidRDefault="00C602B8" w:rsidP="00C602B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4455547" w:history="1">
            <w:r w:rsidRPr="00C602B8">
              <w:rPr>
                <w:rStyle w:val="Hyperlink"/>
                <w:rFonts w:ascii="Times New Roman" w:hAnsi="Times New Roman" w:cs="Times New Roman"/>
                <w:noProof/>
                <w:sz w:val="24"/>
                <w:szCs w:val="24"/>
                <w:lang w:val="en-GB"/>
              </w:rPr>
              <w:t>4. Investment Appraisal and Capital Budgeting</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_Toc214455547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15</w:t>
            </w:r>
            <w:r w:rsidRPr="00C602B8">
              <w:rPr>
                <w:rFonts w:ascii="Times New Roman" w:hAnsi="Times New Roman" w:cs="Times New Roman"/>
                <w:noProof/>
                <w:webHidden/>
                <w:sz w:val="24"/>
                <w:szCs w:val="24"/>
              </w:rPr>
              <w:fldChar w:fldCharType="end"/>
            </w:r>
          </w:hyperlink>
        </w:p>
        <w:p w14:paraId="2798371E"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48" w:history="1">
            <w:r w:rsidRPr="00C602B8">
              <w:rPr>
                <w:rStyle w:val="Hyperlink"/>
                <w:rFonts w:ascii="Times New Roman" w:hAnsi="Times New Roman" w:cs="Times New Roman"/>
                <w:noProof/>
                <w:sz w:val="24"/>
                <w:szCs w:val="24"/>
                <w:lang w:val="en-GB"/>
              </w:rPr>
              <w:t>4.1 Investment Calculation</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_Toc214455548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15</w:t>
            </w:r>
            <w:r w:rsidRPr="00C602B8">
              <w:rPr>
                <w:rFonts w:ascii="Times New Roman" w:hAnsi="Times New Roman" w:cs="Times New Roman"/>
                <w:noProof/>
                <w:webHidden/>
                <w:sz w:val="24"/>
                <w:szCs w:val="24"/>
              </w:rPr>
              <w:fldChar w:fldCharType="end"/>
            </w:r>
          </w:hyperlink>
        </w:p>
        <w:p w14:paraId="1587310C"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49" w:history="1">
            <w:r w:rsidRPr="00C602B8">
              <w:rPr>
                <w:rStyle w:val="Hyperlink"/>
                <w:rFonts w:ascii="Times New Roman" w:hAnsi="Times New Roman" w:cs="Times New Roman"/>
                <w:noProof/>
                <w:sz w:val="24"/>
                <w:szCs w:val="24"/>
                <w:lang w:val="en-GB"/>
              </w:rPr>
              <w:t>4.2 Capital Rationing Decision</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_Toc214455549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17</w:t>
            </w:r>
            <w:r w:rsidRPr="00C602B8">
              <w:rPr>
                <w:rFonts w:ascii="Times New Roman" w:hAnsi="Times New Roman" w:cs="Times New Roman"/>
                <w:noProof/>
                <w:webHidden/>
                <w:sz w:val="24"/>
                <w:szCs w:val="24"/>
              </w:rPr>
              <w:fldChar w:fldCharType="end"/>
            </w:r>
          </w:hyperlink>
        </w:p>
        <w:p w14:paraId="7E716735"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50" w:history="1">
            <w:r w:rsidRPr="00C602B8">
              <w:rPr>
                <w:rStyle w:val="Hyperlink"/>
                <w:rFonts w:ascii="Times New Roman" w:hAnsi="Times New Roman" w:cs="Times New Roman"/>
                <w:noProof/>
                <w:sz w:val="24"/>
                <w:szCs w:val="24"/>
                <w:lang w:val="en-GB"/>
              </w:rPr>
              <w:t>4.3 Justification of Investment Recommendation</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_Toc214455550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18</w:t>
            </w:r>
            <w:r w:rsidRPr="00C602B8">
              <w:rPr>
                <w:rFonts w:ascii="Times New Roman" w:hAnsi="Times New Roman" w:cs="Times New Roman"/>
                <w:noProof/>
                <w:webHidden/>
                <w:sz w:val="24"/>
                <w:szCs w:val="24"/>
              </w:rPr>
              <w:fldChar w:fldCharType="end"/>
            </w:r>
          </w:hyperlink>
        </w:p>
        <w:p w14:paraId="5F9151E4"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51" w:history="1">
            <w:r w:rsidRPr="00C602B8">
              <w:rPr>
                <w:rStyle w:val="Hyperlink"/>
                <w:rFonts w:ascii="Times New Roman" w:hAnsi="Times New Roman" w:cs="Times New Roman"/>
                <w:noProof/>
                <w:sz w:val="24"/>
                <w:szCs w:val="24"/>
                <w:lang w:val="en-GB"/>
              </w:rPr>
              <w:t>4.4 Project Risk Characteristics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_Toc214455551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19</w:t>
            </w:r>
            <w:r w:rsidRPr="00C602B8">
              <w:rPr>
                <w:rFonts w:ascii="Times New Roman" w:hAnsi="Times New Roman" w:cs="Times New Roman"/>
                <w:noProof/>
                <w:webHidden/>
                <w:sz w:val="24"/>
                <w:szCs w:val="24"/>
              </w:rPr>
              <w:fldChar w:fldCharType="end"/>
            </w:r>
          </w:hyperlink>
        </w:p>
        <w:p w14:paraId="64FF7869" w14:textId="77777777" w:rsidR="00C602B8" w:rsidRPr="00C602B8" w:rsidRDefault="00C602B8" w:rsidP="00C602B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4455552" w:history="1">
            <w:r w:rsidRPr="00C602B8">
              <w:rPr>
                <w:rStyle w:val="Hyperlink"/>
                <w:rFonts w:ascii="Times New Roman" w:hAnsi="Times New Roman" w:cs="Times New Roman"/>
                <w:noProof/>
                <w:sz w:val="24"/>
                <w:szCs w:val="24"/>
                <w:lang w:val="en-GB"/>
              </w:rPr>
              <w:t>Conclusion</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_Toc214455552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20</w:t>
            </w:r>
            <w:r w:rsidRPr="00C602B8">
              <w:rPr>
                <w:rFonts w:ascii="Times New Roman" w:hAnsi="Times New Roman" w:cs="Times New Roman"/>
                <w:noProof/>
                <w:webHidden/>
                <w:sz w:val="24"/>
                <w:szCs w:val="24"/>
              </w:rPr>
              <w:fldChar w:fldCharType="end"/>
            </w:r>
          </w:hyperlink>
        </w:p>
        <w:p w14:paraId="37BB3328" w14:textId="77777777" w:rsidR="00C602B8" w:rsidRPr="00C602B8" w:rsidRDefault="00C602B8" w:rsidP="00C602B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4455553" w:history="1">
            <w:r w:rsidRPr="00C602B8">
              <w:rPr>
                <w:rStyle w:val="Hyperlink"/>
                <w:rFonts w:ascii="Times New Roman" w:hAnsi="Times New Roman" w:cs="Times New Roman"/>
                <w:noProof/>
                <w:sz w:val="24"/>
                <w:szCs w:val="24"/>
                <w:lang w:val="en-GB"/>
              </w:rPr>
              <w:t>Reference</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_Toc214455553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21</w:t>
            </w:r>
            <w:r w:rsidRPr="00C602B8">
              <w:rPr>
                <w:rFonts w:ascii="Times New Roman" w:hAnsi="Times New Roman" w:cs="Times New Roman"/>
                <w:noProof/>
                <w:webHidden/>
                <w:sz w:val="24"/>
                <w:szCs w:val="24"/>
              </w:rPr>
              <w:fldChar w:fldCharType="end"/>
            </w:r>
          </w:hyperlink>
        </w:p>
        <w:p w14:paraId="23A6454C" w14:textId="77777777" w:rsidR="00C602B8" w:rsidRPr="00C602B8" w:rsidRDefault="00C602B8" w:rsidP="00C602B8">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14455554" w:history="1">
            <w:r w:rsidRPr="00C602B8">
              <w:rPr>
                <w:rStyle w:val="Hyperlink"/>
                <w:rFonts w:ascii="Times New Roman" w:hAnsi="Times New Roman" w:cs="Times New Roman"/>
                <w:noProof/>
                <w:sz w:val="24"/>
                <w:szCs w:val="24"/>
                <w:lang w:val="en-GB"/>
              </w:rPr>
              <w:t>Appendices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_Toc214455554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24</w:t>
            </w:r>
            <w:r w:rsidRPr="00C602B8">
              <w:rPr>
                <w:rFonts w:ascii="Times New Roman" w:hAnsi="Times New Roman" w:cs="Times New Roman"/>
                <w:noProof/>
                <w:webHidden/>
                <w:sz w:val="24"/>
                <w:szCs w:val="24"/>
              </w:rPr>
              <w:fldChar w:fldCharType="end"/>
            </w:r>
          </w:hyperlink>
        </w:p>
        <w:p w14:paraId="3CBD3E31"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55" w:history="1">
            <w:r w:rsidRPr="00C602B8">
              <w:rPr>
                <w:rStyle w:val="Hyperlink"/>
                <w:rFonts w:ascii="Times New Roman" w:hAnsi="Times New Roman" w:cs="Times New Roman"/>
                <w:noProof/>
                <w:sz w:val="24"/>
                <w:szCs w:val="24"/>
                <w:lang w:val="en-GB"/>
              </w:rPr>
              <w:t>1. Ratio Calculation</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_Toc214455555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24</w:t>
            </w:r>
            <w:r w:rsidRPr="00C602B8">
              <w:rPr>
                <w:rFonts w:ascii="Times New Roman" w:hAnsi="Times New Roman" w:cs="Times New Roman"/>
                <w:noProof/>
                <w:webHidden/>
                <w:sz w:val="24"/>
                <w:szCs w:val="24"/>
              </w:rPr>
              <w:fldChar w:fldCharType="end"/>
            </w:r>
          </w:hyperlink>
        </w:p>
        <w:p w14:paraId="43079F83" w14:textId="77777777" w:rsidR="00C602B8" w:rsidRPr="00C602B8" w:rsidRDefault="00C602B8" w:rsidP="00C602B8">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14455556" w:history="1">
            <w:r w:rsidRPr="00C602B8">
              <w:rPr>
                <w:rStyle w:val="Hyperlink"/>
                <w:rFonts w:ascii="Times New Roman" w:hAnsi="Times New Roman" w:cs="Times New Roman"/>
                <w:noProof/>
                <w:sz w:val="24"/>
                <w:szCs w:val="24"/>
                <w:lang w:val="en-GB"/>
              </w:rPr>
              <w:t>2. Investment Appraisal Calculations</w:t>
            </w:r>
            <w:r w:rsidRPr="00C602B8">
              <w:rPr>
                <w:rFonts w:ascii="Times New Roman" w:hAnsi="Times New Roman" w:cs="Times New Roman"/>
                <w:noProof/>
                <w:webHidden/>
                <w:sz w:val="24"/>
                <w:szCs w:val="24"/>
              </w:rPr>
              <w:tab/>
            </w:r>
            <w:r w:rsidRPr="00C602B8">
              <w:rPr>
                <w:rFonts w:ascii="Times New Roman" w:hAnsi="Times New Roman" w:cs="Times New Roman"/>
                <w:noProof/>
                <w:webHidden/>
                <w:sz w:val="24"/>
                <w:szCs w:val="24"/>
              </w:rPr>
              <w:fldChar w:fldCharType="begin"/>
            </w:r>
            <w:r w:rsidRPr="00C602B8">
              <w:rPr>
                <w:rFonts w:ascii="Times New Roman" w:hAnsi="Times New Roman" w:cs="Times New Roman"/>
                <w:noProof/>
                <w:webHidden/>
                <w:sz w:val="24"/>
                <w:szCs w:val="24"/>
              </w:rPr>
              <w:instrText xml:space="preserve"> PAGEREF _Toc214455556 \h </w:instrText>
            </w:r>
            <w:r w:rsidRPr="00C602B8">
              <w:rPr>
                <w:rFonts w:ascii="Times New Roman" w:hAnsi="Times New Roman" w:cs="Times New Roman"/>
                <w:noProof/>
                <w:webHidden/>
                <w:sz w:val="24"/>
                <w:szCs w:val="24"/>
              </w:rPr>
            </w:r>
            <w:r w:rsidRPr="00C602B8">
              <w:rPr>
                <w:rFonts w:ascii="Times New Roman" w:hAnsi="Times New Roman" w:cs="Times New Roman"/>
                <w:noProof/>
                <w:webHidden/>
                <w:sz w:val="24"/>
                <w:szCs w:val="24"/>
              </w:rPr>
              <w:fldChar w:fldCharType="separate"/>
            </w:r>
            <w:r w:rsidRPr="00C602B8">
              <w:rPr>
                <w:rFonts w:ascii="Times New Roman" w:hAnsi="Times New Roman" w:cs="Times New Roman"/>
                <w:noProof/>
                <w:webHidden/>
                <w:sz w:val="24"/>
                <w:szCs w:val="24"/>
              </w:rPr>
              <w:t>27</w:t>
            </w:r>
            <w:r w:rsidRPr="00C602B8">
              <w:rPr>
                <w:rFonts w:ascii="Times New Roman" w:hAnsi="Times New Roman" w:cs="Times New Roman"/>
                <w:noProof/>
                <w:webHidden/>
                <w:sz w:val="24"/>
                <w:szCs w:val="24"/>
              </w:rPr>
              <w:fldChar w:fldCharType="end"/>
            </w:r>
          </w:hyperlink>
        </w:p>
        <w:p w14:paraId="167F49E5" w14:textId="77777777" w:rsidR="006D7DC6" w:rsidRDefault="006D7DC6" w:rsidP="00C602B8">
          <w:pPr>
            <w:spacing w:line="360" w:lineRule="auto"/>
          </w:pPr>
          <w:r w:rsidRPr="00C602B8">
            <w:rPr>
              <w:rFonts w:ascii="Times New Roman" w:hAnsi="Times New Roman" w:cs="Times New Roman"/>
              <w:b/>
              <w:bCs/>
              <w:noProof/>
              <w:sz w:val="24"/>
              <w:szCs w:val="24"/>
            </w:rPr>
            <w:fldChar w:fldCharType="end"/>
          </w:r>
        </w:p>
      </w:sdtContent>
    </w:sdt>
    <w:p w14:paraId="2C429FD9" w14:textId="77777777" w:rsidR="006D7DC6" w:rsidRDefault="006D7DC6">
      <w:pPr>
        <w:rPr>
          <w:rFonts w:asciiTheme="majorHAnsi" w:eastAsiaTheme="majorEastAsia" w:hAnsiTheme="majorHAnsi" w:cstheme="majorBidi"/>
          <w:b/>
          <w:bCs/>
          <w:color w:val="365F91" w:themeColor="accent1" w:themeShade="BF"/>
          <w:sz w:val="28"/>
          <w:szCs w:val="28"/>
          <w:lang w:val="en-GB"/>
        </w:rPr>
      </w:pPr>
      <w:r>
        <w:rPr>
          <w:lang w:val="en-GB"/>
        </w:rPr>
        <w:br w:type="page"/>
      </w:r>
    </w:p>
    <w:p w14:paraId="12FB1084" w14:textId="77777777" w:rsidR="008A5FED" w:rsidRPr="00877EE2" w:rsidRDefault="007034BF" w:rsidP="00495394">
      <w:pPr>
        <w:pStyle w:val="Heading1"/>
        <w:rPr>
          <w:lang w:val="en-GB"/>
        </w:rPr>
      </w:pPr>
      <w:bookmarkStart w:id="0" w:name="_Toc214455533"/>
      <w:r w:rsidRPr="00877EE2">
        <w:rPr>
          <w:lang w:val="en-GB"/>
        </w:rPr>
        <w:lastRenderedPageBreak/>
        <w:t>Introduction</w:t>
      </w:r>
      <w:bookmarkEnd w:id="0"/>
      <w:r w:rsidRPr="00877EE2">
        <w:rPr>
          <w:lang w:val="en-GB"/>
        </w:rPr>
        <w:t xml:space="preserve"> </w:t>
      </w:r>
    </w:p>
    <w:p w14:paraId="44B552C6" w14:textId="77777777" w:rsidR="007034BF" w:rsidRPr="00877EE2" w:rsidRDefault="007034BF"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This report provides a comprehensive financial evaluation of the company by analysing its financial statements, ratio performance, and overall financial health. It assesses profitability, liquidity, efficiency, cash flow strength, and solvency to identify key trends, strengths, and emerging risks. Detailed working capital and restructuring strategies are examined to support short-term stability and long-term growth. Furthermore, three major investment proposals are appraised using capital budgeting techniques to determine the most financially viable option under capital rationing.</w:t>
      </w:r>
    </w:p>
    <w:p w14:paraId="7B353FF5" w14:textId="77777777" w:rsidR="008A5FED" w:rsidRPr="00877EE2" w:rsidRDefault="0053505C" w:rsidP="00881A34">
      <w:pPr>
        <w:spacing w:line="360" w:lineRule="auto"/>
        <w:jc w:val="both"/>
        <w:rPr>
          <w:rFonts w:ascii="Times New Roman" w:hAnsi="Times New Roman" w:cs="Times New Roman"/>
          <w:sz w:val="24"/>
          <w:szCs w:val="24"/>
          <w:lang w:val="en-GB"/>
        </w:rPr>
      </w:pPr>
      <w:bookmarkStart w:id="1" w:name="_Toc214455534"/>
      <w:r w:rsidRPr="00877EE2">
        <w:rPr>
          <w:rStyle w:val="Heading1Char"/>
          <w:lang w:val="en-GB"/>
        </w:rPr>
        <w:t xml:space="preserve">1. </w:t>
      </w:r>
      <w:r w:rsidR="008A5FED" w:rsidRPr="00877EE2">
        <w:rPr>
          <w:rStyle w:val="Heading1Char"/>
          <w:lang w:val="en-GB"/>
        </w:rPr>
        <w:t>Financial Health Check</w:t>
      </w:r>
      <w:bookmarkEnd w:id="1"/>
      <w:r w:rsidR="008A5FED" w:rsidRPr="00877EE2">
        <w:rPr>
          <w:rFonts w:ascii="Times New Roman" w:hAnsi="Times New Roman" w:cs="Times New Roman"/>
          <w:sz w:val="24"/>
          <w:szCs w:val="24"/>
          <w:lang w:val="en-GB"/>
        </w:rPr>
        <w:t xml:space="preserve"> </w:t>
      </w:r>
    </w:p>
    <w:p w14:paraId="44E38587" w14:textId="77777777" w:rsidR="00D5234F" w:rsidRPr="00877EE2" w:rsidRDefault="00D5234F" w:rsidP="00495394">
      <w:pPr>
        <w:pStyle w:val="Heading2"/>
        <w:rPr>
          <w:lang w:val="en-GB"/>
        </w:rPr>
      </w:pPr>
      <w:bookmarkStart w:id="2" w:name="_Toc214455535"/>
      <w:r w:rsidRPr="00877EE2">
        <w:rPr>
          <w:lang w:val="en-GB"/>
        </w:rPr>
        <w:t>1.</w:t>
      </w:r>
      <w:r w:rsidR="0053505C" w:rsidRPr="00877EE2">
        <w:rPr>
          <w:lang w:val="en-GB"/>
        </w:rPr>
        <w:t>1</w:t>
      </w:r>
      <w:r w:rsidRPr="00877EE2">
        <w:rPr>
          <w:lang w:val="en-GB"/>
        </w:rPr>
        <w:t xml:space="preserve"> Analysis of the Firm’s Financial Statements</w:t>
      </w:r>
      <w:bookmarkEnd w:id="2"/>
    </w:p>
    <w:p w14:paraId="678658B1" w14:textId="77777777" w:rsidR="008140EB" w:rsidRPr="00877EE2" w:rsidRDefault="008140EB" w:rsidP="008140EB">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Financial statement analysis will be an indispensable source of evaluating the financial health of the firm in general. Thus, analysing the income statement, balance sheet, and cash flow statement between the years 2020 and 2024, it is evident how the operational performance, financial position of the firm, and its liquidity have been changing. The analysis brings to the foremost developments in revenue, costs, assets, liabilities and cash flows within the </w:t>
      </w:r>
      <w:proofErr w:type="spellStart"/>
      <w:r w:rsidRPr="00877EE2">
        <w:rPr>
          <w:rFonts w:ascii="Times New Roman" w:hAnsi="Times New Roman" w:cs="Times New Roman"/>
          <w:sz w:val="24"/>
          <w:szCs w:val="24"/>
          <w:lang w:val="en-GB"/>
        </w:rPr>
        <w:t>organization</w:t>
      </w:r>
      <w:proofErr w:type="spellEnd"/>
      <w:r w:rsidRPr="00877EE2">
        <w:rPr>
          <w:rFonts w:ascii="Times New Roman" w:hAnsi="Times New Roman" w:cs="Times New Roman"/>
          <w:sz w:val="24"/>
          <w:szCs w:val="24"/>
          <w:lang w:val="en-GB"/>
        </w:rPr>
        <w:t xml:space="preserve"> that contribute towards long term sustainability</w:t>
      </w:r>
      <w:r w:rsidR="00C405CF" w:rsidRPr="00877EE2">
        <w:rPr>
          <w:rFonts w:ascii="Times New Roman" w:hAnsi="Times New Roman" w:cs="Times New Roman"/>
          <w:sz w:val="24"/>
          <w:szCs w:val="24"/>
          <w:lang w:val="en-GB"/>
        </w:rPr>
        <w:t xml:space="preserve"> (</w:t>
      </w:r>
      <w:proofErr w:type="spellStart"/>
      <w:r w:rsidR="00C405CF" w:rsidRPr="00877EE2">
        <w:rPr>
          <w:rFonts w:ascii="Times New Roman" w:hAnsi="Times New Roman" w:cs="Times New Roman"/>
          <w:sz w:val="24"/>
          <w:szCs w:val="24"/>
          <w:lang w:val="en-GB"/>
        </w:rPr>
        <w:t>Palepu</w:t>
      </w:r>
      <w:proofErr w:type="spellEnd"/>
      <w:r w:rsidR="00C405CF" w:rsidRPr="00877EE2">
        <w:rPr>
          <w:rFonts w:ascii="Times New Roman" w:hAnsi="Times New Roman" w:cs="Times New Roman"/>
          <w:sz w:val="24"/>
          <w:szCs w:val="24"/>
          <w:lang w:val="en-GB"/>
        </w:rPr>
        <w:t xml:space="preserve"> et al., 2020)</w:t>
      </w:r>
      <w:r w:rsidRPr="00877EE2">
        <w:rPr>
          <w:rFonts w:ascii="Times New Roman" w:hAnsi="Times New Roman" w:cs="Times New Roman"/>
          <w:sz w:val="24"/>
          <w:szCs w:val="24"/>
          <w:lang w:val="en-GB"/>
        </w:rPr>
        <w:t>.</w:t>
      </w:r>
    </w:p>
    <w:p w14:paraId="28057789" w14:textId="77777777" w:rsidR="008140EB" w:rsidRPr="00877EE2" w:rsidRDefault="008140EB" w:rsidP="008140EB">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The downward trend in the </w:t>
      </w:r>
      <w:r w:rsidRPr="00877EE2">
        <w:rPr>
          <w:rFonts w:ascii="Times New Roman" w:hAnsi="Times New Roman" w:cs="Times New Roman"/>
          <w:b/>
          <w:sz w:val="24"/>
          <w:szCs w:val="24"/>
          <w:lang w:val="en-GB"/>
        </w:rPr>
        <w:t>income statement</w:t>
      </w:r>
      <w:r w:rsidRPr="00877EE2">
        <w:rPr>
          <w:rFonts w:ascii="Times New Roman" w:hAnsi="Times New Roman" w:cs="Times New Roman"/>
          <w:sz w:val="24"/>
          <w:szCs w:val="24"/>
          <w:lang w:val="en-GB"/>
        </w:rPr>
        <w:t xml:space="preserve"> is concerning. The net sales recorded a decline of £614,680m in 2020 to £394,879m in 2024 which poses as a sign of poor demand, market share losses or output in the units of the firms. The gross profit also decreased, in particular, in 2023, when the increases in costs were not covered by revenues. In 2023 and 2024, operating income became negative indicating a high operating cost, restructuring expenses, and probable impairment. Net income was also a similar trend going down to a profit of £38,572m in 2020 to a loss of £98, 238m in 2023 and £24,029m in 2024.</w:t>
      </w:r>
    </w:p>
    <w:p w14:paraId="74C7988F" w14:textId="77777777" w:rsidR="008140EB" w:rsidRPr="00877EE2" w:rsidRDefault="008140EB" w:rsidP="008140EB">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This is another instance deteriorating in the </w:t>
      </w:r>
      <w:r w:rsidRPr="00877EE2">
        <w:rPr>
          <w:rFonts w:ascii="Times New Roman" w:hAnsi="Times New Roman" w:cs="Times New Roman"/>
          <w:b/>
          <w:sz w:val="24"/>
          <w:szCs w:val="24"/>
          <w:lang w:val="en-GB"/>
        </w:rPr>
        <w:t>balance sheet</w:t>
      </w:r>
      <w:r w:rsidRPr="00877EE2">
        <w:rPr>
          <w:rFonts w:ascii="Times New Roman" w:hAnsi="Times New Roman" w:cs="Times New Roman"/>
          <w:sz w:val="24"/>
          <w:szCs w:val="24"/>
          <w:lang w:val="en-GB"/>
        </w:rPr>
        <w:t>. The total assets fell considerably between the five-year periods, £510,290m in 2020 and £323,354m in 2024 suggesting both asset disposal and asset write-downs. The total liabilities were left high but the equity decreased at a steep rate because of accumulated losses, reducing £313,301m in 2020 to £153,105m in the years 2024. Such a shrinking base of equity points at a lack of financial resilience and susceptibility to external shock.</w:t>
      </w:r>
    </w:p>
    <w:p w14:paraId="2834A554" w14:textId="77777777" w:rsidR="00D2028E" w:rsidRPr="00877EE2" w:rsidRDefault="00D2028E" w:rsidP="008140EB">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The </w:t>
      </w:r>
      <w:r w:rsidRPr="00877EE2">
        <w:rPr>
          <w:rFonts w:ascii="Times New Roman" w:hAnsi="Times New Roman" w:cs="Times New Roman"/>
          <w:b/>
          <w:sz w:val="24"/>
          <w:szCs w:val="24"/>
          <w:lang w:val="en-GB"/>
        </w:rPr>
        <w:t>cash flow statement</w:t>
      </w:r>
      <w:r w:rsidRPr="00877EE2">
        <w:rPr>
          <w:rFonts w:ascii="Times New Roman" w:hAnsi="Times New Roman" w:cs="Times New Roman"/>
          <w:sz w:val="24"/>
          <w:szCs w:val="24"/>
          <w:lang w:val="en-GB"/>
        </w:rPr>
        <w:t xml:space="preserve"> confirms reduction in internal financial strength. The operating cash inflows had reduced to </w:t>
      </w:r>
      <w:r w:rsidR="008140EB" w:rsidRPr="00877EE2">
        <w:rPr>
          <w:rFonts w:ascii="Times New Roman" w:hAnsi="Times New Roman" w:cs="Times New Roman"/>
          <w:sz w:val="24"/>
          <w:szCs w:val="24"/>
          <w:lang w:val="en-GB"/>
        </w:rPr>
        <w:t>£</w:t>
      </w:r>
      <w:r w:rsidRPr="00877EE2">
        <w:rPr>
          <w:rFonts w:ascii="Times New Roman" w:hAnsi="Times New Roman" w:cs="Times New Roman"/>
          <w:sz w:val="24"/>
          <w:szCs w:val="24"/>
          <w:lang w:val="en-GB"/>
        </w:rPr>
        <w:t xml:space="preserve">14,822m in 2024 as compared to </w:t>
      </w:r>
      <w:r w:rsidR="008140EB" w:rsidRPr="00877EE2">
        <w:rPr>
          <w:rFonts w:ascii="Times New Roman" w:hAnsi="Times New Roman" w:cs="Times New Roman"/>
          <w:sz w:val="24"/>
          <w:szCs w:val="24"/>
          <w:lang w:val="en-GB"/>
        </w:rPr>
        <w:t>£</w:t>
      </w:r>
      <w:r w:rsidRPr="00877EE2">
        <w:rPr>
          <w:rFonts w:ascii="Times New Roman" w:hAnsi="Times New Roman" w:cs="Times New Roman"/>
          <w:sz w:val="24"/>
          <w:szCs w:val="24"/>
          <w:lang w:val="en-GB"/>
        </w:rPr>
        <w:t xml:space="preserve">73,392m in 2020. The </w:t>
      </w:r>
      <w:r w:rsidRPr="00877EE2">
        <w:rPr>
          <w:rFonts w:ascii="Times New Roman" w:hAnsi="Times New Roman" w:cs="Times New Roman"/>
          <w:sz w:val="24"/>
          <w:szCs w:val="24"/>
          <w:lang w:val="en-GB"/>
        </w:rPr>
        <w:lastRenderedPageBreak/>
        <w:t xml:space="preserve">company is making less </w:t>
      </w:r>
      <w:r w:rsidR="00C175CB" w:rsidRPr="00877EE2">
        <w:rPr>
          <w:rFonts w:ascii="Times New Roman" w:hAnsi="Times New Roman" w:cs="Times New Roman"/>
          <w:sz w:val="24"/>
          <w:szCs w:val="24"/>
          <w:lang w:val="en-GB"/>
        </w:rPr>
        <w:t>business</w:t>
      </w:r>
      <w:r w:rsidRPr="00877EE2">
        <w:rPr>
          <w:rFonts w:ascii="Times New Roman" w:hAnsi="Times New Roman" w:cs="Times New Roman"/>
          <w:sz w:val="24"/>
          <w:szCs w:val="24"/>
          <w:lang w:val="en-GB"/>
        </w:rPr>
        <w:t xml:space="preserve"> using its operating core business and at the same time experiencing plummeting profits. This heightens dependency on external borrowing, this puts extra financial burden</w:t>
      </w:r>
      <w:r w:rsidR="00877EE2" w:rsidRPr="00877EE2">
        <w:rPr>
          <w:rFonts w:ascii="Times New Roman" w:hAnsi="Times New Roman" w:cs="Times New Roman"/>
          <w:sz w:val="24"/>
          <w:szCs w:val="24"/>
          <w:lang w:val="en-GB"/>
        </w:rPr>
        <w:t xml:space="preserve"> (</w:t>
      </w:r>
      <w:proofErr w:type="spellStart"/>
      <w:r w:rsidR="00877EE2" w:rsidRPr="00877EE2">
        <w:rPr>
          <w:rFonts w:ascii="Times New Roman" w:hAnsi="Times New Roman" w:cs="Times New Roman"/>
          <w:sz w:val="24"/>
          <w:szCs w:val="24"/>
          <w:lang w:val="en-GB"/>
        </w:rPr>
        <w:t>Jaafar</w:t>
      </w:r>
      <w:proofErr w:type="spellEnd"/>
      <w:r w:rsidR="00877EE2" w:rsidRPr="00877EE2">
        <w:rPr>
          <w:rFonts w:ascii="Times New Roman" w:hAnsi="Times New Roman" w:cs="Times New Roman"/>
          <w:sz w:val="24"/>
          <w:szCs w:val="24"/>
          <w:lang w:val="en-GB"/>
        </w:rPr>
        <w:t xml:space="preserve"> et al., 2021)</w:t>
      </w:r>
      <w:r w:rsidRPr="00877EE2">
        <w:rPr>
          <w:rFonts w:ascii="Times New Roman" w:hAnsi="Times New Roman" w:cs="Times New Roman"/>
          <w:sz w:val="24"/>
          <w:szCs w:val="24"/>
          <w:lang w:val="en-GB"/>
        </w:rPr>
        <w:t>.</w:t>
      </w:r>
    </w:p>
    <w:p w14:paraId="06B75944" w14:textId="77777777" w:rsidR="00D5234F" w:rsidRPr="00877EE2" w:rsidRDefault="00D2028E" w:rsidP="00D2028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In general, the financial statements indicate that a company has been suffering a steady drop in profitability, a deteriorating financial structure, and a decreased cash-generating power.</w:t>
      </w:r>
    </w:p>
    <w:p w14:paraId="42E83FB3" w14:textId="77777777" w:rsidR="00D5234F" w:rsidRPr="00877EE2" w:rsidRDefault="0053505C" w:rsidP="00495394">
      <w:pPr>
        <w:pStyle w:val="Heading2"/>
        <w:rPr>
          <w:lang w:val="en-GB"/>
        </w:rPr>
      </w:pPr>
      <w:bookmarkStart w:id="3" w:name="_Toc214455536"/>
      <w:r w:rsidRPr="00877EE2">
        <w:rPr>
          <w:lang w:val="en-GB"/>
        </w:rPr>
        <w:t>1</w:t>
      </w:r>
      <w:r w:rsidR="00D5234F" w:rsidRPr="00877EE2">
        <w:rPr>
          <w:lang w:val="en-GB"/>
        </w:rPr>
        <w:t>.</w:t>
      </w:r>
      <w:r w:rsidRPr="00877EE2">
        <w:rPr>
          <w:lang w:val="en-GB"/>
        </w:rPr>
        <w:t>2</w:t>
      </w:r>
      <w:r w:rsidR="00495394" w:rsidRPr="00877EE2">
        <w:rPr>
          <w:lang w:val="en-GB"/>
        </w:rPr>
        <w:t xml:space="preserve"> Ratio Analysis</w:t>
      </w:r>
      <w:bookmarkEnd w:id="3"/>
      <w:r w:rsidR="00495394" w:rsidRPr="00877EE2">
        <w:rPr>
          <w:lang w:val="en-GB"/>
        </w:rPr>
        <w:t xml:space="preserve"> </w:t>
      </w:r>
    </w:p>
    <w:p w14:paraId="62E08021" w14:textId="77777777" w:rsidR="00D2028E" w:rsidRPr="00877EE2" w:rsidRDefault="00D2028E" w:rsidP="00D2028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A ratio analysis will convert the financial statements into quantifiable factors that will depict trends in performance and inherited weaknesses.</w:t>
      </w:r>
    </w:p>
    <w:p w14:paraId="59A0647A" w14:textId="77777777" w:rsidR="00D2028E" w:rsidRPr="00877EE2" w:rsidRDefault="00D2028E" w:rsidP="00D2028E">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Profitability Ratios</w:t>
      </w:r>
    </w:p>
    <w:p w14:paraId="793B8B23" w14:textId="77777777" w:rsidR="00D5234F" w:rsidRPr="00877EE2" w:rsidRDefault="00D2028E" w:rsidP="00D2028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Profitability ratios indicate the efficiency with which the firm uses its sales, assets, and equity to generate returns</w:t>
      </w:r>
      <w:r w:rsidR="00877EE2" w:rsidRPr="00877EE2">
        <w:rPr>
          <w:rFonts w:ascii="Times New Roman" w:hAnsi="Times New Roman" w:cs="Times New Roman"/>
          <w:sz w:val="24"/>
          <w:szCs w:val="24"/>
          <w:lang w:val="en-GB"/>
        </w:rPr>
        <w:t xml:space="preserve"> (Rashid, 2021)</w:t>
      </w:r>
      <w:r w:rsidRPr="00877EE2">
        <w:rPr>
          <w:rFonts w:ascii="Times New Roman" w:hAnsi="Times New Roman" w:cs="Times New Roman"/>
          <w:sz w:val="24"/>
          <w:szCs w:val="24"/>
          <w:lang w:val="en-GB"/>
        </w:rPr>
        <w:t xml:space="preserve">. Gross Profit Margin remained steady over the period of 2020-2022 (28-29%), which is an indicator of effective production. </w:t>
      </w:r>
      <w:r w:rsidR="004C5601" w:rsidRPr="00877EE2">
        <w:rPr>
          <w:rFonts w:ascii="Times New Roman" w:hAnsi="Times New Roman" w:cs="Times New Roman"/>
          <w:sz w:val="24"/>
          <w:szCs w:val="24"/>
          <w:lang w:val="en-GB"/>
        </w:rPr>
        <w:t>The decline to 23.20% in 2023 demonstrates due to the inflationary pressure and the lack of costs, but the recovery in 2024 may indicate a better control of cost. Working Profit Margin and Net Profit Margin, in their turn, demonstrate a much more negative trend and decrease in the numbers (positive values 2020-2022) on the negative levels in 2023 and 2024. This proves deteriorated functionality and continued financial hardship.</w:t>
      </w:r>
    </w:p>
    <w:p w14:paraId="7C55B05A" w14:textId="77777777" w:rsidR="00D5234F" w:rsidRPr="00877EE2" w:rsidRDefault="008140EB"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ROA decreased in 2023 and 2024 to negative values since it was 7.56% in 2020 thus showing decreasing effectiveness of assets. The much more drastic decline was in Return on Equity (ROE), which, after a very healthy 12.31% in 2020, went down to -54.91% in 2023, meaning that shareholder value is being destroyed severely.</w:t>
      </w:r>
    </w:p>
    <w:p w14:paraId="7E5B6973" w14:textId="77777777" w:rsidR="00D5234F" w:rsidRPr="00877EE2" w:rsidRDefault="00D5234F" w:rsidP="00D5234F">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Liquidity Ratios</w:t>
      </w:r>
    </w:p>
    <w:p w14:paraId="13E94B41" w14:textId="77777777" w:rsidR="008140EB" w:rsidRPr="00877EE2" w:rsidRDefault="008140EB"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Liquidity ratios indicate t</w:t>
      </w:r>
      <w:r w:rsidR="00877EE2">
        <w:rPr>
          <w:rFonts w:ascii="Times New Roman" w:hAnsi="Times New Roman" w:cs="Times New Roman"/>
          <w:sz w:val="24"/>
          <w:szCs w:val="24"/>
          <w:lang w:val="en-GB"/>
        </w:rPr>
        <w:t>he ability of the firm to fulfi</w:t>
      </w:r>
      <w:r w:rsidRPr="00877EE2">
        <w:rPr>
          <w:rFonts w:ascii="Times New Roman" w:hAnsi="Times New Roman" w:cs="Times New Roman"/>
          <w:sz w:val="24"/>
          <w:szCs w:val="24"/>
          <w:lang w:val="en-GB"/>
        </w:rPr>
        <w:t>l its immediate duties</w:t>
      </w:r>
      <w:r w:rsidR="00224851">
        <w:rPr>
          <w:rFonts w:ascii="Times New Roman" w:hAnsi="Times New Roman" w:cs="Times New Roman"/>
          <w:sz w:val="24"/>
          <w:szCs w:val="24"/>
          <w:lang w:val="en-GB"/>
        </w:rPr>
        <w:t xml:space="preserve"> </w:t>
      </w:r>
      <w:r w:rsidR="00224851" w:rsidRPr="00877EE2">
        <w:rPr>
          <w:rFonts w:ascii="Times New Roman" w:hAnsi="Times New Roman" w:cs="Times New Roman"/>
          <w:sz w:val="24"/>
          <w:szCs w:val="24"/>
          <w:lang w:val="en-GB"/>
        </w:rPr>
        <w:t>(Rashid, 2021)</w:t>
      </w:r>
      <w:r w:rsidRPr="00877EE2">
        <w:rPr>
          <w:rFonts w:ascii="Times New Roman" w:hAnsi="Times New Roman" w:cs="Times New Roman"/>
          <w:sz w:val="24"/>
          <w:szCs w:val="24"/>
          <w:lang w:val="en-GB"/>
        </w:rPr>
        <w:t>. The Current Ratio decreased in 2024 and was 1.53 compared to 1.82 in 2020. Although it is still the case, the decline in trend indicates the reduction of current assets as compared to the liabilities. It has a Quick Ratio that does not include inventory (Quick Ratio) which dropped to less than 1.0 in 2021-2022 but rose slightly to 1.03 in 2024. This might be indicating a slight improvement; though liquidity is under strain.</w:t>
      </w:r>
    </w:p>
    <w:p w14:paraId="77F8B46F" w14:textId="77777777" w:rsidR="00D5234F" w:rsidRPr="00877EE2" w:rsidRDefault="00D5234F" w:rsidP="00D5234F">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Efficiency Ratios</w:t>
      </w:r>
    </w:p>
    <w:p w14:paraId="1B2EEC87" w14:textId="77777777" w:rsidR="008140EB" w:rsidRPr="00877EE2" w:rsidRDefault="008140EB"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lastRenderedPageBreak/>
        <w:t xml:space="preserve">Efficiency ratios indicate the capacity of the firm to </w:t>
      </w:r>
      <w:proofErr w:type="spellStart"/>
      <w:r w:rsidRPr="00877EE2">
        <w:rPr>
          <w:rFonts w:ascii="Times New Roman" w:hAnsi="Times New Roman" w:cs="Times New Roman"/>
          <w:sz w:val="24"/>
          <w:szCs w:val="24"/>
          <w:lang w:val="en-GB"/>
        </w:rPr>
        <w:t>utilize</w:t>
      </w:r>
      <w:proofErr w:type="spellEnd"/>
      <w:r w:rsidRPr="00877EE2">
        <w:rPr>
          <w:rFonts w:ascii="Times New Roman" w:hAnsi="Times New Roman" w:cs="Times New Roman"/>
          <w:sz w:val="24"/>
          <w:szCs w:val="24"/>
          <w:lang w:val="en-GB"/>
        </w:rPr>
        <w:t xml:space="preserve"> working capital. Days Inventory Outstanding (DIO) increased to high levels (more than 130 days) and Inventory Turnover became significantly low in 2022, which means that it has slow-selling stock. Receivables Turnover was also decreased, Days Sales Outstanding (DSO) had increased to above 105 days as at the year 2024 indicating the customer payment was slow and credit was not being managed effectively. The Turnover of Payables was lower than before, and Days Payables Outstanding (DPO) increased, indicating </w:t>
      </w:r>
      <w:r w:rsidR="00224851" w:rsidRPr="00877EE2">
        <w:rPr>
          <w:rFonts w:ascii="Times New Roman" w:hAnsi="Times New Roman" w:cs="Times New Roman"/>
          <w:sz w:val="24"/>
          <w:szCs w:val="24"/>
          <w:lang w:val="en-GB"/>
        </w:rPr>
        <w:t>delayed</w:t>
      </w:r>
      <w:r w:rsidRPr="00877EE2">
        <w:rPr>
          <w:rFonts w:ascii="Times New Roman" w:hAnsi="Times New Roman" w:cs="Times New Roman"/>
          <w:sz w:val="24"/>
          <w:szCs w:val="24"/>
          <w:lang w:val="en-GB"/>
        </w:rPr>
        <w:t xml:space="preserve"> payments to suppliers which is usually indicative of cash strain</w:t>
      </w:r>
      <w:r w:rsidR="00224851">
        <w:rPr>
          <w:rFonts w:ascii="Times New Roman" w:hAnsi="Times New Roman" w:cs="Times New Roman"/>
          <w:sz w:val="24"/>
          <w:szCs w:val="24"/>
          <w:lang w:val="en-GB"/>
        </w:rPr>
        <w:t xml:space="preserve"> (</w:t>
      </w:r>
      <w:r w:rsidR="00224851" w:rsidRPr="00224851">
        <w:rPr>
          <w:rFonts w:ascii="Times New Roman" w:hAnsi="Times New Roman" w:cs="Times New Roman"/>
          <w:sz w:val="24"/>
          <w:szCs w:val="24"/>
        </w:rPr>
        <w:t>Burnie</w:t>
      </w:r>
      <w:r w:rsidR="00224851">
        <w:rPr>
          <w:rFonts w:ascii="Times New Roman" w:hAnsi="Times New Roman" w:cs="Times New Roman"/>
          <w:sz w:val="24"/>
          <w:szCs w:val="24"/>
        </w:rPr>
        <w:t xml:space="preserve"> </w:t>
      </w:r>
      <w:r w:rsidR="00224851" w:rsidRPr="00224851">
        <w:rPr>
          <w:rFonts w:ascii="Times New Roman" w:hAnsi="Times New Roman" w:cs="Times New Roman"/>
          <w:sz w:val="24"/>
          <w:szCs w:val="24"/>
        </w:rPr>
        <w:t>and Ridder</w:t>
      </w:r>
      <w:r w:rsidR="00224851">
        <w:rPr>
          <w:rFonts w:ascii="Times New Roman" w:hAnsi="Times New Roman" w:cs="Times New Roman"/>
          <w:sz w:val="24"/>
          <w:szCs w:val="24"/>
        </w:rPr>
        <w:t>, 2023)</w:t>
      </w:r>
      <w:r w:rsidRPr="00877EE2">
        <w:rPr>
          <w:rFonts w:ascii="Times New Roman" w:hAnsi="Times New Roman" w:cs="Times New Roman"/>
          <w:sz w:val="24"/>
          <w:szCs w:val="24"/>
          <w:lang w:val="en-GB"/>
        </w:rPr>
        <w:t>. Asset Turnover was fairly stable but did not improve.</w:t>
      </w:r>
    </w:p>
    <w:p w14:paraId="7234C797" w14:textId="77777777" w:rsidR="00D5234F" w:rsidRPr="00877EE2" w:rsidRDefault="00D5234F" w:rsidP="00D5234F">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Gearing, Investment &amp; Cash Flow Ratios</w:t>
      </w:r>
    </w:p>
    <w:p w14:paraId="6DD9CFCF" w14:textId="77777777" w:rsidR="008140EB" w:rsidRPr="00877EE2" w:rsidRDefault="008140EB" w:rsidP="008140EB">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There was an increment in the Debt-to-Equity Ratio, rising between 0.63 and 1.11 in a period of five years with an indication of the increasing dependency on debt. This especially is worrying as profits have gone down. Interest Coverage became negative in 2023 and 2024, which means that operating income is not enough to pay interest, which is an indicator of a high solvency risk.</w:t>
      </w:r>
    </w:p>
    <w:p w14:paraId="58061DE0" w14:textId="77777777" w:rsidR="008140EB" w:rsidRPr="00877EE2" w:rsidRDefault="008140EB" w:rsidP="008140EB">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poor performance of the shareholders is supported by Earnings Per Share (EPS) that dropped to negative figures in 2023 and 2024, after having been low in 2020 (£2.78). Lastly, the Operating Cash Flow to Net Income went down to the negative side within the past 2 years, meaning that the losses cannot be covered by rentable amounts of cash.</w:t>
      </w:r>
    </w:p>
    <w:p w14:paraId="7DB506F1" w14:textId="77777777" w:rsidR="00D5234F" w:rsidRPr="00877EE2" w:rsidRDefault="008140EB"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Altogether, the ratio analysis shows decreased profitability, weak liquidity, worsening efficiency, increased financial risk, and low returns on investments.</w:t>
      </w:r>
    </w:p>
    <w:p w14:paraId="24D85353" w14:textId="77777777" w:rsidR="00D5234F" w:rsidRPr="00877EE2" w:rsidRDefault="0053505C" w:rsidP="00495394">
      <w:pPr>
        <w:pStyle w:val="Heading2"/>
        <w:rPr>
          <w:lang w:val="en-GB"/>
        </w:rPr>
      </w:pPr>
      <w:bookmarkStart w:id="4" w:name="_Toc214455537"/>
      <w:r w:rsidRPr="00877EE2">
        <w:rPr>
          <w:lang w:val="en-GB"/>
        </w:rPr>
        <w:t>1.3</w:t>
      </w:r>
      <w:r w:rsidR="00D5234F" w:rsidRPr="00877EE2">
        <w:rPr>
          <w:lang w:val="en-GB"/>
        </w:rPr>
        <w:t xml:space="preserve"> Trends, Strengths and Threats</w:t>
      </w:r>
      <w:bookmarkEnd w:id="4"/>
    </w:p>
    <w:p w14:paraId="1A014FBA" w14:textId="77777777" w:rsidR="00D5234F" w:rsidRPr="00877EE2" w:rsidRDefault="00D5234F"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This section consolidates the financial insights and presents an overall view of the firm’s financial direction.</w:t>
      </w:r>
    </w:p>
    <w:p w14:paraId="3F5C4B5E" w14:textId="77777777" w:rsidR="00D5234F" w:rsidRPr="00877EE2" w:rsidRDefault="00D5234F" w:rsidP="00D5234F">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Trends</w:t>
      </w:r>
    </w:p>
    <w:p w14:paraId="52C422D9" w14:textId="77777777" w:rsidR="00D5234F" w:rsidRPr="00877EE2" w:rsidRDefault="00B773E6"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Over the years, the firm has some negative trends</w:t>
      </w:r>
      <w:r w:rsidR="00D5234F" w:rsidRPr="00877EE2">
        <w:rPr>
          <w:rFonts w:ascii="Times New Roman" w:hAnsi="Times New Roman" w:cs="Times New Roman"/>
          <w:sz w:val="24"/>
          <w:szCs w:val="24"/>
          <w:lang w:val="en-GB"/>
        </w:rPr>
        <w:t>:</w:t>
      </w:r>
    </w:p>
    <w:p w14:paraId="4979C688" w14:textId="77777777" w:rsidR="00B773E6" w:rsidRPr="00877EE2" w:rsidRDefault="00B773E6" w:rsidP="00B773E6">
      <w:pPr>
        <w:numPr>
          <w:ilvl w:val="0"/>
          <w:numId w:val="1"/>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profitability has declined, and the firm has registered losses over the last two years.</w:t>
      </w:r>
    </w:p>
    <w:p w14:paraId="5FC2383B" w14:textId="77777777" w:rsidR="00B773E6" w:rsidRPr="00877EE2" w:rsidRDefault="00B773E6" w:rsidP="00B773E6">
      <w:pPr>
        <w:numPr>
          <w:ilvl w:val="0"/>
          <w:numId w:val="1"/>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Liquidity is straining and the current and quick ratios are decreasing.</w:t>
      </w:r>
    </w:p>
    <w:p w14:paraId="38F40DB2" w14:textId="77777777" w:rsidR="00B773E6" w:rsidRPr="00877EE2" w:rsidRDefault="00B773E6" w:rsidP="00B773E6">
      <w:pPr>
        <w:numPr>
          <w:ilvl w:val="0"/>
          <w:numId w:val="1"/>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lastRenderedPageBreak/>
        <w:t>Its efficiency is deteriorating and especially in the receivables and inventory.</w:t>
      </w:r>
    </w:p>
    <w:p w14:paraId="05BE2C7A" w14:textId="77777777" w:rsidR="00B773E6" w:rsidRPr="00877EE2" w:rsidRDefault="00B773E6" w:rsidP="00B773E6">
      <w:pPr>
        <w:numPr>
          <w:ilvl w:val="0"/>
          <w:numId w:val="1"/>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level of gearing is on the increase, exposing it to financial risks</w:t>
      </w:r>
      <w:r w:rsidR="00224851">
        <w:rPr>
          <w:rFonts w:ascii="Times New Roman" w:hAnsi="Times New Roman" w:cs="Times New Roman"/>
          <w:sz w:val="24"/>
          <w:szCs w:val="24"/>
          <w:lang w:val="en-GB"/>
        </w:rPr>
        <w:t xml:space="preserve"> (</w:t>
      </w:r>
      <w:proofErr w:type="spellStart"/>
      <w:r w:rsidR="00224851" w:rsidRPr="00224851">
        <w:rPr>
          <w:rFonts w:ascii="Times New Roman" w:hAnsi="Times New Roman" w:cs="Times New Roman"/>
          <w:sz w:val="24"/>
          <w:szCs w:val="24"/>
        </w:rPr>
        <w:t>Gezer</w:t>
      </w:r>
      <w:proofErr w:type="spellEnd"/>
      <w:r w:rsidR="00224851">
        <w:rPr>
          <w:rFonts w:ascii="Times New Roman" w:hAnsi="Times New Roman" w:cs="Times New Roman"/>
          <w:sz w:val="24"/>
          <w:szCs w:val="24"/>
        </w:rPr>
        <w:t xml:space="preserve"> </w:t>
      </w:r>
      <w:r w:rsidR="00224851" w:rsidRPr="00224851">
        <w:rPr>
          <w:rFonts w:ascii="Times New Roman" w:hAnsi="Times New Roman" w:cs="Times New Roman"/>
          <w:sz w:val="24"/>
          <w:szCs w:val="24"/>
        </w:rPr>
        <w:t xml:space="preserve">and </w:t>
      </w:r>
      <w:proofErr w:type="spellStart"/>
      <w:r w:rsidR="00224851" w:rsidRPr="00224851">
        <w:rPr>
          <w:rFonts w:ascii="Times New Roman" w:hAnsi="Times New Roman" w:cs="Times New Roman"/>
          <w:sz w:val="24"/>
          <w:szCs w:val="24"/>
        </w:rPr>
        <w:t>Kıngır</w:t>
      </w:r>
      <w:proofErr w:type="spellEnd"/>
      <w:r w:rsidR="00224851">
        <w:rPr>
          <w:rFonts w:ascii="Times New Roman" w:hAnsi="Times New Roman" w:cs="Times New Roman"/>
          <w:sz w:val="24"/>
          <w:szCs w:val="24"/>
        </w:rPr>
        <w:t>, 2020)</w:t>
      </w:r>
      <w:r w:rsidRPr="00877EE2">
        <w:rPr>
          <w:rFonts w:ascii="Times New Roman" w:hAnsi="Times New Roman" w:cs="Times New Roman"/>
          <w:sz w:val="24"/>
          <w:szCs w:val="24"/>
          <w:lang w:val="en-GB"/>
        </w:rPr>
        <w:t>.</w:t>
      </w:r>
    </w:p>
    <w:p w14:paraId="6BBCEA62" w14:textId="77777777" w:rsidR="00D5234F" w:rsidRPr="00877EE2" w:rsidRDefault="00B773E6" w:rsidP="00B773E6">
      <w:pPr>
        <w:numPr>
          <w:ilvl w:val="0"/>
          <w:numId w:val="1"/>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profitability is declining, as it lowers the ability to finance internally</w:t>
      </w:r>
      <w:r w:rsidR="00D5234F" w:rsidRPr="00877EE2">
        <w:rPr>
          <w:rFonts w:ascii="Times New Roman" w:hAnsi="Times New Roman" w:cs="Times New Roman"/>
          <w:sz w:val="24"/>
          <w:szCs w:val="24"/>
          <w:lang w:val="en-GB"/>
        </w:rPr>
        <w:t>.</w:t>
      </w:r>
    </w:p>
    <w:p w14:paraId="497895EE" w14:textId="77777777" w:rsidR="00D5234F" w:rsidRPr="00877EE2" w:rsidRDefault="00D5234F"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These trends suggest that the firm is moving towards greater financial instability.</w:t>
      </w:r>
    </w:p>
    <w:p w14:paraId="321CADB1" w14:textId="77777777" w:rsidR="00D5234F" w:rsidRPr="00877EE2" w:rsidRDefault="00D5234F" w:rsidP="00D5234F">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Strengths</w:t>
      </w:r>
    </w:p>
    <w:p w14:paraId="11403E2A" w14:textId="77777777" w:rsidR="00D5234F" w:rsidRPr="00877EE2" w:rsidRDefault="00B773E6"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Even despite the difficulties, the company possesses certain strengths</w:t>
      </w:r>
      <w:r w:rsidR="00D5234F" w:rsidRPr="00877EE2">
        <w:rPr>
          <w:rFonts w:ascii="Times New Roman" w:hAnsi="Times New Roman" w:cs="Times New Roman"/>
          <w:sz w:val="24"/>
          <w:szCs w:val="24"/>
          <w:lang w:val="en-GB"/>
        </w:rPr>
        <w:t>:</w:t>
      </w:r>
    </w:p>
    <w:p w14:paraId="689D8315" w14:textId="77777777" w:rsidR="00B773E6" w:rsidRPr="00877EE2" w:rsidRDefault="00B773E6" w:rsidP="00B773E6">
      <w:pPr>
        <w:numPr>
          <w:ilvl w:val="0"/>
          <w:numId w:val="2"/>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Gross margin recovery in 2024 represents a better cost management.</w:t>
      </w:r>
    </w:p>
    <w:p w14:paraId="7DBAB4CF" w14:textId="77777777" w:rsidR="00B773E6" w:rsidRPr="00877EE2" w:rsidRDefault="00B773E6" w:rsidP="00B773E6">
      <w:pPr>
        <w:numPr>
          <w:ilvl w:val="0"/>
          <w:numId w:val="2"/>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current ratio is slightly above 1.5, which is in favour of short-term solvency.</w:t>
      </w:r>
    </w:p>
    <w:p w14:paraId="7EB776E3" w14:textId="77777777" w:rsidR="00B773E6" w:rsidRPr="00877EE2" w:rsidRDefault="00B773E6" w:rsidP="00B773E6">
      <w:pPr>
        <w:numPr>
          <w:ilvl w:val="0"/>
          <w:numId w:val="2"/>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turnover of assets is good with no fluctuations in assets utilisation.</w:t>
      </w:r>
    </w:p>
    <w:p w14:paraId="5F58CEE2" w14:textId="77777777" w:rsidR="00D5234F" w:rsidRPr="00877EE2" w:rsidRDefault="00B773E6" w:rsidP="00B773E6">
      <w:pPr>
        <w:numPr>
          <w:ilvl w:val="0"/>
          <w:numId w:val="2"/>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Inventory turnover has improved slightly in 2024, and it had been declining in the years before</w:t>
      </w:r>
      <w:r w:rsidR="00D5234F" w:rsidRPr="00877EE2">
        <w:rPr>
          <w:rFonts w:ascii="Times New Roman" w:hAnsi="Times New Roman" w:cs="Times New Roman"/>
          <w:sz w:val="24"/>
          <w:szCs w:val="24"/>
          <w:lang w:val="en-GB"/>
        </w:rPr>
        <w:t>.</w:t>
      </w:r>
    </w:p>
    <w:p w14:paraId="6D05AE02" w14:textId="77777777" w:rsidR="00D5234F" w:rsidRPr="00877EE2" w:rsidRDefault="00B773E6"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These strengths imply the presence of operational resilience and the opportunity to recover in the event of a recovery strategy</w:t>
      </w:r>
      <w:r w:rsidR="00D5234F" w:rsidRPr="00877EE2">
        <w:rPr>
          <w:rFonts w:ascii="Times New Roman" w:hAnsi="Times New Roman" w:cs="Times New Roman"/>
          <w:sz w:val="24"/>
          <w:szCs w:val="24"/>
          <w:lang w:val="en-GB"/>
        </w:rPr>
        <w:t>.</w:t>
      </w:r>
    </w:p>
    <w:p w14:paraId="0DF170E0" w14:textId="77777777" w:rsidR="00D5234F" w:rsidRPr="00877EE2" w:rsidRDefault="00D5234F" w:rsidP="00D5234F">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Threats</w:t>
      </w:r>
    </w:p>
    <w:p w14:paraId="0283F54E" w14:textId="77777777" w:rsidR="00D5234F" w:rsidRPr="00877EE2" w:rsidRDefault="00B773E6"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risks of the company are high</w:t>
      </w:r>
      <w:r w:rsidR="00D5234F" w:rsidRPr="00877EE2">
        <w:rPr>
          <w:rFonts w:ascii="Times New Roman" w:hAnsi="Times New Roman" w:cs="Times New Roman"/>
          <w:sz w:val="24"/>
          <w:szCs w:val="24"/>
          <w:lang w:val="en-GB"/>
        </w:rPr>
        <w:t>:</w:t>
      </w:r>
    </w:p>
    <w:p w14:paraId="1B666018" w14:textId="77777777" w:rsidR="00B773E6" w:rsidRPr="00877EE2" w:rsidRDefault="00B773E6" w:rsidP="00B773E6">
      <w:pPr>
        <w:numPr>
          <w:ilvl w:val="0"/>
          <w:numId w:val="3"/>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2023 and 2024 losses have the potential to endanger its long-term sustainability.</w:t>
      </w:r>
    </w:p>
    <w:p w14:paraId="41813962" w14:textId="77777777" w:rsidR="00B773E6" w:rsidRPr="00877EE2" w:rsidRDefault="00B773E6" w:rsidP="00B773E6">
      <w:pPr>
        <w:numPr>
          <w:ilvl w:val="0"/>
          <w:numId w:val="3"/>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Reduced liquidity limits monetary leeway.</w:t>
      </w:r>
    </w:p>
    <w:p w14:paraId="15834C15" w14:textId="77777777" w:rsidR="00B773E6" w:rsidRPr="00877EE2" w:rsidRDefault="00B773E6" w:rsidP="00B773E6">
      <w:pPr>
        <w:numPr>
          <w:ilvl w:val="0"/>
          <w:numId w:val="3"/>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There is an increase in debt and unfavourable interest coverage </w:t>
      </w:r>
      <w:proofErr w:type="spellStart"/>
      <w:r w:rsidRPr="00877EE2">
        <w:rPr>
          <w:rFonts w:ascii="Times New Roman" w:hAnsi="Times New Roman" w:cs="Times New Roman"/>
          <w:sz w:val="24"/>
          <w:szCs w:val="24"/>
          <w:lang w:val="en-GB"/>
        </w:rPr>
        <w:t>jeopardizing</w:t>
      </w:r>
      <w:proofErr w:type="spellEnd"/>
      <w:r w:rsidRPr="00877EE2">
        <w:rPr>
          <w:rFonts w:ascii="Times New Roman" w:hAnsi="Times New Roman" w:cs="Times New Roman"/>
          <w:sz w:val="24"/>
          <w:szCs w:val="24"/>
          <w:lang w:val="en-GB"/>
        </w:rPr>
        <w:t xml:space="preserve"> solvency.</w:t>
      </w:r>
    </w:p>
    <w:p w14:paraId="690A6F2F" w14:textId="77777777" w:rsidR="00B773E6" w:rsidRPr="00877EE2" w:rsidRDefault="00B773E6" w:rsidP="00B773E6">
      <w:pPr>
        <w:numPr>
          <w:ilvl w:val="0"/>
          <w:numId w:val="3"/>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Lack of cash flow generation enhances reliance on funding</w:t>
      </w:r>
      <w:r w:rsidR="00224851">
        <w:rPr>
          <w:rFonts w:ascii="Times New Roman" w:hAnsi="Times New Roman" w:cs="Times New Roman"/>
          <w:sz w:val="24"/>
          <w:szCs w:val="24"/>
          <w:lang w:val="en-GB"/>
        </w:rPr>
        <w:t xml:space="preserve"> (</w:t>
      </w:r>
      <w:r w:rsidR="00224851" w:rsidRPr="00224851">
        <w:rPr>
          <w:rFonts w:ascii="Times New Roman" w:hAnsi="Times New Roman" w:cs="Times New Roman"/>
          <w:sz w:val="24"/>
          <w:szCs w:val="24"/>
        </w:rPr>
        <w:t>Huang</w:t>
      </w:r>
      <w:r w:rsidR="00224851">
        <w:rPr>
          <w:rFonts w:ascii="Times New Roman" w:hAnsi="Times New Roman" w:cs="Times New Roman"/>
          <w:sz w:val="24"/>
          <w:szCs w:val="24"/>
        </w:rPr>
        <w:t xml:space="preserve"> </w:t>
      </w:r>
      <w:r w:rsidR="00224851" w:rsidRPr="00224851">
        <w:rPr>
          <w:rFonts w:ascii="Times New Roman" w:hAnsi="Times New Roman" w:cs="Times New Roman"/>
          <w:sz w:val="24"/>
          <w:szCs w:val="24"/>
        </w:rPr>
        <w:t>and Ritter</w:t>
      </w:r>
      <w:r w:rsidR="00224851">
        <w:rPr>
          <w:rFonts w:ascii="Times New Roman" w:hAnsi="Times New Roman" w:cs="Times New Roman"/>
          <w:sz w:val="24"/>
          <w:szCs w:val="24"/>
        </w:rPr>
        <w:t>, 2021)</w:t>
      </w:r>
      <w:r w:rsidRPr="00877EE2">
        <w:rPr>
          <w:rFonts w:ascii="Times New Roman" w:hAnsi="Times New Roman" w:cs="Times New Roman"/>
          <w:sz w:val="24"/>
          <w:szCs w:val="24"/>
          <w:lang w:val="en-GB"/>
        </w:rPr>
        <w:t>.</w:t>
      </w:r>
    </w:p>
    <w:p w14:paraId="505848B2" w14:textId="77777777" w:rsidR="00B773E6" w:rsidRPr="00877EE2" w:rsidRDefault="00B773E6" w:rsidP="00B773E6">
      <w:pPr>
        <w:numPr>
          <w:ilvl w:val="0"/>
          <w:numId w:val="3"/>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Declining level of receivables performance impairs money changing cycle.</w:t>
      </w:r>
    </w:p>
    <w:p w14:paraId="65E9C0B5" w14:textId="77777777" w:rsidR="00D5234F" w:rsidRPr="00877EE2" w:rsidRDefault="00B773E6" w:rsidP="00B773E6">
      <w:pPr>
        <w:numPr>
          <w:ilvl w:val="0"/>
          <w:numId w:val="3"/>
        </w:num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Shareholder value has reduced greatly through adverse EPS and decreasing equity</w:t>
      </w:r>
      <w:r w:rsidR="00D5234F" w:rsidRPr="00877EE2">
        <w:rPr>
          <w:rFonts w:ascii="Times New Roman" w:hAnsi="Times New Roman" w:cs="Times New Roman"/>
          <w:sz w:val="24"/>
          <w:szCs w:val="24"/>
          <w:lang w:val="en-GB"/>
        </w:rPr>
        <w:t>.</w:t>
      </w:r>
    </w:p>
    <w:p w14:paraId="5392DD1C" w14:textId="77777777" w:rsidR="00D5234F" w:rsidRPr="00877EE2" w:rsidRDefault="00B773E6"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All these threats pose a high-risk situation to the firm</w:t>
      </w:r>
      <w:r w:rsidR="00D5234F" w:rsidRPr="00877EE2">
        <w:rPr>
          <w:rFonts w:ascii="Times New Roman" w:hAnsi="Times New Roman" w:cs="Times New Roman"/>
          <w:sz w:val="24"/>
          <w:szCs w:val="24"/>
          <w:lang w:val="en-GB"/>
        </w:rPr>
        <w:t>.</w:t>
      </w:r>
    </w:p>
    <w:p w14:paraId="44395097" w14:textId="77777777" w:rsidR="00D5234F" w:rsidRPr="00877EE2" w:rsidRDefault="00D5234F" w:rsidP="00D5234F">
      <w:pPr>
        <w:spacing w:line="360" w:lineRule="auto"/>
        <w:jc w:val="both"/>
        <w:rPr>
          <w:rFonts w:ascii="Times New Roman" w:hAnsi="Times New Roman" w:cs="Times New Roman"/>
          <w:sz w:val="24"/>
          <w:szCs w:val="24"/>
          <w:lang w:val="en-GB"/>
        </w:rPr>
      </w:pPr>
    </w:p>
    <w:p w14:paraId="65D58D64" w14:textId="77777777" w:rsidR="00D5234F" w:rsidRPr="00877EE2" w:rsidRDefault="0053505C" w:rsidP="00495394">
      <w:pPr>
        <w:pStyle w:val="Heading2"/>
        <w:rPr>
          <w:lang w:val="en-GB"/>
        </w:rPr>
      </w:pPr>
      <w:bookmarkStart w:id="5" w:name="_Toc214455538"/>
      <w:r w:rsidRPr="00877EE2">
        <w:rPr>
          <w:lang w:val="en-GB"/>
        </w:rPr>
        <w:lastRenderedPageBreak/>
        <w:t>1.4</w:t>
      </w:r>
      <w:r w:rsidR="00D5234F" w:rsidRPr="00877EE2">
        <w:rPr>
          <w:lang w:val="en-GB"/>
        </w:rPr>
        <w:t xml:space="preserve"> Corporate Failure Prediction (Altman Z-Score)</w:t>
      </w:r>
      <w:bookmarkEnd w:id="5"/>
    </w:p>
    <w:p w14:paraId="4C9E1BAE" w14:textId="77777777" w:rsidR="008140EB" w:rsidRPr="00877EE2" w:rsidRDefault="008140EB"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Financial distress is usually predicted by the Altman Z-Score model. Based on the 2024 financial information, Z-Score is determined using the following variables, the working capital, retained earnings, EBIT, the market value of equity, and sales relative to assets.</w:t>
      </w:r>
    </w:p>
    <w:p w14:paraId="6898C0B2" w14:textId="77777777" w:rsidR="00D5234F" w:rsidRPr="00877EE2" w:rsidRDefault="00D5234F"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Applying the manufacturing model formula:</w:t>
      </w:r>
    </w:p>
    <w:p w14:paraId="47254860" w14:textId="77777777" w:rsidR="00D5234F" w:rsidRPr="00877EE2" w:rsidRDefault="00D5234F"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Z=1.2X</w:t>
      </w:r>
      <w:r w:rsidRPr="00877EE2">
        <w:rPr>
          <w:rFonts w:ascii="Times New Roman" w:hAnsi="Times New Roman" w:cs="Times New Roman"/>
          <w:sz w:val="24"/>
          <w:szCs w:val="24"/>
          <w:vertAlign w:val="subscript"/>
          <w:lang w:val="en-GB"/>
        </w:rPr>
        <w:t>1</w:t>
      </w:r>
      <w:r w:rsidRPr="00877EE2">
        <w:rPr>
          <w:rFonts w:ascii="Times New Roman" w:hAnsi="Times New Roman" w:cs="Times New Roman"/>
          <w:sz w:val="24"/>
          <w:szCs w:val="24"/>
          <w:lang w:val="en-GB"/>
        </w:rPr>
        <w:t>+1.4X</w:t>
      </w:r>
      <w:r w:rsidRPr="00877EE2">
        <w:rPr>
          <w:rFonts w:ascii="Times New Roman" w:hAnsi="Times New Roman" w:cs="Times New Roman"/>
          <w:sz w:val="24"/>
          <w:szCs w:val="24"/>
          <w:vertAlign w:val="subscript"/>
          <w:lang w:val="en-GB"/>
        </w:rPr>
        <w:t>2</w:t>
      </w:r>
      <w:r w:rsidRPr="00877EE2">
        <w:rPr>
          <w:rFonts w:ascii="Times New Roman" w:hAnsi="Times New Roman" w:cs="Times New Roman"/>
          <w:sz w:val="24"/>
          <w:szCs w:val="24"/>
          <w:lang w:val="en-GB"/>
        </w:rPr>
        <w:t>+3.3X</w:t>
      </w:r>
      <w:r w:rsidRPr="00877EE2">
        <w:rPr>
          <w:rFonts w:ascii="Times New Roman" w:hAnsi="Times New Roman" w:cs="Times New Roman"/>
          <w:sz w:val="24"/>
          <w:szCs w:val="24"/>
          <w:vertAlign w:val="subscript"/>
          <w:lang w:val="en-GB"/>
        </w:rPr>
        <w:t>3</w:t>
      </w:r>
      <w:r w:rsidRPr="00877EE2">
        <w:rPr>
          <w:rFonts w:ascii="Times New Roman" w:hAnsi="Times New Roman" w:cs="Times New Roman"/>
          <w:sz w:val="24"/>
          <w:szCs w:val="24"/>
          <w:lang w:val="en-GB"/>
        </w:rPr>
        <w:t>+0.6X</w:t>
      </w:r>
      <w:r w:rsidRPr="00877EE2">
        <w:rPr>
          <w:rFonts w:ascii="Times New Roman" w:hAnsi="Times New Roman" w:cs="Times New Roman"/>
          <w:sz w:val="24"/>
          <w:szCs w:val="24"/>
          <w:vertAlign w:val="subscript"/>
          <w:lang w:val="en-GB"/>
        </w:rPr>
        <w:t>4</w:t>
      </w:r>
      <w:r w:rsidRPr="00877EE2">
        <w:rPr>
          <w:rFonts w:ascii="Times New Roman" w:hAnsi="Times New Roman" w:cs="Times New Roman"/>
          <w:sz w:val="24"/>
          <w:szCs w:val="24"/>
          <w:lang w:val="en-GB"/>
        </w:rPr>
        <w:t>+1.0X</w:t>
      </w:r>
      <w:r w:rsidRPr="00877EE2">
        <w:rPr>
          <w:rFonts w:ascii="Times New Roman" w:hAnsi="Times New Roman" w:cs="Times New Roman"/>
          <w:sz w:val="24"/>
          <w:szCs w:val="24"/>
          <w:vertAlign w:val="subscript"/>
          <w:lang w:val="en-GB"/>
        </w:rPr>
        <w:t>5</w:t>
      </w:r>
      <w:r w:rsidRPr="00877EE2">
        <w:rPr>
          <w:rFonts w:ascii="Times New Roman" w:hAnsi="Times New Roman" w:cs="Times New Roman"/>
          <w:sz w:val="24"/>
          <w:szCs w:val="24"/>
          <w:lang w:val="en-GB"/>
        </w:rPr>
        <w:t xml:space="preserve"> </w:t>
      </w:r>
    </w:p>
    <w:p w14:paraId="7C56714C" w14:textId="77777777" w:rsidR="00D5234F" w:rsidRPr="00877EE2" w:rsidRDefault="00D5234F"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firm’s Z-Score is approximately:</w:t>
      </w:r>
    </w:p>
    <w:p w14:paraId="1B457C6E" w14:textId="77777777" w:rsidR="00D5234F" w:rsidRPr="00877EE2" w:rsidRDefault="00D5234F" w:rsidP="00D5234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Z=1.25 </w:t>
      </w:r>
    </w:p>
    <w:p w14:paraId="53C33930" w14:textId="77777777" w:rsidR="00B773E6" w:rsidRPr="00877EE2" w:rsidRDefault="00B773E6" w:rsidP="00B773E6">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A less than 1.81 position indicates that the company is in a distress zone which is an indication of high probability of failure. This low score is attributed, to a larger extent, by the negative EBIT, decelerating working capital, high leverage, and decreasing sales in relation to its assets</w:t>
      </w:r>
      <w:r w:rsidR="00224851">
        <w:rPr>
          <w:rFonts w:ascii="Times New Roman" w:hAnsi="Times New Roman" w:cs="Times New Roman"/>
          <w:sz w:val="24"/>
          <w:szCs w:val="24"/>
          <w:lang w:val="en-GB"/>
        </w:rPr>
        <w:t xml:space="preserve"> (</w:t>
      </w:r>
      <w:proofErr w:type="spellStart"/>
      <w:r w:rsidR="00224851" w:rsidRPr="00224851">
        <w:rPr>
          <w:rFonts w:ascii="Times New Roman" w:hAnsi="Times New Roman" w:cs="Times New Roman"/>
          <w:sz w:val="24"/>
          <w:szCs w:val="24"/>
        </w:rPr>
        <w:t>Braunsberger</w:t>
      </w:r>
      <w:proofErr w:type="spellEnd"/>
      <w:r w:rsidR="00224851">
        <w:rPr>
          <w:rFonts w:ascii="Times New Roman" w:hAnsi="Times New Roman" w:cs="Times New Roman"/>
          <w:sz w:val="24"/>
          <w:szCs w:val="24"/>
        </w:rPr>
        <w:t xml:space="preserve"> </w:t>
      </w:r>
      <w:r w:rsidR="00224851" w:rsidRPr="00224851">
        <w:rPr>
          <w:rFonts w:ascii="Times New Roman" w:hAnsi="Times New Roman" w:cs="Times New Roman"/>
          <w:sz w:val="24"/>
          <w:szCs w:val="24"/>
        </w:rPr>
        <w:t xml:space="preserve">and </w:t>
      </w:r>
      <w:proofErr w:type="spellStart"/>
      <w:r w:rsidR="00224851" w:rsidRPr="00224851">
        <w:rPr>
          <w:rFonts w:ascii="Times New Roman" w:hAnsi="Times New Roman" w:cs="Times New Roman"/>
          <w:sz w:val="24"/>
          <w:szCs w:val="24"/>
        </w:rPr>
        <w:t>Aschauer</w:t>
      </w:r>
      <w:proofErr w:type="spellEnd"/>
      <w:r w:rsidR="00224851">
        <w:rPr>
          <w:rFonts w:ascii="Times New Roman" w:hAnsi="Times New Roman" w:cs="Times New Roman"/>
          <w:sz w:val="24"/>
          <w:szCs w:val="24"/>
        </w:rPr>
        <w:t>, 2025)</w:t>
      </w:r>
      <w:r w:rsidRPr="00877EE2">
        <w:rPr>
          <w:rFonts w:ascii="Times New Roman" w:hAnsi="Times New Roman" w:cs="Times New Roman"/>
          <w:sz w:val="24"/>
          <w:szCs w:val="24"/>
          <w:lang w:val="en-GB"/>
        </w:rPr>
        <w:t>.</w:t>
      </w:r>
    </w:p>
    <w:p w14:paraId="0375CD3E" w14:textId="77777777" w:rsidR="008A5FED" w:rsidRPr="00877EE2" w:rsidRDefault="00B773E6" w:rsidP="00B773E6">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This is corroborating previous evidence: the company has a high risk of financial distress and possible default unless corrective actions are taken.</w:t>
      </w:r>
    </w:p>
    <w:p w14:paraId="594F7F17" w14:textId="77777777" w:rsidR="00D5234F" w:rsidRPr="00877EE2" w:rsidRDefault="00D5234F">
      <w:pPr>
        <w:rPr>
          <w:rFonts w:ascii="Times New Roman" w:hAnsi="Times New Roman" w:cs="Times New Roman"/>
          <w:sz w:val="24"/>
          <w:szCs w:val="24"/>
          <w:lang w:val="en-GB"/>
        </w:rPr>
      </w:pPr>
      <w:r w:rsidRPr="00877EE2">
        <w:rPr>
          <w:rFonts w:ascii="Times New Roman" w:hAnsi="Times New Roman" w:cs="Times New Roman"/>
          <w:sz w:val="24"/>
          <w:szCs w:val="24"/>
          <w:lang w:val="en-GB"/>
        </w:rPr>
        <w:br w:type="page"/>
      </w:r>
    </w:p>
    <w:p w14:paraId="59CB7EB4" w14:textId="77777777" w:rsidR="008A5FED" w:rsidRPr="00877EE2" w:rsidRDefault="0053505C" w:rsidP="00881A34">
      <w:pPr>
        <w:spacing w:line="360" w:lineRule="auto"/>
        <w:jc w:val="both"/>
        <w:rPr>
          <w:rFonts w:ascii="Times New Roman" w:hAnsi="Times New Roman" w:cs="Times New Roman"/>
          <w:sz w:val="24"/>
          <w:szCs w:val="24"/>
          <w:lang w:val="en-GB"/>
        </w:rPr>
      </w:pPr>
      <w:bookmarkStart w:id="6" w:name="_Toc214455539"/>
      <w:r w:rsidRPr="00877EE2">
        <w:rPr>
          <w:rStyle w:val="Heading1Char"/>
          <w:lang w:val="en-GB"/>
        </w:rPr>
        <w:lastRenderedPageBreak/>
        <w:t xml:space="preserve">2. </w:t>
      </w:r>
      <w:r w:rsidR="008A5FED" w:rsidRPr="00877EE2">
        <w:rPr>
          <w:rStyle w:val="Heading1Char"/>
          <w:lang w:val="en-GB"/>
        </w:rPr>
        <w:t>Working Capital Management Analysis</w:t>
      </w:r>
      <w:bookmarkEnd w:id="6"/>
      <w:r w:rsidR="00237E55" w:rsidRPr="00877EE2">
        <w:rPr>
          <w:rFonts w:ascii="Times New Roman" w:hAnsi="Times New Roman" w:cs="Times New Roman"/>
          <w:sz w:val="24"/>
          <w:szCs w:val="24"/>
          <w:lang w:val="en-GB"/>
        </w:rPr>
        <w:t xml:space="preserve"> </w:t>
      </w:r>
    </w:p>
    <w:p w14:paraId="6EC8A810" w14:textId="77777777" w:rsidR="00B773E6" w:rsidRPr="00877EE2" w:rsidRDefault="00B773E6" w:rsidP="00AE4033">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working capital should be managed well to accommodate the liquidity and sustain day-to-day functions. An examination of cash operating cycle assists in the detection of problems in inventory, receivables and payables that can see the firm undertake reforms to enhance the financial stability and cash flow.</w:t>
      </w:r>
    </w:p>
    <w:p w14:paraId="22E46480" w14:textId="77777777" w:rsidR="00AE4033" w:rsidRPr="00877EE2" w:rsidRDefault="0053505C" w:rsidP="00237E55">
      <w:pPr>
        <w:pStyle w:val="Heading2"/>
        <w:rPr>
          <w:lang w:val="en-GB"/>
        </w:rPr>
      </w:pPr>
      <w:bookmarkStart w:id="7" w:name="_Toc214455540"/>
      <w:r w:rsidRPr="00877EE2">
        <w:rPr>
          <w:lang w:val="en-GB"/>
        </w:rPr>
        <w:t xml:space="preserve">2.1 </w:t>
      </w:r>
      <w:r w:rsidR="00AE4033" w:rsidRPr="00877EE2">
        <w:rPr>
          <w:lang w:val="en-GB"/>
        </w:rPr>
        <w:t>Assessment of the Cash Operating Cycle</w:t>
      </w:r>
      <w:bookmarkEnd w:id="7"/>
    </w:p>
    <w:p w14:paraId="2EF0518D" w14:textId="77777777" w:rsidR="00AE4033" w:rsidRPr="00877EE2" w:rsidRDefault="00B773E6" w:rsidP="00AE4033">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Cash operating cycle (COC) is used to estimate the length of time that a given firm takes to convert cash invested in inventory and receivables to cash </w:t>
      </w:r>
      <w:proofErr w:type="spellStart"/>
      <w:r w:rsidRPr="00877EE2">
        <w:rPr>
          <w:rFonts w:ascii="Times New Roman" w:hAnsi="Times New Roman" w:cs="Times New Roman"/>
          <w:sz w:val="24"/>
          <w:szCs w:val="24"/>
          <w:lang w:val="en-GB"/>
        </w:rPr>
        <w:t>realized</w:t>
      </w:r>
      <w:proofErr w:type="spellEnd"/>
      <w:r w:rsidRPr="00877EE2">
        <w:rPr>
          <w:rFonts w:ascii="Times New Roman" w:hAnsi="Times New Roman" w:cs="Times New Roman"/>
          <w:sz w:val="24"/>
          <w:szCs w:val="24"/>
          <w:lang w:val="en-GB"/>
        </w:rPr>
        <w:t xml:space="preserve"> through sales. It shows the effectiveness or efficiency of the business in </w:t>
      </w:r>
      <w:proofErr w:type="spellStart"/>
      <w:r w:rsidRPr="00877EE2">
        <w:rPr>
          <w:rFonts w:ascii="Times New Roman" w:hAnsi="Times New Roman" w:cs="Times New Roman"/>
          <w:sz w:val="24"/>
          <w:szCs w:val="24"/>
          <w:lang w:val="en-GB"/>
        </w:rPr>
        <w:t>utilizing</w:t>
      </w:r>
      <w:proofErr w:type="spellEnd"/>
      <w:r w:rsidRPr="00877EE2">
        <w:rPr>
          <w:rFonts w:ascii="Times New Roman" w:hAnsi="Times New Roman" w:cs="Times New Roman"/>
          <w:sz w:val="24"/>
          <w:szCs w:val="24"/>
          <w:lang w:val="en-GB"/>
        </w:rPr>
        <w:t xml:space="preserve"> day-to-day working capital and is affected by three factors; Days Inventory Outstanding (DIO), Days Sales Outstanding (DSO) and Days Payables Outstanding (DPO)</w:t>
      </w:r>
      <w:r w:rsidR="00224851">
        <w:rPr>
          <w:rFonts w:ascii="Times New Roman" w:hAnsi="Times New Roman" w:cs="Times New Roman"/>
          <w:sz w:val="24"/>
          <w:szCs w:val="24"/>
          <w:lang w:val="en-GB"/>
        </w:rPr>
        <w:t xml:space="preserve"> (</w:t>
      </w:r>
      <w:proofErr w:type="spellStart"/>
      <w:r w:rsidR="00224851" w:rsidRPr="00224851">
        <w:rPr>
          <w:rFonts w:ascii="Times New Roman" w:hAnsi="Times New Roman" w:cs="Times New Roman"/>
          <w:sz w:val="24"/>
          <w:szCs w:val="24"/>
        </w:rPr>
        <w:t>Asman</w:t>
      </w:r>
      <w:proofErr w:type="spellEnd"/>
      <w:r w:rsidR="00224851">
        <w:rPr>
          <w:rFonts w:ascii="Times New Roman" w:hAnsi="Times New Roman" w:cs="Times New Roman"/>
          <w:sz w:val="24"/>
          <w:szCs w:val="24"/>
        </w:rPr>
        <w:t xml:space="preserve"> et al., 2022)</w:t>
      </w:r>
      <w:r w:rsidRPr="00877EE2">
        <w:rPr>
          <w:rFonts w:ascii="Times New Roman" w:hAnsi="Times New Roman" w:cs="Times New Roman"/>
          <w:sz w:val="24"/>
          <w:szCs w:val="24"/>
          <w:lang w:val="en-GB"/>
        </w:rPr>
        <w:t>. A decrease in the cycle implies high liquidity and efficiency in its operations whereas an increasing period implies the growth in financial strain.</w:t>
      </w:r>
    </w:p>
    <w:p w14:paraId="547559E6" w14:textId="77777777" w:rsidR="00AE4033" w:rsidRPr="00877EE2" w:rsidRDefault="00AE4033" w:rsidP="00AE4033">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 xml:space="preserve">Inventory Holding Period (DIO): </w:t>
      </w:r>
      <w:r w:rsidR="00B773E6" w:rsidRPr="00877EE2">
        <w:rPr>
          <w:rFonts w:ascii="Times New Roman" w:hAnsi="Times New Roman" w:cs="Times New Roman"/>
          <w:sz w:val="24"/>
          <w:szCs w:val="24"/>
          <w:lang w:val="en-GB"/>
        </w:rPr>
        <w:t xml:space="preserve">The DIO of the firm is also going up significantly during the review period as it reaches the highs of over 130 days compared to previous years which were approximately 100 days. Though it has subsequently moderately risen, it stood at over 103 days. </w:t>
      </w:r>
      <w:r w:rsidR="000144B3" w:rsidRPr="00877EE2">
        <w:rPr>
          <w:rFonts w:ascii="Times New Roman" w:hAnsi="Times New Roman" w:cs="Times New Roman"/>
          <w:sz w:val="24"/>
          <w:szCs w:val="24"/>
          <w:lang w:val="en-GB"/>
        </w:rPr>
        <w:t>This growth shows that there is slower inventory turnover, implying the availability of excess stock, low demand, or the inefficiency of production planning. High DIO wastes critical cash and exposes the company to the dangers of holding surpassed merchandise especially in a technology driven industry.</w:t>
      </w:r>
    </w:p>
    <w:p w14:paraId="3506B7EE" w14:textId="77777777" w:rsidR="00AE4033" w:rsidRPr="009C5844" w:rsidRDefault="00AE4033" w:rsidP="00AE4033">
      <w:pPr>
        <w:spacing w:line="360" w:lineRule="auto"/>
        <w:jc w:val="both"/>
        <w:rPr>
          <w:rFonts w:ascii="Times New Roman" w:hAnsi="Times New Roman" w:cs="Times New Roman"/>
          <w:b/>
          <w:bCs/>
          <w:sz w:val="24"/>
          <w:szCs w:val="24"/>
          <w:highlight w:val="yellow"/>
          <w:lang w:val="en-GB"/>
        </w:rPr>
      </w:pPr>
      <w:r w:rsidRPr="00694950">
        <w:rPr>
          <w:rFonts w:ascii="Times New Roman" w:hAnsi="Times New Roman" w:cs="Times New Roman"/>
          <w:b/>
          <w:bCs/>
          <w:sz w:val="24"/>
          <w:szCs w:val="24"/>
          <w:lang w:val="en-GB"/>
        </w:rPr>
        <w:t xml:space="preserve">Receivables Collection Period (DSO): </w:t>
      </w:r>
      <w:r w:rsidR="00694950" w:rsidRPr="00694950">
        <w:rPr>
          <w:rFonts w:ascii="Times New Roman" w:hAnsi="Times New Roman" w:cs="Times New Roman"/>
          <w:sz w:val="24"/>
          <w:szCs w:val="24"/>
          <w:lang w:val="en-GB"/>
        </w:rPr>
        <w:t>The DSO increased and went to the range over 105 days, signifying that the buyers have grown very slow to pay. This trend shows the loose control of the credit, or the possibility of liberal credit terms, or liquidity problems of the customers (Ma et al., 2019). Rise in DSO will reduce the rate of cash flow and will have to rely on short-term financing to finance its operations.</w:t>
      </w:r>
    </w:p>
    <w:p w14:paraId="5DCAE419" w14:textId="77777777" w:rsidR="00694950" w:rsidRPr="00694950" w:rsidRDefault="00AE4033" w:rsidP="00694950">
      <w:pPr>
        <w:spacing w:line="360" w:lineRule="auto"/>
        <w:jc w:val="both"/>
        <w:rPr>
          <w:rFonts w:ascii="Times New Roman" w:hAnsi="Times New Roman" w:cs="Times New Roman"/>
          <w:sz w:val="24"/>
          <w:szCs w:val="24"/>
          <w:lang w:val="en-GB"/>
        </w:rPr>
      </w:pPr>
      <w:r w:rsidRPr="00694950">
        <w:rPr>
          <w:rFonts w:ascii="Times New Roman" w:hAnsi="Times New Roman" w:cs="Times New Roman"/>
          <w:b/>
          <w:bCs/>
          <w:sz w:val="24"/>
          <w:szCs w:val="24"/>
          <w:lang w:val="en-GB"/>
        </w:rPr>
        <w:t xml:space="preserve">Payables Payment Period (DPO): </w:t>
      </w:r>
      <w:r w:rsidR="00694950" w:rsidRPr="00694950">
        <w:rPr>
          <w:rFonts w:ascii="Times New Roman" w:hAnsi="Times New Roman" w:cs="Times New Roman"/>
          <w:sz w:val="24"/>
          <w:szCs w:val="24"/>
          <w:lang w:val="en-GB"/>
        </w:rPr>
        <w:t>DPO was improved and reached 69-nearly 94 days. Though the drastic increase would imply the inability to fulfil the commitments within the needed time, the extension of the payables will have a beneficial effect on the liquidity in the short-term perspective. This may exert heavy pressure on supplier relations and reduce credit leeway.</w:t>
      </w:r>
    </w:p>
    <w:p w14:paraId="4B9D8D97" w14:textId="77777777" w:rsidR="00694950" w:rsidRDefault="00694950" w:rsidP="00694950">
      <w:pPr>
        <w:spacing w:line="360" w:lineRule="auto"/>
        <w:jc w:val="both"/>
        <w:rPr>
          <w:rFonts w:ascii="Times New Roman" w:hAnsi="Times New Roman" w:cs="Times New Roman"/>
          <w:sz w:val="24"/>
          <w:szCs w:val="24"/>
          <w:lang w:val="en-GB"/>
        </w:rPr>
      </w:pPr>
      <w:r w:rsidRPr="00694950">
        <w:rPr>
          <w:rFonts w:ascii="Times New Roman" w:hAnsi="Times New Roman" w:cs="Times New Roman"/>
          <w:sz w:val="24"/>
          <w:szCs w:val="24"/>
          <w:lang w:val="en-GB"/>
        </w:rPr>
        <w:t>Overall, the period of cash operating cycle has become much longer. Accurate signs of decreasing working capital efficiency and liquidity pressure are a rise in DIO and DSO and a stretched DPO.</w:t>
      </w:r>
    </w:p>
    <w:p w14:paraId="764DB304" w14:textId="77777777" w:rsidR="00AE4033" w:rsidRPr="009C5844" w:rsidRDefault="0053505C" w:rsidP="00694950">
      <w:pPr>
        <w:pStyle w:val="Heading2"/>
        <w:rPr>
          <w:lang w:val="en-GB"/>
        </w:rPr>
      </w:pPr>
      <w:bookmarkStart w:id="8" w:name="_Toc214455541"/>
      <w:r w:rsidRPr="009C5844">
        <w:rPr>
          <w:lang w:val="en-GB"/>
        </w:rPr>
        <w:t xml:space="preserve">2.2 </w:t>
      </w:r>
      <w:r w:rsidR="00AE4033" w:rsidRPr="009C5844">
        <w:rPr>
          <w:lang w:val="en-GB"/>
        </w:rPr>
        <w:t xml:space="preserve">Strategies to Improve Liquidity </w:t>
      </w:r>
      <w:r w:rsidR="009C5844" w:rsidRPr="009C5844">
        <w:rPr>
          <w:lang w:val="en-GB"/>
        </w:rPr>
        <w:t>through</w:t>
      </w:r>
      <w:r w:rsidR="00AE4033" w:rsidRPr="009C5844">
        <w:rPr>
          <w:lang w:val="en-GB"/>
        </w:rPr>
        <w:t xml:space="preserve"> Working Capital Reforms</w:t>
      </w:r>
      <w:bookmarkEnd w:id="8"/>
    </w:p>
    <w:p w14:paraId="1DD9A681" w14:textId="77777777" w:rsidR="00AE4033" w:rsidRPr="009C5844" w:rsidRDefault="00AE4033" w:rsidP="00AE4033">
      <w:pPr>
        <w:spacing w:line="360" w:lineRule="auto"/>
        <w:jc w:val="both"/>
        <w:rPr>
          <w:rFonts w:ascii="Times New Roman" w:hAnsi="Times New Roman" w:cs="Times New Roman"/>
          <w:sz w:val="24"/>
          <w:szCs w:val="24"/>
          <w:lang w:val="en-GB"/>
        </w:rPr>
      </w:pPr>
      <w:r w:rsidRPr="00694950">
        <w:rPr>
          <w:rFonts w:ascii="Times New Roman" w:hAnsi="Times New Roman" w:cs="Times New Roman"/>
          <w:b/>
          <w:sz w:val="24"/>
          <w:szCs w:val="24"/>
          <w:lang w:val="en-GB"/>
        </w:rPr>
        <w:t>1. Inventory Management Improvements:</w:t>
      </w:r>
      <w:r w:rsidRPr="009C5844">
        <w:rPr>
          <w:rFonts w:ascii="Times New Roman" w:hAnsi="Times New Roman" w:cs="Times New Roman"/>
          <w:sz w:val="24"/>
          <w:szCs w:val="24"/>
          <w:lang w:val="en-GB"/>
        </w:rPr>
        <w:t xml:space="preserve"> </w:t>
      </w:r>
      <w:r w:rsidR="009C5844" w:rsidRPr="009C5844">
        <w:rPr>
          <w:rFonts w:ascii="Times New Roman" w:hAnsi="Times New Roman" w:cs="Times New Roman"/>
          <w:sz w:val="24"/>
          <w:szCs w:val="24"/>
          <w:lang w:val="en-GB"/>
        </w:rPr>
        <w:t>The inventory control is significant in order to make the money invested in inventory available. The company should adopt more accurate demand forecasting tools and be flexible to aligning the output with the market demand to clear surplus or expired stocks (</w:t>
      </w:r>
      <w:proofErr w:type="spellStart"/>
      <w:r w:rsidR="009C5844" w:rsidRPr="009C5844">
        <w:rPr>
          <w:rFonts w:ascii="Times New Roman" w:hAnsi="Times New Roman" w:cs="Times New Roman"/>
          <w:sz w:val="24"/>
          <w:szCs w:val="24"/>
          <w:lang w:val="en-GB"/>
        </w:rPr>
        <w:t>Ahkam</w:t>
      </w:r>
      <w:proofErr w:type="spellEnd"/>
      <w:r w:rsidR="009C5844" w:rsidRPr="009C5844">
        <w:rPr>
          <w:rFonts w:ascii="Times New Roman" w:hAnsi="Times New Roman" w:cs="Times New Roman"/>
          <w:sz w:val="24"/>
          <w:szCs w:val="24"/>
          <w:lang w:val="en-GB"/>
        </w:rPr>
        <w:t xml:space="preserve"> and </w:t>
      </w:r>
      <w:proofErr w:type="spellStart"/>
      <w:r w:rsidR="009C5844" w:rsidRPr="009C5844">
        <w:rPr>
          <w:rFonts w:ascii="Times New Roman" w:hAnsi="Times New Roman" w:cs="Times New Roman"/>
          <w:sz w:val="24"/>
          <w:szCs w:val="24"/>
          <w:lang w:val="en-GB"/>
        </w:rPr>
        <w:t>Alom</w:t>
      </w:r>
      <w:proofErr w:type="spellEnd"/>
      <w:r w:rsidR="009C5844" w:rsidRPr="009C5844">
        <w:rPr>
          <w:rFonts w:ascii="Times New Roman" w:hAnsi="Times New Roman" w:cs="Times New Roman"/>
          <w:sz w:val="24"/>
          <w:szCs w:val="24"/>
          <w:lang w:val="en-GB"/>
        </w:rPr>
        <w:t>, 2019). Reducing holding periods and making the cash operating cycle more efficient can be achieved by implementing lean inventory and coordinating improved work with suppliers.</w:t>
      </w:r>
    </w:p>
    <w:p w14:paraId="41D554B1" w14:textId="77777777" w:rsidR="00AE4033" w:rsidRPr="009C5844" w:rsidRDefault="00AE4033" w:rsidP="00AE4033">
      <w:pPr>
        <w:spacing w:line="360" w:lineRule="auto"/>
        <w:jc w:val="both"/>
        <w:rPr>
          <w:rFonts w:ascii="Times New Roman" w:hAnsi="Times New Roman" w:cs="Times New Roman"/>
          <w:sz w:val="24"/>
          <w:szCs w:val="24"/>
          <w:lang w:val="en-GB"/>
        </w:rPr>
      </w:pPr>
      <w:r w:rsidRPr="00694950">
        <w:rPr>
          <w:rFonts w:ascii="Times New Roman" w:hAnsi="Times New Roman" w:cs="Times New Roman"/>
          <w:b/>
          <w:sz w:val="24"/>
          <w:szCs w:val="24"/>
          <w:lang w:val="en-GB"/>
        </w:rPr>
        <w:t>2. Strengthening Receivables Management:</w:t>
      </w:r>
      <w:r w:rsidRPr="009C5844">
        <w:rPr>
          <w:rFonts w:ascii="Times New Roman" w:hAnsi="Times New Roman" w:cs="Times New Roman"/>
          <w:sz w:val="24"/>
          <w:szCs w:val="24"/>
          <w:lang w:val="en-GB"/>
        </w:rPr>
        <w:t xml:space="preserve"> </w:t>
      </w:r>
      <w:r w:rsidR="009C5844" w:rsidRPr="009C5844">
        <w:rPr>
          <w:rFonts w:ascii="Times New Roman" w:hAnsi="Times New Roman" w:cs="Times New Roman"/>
          <w:sz w:val="24"/>
          <w:szCs w:val="24"/>
          <w:lang w:val="en-GB"/>
        </w:rPr>
        <w:t>It should be noted that the performance of the receivables should be brought up so as to allow faster cash inflows. The company should tighten its credit policy and revise customer credit limits and shorten terms of payment where feasible. Automation of invoicing, timely reminders, early-payment discount can be used to reduce the number of for Day Sales Outstanding. Close monitoring of the over</w:t>
      </w:r>
      <w:r w:rsidR="009C5844">
        <w:rPr>
          <w:rFonts w:ascii="Times New Roman" w:hAnsi="Times New Roman" w:cs="Times New Roman"/>
          <w:sz w:val="24"/>
          <w:szCs w:val="24"/>
          <w:lang w:val="en-GB"/>
        </w:rPr>
        <w:t>-</w:t>
      </w:r>
      <w:r w:rsidR="009C5844" w:rsidRPr="009C5844">
        <w:rPr>
          <w:rFonts w:ascii="Times New Roman" w:hAnsi="Times New Roman" w:cs="Times New Roman"/>
          <w:sz w:val="24"/>
          <w:szCs w:val="24"/>
          <w:lang w:val="en-GB"/>
        </w:rPr>
        <w:t>dues will also improve efficiency in collections and liquidity.</w:t>
      </w:r>
    </w:p>
    <w:p w14:paraId="301EDC20" w14:textId="77777777" w:rsidR="00AE4033" w:rsidRPr="00877EE2" w:rsidRDefault="00AE4033" w:rsidP="00AE4033">
      <w:pPr>
        <w:spacing w:line="360" w:lineRule="auto"/>
        <w:jc w:val="both"/>
        <w:rPr>
          <w:rFonts w:ascii="Times New Roman" w:hAnsi="Times New Roman" w:cs="Times New Roman"/>
          <w:sz w:val="24"/>
          <w:szCs w:val="24"/>
          <w:lang w:val="en-GB"/>
        </w:rPr>
      </w:pPr>
      <w:r w:rsidRPr="00694950">
        <w:rPr>
          <w:rFonts w:ascii="Times New Roman" w:hAnsi="Times New Roman" w:cs="Times New Roman"/>
          <w:b/>
          <w:sz w:val="24"/>
          <w:szCs w:val="24"/>
          <w:lang w:val="en-GB"/>
        </w:rPr>
        <w:t>3. Optimising Payables Management:</w:t>
      </w:r>
      <w:r w:rsidRPr="009C5844">
        <w:rPr>
          <w:rFonts w:ascii="Times New Roman" w:hAnsi="Times New Roman" w:cs="Times New Roman"/>
          <w:sz w:val="24"/>
          <w:szCs w:val="24"/>
          <w:lang w:val="en-GB"/>
        </w:rPr>
        <w:t xml:space="preserve"> </w:t>
      </w:r>
      <w:r w:rsidR="009C5844" w:rsidRPr="009C5844">
        <w:rPr>
          <w:rFonts w:ascii="Times New Roman" w:hAnsi="Times New Roman" w:cs="Times New Roman"/>
          <w:sz w:val="24"/>
          <w:szCs w:val="24"/>
          <w:lang w:val="en-GB"/>
        </w:rPr>
        <w:t xml:space="preserve">Payables should be managed in a proactive manner, rather than reactively (Barnabas and </w:t>
      </w:r>
      <w:proofErr w:type="spellStart"/>
      <w:r w:rsidR="009C5844" w:rsidRPr="009C5844">
        <w:rPr>
          <w:rFonts w:ascii="Times New Roman" w:hAnsi="Times New Roman" w:cs="Times New Roman"/>
          <w:sz w:val="24"/>
          <w:szCs w:val="24"/>
          <w:lang w:val="en-GB"/>
        </w:rPr>
        <w:t>Oloyede</w:t>
      </w:r>
      <w:proofErr w:type="spellEnd"/>
      <w:r w:rsidR="009C5844" w:rsidRPr="009C5844">
        <w:rPr>
          <w:rFonts w:ascii="Times New Roman" w:hAnsi="Times New Roman" w:cs="Times New Roman"/>
          <w:sz w:val="24"/>
          <w:szCs w:val="24"/>
          <w:lang w:val="en-GB"/>
        </w:rPr>
        <w:t>, 2024). The company will be expected to enter pragmatic though desirable payment conditions with key suppliers and maintain good rapport. Even supplier finance such as reverse factoring can be used to allow the company to extend the payment terms without delaying the supply such that it can improve the short-term cash flow.</w:t>
      </w:r>
    </w:p>
    <w:p w14:paraId="2AEF7897" w14:textId="77777777" w:rsidR="00AE4033" w:rsidRPr="00877EE2" w:rsidRDefault="00AE4033" w:rsidP="00AE4033">
      <w:pPr>
        <w:spacing w:line="360" w:lineRule="auto"/>
        <w:jc w:val="both"/>
        <w:rPr>
          <w:rFonts w:ascii="Times New Roman" w:hAnsi="Times New Roman" w:cs="Times New Roman"/>
          <w:sz w:val="24"/>
          <w:szCs w:val="24"/>
          <w:lang w:val="en-GB"/>
        </w:rPr>
      </w:pPr>
      <w:r w:rsidRPr="00694950">
        <w:rPr>
          <w:rFonts w:ascii="Times New Roman" w:hAnsi="Times New Roman" w:cs="Times New Roman"/>
          <w:b/>
          <w:sz w:val="24"/>
          <w:szCs w:val="24"/>
          <w:lang w:val="en-GB"/>
        </w:rPr>
        <w:t>4. Integrated Working Capital Monitoring:</w:t>
      </w:r>
      <w:r w:rsidRPr="00877EE2">
        <w:rPr>
          <w:rFonts w:ascii="Times New Roman" w:hAnsi="Times New Roman" w:cs="Times New Roman"/>
          <w:sz w:val="24"/>
          <w:szCs w:val="24"/>
          <w:lang w:val="en-GB"/>
        </w:rPr>
        <w:t xml:space="preserve"> </w:t>
      </w:r>
      <w:r w:rsidR="00B773E6" w:rsidRPr="00877EE2">
        <w:rPr>
          <w:rFonts w:ascii="Times New Roman" w:hAnsi="Times New Roman" w:cs="Times New Roman"/>
          <w:sz w:val="24"/>
          <w:szCs w:val="24"/>
          <w:lang w:val="en-GB"/>
        </w:rPr>
        <w:t>The introduction of a centralised working capital dashboard will enable the firm to monitor DIO, DSO and DPO in real time. This can be achieved through setting of internal targets as well as linking performance appraisals to working capital performance.</w:t>
      </w:r>
    </w:p>
    <w:p w14:paraId="3FF1FED7" w14:textId="77777777" w:rsidR="00AE4033" w:rsidRPr="00877EE2" w:rsidRDefault="0053505C" w:rsidP="00237E55">
      <w:pPr>
        <w:pStyle w:val="Heading2"/>
        <w:rPr>
          <w:lang w:val="en-GB"/>
        </w:rPr>
      </w:pPr>
      <w:bookmarkStart w:id="9" w:name="_Toc214455542"/>
      <w:r w:rsidRPr="00877EE2">
        <w:rPr>
          <w:lang w:val="en-GB"/>
        </w:rPr>
        <w:t xml:space="preserve">2.3 </w:t>
      </w:r>
      <w:r w:rsidR="00AE4033" w:rsidRPr="00877EE2">
        <w:rPr>
          <w:lang w:val="en-GB"/>
        </w:rPr>
        <w:t>Comparison of Short-Term and Long-Term Financing Options</w:t>
      </w:r>
      <w:bookmarkEnd w:id="9"/>
    </w:p>
    <w:tbl>
      <w:tblPr>
        <w:tblStyle w:val="TableGrid"/>
        <w:tblW w:w="0" w:type="auto"/>
        <w:tblLook w:val="04A0" w:firstRow="1" w:lastRow="0" w:firstColumn="1" w:lastColumn="0" w:noHBand="0" w:noVBand="1"/>
      </w:tblPr>
      <w:tblGrid>
        <w:gridCol w:w="2625"/>
        <w:gridCol w:w="3146"/>
        <w:gridCol w:w="3471"/>
      </w:tblGrid>
      <w:tr w:rsidR="00AE4033" w:rsidRPr="00877EE2" w14:paraId="3D3C3F3C" w14:textId="77777777" w:rsidTr="00B773E6">
        <w:tc>
          <w:tcPr>
            <w:tcW w:w="0" w:type="auto"/>
            <w:hideMark/>
          </w:tcPr>
          <w:p w14:paraId="41CA4A9C" w14:textId="77777777" w:rsidR="00AE4033" w:rsidRPr="00877EE2" w:rsidRDefault="00AE4033" w:rsidP="00B773E6">
            <w:pPr>
              <w:spacing w:line="360" w:lineRule="auto"/>
              <w:jc w:val="center"/>
              <w:rPr>
                <w:rFonts w:ascii="Times New Roman" w:eastAsia="Times New Roman" w:hAnsi="Times New Roman" w:cs="Times New Roman"/>
                <w:b/>
                <w:bCs/>
                <w:sz w:val="24"/>
                <w:szCs w:val="24"/>
                <w:lang w:val="en-GB" w:eastAsia="en-IN"/>
              </w:rPr>
            </w:pPr>
            <w:r w:rsidRPr="00877EE2">
              <w:rPr>
                <w:rFonts w:ascii="Times New Roman" w:eastAsia="Times New Roman" w:hAnsi="Times New Roman" w:cs="Times New Roman"/>
                <w:b/>
                <w:bCs/>
                <w:sz w:val="24"/>
                <w:szCs w:val="24"/>
                <w:lang w:val="en-GB" w:eastAsia="en-IN"/>
              </w:rPr>
              <w:t>Aspect</w:t>
            </w:r>
          </w:p>
        </w:tc>
        <w:tc>
          <w:tcPr>
            <w:tcW w:w="0" w:type="auto"/>
            <w:hideMark/>
          </w:tcPr>
          <w:p w14:paraId="089D079C" w14:textId="77777777" w:rsidR="00AE4033" w:rsidRPr="00877EE2" w:rsidRDefault="00AE4033" w:rsidP="00B773E6">
            <w:pPr>
              <w:spacing w:line="360" w:lineRule="auto"/>
              <w:jc w:val="center"/>
              <w:rPr>
                <w:rFonts w:ascii="Times New Roman" w:eastAsia="Times New Roman" w:hAnsi="Times New Roman" w:cs="Times New Roman"/>
                <w:b/>
                <w:bCs/>
                <w:sz w:val="24"/>
                <w:szCs w:val="24"/>
                <w:lang w:val="en-GB" w:eastAsia="en-IN"/>
              </w:rPr>
            </w:pPr>
            <w:r w:rsidRPr="00877EE2">
              <w:rPr>
                <w:rFonts w:ascii="Times New Roman" w:eastAsia="Times New Roman" w:hAnsi="Times New Roman" w:cs="Times New Roman"/>
                <w:b/>
                <w:bCs/>
                <w:sz w:val="24"/>
                <w:szCs w:val="24"/>
                <w:lang w:val="en-GB" w:eastAsia="en-IN"/>
              </w:rPr>
              <w:t>Short-Term Financing</w:t>
            </w:r>
          </w:p>
        </w:tc>
        <w:tc>
          <w:tcPr>
            <w:tcW w:w="0" w:type="auto"/>
            <w:hideMark/>
          </w:tcPr>
          <w:p w14:paraId="0B39A359" w14:textId="77777777" w:rsidR="00AE4033" w:rsidRPr="00877EE2" w:rsidRDefault="00AE4033" w:rsidP="00B773E6">
            <w:pPr>
              <w:spacing w:line="360" w:lineRule="auto"/>
              <w:jc w:val="center"/>
              <w:rPr>
                <w:rFonts w:ascii="Times New Roman" w:eastAsia="Times New Roman" w:hAnsi="Times New Roman" w:cs="Times New Roman"/>
                <w:b/>
                <w:bCs/>
                <w:sz w:val="24"/>
                <w:szCs w:val="24"/>
                <w:lang w:val="en-GB" w:eastAsia="en-IN"/>
              </w:rPr>
            </w:pPr>
            <w:r w:rsidRPr="00877EE2">
              <w:rPr>
                <w:rFonts w:ascii="Times New Roman" w:eastAsia="Times New Roman" w:hAnsi="Times New Roman" w:cs="Times New Roman"/>
                <w:b/>
                <w:bCs/>
                <w:sz w:val="24"/>
                <w:szCs w:val="24"/>
                <w:lang w:val="en-GB" w:eastAsia="en-IN"/>
              </w:rPr>
              <w:t>Long-Term Financing</w:t>
            </w:r>
          </w:p>
        </w:tc>
      </w:tr>
      <w:tr w:rsidR="00AE4033" w:rsidRPr="00877EE2" w14:paraId="3AC6D5F2" w14:textId="77777777" w:rsidTr="00B773E6">
        <w:tc>
          <w:tcPr>
            <w:tcW w:w="0" w:type="auto"/>
            <w:hideMark/>
          </w:tcPr>
          <w:p w14:paraId="4B52B996"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Purpose</w:t>
            </w:r>
          </w:p>
        </w:tc>
        <w:tc>
          <w:tcPr>
            <w:tcW w:w="0" w:type="auto"/>
            <w:hideMark/>
          </w:tcPr>
          <w:p w14:paraId="3FA692B3"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Covers immediate cash needs and working capital gaps.</w:t>
            </w:r>
          </w:p>
        </w:tc>
        <w:tc>
          <w:tcPr>
            <w:tcW w:w="0" w:type="auto"/>
            <w:hideMark/>
          </w:tcPr>
          <w:p w14:paraId="7456A362"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Supports long-term investment, restructuring, or balance-sheet strengthening.</w:t>
            </w:r>
          </w:p>
        </w:tc>
      </w:tr>
      <w:tr w:rsidR="00AE4033" w:rsidRPr="00877EE2" w14:paraId="60F654DA" w14:textId="77777777" w:rsidTr="00B773E6">
        <w:tc>
          <w:tcPr>
            <w:tcW w:w="0" w:type="auto"/>
            <w:hideMark/>
          </w:tcPr>
          <w:p w14:paraId="790A7B9A"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Typical Duration</w:t>
            </w:r>
          </w:p>
        </w:tc>
        <w:tc>
          <w:tcPr>
            <w:tcW w:w="0" w:type="auto"/>
            <w:hideMark/>
          </w:tcPr>
          <w:p w14:paraId="2234C938"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Less than 1 year</w:t>
            </w:r>
          </w:p>
        </w:tc>
        <w:tc>
          <w:tcPr>
            <w:tcW w:w="0" w:type="auto"/>
            <w:hideMark/>
          </w:tcPr>
          <w:p w14:paraId="5E183000"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More than 1 year (often 3–10 years)</w:t>
            </w:r>
          </w:p>
        </w:tc>
      </w:tr>
      <w:tr w:rsidR="00AE4033" w:rsidRPr="00877EE2" w14:paraId="7DD7C377" w14:textId="77777777" w:rsidTr="00B773E6">
        <w:tc>
          <w:tcPr>
            <w:tcW w:w="0" w:type="auto"/>
            <w:hideMark/>
          </w:tcPr>
          <w:p w14:paraId="65221BC4"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Examples</w:t>
            </w:r>
          </w:p>
        </w:tc>
        <w:tc>
          <w:tcPr>
            <w:tcW w:w="0" w:type="auto"/>
            <w:hideMark/>
          </w:tcPr>
          <w:p w14:paraId="68900F9C"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Bank overdrafts, trade credit, invoice factoring, short-term loans.</w:t>
            </w:r>
          </w:p>
        </w:tc>
        <w:tc>
          <w:tcPr>
            <w:tcW w:w="0" w:type="auto"/>
            <w:hideMark/>
          </w:tcPr>
          <w:p w14:paraId="79B3B29A"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Term loans, corporate bonds, equity financing, long-term credit lines.</w:t>
            </w:r>
          </w:p>
        </w:tc>
      </w:tr>
      <w:tr w:rsidR="00AE4033" w:rsidRPr="00877EE2" w14:paraId="5799FACF" w14:textId="77777777" w:rsidTr="00B773E6">
        <w:tc>
          <w:tcPr>
            <w:tcW w:w="0" w:type="auto"/>
            <w:hideMark/>
          </w:tcPr>
          <w:p w14:paraId="5972A04B"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Cost</w:t>
            </w:r>
          </w:p>
        </w:tc>
        <w:tc>
          <w:tcPr>
            <w:tcW w:w="0" w:type="auto"/>
            <w:hideMark/>
          </w:tcPr>
          <w:p w14:paraId="1D7C4506"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Generally higher interest rates due to short maturities and higher risk.</w:t>
            </w:r>
          </w:p>
        </w:tc>
        <w:tc>
          <w:tcPr>
            <w:tcW w:w="0" w:type="auto"/>
            <w:hideMark/>
          </w:tcPr>
          <w:p w14:paraId="4370C09C"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Usually lower interest rates but may increase with poor financial performance.</w:t>
            </w:r>
          </w:p>
        </w:tc>
      </w:tr>
      <w:tr w:rsidR="00AE4033" w:rsidRPr="00877EE2" w14:paraId="0D37E620" w14:textId="77777777" w:rsidTr="00B773E6">
        <w:tc>
          <w:tcPr>
            <w:tcW w:w="0" w:type="auto"/>
            <w:hideMark/>
          </w:tcPr>
          <w:p w14:paraId="4937C4BF"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Availability</w:t>
            </w:r>
          </w:p>
        </w:tc>
        <w:tc>
          <w:tcPr>
            <w:tcW w:w="0" w:type="auto"/>
            <w:hideMark/>
          </w:tcPr>
          <w:p w14:paraId="7B839C4A"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Quick to arrange; lenders approve based on short-term cash flow.</w:t>
            </w:r>
          </w:p>
        </w:tc>
        <w:tc>
          <w:tcPr>
            <w:tcW w:w="0" w:type="auto"/>
            <w:hideMark/>
          </w:tcPr>
          <w:p w14:paraId="030FB8F9"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Harder to obtain, especially when profitability and solvency are weak.</w:t>
            </w:r>
          </w:p>
        </w:tc>
      </w:tr>
      <w:tr w:rsidR="00AE4033" w:rsidRPr="00877EE2" w14:paraId="77E6FB38" w14:textId="77777777" w:rsidTr="00B773E6">
        <w:tc>
          <w:tcPr>
            <w:tcW w:w="0" w:type="auto"/>
            <w:hideMark/>
          </w:tcPr>
          <w:p w14:paraId="34841FE9"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Impact on Liquidity</w:t>
            </w:r>
          </w:p>
        </w:tc>
        <w:tc>
          <w:tcPr>
            <w:tcW w:w="0" w:type="auto"/>
            <w:hideMark/>
          </w:tcPr>
          <w:p w14:paraId="4BC906A6"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Provides immediate cash relief but may create frequent refinancing pressures.</w:t>
            </w:r>
          </w:p>
        </w:tc>
        <w:tc>
          <w:tcPr>
            <w:tcW w:w="0" w:type="auto"/>
            <w:hideMark/>
          </w:tcPr>
          <w:p w14:paraId="7A10F72A"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Improves long-term liquidity stability but does not solve short-term cash shortages.</w:t>
            </w:r>
          </w:p>
        </w:tc>
      </w:tr>
      <w:tr w:rsidR="00AE4033" w:rsidRPr="00877EE2" w14:paraId="20A177A7" w14:textId="77777777" w:rsidTr="00B773E6">
        <w:tc>
          <w:tcPr>
            <w:tcW w:w="0" w:type="auto"/>
            <w:hideMark/>
          </w:tcPr>
          <w:p w14:paraId="73408203"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Repayment Structure</w:t>
            </w:r>
          </w:p>
        </w:tc>
        <w:tc>
          <w:tcPr>
            <w:tcW w:w="0" w:type="auto"/>
            <w:hideMark/>
          </w:tcPr>
          <w:p w14:paraId="0CC891DF"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Frequent repayments; often repayable on demand (e.g., overdrafts).</w:t>
            </w:r>
          </w:p>
        </w:tc>
        <w:tc>
          <w:tcPr>
            <w:tcW w:w="0" w:type="auto"/>
            <w:hideMark/>
          </w:tcPr>
          <w:p w14:paraId="0590D754"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Scheduled repayments over several years, allowing predictable planning.</w:t>
            </w:r>
          </w:p>
        </w:tc>
      </w:tr>
      <w:tr w:rsidR="00AE4033" w:rsidRPr="00877EE2" w14:paraId="14EB6EF3" w14:textId="77777777" w:rsidTr="00B773E6">
        <w:tc>
          <w:tcPr>
            <w:tcW w:w="0" w:type="auto"/>
            <w:hideMark/>
          </w:tcPr>
          <w:p w14:paraId="6D77F5BE"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Risk Level</w:t>
            </w:r>
          </w:p>
        </w:tc>
        <w:tc>
          <w:tcPr>
            <w:tcW w:w="0" w:type="auto"/>
            <w:hideMark/>
          </w:tcPr>
          <w:p w14:paraId="2E1B5D14"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High—overuse can lead to dependency and cash-flow strain.</w:t>
            </w:r>
          </w:p>
        </w:tc>
        <w:tc>
          <w:tcPr>
            <w:tcW w:w="0" w:type="auto"/>
            <w:hideMark/>
          </w:tcPr>
          <w:p w14:paraId="6ACEA70C"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Medium—long-term commitments increase leverage but reduce short-term pressure.</w:t>
            </w:r>
          </w:p>
        </w:tc>
      </w:tr>
      <w:tr w:rsidR="00AE4033" w:rsidRPr="00877EE2" w14:paraId="316B1BD4" w14:textId="77777777" w:rsidTr="00B773E6">
        <w:tc>
          <w:tcPr>
            <w:tcW w:w="0" w:type="auto"/>
            <w:hideMark/>
          </w:tcPr>
          <w:p w14:paraId="270C0FDC"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Effect on Suppliers/Customers</w:t>
            </w:r>
          </w:p>
        </w:tc>
        <w:tc>
          <w:tcPr>
            <w:tcW w:w="0" w:type="auto"/>
            <w:hideMark/>
          </w:tcPr>
          <w:p w14:paraId="14C92B83"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Heavy use of trade credit can strain supplier relationships.</w:t>
            </w:r>
          </w:p>
        </w:tc>
        <w:tc>
          <w:tcPr>
            <w:tcW w:w="0" w:type="auto"/>
            <w:hideMark/>
          </w:tcPr>
          <w:p w14:paraId="04970A19"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Equity financing can reassure investors; long-term loans show commitment to stability.</w:t>
            </w:r>
          </w:p>
        </w:tc>
      </w:tr>
      <w:tr w:rsidR="00AE4033" w:rsidRPr="00877EE2" w14:paraId="52573B3C" w14:textId="77777777" w:rsidTr="00B773E6">
        <w:tc>
          <w:tcPr>
            <w:tcW w:w="0" w:type="auto"/>
            <w:hideMark/>
          </w:tcPr>
          <w:p w14:paraId="75175713"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b/>
                <w:bCs/>
                <w:sz w:val="24"/>
                <w:szCs w:val="24"/>
                <w:lang w:val="en-GB" w:eastAsia="en-IN"/>
              </w:rPr>
              <w:t>Suitability for the Firm</w:t>
            </w:r>
          </w:p>
        </w:tc>
        <w:tc>
          <w:tcPr>
            <w:tcW w:w="0" w:type="auto"/>
            <w:hideMark/>
          </w:tcPr>
          <w:p w14:paraId="1B74638C"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Useful for immediate liquidity given rising DSO and stretched cash flow.</w:t>
            </w:r>
          </w:p>
        </w:tc>
        <w:tc>
          <w:tcPr>
            <w:tcW w:w="0" w:type="auto"/>
            <w:hideMark/>
          </w:tcPr>
          <w:p w14:paraId="5B1BBE0F" w14:textId="77777777" w:rsidR="00AE4033" w:rsidRPr="00877EE2" w:rsidRDefault="00AE4033" w:rsidP="00B773E6">
            <w:pPr>
              <w:spacing w:line="360" w:lineRule="auto"/>
              <w:rPr>
                <w:rFonts w:ascii="Times New Roman" w:eastAsia="Times New Roman" w:hAnsi="Times New Roman" w:cs="Times New Roman"/>
                <w:sz w:val="24"/>
                <w:szCs w:val="24"/>
                <w:lang w:val="en-GB" w:eastAsia="en-IN"/>
              </w:rPr>
            </w:pPr>
            <w:r w:rsidRPr="00877EE2">
              <w:rPr>
                <w:rFonts w:ascii="Times New Roman" w:eastAsia="Times New Roman" w:hAnsi="Times New Roman" w:cs="Times New Roman"/>
                <w:sz w:val="24"/>
                <w:szCs w:val="24"/>
                <w:lang w:val="en-GB" w:eastAsia="en-IN"/>
              </w:rPr>
              <w:t>Harder to secure due to losses; equity financing may be required to strengthen solvency.</w:t>
            </w:r>
          </w:p>
        </w:tc>
      </w:tr>
    </w:tbl>
    <w:p w14:paraId="77885B50" w14:textId="77777777" w:rsidR="00AE4033" w:rsidRPr="00877EE2" w:rsidRDefault="00AE4033" w:rsidP="00881A34">
      <w:pPr>
        <w:spacing w:line="360" w:lineRule="auto"/>
        <w:jc w:val="both"/>
        <w:rPr>
          <w:rFonts w:ascii="Times New Roman" w:hAnsi="Times New Roman" w:cs="Times New Roman"/>
          <w:sz w:val="24"/>
          <w:szCs w:val="24"/>
          <w:lang w:val="en-GB"/>
        </w:rPr>
      </w:pPr>
    </w:p>
    <w:p w14:paraId="45240931" w14:textId="77777777" w:rsidR="00AE4033" w:rsidRPr="00877EE2" w:rsidRDefault="00B773E6" w:rsidP="00B773E6">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Comprehensively, the increase in the cash operating cycle signifies poor liquidity and inefficiency in its operations. With better inventory management, better receivables management, and better payables, the firm will be able to manage the working capital performance and reinstate financial stability using proper financing decisions.</w:t>
      </w:r>
      <w:r w:rsidR="00AE4033" w:rsidRPr="00877EE2">
        <w:rPr>
          <w:rFonts w:ascii="Times New Roman" w:hAnsi="Times New Roman" w:cs="Times New Roman"/>
          <w:sz w:val="24"/>
          <w:szCs w:val="24"/>
          <w:lang w:val="en-GB"/>
        </w:rPr>
        <w:br w:type="page"/>
      </w:r>
    </w:p>
    <w:p w14:paraId="128183AE" w14:textId="77777777" w:rsidR="008A5FED" w:rsidRPr="006D7DC6" w:rsidRDefault="0053505C" w:rsidP="006D7DC6">
      <w:pPr>
        <w:pStyle w:val="Heading1"/>
      </w:pPr>
      <w:bookmarkStart w:id="10" w:name="_Toc214455543"/>
      <w:r w:rsidRPr="006D7DC6">
        <w:rPr>
          <w:rStyle w:val="Heading2Char"/>
          <w:b/>
          <w:bCs/>
          <w:color w:val="365F91" w:themeColor="accent1" w:themeShade="BF"/>
          <w:sz w:val="28"/>
          <w:szCs w:val="28"/>
        </w:rPr>
        <w:t xml:space="preserve">3. </w:t>
      </w:r>
      <w:r w:rsidR="008A5FED" w:rsidRPr="006D7DC6">
        <w:rPr>
          <w:rStyle w:val="Heading2Char"/>
          <w:b/>
          <w:bCs/>
          <w:color w:val="365F91" w:themeColor="accent1" w:themeShade="BF"/>
          <w:sz w:val="28"/>
          <w:szCs w:val="28"/>
        </w:rPr>
        <w:t>Strategic Financial Restructuring Plan</w:t>
      </w:r>
      <w:bookmarkEnd w:id="10"/>
      <w:r w:rsidR="008A5FED" w:rsidRPr="006D7DC6">
        <w:t xml:space="preserve"> </w:t>
      </w:r>
    </w:p>
    <w:p w14:paraId="0DA56CC0" w14:textId="77777777" w:rsidR="00B773E6" w:rsidRPr="00877EE2" w:rsidRDefault="00B773E6" w:rsidP="00B50EB8">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Restructuring of finances is necessary to companies that are witnessing deteriorating profitability, escalating debts, and decreased liquidity. A strategic decision would help company to increase its capital position, enhance its operations, and recover the financial balance in the long-term. This section analyses restructuring alternatives, consequences on stakeholders and significant international and ethical factors.</w:t>
      </w:r>
    </w:p>
    <w:p w14:paraId="1E49C09E" w14:textId="77777777" w:rsidR="00B50EB8" w:rsidRPr="00877EE2" w:rsidRDefault="0053505C" w:rsidP="00237E55">
      <w:pPr>
        <w:pStyle w:val="Heading2"/>
        <w:rPr>
          <w:lang w:val="en-GB"/>
        </w:rPr>
      </w:pPr>
      <w:bookmarkStart w:id="11" w:name="_Toc214455544"/>
      <w:r w:rsidRPr="00877EE2">
        <w:rPr>
          <w:lang w:val="en-GB"/>
        </w:rPr>
        <w:t>3.1</w:t>
      </w:r>
      <w:r w:rsidR="00B50EB8" w:rsidRPr="00877EE2">
        <w:rPr>
          <w:lang w:val="en-GB"/>
        </w:rPr>
        <w:t xml:space="preserve"> Recommended Financial Restructuring Options</w:t>
      </w:r>
      <w:bookmarkEnd w:id="11"/>
    </w:p>
    <w:p w14:paraId="0E6F3017"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1 Divestiture of Non-Core or Underperforming Units</w:t>
      </w:r>
    </w:p>
    <w:p w14:paraId="5A9488CB" w14:textId="77777777" w:rsidR="00B50EB8" w:rsidRPr="00877EE2" w:rsidRDefault="00323E4E" w:rsidP="00B50EB8">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idea of divestiture is a powerful restructuring alternative to companies whose financial conditions or liquidity are in decline</w:t>
      </w:r>
      <w:r w:rsidR="00966346">
        <w:rPr>
          <w:rFonts w:ascii="Times New Roman" w:hAnsi="Times New Roman" w:cs="Times New Roman"/>
          <w:sz w:val="24"/>
          <w:szCs w:val="24"/>
          <w:lang w:val="en-GB"/>
        </w:rPr>
        <w:t xml:space="preserve"> (</w:t>
      </w:r>
      <w:r w:rsidR="00966346" w:rsidRPr="00966346">
        <w:rPr>
          <w:rFonts w:ascii="Times New Roman" w:hAnsi="Times New Roman" w:cs="Times New Roman"/>
          <w:sz w:val="24"/>
          <w:szCs w:val="24"/>
        </w:rPr>
        <w:t>Feldman</w:t>
      </w:r>
      <w:r w:rsidR="00966346">
        <w:rPr>
          <w:rFonts w:ascii="Times New Roman" w:hAnsi="Times New Roman" w:cs="Times New Roman"/>
          <w:sz w:val="24"/>
          <w:szCs w:val="24"/>
        </w:rPr>
        <w:t>, 2021)</w:t>
      </w:r>
      <w:r w:rsidRPr="00877EE2">
        <w:rPr>
          <w:rFonts w:ascii="Times New Roman" w:hAnsi="Times New Roman" w:cs="Times New Roman"/>
          <w:sz w:val="24"/>
          <w:szCs w:val="24"/>
          <w:lang w:val="en-GB"/>
        </w:rPr>
        <w:t>. Through disposing non-core, poor performing, or a lack of strategies business units, the firm would be able to produce a direct cash flow that would able the firm to minimise debt, balance working capital, and enhance the balance sheet. Divestiture also simplifies operations, lessens the load on managers and enables the management to redirect the funds to areas of its high growth or key areas of strategic importance. Besides, selling unprofitable assets enhances the efficiency and net income. Divestiture however should be done with careful analysis lest there are valuable capabilities, critical technologies or drivers of future growth that might be sold accidentally.</w:t>
      </w:r>
    </w:p>
    <w:p w14:paraId="0F50B48F"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 xml:space="preserve">2 </w:t>
      </w:r>
      <w:r w:rsidR="00966346" w:rsidRPr="00877EE2">
        <w:rPr>
          <w:rFonts w:ascii="Times New Roman" w:hAnsi="Times New Roman" w:cs="Times New Roman"/>
          <w:b/>
          <w:bCs/>
          <w:sz w:val="24"/>
          <w:szCs w:val="24"/>
          <w:lang w:val="en-GB"/>
        </w:rPr>
        <w:t>Mergers</w:t>
      </w:r>
      <w:r w:rsidRPr="00877EE2">
        <w:rPr>
          <w:rFonts w:ascii="Times New Roman" w:hAnsi="Times New Roman" w:cs="Times New Roman"/>
          <w:b/>
          <w:bCs/>
          <w:sz w:val="24"/>
          <w:szCs w:val="24"/>
          <w:lang w:val="en-GB"/>
        </w:rPr>
        <w:t xml:space="preserve"> or Strategic Alliance</w:t>
      </w:r>
    </w:p>
    <w:p w14:paraId="262B7923" w14:textId="77777777" w:rsidR="00323E4E" w:rsidRPr="00877EE2" w:rsidRDefault="00323E4E" w:rsidP="00B50EB8">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merger or strategic alliance provides an excellent path to increase the competitiveness and recover financial stability. Combining with a stronger organisation financially, technologically, or in terms of operation can result in the development of economies of scale, overhead costs and new markets</w:t>
      </w:r>
      <w:r w:rsidR="00966346">
        <w:rPr>
          <w:rFonts w:ascii="Times New Roman" w:hAnsi="Times New Roman" w:cs="Times New Roman"/>
          <w:sz w:val="24"/>
          <w:szCs w:val="24"/>
          <w:lang w:val="en-GB"/>
        </w:rPr>
        <w:t xml:space="preserve"> (</w:t>
      </w:r>
      <w:r w:rsidR="00966346" w:rsidRPr="00966346">
        <w:rPr>
          <w:rFonts w:ascii="Times New Roman" w:hAnsi="Times New Roman" w:cs="Times New Roman"/>
          <w:sz w:val="24"/>
          <w:szCs w:val="24"/>
        </w:rPr>
        <w:t>Gomes</w:t>
      </w:r>
      <w:r w:rsidR="00966346">
        <w:rPr>
          <w:rFonts w:ascii="Times New Roman" w:hAnsi="Times New Roman" w:cs="Times New Roman"/>
          <w:sz w:val="24"/>
          <w:szCs w:val="24"/>
        </w:rPr>
        <w:t>, 2020)</w:t>
      </w:r>
      <w:r w:rsidRPr="00877EE2">
        <w:rPr>
          <w:rFonts w:ascii="Times New Roman" w:hAnsi="Times New Roman" w:cs="Times New Roman"/>
          <w:sz w:val="24"/>
          <w:szCs w:val="24"/>
          <w:lang w:val="en-GB"/>
        </w:rPr>
        <w:t>. Horizontal merging enhances the market share and positioning in the market whereas vertical merger enhances integration of the supply chain and cost of production is lowered. The strategic alliances offer the same benefits at lower integration risks through sharing resources, technology and expertise but, the firms retain corporate independent. Such partnerships can go a long way in enhancing efficiency in operations and sustainability.</w:t>
      </w:r>
    </w:p>
    <w:p w14:paraId="6CD30D7A"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 xml:space="preserve">3 Equity </w:t>
      </w:r>
      <w:r w:rsidR="00966346" w:rsidRPr="00877EE2">
        <w:rPr>
          <w:rFonts w:ascii="Times New Roman" w:hAnsi="Times New Roman" w:cs="Times New Roman"/>
          <w:b/>
          <w:bCs/>
          <w:sz w:val="24"/>
          <w:szCs w:val="24"/>
          <w:lang w:val="en-GB"/>
        </w:rPr>
        <w:t>Injections</w:t>
      </w:r>
      <w:r w:rsidRPr="00877EE2">
        <w:rPr>
          <w:rFonts w:ascii="Times New Roman" w:hAnsi="Times New Roman" w:cs="Times New Roman"/>
          <w:b/>
          <w:bCs/>
          <w:sz w:val="24"/>
          <w:szCs w:val="24"/>
          <w:lang w:val="en-GB"/>
        </w:rPr>
        <w:t xml:space="preserve"> or Recapitalisation</w:t>
      </w:r>
    </w:p>
    <w:p w14:paraId="77B8F262" w14:textId="77777777" w:rsidR="00B50EB8" w:rsidRPr="00877EE2" w:rsidRDefault="00323E4E" w:rsidP="00B50EB8">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Equity injection can specifically be used in firms that experience high leverage, low interest coverage, and growing insolvency risk. Issuing share capital, or privately placing capital or strategic investors increases the capital base, lowers reliance on debt and is more financially stable. A possible dilution of shareholders can be overcome by better liquidity, reduced financial risk and higher investor confidence, which are offset by the disadvantage. Equity recapitalisation also allows the company to be flexible to finance restructuring programs and undertake long term strategic investments.</w:t>
      </w:r>
    </w:p>
    <w:p w14:paraId="0D379D8E" w14:textId="77777777" w:rsidR="00B50EB8" w:rsidRPr="00877EE2" w:rsidRDefault="0053505C" w:rsidP="00237E55">
      <w:pPr>
        <w:pStyle w:val="Heading2"/>
        <w:rPr>
          <w:lang w:val="en-GB"/>
        </w:rPr>
      </w:pPr>
      <w:bookmarkStart w:id="12" w:name="_Toc214455545"/>
      <w:r w:rsidRPr="00877EE2">
        <w:rPr>
          <w:lang w:val="en-GB"/>
        </w:rPr>
        <w:t>3.2</w:t>
      </w:r>
      <w:r w:rsidR="00B50EB8" w:rsidRPr="00877EE2">
        <w:rPr>
          <w:lang w:val="en-GB"/>
        </w:rPr>
        <w:t xml:space="preserve"> Impact on Shareholder Value, Debt Structure, and Operational Flexibility</w:t>
      </w:r>
      <w:bookmarkEnd w:id="12"/>
    </w:p>
    <w:p w14:paraId="29A3FF1E"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1 Impact on Shareholder Value</w:t>
      </w:r>
    </w:p>
    <w:p w14:paraId="137EF406" w14:textId="77777777" w:rsidR="00323E4E"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restructuring decisions have direct implications to shareholder value. Divestiture usually results in value addition as they get rid of unprofitable divisions and liberate capital that could be used in other productive activities. When it is an indication of better strategic focus and financial discipline, divestitures are usually considered positively by investors</w:t>
      </w:r>
      <w:r w:rsidR="00966346">
        <w:rPr>
          <w:rFonts w:ascii="Times New Roman" w:hAnsi="Times New Roman" w:cs="Times New Roman"/>
          <w:sz w:val="24"/>
          <w:szCs w:val="24"/>
          <w:lang w:val="en-GB"/>
        </w:rPr>
        <w:t xml:space="preserve"> (</w:t>
      </w:r>
      <w:proofErr w:type="spellStart"/>
      <w:r w:rsidR="00966346" w:rsidRPr="00966346">
        <w:rPr>
          <w:rFonts w:ascii="Times New Roman" w:hAnsi="Times New Roman" w:cs="Times New Roman"/>
          <w:sz w:val="24"/>
          <w:szCs w:val="24"/>
        </w:rPr>
        <w:t>Mielcarz</w:t>
      </w:r>
      <w:proofErr w:type="spellEnd"/>
      <w:r w:rsidR="00966346">
        <w:rPr>
          <w:rFonts w:ascii="Times New Roman" w:hAnsi="Times New Roman" w:cs="Times New Roman"/>
          <w:sz w:val="24"/>
          <w:szCs w:val="24"/>
        </w:rPr>
        <w:t xml:space="preserve"> et al., 2018)</w:t>
      </w:r>
      <w:r w:rsidRPr="00877EE2">
        <w:rPr>
          <w:rFonts w:ascii="Times New Roman" w:hAnsi="Times New Roman" w:cs="Times New Roman"/>
          <w:sz w:val="24"/>
          <w:szCs w:val="24"/>
          <w:lang w:val="en-GB"/>
        </w:rPr>
        <w:t>.</w:t>
      </w:r>
    </w:p>
    <w:p w14:paraId="086440A8" w14:textId="77777777" w:rsidR="00323E4E"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Mergers can also increase the shareholder value as it creates synergies, cost </w:t>
      </w:r>
      <w:proofErr w:type="spellStart"/>
      <w:r w:rsidRPr="00877EE2">
        <w:rPr>
          <w:rFonts w:ascii="Times New Roman" w:hAnsi="Times New Roman" w:cs="Times New Roman"/>
          <w:sz w:val="24"/>
          <w:szCs w:val="24"/>
          <w:lang w:val="en-GB"/>
        </w:rPr>
        <w:t>minimization</w:t>
      </w:r>
      <w:proofErr w:type="spellEnd"/>
      <w:r w:rsidRPr="00877EE2">
        <w:rPr>
          <w:rFonts w:ascii="Times New Roman" w:hAnsi="Times New Roman" w:cs="Times New Roman"/>
          <w:sz w:val="24"/>
          <w:szCs w:val="24"/>
          <w:lang w:val="en-GB"/>
        </w:rPr>
        <w:t xml:space="preserve"> and increase in long term earning potential. An effective merger may lead to growth in the earnings per share (EPS) and better market valuation. But in the event of issues relating to integration like cultural clash or operational interference, shareholder value can be negatively affected.</w:t>
      </w:r>
    </w:p>
    <w:p w14:paraId="09112289" w14:textId="77777777" w:rsidR="00323E4E"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Equity injection cushions long-term shareholders with the risk of bankruptcy and financial security. Despite the fact that dilution causes the shareholders to lose their ownership percentage at a particular time, the stability, cash flow, and growth potential can increase the share value in the long run.</w:t>
      </w:r>
    </w:p>
    <w:p w14:paraId="71668967"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2 Impact on Debt Structure</w:t>
      </w:r>
    </w:p>
    <w:p w14:paraId="05B237FF" w14:textId="77777777" w:rsidR="00323E4E" w:rsidRPr="00877EE2" w:rsidRDefault="00323E4E" w:rsidP="00B50EB8">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Divestiture has a positive effect on the debt structure since it will allow the firm to clear unpaid debt. Less debt means a better credit rating, less interest payable and more financial freedom</w:t>
      </w:r>
      <w:r w:rsidR="00966346">
        <w:rPr>
          <w:rFonts w:ascii="Times New Roman" w:hAnsi="Times New Roman" w:cs="Times New Roman"/>
          <w:sz w:val="24"/>
          <w:szCs w:val="24"/>
          <w:lang w:val="en-GB"/>
        </w:rPr>
        <w:t xml:space="preserve"> (</w:t>
      </w:r>
      <w:proofErr w:type="spellStart"/>
      <w:r w:rsidR="00966346" w:rsidRPr="00966346">
        <w:rPr>
          <w:rFonts w:ascii="Times New Roman" w:hAnsi="Times New Roman" w:cs="Times New Roman"/>
          <w:sz w:val="24"/>
          <w:szCs w:val="24"/>
        </w:rPr>
        <w:t>Biglaiser</w:t>
      </w:r>
      <w:proofErr w:type="spellEnd"/>
      <w:r w:rsidR="00966346">
        <w:rPr>
          <w:rFonts w:ascii="Times New Roman" w:hAnsi="Times New Roman" w:cs="Times New Roman"/>
          <w:sz w:val="24"/>
          <w:szCs w:val="24"/>
        </w:rPr>
        <w:t xml:space="preserve"> </w:t>
      </w:r>
      <w:r w:rsidR="00966346" w:rsidRPr="00966346">
        <w:rPr>
          <w:rFonts w:ascii="Times New Roman" w:hAnsi="Times New Roman" w:cs="Times New Roman"/>
          <w:sz w:val="24"/>
          <w:szCs w:val="24"/>
        </w:rPr>
        <w:t xml:space="preserve">and </w:t>
      </w:r>
      <w:proofErr w:type="spellStart"/>
      <w:r w:rsidR="00966346" w:rsidRPr="00966346">
        <w:rPr>
          <w:rFonts w:ascii="Times New Roman" w:hAnsi="Times New Roman" w:cs="Times New Roman"/>
          <w:sz w:val="24"/>
          <w:szCs w:val="24"/>
        </w:rPr>
        <w:t>McGauvran</w:t>
      </w:r>
      <w:proofErr w:type="spellEnd"/>
      <w:r w:rsidR="00966346">
        <w:rPr>
          <w:rFonts w:ascii="Times New Roman" w:hAnsi="Times New Roman" w:cs="Times New Roman"/>
          <w:sz w:val="24"/>
          <w:szCs w:val="24"/>
        </w:rPr>
        <w:t>, 2021)</w:t>
      </w:r>
      <w:r w:rsidRPr="00877EE2">
        <w:rPr>
          <w:rFonts w:ascii="Times New Roman" w:hAnsi="Times New Roman" w:cs="Times New Roman"/>
          <w:sz w:val="24"/>
          <w:szCs w:val="24"/>
          <w:lang w:val="en-GB"/>
        </w:rPr>
        <w:t>. This makes the firm to have the capacity to invest in areas of growth and absorb unexpected changes in the economy.</w:t>
      </w:r>
    </w:p>
    <w:p w14:paraId="211AE39E" w14:textId="77777777" w:rsidR="00323E4E"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Mergers have the benefit of enhancing the credit worthiness of the merged entity, which means that they can obtain a better and bigger borrowing facility. A merged organisation has a better bargaining position since it can negotiate a lesser interest rate and access to capital when it is stronger financially.</w:t>
      </w:r>
    </w:p>
    <w:p w14:paraId="1F9ADDCC" w14:textId="77777777" w:rsidR="00B50EB8"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direct effect of equity injection on debt structure is the strongest. Increasing the equity base will ensure that the firm does not rely on debt financing so much. This causes reduced leverage ratios, reduces the insolvency risk and enhances the capacity to finance long term loans should there arise necessity</w:t>
      </w:r>
      <w:r w:rsidR="00B50EB8" w:rsidRPr="00877EE2">
        <w:rPr>
          <w:rFonts w:ascii="Times New Roman" w:hAnsi="Times New Roman" w:cs="Times New Roman"/>
          <w:sz w:val="24"/>
          <w:szCs w:val="24"/>
          <w:lang w:val="en-GB"/>
        </w:rPr>
        <w:t>.</w:t>
      </w:r>
    </w:p>
    <w:p w14:paraId="133B93D5"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3 Impact on Operational Flexibility</w:t>
      </w:r>
    </w:p>
    <w:p w14:paraId="6FA3191C" w14:textId="77777777" w:rsidR="00323E4E"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Divestiture enhances operational flexibility through unloading of managerial load, and further emphasis on main operations. Getting rid of the segments that are performing poorly provides the resources that can be diverted to innovations or market expansion.</w:t>
      </w:r>
    </w:p>
    <w:p w14:paraId="5F0732FE" w14:textId="77777777" w:rsidR="00323E4E"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Alliances and mergers increase flexibility as they can share capabilities, gain additional capacity, enhance their supply chain resilience, and open new markets and/or technologies</w:t>
      </w:r>
      <w:r w:rsidR="00966346">
        <w:rPr>
          <w:rFonts w:ascii="Times New Roman" w:hAnsi="Times New Roman" w:cs="Times New Roman"/>
          <w:sz w:val="24"/>
          <w:szCs w:val="24"/>
          <w:lang w:val="en-GB"/>
        </w:rPr>
        <w:t xml:space="preserve"> (</w:t>
      </w:r>
      <w:proofErr w:type="spellStart"/>
      <w:r w:rsidR="00966346" w:rsidRPr="00966346">
        <w:rPr>
          <w:rFonts w:ascii="Times New Roman" w:hAnsi="Times New Roman" w:cs="Times New Roman"/>
          <w:sz w:val="24"/>
          <w:szCs w:val="24"/>
        </w:rPr>
        <w:t>Jerab</w:t>
      </w:r>
      <w:proofErr w:type="spellEnd"/>
      <w:r w:rsidR="00966346">
        <w:rPr>
          <w:rFonts w:ascii="Times New Roman" w:hAnsi="Times New Roman" w:cs="Times New Roman"/>
          <w:sz w:val="24"/>
          <w:szCs w:val="24"/>
        </w:rPr>
        <w:t xml:space="preserve"> </w:t>
      </w:r>
      <w:r w:rsidR="00966346" w:rsidRPr="00966346">
        <w:rPr>
          <w:rFonts w:ascii="Times New Roman" w:hAnsi="Times New Roman" w:cs="Times New Roman"/>
          <w:sz w:val="24"/>
          <w:szCs w:val="24"/>
        </w:rPr>
        <w:t xml:space="preserve">and </w:t>
      </w:r>
      <w:proofErr w:type="spellStart"/>
      <w:r w:rsidR="00966346" w:rsidRPr="00966346">
        <w:rPr>
          <w:rFonts w:ascii="Times New Roman" w:hAnsi="Times New Roman" w:cs="Times New Roman"/>
          <w:sz w:val="24"/>
          <w:szCs w:val="24"/>
        </w:rPr>
        <w:t>Mabrouk</w:t>
      </w:r>
      <w:proofErr w:type="spellEnd"/>
      <w:r w:rsidR="00966346">
        <w:rPr>
          <w:rFonts w:ascii="Times New Roman" w:hAnsi="Times New Roman" w:cs="Times New Roman"/>
          <w:sz w:val="24"/>
          <w:szCs w:val="24"/>
        </w:rPr>
        <w:t>, 2023)</w:t>
      </w:r>
      <w:r w:rsidRPr="00877EE2">
        <w:rPr>
          <w:rFonts w:ascii="Times New Roman" w:hAnsi="Times New Roman" w:cs="Times New Roman"/>
          <w:sz w:val="24"/>
          <w:szCs w:val="24"/>
          <w:lang w:val="en-GB"/>
        </w:rPr>
        <w:t>. The availability of wider resources will enable companies to react more smoothly to the changes in the market.</w:t>
      </w:r>
    </w:p>
    <w:p w14:paraId="323C22CD" w14:textId="77777777" w:rsidR="00B50EB8"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exercise of injecting equity also increases flexibility by means of funding new capital required to make an investment in modernisation, overall strategic initiative, or digitalisation. The financial pressure is reduced and the firm is able to make calculated risks and develop the firm on a long term basis.</w:t>
      </w:r>
    </w:p>
    <w:p w14:paraId="480FD4DC" w14:textId="77777777" w:rsidR="00B50EB8" w:rsidRPr="00877EE2" w:rsidRDefault="0053505C" w:rsidP="00237E55">
      <w:pPr>
        <w:pStyle w:val="Heading2"/>
        <w:rPr>
          <w:lang w:val="en-GB"/>
        </w:rPr>
      </w:pPr>
      <w:bookmarkStart w:id="13" w:name="_Toc214455546"/>
      <w:r w:rsidRPr="00877EE2">
        <w:rPr>
          <w:lang w:val="en-GB"/>
        </w:rPr>
        <w:t>3.3</w:t>
      </w:r>
      <w:r w:rsidR="00B50EB8" w:rsidRPr="00877EE2">
        <w:rPr>
          <w:lang w:val="en-GB"/>
        </w:rPr>
        <w:t xml:space="preserve"> International and Ethical Considerations</w:t>
      </w:r>
      <w:bookmarkEnd w:id="13"/>
    </w:p>
    <w:p w14:paraId="2265D337"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1</w:t>
      </w:r>
      <w:r w:rsidR="00237E55" w:rsidRPr="00877EE2">
        <w:rPr>
          <w:rFonts w:ascii="Times New Roman" w:hAnsi="Times New Roman" w:cs="Times New Roman"/>
          <w:b/>
          <w:bCs/>
          <w:sz w:val="24"/>
          <w:szCs w:val="24"/>
          <w:lang w:val="en-GB"/>
        </w:rPr>
        <w:t>.</w:t>
      </w:r>
      <w:r w:rsidRPr="00877EE2">
        <w:rPr>
          <w:rFonts w:ascii="Times New Roman" w:hAnsi="Times New Roman" w:cs="Times New Roman"/>
          <w:b/>
          <w:bCs/>
          <w:sz w:val="24"/>
          <w:szCs w:val="24"/>
          <w:lang w:val="en-GB"/>
        </w:rPr>
        <w:t xml:space="preserve"> </w:t>
      </w:r>
      <w:r w:rsidR="00237E55" w:rsidRPr="00877EE2">
        <w:rPr>
          <w:rFonts w:ascii="Times New Roman" w:hAnsi="Times New Roman" w:cs="Times New Roman"/>
          <w:b/>
          <w:bCs/>
          <w:sz w:val="24"/>
          <w:szCs w:val="24"/>
          <w:lang w:val="en-GB"/>
        </w:rPr>
        <w:t xml:space="preserve"> </w:t>
      </w:r>
      <w:r w:rsidRPr="00877EE2">
        <w:rPr>
          <w:rFonts w:ascii="Times New Roman" w:hAnsi="Times New Roman" w:cs="Times New Roman"/>
          <w:b/>
          <w:bCs/>
          <w:sz w:val="24"/>
          <w:szCs w:val="24"/>
          <w:lang w:val="en-GB"/>
        </w:rPr>
        <w:t>Taxation</w:t>
      </w:r>
    </w:p>
    <w:p w14:paraId="3764AFE9" w14:textId="77777777" w:rsidR="00B50EB8" w:rsidRPr="00877EE2" w:rsidRDefault="00323E4E" w:rsidP="00B50EB8">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tax implications of re-structuring decisions like divestiture and mergers are capital gains tax, transfer pricing and cross-border tax. Global tax treaties should be considered by companies, along with the adherence to the OECD standards and ethical actions of the company in taxes</w:t>
      </w:r>
      <w:r w:rsidR="00966346">
        <w:rPr>
          <w:rFonts w:ascii="Times New Roman" w:hAnsi="Times New Roman" w:cs="Times New Roman"/>
          <w:sz w:val="24"/>
          <w:szCs w:val="24"/>
          <w:lang w:val="en-GB"/>
        </w:rPr>
        <w:t xml:space="preserve"> (</w:t>
      </w:r>
      <w:r w:rsidR="00966346" w:rsidRPr="00966346">
        <w:rPr>
          <w:rFonts w:ascii="Times New Roman" w:hAnsi="Times New Roman" w:cs="Times New Roman"/>
          <w:sz w:val="24"/>
          <w:szCs w:val="24"/>
        </w:rPr>
        <w:t>Motala</w:t>
      </w:r>
      <w:r w:rsidR="00966346">
        <w:rPr>
          <w:rFonts w:ascii="Times New Roman" w:hAnsi="Times New Roman" w:cs="Times New Roman"/>
          <w:sz w:val="24"/>
          <w:szCs w:val="24"/>
        </w:rPr>
        <w:t>, 2019)</w:t>
      </w:r>
      <w:r w:rsidRPr="00877EE2">
        <w:rPr>
          <w:rFonts w:ascii="Times New Roman" w:hAnsi="Times New Roman" w:cs="Times New Roman"/>
          <w:sz w:val="24"/>
          <w:szCs w:val="24"/>
          <w:lang w:val="en-GB"/>
        </w:rPr>
        <w:t>. Open tax planning saves the reputation of the firm and prevents the legal fines</w:t>
      </w:r>
      <w:r w:rsidR="00B50EB8" w:rsidRPr="00877EE2">
        <w:rPr>
          <w:rFonts w:ascii="Times New Roman" w:hAnsi="Times New Roman" w:cs="Times New Roman"/>
          <w:sz w:val="24"/>
          <w:szCs w:val="24"/>
          <w:lang w:val="en-GB"/>
        </w:rPr>
        <w:t>.</w:t>
      </w:r>
    </w:p>
    <w:p w14:paraId="2CBD49B3"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2 Currency Risk</w:t>
      </w:r>
    </w:p>
    <w:p w14:paraId="74C11983" w14:textId="77777777" w:rsidR="00323E4E" w:rsidRPr="00877EE2" w:rsidRDefault="00323E4E" w:rsidP="00B50EB8">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Cross border operation or restructuring subjects the firm to currency volatility. Foreign exchange can have an impact on the value of assets, any foreign cash flows or foreign-currency debt repayment. These risks should be countered by having hedging strategies, like currency forwards or swaps.</w:t>
      </w:r>
    </w:p>
    <w:p w14:paraId="2EFCAD5A"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3 Inflation and Interest Rate Risks</w:t>
      </w:r>
    </w:p>
    <w:p w14:paraId="2E932BCA" w14:textId="77777777" w:rsidR="00B50EB8" w:rsidRPr="00877EE2" w:rsidRDefault="00323E4E" w:rsidP="00B50EB8">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Inflation leads to high operational costs and reduction in purchasing power. When divesting foreign markets or merging, firms have to consider the inflation adjusted costs. Increase in the interests of the world also influences the refinancing of debt thereby making equity restructuring appealing</w:t>
      </w:r>
      <w:r w:rsidR="00B50EB8" w:rsidRPr="00877EE2">
        <w:rPr>
          <w:rFonts w:ascii="Times New Roman" w:hAnsi="Times New Roman" w:cs="Times New Roman"/>
          <w:sz w:val="24"/>
          <w:szCs w:val="24"/>
          <w:lang w:val="en-GB"/>
        </w:rPr>
        <w:t>.</w:t>
      </w:r>
    </w:p>
    <w:p w14:paraId="5F03B2E8" w14:textId="77777777" w:rsidR="00B50EB8" w:rsidRPr="00877EE2" w:rsidRDefault="00B50EB8" w:rsidP="00B50EB8">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 xml:space="preserve">4 Corporate Social </w:t>
      </w:r>
      <w:r w:rsidR="00966346" w:rsidRPr="00877EE2">
        <w:rPr>
          <w:rFonts w:ascii="Times New Roman" w:hAnsi="Times New Roman" w:cs="Times New Roman"/>
          <w:b/>
          <w:bCs/>
          <w:sz w:val="24"/>
          <w:szCs w:val="24"/>
          <w:lang w:val="en-GB"/>
        </w:rPr>
        <w:t>Responsibilities</w:t>
      </w:r>
      <w:r w:rsidRPr="00877EE2">
        <w:rPr>
          <w:rFonts w:ascii="Times New Roman" w:hAnsi="Times New Roman" w:cs="Times New Roman"/>
          <w:b/>
          <w:bCs/>
          <w:sz w:val="24"/>
          <w:szCs w:val="24"/>
          <w:lang w:val="en-GB"/>
        </w:rPr>
        <w:t xml:space="preserve"> (CSR)</w:t>
      </w:r>
    </w:p>
    <w:p w14:paraId="2BF355E9" w14:textId="77777777" w:rsidR="00323E4E"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The issue of ethics is very crucial when restructuring. Such decisions as divestiture or downsizing need to be treated in a transparent way in order to </w:t>
      </w:r>
      <w:proofErr w:type="spellStart"/>
      <w:r w:rsidRPr="00877EE2">
        <w:rPr>
          <w:rFonts w:ascii="Times New Roman" w:hAnsi="Times New Roman" w:cs="Times New Roman"/>
          <w:sz w:val="24"/>
          <w:szCs w:val="24"/>
          <w:lang w:val="en-GB"/>
        </w:rPr>
        <w:t>minimize</w:t>
      </w:r>
      <w:proofErr w:type="spellEnd"/>
      <w:r w:rsidRPr="00877EE2">
        <w:rPr>
          <w:rFonts w:ascii="Times New Roman" w:hAnsi="Times New Roman" w:cs="Times New Roman"/>
          <w:sz w:val="24"/>
          <w:szCs w:val="24"/>
          <w:lang w:val="en-GB"/>
        </w:rPr>
        <w:t xml:space="preserve"> the reputational losses</w:t>
      </w:r>
      <w:r w:rsidR="00966346">
        <w:rPr>
          <w:rFonts w:ascii="Times New Roman" w:hAnsi="Times New Roman" w:cs="Times New Roman"/>
          <w:sz w:val="24"/>
          <w:szCs w:val="24"/>
          <w:lang w:val="en-GB"/>
        </w:rPr>
        <w:t xml:space="preserve"> (</w:t>
      </w:r>
      <w:r w:rsidR="00966346" w:rsidRPr="00966346">
        <w:rPr>
          <w:rFonts w:ascii="Times New Roman" w:hAnsi="Times New Roman" w:cs="Times New Roman"/>
          <w:sz w:val="24"/>
          <w:szCs w:val="24"/>
        </w:rPr>
        <w:t>Umar</w:t>
      </w:r>
      <w:r w:rsidR="00966346">
        <w:rPr>
          <w:rFonts w:ascii="Times New Roman" w:hAnsi="Times New Roman" w:cs="Times New Roman"/>
          <w:sz w:val="24"/>
          <w:szCs w:val="24"/>
        </w:rPr>
        <w:t>, 2023)</w:t>
      </w:r>
      <w:r w:rsidRPr="00877EE2">
        <w:rPr>
          <w:rFonts w:ascii="Times New Roman" w:hAnsi="Times New Roman" w:cs="Times New Roman"/>
          <w:sz w:val="24"/>
          <w:szCs w:val="24"/>
          <w:lang w:val="en-GB"/>
        </w:rPr>
        <w:t>. Companies should guarantee that they treat employees justly, adhere to ecological requirements, and communicated well to stakeholders in a responsible manner. Trust and long-term sustainability are improved through upholding CSR.</w:t>
      </w:r>
    </w:p>
    <w:p w14:paraId="31338724" w14:textId="77777777" w:rsidR="00B50EB8" w:rsidRPr="00877EE2" w:rsidRDefault="00323E4E" w:rsidP="00323E4E">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All said and done, divestiture, mergers or alliance, as well as equity injection, provide a viable and balanced path towards financial recovery. The </w:t>
      </w:r>
      <w:proofErr w:type="spellStart"/>
      <w:r w:rsidRPr="00877EE2">
        <w:rPr>
          <w:rFonts w:ascii="Times New Roman" w:hAnsi="Times New Roman" w:cs="Times New Roman"/>
          <w:sz w:val="24"/>
          <w:szCs w:val="24"/>
          <w:lang w:val="en-GB"/>
        </w:rPr>
        <w:t>reorganization</w:t>
      </w:r>
      <w:proofErr w:type="spellEnd"/>
      <w:r w:rsidRPr="00877EE2">
        <w:rPr>
          <w:rFonts w:ascii="Times New Roman" w:hAnsi="Times New Roman" w:cs="Times New Roman"/>
          <w:sz w:val="24"/>
          <w:szCs w:val="24"/>
          <w:lang w:val="en-GB"/>
        </w:rPr>
        <w:t xml:space="preserve"> of the debt, operational flexibility, and the global risks as well as ethical liability will help the firm to regain its competitiveness, shareholder value, and the sustainable long-term growth.</w:t>
      </w:r>
      <w:r w:rsidR="00B50EB8" w:rsidRPr="00877EE2">
        <w:rPr>
          <w:rFonts w:ascii="Times New Roman" w:hAnsi="Times New Roman" w:cs="Times New Roman"/>
          <w:sz w:val="24"/>
          <w:szCs w:val="24"/>
          <w:lang w:val="en-GB"/>
        </w:rPr>
        <w:br w:type="page"/>
      </w:r>
    </w:p>
    <w:p w14:paraId="20D42C19" w14:textId="77777777" w:rsidR="008A5FED" w:rsidRPr="00877EE2" w:rsidRDefault="0053505C" w:rsidP="00881A34">
      <w:pPr>
        <w:spacing w:line="360" w:lineRule="auto"/>
        <w:jc w:val="both"/>
        <w:rPr>
          <w:rFonts w:ascii="Times New Roman" w:hAnsi="Times New Roman" w:cs="Times New Roman"/>
          <w:sz w:val="24"/>
          <w:szCs w:val="24"/>
          <w:lang w:val="en-GB"/>
        </w:rPr>
      </w:pPr>
      <w:bookmarkStart w:id="14" w:name="_Toc214455547"/>
      <w:r w:rsidRPr="00877EE2">
        <w:rPr>
          <w:rStyle w:val="Heading1Char"/>
          <w:lang w:val="en-GB"/>
        </w:rPr>
        <w:t xml:space="preserve">4. </w:t>
      </w:r>
      <w:r w:rsidR="008A5FED" w:rsidRPr="00877EE2">
        <w:rPr>
          <w:rStyle w:val="Heading1Char"/>
          <w:lang w:val="en-GB"/>
        </w:rPr>
        <w:t>Investment Appraisal and Capital Budgeting</w:t>
      </w:r>
      <w:bookmarkEnd w:id="14"/>
      <w:r w:rsidR="008A5FED" w:rsidRPr="00877EE2">
        <w:rPr>
          <w:rFonts w:ascii="Times New Roman" w:hAnsi="Times New Roman" w:cs="Times New Roman"/>
          <w:sz w:val="24"/>
          <w:szCs w:val="24"/>
          <w:lang w:val="en-GB"/>
        </w:rPr>
        <w:t xml:space="preserve"> </w:t>
      </w:r>
    </w:p>
    <w:p w14:paraId="06AC8185" w14:textId="77777777" w:rsidR="00323E4E" w:rsidRPr="00877EE2" w:rsidRDefault="00323E4E"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In this section, Payback Period (PBP), Accounting rate of return (ARR), Net Present Value (NPV), Profitability Index (PI) and Internal rate of return(IRR), are used to appraise three mutually exclusive projects. Assumptions: Discount principle 10%, straight-line capital depreciation to zero over five years and capital rationing, total investment is constrained to £60m. The calculations are presented at a concrete level and implemented to suggest the best investment under the circumstances of reduced profitability of the company in the context of low liquidity and capital rationing.</w:t>
      </w:r>
    </w:p>
    <w:p w14:paraId="22F174E7" w14:textId="77777777" w:rsidR="0053505C" w:rsidRPr="00877EE2" w:rsidRDefault="0053505C" w:rsidP="00237E55">
      <w:pPr>
        <w:pStyle w:val="Heading2"/>
        <w:rPr>
          <w:lang w:val="en-GB"/>
        </w:rPr>
      </w:pPr>
      <w:bookmarkStart w:id="15" w:name="_Toc214455548"/>
      <w:r w:rsidRPr="00877EE2">
        <w:rPr>
          <w:lang w:val="en-GB"/>
        </w:rPr>
        <w:t>4.1 Investment Calculation</w:t>
      </w:r>
      <w:bookmarkEnd w:id="15"/>
    </w:p>
    <w:p w14:paraId="241E947E" w14:textId="77777777" w:rsidR="00ED0D61" w:rsidRPr="00877EE2" w:rsidRDefault="00ED0D61" w:rsidP="00ED0D61">
      <w:pPr>
        <w:spacing w:line="360" w:lineRule="auto"/>
        <w:jc w:val="both"/>
        <w:rPr>
          <w:rFonts w:ascii="Times New Roman" w:hAnsi="Times New Roman" w:cs="Times New Roman"/>
          <w:b/>
          <w:bCs/>
          <w:sz w:val="24"/>
          <w:szCs w:val="24"/>
          <w:lang w:val="en-GB"/>
        </w:rPr>
      </w:pPr>
      <w:r w:rsidRPr="00877EE2">
        <w:rPr>
          <w:rFonts w:ascii="Times New Roman" w:hAnsi="Times New Roman" w:cs="Times New Roman"/>
          <w:b/>
          <w:bCs/>
          <w:sz w:val="24"/>
          <w:szCs w:val="24"/>
          <w:lang w:val="en-GB"/>
        </w:rPr>
        <w:t>Met</w:t>
      </w:r>
      <w:r w:rsidR="0053505C" w:rsidRPr="00877EE2">
        <w:rPr>
          <w:rFonts w:ascii="Times New Roman" w:hAnsi="Times New Roman" w:cs="Times New Roman"/>
          <w:b/>
          <w:bCs/>
          <w:sz w:val="24"/>
          <w:szCs w:val="24"/>
          <w:lang w:val="en-GB"/>
        </w:rPr>
        <w:t xml:space="preserve">hodology and common assumptions: </w:t>
      </w:r>
      <w:r w:rsidR="00875727" w:rsidRPr="00877EE2">
        <w:rPr>
          <w:rFonts w:ascii="Times New Roman" w:hAnsi="Times New Roman" w:cs="Times New Roman"/>
          <w:sz w:val="24"/>
          <w:szCs w:val="24"/>
          <w:lang w:val="en-GB"/>
        </w:rPr>
        <w:t>PBP is used to calculate recoverability of initial outlay of cumulative cash inflows. ARR works with the use of the average accounting profit (cash inflows less straight-line depreciation) applied to the initial investment. NPV discounts the total annual cas</w:t>
      </w:r>
      <w:r w:rsidR="0053505C" w:rsidRPr="00877EE2">
        <w:rPr>
          <w:rFonts w:ascii="Times New Roman" w:hAnsi="Times New Roman" w:cs="Times New Roman"/>
          <w:sz w:val="24"/>
          <w:szCs w:val="24"/>
          <w:lang w:val="en-GB"/>
        </w:rPr>
        <w:t xml:space="preserve">h inflow at 10% </w:t>
      </w:r>
      <w:r w:rsidR="00875727" w:rsidRPr="00877EE2">
        <w:rPr>
          <w:rFonts w:ascii="Times New Roman" w:hAnsi="Times New Roman" w:cs="Times New Roman"/>
          <w:sz w:val="24"/>
          <w:szCs w:val="24"/>
          <w:lang w:val="en-GB"/>
        </w:rPr>
        <w:t xml:space="preserve">and deduces the initial outlay. </w:t>
      </w:r>
      <w:r w:rsidRPr="00877EE2">
        <w:rPr>
          <w:rFonts w:ascii="Times New Roman" w:hAnsi="Times New Roman" w:cs="Times New Roman"/>
          <w:sz w:val="24"/>
          <w:szCs w:val="24"/>
          <w:lang w:val="en-GB"/>
        </w:rPr>
        <w:t xml:space="preserve">PI = PV of inflows / initial outlay. IRR is the discount rate that sets NPV to zero (estimated). Discount factors at 10%: </w:t>
      </w:r>
    </w:p>
    <w:tbl>
      <w:tblPr>
        <w:tblStyle w:val="TableGrid"/>
        <w:tblW w:w="0" w:type="auto"/>
        <w:tblLook w:val="04A0" w:firstRow="1" w:lastRow="0" w:firstColumn="1" w:lastColumn="0" w:noHBand="0" w:noVBand="1"/>
      </w:tblPr>
      <w:tblGrid>
        <w:gridCol w:w="1473"/>
        <w:gridCol w:w="1473"/>
      </w:tblGrid>
      <w:tr w:rsidR="00ED0D61" w:rsidRPr="00877EE2" w14:paraId="2D7172B9" w14:textId="77777777" w:rsidTr="00ED0D61">
        <w:trPr>
          <w:trHeight w:val="511"/>
        </w:trPr>
        <w:tc>
          <w:tcPr>
            <w:tcW w:w="1473" w:type="dxa"/>
          </w:tcPr>
          <w:p w14:paraId="44335FB1"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Year 1</w:t>
            </w:r>
          </w:p>
        </w:tc>
        <w:tc>
          <w:tcPr>
            <w:tcW w:w="1473" w:type="dxa"/>
          </w:tcPr>
          <w:p w14:paraId="01EAF2CE"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0.909</w:t>
            </w:r>
          </w:p>
        </w:tc>
      </w:tr>
      <w:tr w:rsidR="00ED0D61" w:rsidRPr="00877EE2" w14:paraId="75BD8781" w14:textId="77777777" w:rsidTr="00ED0D61">
        <w:trPr>
          <w:trHeight w:val="530"/>
        </w:trPr>
        <w:tc>
          <w:tcPr>
            <w:tcW w:w="1473" w:type="dxa"/>
          </w:tcPr>
          <w:p w14:paraId="744AEB4A"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Year 2</w:t>
            </w:r>
          </w:p>
        </w:tc>
        <w:tc>
          <w:tcPr>
            <w:tcW w:w="1473" w:type="dxa"/>
          </w:tcPr>
          <w:p w14:paraId="79315CAE"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0.826</w:t>
            </w:r>
          </w:p>
        </w:tc>
      </w:tr>
      <w:tr w:rsidR="00ED0D61" w:rsidRPr="00877EE2" w14:paraId="7D44A854" w14:textId="77777777" w:rsidTr="00ED0D61">
        <w:trPr>
          <w:trHeight w:val="511"/>
        </w:trPr>
        <w:tc>
          <w:tcPr>
            <w:tcW w:w="1473" w:type="dxa"/>
          </w:tcPr>
          <w:p w14:paraId="0304494B"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Year 3</w:t>
            </w:r>
          </w:p>
        </w:tc>
        <w:tc>
          <w:tcPr>
            <w:tcW w:w="1473" w:type="dxa"/>
          </w:tcPr>
          <w:p w14:paraId="567C653D"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0.751</w:t>
            </w:r>
          </w:p>
        </w:tc>
      </w:tr>
      <w:tr w:rsidR="00ED0D61" w:rsidRPr="00877EE2" w14:paraId="4725C0FD" w14:textId="77777777" w:rsidTr="00ED0D61">
        <w:trPr>
          <w:trHeight w:val="511"/>
        </w:trPr>
        <w:tc>
          <w:tcPr>
            <w:tcW w:w="1473" w:type="dxa"/>
          </w:tcPr>
          <w:p w14:paraId="4DFAA72F"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Year 4</w:t>
            </w:r>
          </w:p>
        </w:tc>
        <w:tc>
          <w:tcPr>
            <w:tcW w:w="1473" w:type="dxa"/>
          </w:tcPr>
          <w:p w14:paraId="23EC9BE7"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0.683</w:t>
            </w:r>
          </w:p>
        </w:tc>
      </w:tr>
      <w:tr w:rsidR="00ED0D61" w:rsidRPr="00877EE2" w14:paraId="29238DC7" w14:textId="77777777" w:rsidTr="00ED0D61">
        <w:trPr>
          <w:trHeight w:val="530"/>
        </w:trPr>
        <w:tc>
          <w:tcPr>
            <w:tcW w:w="1473" w:type="dxa"/>
          </w:tcPr>
          <w:p w14:paraId="0E697C1C"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Year 5</w:t>
            </w:r>
          </w:p>
        </w:tc>
        <w:tc>
          <w:tcPr>
            <w:tcW w:w="1473" w:type="dxa"/>
          </w:tcPr>
          <w:p w14:paraId="7FCAFB9C"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0.621</w:t>
            </w:r>
          </w:p>
        </w:tc>
      </w:tr>
    </w:tbl>
    <w:p w14:paraId="5402D9BE" w14:textId="77777777" w:rsidR="00ED0D61" w:rsidRPr="00877EE2" w:rsidRDefault="00ED0D61" w:rsidP="00ED0D61">
      <w:pPr>
        <w:spacing w:line="360" w:lineRule="auto"/>
        <w:jc w:val="both"/>
        <w:rPr>
          <w:rFonts w:ascii="Times New Roman" w:hAnsi="Times New Roman" w:cs="Times New Roman"/>
          <w:sz w:val="24"/>
          <w:szCs w:val="24"/>
          <w:lang w:val="en-GB"/>
        </w:rPr>
      </w:pPr>
    </w:p>
    <w:p w14:paraId="0C682EAF" w14:textId="77777777" w:rsidR="00ED0D61" w:rsidRPr="00877EE2" w:rsidRDefault="00ED0D61" w:rsidP="00ED0D61">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All cash flows are net cash inflows (given). Straight-line depreciation = </w:t>
      </w:r>
      <m:oMath>
        <m:f>
          <m:fPr>
            <m:ctrlPr>
              <w:rPr>
                <w:rFonts w:ascii="Cambria Math" w:hAnsi="Cambria Math" w:cs="Times New Roman"/>
                <w:i/>
                <w:sz w:val="24"/>
                <w:szCs w:val="24"/>
                <w:lang w:val="en-GB"/>
              </w:rPr>
            </m:ctrlPr>
          </m:fPr>
          <m:num>
            <m:r>
              <m:rPr>
                <m:sty m:val="p"/>
              </m:rPr>
              <w:rPr>
                <w:rFonts w:ascii="Cambria Math" w:hAnsi="Cambria Math" w:cs="Times New Roman"/>
                <w:sz w:val="24"/>
                <w:szCs w:val="24"/>
                <w:lang w:val="en-GB"/>
              </w:rPr>
              <m:t xml:space="preserve">initial investment </m:t>
            </m:r>
          </m:num>
          <m:den>
            <m:r>
              <w:rPr>
                <w:rFonts w:ascii="Cambria Math" w:hAnsi="Cambria Math" w:cs="Times New Roman"/>
                <w:sz w:val="24"/>
                <w:szCs w:val="24"/>
                <w:lang w:val="en-GB"/>
              </w:rPr>
              <m:t>5</m:t>
            </m:r>
          </m:den>
        </m:f>
      </m:oMath>
      <w:r w:rsidRPr="00877EE2">
        <w:rPr>
          <w:rFonts w:ascii="Times New Roman" w:hAnsi="Times New Roman" w:cs="Times New Roman"/>
          <w:sz w:val="24"/>
          <w:szCs w:val="24"/>
          <w:lang w:val="en-GB"/>
        </w:rPr>
        <w:t xml:space="preserve"> years. Tax is ignored (not provided) so ARR uses pre-tax cash profit less depreciation.</w:t>
      </w:r>
    </w:p>
    <w:p w14:paraId="13D3AF31" w14:textId="77777777" w:rsidR="00FD4F70" w:rsidRPr="00877EE2" w:rsidRDefault="00ED0D61" w:rsidP="00881A34">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 xml:space="preserve">Project A </w:t>
      </w:r>
    </w:p>
    <w:p w14:paraId="3AF4A672" w14:textId="77777777" w:rsidR="006C7945" w:rsidRPr="00877EE2" w:rsidRDefault="006C7945" w:rsidP="00881A34">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 xml:space="preserve">Payback Period </w:t>
      </w:r>
    </w:p>
    <w:p w14:paraId="56A22D5E" w14:textId="77777777" w:rsidR="00ED0D61" w:rsidRPr="00877EE2" w:rsidRDefault="00ED0D61"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Initial Investment = £40m</w:t>
      </w:r>
    </w:p>
    <w:p w14:paraId="26B353B4" w14:textId="77777777" w:rsidR="00ED0D61" w:rsidRPr="00877EE2" w:rsidRDefault="00E0255D" w:rsidP="00881A34">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Payback </w:t>
      </w:r>
      <w:r w:rsidR="00DE74CD" w:rsidRPr="00877EE2">
        <w:rPr>
          <w:rFonts w:ascii="Times New Roman" w:eastAsiaTheme="minorEastAsia" w:hAnsi="Times New Roman" w:cs="Times New Roman"/>
          <w:sz w:val="24"/>
          <w:szCs w:val="24"/>
          <w:lang w:val="en-GB"/>
        </w:rPr>
        <w:t xml:space="preserve">= 3.4 years </w:t>
      </w:r>
    </w:p>
    <w:p w14:paraId="489EF117" w14:textId="77777777" w:rsidR="00DE74CD" w:rsidRPr="00877EE2" w:rsidRDefault="00DE74CD" w:rsidP="00881A34">
      <w:pPr>
        <w:spacing w:line="360" w:lineRule="auto"/>
        <w:jc w:val="both"/>
        <w:rPr>
          <w:rFonts w:ascii="Times New Roman" w:eastAsiaTheme="minorEastAsia" w:hAnsi="Times New Roman" w:cs="Times New Roman"/>
          <w:b/>
          <w:sz w:val="24"/>
          <w:szCs w:val="24"/>
          <w:lang w:val="en-GB"/>
        </w:rPr>
      </w:pPr>
      <w:r w:rsidRPr="00877EE2">
        <w:rPr>
          <w:rFonts w:ascii="Times New Roman" w:eastAsiaTheme="minorEastAsia" w:hAnsi="Times New Roman" w:cs="Times New Roman"/>
          <w:b/>
          <w:sz w:val="24"/>
          <w:szCs w:val="24"/>
          <w:lang w:val="en-GB"/>
        </w:rPr>
        <w:t>Accounting Rate of Return (ARR)</w:t>
      </w:r>
      <w:r w:rsidR="00E0255D" w:rsidRPr="00877EE2">
        <w:rPr>
          <w:rFonts w:ascii="Times New Roman" w:eastAsiaTheme="minorEastAsia" w:hAnsi="Times New Roman" w:cs="Times New Roman"/>
          <w:b/>
          <w:sz w:val="24"/>
          <w:szCs w:val="24"/>
          <w:lang w:val="en-GB"/>
        </w:rPr>
        <w:t xml:space="preserve"> = </w:t>
      </w:r>
      <w:r w:rsidRPr="00877EE2">
        <w:rPr>
          <w:rFonts w:ascii="Times New Roman" w:eastAsiaTheme="minorEastAsia" w:hAnsi="Times New Roman" w:cs="Times New Roman"/>
          <w:sz w:val="24"/>
          <w:szCs w:val="24"/>
          <w:lang w:val="en-GB"/>
        </w:rPr>
        <w:t>7.0%</w:t>
      </w:r>
    </w:p>
    <w:p w14:paraId="1493CAE3" w14:textId="77777777" w:rsidR="00DE74CD" w:rsidRPr="00877EE2" w:rsidRDefault="00E0255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NPV = </w:t>
      </w:r>
      <w:r w:rsidR="00DE74CD" w:rsidRPr="00877EE2">
        <w:rPr>
          <w:rFonts w:ascii="Times New Roman" w:hAnsi="Times New Roman" w:cs="Times New Roman"/>
          <w:sz w:val="24"/>
          <w:szCs w:val="24"/>
          <w:lang w:val="en-GB"/>
        </w:rPr>
        <w:t xml:space="preserve">1.31m </w:t>
      </w:r>
    </w:p>
    <w:p w14:paraId="04DB1D8B" w14:textId="77777777" w:rsidR="00DE74CD" w:rsidRPr="00877EE2" w:rsidRDefault="00DE74CD" w:rsidP="00881A34">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PI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Total PV of Inflows</m:t>
            </m:r>
          </m:num>
          <m:den>
            <m:r>
              <w:rPr>
                <w:rFonts w:ascii="Cambria Math" w:hAnsi="Cambria Math" w:cs="Times New Roman"/>
                <w:sz w:val="24"/>
                <w:szCs w:val="24"/>
                <w:lang w:val="en-GB"/>
              </w:rPr>
              <m:t>Initial Investment</m:t>
            </m:r>
          </m:den>
        </m:f>
      </m:oMath>
      <w:r w:rsidRPr="00877EE2">
        <w:rPr>
          <w:rFonts w:ascii="Times New Roman" w:eastAsiaTheme="minorEastAsia" w:hAnsi="Times New Roman" w:cs="Times New Roman"/>
          <w:sz w:val="24"/>
          <w:szCs w:val="24"/>
          <w:lang w:val="en-GB"/>
        </w:rPr>
        <w:t xml:space="preserve"> = </w:t>
      </w:r>
      <m:oMath>
        <m:f>
          <m:fPr>
            <m:ctrlPr>
              <w:rPr>
                <w:rFonts w:ascii="Cambria Math" w:eastAsiaTheme="minorEastAsia" w:hAnsi="Cambria Math" w:cs="Times New Roman"/>
                <w:i/>
                <w:sz w:val="24"/>
                <w:szCs w:val="24"/>
                <w:lang w:val="en-GB"/>
              </w:rPr>
            </m:ctrlPr>
          </m:fPr>
          <m:num>
            <m:r>
              <w:rPr>
                <w:rFonts w:ascii="Cambria Math" w:eastAsiaTheme="minorEastAsia" w:hAnsi="Cambria Math" w:cs="Times New Roman"/>
                <w:sz w:val="24"/>
                <w:szCs w:val="24"/>
                <w:lang w:val="en-GB"/>
              </w:rPr>
              <m:t>41.31</m:t>
            </m:r>
          </m:num>
          <m:den>
            <m:r>
              <w:rPr>
                <w:rFonts w:ascii="Cambria Math" w:eastAsiaTheme="minorEastAsia" w:hAnsi="Cambria Math" w:cs="Times New Roman"/>
                <w:sz w:val="24"/>
                <w:szCs w:val="24"/>
                <w:lang w:val="en-GB"/>
              </w:rPr>
              <m:t>40</m:t>
            </m:r>
          </m:den>
        </m:f>
      </m:oMath>
      <w:r w:rsidRPr="00877EE2">
        <w:rPr>
          <w:rFonts w:ascii="Times New Roman" w:eastAsiaTheme="minorEastAsia" w:hAnsi="Times New Roman" w:cs="Times New Roman"/>
          <w:sz w:val="24"/>
          <w:szCs w:val="24"/>
          <w:lang w:val="en-GB"/>
        </w:rPr>
        <w:t xml:space="preserve"> = 1.033</w:t>
      </w:r>
    </w:p>
    <w:p w14:paraId="6508FE03" w14:textId="77777777" w:rsidR="00DE74CD" w:rsidRPr="00877EE2" w:rsidRDefault="00DE74CD" w:rsidP="00881A34">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Internal Rate of Return (IRR)</w:t>
      </w:r>
    </w:p>
    <w:p w14:paraId="2505B2DA" w14:textId="77777777" w:rsidR="00DE74CD" w:rsidRPr="00877EE2" w:rsidRDefault="00DE74C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Since NPV &gt; 0 at 10%, the IRR is higher than 10%. </w:t>
      </w:r>
    </w:p>
    <w:p w14:paraId="66AB0F0A" w14:textId="77777777" w:rsidR="00DE74CD" w:rsidRPr="00877EE2" w:rsidRDefault="00DE74C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IRR = approx 11.3%</w:t>
      </w:r>
    </w:p>
    <w:p w14:paraId="4B6CD52A" w14:textId="77777777" w:rsidR="00484B28" w:rsidRPr="00877EE2" w:rsidRDefault="00484B28">
      <w:pPr>
        <w:rPr>
          <w:rFonts w:ascii="Times New Roman" w:hAnsi="Times New Roman" w:cs="Times New Roman"/>
          <w:sz w:val="24"/>
          <w:szCs w:val="24"/>
          <w:lang w:val="en-GB"/>
        </w:rPr>
      </w:pPr>
    </w:p>
    <w:p w14:paraId="293A80A1" w14:textId="77777777" w:rsidR="00881A34" w:rsidRPr="00877EE2" w:rsidRDefault="006A2E30" w:rsidP="00881A34">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Project B</w:t>
      </w:r>
    </w:p>
    <w:p w14:paraId="44656832" w14:textId="77777777" w:rsidR="006A2E30" w:rsidRPr="00877EE2" w:rsidRDefault="00E0255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Initial Investment = 30m </w:t>
      </w:r>
    </w:p>
    <w:p w14:paraId="015B197D" w14:textId="77777777" w:rsidR="006A2E30" w:rsidRPr="00877EE2" w:rsidRDefault="006A2E30" w:rsidP="00881A34">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Payback Period </w:t>
      </w:r>
      <w:r w:rsidR="00E0255D" w:rsidRPr="00877EE2">
        <w:rPr>
          <w:rFonts w:ascii="Times New Roman" w:hAnsi="Times New Roman" w:cs="Times New Roman"/>
          <w:sz w:val="24"/>
          <w:szCs w:val="24"/>
          <w:lang w:val="en-GB"/>
        </w:rPr>
        <w:t xml:space="preserve">= </w:t>
      </w:r>
      <w:r w:rsidRPr="00877EE2">
        <w:rPr>
          <w:rFonts w:ascii="Times New Roman" w:eastAsiaTheme="minorEastAsia" w:hAnsi="Times New Roman" w:cs="Times New Roman"/>
          <w:sz w:val="24"/>
          <w:szCs w:val="24"/>
          <w:lang w:val="en-GB"/>
        </w:rPr>
        <w:t>5.0 years</w:t>
      </w:r>
    </w:p>
    <w:p w14:paraId="1EED834A" w14:textId="77777777" w:rsidR="006A2E30" w:rsidRPr="00877EE2" w:rsidRDefault="00E0255D" w:rsidP="00881A34">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Accounting Rate of Return (ARR) = </w:t>
      </w:r>
      <w:r w:rsidR="006A2E30" w:rsidRPr="00877EE2">
        <w:rPr>
          <w:rFonts w:ascii="Times New Roman" w:eastAsiaTheme="minorEastAsia" w:hAnsi="Times New Roman" w:cs="Times New Roman"/>
          <w:sz w:val="24"/>
          <w:szCs w:val="24"/>
          <w:lang w:val="en-GB"/>
        </w:rPr>
        <w:t xml:space="preserve">0.0% </w:t>
      </w:r>
    </w:p>
    <w:p w14:paraId="18D26E2D" w14:textId="77777777" w:rsidR="006A2E30" w:rsidRPr="00877EE2" w:rsidRDefault="00E0255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NPV </w:t>
      </w:r>
      <w:r w:rsidR="006A2E30" w:rsidRPr="00877EE2">
        <w:rPr>
          <w:rFonts w:ascii="Times New Roman" w:hAnsi="Times New Roman" w:cs="Times New Roman"/>
          <w:sz w:val="24"/>
          <w:szCs w:val="24"/>
          <w:lang w:val="en-GB"/>
        </w:rPr>
        <w:t>= −£7.2553m (≈ −£7.26m).</w:t>
      </w:r>
    </w:p>
    <w:p w14:paraId="5BD96D7B" w14:textId="77777777" w:rsidR="006A2E30" w:rsidRPr="00877EE2" w:rsidRDefault="006A2E30" w:rsidP="00881A34">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PI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22.7447</m:t>
            </m:r>
          </m:num>
          <m:den>
            <m:r>
              <w:rPr>
                <w:rFonts w:ascii="Cambria Math" w:hAnsi="Cambria Math" w:cs="Times New Roman"/>
                <w:sz w:val="24"/>
                <w:szCs w:val="24"/>
                <w:lang w:val="en-GB"/>
              </w:rPr>
              <m:t>30</m:t>
            </m:r>
          </m:den>
        </m:f>
      </m:oMath>
      <w:r w:rsidRPr="00877EE2">
        <w:rPr>
          <w:rFonts w:ascii="Times New Roman" w:eastAsiaTheme="minorEastAsia" w:hAnsi="Times New Roman" w:cs="Times New Roman"/>
          <w:sz w:val="24"/>
          <w:szCs w:val="24"/>
          <w:lang w:val="en-GB"/>
        </w:rPr>
        <w:t xml:space="preserve"> = 0.7582</w:t>
      </w:r>
    </w:p>
    <w:p w14:paraId="3F49E18F" w14:textId="77777777" w:rsidR="006A2E30" w:rsidRPr="00877EE2" w:rsidRDefault="006A2E30" w:rsidP="00881A34">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 xml:space="preserve">IRR </w:t>
      </w:r>
    </w:p>
    <w:p w14:paraId="105F1354" w14:textId="77777777" w:rsidR="006A2E30" w:rsidRPr="00877EE2" w:rsidRDefault="006A2E30"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Since NPV &lt; 0 at 10% and Total Inflow, so IRR is 0. </w:t>
      </w:r>
    </w:p>
    <w:p w14:paraId="2A7531F8" w14:textId="77777777" w:rsidR="00237E55" w:rsidRPr="00877EE2" w:rsidRDefault="00237E55" w:rsidP="00237E55">
      <w:pPr>
        <w:rPr>
          <w:rFonts w:ascii="Times New Roman" w:hAnsi="Times New Roman" w:cs="Times New Roman"/>
          <w:sz w:val="24"/>
          <w:szCs w:val="24"/>
          <w:lang w:val="en-GB"/>
        </w:rPr>
      </w:pPr>
    </w:p>
    <w:p w14:paraId="6D0AB043" w14:textId="77777777" w:rsidR="00665B79" w:rsidRPr="00877EE2" w:rsidRDefault="00665B79" w:rsidP="00237E55">
      <w:pPr>
        <w:rPr>
          <w:rFonts w:ascii="Times New Roman" w:hAnsi="Times New Roman" w:cs="Times New Roman"/>
          <w:sz w:val="24"/>
          <w:szCs w:val="24"/>
          <w:lang w:val="en-GB"/>
        </w:rPr>
      </w:pPr>
      <w:r w:rsidRPr="00877EE2">
        <w:rPr>
          <w:rFonts w:ascii="Times New Roman" w:hAnsi="Times New Roman" w:cs="Times New Roman"/>
          <w:b/>
          <w:sz w:val="24"/>
          <w:szCs w:val="24"/>
          <w:lang w:val="en-GB"/>
        </w:rPr>
        <w:t xml:space="preserve">Project C </w:t>
      </w:r>
    </w:p>
    <w:p w14:paraId="4E18EAE2" w14:textId="77777777" w:rsidR="00665B79" w:rsidRPr="00877EE2" w:rsidRDefault="00665B79"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Initial investment = 50m </w:t>
      </w:r>
    </w:p>
    <w:p w14:paraId="2CF7B333" w14:textId="77777777" w:rsidR="00665B79" w:rsidRPr="00877EE2" w:rsidRDefault="00E0255D" w:rsidP="00881A34">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Payback Period </w:t>
      </w:r>
      <w:r w:rsidR="00665B79" w:rsidRPr="00877EE2">
        <w:rPr>
          <w:rFonts w:ascii="Times New Roman" w:eastAsiaTheme="minorEastAsia" w:hAnsi="Times New Roman" w:cs="Times New Roman"/>
          <w:sz w:val="24"/>
          <w:szCs w:val="24"/>
          <w:lang w:val="en-GB"/>
        </w:rPr>
        <w:t xml:space="preserve">  = 3.6 years </w:t>
      </w:r>
    </w:p>
    <w:p w14:paraId="35A26FDD" w14:textId="77777777" w:rsidR="00665B79" w:rsidRPr="00877EE2" w:rsidRDefault="00E0255D" w:rsidP="00881A34">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Accounting Rate of Return (ARR) </w:t>
      </w:r>
      <w:r w:rsidR="00665B79" w:rsidRPr="00877EE2">
        <w:rPr>
          <w:rFonts w:ascii="Times New Roman" w:eastAsiaTheme="minorEastAsia" w:hAnsi="Times New Roman" w:cs="Times New Roman"/>
          <w:sz w:val="24"/>
          <w:szCs w:val="24"/>
          <w:lang w:val="en-GB"/>
        </w:rPr>
        <w:t xml:space="preserve">= 10.0% </w:t>
      </w:r>
    </w:p>
    <w:p w14:paraId="33AA3DF0" w14:textId="77777777" w:rsidR="00665B79" w:rsidRPr="00877EE2" w:rsidRDefault="005D328B"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NPV = £4.233m </w:t>
      </w:r>
    </w:p>
    <w:p w14:paraId="2516F30F" w14:textId="77777777" w:rsidR="005D328B" w:rsidRPr="00877EE2" w:rsidRDefault="005D328B" w:rsidP="00881A34">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PI = </w:t>
      </w:r>
      <w:r w:rsidRPr="00877EE2">
        <w:rPr>
          <w:rFonts w:ascii="Times New Roman" w:eastAsiaTheme="minorEastAsia" w:hAnsi="Times New Roman" w:cs="Times New Roman"/>
          <w:sz w:val="24"/>
          <w:szCs w:val="24"/>
          <w:lang w:val="en-GB"/>
        </w:rPr>
        <w:t>1.085</w:t>
      </w:r>
    </w:p>
    <w:p w14:paraId="7C775C3D" w14:textId="77777777" w:rsidR="005D328B" w:rsidRPr="00877EE2" w:rsidRDefault="005D328B" w:rsidP="00881A34">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Internal Rate of Return (IRR)</w:t>
      </w:r>
    </w:p>
    <w:p w14:paraId="0A1A8F8B" w14:textId="77777777" w:rsidR="005D328B" w:rsidRPr="00877EE2" w:rsidRDefault="005D328B" w:rsidP="00881A34">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Since NPV</w:t>
      </w:r>
      <w:r w:rsidR="0062029C" w:rsidRPr="00877EE2">
        <w:rPr>
          <w:rFonts w:ascii="Times New Roman" w:eastAsiaTheme="minorEastAsia" w:hAnsi="Times New Roman" w:cs="Times New Roman"/>
          <w:sz w:val="24"/>
          <w:szCs w:val="24"/>
          <w:lang w:val="en-GB"/>
        </w:rPr>
        <w:t xml:space="preserve"> </w:t>
      </w:r>
      <w:r w:rsidRPr="00877EE2">
        <w:rPr>
          <w:rFonts w:ascii="Times New Roman" w:eastAsiaTheme="minorEastAsia" w:hAnsi="Times New Roman" w:cs="Times New Roman"/>
          <w:sz w:val="24"/>
          <w:szCs w:val="24"/>
          <w:lang w:val="en-GB"/>
        </w:rPr>
        <w:t xml:space="preserve">&gt; </w:t>
      </w:r>
      <w:r w:rsidR="0062029C" w:rsidRPr="00877EE2">
        <w:rPr>
          <w:rFonts w:ascii="Times New Roman" w:eastAsiaTheme="minorEastAsia" w:hAnsi="Times New Roman" w:cs="Times New Roman"/>
          <w:sz w:val="24"/>
          <w:szCs w:val="24"/>
          <w:lang w:val="en-GB"/>
        </w:rPr>
        <w:t xml:space="preserve">0 </w:t>
      </w:r>
      <w:r w:rsidRPr="00877EE2">
        <w:rPr>
          <w:rFonts w:ascii="Times New Roman" w:eastAsiaTheme="minorEastAsia" w:hAnsi="Times New Roman" w:cs="Times New Roman"/>
          <w:sz w:val="24"/>
          <w:szCs w:val="24"/>
          <w:lang w:val="en-GB"/>
        </w:rPr>
        <w:t xml:space="preserve">at 10% and the NPV is the highest, the IRR is the highest </w:t>
      </w:r>
    </w:p>
    <w:p w14:paraId="380172E1" w14:textId="77777777" w:rsidR="005D328B" w:rsidRPr="00877EE2" w:rsidRDefault="005D328B" w:rsidP="00881A34">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IRR ≈ 12.4% </w:t>
      </w:r>
    </w:p>
    <w:p w14:paraId="2AA10219" w14:textId="77777777" w:rsidR="0053505C" w:rsidRPr="00877EE2" w:rsidRDefault="0053505C" w:rsidP="00237E55">
      <w:pPr>
        <w:pStyle w:val="Heading2"/>
        <w:rPr>
          <w:rFonts w:eastAsiaTheme="minorEastAsia"/>
          <w:lang w:val="en-GB"/>
        </w:rPr>
      </w:pPr>
      <w:bookmarkStart w:id="16" w:name="_Toc214455549"/>
      <w:r w:rsidRPr="00877EE2">
        <w:rPr>
          <w:rFonts w:eastAsiaTheme="minorEastAsia"/>
          <w:lang w:val="en-GB"/>
        </w:rPr>
        <w:t xml:space="preserve">4.2 </w:t>
      </w:r>
      <w:r w:rsidR="00484B28" w:rsidRPr="00877EE2">
        <w:rPr>
          <w:rFonts w:eastAsiaTheme="minorEastAsia"/>
          <w:lang w:val="en-GB"/>
        </w:rPr>
        <w:t>Capital Rationing Decision</w:t>
      </w:r>
      <w:bookmarkEnd w:id="16"/>
      <w:r w:rsidR="00484B28" w:rsidRPr="00877EE2">
        <w:rPr>
          <w:rFonts w:eastAsiaTheme="minorEastAsia"/>
          <w:lang w:val="en-GB"/>
        </w:rPr>
        <w:t xml:space="preserve"> </w:t>
      </w:r>
    </w:p>
    <w:p w14:paraId="7DDA432F" w14:textId="77777777" w:rsidR="004A1888" w:rsidRPr="00877EE2" w:rsidRDefault="004A1888" w:rsidP="004A1888">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Capital rationing happens when a firm is aware of the scarce investment make capital, hence it is obliged to invest in undertakings that achieve maximum worth within the given financial limit</w:t>
      </w:r>
      <w:r w:rsidR="001B4295">
        <w:rPr>
          <w:rFonts w:ascii="Times New Roman" w:eastAsiaTheme="minorEastAsia" w:hAnsi="Times New Roman" w:cs="Times New Roman"/>
          <w:sz w:val="24"/>
          <w:szCs w:val="24"/>
          <w:lang w:val="en-GB"/>
        </w:rPr>
        <w:t xml:space="preserve"> (</w:t>
      </w:r>
      <w:proofErr w:type="spellStart"/>
      <w:r w:rsidR="001B4295" w:rsidRPr="001B4295">
        <w:rPr>
          <w:rFonts w:ascii="Times New Roman" w:eastAsiaTheme="minorEastAsia" w:hAnsi="Times New Roman" w:cs="Times New Roman"/>
          <w:sz w:val="24"/>
          <w:szCs w:val="24"/>
        </w:rPr>
        <w:t>Hoang</w:t>
      </w:r>
      <w:proofErr w:type="spellEnd"/>
      <w:r w:rsidR="001B4295">
        <w:rPr>
          <w:rFonts w:ascii="Times New Roman" w:eastAsiaTheme="minorEastAsia" w:hAnsi="Times New Roman" w:cs="Times New Roman"/>
          <w:sz w:val="24"/>
          <w:szCs w:val="24"/>
        </w:rPr>
        <w:t xml:space="preserve"> et al., 2025)</w:t>
      </w:r>
      <w:r w:rsidRPr="00877EE2">
        <w:rPr>
          <w:rFonts w:ascii="Times New Roman" w:eastAsiaTheme="minorEastAsia" w:hAnsi="Times New Roman" w:cs="Times New Roman"/>
          <w:sz w:val="24"/>
          <w:szCs w:val="24"/>
          <w:lang w:val="en-GB"/>
        </w:rPr>
        <w:t xml:space="preserve">. In the case the maximum amount of funds the company can invest is </w:t>
      </w:r>
      <w:r w:rsidR="001B4295">
        <w:rPr>
          <w:rFonts w:ascii="Times New Roman" w:eastAsiaTheme="minorEastAsia" w:hAnsi="Times New Roman" w:cs="Times New Roman"/>
          <w:sz w:val="24"/>
          <w:szCs w:val="24"/>
          <w:lang w:val="en-GB"/>
        </w:rPr>
        <w:t>£</w:t>
      </w:r>
      <w:r w:rsidRPr="00877EE2">
        <w:rPr>
          <w:rFonts w:ascii="Times New Roman" w:eastAsiaTheme="minorEastAsia" w:hAnsi="Times New Roman" w:cs="Times New Roman"/>
          <w:sz w:val="24"/>
          <w:szCs w:val="24"/>
          <w:lang w:val="en-GB"/>
        </w:rPr>
        <w:t>60 million, that is, it needs to be keen to acquire a project or a combination of the project that gives the best financial payoff as well as strategic advantage in accordance with the budget constraint. Projects A, B and C will possess start-up investments of £40 million, £30 million, and £50 million, respectively. Every possible combination should be considered in relation to the £60 million ceiling in order to determine the viable options of choosing more than one project. These may take the following combinations:</w:t>
      </w:r>
    </w:p>
    <w:p w14:paraId="39505491" w14:textId="77777777" w:rsidR="004A1888" w:rsidRPr="00877EE2" w:rsidRDefault="004A1888" w:rsidP="004A1888">
      <w:pPr>
        <w:numPr>
          <w:ilvl w:val="0"/>
          <w:numId w:val="6"/>
        </w:num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b/>
          <w:bCs/>
          <w:sz w:val="24"/>
          <w:szCs w:val="24"/>
          <w:lang w:val="en-GB"/>
        </w:rPr>
        <w:t>A + B = £40m + £30m = £70m</w:t>
      </w:r>
      <w:r w:rsidRPr="00877EE2">
        <w:rPr>
          <w:rFonts w:ascii="Times New Roman" w:eastAsiaTheme="minorEastAsia" w:hAnsi="Times New Roman" w:cs="Times New Roman"/>
          <w:sz w:val="24"/>
          <w:szCs w:val="24"/>
          <w:lang w:val="en-GB"/>
        </w:rPr>
        <w:t>, which is more than the budget and thus it cannot be chosen.</w:t>
      </w:r>
    </w:p>
    <w:p w14:paraId="59C90721" w14:textId="77777777" w:rsidR="004A1888" w:rsidRPr="00877EE2" w:rsidRDefault="004A1888" w:rsidP="004A1888">
      <w:pPr>
        <w:numPr>
          <w:ilvl w:val="0"/>
          <w:numId w:val="6"/>
        </w:num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b/>
          <w:bCs/>
          <w:sz w:val="24"/>
          <w:szCs w:val="24"/>
          <w:lang w:val="en-GB"/>
        </w:rPr>
        <w:t>A + C = £40m + £50m = £90m</w:t>
      </w:r>
      <w:r w:rsidRPr="00877EE2">
        <w:rPr>
          <w:rFonts w:ascii="Times New Roman" w:eastAsiaTheme="minorEastAsia" w:hAnsi="Times New Roman" w:cs="Times New Roman"/>
          <w:sz w:val="24"/>
          <w:szCs w:val="24"/>
          <w:lang w:val="en-GB"/>
        </w:rPr>
        <w:t>, which is also beyond the limit.</w:t>
      </w:r>
    </w:p>
    <w:p w14:paraId="10236FA2" w14:textId="77777777" w:rsidR="004A1888" w:rsidRPr="00877EE2" w:rsidRDefault="004A1888" w:rsidP="004A1888">
      <w:pPr>
        <w:numPr>
          <w:ilvl w:val="0"/>
          <w:numId w:val="6"/>
        </w:num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b/>
          <w:bCs/>
          <w:sz w:val="24"/>
          <w:szCs w:val="24"/>
          <w:lang w:val="en-GB"/>
        </w:rPr>
        <w:t>B + C = £30m + £50m = £80m</w:t>
      </w:r>
      <w:r w:rsidRPr="00877EE2">
        <w:rPr>
          <w:rFonts w:ascii="Times New Roman" w:eastAsiaTheme="minorEastAsia" w:hAnsi="Times New Roman" w:cs="Times New Roman"/>
          <w:sz w:val="24"/>
          <w:szCs w:val="24"/>
          <w:lang w:val="en-GB"/>
        </w:rPr>
        <w:t>, which again is more than the allowable amount.</w:t>
      </w:r>
    </w:p>
    <w:p w14:paraId="3A7E49E2" w14:textId="77777777" w:rsidR="004A1888" w:rsidRPr="00877EE2" w:rsidRDefault="004A1888" w:rsidP="004A1888">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The company is not able to undertake multiple projects as all combinations are above </w:t>
      </w:r>
      <w:r w:rsidR="001B4295">
        <w:rPr>
          <w:rFonts w:ascii="Times New Roman" w:eastAsiaTheme="minorEastAsia" w:hAnsi="Times New Roman" w:cs="Times New Roman"/>
          <w:sz w:val="24"/>
          <w:szCs w:val="24"/>
          <w:lang w:val="en-GB"/>
        </w:rPr>
        <w:t>£</w:t>
      </w:r>
      <w:r w:rsidRPr="00877EE2">
        <w:rPr>
          <w:rFonts w:ascii="Times New Roman" w:eastAsiaTheme="minorEastAsia" w:hAnsi="Times New Roman" w:cs="Times New Roman"/>
          <w:sz w:val="24"/>
          <w:szCs w:val="24"/>
          <w:lang w:val="en-GB"/>
        </w:rPr>
        <w:t>60 million. Consequently, the capital constraint hinders the ability to undertake all three projects since the firm has to select only one available project. Consequently, the choice has to be one which single project will deliver the best returns and in addition yield the most towards long term financial stability as the performance of the company and its exposure to risk are during the selection.</w:t>
      </w:r>
    </w:p>
    <w:p w14:paraId="19E52724" w14:textId="77777777" w:rsidR="004A1888" w:rsidRPr="00877EE2" w:rsidRDefault="004A1888" w:rsidP="004A1888">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The findings of the five techniques of appraisal are to be compared so as to arrive at the optimal investment. The ratings reflect a steady high performance of Project C in nearly all financial parameters:</w:t>
      </w:r>
    </w:p>
    <w:p w14:paraId="071B40DC" w14:textId="77777777" w:rsidR="004A1888" w:rsidRPr="00877EE2" w:rsidRDefault="004A1888" w:rsidP="004A1888">
      <w:pPr>
        <w:numPr>
          <w:ilvl w:val="0"/>
          <w:numId w:val="7"/>
        </w:num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b/>
          <w:bCs/>
          <w:sz w:val="24"/>
          <w:szCs w:val="24"/>
          <w:lang w:val="en-GB"/>
        </w:rPr>
        <w:t>NPV ranking: C &gt; A &gt; B</w:t>
      </w:r>
    </w:p>
    <w:p w14:paraId="3B93F4EA" w14:textId="77777777" w:rsidR="004A1888" w:rsidRPr="00877EE2" w:rsidRDefault="004A1888" w:rsidP="004A1888">
      <w:pPr>
        <w:numPr>
          <w:ilvl w:val="0"/>
          <w:numId w:val="7"/>
        </w:num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b/>
          <w:bCs/>
          <w:sz w:val="24"/>
          <w:szCs w:val="24"/>
          <w:lang w:val="en-GB"/>
        </w:rPr>
        <w:t>PI ranking: C &gt; A &gt; B</w:t>
      </w:r>
    </w:p>
    <w:p w14:paraId="3627894E" w14:textId="77777777" w:rsidR="004A1888" w:rsidRPr="00877EE2" w:rsidRDefault="004A1888" w:rsidP="004A1888">
      <w:pPr>
        <w:numPr>
          <w:ilvl w:val="0"/>
          <w:numId w:val="7"/>
        </w:num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b/>
          <w:bCs/>
          <w:sz w:val="24"/>
          <w:szCs w:val="24"/>
          <w:lang w:val="en-GB"/>
        </w:rPr>
        <w:t>IRR ranking: C &gt; A &gt; B</w:t>
      </w:r>
    </w:p>
    <w:p w14:paraId="25CB3613" w14:textId="77777777" w:rsidR="004A1888" w:rsidRPr="00877EE2" w:rsidRDefault="004A1888" w:rsidP="004A1888">
      <w:pPr>
        <w:numPr>
          <w:ilvl w:val="0"/>
          <w:numId w:val="7"/>
        </w:num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b/>
          <w:bCs/>
          <w:sz w:val="24"/>
          <w:szCs w:val="24"/>
          <w:lang w:val="en-GB"/>
        </w:rPr>
        <w:t>ARR ranking: C &gt; A &gt; B</w:t>
      </w:r>
    </w:p>
    <w:p w14:paraId="7FE64E57" w14:textId="77777777" w:rsidR="004A1888" w:rsidRPr="00877EE2" w:rsidRDefault="004A1888" w:rsidP="004A1888">
      <w:pPr>
        <w:spacing w:line="360" w:lineRule="auto"/>
        <w:jc w:val="both"/>
        <w:rPr>
          <w:rFonts w:ascii="Times New Roman" w:eastAsiaTheme="minorEastAsia" w:hAnsi="Times New Roman" w:cs="Times New Roman"/>
          <w:b/>
          <w:bCs/>
          <w:sz w:val="24"/>
          <w:szCs w:val="24"/>
          <w:lang w:val="en-GB"/>
        </w:rPr>
      </w:pPr>
      <w:r w:rsidRPr="00877EE2">
        <w:rPr>
          <w:rFonts w:ascii="Times New Roman" w:eastAsiaTheme="minorEastAsia" w:hAnsi="Times New Roman" w:cs="Times New Roman"/>
          <w:b/>
          <w:bCs/>
          <w:sz w:val="24"/>
          <w:szCs w:val="24"/>
          <w:lang w:val="en-GB"/>
        </w:rPr>
        <w:t>PBP rating: Slightly higher than C, much higher than B.</w:t>
      </w:r>
    </w:p>
    <w:p w14:paraId="41585ED5" w14:textId="77777777" w:rsidR="004A1888" w:rsidRPr="00877EE2" w:rsidRDefault="004A1888" w:rsidP="004A1888">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Project A has the best payback period (3.4 years) which could be appealing in the context of liquidity especially given the current cash flow constraints that the company is facing. Payback however only concentrates on the cash recovery and not on value creation. Project C cannot be classified by the payback period since it will have a slightly longer payback period (it is 3.6 years); however, the payback period does not demonstrate the strongest result as compared to other projects because the payback period is 1.085. The outcomes illustrate that Project C produces the highest level of increase in value per pound invested to shareholders.</w:t>
      </w:r>
    </w:p>
    <w:p w14:paraId="763AFB8D" w14:textId="77777777" w:rsidR="004A1888" w:rsidRPr="00877EE2" w:rsidRDefault="004A1888" w:rsidP="004A1888">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The project B simply does not merge on capital rationing as it yields negative NPV, zero IRR and the lowest level of profitability among all the three choices.</w:t>
      </w:r>
    </w:p>
    <w:p w14:paraId="4FD138D2" w14:textId="77777777" w:rsidR="004A1888" w:rsidRPr="00877EE2" w:rsidRDefault="004A1888" w:rsidP="004A1888">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Project C is the most suitable one because of the budget limit and with the aim of maximisation of financial value. It provides the greatest economic payback, the largest value creation and the most congruency with profitability and long term financial goal of the firm.</w:t>
      </w:r>
    </w:p>
    <w:p w14:paraId="287DC002" w14:textId="77777777" w:rsidR="00875727" w:rsidRPr="00877EE2" w:rsidRDefault="00875727" w:rsidP="00875727">
      <w:pPr>
        <w:spacing w:line="360" w:lineRule="auto"/>
        <w:jc w:val="both"/>
        <w:rPr>
          <w:rFonts w:ascii="Times New Roman" w:eastAsiaTheme="minorEastAsia" w:hAnsi="Times New Roman" w:cs="Times New Roman"/>
          <w:sz w:val="24"/>
          <w:szCs w:val="24"/>
          <w:lang w:val="en-GB"/>
        </w:rPr>
      </w:pPr>
    </w:p>
    <w:p w14:paraId="7B3BDFE5" w14:textId="77777777" w:rsidR="00855559" w:rsidRPr="00877EE2" w:rsidRDefault="0053505C" w:rsidP="00237E55">
      <w:pPr>
        <w:pStyle w:val="Heading2"/>
        <w:rPr>
          <w:rFonts w:eastAsiaTheme="minorEastAsia"/>
          <w:lang w:val="en-GB"/>
        </w:rPr>
      </w:pPr>
      <w:bookmarkStart w:id="17" w:name="_Toc214455550"/>
      <w:r w:rsidRPr="00877EE2">
        <w:rPr>
          <w:rFonts w:eastAsiaTheme="minorEastAsia"/>
          <w:lang w:val="en-GB"/>
        </w:rPr>
        <w:t xml:space="preserve">4.3 </w:t>
      </w:r>
      <w:r w:rsidR="00855559" w:rsidRPr="00877EE2">
        <w:rPr>
          <w:rFonts w:eastAsiaTheme="minorEastAsia"/>
          <w:lang w:val="en-GB"/>
        </w:rPr>
        <w:t>Justification of Investment Recommendation</w:t>
      </w:r>
      <w:bookmarkEnd w:id="17"/>
    </w:p>
    <w:p w14:paraId="430945DC" w14:textId="77777777" w:rsidR="00855559" w:rsidRPr="00877EE2" w:rsidRDefault="00855559" w:rsidP="00855559">
      <w:pPr>
        <w:spacing w:line="360" w:lineRule="auto"/>
        <w:jc w:val="both"/>
        <w:rPr>
          <w:rFonts w:ascii="Times New Roman" w:eastAsiaTheme="minorEastAsia" w:hAnsi="Times New Roman" w:cs="Times New Roman"/>
          <w:b/>
          <w:bCs/>
          <w:sz w:val="24"/>
          <w:szCs w:val="24"/>
          <w:lang w:val="en-GB"/>
        </w:rPr>
      </w:pPr>
      <w:r w:rsidRPr="00877EE2">
        <w:rPr>
          <w:rFonts w:ascii="Times New Roman" w:eastAsiaTheme="minorEastAsia" w:hAnsi="Times New Roman" w:cs="Times New Roman"/>
          <w:b/>
          <w:bCs/>
          <w:sz w:val="24"/>
          <w:szCs w:val="24"/>
          <w:lang w:val="en-GB"/>
        </w:rPr>
        <w:t>1. Link to Profitability and Long-Term Financial Performance</w:t>
      </w:r>
    </w:p>
    <w:p w14:paraId="55C9D187" w14:textId="77777777" w:rsidR="00855559" w:rsidRPr="00877EE2" w:rsidRDefault="00875727" w:rsidP="00855559">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The current profitability analysis of the company reveals that its margins and returns are still below the industry levels, which prove that the company needs an investment that can significantly increase its profitability in future</w:t>
      </w:r>
      <w:r w:rsidR="001B4295">
        <w:rPr>
          <w:rFonts w:ascii="Times New Roman" w:eastAsiaTheme="minorEastAsia" w:hAnsi="Times New Roman" w:cs="Times New Roman"/>
          <w:sz w:val="24"/>
          <w:szCs w:val="24"/>
          <w:lang w:val="en-GB"/>
        </w:rPr>
        <w:t xml:space="preserve"> (</w:t>
      </w:r>
      <w:r w:rsidR="001B4295" w:rsidRPr="001B4295">
        <w:rPr>
          <w:rFonts w:ascii="Times New Roman" w:eastAsiaTheme="minorEastAsia" w:hAnsi="Times New Roman" w:cs="Times New Roman"/>
          <w:sz w:val="24"/>
          <w:szCs w:val="24"/>
        </w:rPr>
        <w:t>Diana</w:t>
      </w:r>
      <w:r w:rsidR="001B4295">
        <w:rPr>
          <w:rFonts w:ascii="Times New Roman" w:eastAsiaTheme="minorEastAsia" w:hAnsi="Times New Roman" w:cs="Times New Roman"/>
          <w:sz w:val="24"/>
          <w:szCs w:val="24"/>
        </w:rPr>
        <w:t xml:space="preserve"> </w:t>
      </w:r>
      <w:r w:rsidR="001B4295" w:rsidRPr="001B4295">
        <w:rPr>
          <w:rFonts w:ascii="Times New Roman" w:eastAsiaTheme="minorEastAsia" w:hAnsi="Times New Roman" w:cs="Times New Roman"/>
          <w:sz w:val="24"/>
          <w:szCs w:val="24"/>
        </w:rPr>
        <w:t>and Maria</w:t>
      </w:r>
      <w:r w:rsidR="001B4295">
        <w:rPr>
          <w:rFonts w:ascii="Times New Roman" w:eastAsiaTheme="minorEastAsia" w:hAnsi="Times New Roman" w:cs="Times New Roman"/>
          <w:sz w:val="24"/>
          <w:szCs w:val="24"/>
        </w:rPr>
        <w:t>, 2020)</w:t>
      </w:r>
      <w:r w:rsidRPr="00877EE2">
        <w:rPr>
          <w:rFonts w:ascii="Times New Roman" w:eastAsiaTheme="minorEastAsia" w:hAnsi="Times New Roman" w:cs="Times New Roman"/>
          <w:sz w:val="24"/>
          <w:szCs w:val="24"/>
          <w:lang w:val="en-GB"/>
        </w:rPr>
        <w:t>. Project C has the best contribution to profitability with ARR of 10</w:t>
      </w:r>
      <w:r w:rsidR="001B4295">
        <w:rPr>
          <w:rFonts w:ascii="Times New Roman" w:eastAsiaTheme="minorEastAsia" w:hAnsi="Times New Roman" w:cs="Times New Roman"/>
          <w:sz w:val="24"/>
          <w:szCs w:val="24"/>
          <w:lang w:val="en-GB"/>
        </w:rPr>
        <w:t>%</w:t>
      </w:r>
      <w:r w:rsidRPr="00877EE2">
        <w:rPr>
          <w:rFonts w:ascii="Times New Roman" w:eastAsiaTheme="minorEastAsia" w:hAnsi="Times New Roman" w:cs="Times New Roman"/>
          <w:sz w:val="24"/>
          <w:szCs w:val="24"/>
          <w:lang w:val="en-GB"/>
        </w:rPr>
        <w:t xml:space="preserve"> which is much higher than Project A (7%), and B (0%). This increased profitability helps to improve net margins, ROCE and the quality in general earnings- areas found in the preceding analysis as financial weaknesses.</w:t>
      </w:r>
    </w:p>
    <w:p w14:paraId="3A780242" w14:textId="77777777" w:rsidR="00855559" w:rsidRPr="00877EE2" w:rsidRDefault="00875727" w:rsidP="00855559">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Project C still yields the best NPV (</w:t>
      </w:r>
      <w:r w:rsidR="001B4295">
        <w:rPr>
          <w:rFonts w:ascii="Times New Roman" w:eastAsiaTheme="minorEastAsia" w:hAnsi="Times New Roman" w:cs="Times New Roman"/>
          <w:sz w:val="24"/>
          <w:szCs w:val="24"/>
          <w:lang w:val="en-GB"/>
        </w:rPr>
        <w:t>£</w:t>
      </w:r>
      <w:r w:rsidRPr="00877EE2">
        <w:rPr>
          <w:rFonts w:ascii="Times New Roman" w:eastAsiaTheme="minorEastAsia" w:hAnsi="Times New Roman" w:cs="Times New Roman"/>
          <w:sz w:val="24"/>
          <w:szCs w:val="24"/>
          <w:lang w:val="en-GB"/>
        </w:rPr>
        <w:t>4.23m) as well as Profitability Index (1.085), it is more efficient in terms of the value created per pound invested. These measures signify not only good returns, bu</w:t>
      </w:r>
      <w:r w:rsidR="001B4295">
        <w:rPr>
          <w:rFonts w:ascii="Times New Roman" w:eastAsiaTheme="minorEastAsia" w:hAnsi="Times New Roman" w:cs="Times New Roman"/>
          <w:sz w:val="24"/>
          <w:szCs w:val="24"/>
          <w:lang w:val="en-GB"/>
        </w:rPr>
        <w:t>t also good capital utilisation</w:t>
      </w:r>
      <w:r w:rsidRPr="00877EE2">
        <w:rPr>
          <w:rFonts w:ascii="Times New Roman" w:eastAsiaTheme="minorEastAsia" w:hAnsi="Times New Roman" w:cs="Times New Roman"/>
          <w:sz w:val="24"/>
          <w:szCs w:val="24"/>
          <w:lang w:val="en-GB"/>
        </w:rPr>
        <w:t xml:space="preserve"> a big consideration to a firm with limited investment capacity. Project A has a positive but modest contribution to the performance, whilst the NPV of Project B is negative, which will decrease financial performance further. Therefore, concerning profitability perspective, clearly, Project C corresponds to the strategic financial requirements of the company</w:t>
      </w:r>
      <w:r w:rsidR="00855559" w:rsidRPr="00877EE2">
        <w:rPr>
          <w:rFonts w:ascii="Times New Roman" w:eastAsiaTheme="minorEastAsia" w:hAnsi="Times New Roman" w:cs="Times New Roman"/>
          <w:sz w:val="24"/>
          <w:szCs w:val="24"/>
          <w:lang w:val="en-GB"/>
        </w:rPr>
        <w:t>.</w:t>
      </w:r>
    </w:p>
    <w:p w14:paraId="28FB6C21" w14:textId="77777777" w:rsidR="00855559" w:rsidRPr="00877EE2" w:rsidRDefault="00855559" w:rsidP="00855559">
      <w:pPr>
        <w:spacing w:line="360" w:lineRule="auto"/>
        <w:jc w:val="both"/>
        <w:rPr>
          <w:rFonts w:ascii="Times New Roman" w:eastAsiaTheme="minorEastAsia" w:hAnsi="Times New Roman" w:cs="Times New Roman"/>
          <w:sz w:val="24"/>
          <w:szCs w:val="24"/>
          <w:lang w:val="en-GB"/>
        </w:rPr>
      </w:pPr>
    </w:p>
    <w:p w14:paraId="506FF2C6" w14:textId="77777777" w:rsidR="00855559" w:rsidRPr="00877EE2" w:rsidRDefault="00855559" w:rsidP="00855559">
      <w:pPr>
        <w:spacing w:line="360" w:lineRule="auto"/>
        <w:jc w:val="both"/>
        <w:rPr>
          <w:rFonts w:ascii="Times New Roman" w:eastAsiaTheme="minorEastAsia" w:hAnsi="Times New Roman" w:cs="Times New Roman"/>
          <w:b/>
          <w:bCs/>
          <w:sz w:val="24"/>
          <w:szCs w:val="24"/>
          <w:lang w:val="en-GB"/>
        </w:rPr>
      </w:pPr>
      <w:r w:rsidRPr="00877EE2">
        <w:rPr>
          <w:rFonts w:ascii="Times New Roman" w:eastAsiaTheme="minorEastAsia" w:hAnsi="Times New Roman" w:cs="Times New Roman"/>
          <w:b/>
          <w:bCs/>
          <w:sz w:val="24"/>
          <w:szCs w:val="24"/>
          <w:lang w:val="en-GB"/>
        </w:rPr>
        <w:t>2. Liquidity Considerations and Cash Flow Recovery</w:t>
      </w:r>
    </w:p>
    <w:p w14:paraId="71C16606" w14:textId="77777777" w:rsidR="00875727" w:rsidRPr="00877EE2" w:rsidRDefault="00875727" w:rsidP="00875727">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Project A has the best payback (3.4 years), however Project C has a payback of 3.6 years; this is very close to that of the first project yet still suitable in the case of a company that lacks liquidity. More importantly, the larger inflows of Project C in Years 3-5 allow enhancing future liquidity more effectively, allowing internal financing, ensuring growth in working capital and lessening short-term borrowing.</w:t>
      </w:r>
    </w:p>
    <w:p w14:paraId="2373FB0D" w14:textId="77777777" w:rsidR="00855559" w:rsidRPr="00877EE2" w:rsidRDefault="00875727" w:rsidP="00875727">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As the liquidity of the company is at the moment poor, the investments should be done to ensure medium term cash stability not merely to recuperate the cost outlay in the near future</w:t>
      </w:r>
      <w:r w:rsidR="001B4295">
        <w:rPr>
          <w:rFonts w:ascii="Times New Roman" w:eastAsiaTheme="minorEastAsia" w:hAnsi="Times New Roman" w:cs="Times New Roman"/>
          <w:sz w:val="24"/>
          <w:szCs w:val="24"/>
          <w:lang w:val="en-GB"/>
        </w:rPr>
        <w:t xml:space="preserve"> (</w:t>
      </w:r>
      <w:proofErr w:type="spellStart"/>
      <w:r w:rsidR="001B4295" w:rsidRPr="001B4295">
        <w:rPr>
          <w:rFonts w:ascii="Times New Roman" w:eastAsiaTheme="minorEastAsia" w:hAnsi="Times New Roman" w:cs="Times New Roman"/>
          <w:sz w:val="24"/>
          <w:szCs w:val="24"/>
        </w:rPr>
        <w:t>Ahkam</w:t>
      </w:r>
      <w:proofErr w:type="spellEnd"/>
      <w:r w:rsidR="001B4295">
        <w:rPr>
          <w:rFonts w:ascii="Times New Roman" w:eastAsiaTheme="minorEastAsia" w:hAnsi="Times New Roman" w:cs="Times New Roman"/>
          <w:sz w:val="24"/>
          <w:szCs w:val="24"/>
        </w:rPr>
        <w:t xml:space="preserve"> </w:t>
      </w:r>
      <w:r w:rsidR="001B4295" w:rsidRPr="001B4295">
        <w:rPr>
          <w:rFonts w:ascii="Times New Roman" w:eastAsiaTheme="minorEastAsia" w:hAnsi="Times New Roman" w:cs="Times New Roman"/>
          <w:sz w:val="24"/>
          <w:szCs w:val="24"/>
        </w:rPr>
        <w:t xml:space="preserve">and </w:t>
      </w:r>
      <w:proofErr w:type="spellStart"/>
      <w:r w:rsidR="001B4295" w:rsidRPr="001B4295">
        <w:rPr>
          <w:rFonts w:ascii="Times New Roman" w:eastAsiaTheme="minorEastAsia" w:hAnsi="Times New Roman" w:cs="Times New Roman"/>
          <w:sz w:val="24"/>
          <w:szCs w:val="24"/>
        </w:rPr>
        <w:t>Alom</w:t>
      </w:r>
      <w:proofErr w:type="spellEnd"/>
      <w:r w:rsidR="001B4295">
        <w:rPr>
          <w:rFonts w:ascii="Times New Roman" w:eastAsiaTheme="minorEastAsia" w:hAnsi="Times New Roman" w:cs="Times New Roman"/>
          <w:sz w:val="24"/>
          <w:szCs w:val="24"/>
        </w:rPr>
        <w:t>, 2019)</w:t>
      </w:r>
      <w:r w:rsidRPr="00877EE2">
        <w:rPr>
          <w:rFonts w:ascii="Times New Roman" w:eastAsiaTheme="minorEastAsia" w:hAnsi="Times New Roman" w:cs="Times New Roman"/>
          <w:sz w:val="24"/>
          <w:szCs w:val="24"/>
          <w:lang w:val="en-GB"/>
        </w:rPr>
        <w:t xml:space="preserve">. Project C achieves this by producing large surpluses later in the year, which can be reinvested or can be </w:t>
      </w:r>
      <w:proofErr w:type="spellStart"/>
      <w:r w:rsidRPr="00877EE2">
        <w:rPr>
          <w:rFonts w:ascii="Times New Roman" w:eastAsiaTheme="minorEastAsia" w:hAnsi="Times New Roman" w:cs="Times New Roman"/>
          <w:sz w:val="24"/>
          <w:szCs w:val="24"/>
          <w:lang w:val="en-GB"/>
        </w:rPr>
        <w:t>utilized</w:t>
      </w:r>
      <w:proofErr w:type="spellEnd"/>
      <w:r w:rsidRPr="00877EE2">
        <w:rPr>
          <w:rFonts w:ascii="Times New Roman" w:eastAsiaTheme="minorEastAsia" w:hAnsi="Times New Roman" w:cs="Times New Roman"/>
          <w:sz w:val="24"/>
          <w:szCs w:val="24"/>
          <w:lang w:val="en-GB"/>
        </w:rPr>
        <w:t xml:space="preserve"> to build cash holdings. The slowness of payback and the low inflows of the Project B would deteriorate the liquidity and the pressure on the operational cash cycles</w:t>
      </w:r>
      <w:r w:rsidR="00855559" w:rsidRPr="00877EE2">
        <w:rPr>
          <w:rFonts w:ascii="Times New Roman" w:eastAsiaTheme="minorEastAsia" w:hAnsi="Times New Roman" w:cs="Times New Roman"/>
          <w:sz w:val="24"/>
          <w:szCs w:val="24"/>
          <w:lang w:val="en-GB"/>
        </w:rPr>
        <w:t>.</w:t>
      </w:r>
    </w:p>
    <w:p w14:paraId="3372F9C4" w14:textId="77777777" w:rsidR="00855559" w:rsidRPr="00877EE2" w:rsidRDefault="00855559" w:rsidP="00855559">
      <w:pPr>
        <w:spacing w:line="360" w:lineRule="auto"/>
        <w:jc w:val="both"/>
        <w:rPr>
          <w:rFonts w:ascii="Times New Roman" w:eastAsiaTheme="minorEastAsia" w:hAnsi="Times New Roman" w:cs="Times New Roman"/>
          <w:sz w:val="24"/>
          <w:szCs w:val="24"/>
          <w:lang w:val="en-GB"/>
        </w:rPr>
      </w:pPr>
    </w:p>
    <w:p w14:paraId="5CE49816" w14:textId="77777777" w:rsidR="00855559" w:rsidRPr="00877EE2" w:rsidRDefault="001B4295" w:rsidP="001B4295">
      <w:pPr>
        <w:pStyle w:val="Heading2"/>
        <w:rPr>
          <w:rFonts w:eastAsiaTheme="minorEastAsia"/>
          <w:lang w:val="en-GB"/>
        </w:rPr>
      </w:pPr>
      <w:bookmarkStart w:id="18" w:name="_Toc214455551"/>
      <w:r>
        <w:rPr>
          <w:rFonts w:eastAsiaTheme="minorEastAsia"/>
          <w:lang w:val="en-GB"/>
        </w:rPr>
        <w:t>4.4</w:t>
      </w:r>
      <w:r w:rsidR="00855559" w:rsidRPr="00877EE2">
        <w:rPr>
          <w:rFonts w:eastAsiaTheme="minorEastAsia"/>
          <w:lang w:val="en-GB"/>
        </w:rPr>
        <w:t xml:space="preserve"> Project Risk Characteristics</w:t>
      </w:r>
      <w:bookmarkEnd w:id="18"/>
    </w:p>
    <w:p w14:paraId="48AB738F" w14:textId="77777777" w:rsidR="00855559" w:rsidRPr="00877EE2" w:rsidRDefault="00855559" w:rsidP="00855559">
      <w:pPr>
        <w:spacing w:line="360" w:lineRule="auto"/>
        <w:jc w:val="both"/>
        <w:rPr>
          <w:rFonts w:ascii="Times New Roman" w:eastAsiaTheme="minorEastAsia" w:hAnsi="Times New Roman" w:cs="Times New Roman"/>
          <w:b/>
          <w:bCs/>
          <w:sz w:val="24"/>
          <w:szCs w:val="24"/>
          <w:lang w:val="en-GB"/>
        </w:rPr>
      </w:pPr>
      <w:r w:rsidRPr="00877EE2">
        <w:rPr>
          <w:rFonts w:ascii="Times New Roman" w:eastAsiaTheme="minorEastAsia" w:hAnsi="Times New Roman" w:cs="Times New Roman"/>
          <w:b/>
          <w:bCs/>
          <w:sz w:val="24"/>
          <w:szCs w:val="24"/>
          <w:lang w:val="en-GB"/>
        </w:rPr>
        <w:t>Cash Flow Volatility and Trend Stability</w:t>
      </w:r>
    </w:p>
    <w:p w14:paraId="747D208B" w14:textId="77777777" w:rsidR="00323E4E" w:rsidRPr="00877EE2" w:rsidRDefault="00323E4E" w:rsidP="00855559">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The cash flows of Project C are on the upslope trend and the growth is good in Years 1-4. Even though this is volatility, it is positive volatility meaning that there is more market acceptance and scaling of operations and not instability. Increasing cash flows lower the risk of the early operations and increase the resilience in the long term</w:t>
      </w:r>
      <w:r w:rsidR="001B4295">
        <w:rPr>
          <w:rFonts w:ascii="Times New Roman" w:eastAsiaTheme="minorEastAsia" w:hAnsi="Times New Roman" w:cs="Times New Roman"/>
          <w:sz w:val="24"/>
          <w:szCs w:val="24"/>
          <w:lang w:val="en-GB"/>
        </w:rPr>
        <w:t xml:space="preserve"> (</w:t>
      </w:r>
      <w:r w:rsidR="001B4295" w:rsidRPr="001B4295">
        <w:rPr>
          <w:rFonts w:ascii="Times New Roman" w:eastAsiaTheme="minorEastAsia" w:hAnsi="Times New Roman" w:cs="Times New Roman"/>
          <w:sz w:val="24"/>
          <w:szCs w:val="24"/>
        </w:rPr>
        <w:t>Barnabas</w:t>
      </w:r>
      <w:r w:rsidR="001B4295">
        <w:rPr>
          <w:rFonts w:ascii="Times New Roman" w:eastAsiaTheme="minorEastAsia" w:hAnsi="Times New Roman" w:cs="Times New Roman"/>
          <w:sz w:val="24"/>
          <w:szCs w:val="24"/>
        </w:rPr>
        <w:t xml:space="preserve"> </w:t>
      </w:r>
      <w:r w:rsidR="001B4295" w:rsidRPr="001B4295">
        <w:rPr>
          <w:rFonts w:ascii="Times New Roman" w:eastAsiaTheme="minorEastAsia" w:hAnsi="Times New Roman" w:cs="Times New Roman"/>
          <w:sz w:val="24"/>
          <w:szCs w:val="24"/>
        </w:rPr>
        <w:t xml:space="preserve">and </w:t>
      </w:r>
      <w:proofErr w:type="spellStart"/>
      <w:r w:rsidR="001B4295" w:rsidRPr="001B4295">
        <w:rPr>
          <w:rFonts w:ascii="Times New Roman" w:eastAsiaTheme="minorEastAsia" w:hAnsi="Times New Roman" w:cs="Times New Roman"/>
          <w:sz w:val="24"/>
          <w:szCs w:val="24"/>
        </w:rPr>
        <w:t>Oloyede</w:t>
      </w:r>
      <w:proofErr w:type="spellEnd"/>
      <w:r w:rsidR="001B4295">
        <w:rPr>
          <w:rFonts w:ascii="Times New Roman" w:eastAsiaTheme="minorEastAsia" w:hAnsi="Times New Roman" w:cs="Times New Roman"/>
          <w:sz w:val="24"/>
          <w:szCs w:val="24"/>
        </w:rPr>
        <w:t>, 2024)</w:t>
      </w:r>
      <w:r w:rsidRPr="00877EE2">
        <w:rPr>
          <w:rFonts w:ascii="Times New Roman" w:eastAsiaTheme="minorEastAsia" w:hAnsi="Times New Roman" w:cs="Times New Roman"/>
          <w:sz w:val="24"/>
          <w:szCs w:val="24"/>
          <w:lang w:val="en-GB"/>
        </w:rPr>
        <w:t>.</w:t>
      </w:r>
    </w:p>
    <w:p w14:paraId="7F566E67" w14:textId="77777777" w:rsidR="00855559" w:rsidRPr="00877EE2" w:rsidRDefault="00855559" w:rsidP="00855559">
      <w:pPr>
        <w:spacing w:line="360" w:lineRule="auto"/>
        <w:jc w:val="both"/>
        <w:rPr>
          <w:rFonts w:ascii="Times New Roman" w:eastAsiaTheme="minorEastAsia" w:hAnsi="Times New Roman" w:cs="Times New Roman"/>
          <w:b/>
          <w:bCs/>
          <w:sz w:val="24"/>
          <w:szCs w:val="24"/>
          <w:lang w:val="en-GB"/>
        </w:rPr>
      </w:pPr>
      <w:r w:rsidRPr="00877EE2">
        <w:rPr>
          <w:rFonts w:ascii="Times New Roman" w:eastAsiaTheme="minorEastAsia" w:hAnsi="Times New Roman" w:cs="Times New Roman"/>
          <w:b/>
          <w:bCs/>
          <w:sz w:val="24"/>
          <w:szCs w:val="24"/>
          <w:lang w:val="en-GB"/>
        </w:rPr>
        <w:t>Downside Risk and B</w:t>
      </w:r>
      <w:r w:rsidR="001B4295">
        <w:rPr>
          <w:rFonts w:ascii="Times New Roman" w:eastAsiaTheme="minorEastAsia" w:hAnsi="Times New Roman" w:cs="Times New Roman"/>
          <w:b/>
          <w:bCs/>
          <w:sz w:val="24"/>
          <w:szCs w:val="24"/>
          <w:lang w:val="en-GB"/>
        </w:rPr>
        <w:t>uffer a</w:t>
      </w:r>
      <w:r w:rsidRPr="00877EE2">
        <w:rPr>
          <w:rFonts w:ascii="Times New Roman" w:eastAsiaTheme="minorEastAsia" w:hAnsi="Times New Roman" w:cs="Times New Roman"/>
          <w:b/>
          <w:bCs/>
          <w:sz w:val="24"/>
          <w:szCs w:val="24"/>
          <w:lang w:val="en-GB"/>
        </w:rPr>
        <w:t>gainst Uncertainty</w:t>
      </w:r>
    </w:p>
    <w:p w14:paraId="31D653A4" w14:textId="77777777" w:rsidR="00323E4E" w:rsidRPr="00877EE2" w:rsidRDefault="00323E4E" w:rsidP="00855559">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Project C has the largest IRR (12.4%), which is why it is more safe (its IRR is above the 10% cost of capital). The buffer cushions the firm in case market conditions deteriorate in nature like inflationary pressure hiking up costs or increasing discount rates. Project A has a smaller IRR margin that will be less protective, whereas Project B does not have the IRR margin.</w:t>
      </w:r>
    </w:p>
    <w:p w14:paraId="0653758D" w14:textId="77777777" w:rsidR="00855559" w:rsidRPr="00877EE2" w:rsidRDefault="00855559" w:rsidP="00855559">
      <w:pPr>
        <w:spacing w:line="360" w:lineRule="auto"/>
        <w:jc w:val="both"/>
        <w:rPr>
          <w:rFonts w:ascii="Times New Roman" w:eastAsiaTheme="minorEastAsia" w:hAnsi="Times New Roman" w:cs="Times New Roman"/>
          <w:b/>
          <w:bCs/>
          <w:sz w:val="24"/>
          <w:szCs w:val="24"/>
          <w:lang w:val="en-GB"/>
        </w:rPr>
      </w:pPr>
      <w:r w:rsidRPr="00877EE2">
        <w:rPr>
          <w:rFonts w:ascii="Times New Roman" w:eastAsiaTheme="minorEastAsia" w:hAnsi="Times New Roman" w:cs="Times New Roman"/>
          <w:b/>
          <w:bCs/>
          <w:sz w:val="24"/>
          <w:szCs w:val="24"/>
          <w:lang w:val="en-GB"/>
        </w:rPr>
        <w:t>Operational and Implementation Risk</w:t>
      </w:r>
    </w:p>
    <w:p w14:paraId="4AD153D3" w14:textId="77777777" w:rsidR="00855559" w:rsidRPr="00877EE2" w:rsidRDefault="00875727" w:rsidP="00855559">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Since Project C produces most of the returns in the later years, it is significant to guarantee the efficiency of the operations and market execution. Nonetheless, the good positive NPV and increasing inflows show that the project can be scaled, and supported by the favourable demand or efficiency benefits. Project B is a simple operation but has financial risk because of poor returns and Project A has a low level of strategic scale.</w:t>
      </w:r>
    </w:p>
    <w:p w14:paraId="5B89A8EE" w14:textId="77777777" w:rsidR="00855559" w:rsidRPr="00877EE2" w:rsidRDefault="00855559" w:rsidP="00855559">
      <w:pPr>
        <w:spacing w:line="360" w:lineRule="auto"/>
        <w:jc w:val="both"/>
        <w:rPr>
          <w:rFonts w:ascii="Times New Roman" w:eastAsiaTheme="minorEastAsia" w:hAnsi="Times New Roman" w:cs="Times New Roman"/>
          <w:b/>
          <w:bCs/>
          <w:sz w:val="24"/>
          <w:szCs w:val="24"/>
          <w:lang w:val="en-GB"/>
        </w:rPr>
      </w:pPr>
      <w:r w:rsidRPr="00877EE2">
        <w:rPr>
          <w:rFonts w:ascii="Times New Roman" w:eastAsiaTheme="minorEastAsia" w:hAnsi="Times New Roman" w:cs="Times New Roman"/>
          <w:b/>
          <w:bCs/>
          <w:sz w:val="24"/>
          <w:szCs w:val="24"/>
          <w:lang w:val="en-GB"/>
        </w:rPr>
        <w:t>Financing Risk and Impact on Leverage</w:t>
      </w:r>
    </w:p>
    <w:p w14:paraId="4B22A626" w14:textId="77777777" w:rsidR="00855559" w:rsidRPr="00877EE2" w:rsidRDefault="00875727" w:rsidP="00855559">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Since the company is not heavily geared, it is critical to select a project that would complement the future cash flows to ensure that lenders would</w:t>
      </w:r>
      <w:r w:rsidR="001B4295">
        <w:rPr>
          <w:rFonts w:ascii="Times New Roman" w:eastAsiaTheme="minorEastAsia" w:hAnsi="Times New Roman" w:cs="Times New Roman"/>
          <w:sz w:val="24"/>
          <w:szCs w:val="24"/>
          <w:lang w:val="en-GB"/>
        </w:rPr>
        <w:t xml:space="preserve"> not be worried and will fulfil</w:t>
      </w:r>
      <w:r w:rsidRPr="00877EE2">
        <w:rPr>
          <w:rFonts w:ascii="Times New Roman" w:eastAsiaTheme="minorEastAsia" w:hAnsi="Times New Roman" w:cs="Times New Roman"/>
          <w:sz w:val="24"/>
          <w:szCs w:val="24"/>
          <w:lang w:val="en-GB"/>
        </w:rPr>
        <w:t xml:space="preserve"> the debt</w:t>
      </w:r>
      <w:r w:rsidR="001B4295">
        <w:rPr>
          <w:rFonts w:ascii="Times New Roman" w:eastAsiaTheme="minorEastAsia" w:hAnsi="Times New Roman" w:cs="Times New Roman"/>
          <w:sz w:val="24"/>
          <w:szCs w:val="24"/>
          <w:lang w:val="en-GB"/>
        </w:rPr>
        <w:t xml:space="preserve"> (</w:t>
      </w:r>
      <w:r w:rsidR="001B4295" w:rsidRPr="001B4295">
        <w:rPr>
          <w:rFonts w:ascii="Times New Roman" w:eastAsiaTheme="minorEastAsia" w:hAnsi="Times New Roman" w:cs="Times New Roman"/>
          <w:sz w:val="24"/>
          <w:szCs w:val="24"/>
        </w:rPr>
        <w:t>Chen</w:t>
      </w:r>
      <w:r w:rsidR="001B4295">
        <w:rPr>
          <w:rFonts w:ascii="Times New Roman" w:eastAsiaTheme="minorEastAsia" w:hAnsi="Times New Roman" w:cs="Times New Roman"/>
          <w:sz w:val="24"/>
          <w:szCs w:val="24"/>
        </w:rPr>
        <w:t>, 2020)</w:t>
      </w:r>
      <w:r w:rsidRPr="00877EE2">
        <w:rPr>
          <w:rFonts w:ascii="Times New Roman" w:eastAsiaTheme="minorEastAsia" w:hAnsi="Times New Roman" w:cs="Times New Roman"/>
          <w:sz w:val="24"/>
          <w:szCs w:val="24"/>
          <w:lang w:val="en-GB"/>
        </w:rPr>
        <w:t>. Project C will have fewer chances of financing risk due to its large inflows in the later years, as the inflows increase the capacity of the firm to service debt and decrease leverage in the long-term</w:t>
      </w:r>
      <w:r w:rsidR="00855559" w:rsidRPr="00877EE2">
        <w:rPr>
          <w:rFonts w:ascii="Times New Roman" w:eastAsiaTheme="minorEastAsia" w:hAnsi="Times New Roman" w:cs="Times New Roman"/>
          <w:sz w:val="24"/>
          <w:szCs w:val="24"/>
          <w:lang w:val="en-GB"/>
        </w:rPr>
        <w:t>.</w:t>
      </w:r>
    </w:p>
    <w:p w14:paraId="0B4CEB08" w14:textId="77777777" w:rsidR="00484B28" w:rsidRPr="00877EE2" w:rsidRDefault="00875727" w:rsidP="00881A34">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Assessed on its overall basis, in terms of profitability, liquidity, financial power, operational stability and risk, Project C is the most powerful and most aligned to its strategy. It offers the greatest value creation, the biggest addition to the financial performance as well as the best hedge against economic uncertainty. In capital rationing, it is the most justifiable.</w:t>
      </w:r>
    </w:p>
    <w:p w14:paraId="20E1429D" w14:textId="77777777" w:rsidR="005D328B" w:rsidRPr="00877EE2" w:rsidRDefault="007034BF" w:rsidP="00237E55">
      <w:pPr>
        <w:pStyle w:val="Heading1"/>
        <w:rPr>
          <w:lang w:val="en-GB"/>
        </w:rPr>
      </w:pPr>
      <w:bookmarkStart w:id="19" w:name="_Toc214455552"/>
      <w:r w:rsidRPr="00877EE2">
        <w:rPr>
          <w:lang w:val="en-GB"/>
        </w:rPr>
        <w:t>Conclusion</w:t>
      </w:r>
      <w:bookmarkEnd w:id="19"/>
      <w:r w:rsidRPr="00877EE2">
        <w:rPr>
          <w:lang w:val="en-GB"/>
        </w:rPr>
        <w:t xml:space="preserve"> </w:t>
      </w:r>
    </w:p>
    <w:p w14:paraId="7CC5370E" w14:textId="77777777" w:rsidR="007034BF" w:rsidRPr="00877EE2" w:rsidRDefault="00875727"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The analysis shows that the company under consideration is struggling with financial and strategic opportunities. Although profitability and liquidity need to be increased, work on the liquidity and targeted work on the working capital can demonstrate a great impact on enhancing long-term stability. The capital budgeting analysis proves Project C to be the most value-adding decision according to the financial limitations and risk profile of the firm. In general, the suggested strategies will increase operational resilience, enable sustainable growth, and increase shareholders value</w:t>
      </w:r>
      <w:r w:rsidR="007034BF" w:rsidRPr="00877EE2">
        <w:rPr>
          <w:rFonts w:ascii="Times New Roman" w:hAnsi="Times New Roman" w:cs="Times New Roman"/>
          <w:sz w:val="24"/>
          <w:szCs w:val="24"/>
          <w:lang w:val="en-GB"/>
        </w:rPr>
        <w:t>.</w:t>
      </w:r>
    </w:p>
    <w:p w14:paraId="34DE12DE" w14:textId="77777777" w:rsidR="00CE08A5" w:rsidRPr="00877EE2" w:rsidRDefault="00CE08A5">
      <w:pPr>
        <w:rPr>
          <w:rFonts w:ascii="Times New Roman" w:hAnsi="Times New Roman" w:cs="Times New Roman"/>
          <w:sz w:val="24"/>
          <w:szCs w:val="24"/>
          <w:lang w:val="en-GB"/>
        </w:rPr>
      </w:pPr>
      <w:r w:rsidRPr="00877EE2">
        <w:rPr>
          <w:rFonts w:ascii="Times New Roman" w:hAnsi="Times New Roman" w:cs="Times New Roman"/>
          <w:sz w:val="24"/>
          <w:szCs w:val="24"/>
          <w:lang w:val="en-GB"/>
        </w:rPr>
        <w:br w:type="page"/>
      </w:r>
    </w:p>
    <w:p w14:paraId="46868F03" w14:textId="77777777" w:rsidR="00CE08A5" w:rsidRPr="00877EE2" w:rsidRDefault="00CE08A5" w:rsidP="00237E55">
      <w:pPr>
        <w:pStyle w:val="Heading1"/>
        <w:rPr>
          <w:lang w:val="en-GB"/>
        </w:rPr>
      </w:pPr>
      <w:bookmarkStart w:id="20" w:name="_Toc214455553"/>
      <w:r w:rsidRPr="00877EE2">
        <w:rPr>
          <w:lang w:val="en-GB"/>
        </w:rPr>
        <w:t>Reference</w:t>
      </w:r>
      <w:bookmarkEnd w:id="20"/>
      <w:r w:rsidRPr="00877EE2">
        <w:rPr>
          <w:lang w:val="en-GB"/>
        </w:rPr>
        <w:t xml:space="preserve"> </w:t>
      </w:r>
    </w:p>
    <w:p w14:paraId="3329410E" w14:textId="77777777" w:rsidR="001B4295" w:rsidRPr="001B4295" w:rsidRDefault="001B4295" w:rsidP="001B4295">
      <w:pPr>
        <w:spacing w:line="360" w:lineRule="auto"/>
        <w:jc w:val="both"/>
        <w:rPr>
          <w:rFonts w:ascii="Times New Roman" w:hAnsi="Times New Roman" w:cs="Times New Roman"/>
          <w:sz w:val="24"/>
          <w:szCs w:val="24"/>
        </w:rPr>
      </w:pPr>
      <w:proofErr w:type="spellStart"/>
      <w:r w:rsidRPr="001B4295">
        <w:rPr>
          <w:rFonts w:ascii="Times New Roman" w:hAnsi="Times New Roman" w:cs="Times New Roman"/>
          <w:sz w:val="24"/>
          <w:szCs w:val="24"/>
        </w:rPr>
        <w:t>Ahkam</w:t>
      </w:r>
      <w:proofErr w:type="spellEnd"/>
      <w:r w:rsidRPr="001B4295">
        <w:rPr>
          <w:rFonts w:ascii="Times New Roman" w:hAnsi="Times New Roman" w:cs="Times New Roman"/>
          <w:sz w:val="24"/>
          <w:szCs w:val="24"/>
        </w:rPr>
        <w:t xml:space="preserve">, S.N. and </w:t>
      </w:r>
      <w:proofErr w:type="spellStart"/>
      <w:r w:rsidRPr="001B4295">
        <w:rPr>
          <w:rFonts w:ascii="Times New Roman" w:hAnsi="Times New Roman" w:cs="Times New Roman"/>
          <w:sz w:val="24"/>
          <w:szCs w:val="24"/>
        </w:rPr>
        <w:t>Alom</w:t>
      </w:r>
      <w:proofErr w:type="spellEnd"/>
      <w:r w:rsidRPr="001B4295">
        <w:rPr>
          <w:rFonts w:ascii="Times New Roman" w:hAnsi="Times New Roman" w:cs="Times New Roman"/>
          <w:sz w:val="24"/>
          <w:szCs w:val="24"/>
        </w:rPr>
        <w:t>, K., 2019. Liquidity, Level of Working Capital Investment, and Performance in an Emerging Economy. </w:t>
      </w:r>
      <w:r w:rsidRPr="001B4295">
        <w:rPr>
          <w:rFonts w:ascii="Times New Roman" w:hAnsi="Times New Roman" w:cs="Times New Roman"/>
          <w:i/>
          <w:iCs/>
          <w:sz w:val="24"/>
          <w:szCs w:val="24"/>
        </w:rPr>
        <w:t>International Journal of Business &amp; Economics</w:t>
      </w:r>
      <w:r w:rsidRPr="001B4295">
        <w:rPr>
          <w:rFonts w:ascii="Times New Roman" w:hAnsi="Times New Roman" w:cs="Times New Roman"/>
          <w:sz w:val="24"/>
          <w:szCs w:val="24"/>
        </w:rPr>
        <w:t>, </w:t>
      </w:r>
      <w:r w:rsidRPr="001B4295">
        <w:rPr>
          <w:rFonts w:ascii="Times New Roman" w:hAnsi="Times New Roman" w:cs="Times New Roman"/>
          <w:i/>
          <w:iCs/>
          <w:sz w:val="24"/>
          <w:szCs w:val="24"/>
        </w:rPr>
        <w:t>18</w:t>
      </w:r>
      <w:r w:rsidRPr="001B4295">
        <w:rPr>
          <w:rFonts w:ascii="Times New Roman" w:hAnsi="Times New Roman" w:cs="Times New Roman"/>
          <w:sz w:val="24"/>
          <w:szCs w:val="24"/>
        </w:rPr>
        <w:t xml:space="preserve">(3). Available at: </w:t>
      </w:r>
      <w:hyperlink r:id="rId8" w:history="1">
        <w:r w:rsidRPr="001B4295">
          <w:rPr>
            <w:rStyle w:val="Hyperlink"/>
            <w:rFonts w:ascii="Times New Roman" w:hAnsi="Times New Roman" w:cs="Times New Roman"/>
            <w:sz w:val="24"/>
            <w:szCs w:val="24"/>
          </w:rPr>
          <w:t>https://ijbe.fcu.edu.tw/assets/ijbe/past_issue/No.18-3/pdf/vol_18-3-4.pdf</w:t>
        </w:r>
      </w:hyperlink>
    </w:p>
    <w:p w14:paraId="50B17D31" w14:textId="77777777" w:rsidR="001B4295" w:rsidRPr="001B4295" w:rsidRDefault="001B4295" w:rsidP="001B4295">
      <w:pPr>
        <w:spacing w:line="360" w:lineRule="auto"/>
        <w:jc w:val="both"/>
        <w:rPr>
          <w:rFonts w:ascii="Times New Roman" w:hAnsi="Times New Roman" w:cs="Times New Roman"/>
          <w:sz w:val="24"/>
          <w:szCs w:val="24"/>
        </w:rPr>
      </w:pPr>
      <w:proofErr w:type="spellStart"/>
      <w:r w:rsidRPr="001B4295">
        <w:rPr>
          <w:rFonts w:ascii="Times New Roman" w:hAnsi="Times New Roman" w:cs="Times New Roman"/>
          <w:sz w:val="24"/>
          <w:szCs w:val="24"/>
        </w:rPr>
        <w:t>Asman</w:t>
      </w:r>
      <w:proofErr w:type="spellEnd"/>
      <w:r w:rsidRPr="001B4295">
        <w:rPr>
          <w:rFonts w:ascii="Times New Roman" w:hAnsi="Times New Roman" w:cs="Times New Roman"/>
          <w:sz w:val="24"/>
          <w:szCs w:val="24"/>
        </w:rPr>
        <w:t xml:space="preserve">, F.N., Fernandez, D., </w:t>
      </w:r>
      <w:proofErr w:type="spellStart"/>
      <w:r w:rsidRPr="001B4295">
        <w:rPr>
          <w:rFonts w:ascii="Times New Roman" w:hAnsi="Times New Roman" w:cs="Times New Roman"/>
          <w:sz w:val="24"/>
          <w:szCs w:val="24"/>
        </w:rPr>
        <w:t>Jamaludin</w:t>
      </w:r>
      <w:proofErr w:type="spellEnd"/>
      <w:r w:rsidRPr="001B4295">
        <w:rPr>
          <w:rFonts w:ascii="Times New Roman" w:hAnsi="Times New Roman" w:cs="Times New Roman"/>
          <w:sz w:val="24"/>
          <w:szCs w:val="24"/>
        </w:rPr>
        <w:t xml:space="preserve">, N.A., Omar </w:t>
      </w:r>
      <w:proofErr w:type="spellStart"/>
      <w:r w:rsidRPr="001B4295">
        <w:rPr>
          <w:rFonts w:ascii="Times New Roman" w:hAnsi="Times New Roman" w:cs="Times New Roman"/>
          <w:sz w:val="24"/>
          <w:szCs w:val="24"/>
        </w:rPr>
        <w:t>Zaki</w:t>
      </w:r>
      <w:proofErr w:type="spellEnd"/>
      <w:r w:rsidRPr="001B4295">
        <w:rPr>
          <w:rFonts w:ascii="Times New Roman" w:hAnsi="Times New Roman" w:cs="Times New Roman"/>
          <w:sz w:val="24"/>
          <w:szCs w:val="24"/>
        </w:rPr>
        <w:t>, H. and Ghazali, A.W., 2022. Cash conversion cycle and firm’s performance. </w:t>
      </w:r>
      <w:r w:rsidRPr="001B4295">
        <w:rPr>
          <w:rFonts w:ascii="Times New Roman" w:hAnsi="Times New Roman" w:cs="Times New Roman"/>
          <w:i/>
          <w:iCs/>
          <w:sz w:val="24"/>
          <w:szCs w:val="24"/>
        </w:rPr>
        <w:t>International Journal of Academic Research in Business and Social Sciences</w:t>
      </w:r>
      <w:r w:rsidRPr="001B4295">
        <w:rPr>
          <w:rFonts w:ascii="Times New Roman" w:hAnsi="Times New Roman" w:cs="Times New Roman"/>
          <w:sz w:val="24"/>
          <w:szCs w:val="24"/>
        </w:rPr>
        <w:t>, </w:t>
      </w:r>
      <w:r w:rsidRPr="001B4295">
        <w:rPr>
          <w:rFonts w:ascii="Times New Roman" w:hAnsi="Times New Roman" w:cs="Times New Roman"/>
          <w:i/>
          <w:iCs/>
          <w:sz w:val="24"/>
          <w:szCs w:val="24"/>
        </w:rPr>
        <w:t>12</w:t>
      </w:r>
      <w:r w:rsidRPr="001B4295">
        <w:rPr>
          <w:rFonts w:ascii="Times New Roman" w:hAnsi="Times New Roman" w:cs="Times New Roman"/>
          <w:sz w:val="24"/>
          <w:szCs w:val="24"/>
        </w:rPr>
        <w:t xml:space="preserve">(11), pp.2682-2692. Available at: </w:t>
      </w:r>
      <w:hyperlink r:id="rId9" w:history="1">
        <w:r w:rsidRPr="001B4295">
          <w:rPr>
            <w:rStyle w:val="Hyperlink"/>
            <w:rFonts w:ascii="Times New Roman" w:hAnsi="Times New Roman" w:cs="Times New Roman"/>
            <w:sz w:val="24"/>
            <w:szCs w:val="24"/>
          </w:rPr>
          <w:t>http://dx.doi.org/10.6007/IJARBSS/v12-i11/15276</w:t>
        </w:r>
      </w:hyperlink>
    </w:p>
    <w:p w14:paraId="441CA91A"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 xml:space="preserve">Barnabas, B. and </w:t>
      </w:r>
      <w:proofErr w:type="spellStart"/>
      <w:r w:rsidRPr="001B4295">
        <w:rPr>
          <w:rFonts w:ascii="Times New Roman" w:hAnsi="Times New Roman" w:cs="Times New Roman"/>
          <w:sz w:val="24"/>
          <w:szCs w:val="24"/>
        </w:rPr>
        <w:t>Oloyede</w:t>
      </w:r>
      <w:proofErr w:type="spellEnd"/>
      <w:r w:rsidRPr="001B4295">
        <w:rPr>
          <w:rFonts w:ascii="Times New Roman" w:hAnsi="Times New Roman" w:cs="Times New Roman"/>
          <w:sz w:val="24"/>
          <w:szCs w:val="24"/>
        </w:rPr>
        <w:t xml:space="preserve">, J., 2024. Cash Flow </w:t>
      </w:r>
      <w:proofErr w:type="spellStart"/>
      <w:r w:rsidRPr="001B4295">
        <w:rPr>
          <w:rFonts w:ascii="Times New Roman" w:hAnsi="Times New Roman" w:cs="Times New Roman"/>
          <w:sz w:val="24"/>
          <w:szCs w:val="24"/>
        </w:rPr>
        <w:t>Optimization</w:t>
      </w:r>
      <w:proofErr w:type="spellEnd"/>
      <w:r w:rsidRPr="001B4295">
        <w:rPr>
          <w:rFonts w:ascii="Times New Roman" w:hAnsi="Times New Roman" w:cs="Times New Roman"/>
          <w:sz w:val="24"/>
          <w:szCs w:val="24"/>
        </w:rPr>
        <w:t>: Strategies for Enhancing Short-Term Liquidity. </w:t>
      </w:r>
      <w:r w:rsidRPr="001B4295">
        <w:rPr>
          <w:rFonts w:ascii="Times New Roman" w:hAnsi="Times New Roman" w:cs="Times New Roman"/>
          <w:i/>
          <w:iCs/>
          <w:sz w:val="24"/>
          <w:szCs w:val="24"/>
        </w:rPr>
        <w:t>Available at SSRN 5004465</w:t>
      </w:r>
      <w:r w:rsidRPr="001B4295">
        <w:rPr>
          <w:rFonts w:ascii="Times New Roman" w:hAnsi="Times New Roman" w:cs="Times New Roman"/>
          <w:sz w:val="24"/>
          <w:szCs w:val="24"/>
        </w:rPr>
        <w:t xml:space="preserve">. Available at: </w:t>
      </w:r>
      <w:hyperlink r:id="rId10" w:history="1">
        <w:r w:rsidRPr="001B4295">
          <w:rPr>
            <w:rStyle w:val="Hyperlink"/>
            <w:rFonts w:ascii="Times New Roman" w:hAnsi="Times New Roman" w:cs="Times New Roman"/>
            <w:sz w:val="24"/>
            <w:szCs w:val="24"/>
          </w:rPr>
          <w:t>https://papers.ssrn.com/sol3/papers.cfm?abstract_id=5004465</w:t>
        </w:r>
      </w:hyperlink>
    </w:p>
    <w:p w14:paraId="1A901E4B" w14:textId="77777777" w:rsidR="001B4295" w:rsidRPr="001B4295" w:rsidRDefault="001B4295" w:rsidP="001B4295">
      <w:pPr>
        <w:spacing w:line="360" w:lineRule="auto"/>
        <w:jc w:val="both"/>
        <w:rPr>
          <w:rFonts w:ascii="Times New Roman" w:hAnsi="Times New Roman" w:cs="Times New Roman"/>
          <w:sz w:val="24"/>
          <w:szCs w:val="24"/>
        </w:rPr>
      </w:pPr>
      <w:proofErr w:type="spellStart"/>
      <w:r w:rsidRPr="001B4295">
        <w:rPr>
          <w:rFonts w:ascii="Times New Roman" w:hAnsi="Times New Roman" w:cs="Times New Roman"/>
          <w:sz w:val="24"/>
          <w:szCs w:val="24"/>
        </w:rPr>
        <w:t>Biglaiser</w:t>
      </w:r>
      <w:proofErr w:type="spellEnd"/>
      <w:r w:rsidRPr="001B4295">
        <w:rPr>
          <w:rFonts w:ascii="Times New Roman" w:hAnsi="Times New Roman" w:cs="Times New Roman"/>
          <w:sz w:val="24"/>
          <w:szCs w:val="24"/>
        </w:rPr>
        <w:t xml:space="preserve">, G. and </w:t>
      </w:r>
      <w:proofErr w:type="spellStart"/>
      <w:r w:rsidRPr="001B4295">
        <w:rPr>
          <w:rFonts w:ascii="Times New Roman" w:hAnsi="Times New Roman" w:cs="Times New Roman"/>
          <w:sz w:val="24"/>
          <w:szCs w:val="24"/>
        </w:rPr>
        <w:t>McGauvran</w:t>
      </w:r>
      <w:proofErr w:type="spellEnd"/>
      <w:r w:rsidRPr="001B4295">
        <w:rPr>
          <w:rFonts w:ascii="Times New Roman" w:hAnsi="Times New Roman" w:cs="Times New Roman"/>
          <w:sz w:val="24"/>
          <w:szCs w:val="24"/>
        </w:rPr>
        <w:t>, R.J., 2021. The effects of debt restructurings on income inequality in the developing world. </w:t>
      </w:r>
      <w:r w:rsidRPr="001B4295">
        <w:rPr>
          <w:rFonts w:ascii="Times New Roman" w:hAnsi="Times New Roman" w:cs="Times New Roman"/>
          <w:i/>
          <w:iCs/>
          <w:sz w:val="24"/>
          <w:szCs w:val="24"/>
        </w:rPr>
        <w:t>European Journal of International Relations</w:t>
      </w:r>
      <w:r w:rsidRPr="001B4295">
        <w:rPr>
          <w:rFonts w:ascii="Times New Roman" w:hAnsi="Times New Roman" w:cs="Times New Roman"/>
          <w:sz w:val="24"/>
          <w:szCs w:val="24"/>
        </w:rPr>
        <w:t>, </w:t>
      </w:r>
      <w:r w:rsidRPr="001B4295">
        <w:rPr>
          <w:rFonts w:ascii="Times New Roman" w:hAnsi="Times New Roman" w:cs="Times New Roman"/>
          <w:i/>
          <w:iCs/>
          <w:sz w:val="24"/>
          <w:szCs w:val="24"/>
        </w:rPr>
        <w:t>27</w:t>
      </w:r>
      <w:r w:rsidRPr="001B4295">
        <w:rPr>
          <w:rFonts w:ascii="Times New Roman" w:hAnsi="Times New Roman" w:cs="Times New Roman"/>
          <w:sz w:val="24"/>
          <w:szCs w:val="24"/>
        </w:rPr>
        <w:t xml:space="preserve">(3), pp.808-829. Available at: </w:t>
      </w:r>
      <w:hyperlink r:id="rId11" w:history="1">
        <w:r w:rsidRPr="001B4295">
          <w:rPr>
            <w:rStyle w:val="Hyperlink"/>
            <w:rFonts w:ascii="Times New Roman" w:hAnsi="Times New Roman" w:cs="Times New Roman"/>
            <w:sz w:val="24"/>
            <w:szCs w:val="24"/>
          </w:rPr>
          <w:t>https://journals.sagepub.com/doi/10.1177/13540661211001425</w:t>
        </w:r>
      </w:hyperlink>
    </w:p>
    <w:p w14:paraId="25E6E08A" w14:textId="77777777" w:rsidR="001B4295" w:rsidRPr="001B4295" w:rsidRDefault="001B4295" w:rsidP="001B4295">
      <w:pPr>
        <w:spacing w:line="360" w:lineRule="auto"/>
        <w:jc w:val="both"/>
        <w:rPr>
          <w:rFonts w:ascii="Times New Roman" w:hAnsi="Times New Roman" w:cs="Times New Roman"/>
          <w:sz w:val="24"/>
          <w:szCs w:val="24"/>
        </w:rPr>
      </w:pPr>
      <w:proofErr w:type="spellStart"/>
      <w:r w:rsidRPr="001B4295">
        <w:rPr>
          <w:rFonts w:ascii="Times New Roman" w:hAnsi="Times New Roman" w:cs="Times New Roman"/>
          <w:sz w:val="24"/>
          <w:szCs w:val="24"/>
        </w:rPr>
        <w:t>Braunsberger</w:t>
      </w:r>
      <w:proofErr w:type="spellEnd"/>
      <w:r w:rsidRPr="001B4295">
        <w:rPr>
          <w:rFonts w:ascii="Times New Roman" w:hAnsi="Times New Roman" w:cs="Times New Roman"/>
          <w:sz w:val="24"/>
          <w:szCs w:val="24"/>
        </w:rPr>
        <w:t xml:space="preserve">, C. and </w:t>
      </w:r>
      <w:proofErr w:type="spellStart"/>
      <w:r w:rsidRPr="001B4295">
        <w:rPr>
          <w:rFonts w:ascii="Times New Roman" w:hAnsi="Times New Roman" w:cs="Times New Roman"/>
          <w:sz w:val="24"/>
          <w:szCs w:val="24"/>
        </w:rPr>
        <w:t>Aschauer</w:t>
      </w:r>
      <w:proofErr w:type="spellEnd"/>
      <w:r w:rsidRPr="001B4295">
        <w:rPr>
          <w:rFonts w:ascii="Times New Roman" w:hAnsi="Times New Roman" w:cs="Times New Roman"/>
          <w:sz w:val="24"/>
          <w:szCs w:val="24"/>
        </w:rPr>
        <w:t>, E., 2025. Corporate Failure Prediction: A Literature Review of Altman Z-Score and Machine Learning Models Within a Technology Adoption Framework. </w:t>
      </w:r>
      <w:r w:rsidRPr="001B4295">
        <w:rPr>
          <w:rFonts w:ascii="Times New Roman" w:hAnsi="Times New Roman" w:cs="Times New Roman"/>
          <w:i/>
          <w:iCs/>
          <w:sz w:val="24"/>
          <w:szCs w:val="24"/>
        </w:rPr>
        <w:t>Journal of Risk and Financial Management</w:t>
      </w:r>
      <w:r w:rsidRPr="001B4295">
        <w:rPr>
          <w:rFonts w:ascii="Times New Roman" w:hAnsi="Times New Roman" w:cs="Times New Roman"/>
          <w:sz w:val="24"/>
          <w:szCs w:val="24"/>
        </w:rPr>
        <w:t>, </w:t>
      </w:r>
      <w:r w:rsidRPr="001B4295">
        <w:rPr>
          <w:rFonts w:ascii="Times New Roman" w:hAnsi="Times New Roman" w:cs="Times New Roman"/>
          <w:i/>
          <w:iCs/>
          <w:sz w:val="24"/>
          <w:szCs w:val="24"/>
        </w:rPr>
        <w:t>18</w:t>
      </w:r>
      <w:r w:rsidRPr="001B4295">
        <w:rPr>
          <w:rFonts w:ascii="Times New Roman" w:hAnsi="Times New Roman" w:cs="Times New Roman"/>
          <w:sz w:val="24"/>
          <w:szCs w:val="24"/>
        </w:rPr>
        <w:t xml:space="preserve">(8), p.465. Available at: </w:t>
      </w:r>
      <w:hyperlink r:id="rId12" w:history="1">
        <w:r w:rsidRPr="001B4295">
          <w:rPr>
            <w:rStyle w:val="Hyperlink"/>
            <w:rFonts w:ascii="Times New Roman" w:hAnsi="Times New Roman" w:cs="Times New Roman"/>
            <w:sz w:val="24"/>
            <w:szCs w:val="24"/>
          </w:rPr>
          <w:t>https://www.mdpi.com/1911-8074/18/8/465</w:t>
        </w:r>
      </w:hyperlink>
    </w:p>
    <w:p w14:paraId="2540D7F0"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Burnie, D.A. and Ridder, A.D., 2023. Accounts payable management. In </w:t>
      </w:r>
      <w:r w:rsidRPr="001B4295">
        <w:rPr>
          <w:rFonts w:ascii="Times New Roman" w:hAnsi="Times New Roman" w:cs="Times New Roman"/>
          <w:i/>
          <w:iCs/>
          <w:sz w:val="24"/>
          <w:szCs w:val="24"/>
        </w:rPr>
        <w:t>Working capital management: Concepts and strategies</w:t>
      </w:r>
      <w:r w:rsidRPr="001B4295">
        <w:rPr>
          <w:rFonts w:ascii="Times New Roman" w:hAnsi="Times New Roman" w:cs="Times New Roman"/>
          <w:sz w:val="24"/>
          <w:szCs w:val="24"/>
        </w:rPr>
        <w:t xml:space="preserve"> (pp. 283-307). Available at: </w:t>
      </w:r>
      <w:hyperlink r:id="rId13" w:history="1">
        <w:r w:rsidRPr="001B4295">
          <w:rPr>
            <w:rStyle w:val="Hyperlink"/>
            <w:rFonts w:ascii="Times New Roman" w:hAnsi="Times New Roman" w:cs="Times New Roman"/>
            <w:sz w:val="24"/>
            <w:szCs w:val="24"/>
          </w:rPr>
          <w:t>https://www.researchgate.net/profile/Adri-Ridder/publication/369723213_Accounts_Payable_Management/links/67bb1955461fb56424e76018/Accounts-Payable-Management.pdf</w:t>
        </w:r>
      </w:hyperlink>
    </w:p>
    <w:p w14:paraId="43A8E8CE"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Chen, H., 2020, December. The impact of financial leverage on firm performance–Based on the moderating role of operating leverage. In </w:t>
      </w:r>
      <w:r w:rsidRPr="001B4295">
        <w:rPr>
          <w:rFonts w:ascii="Times New Roman" w:hAnsi="Times New Roman" w:cs="Times New Roman"/>
          <w:i/>
          <w:iCs/>
          <w:sz w:val="24"/>
          <w:szCs w:val="24"/>
        </w:rPr>
        <w:t>Fifth International Conference on Economic and Business Management (FEBM 2020)</w:t>
      </w:r>
      <w:r w:rsidRPr="001B4295">
        <w:rPr>
          <w:rFonts w:ascii="Times New Roman" w:hAnsi="Times New Roman" w:cs="Times New Roman"/>
          <w:sz w:val="24"/>
          <w:szCs w:val="24"/>
        </w:rPr>
        <w:t xml:space="preserve"> (pp. 464-473). Atlantis Press. Available at: </w:t>
      </w:r>
      <w:hyperlink r:id="rId14" w:history="1">
        <w:r w:rsidRPr="001B4295">
          <w:rPr>
            <w:rStyle w:val="Hyperlink"/>
            <w:rFonts w:ascii="Times New Roman" w:hAnsi="Times New Roman" w:cs="Times New Roman"/>
            <w:sz w:val="24"/>
            <w:szCs w:val="24"/>
          </w:rPr>
          <w:t>https://www.atlantis-press.com/proceedings/febm-20/125948439</w:t>
        </w:r>
      </w:hyperlink>
    </w:p>
    <w:p w14:paraId="41F7FFC7"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Diana, H.I. and Maria, M.M., 2020. The importance Of profitability indicators In assessing The financial performance Of economic entities. </w:t>
      </w:r>
      <w:r w:rsidRPr="001B4295">
        <w:rPr>
          <w:rFonts w:ascii="Times New Roman" w:hAnsi="Times New Roman" w:cs="Times New Roman"/>
          <w:i/>
          <w:iCs/>
          <w:sz w:val="24"/>
          <w:szCs w:val="24"/>
        </w:rPr>
        <w:t>The Annals of the University of Oradea</w:t>
      </w:r>
      <w:r w:rsidRPr="001B4295">
        <w:rPr>
          <w:rFonts w:ascii="Times New Roman" w:hAnsi="Times New Roman" w:cs="Times New Roman"/>
          <w:sz w:val="24"/>
          <w:szCs w:val="24"/>
        </w:rPr>
        <w:t>, </w:t>
      </w:r>
      <w:r w:rsidRPr="001B4295">
        <w:rPr>
          <w:rFonts w:ascii="Times New Roman" w:hAnsi="Times New Roman" w:cs="Times New Roman"/>
          <w:i/>
          <w:iCs/>
          <w:sz w:val="24"/>
          <w:szCs w:val="24"/>
        </w:rPr>
        <w:t>29</w:t>
      </w:r>
      <w:r w:rsidRPr="001B4295">
        <w:rPr>
          <w:rFonts w:ascii="Times New Roman" w:hAnsi="Times New Roman" w:cs="Times New Roman"/>
          <w:sz w:val="24"/>
          <w:szCs w:val="24"/>
        </w:rPr>
        <w:t xml:space="preserve">(2020), p.219. Available at: </w:t>
      </w:r>
      <w:hyperlink r:id="rId15" w:anchor="page=213" w:history="1">
        <w:r w:rsidRPr="001B4295">
          <w:rPr>
            <w:rStyle w:val="Hyperlink"/>
            <w:rFonts w:ascii="Times New Roman" w:hAnsi="Times New Roman" w:cs="Times New Roman"/>
            <w:sz w:val="24"/>
            <w:szCs w:val="24"/>
          </w:rPr>
          <w:t>https://www.researchgate.net/profile/Maria-Heder/publication/345902413_Knowledge_transfer_as_a_condition_of_employee_dedication/links/5fb1547d92851cf24cd30133/Knowledge-transfer-as-a-condition-of-employee-dedication.pdf#page=213</w:t>
        </w:r>
      </w:hyperlink>
    </w:p>
    <w:p w14:paraId="621C4012"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Feldman, E.R., 2021. </w:t>
      </w:r>
      <w:r w:rsidRPr="001B4295">
        <w:rPr>
          <w:rFonts w:ascii="Times New Roman" w:hAnsi="Times New Roman" w:cs="Times New Roman"/>
          <w:i/>
          <w:iCs/>
          <w:sz w:val="24"/>
          <w:szCs w:val="24"/>
        </w:rPr>
        <w:t>Restructuring and divestitures</w:t>
      </w:r>
      <w:r w:rsidRPr="001B4295">
        <w:rPr>
          <w:rFonts w:ascii="Times New Roman" w:hAnsi="Times New Roman" w:cs="Times New Roman"/>
          <w:sz w:val="24"/>
          <w:szCs w:val="24"/>
        </w:rPr>
        <w:t xml:space="preserve"> (pp. 153-166). New York, NY: Oxford University Press. Available at: </w:t>
      </w:r>
      <w:hyperlink r:id="rId16" w:history="1">
        <w:r w:rsidRPr="001B4295">
          <w:rPr>
            <w:rStyle w:val="Hyperlink"/>
            <w:rFonts w:ascii="Times New Roman" w:hAnsi="Times New Roman" w:cs="Times New Roman"/>
            <w:sz w:val="24"/>
            <w:szCs w:val="24"/>
          </w:rPr>
          <w:t>https://faculty.wharton.upenn.edu/wp-content/uploads/2016/11/Restructuring-and-Divestitures.pdf</w:t>
        </w:r>
      </w:hyperlink>
    </w:p>
    <w:p w14:paraId="70D2D704" w14:textId="77777777" w:rsidR="001B4295" w:rsidRPr="001B4295" w:rsidRDefault="001B4295" w:rsidP="001B4295">
      <w:pPr>
        <w:spacing w:line="360" w:lineRule="auto"/>
        <w:jc w:val="both"/>
        <w:rPr>
          <w:rFonts w:ascii="Times New Roman" w:hAnsi="Times New Roman" w:cs="Times New Roman"/>
          <w:sz w:val="24"/>
          <w:szCs w:val="24"/>
        </w:rPr>
      </w:pPr>
      <w:proofErr w:type="spellStart"/>
      <w:r w:rsidRPr="001B4295">
        <w:rPr>
          <w:rFonts w:ascii="Times New Roman" w:hAnsi="Times New Roman" w:cs="Times New Roman"/>
          <w:sz w:val="24"/>
          <w:szCs w:val="24"/>
        </w:rPr>
        <w:t>Gezer</w:t>
      </w:r>
      <w:proofErr w:type="spellEnd"/>
      <w:r w:rsidRPr="001B4295">
        <w:rPr>
          <w:rFonts w:ascii="Times New Roman" w:hAnsi="Times New Roman" w:cs="Times New Roman"/>
          <w:sz w:val="24"/>
          <w:szCs w:val="24"/>
        </w:rPr>
        <w:t xml:space="preserve">, Y. and </w:t>
      </w:r>
      <w:proofErr w:type="spellStart"/>
      <w:r w:rsidRPr="001B4295">
        <w:rPr>
          <w:rFonts w:ascii="Times New Roman" w:hAnsi="Times New Roman" w:cs="Times New Roman"/>
          <w:sz w:val="24"/>
          <w:szCs w:val="24"/>
        </w:rPr>
        <w:t>Kıngır</w:t>
      </w:r>
      <w:proofErr w:type="spellEnd"/>
      <w:r w:rsidRPr="001B4295">
        <w:rPr>
          <w:rFonts w:ascii="Times New Roman" w:hAnsi="Times New Roman" w:cs="Times New Roman"/>
          <w:sz w:val="24"/>
          <w:szCs w:val="24"/>
        </w:rPr>
        <w:t>, S., 2020. Expected of debt capital and gearing: Return, risk and impact on the value of the firm's equity. </w:t>
      </w:r>
      <w:proofErr w:type="spellStart"/>
      <w:r w:rsidRPr="001B4295">
        <w:rPr>
          <w:rFonts w:ascii="Times New Roman" w:hAnsi="Times New Roman" w:cs="Times New Roman"/>
          <w:i/>
          <w:iCs/>
          <w:sz w:val="24"/>
          <w:szCs w:val="24"/>
        </w:rPr>
        <w:t>Aydın</w:t>
      </w:r>
      <w:proofErr w:type="spellEnd"/>
      <w:r w:rsidRPr="001B4295">
        <w:rPr>
          <w:rFonts w:ascii="Times New Roman" w:hAnsi="Times New Roman" w:cs="Times New Roman"/>
          <w:i/>
          <w:iCs/>
          <w:sz w:val="24"/>
          <w:szCs w:val="24"/>
        </w:rPr>
        <w:t xml:space="preserve"> </w:t>
      </w:r>
      <w:proofErr w:type="spellStart"/>
      <w:r w:rsidRPr="001B4295">
        <w:rPr>
          <w:rFonts w:ascii="Times New Roman" w:hAnsi="Times New Roman" w:cs="Times New Roman"/>
          <w:i/>
          <w:iCs/>
          <w:sz w:val="24"/>
          <w:szCs w:val="24"/>
        </w:rPr>
        <w:t>İktisat</w:t>
      </w:r>
      <w:proofErr w:type="spellEnd"/>
      <w:r w:rsidRPr="001B4295">
        <w:rPr>
          <w:rFonts w:ascii="Times New Roman" w:hAnsi="Times New Roman" w:cs="Times New Roman"/>
          <w:i/>
          <w:iCs/>
          <w:sz w:val="24"/>
          <w:szCs w:val="24"/>
        </w:rPr>
        <w:t xml:space="preserve"> </w:t>
      </w:r>
      <w:proofErr w:type="spellStart"/>
      <w:r w:rsidRPr="001B4295">
        <w:rPr>
          <w:rFonts w:ascii="Times New Roman" w:hAnsi="Times New Roman" w:cs="Times New Roman"/>
          <w:i/>
          <w:iCs/>
          <w:sz w:val="24"/>
          <w:szCs w:val="24"/>
        </w:rPr>
        <w:t>Fakültesi</w:t>
      </w:r>
      <w:proofErr w:type="spellEnd"/>
      <w:r w:rsidRPr="001B4295">
        <w:rPr>
          <w:rFonts w:ascii="Times New Roman" w:hAnsi="Times New Roman" w:cs="Times New Roman"/>
          <w:i/>
          <w:iCs/>
          <w:sz w:val="24"/>
          <w:szCs w:val="24"/>
        </w:rPr>
        <w:t xml:space="preserve"> </w:t>
      </w:r>
      <w:proofErr w:type="spellStart"/>
      <w:r w:rsidRPr="001B4295">
        <w:rPr>
          <w:rFonts w:ascii="Times New Roman" w:hAnsi="Times New Roman" w:cs="Times New Roman"/>
          <w:i/>
          <w:iCs/>
          <w:sz w:val="24"/>
          <w:szCs w:val="24"/>
        </w:rPr>
        <w:t>Dergisi</w:t>
      </w:r>
      <w:proofErr w:type="spellEnd"/>
      <w:r w:rsidRPr="001B4295">
        <w:rPr>
          <w:rFonts w:ascii="Times New Roman" w:hAnsi="Times New Roman" w:cs="Times New Roman"/>
          <w:sz w:val="24"/>
          <w:szCs w:val="24"/>
        </w:rPr>
        <w:t>, </w:t>
      </w:r>
      <w:r w:rsidRPr="001B4295">
        <w:rPr>
          <w:rFonts w:ascii="Times New Roman" w:hAnsi="Times New Roman" w:cs="Times New Roman"/>
          <w:i/>
          <w:iCs/>
          <w:sz w:val="24"/>
          <w:szCs w:val="24"/>
        </w:rPr>
        <w:t>5</w:t>
      </w:r>
      <w:r w:rsidRPr="001B4295">
        <w:rPr>
          <w:rFonts w:ascii="Times New Roman" w:hAnsi="Times New Roman" w:cs="Times New Roman"/>
          <w:sz w:val="24"/>
          <w:szCs w:val="24"/>
        </w:rPr>
        <w:t xml:space="preserve">(1), pp.25-33. Available at: </w:t>
      </w:r>
      <w:hyperlink r:id="rId17" w:history="1">
        <w:r w:rsidRPr="001B4295">
          <w:rPr>
            <w:rStyle w:val="Hyperlink"/>
            <w:rFonts w:ascii="Times New Roman" w:hAnsi="Times New Roman" w:cs="Times New Roman"/>
            <w:sz w:val="24"/>
            <w:szCs w:val="24"/>
          </w:rPr>
          <w:t>https://dergipark.org.tr/en/download/article-file/1182048</w:t>
        </w:r>
      </w:hyperlink>
    </w:p>
    <w:p w14:paraId="638FA48B"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Gomes, E., 2020. Mergers, acquisitions, and strategic alliances as collaborative methods of strategic development and change. </w:t>
      </w:r>
      <w:r w:rsidRPr="001B4295">
        <w:rPr>
          <w:rFonts w:ascii="Times New Roman" w:hAnsi="Times New Roman" w:cs="Times New Roman"/>
          <w:i/>
          <w:iCs/>
          <w:sz w:val="24"/>
          <w:szCs w:val="24"/>
        </w:rPr>
        <w:t>Strategic Change</w:t>
      </w:r>
      <w:r w:rsidRPr="001B4295">
        <w:rPr>
          <w:rFonts w:ascii="Times New Roman" w:hAnsi="Times New Roman" w:cs="Times New Roman"/>
          <w:sz w:val="24"/>
          <w:szCs w:val="24"/>
        </w:rPr>
        <w:t>, </w:t>
      </w:r>
      <w:r w:rsidRPr="001B4295">
        <w:rPr>
          <w:rFonts w:ascii="Times New Roman" w:hAnsi="Times New Roman" w:cs="Times New Roman"/>
          <w:i/>
          <w:iCs/>
          <w:sz w:val="24"/>
          <w:szCs w:val="24"/>
        </w:rPr>
        <w:t>29</w:t>
      </w:r>
      <w:r w:rsidRPr="001B4295">
        <w:rPr>
          <w:rFonts w:ascii="Times New Roman" w:hAnsi="Times New Roman" w:cs="Times New Roman"/>
          <w:sz w:val="24"/>
          <w:szCs w:val="24"/>
        </w:rPr>
        <w:t>(2), pp.145-148. Available at: 10.1002/</w:t>
      </w:r>
      <w:proofErr w:type="spellStart"/>
      <w:r w:rsidRPr="001B4295">
        <w:rPr>
          <w:rFonts w:ascii="Times New Roman" w:hAnsi="Times New Roman" w:cs="Times New Roman"/>
          <w:sz w:val="24"/>
          <w:szCs w:val="24"/>
        </w:rPr>
        <w:t>jsc.2317</w:t>
      </w:r>
      <w:proofErr w:type="spellEnd"/>
      <w:r w:rsidRPr="001B4295">
        <w:rPr>
          <w:rFonts w:ascii="Times New Roman" w:hAnsi="Times New Roman" w:cs="Times New Roman"/>
          <w:sz w:val="24"/>
          <w:szCs w:val="24"/>
        </w:rPr>
        <w:cr/>
        <w:t xml:space="preserve"> </w:t>
      </w:r>
      <w:proofErr w:type="spellStart"/>
      <w:r w:rsidRPr="001B4295">
        <w:rPr>
          <w:rFonts w:ascii="Times New Roman" w:hAnsi="Times New Roman" w:cs="Times New Roman"/>
          <w:sz w:val="24"/>
          <w:szCs w:val="24"/>
        </w:rPr>
        <w:t>Mielcarz</w:t>
      </w:r>
      <w:proofErr w:type="spellEnd"/>
      <w:r w:rsidRPr="001B4295">
        <w:rPr>
          <w:rFonts w:ascii="Times New Roman" w:hAnsi="Times New Roman" w:cs="Times New Roman"/>
          <w:sz w:val="24"/>
          <w:szCs w:val="24"/>
        </w:rPr>
        <w:t xml:space="preserve">, P., </w:t>
      </w:r>
      <w:proofErr w:type="spellStart"/>
      <w:r w:rsidRPr="001B4295">
        <w:rPr>
          <w:rFonts w:ascii="Times New Roman" w:hAnsi="Times New Roman" w:cs="Times New Roman"/>
          <w:sz w:val="24"/>
          <w:szCs w:val="24"/>
        </w:rPr>
        <w:t>Osiichuk</w:t>
      </w:r>
      <w:proofErr w:type="spellEnd"/>
      <w:r w:rsidRPr="001B4295">
        <w:rPr>
          <w:rFonts w:ascii="Times New Roman" w:hAnsi="Times New Roman" w:cs="Times New Roman"/>
          <w:sz w:val="24"/>
          <w:szCs w:val="24"/>
        </w:rPr>
        <w:t xml:space="preserve">, D. and </w:t>
      </w:r>
      <w:proofErr w:type="spellStart"/>
      <w:r w:rsidRPr="001B4295">
        <w:rPr>
          <w:rFonts w:ascii="Times New Roman" w:hAnsi="Times New Roman" w:cs="Times New Roman"/>
          <w:sz w:val="24"/>
          <w:szCs w:val="24"/>
        </w:rPr>
        <w:t>Owczarkowski</w:t>
      </w:r>
      <w:proofErr w:type="spellEnd"/>
      <w:r w:rsidRPr="001B4295">
        <w:rPr>
          <w:rFonts w:ascii="Times New Roman" w:hAnsi="Times New Roman" w:cs="Times New Roman"/>
          <w:sz w:val="24"/>
          <w:szCs w:val="24"/>
        </w:rPr>
        <w:t xml:space="preserve">, R., 2018. Financial restructuring and target capital structure: An iterative algorithm for shareholder value </w:t>
      </w:r>
      <w:proofErr w:type="spellStart"/>
      <w:r w:rsidRPr="001B4295">
        <w:rPr>
          <w:rFonts w:ascii="Times New Roman" w:hAnsi="Times New Roman" w:cs="Times New Roman"/>
          <w:sz w:val="24"/>
          <w:szCs w:val="24"/>
        </w:rPr>
        <w:t>maximization</w:t>
      </w:r>
      <w:proofErr w:type="spellEnd"/>
      <w:r w:rsidRPr="001B4295">
        <w:rPr>
          <w:rFonts w:ascii="Times New Roman" w:hAnsi="Times New Roman" w:cs="Times New Roman"/>
          <w:sz w:val="24"/>
          <w:szCs w:val="24"/>
        </w:rPr>
        <w:t>. </w:t>
      </w:r>
      <w:r w:rsidRPr="001B4295">
        <w:rPr>
          <w:rFonts w:ascii="Times New Roman" w:hAnsi="Times New Roman" w:cs="Times New Roman"/>
          <w:i/>
          <w:iCs/>
          <w:sz w:val="24"/>
          <w:szCs w:val="24"/>
        </w:rPr>
        <w:t>Review of Accounting and Finance</w:t>
      </w:r>
      <w:r w:rsidRPr="001B4295">
        <w:rPr>
          <w:rFonts w:ascii="Times New Roman" w:hAnsi="Times New Roman" w:cs="Times New Roman"/>
          <w:sz w:val="24"/>
          <w:szCs w:val="24"/>
        </w:rPr>
        <w:t>, </w:t>
      </w:r>
      <w:r w:rsidRPr="001B4295">
        <w:rPr>
          <w:rFonts w:ascii="Times New Roman" w:hAnsi="Times New Roman" w:cs="Times New Roman"/>
          <w:i/>
          <w:iCs/>
          <w:sz w:val="24"/>
          <w:szCs w:val="24"/>
        </w:rPr>
        <w:t>17</w:t>
      </w:r>
      <w:r w:rsidRPr="001B4295">
        <w:rPr>
          <w:rFonts w:ascii="Times New Roman" w:hAnsi="Times New Roman" w:cs="Times New Roman"/>
          <w:sz w:val="24"/>
          <w:szCs w:val="24"/>
        </w:rPr>
        <w:t xml:space="preserve">(2), pp.280-294. Available at: </w:t>
      </w:r>
      <w:hyperlink r:id="rId18" w:history="1">
        <w:r w:rsidRPr="001B4295">
          <w:rPr>
            <w:rStyle w:val="Hyperlink"/>
            <w:rFonts w:ascii="Times New Roman" w:hAnsi="Times New Roman" w:cs="Times New Roman"/>
            <w:sz w:val="24"/>
            <w:szCs w:val="24"/>
          </w:rPr>
          <w:t>https://doi.org/10.1108/RAF-01-2017-0001</w:t>
        </w:r>
      </w:hyperlink>
    </w:p>
    <w:p w14:paraId="18A85E83" w14:textId="77777777" w:rsidR="001B4295" w:rsidRPr="001B4295" w:rsidRDefault="001B4295" w:rsidP="001B4295">
      <w:pPr>
        <w:spacing w:line="360" w:lineRule="auto"/>
        <w:jc w:val="both"/>
        <w:rPr>
          <w:rFonts w:ascii="Times New Roman" w:hAnsi="Times New Roman" w:cs="Times New Roman"/>
          <w:sz w:val="24"/>
          <w:szCs w:val="24"/>
        </w:rPr>
      </w:pPr>
      <w:proofErr w:type="spellStart"/>
      <w:r w:rsidRPr="001B4295">
        <w:rPr>
          <w:rFonts w:ascii="Times New Roman" w:hAnsi="Times New Roman" w:cs="Times New Roman"/>
          <w:sz w:val="24"/>
          <w:szCs w:val="24"/>
        </w:rPr>
        <w:t>Hoang</w:t>
      </w:r>
      <w:proofErr w:type="spellEnd"/>
      <w:r w:rsidRPr="001B4295">
        <w:rPr>
          <w:rFonts w:ascii="Times New Roman" w:hAnsi="Times New Roman" w:cs="Times New Roman"/>
          <w:sz w:val="24"/>
          <w:szCs w:val="24"/>
        </w:rPr>
        <w:t xml:space="preserve">, D., </w:t>
      </w:r>
      <w:proofErr w:type="spellStart"/>
      <w:r w:rsidRPr="001B4295">
        <w:rPr>
          <w:rFonts w:ascii="Times New Roman" w:hAnsi="Times New Roman" w:cs="Times New Roman"/>
          <w:sz w:val="24"/>
          <w:szCs w:val="24"/>
        </w:rPr>
        <w:t>Gatzer</w:t>
      </w:r>
      <w:proofErr w:type="spellEnd"/>
      <w:r w:rsidRPr="001B4295">
        <w:rPr>
          <w:rFonts w:ascii="Times New Roman" w:hAnsi="Times New Roman" w:cs="Times New Roman"/>
          <w:sz w:val="24"/>
          <w:szCs w:val="24"/>
        </w:rPr>
        <w:t xml:space="preserve">, S. and </w:t>
      </w:r>
      <w:proofErr w:type="spellStart"/>
      <w:r w:rsidRPr="001B4295">
        <w:rPr>
          <w:rFonts w:ascii="Times New Roman" w:hAnsi="Times New Roman" w:cs="Times New Roman"/>
          <w:sz w:val="24"/>
          <w:szCs w:val="24"/>
        </w:rPr>
        <w:t>Ruckes</w:t>
      </w:r>
      <w:proofErr w:type="spellEnd"/>
      <w:r w:rsidRPr="001B4295">
        <w:rPr>
          <w:rFonts w:ascii="Times New Roman" w:hAnsi="Times New Roman" w:cs="Times New Roman"/>
          <w:sz w:val="24"/>
          <w:szCs w:val="24"/>
        </w:rPr>
        <w:t>, M., 2025. The economics of capital allocation in firms: Evidence from internal capital markets. </w:t>
      </w:r>
      <w:r w:rsidRPr="001B4295">
        <w:rPr>
          <w:rFonts w:ascii="Times New Roman" w:hAnsi="Times New Roman" w:cs="Times New Roman"/>
          <w:i/>
          <w:iCs/>
          <w:sz w:val="24"/>
          <w:szCs w:val="24"/>
        </w:rPr>
        <w:t>Management Science</w:t>
      </w:r>
      <w:r w:rsidRPr="001B4295">
        <w:rPr>
          <w:rFonts w:ascii="Times New Roman" w:hAnsi="Times New Roman" w:cs="Times New Roman"/>
          <w:sz w:val="24"/>
          <w:szCs w:val="24"/>
        </w:rPr>
        <w:t>, </w:t>
      </w:r>
      <w:r w:rsidRPr="001B4295">
        <w:rPr>
          <w:rFonts w:ascii="Times New Roman" w:hAnsi="Times New Roman" w:cs="Times New Roman"/>
          <w:i/>
          <w:iCs/>
          <w:sz w:val="24"/>
          <w:szCs w:val="24"/>
        </w:rPr>
        <w:t>71</w:t>
      </w:r>
      <w:r w:rsidRPr="001B4295">
        <w:rPr>
          <w:rFonts w:ascii="Times New Roman" w:hAnsi="Times New Roman" w:cs="Times New Roman"/>
          <w:sz w:val="24"/>
          <w:szCs w:val="24"/>
        </w:rPr>
        <w:t xml:space="preserve">(8), pp.6392-6425. Available at: </w:t>
      </w:r>
      <w:hyperlink r:id="rId19" w:history="1">
        <w:r w:rsidRPr="001B4295">
          <w:rPr>
            <w:rStyle w:val="Hyperlink"/>
            <w:rFonts w:ascii="Times New Roman" w:hAnsi="Times New Roman" w:cs="Times New Roman"/>
            <w:sz w:val="24"/>
            <w:szCs w:val="24"/>
          </w:rPr>
          <w:t>https://pubsonline.informs.org/doi/full/10.1287/mnsc.2021.02755</w:t>
        </w:r>
      </w:hyperlink>
    </w:p>
    <w:p w14:paraId="0E3E7E4A"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Huang, R. and Ritter, J.R., 2021. Corporate cash shortfalls and financing decisions. </w:t>
      </w:r>
      <w:r w:rsidRPr="001B4295">
        <w:rPr>
          <w:rFonts w:ascii="Times New Roman" w:hAnsi="Times New Roman" w:cs="Times New Roman"/>
          <w:i/>
          <w:iCs/>
          <w:sz w:val="24"/>
          <w:szCs w:val="24"/>
        </w:rPr>
        <w:t>The Review of Financial Studies</w:t>
      </w:r>
      <w:r w:rsidRPr="001B4295">
        <w:rPr>
          <w:rFonts w:ascii="Times New Roman" w:hAnsi="Times New Roman" w:cs="Times New Roman"/>
          <w:sz w:val="24"/>
          <w:szCs w:val="24"/>
        </w:rPr>
        <w:t>, </w:t>
      </w:r>
      <w:r w:rsidRPr="001B4295">
        <w:rPr>
          <w:rFonts w:ascii="Times New Roman" w:hAnsi="Times New Roman" w:cs="Times New Roman"/>
          <w:i/>
          <w:iCs/>
          <w:sz w:val="24"/>
          <w:szCs w:val="24"/>
        </w:rPr>
        <w:t>34</w:t>
      </w:r>
      <w:r w:rsidRPr="001B4295">
        <w:rPr>
          <w:rFonts w:ascii="Times New Roman" w:hAnsi="Times New Roman" w:cs="Times New Roman"/>
          <w:sz w:val="24"/>
          <w:szCs w:val="24"/>
        </w:rPr>
        <w:t xml:space="preserve">(4), pp.1789-1833. Available at: </w:t>
      </w:r>
      <w:hyperlink r:id="rId20" w:history="1">
        <w:r w:rsidRPr="001B4295">
          <w:rPr>
            <w:rStyle w:val="Hyperlink"/>
            <w:rFonts w:ascii="Times New Roman" w:hAnsi="Times New Roman" w:cs="Times New Roman"/>
            <w:sz w:val="24"/>
            <w:szCs w:val="24"/>
          </w:rPr>
          <w:t>https://academic.oup.com/rfs/article-abstract/34/4/1789/5897423</w:t>
        </w:r>
      </w:hyperlink>
    </w:p>
    <w:p w14:paraId="0E7FA74A" w14:textId="77777777" w:rsidR="001B4295" w:rsidRPr="001B4295" w:rsidRDefault="001B4295" w:rsidP="001B4295">
      <w:pPr>
        <w:spacing w:line="360" w:lineRule="auto"/>
        <w:jc w:val="both"/>
        <w:rPr>
          <w:rFonts w:ascii="Times New Roman" w:hAnsi="Times New Roman" w:cs="Times New Roman"/>
          <w:sz w:val="24"/>
          <w:szCs w:val="24"/>
        </w:rPr>
      </w:pPr>
      <w:proofErr w:type="spellStart"/>
      <w:r w:rsidRPr="001B4295">
        <w:rPr>
          <w:rFonts w:ascii="Times New Roman" w:hAnsi="Times New Roman" w:cs="Times New Roman"/>
          <w:sz w:val="24"/>
          <w:szCs w:val="24"/>
        </w:rPr>
        <w:t>Jaafar</w:t>
      </w:r>
      <w:proofErr w:type="spellEnd"/>
      <w:r w:rsidRPr="001B4295">
        <w:rPr>
          <w:rFonts w:ascii="Times New Roman" w:hAnsi="Times New Roman" w:cs="Times New Roman"/>
          <w:sz w:val="24"/>
          <w:szCs w:val="24"/>
        </w:rPr>
        <w:t>, S.B., Hassan, H. and Ismail, S., 2021. Cash flow statement as a tool to predict financial distress. </w:t>
      </w:r>
      <w:r w:rsidRPr="001B4295">
        <w:rPr>
          <w:rFonts w:ascii="Times New Roman" w:hAnsi="Times New Roman" w:cs="Times New Roman"/>
          <w:i/>
          <w:iCs/>
          <w:sz w:val="24"/>
          <w:szCs w:val="24"/>
        </w:rPr>
        <w:t>Available at SSRN 3838158</w:t>
      </w:r>
      <w:r w:rsidRPr="001B4295">
        <w:rPr>
          <w:rFonts w:ascii="Times New Roman" w:hAnsi="Times New Roman" w:cs="Times New Roman"/>
          <w:sz w:val="24"/>
          <w:szCs w:val="24"/>
        </w:rPr>
        <w:t xml:space="preserve">.  Available at: </w:t>
      </w:r>
      <w:hyperlink r:id="rId21" w:history="1">
        <w:r w:rsidRPr="001B4295">
          <w:rPr>
            <w:rStyle w:val="Hyperlink"/>
            <w:rFonts w:ascii="Times New Roman" w:hAnsi="Times New Roman" w:cs="Times New Roman"/>
            <w:sz w:val="24"/>
            <w:szCs w:val="24"/>
          </w:rPr>
          <w:t>https://papers.ssrn.com/sol3/papers.cfm?abstract_id=3838158</w:t>
        </w:r>
      </w:hyperlink>
    </w:p>
    <w:p w14:paraId="52418385" w14:textId="77777777" w:rsidR="001B4295" w:rsidRPr="001B4295" w:rsidRDefault="001B4295" w:rsidP="001B4295">
      <w:pPr>
        <w:spacing w:line="360" w:lineRule="auto"/>
        <w:jc w:val="both"/>
        <w:rPr>
          <w:rFonts w:ascii="Times New Roman" w:hAnsi="Times New Roman" w:cs="Times New Roman"/>
          <w:sz w:val="24"/>
          <w:szCs w:val="24"/>
        </w:rPr>
      </w:pPr>
      <w:proofErr w:type="spellStart"/>
      <w:r w:rsidRPr="001B4295">
        <w:rPr>
          <w:rFonts w:ascii="Times New Roman" w:hAnsi="Times New Roman" w:cs="Times New Roman"/>
          <w:sz w:val="24"/>
          <w:szCs w:val="24"/>
        </w:rPr>
        <w:t>Jerab</w:t>
      </w:r>
      <w:proofErr w:type="spellEnd"/>
      <w:r w:rsidRPr="001B4295">
        <w:rPr>
          <w:rFonts w:ascii="Times New Roman" w:hAnsi="Times New Roman" w:cs="Times New Roman"/>
          <w:sz w:val="24"/>
          <w:szCs w:val="24"/>
        </w:rPr>
        <w:t xml:space="preserve">, D. and </w:t>
      </w:r>
      <w:proofErr w:type="spellStart"/>
      <w:r w:rsidRPr="001B4295">
        <w:rPr>
          <w:rFonts w:ascii="Times New Roman" w:hAnsi="Times New Roman" w:cs="Times New Roman"/>
          <w:sz w:val="24"/>
          <w:szCs w:val="24"/>
        </w:rPr>
        <w:t>Mabrouk</w:t>
      </w:r>
      <w:proofErr w:type="spellEnd"/>
      <w:r w:rsidRPr="001B4295">
        <w:rPr>
          <w:rFonts w:ascii="Times New Roman" w:hAnsi="Times New Roman" w:cs="Times New Roman"/>
          <w:sz w:val="24"/>
          <w:szCs w:val="24"/>
        </w:rPr>
        <w:t xml:space="preserve">, T., 2023. Strategies for effective </w:t>
      </w:r>
      <w:proofErr w:type="spellStart"/>
      <w:r w:rsidRPr="001B4295">
        <w:rPr>
          <w:rFonts w:ascii="Times New Roman" w:hAnsi="Times New Roman" w:cs="Times New Roman"/>
          <w:sz w:val="24"/>
          <w:szCs w:val="24"/>
        </w:rPr>
        <w:t>organizational</w:t>
      </w:r>
      <w:proofErr w:type="spellEnd"/>
      <w:r w:rsidRPr="001B4295">
        <w:rPr>
          <w:rFonts w:ascii="Times New Roman" w:hAnsi="Times New Roman" w:cs="Times New Roman"/>
          <w:sz w:val="24"/>
          <w:szCs w:val="24"/>
        </w:rPr>
        <w:t xml:space="preserve"> restructuring: A comprehensive guide. </w:t>
      </w:r>
      <w:r w:rsidRPr="001B4295">
        <w:rPr>
          <w:rFonts w:ascii="Times New Roman" w:hAnsi="Times New Roman" w:cs="Times New Roman"/>
          <w:i/>
          <w:iCs/>
          <w:sz w:val="24"/>
          <w:szCs w:val="24"/>
        </w:rPr>
        <w:t>Available at SSRN 4584665</w:t>
      </w:r>
      <w:r w:rsidRPr="001B4295">
        <w:rPr>
          <w:rFonts w:ascii="Times New Roman" w:hAnsi="Times New Roman" w:cs="Times New Roman"/>
          <w:sz w:val="24"/>
          <w:szCs w:val="24"/>
        </w:rPr>
        <w:t xml:space="preserve">. Available at: </w:t>
      </w:r>
      <w:hyperlink r:id="rId22" w:history="1">
        <w:r w:rsidRPr="001B4295">
          <w:rPr>
            <w:rStyle w:val="Hyperlink"/>
            <w:rFonts w:ascii="Times New Roman" w:hAnsi="Times New Roman" w:cs="Times New Roman"/>
            <w:sz w:val="24"/>
            <w:szCs w:val="24"/>
          </w:rPr>
          <w:t>https://papers.ssrn.com/sol3/papers.cfm?abstract_id=4584665</w:t>
        </w:r>
      </w:hyperlink>
    </w:p>
    <w:p w14:paraId="365F63A7"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 xml:space="preserve">Ma, P., Bai, Y., Zhu, J., Wang, C. and </w:t>
      </w:r>
      <w:proofErr w:type="spellStart"/>
      <w:r w:rsidRPr="001B4295">
        <w:rPr>
          <w:rFonts w:ascii="Times New Roman" w:hAnsi="Times New Roman" w:cs="Times New Roman"/>
          <w:sz w:val="24"/>
          <w:szCs w:val="24"/>
        </w:rPr>
        <w:t>Peng</w:t>
      </w:r>
      <w:proofErr w:type="spellEnd"/>
      <w:r w:rsidRPr="001B4295">
        <w:rPr>
          <w:rFonts w:ascii="Times New Roman" w:hAnsi="Times New Roman" w:cs="Times New Roman"/>
          <w:sz w:val="24"/>
          <w:szCs w:val="24"/>
        </w:rPr>
        <w:t>, C., 2019. DSOD: DSO in dynamic environments. </w:t>
      </w:r>
      <w:r w:rsidRPr="001B4295">
        <w:rPr>
          <w:rFonts w:ascii="Times New Roman" w:hAnsi="Times New Roman" w:cs="Times New Roman"/>
          <w:i/>
          <w:iCs/>
          <w:sz w:val="24"/>
          <w:szCs w:val="24"/>
        </w:rPr>
        <w:t>IEEE Access</w:t>
      </w:r>
      <w:r w:rsidRPr="001B4295">
        <w:rPr>
          <w:rFonts w:ascii="Times New Roman" w:hAnsi="Times New Roman" w:cs="Times New Roman"/>
          <w:sz w:val="24"/>
          <w:szCs w:val="24"/>
        </w:rPr>
        <w:t>, </w:t>
      </w:r>
      <w:r w:rsidRPr="001B4295">
        <w:rPr>
          <w:rFonts w:ascii="Times New Roman" w:hAnsi="Times New Roman" w:cs="Times New Roman"/>
          <w:i/>
          <w:iCs/>
          <w:sz w:val="24"/>
          <w:szCs w:val="24"/>
        </w:rPr>
        <w:t>7</w:t>
      </w:r>
      <w:r w:rsidRPr="001B4295">
        <w:rPr>
          <w:rFonts w:ascii="Times New Roman" w:hAnsi="Times New Roman" w:cs="Times New Roman"/>
          <w:sz w:val="24"/>
          <w:szCs w:val="24"/>
        </w:rPr>
        <w:t xml:space="preserve">, pp.178300-178309. Available at: </w:t>
      </w:r>
      <w:hyperlink r:id="rId23" w:history="1">
        <w:r w:rsidRPr="001B4295">
          <w:rPr>
            <w:rStyle w:val="Hyperlink"/>
            <w:rFonts w:ascii="Times New Roman" w:hAnsi="Times New Roman" w:cs="Times New Roman"/>
            <w:sz w:val="24"/>
            <w:szCs w:val="24"/>
          </w:rPr>
          <w:t>https://ieeexplore.ieee.org/stamp/stamp.jsp?arnumber=8928492</w:t>
        </w:r>
      </w:hyperlink>
    </w:p>
    <w:p w14:paraId="047ECB73"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Motala, M.F., 2019. The G20–OECD contribution to a new global tax governance. </w:t>
      </w:r>
      <w:r w:rsidRPr="001B4295">
        <w:rPr>
          <w:rFonts w:ascii="Times New Roman" w:hAnsi="Times New Roman" w:cs="Times New Roman"/>
          <w:i/>
          <w:iCs/>
          <w:sz w:val="24"/>
          <w:szCs w:val="24"/>
        </w:rPr>
        <w:t>International Organisations Research Journal</w:t>
      </w:r>
      <w:r w:rsidRPr="001B4295">
        <w:rPr>
          <w:rFonts w:ascii="Times New Roman" w:hAnsi="Times New Roman" w:cs="Times New Roman"/>
          <w:sz w:val="24"/>
          <w:szCs w:val="24"/>
        </w:rPr>
        <w:t>, </w:t>
      </w:r>
      <w:r w:rsidRPr="001B4295">
        <w:rPr>
          <w:rFonts w:ascii="Times New Roman" w:hAnsi="Times New Roman" w:cs="Times New Roman"/>
          <w:i/>
          <w:iCs/>
          <w:sz w:val="24"/>
          <w:szCs w:val="24"/>
        </w:rPr>
        <w:t>14</w:t>
      </w:r>
      <w:r w:rsidRPr="001B4295">
        <w:rPr>
          <w:rFonts w:ascii="Times New Roman" w:hAnsi="Times New Roman" w:cs="Times New Roman"/>
          <w:sz w:val="24"/>
          <w:szCs w:val="24"/>
        </w:rPr>
        <w:t>(2), pp.61-93. Available at: 10.17323/1996-7845-2019-02-03.</w:t>
      </w:r>
    </w:p>
    <w:p w14:paraId="0F4F9CB9"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 xml:space="preserve">Palepu, K.G., Healy, P.M., Wright, S., Bradbury, M. and </w:t>
      </w:r>
      <w:proofErr w:type="spellStart"/>
      <w:r w:rsidRPr="001B4295">
        <w:rPr>
          <w:rFonts w:ascii="Times New Roman" w:hAnsi="Times New Roman" w:cs="Times New Roman"/>
          <w:sz w:val="24"/>
          <w:szCs w:val="24"/>
        </w:rPr>
        <w:t>Coulton</w:t>
      </w:r>
      <w:proofErr w:type="spellEnd"/>
      <w:r w:rsidRPr="001B4295">
        <w:rPr>
          <w:rFonts w:ascii="Times New Roman" w:hAnsi="Times New Roman" w:cs="Times New Roman"/>
          <w:sz w:val="24"/>
          <w:szCs w:val="24"/>
        </w:rPr>
        <w:t>, J., 2020. </w:t>
      </w:r>
      <w:r w:rsidRPr="001B4295">
        <w:rPr>
          <w:rFonts w:ascii="Times New Roman" w:hAnsi="Times New Roman" w:cs="Times New Roman"/>
          <w:i/>
          <w:iCs/>
          <w:sz w:val="24"/>
          <w:szCs w:val="24"/>
        </w:rPr>
        <w:t>Business analysis and valuation: Using financial statements</w:t>
      </w:r>
      <w:r w:rsidRPr="001B4295">
        <w:rPr>
          <w:rFonts w:ascii="Times New Roman" w:hAnsi="Times New Roman" w:cs="Times New Roman"/>
          <w:sz w:val="24"/>
          <w:szCs w:val="24"/>
        </w:rPr>
        <w:t xml:space="preserve">. </w:t>
      </w:r>
      <w:proofErr w:type="spellStart"/>
      <w:r w:rsidRPr="001B4295">
        <w:rPr>
          <w:rFonts w:ascii="Times New Roman" w:hAnsi="Times New Roman" w:cs="Times New Roman"/>
          <w:sz w:val="24"/>
          <w:szCs w:val="24"/>
        </w:rPr>
        <w:t>Cengage</w:t>
      </w:r>
      <w:proofErr w:type="spellEnd"/>
      <w:r w:rsidRPr="001B4295">
        <w:rPr>
          <w:rFonts w:ascii="Times New Roman" w:hAnsi="Times New Roman" w:cs="Times New Roman"/>
          <w:sz w:val="24"/>
          <w:szCs w:val="24"/>
        </w:rPr>
        <w:t xml:space="preserve"> AU. Available at: </w:t>
      </w:r>
      <w:hyperlink r:id="rId24" w:anchor="v=onepage&amp;q=importance%20of%20financial%20statement%20analysis&amp;f=false" w:history="1">
        <w:r w:rsidRPr="001B4295">
          <w:rPr>
            <w:rStyle w:val="Hyperlink"/>
            <w:rFonts w:ascii="Times New Roman" w:hAnsi="Times New Roman" w:cs="Times New Roman"/>
            <w:sz w:val="24"/>
            <w:szCs w:val="24"/>
          </w:rPr>
          <w:t>https://books.google.co.in/books?hl=en&amp;lr=&amp;id=IDT6DwAAQBAJ&amp;oi=fnd&amp;pg=PR13&amp;dq=importance+of+financial+statement+analysis&amp;ots=uKglaXsdgY&amp;sig=drFiY9MPsiC76NBQjnDxH2T3do0&amp;redir_esc=y#v=onepage&amp;q=importance%20of%20financial%20statement%20analysis&amp;f=false</w:t>
        </w:r>
      </w:hyperlink>
    </w:p>
    <w:p w14:paraId="7C3C238B" w14:textId="77777777" w:rsidR="001B4295" w:rsidRPr="001B4295" w:rsidRDefault="001B4295" w:rsidP="001B4295">
      <w:pPr>
        <w:spacing w:line="360" w:lineRule="auto"/>
        <w:jc w:val="both"/>
        <w:rPr>
          <w:rFonts w:ascii="Times New Roman" w:hAnsi="Times New Roman" w:cs="Times New Roman"/>
          <w:sz w:val="24"/>
          <w:szCs w:val="24"/>
        </w:rPr>
      </w:pPr>
      <w:r w:rsidRPr="001B4295">
        <w:rPr>
          <w:rFonts w:ascii="Times New Roman" w:hAnsi="Times New Roman" w:cs="Times New Roman"/>
          <w:sz w:val="24"/>
          <w:szCs w:val="24"/>
        </w:rPr>
        <w:t>Rashid, C.A., 2021. The efficiency of financial ratios analysis to evaluate company’s profitability. </w:t>
      </w:r>
      <w:r w:rsidRPr="001B4295">
        <w:rPr>
          <w:rFonts w:ascii="Times New Roman" w:hAnsi="Times New Roman" w:cs="Times New Roman"/>
          <w:i/>
          <w:iCs/>
          <w:sz w:val="24"/>
          <w:szCs w:val="24"/>
        </w:rPr>
        <w:t>Journal of Global Economics and Business</w:t>
      </w:r>
      <w:r w:rsidRPr="001B4295">
        <w:rPr>
          <w:rFonts w:ascii="Times New Roman" w:hAnsi="Times New Roman" w:cs="Times New Roman"/>
          <w:sz w:val="24"/>
          <w:szCs w:val="24"/>
        </w:rPr>
        <w:t>, </w:t>
      </w:r>
      <w:r w:rsidRPr="001B4295">
        <w:rPr>
          <w:rFonts w:ascii="Times New Roman" w:hAnsi="Times New Roman" w:cs="Times New Roman"/>
          <w:i/>
          <w:iCs/>
          <w:sz w:val="24"/>
          <w:szCs w:val="24"/>
        </w:rPr>
        <w:t>2</w:t>
      </w:r>
      <w:r w:rsidRPr="001B4295">
        <w:rPr>
          <w:rFonts w:ascii="Times New Roman" w:hAnsi="Times New Roman" w:cs="Times New Roman"/>
          <w:sz w:val="24"/>
          <w:szCs w:val="24"/>
        </w:rPr>
        <w:t xml:space="preserve">(4), pp.119-132. Available at: </w:t>
      </w:r>
      <w:hyperlink r:id="rId25" w:history="1">
        <w:r w:rsidRPr="001B4295">
          <w:rPr>
            <w:rStyle w:val="Hyperlink"/>
            <w:rFonts w:ascii="Times New Roman" w:hAnsi="Times New Roman" w:cs="Times New Roman"/>
            <w:sz w:val="24"/>
            <w:szCs w:val="24"/>
          </w:rPr>
          <w:t>https://www.researchgate.net/profile/Chnar-Rashid/publication/348686551_THE_EFFICIENCY_OF_FINANCIAL_RATIOS_ANALYSIS_TO_EVALUATE_COMPANY'S_PROFITABILITY/links/600ad9df92851c13fe2b24ba/THE-EFFICIENCY-OF-FINANCIAL-RATIOS-ANALYSIS-TO-EVALUATE-COMPANYS-PROFITABILITY.pdf</w:t>
        </w:r>
      </w:hyperlink>
    </w:p>
    <w:p w14:paraId="2A2C907F" w14:textId="77777777" w:rsidR="00237E55" w:rsidRPr="00877EE2" w:rsidRDefault="001B4295" w:rsidP="001B4295">
      <w:pPr>
        <w:spacing w:line="360" w:lineRule="auto"/>
        <w:jc w:val="both"/>
        <w:rPr>
          <w:rFonts w:ascii="Times New Roman" w:hAnsi="Times New Roman" w:cs="Times New Roman"/>
          <w:sz w:val="24"/>
          <w:szCs w:val="24"/>
          <w:lang w:val="en-GB"/>
        </w:rPr>
      </w:pPr>
      <w:r w:rsidRPr="001B4295">
        <w:rPr>
          <w:rFonts w:ascii="Times New Roman" w:hAnsi="Times New Roman" w:cs="Times New Roman"/>
          <w:sz w:val="24"/>
          <w:szCs w:val="24"/>
        </w:rPr>
        <w:t xml:space="preserve">Umar, M.A., 2023. Corporate Restructuring: A strategy for improving </w:t>
      </w:r>
      <w:proofErr w:type="spellStart"/>
      <w:r w:rsidRPr="001B4295">
        <w:rPr>
          <w:rFonts w:ascii="Times New Roman" w:hAnsi="Times New Roman" w:cs="Times New Roman"/>
          <w:sz w:val="24"/>
          <w:szCs w:val="24"/>
        </w:rPr>
        <w:t>organizational</w:t>
      </w:r>
      <w:proofErr w:type="spellEnd"/>
      <w:r w:rsidRPr="001B4295">
        <w:rPr>
          <w:rFonts w:ascii="Times New Roman" w:hAnsi="Times New Roman" w:cs="Times New Roman"/>
          <w:sz w:val="24"/>
          <w:szCs w:val="24"/>
        </w:rPr>
        <w:t xml:space="preserve"> performance. </w:t>
      </w:r>
      <w:r w:rsidRPr="001B4295">
        <w:rPr>
          <w:rFonts w:ascii="Times New Roman" w:hAnsi="Times New Roman" w:cs="Times New Roman"/>
          <w:i/>
          <w:iCs/>
          <w:sz w:val="24"/>
          <w:szCs w:val="24"/>
        </w:rPr>
        <w:t>International Journal of Strategic Decision Sciences (IJSDS)</w:t>
      </w:r>
      <w:r w:rsidRPr="001B4295">
        <w:rPr>
          <w:rFonts w:ascii="Times New Roman" w:hAnsi="Times New Roman" w:cs="Times New Roman"/>
          <w:sz w:val="24"/>
          <w:szCs w:val="24"/>
        </w:rPr>
        <w:t>, </w:t>
      </w:r>
      <w:r w:rsidRPr="001B4295">
        <w:rPr>
          <w:rFonts w:ascii="Times New Roman" w:hAnsi="Times New Roman" w:cs="Times New Roman"/>
          <w:i/>
          <w:iCs/>
          <w:sz w:val="24"/>
          <w:szCs w:val="24"/>
        </w:rPr>
        <w:t>14</w:t>
      </w:r>
      <w:r w:rsidRPr="001B4295">
        <w:rPr>
          <w:rFonts w:ascii="Times New Roman" w:hAnsi="Times New Roman" w:cs="Times New Roman"/>
          <w:sz w:val="24"/>
          <w:szCs w:val="24"/>
        </w:rPr>
        <w:t xml:space="preserve">(1), pp.1-11. Available at: </w:t>
      </w:r>
      <w:hyperlink r:id="rId26" w:history="1">
        <w:r w:rsidRPr="001B4295">
          <w:rPr>
            <w:rStyle w:val="Hyperlink"/>
            <w:rFonts w:ascii="Times New Roman" w:hAnsi="Times New Roman" w:cs="Times New Roman"/>
            <w:sz w:val="24"/>
            <w:szCs w:val="24"/>
          </w:rPr>
          <w:t>https://www.igi-global.com/gateway/article/full-text-pdf/319974&amp;riu=true</w:t>
        </w:r>
      </w:hyperlink>
    </w:p>
    <w:p w14:paraId="0AB01B80" w14:textId="77777777" w:rsidR="00237E55" w:rsidRPr="00877EE2" w:rsidRDefault="00237E55" w:rsidP="00881A34">
      <w:pPr>
        <w:spacing w:line="360" w:lineRule="auto"/>
        <w:jc w:val="both"/>
        <w:rPr>
          <w:rFonts w:ascii="Times New Roman" w:hAnsi="Times New Roman" w:cs="Times New Roman"/>
          <w:sz w:val="24"/>
          <w:szCs w:val="24"/>
          <w:lang w:val="en-GB"/>
        </w:rPr>
      </w:pPr>
    </w:p>
    <w:p w14:paraId="211BBC4B" w14:textId="77777777" w:rsidR="00CE08A5" w:rsidRPr="00877EE2" w:rsidRDefault="00CE08A5">
      <w:pPr>
        <w:rPr>
          <w:rFonts w:ascii="Times New Roman" w:hAnsi="Times New Roman" w:cs="Times New Roman"/>
          <w:sz w:val="24"/>
          <w:szCs w:val="24"/>
          <w:lang w:val="en-GB"/>
        </w:rPr>
      </w:pPr>
      <w:r w:rsidRPr="00877EE2">
        <w:rPr>
          <w:rFonts w:ascii="Times New Roman" w:hAnsi="Times New Roman" w:cs="Times New Roman"/>
          <w:sz w:val="24"/>
          <w:szCs w:val="24"/>
          <w:lang w:val="en-GB"/>
        </w:rPr>
        <w:br w:type="page"/>
      </w:r>
    </w:p>
    <w:p w14:paraId="401344F7" w14:textId="77777777" w:rsidR="00CE08A5" w:rsidRPr="00877EE2" w:rsidRDefault="00CE08A5" w:rsidP="00E0255D">
      <w:pPr>
        <w:pStyle w:val="Heading1"/>
        <w:rPr>
          <w:lang w:val="en-GB"/>
        </w:rPr>
      </w:pPr>
      <w:bookmarkStart w:id="21" w:name="_Toc214455554"/>
      <w:r w:rsidRPr="00877EE2">
        <w:rPr>
          <w:lang w:val="en-GB"/>
        </w:rPr>
        <w:t>Appendices</w:t>
      </w:r>
      <w:bookmarkEnd w:id="21"/>
      <w:r w:rsidRPr="00877EE2">
        <w:rPr>
          <w:lang w:val="en-GB"/>
        </w:rPr>
        <w:t xml:space="preserve"> </w:t>
      </w:r>
    </w:p>
    <w:p w14:paraId="3E4988A7" w14:textId="77777777" w:rsidR="00CE08A5" w:rsidRPr="00877EE2" w:rsidRDefault="00E0255D" w:rsidP="00E0255D">
      <w:pPr>
        <w:pStyle w:val="Heading2"/>
        <w:rPr>
          <w:lang w:val="en-GB"/>
        </w:rPr>
      </w:pPr>
      <w:bookmarkStart w:id="22" w:name="_Toc214455555"/>
      <w:r w:rsidRPr="00877EE2">
        <w:rPr>
          <w:lang w:val="en-GB"/>
        </w:rPr>
        <w:t xml:space="preserve">1. </w:t>
      </w:r>
      <w:r w:rsidR="00CE08A5" w:rsidRPr="00877EE2">
        <w:rPr>
          <w:lang w:val="en-GB"/>
        </w:rPr>
        <w:t>Ratio Calculation</w:t>
      </w:r>
      <w:bookmarkEnd w:id="22"/>
    </w:p>
    <w:p w14:paraId="260C4F1A"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Profitability Ratio</w:t>
      </w:r>
    </w:p>
    <w:tbl>
      <w:tblPr>
        <w:tblStyle w:val="TableGrid"/>
        <w:tblW w:w="0" w:type="auto"/>
        <w:tblLook w:val="04A0" w:firstRow="1" w:lastRow="0" w:firstColumn="1" w:lastColumn="0" w:noHBand="0" w:noVBand="1"/>
      </w:tblPr>
      <w:tblGrid>
        <w:gridCol w:w="1714"/>
        <w:gridCol w:w="1509"/>
        <w:gridCol w:w="1511"/>
        <w:gridCol w:w="1502"/>
        <w:gridCol w:w="1503"/>
        <w:gridCol w:w="1503"/>
      </w:tblGrid>
      <w:tr w:rsidR="00CE08A5" w:rsidRPr="00877EE2" w14:paraId="23B5AF4E" w14:textId="77777777" w:rsidTr="00523196">
        <w:tc>
          <w:tcPr>
            <w:tcW w:w="1714" w:type="dxa"/>
          </w:tcPr>
          <w:p w14:paraId="41436985"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Ratio</w:t>
            </w:r>
          </w:p>
        </w:tc>
        <w:tc>
          <w:tcPr>
            <w:tcW w:w="1509" w:type="dxa"/>
          </w:tcPr>
          <w:p w14:paraId="5233DB52"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2024</w:t>
            </w:r>
          </w:p>
        </w:tc>
        <w:tc>
          <w:tcPr>
            <w:tcW w:w="1511" w:type="dxa"/>
          </w:tcPr>
          <w:p w14:paraId="2A71C7FC"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2023</w:t>
            </w:r>
          </w:p>
        </w:tc>
        <w:tc>
          <w:tcPr>
            <w:tcW w:w="1502" w:type="dxa"/>
          </w:tcPr>
          <w:p w14:paraId="6A11D74D"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2022</w:t>
            </w:r>
          </w:p>
        </w:tc>
        <w:tc>
          <w:tcPr>
            <w:tcW w:w="1503" w:type="dxa"/>
          </w:tcPr>
          <w:p w14:paraId="497D8D1F"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2021</w:t>
            </w:r>
          </w:p>
        </w:tc>
        <w:tc>
          <w:tcPr>
            <w:tcW w:w="1503" w:type="dxa"/>
          </w:tcPr>
          <w:p w14:paraId="709BCA88"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2020</w:t>
            </w:r>
          </w:p>
        </w:tc>
      </w:tr>
      <w:tr w:rsidR="00CE08A5" w:rsidRPr="00877EE2" w14:paraId="09D81A80" w14:textId="77777777" w:rsidTr="00523196">
        <w:tc>
          <w:tcPr>
            <w:tcW w:w="1714" w:type="dxa"/>
          </w:tcPr>
          <w:p w14:paraId="0C130C65"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Gross Profit Margin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 xml:space="preserve">GrossProfit </m:t>
                  </m:r>
                </m:num>
                <m:den>
                  <m:r>
                    <w:rPr>
                      <w:rFonts w:ascii="Cambria Math" w:hAnsi="Cambria Math" w:cs="Times New Roman"/>
                      <w:sz w:val="24"/>
                      <w:szCs w:val="24"/>
                      <w:lang w:val="en-GB"/>
                    </w:rPr>
                    <m:t xml:space="preserve">Net Sales </m:t>
                  </m:r>
                </m:den>
              </m:f>
            </m:oMath>
            <w:r w:rsidRPr="00877EE2">
              <w:rPr>
                <w:rFonts w:ascii="Times New Roman" w:eastAsiaTheme="minorEastAsia" w:hAnsi="Times New Roman" w:cs="Times New Roman"/>
                <w:sz w:val="24"/>
                <w:szCs w:val="24"/>
                <w:lang w:val="en-GB"/>
              </w:rPr>
              <w:t xml:space="preserve"> ×100</w:t>
            </w:r>
          </w:p>
        </w:tc>
        <w:tc>
          <w:tcPr>
            <w:tcW w:w="1509" w:type="dxa"/>
          </w:tcPr>
          <w:p w14:paraId="51CF35FD" w14:textId="77777777" w:rsidR="00523196" w:rsidRPr="00877EE2" w:rsidRDefault="00A64F44" w:rsidP="00881A34">
            <w:pPr>
              <w:spacing w:line="360" w:lineRule="auto"/>
              <w:jc w:val="both"/>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113,994</m:t>
                  </m:r>
                </m:num>
                <m:den>
                  <m:r>
                    <w:rPr>
                      <w:rFonts w:ascii="Cambria Math" w:hAnsi="Cambria Math" w:cs="Times New Roman"/>
                      <w:sz w:val="24"/>
                      <w:szCs w:val="24"/>
                      <w:lang w:val="en-GB"/>
                    </w:rPr>
                    <m:t>394,879</m:t>
                  </m:r>
                </m:den>
              </m:f>
            </m:oMath>
            <w:r w:rsidR="00CE08A5" w:rsidRPr="00877EE2">
              <w:rPr>
                <w:rFonts w:ascii="Times New Roman" w:eastAsiaTheme="minorEastAsia" w:hAnsi="Times New Roman" w:cs="Times New Roman"/>
                <w:sz w:val="24"/>
                <w:szCs w:val="24"/>
                <w:lang w:val="en-GB"/>
              </w:rPr>
              <w:t xml:space="preserve">×100 = </w:t>
            </w:r>
          </w:p>
          <w:p w14:paraId="155706B3" w14:textId="77777777" w:rsidR="00523196" w:rsidRPr="00877EE2" w:rsidRDefault="00523196" w:rsidP="00881A34">
            <w:pPr>
              <w:spacing w:line="360" w:lineRule="auto"/>
              <w:jc w:val="both"/>
              <w:rPr>
                <w:rFonts w:ascii="Times New Roman" w:eastAsiaTheme="minorEastAsia" w:hAnsi="Times New Roman" w:cs="Times New Roman"/>
                <w:sz w:val="24"/>
                <w:szCs w:val="24"/>
                <w:lang w:val="en-GB"/>
              </w:rPr>
            </w:pPr>
          </w:p>
          <w:p w14:paraId="46A8C80F"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eastAsiaTheme="minorEastAsia" w:hAnsi="Times New Roman" w:cs="Times New Roman"/>
                <w:sz w:val="24"/>
                <w:szCs w:val="24"/>
                <w:lang w:val="en-GB"/>
              </w:rPr>
              <w:t xml:space="preserve">28.87% </w:t>
            </w:r>
          </w:p>
        </w:tc>
        <w:tc>
          <w:tcPr>
            <w:tcW w:w="1511" w:type="dxa"/>
          </w:tcPr>
          <w:p w14:paraId="540FC8C8" w14:textId="77777777" w:rsidR="00523196" w:rsidRPr="00877EE2" w:rsidRDefault="00A64F44" w:rsidP="00523196">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97,560</m:t>
                  </m:r>
                </m:num>
                <m:den>
                  <m:r>
                    <w:rPr>
                      <w:rFonts w:ascii="Cambria Math" w:hAnsi="Cambria Math" w:cs="Times New Roman"/>
                      <w:sz w:val="24"/>
                      <w:szCs w:val="24"/>
                      <w:lang w:val="en-GB"/>
                    </w:rPr>
                    <m:t>420,457</m:t>
                  </m:r>
                </m:den>
              </m:f>
            </m:oMath>
            <w:r w:rsidR="00CE08A5" w:rsidRPr="00877EE2">
              <w:rPr>
                <w:rFonts w:ascii="Times New Roman" w:eastAsiaTheme="minorEastAsia" w:hAnsi="Times New Roman" w:cs="Times New Roman"/>
                <w:sz w:val="24"/>
                <w:szCs w:val="24"/>
                <w:lang w:val="en-GB"/>
              </w:rPr>
              <w:t xml:space="preserve">×100 = </w:t>
            </w:r>
          </w:p>
          <w:p w14:paraId="7C96789E" w14:textId="77777777" w:rsidR="00523196" w:rsidRPr="00877EE2" w:rsidRDefault="00523196" w:rsidP="00523196">
            <w:pPr>
              <w:rPr>
                <w:rFonts w:ascii="Times New Roman" w:eastAsiaTheme="minorEastAsia" w:hAnsi="Times New Roman" w:cs="Times New Roman"/>
                <w:sz w:val="24"/>
                <w:szCs w:val="24"/>
                <w:lang w:val="en-GB"/>
              </w:rPr>
            </w:pPr>
          </w:p>
          <w:p w14:paraId="339E4F0B" w14:textId="77777777" w:rsidR="00CE08A5" w:rsidRPr="00877EE2" w:rsidRDefault="00523196" w:rsidP="00523196">
            <w:pPr>
              <w:rPr>
                <w:lang w:val="en-GB"/>
              </w:rPr>
            </w:pPr>
            <w:r w:rsidRPr="00877EE2">
              <w:rPr>
                <w:rFonts w:ascii="Times New Roman" w:eastAsiaTheme="minorEastAsia" w:hAnsi="Times New Roman" w:cs="Times New Roman"/>
                <w:sz w:val="24"/>
                <w:szCs w:val="24"/>
                <w:lang w:val="en-GB"/>
              </w:rPr>
              <w:t>23.20%</w:t>
            </w:r>
            <w:r w:rsidR="00CE08A5" w:rsidRPr="00877EE2">
              <w:rPr>
                <w:rFonts w:ascii="Times New Roman" w:eastAsiaTheme="minorEastAsia" w:hAnsi="Times New Roman" w:cs="Times New Roman"/>
                <w:sz w:val="24"/>
                <w:szCs w:val="24"/>
                <w:lang w:val="en-GB"/>
              </w:rPr>
              <w:t xml:space="preserve"> </w:t>
            </w:r>
          </w:p>
        </w:tc>
        <w:tc>
          <w:tcPr>
            <w:tcW w:w="1502" w:type="dxa"/>
          </w:tcPr>
          <w:p w14:paraId="5B4B2665" w14:textId="77777777" w:rsidR="00523196" w:rsidRPr="00877EE2" w:rsidRDefault="00A64F44" w:rsidP="00523196">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152,292</m:t>
                  </m:r>
                </m:num>
                <m:den>
                  <m:r>
                    <w:rPr>
                      <w:rFonts w:ascii="Cambria Math" w:hAnsi="Cambria Math" w:cs="Times New Roman"/>
                      <w:sz w:val="24"/>
                      <w:szCs w:val="24"/>
                      <w:lang w:val="en-GB"/>
                    </w:rPr>
                    <m:t>542,751</m:t>
                  </m:r>
                </m:den>
              </m:f>
            </m:oMath>
            <w:r w:rsidR="00CE08A5" w:rsidRPr="00877EE2">
              <w:rPr>
                <w:rFonts w:ascii="Times New Roman" w:eastAsiaTheme="minorEastAsia" w:hAnsi="Times New Roman" w:cs="Times New Roman"/>
                <w:sz w:val="24"/>
                <w:szCs w:val="24"/>
                <w:lang w:val="en-GB"/>
              </w:rPr>
              <w:t>×100 =</w:t>
            </w:r>
          </w:p>
          <w:p w14:paraId="6D0CE2E1" w14:textId="77777777" w:rsidR="00523196" w:rsidRPr="00877EE2" w:rsidRDefault="00523196" w:rsidP="00523196">
            <w:pPr>
              <w:rPr>
                <w:rFonts w:ascii="Times New Roman" w:eastAsiaTheme="minorEastAsia" w:hAnsi="Times New Roman" w:cs="Times New Roman"/>
                <w:sz w:val="24"/>
                <w:szCs w:val="24"/>
                <w:lang w:val="en-GB"/>
              </w:rPr>
            </w:pPr>
          </w:p>
          <w:p w14:paraId="2268CB0D" w14:textId="77777777" w:rsidR="00CE08A5" w:rsidRPr="00877EE2" w:rsidRDefault="00CE08A5" w:rsidP="00523196">
            <w:pPr>
              <w:rPr>
                <w:lang w:val="en-GB"/>
              </w:rPr>
            </w:pPr>
            <w:r w:rsidRPr="00877EE2">
              <w:rPr>
                <w:rFonts w:ascii="Times New Roman" w:eastAsiaTheme="minorEastAsia" w:hAnsi="Times New Roman" w:cs="Times New Roman"/>
                <w:sz w:val="24"/>
                <w:szCs w:val="24"/>
                <w:lang w:val="en-GB"/>
              </w:rPr>
              <w:t xml:space="preserve"> </w:t>
            </w:r>
            <w:r w:rsidR="00523196" w:rsidRPr="00877EE2">
              <w:rPr>
                <w:rFonts w:ascii="Times New Roman" w:eastAsiaTheme="minorEastAsia" w:hAnsi="Times New Roman" w:cs="Times New Roman"/>
                <w:sz w:val="24"/>
                <w:szCs w:val="24"/>
                <w:lang w:val="en-GB"/>
              </w:rPr>
              <w:t>28.06%</w:t>
            </w:r>
            <w:r w:rsidRPr="00877EE2">
              <w:rPr>
                <w:rFonts w:ascii="Times New Roman" w:eastAsiaTheme="minorEastAsia" w:hAnsi="Times New Roman" w:cs="Times New Roman"/>
                <w:sz w:val="24"/>
                <w:szCs w:val="24"/>
                <w:lang w:val="en-GB"/>
              </w:rPr>
              <w:t xml:space="preserve"> </w:t>
            </w:r>
          </w:p>
        </w:tc>
        <w:tc>
          <w:tcPr>
            <w:tcW w:w="1503" w:type="dxa"/>
          </w:tcPr>
          <w:p w14:paraId="29426832" w14:textId="77777777" w:rsidR="00523196" w:rsidRPr="00877EE2" w:rsidRDefault="00A64F44" w:rsidP="00523196">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173,016</m:t>
                  </m:r>
                </m:num>
                <m:den>
                  <m:r>
                    <w:rPr>
                      <w:rFonts w:ascii="Cambria Math" w:hAnsi="Cambria Math" w:cs="Times New Roman"/>
                      <w:sz w:val="24"/>
                      <w:szCs w:val="24"/>
                      <w:lang w:val="en-GB"/>
                    </w:rPr>
                    <m:t>601,602</m:t>
                  </m:r>
                </m:den>
              </m:f>
            </m:oMath>
            <w:r w:rsidR="00CE08A5" w:rsidRPr="00877EE2">
              <w:rPr>
                <w:rFonts w:ascii="Times New Roman" w:eastAsiaTheme="minorEastAsia" w:hAnsi="Times New Roman" w:cs="Times New Roman"/>
                <w:sz w:val="24"/>
                <w:szCs w:val="24"/>
                <w:lang w:val="en-GB"/>
              </w:rPr>
              <w:t xml:space="preserve">×100 = </w:t>
            </w:r>
          </w:p>
          <w:p w14:paraId="73A42206" w14:textId="77777777" w:rsidR="00523196" w:rsidRPr="00877EE2" w:rsidRDefault="00523196" w:rsidP="00523196">
            <w:pPr>
              <w:rPr>
                <w:rFonts w:ascii="Times New Roman" w:eastAsiaTheme="minorEastAsia" w:hAnsi="Times New Roman" w:cs="Times New Roman"/>
                <w:sz w:val="24"/>
                <w:szCs w:val="24"/>
                <w:lang w:val="en-GB"/>
              </w:rPr>
            </w:pPr>
          </w:p>
          <w:p w14:paraId="7ABA348A" w14:textId="77777777" w:rsidR="00CE08A5" w:rsidRPr="00877EE2" w:rsidRDefault="00523196" w:rsidP="00523196">
            <w:pPr>
              <w:rPr>
                <w:lang w:val="en-GB"/>
              </w:rPr>
            </w:pPr>
            <w:r w:rsidRPr="00877EE2">
              <w:rPr>
                <w:rFonts w:ascii="Times New Roman" w:eastAsiaTheme="minorEastAsia" w:hAnsi="Times New Roman" w:cs="Times New Roman"/>
                <w:sz w:val="24"/>
                <w:szCs w:val="24"/>
                <w:lang w:val="en-GB"/>
              </w:rPr>
              <w:t>28.76%</w:t>
            </w:r>
          </w:p>
        </w:tc>
        <w:tc>
          <w:tcPr>
            <w:tcW w:w="1503" w:type="dxa"/>
          </w:tcPr>
          <w:p w14:paraId="547E95C8" w14:textId="77777777" w:rsidR="00523196" w:rsidRPr="00877EE2" w:rsidRDefault="00A64F44">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176,256</m:t>
                  </m:r>
                </m:num>
                <m:den>
                  <m:r>
                    <w:rPr>
                      <w:rFonts w:ascii="Cambria Math" w:hAnsi="Cambria Math" w:cs="Times New Roman"/>
                      <w:sz w:val="24"/>
                      <w:szCs w:val="24"/>
                      <w:lang w:val="en-GB"/>
                    </w:rPr>
                    <m:t>614,680</m:t>
                  </m:r>
                </m:den>
              </m:f>
            </m:oMath>
            <w:r w:rsidR="00CE08A5" w:rsidRPr="00877EE2">
              <w:rPr>
                <w:rFonts w:ascii="Times New Roman" w:eastAsiaTheme="minorEastAsia" w:hAnsi="Times New Roman" w:cs="Times New Roman"/>
                <w:sz w:val="24"/>
                <w:szCs w:val="24"/>
                <w:lang w:val="en-GB"/>
              </w:rPr>
              <w:t xml:space="preserve">×100 = </w:t>
            </w:r>
          </w:p>
          <w:p w14:paraId="1744F90B" w14:textId="77777777" w:rsidR="00523196" w:rsidRPr="00877EE2" w:rsidRDefault="00523196">
            <w:pPr>
              <w:rPr>
                <w:rFonts w:ascii="Times New Roman" w:eastAsiaTheme="minorEastAsia" w:hAnsi="Times New Roman" w:cs="Times New Roman"/>
                <w:sz w:val="24"/>
                <w:szCs w:val="24"/>
                <w:lang w:val="en-GB"/>
              </w:rPr>
            </w:pPr>
          </w:p>
          <w:p w14:paraId="4C12D73D" w14:textId="77777777" w:rsidR="00CE08A5" w:rsidRPr="00877EE2" w:rsidRDefault="00523196">
            <w:pPr>
              <w:rPr>
                <w:lang w:val="en-GB"/>
              </w:rPr>
            </w:pPr>
            <w:r w:rsidRPr="00877EE2">
              <w:rPr>
                <w:rFonts w:ascii="Times New Roman" w:eastAsiaTheme="minorEastAsia" w:hAnsi="Times New Roman" w:cs="Times New Roman"/>
                <w:sz w:val="24"/>
                <w:szCs w:val="24"/>
                <w:lang w:val="en-GB"/>
              </w:rPr>
              <w:t>28.67%</w:t>
            </w:r>
          </w:p>
        </w:tc>
      </w:tr>
      <w:tr w:rsidR="00523196" w:rsidRPr="00877EE2" w14:paraId="69867466" w14:textId="77777777" w:rsidTr="00523196">
        <w:tc>
          <w:tcPr>
            <w:tcW w:w="1714" w:type="dxa"/>
          </w:tcPr>
          <w:p w14:paraId="427D6416" w14:textId="77777777" w:rsidR="00523196" w:rsidRPr="00877EE2" w:rsidRDefault="00523196" w:rsidP="00523196">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Net Profit Margin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 xml:space="preserve">Net Profit </m:t>
                  </m:r>
                </m:num>
                <m:den>
                  <m:r>
                    <w:rPr>
                      <w:rFonts w:ascii="Cambria Math" w:hAnsi="Cambria Math" w:cs="Times New Roman"/>
                      <w:sz w:val="24"/>
                      <w:szCs w:val="24"/>
                      <w:lang w:val="en-GB"/>
                    </w:rPr>
                    <m:t xml:space="preserve">Net Sales </m:t>
                  </m:r>
                </m:den>
              </m:f>
            </m:oMath>
            <w:r w:rsidRPr="00877EE2">
              <w:rPr>
                <w:rFonts w:ascii="Times New Roman" w:eastAsiaTheme="minorEastAsia" w:hAnsi="Times New Roman" w:cs="Times New Roman"/>
                <w:sz w:val="24"/>
                <w:szCs w:val="24"/>
                <w:lang w:val="en-GB"/>
              </w:rPr>
              <w:t xml:space="preserve"> ×100</w:t>
            </w:r>
          </w:p>
        </w:tc>
        <w:tc>
          <w:tcPr>
            <w:tcW w:w="1509" w:type="dxa"/>
          </w:tcPr>
          <w:p w14:paraId="5F7573AF" w14:textId="77777777" w:rsidR="00523196" w:rsidRPr="00877EE2" w:rsidRDefault="00A64F44" w:rsidP="0062643F">
            <w:pPr>
              <w:spacing w:line="360" w:lineRule="auto"/>
              <w:jc w:val="both"/>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24,029</m:t>
                  </m:r>
                </m:num>
                <m:den>
                  <m:r>
                    <w:rPr>
                      <w:rFonts w:ascii="Cambria Math" w:hAnsi="Cambria Math" w:cs="Times New Roman"/>
                      <w:sz w:val="24"/>
                      <w:szCs w:val="24"/>
                      <w:lang w:val="en-GB"/>
                    </w:rPr>
                    <m:t>394,879</m:t>
                  </m:r>
                </m:den>
              </m:f>
            </m:oMath>
            <w:r w:rsidR="00523196" w:rsidRPr="00877EE2">
              <w:rPr>
                <w:rFonts w:ascii="Times New Roman" w:eastAsiaTheme="minorEastAsia" w:hAnsi="Times New Roman" w:cs="Times New Roman"/>
                <w:sz w:val="24"/>
                <w:szCs w:val="24"/>
                <w:lang w:val="en-GB"/>
              </w:rPr>
              <w:t xml:space="preserve">×100 = </w:t>
            </w:r>
          </w:p>
          <w:p w14:paraId="37E3FCA8" w14:textId="77777777" w:rsidR="00523196" w:rsidRPr="00877EE2" w:rsidRDefault="00523196" w:rsidP="0062643F">
            <w:pPr>
              <w:spacing w:line="360" w:lineRule="auto"/>
              <w:jc w:val="both"/>
              <w:rPr>
                <w:rFonts w:ascii="Times New Roman" w:eastAsiaTheme="minorEastAsia" w:hAnsi="Times New Roman" w:cs="Times New Roman"/>
                <w:sz w:val="24"/>
                <w:szCs w:val="24"/>
                <w:lang w:val="en-GB"/>
              </w:rPr>
            </w:pPr>
          </w:p>
          <w:p w14:paraId="40608B14" w14:textId="77777777" w:rsidR="00523196" w:rsidRPr="00877EE2" w:rsidRDefault="00523196" w:rsidP="0062643F">
            <w:pPr>
              <w:spacing w:line="360" w:lineRule="auto"/>
              <w:jc w:val="both"/>
              <w:rPr>
                <w:rFonts w:ascii="Times New Roman" w:hAnsi="Times New Roman" w:cs="Times New Roman"/>
                <w:sz w:val="24"/>
                <w:szCs w:val="24"/>
                <w:lang w:val="en-GB"/>
              </w:rPr>
            </w:pPr>
            <w:r w:rsidRPr="00877EE2">
              <w:rPr>
                <w:rFonts w:ascii="Times New Roman" w:eastAsiaTheme="minorEastAsia" w:hAnsi="Times New Roman" w:cs="Times New Roman"/>
                <w:sz w:val="24"/>
                <w:szCs w:val="24"/>
                <w:lang w:val="en-GB"/>
              </w:rPr>
              <w:t>–6.09%</w:t>
            </w:r>
          </w:p>
        </w:tc>
        <w:tc>
          <w:tcPr>
            <w:tcW w:w="1511" w:type="dxa"/>
          </w:tcPr>
          <w:p w14:paraId="52C45422"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(98,238)</m:t>
                  </m:r>
                </m:num>
                <m:den>
                  <m:r>
                    <w:rPr>
                      <w:rFonts w:ascii="Cambria Math" w:hAnsi="Cambria Math" w:cs="Times New Roman"/>
                      <w:sz w:val="24"/>
                      <w:szCs w:val="24"/>
                      <w:lang w:val="en-GB"/>
                    </w:rPr>
                    <m:t>420,457</m:t>
                  </m:r>
                </m:den>
              </m:f>
            </m:oMath>
            <w:r w:rsidR="00523196" w:rsidRPr="00877EE2">
              <w:rPr>
                <w:rFonts w:ascii="Times New Roman" w:eastAsiaTheme="minorEastAsia" w:hAnsi="Times New Roman" w:cs="Times New Roman"/>
                <w:sz w:val="24"/>
                <w:szCs w:val="24"/>
                <w:lang w:val="en-GB"/>
              </w:rPr>
              <w:t xml:space="preserve">×100 = </w:t>
            </w:r>
          </w:p>
          <w:p w14:paraId="50DC7C56" w14:textId="77777777" w:rsidR="00523196" w:rsidRPr="00877EE2" w:rsidRDefault="00523196" w:rsidP="0062643F">
            <w:pPr>
              <w:rPr>
                <w:rFonts w:ascii="Times New Roman" w:eastAsiaTheme="minorEastAsia" w:hAnsi="Times New Roman" w:cs="Times New Roman"/>
                <w:sz w:val="24"/>
                <w:szCs w:val="24"/>
                <w:lang w:val="en-GB"/>
              </w:rPr>
            </w:pPr>
          </w:p>
          <w:p w14:paraId="359ABCDE"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–23.36%</w:t>
            </w:r>
          </w:p>
        </w:tc>
        <w:tc>
          <w:tcPr>
            <w:tcW w:w="1502" w:type="dxa"/>
          </w:tcPr>
          <w:p w14:paraId="0C4C7162"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407</m:t>
                  </m:r>
                </m:num>
                <m:den>
                  <m:r>
                    <w:rPr>
                      <w:rFonts w:ascii="Cambria Math" w:hAnsi="Cambria Math" w:cs="Times New Roman"/>
                      <w:sz w:val="24"/>
                      <w:szCs w:val="24"/>
                      <w:lang w:val="en-GB"/>
                    </w:rPr>
                    <m:t>542,751</m:t>
                  </m:r>
                </m:den>
              </m:f>
            </m:oMath>
            <w:r w:rsidR="00523196" w:rsidRPr="00877EE2">
              <w:rPr>
                <w:rFonts w:ascii="Times New Roman" w:eastAsiaTheme="minorEastAsia" w:hAnsi="Times New Roman" w:cs="Times New Roman"/>
                <w:sz w:val="24"/>
                <w:szCs w:val="24"/>
                <w:lang w:val="en-GB"/>
              </w:rPr>
              <w:t>×100 =</w:t>
            </w:r>
          </w:p>
          <w:p w14:paraId="6BA6832F" w14:textId="77777777" w:rsidR="00523196" w:rsidRPr="00877EE2" w:rsidRDefault="00523196" w:rsidP="0062643F">
            <w:pPr>
              <w:rPr>
                <w:rFonts w:ascii="Times New Roman" w:eastAsiaTheme="minorEastAsia" w:hAnsi="Times New Roman" w:cs="Times New Roman"/>
                <w:sz w:val="24"/>
                <w:szCs w:val="24"/>
                <w:lang w:val="en-GB"/>
              </w:rPr>
            </w:pPr>
          </w:p>
          <w:p w14:paraId="6E037FF5"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 xml:space="preserve"> 0.07%</w:t>
            </w:r>
          </w:p>
        </w:tc>
        <w:tc>
          <w:tcPr>
            <w:tcW w:w="1503" w:type="dxa"/>
          </w:tcPr>
          <w:p w14:paraId="1750CAC6"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5,301</m:t>
                  </m:r>
                </m:num>
                <m:den>
                  <m:r>
                    <w:rPr>
                      <w:rFonts w:ascii="Cambria Math" w:hAnsi="Cambria Math" w:cs="Times New Roman"/>
                      <w:sz w:val="24"/>
                      <w:szCs w:val="24"/>
                      <w:lang w:val="en-GB"/>
                    </w:rPr>
                    <m:t>601,602</m:t>
                  </m:r>
                </m:den>
              </m:f>
            </m:oMath>
            <w:r w:rsidR="00523196" w:rsidRPr="00877EE2">
              <w:rPr>
                <w:rFonts w:ascii="Times New Roman" w:eastAsiaTheme="minorEastAsia" w:hAnsi="Times New Roman" w:cs="Times New Roman"/>
                <w:sz w:val="24"/>
                <w:szCs w:val="24"/>
                <w:lang w:val="en-GB"/>
              </w:rPr>
              <w:t xml:space="preserve">×100 = </w:t>
            </w:r>
          </w:p>
          <w:p w14:paraId="117FCFA5" w14:textId="77777777" w:rsidR="00523196" w:rsidRPr="00877EE2" w:rsidRDefault="00523196" w:rsidP="0062643F">
            <w:pPr>
              <w:rPr>
                <w:rFonts w:ascii="Times New Roman" w:eastAsiaTheme="minorEastAsia" w:hAnsi="Times New Roman" w:cs="Times New Roman"/>
                <w:sz w:val="24"/>
                <w:szCs w:val="24"/>
                <w:lang w:val="en-GB"/>
              </w:rPr>
            </w:pPr>
          </w:p>
          <w:p w14:paraId="6F4DABE1" w14:textId="77777777" w:rsidR="00523196" w:rsidRPr="00877EE2" w:rsidRDefault="00523196" w:rsidP="00523196">
            <w:pPr>
              <w:rPr>
                <w:lang w:val="en-GB"/>
              </w:rPr>
            </w:pPr>
            <w:r w:rsidRPr="00877EE2">
              <w:rPr>
                <w:lang w:val="en-GB"/>
              </w:rPr>
              <w:t>0.88%</w:t>
            </w:r>
          </w:p>
        </w:tc>
        <w:tc>
          <w:tcPr>
            <w:tcW w:w="1503" w:type="dxa"/>
          </w:tcPr>
          <w:p w14:paraId="11C7C6C2"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38,572</m:t>
                  </m:r>
                </m:num>
                <m:den>
                  <m:r>
                    <w:rPr>
                      <w:rFonts w:ascii="Cambria Math" w:hAnsi="Cambria Math" w:cs="Times New Roman"/>
                      <w:sz w:val="24"/>
                      <w:szCs w:val="24"/>
                      <w:lang w:val="en-GB"/>
                    </w:rPr>
                    <m:t>614,680</m:t>
                  </m:r>
                </m:den>
              </m:f>
            </m:oMath>
            <w:r w:rsidR="00523196" w:rsidRPr="00877EE2">
              <w:rPr>
                <w:rFonts w:ascii="Times New Roman" w:eastAsiaTheme="minorEastAsia" w:hAnsi="Times New Roman" w:cs="Times New Roman"/>
                <w:sz w:val="24"/>
                <w:szCs w:val="24"/>
                <w:lang w:val="en-GB"/>
              </w:rPr>
              <w:t xml:space="preserve">×100 = </w:t>
            </w:r>
          </w:p>
          <w:p w14:paraId="3820C93C" w14:textId="77777777" w:rsidR="00523196" w:rsidRPr="00877EE2" w:rsidRDefault="00523196" w:rsidP="0062643F">
            <w:pPr>
              <w:rPr>
                <w:rFonts w:ascii="Times New Roman" w:eastAsiaTheme="minorEastAsia" w:hAnsi="Times New Roman" w:cs="Times New Roman"/>
                <w:sz w:val="24"/>
                <w:szCs w:val="24"/>
                <w:lang w:val="en-GB"/>
              </w:rPr>
            </w:pPr>
          </w:p>
          <w:p w14:paraId="5CD4C495"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6.28%</w:t>
            </w:r>
          </w:p>
        </w:tc>
      </w:tr>
      <w:tr w:rsidR="00523196" w:rsidRPr="00877EE2" w14:paraId="3E6A92A9" w14:textId="77777777" w:rsidTr="00523196">
        <w:tc>
          <w:tcPr>
            <w:tcW w:w="1714" w:type="dxa"/>
          </w:tcPr>
          <w:p w14:paraId="662C58F3" w14:textId="77777777" w:rsidR="00523196" w:rsidRPr="00877EE2" w:rsidRDefault="00523196" w:rsidP="00523196">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Operating Profit Margin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 xml:space="preserve">Operating Profit </m:t>
                  </m:r>
                </m:num>
                <m:den>
                  <m:r>
                    <w:rPr>
                      <w:rFonts w:ascii="Cambria Math" w:hAnsi="Cambria Math" w:cs="Times New Roman"/>
                      <w:sz w:val="24"/>
                      <w:szCs w:val="24"/>
                      <w:lang w:val="en-GB"/>
                    </w:rPr>
                    <m:t xml:space="preserve">Net Sales </m:t>
                  </m:r>
                </m:den>
              </m:f>
            </m:oMath>
            <w:r w:rsidRPr="00877EE2">
              <w:rPr>
                <w:rFonts w:ascii="Times New Roman" w:eastAsiaTheme="minorEastAsia" w:hAnsi="Times New Roman" w:cs="Times New Roman"/>
                <w:sz w:val="24"/>
                <w:szCs w:val="24"/>
                <w:lang w:val="en-GB"/>
              </w:rPr>
              <w:t xml:space="preserve"> ×100</w:t>
            </w:r>
          </w:p>
        </w:tc>
        <w:tc>
          <w:tcPr>
            <w:tcW w:w="1509" w:type="dxa"/>
          </w:tcPr>
          <w:p w14:paraId="4E5D51B2" w14:textId="77777777" w:rsidR="00523196" w:rsidRPr="00877EE2" w:rsidRDefault="00A64F44" w:rsidP="0062643F">
            <w:pPr>
              <w:spacing w:line="360" w:lineRule="auto"/>
              <w:jc w:val="both"/>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(15,297)</m:t>
                  </m:r>
                </m:num>
                <m:den>
                  <m:r>
                    <w:rPr>
                      <w:rFonts w:ascii="Cambria Math" w:hAnsi="Cambria Math" w:cs="Times New Roman"/>
                      <w:sz w:val="24"/>
                      <w:szCs w:val="24"/>
                      <w:lang w:val="en-GB"/>
                    </w:rPr>
                    <m:t>394,879</m:t>
                  </m:r>
                </m:den>
              </m:f>
            </m:oMath>
            <w:r w:rsidR="00523196" w:rsidRPr="00877EE2">
              <w:rPr>
                <w:rFonts w:ascii="Times New Roman" w:eastAsiaTheme="minorEastAsia" w:hAnsi="Times New Roman" w:cs="Times New Roman"/>
                <w:sz w:val="24"/>
                <w:szCs w:val="24"/>
                <w:lang w:val="en-GB"/>
              </w:rPr>
              <w:t xml:space="preserve">×100 = </w:t>
            </w:r>
          </w:p>
          <w:p w14:paraId="6D13F752" w14:textId="77777777" w:rsidR="00523196" w:rsidRPr="00877EE2" w:rsidRDefault="00523196" w:rsidP="0062643F">
            <w:pPr>
              <w:spacing w:line="360" w:lineRule="auto"/>
              <w:jc w:val="both"/>
              <w:rPr>
                <w:rFonts w:ascii="Times New Roman" w:eastAsiaTheme="minorEastAsia" w:hAnsi="Times New Roman" w:cs="Times New Roman"/>
                <w:sz w:val="24"/>
                <w:szCs w:val="24"/>
                <w:lang w:val="en-GB"/>
              </w:rPr>
            </w:pPr>
          </w:p>
          <w:p w14:paraId="320406F1" w14:textId="77777777" w:rsidR="00523196" w:rsidRPr="00877EE2" w:rsidRDefault="00523196" w:rsidP="0062643F">
            <w:pPr>
              <w:spacing w:line="360" w:lineRule="auto"/>
              <w:jc w:val="both"/>
              <w:rPr>
                <w:rFonts w:ascii="Times New Roman" w:hAnsi="Times New Roman" w:cs="Times New Roman"/>
                <w:sz w:val="24"/>
                <w:szCs w:val="24"/>
                <w:lang w:val="en-GB"/>
              </w:rPr>
            </w:pPr>
            <w:r w:rsidRPr="00877EE2">
              <w:rPr>
                <w:rFonts w:ascii="Times New Roman" w:eastAsiaTheme="minorEastAsia" w:hAnsi="Times New Roman" w:cs="Times New Roman"/>
                <w:sz w:val="24"/>
                <w:szCs w:val="24"/>
                <w:lang w:val="en-GB"/>
              </w:rPr>
              <w:t>–3.87%</w:t>
            </w:r>
          </w:p>
        </w:tc>
        <w:tc>
          <w:tcPr>
            <w:tcW w:w="1511" w:type="dxa"/>
          </w:tcPr>
          <w:p w14:paraId="5F8B12A8"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(85,301)</m:t>
                  </m:r>
                </m:num>
                <m:den>
                  <m:r>
                    <w:rPr>
                      <w:rFonts w:ascii="Cambria Math" w:hAnsi="Cambria Math" w:cs="Times New Roman"/>
                      <w:sz w:val="24"/>
                      <w:szCs w:val="24"/>
                      <w:lang w:val="en-GB"/>
                    </w:rPr>
                    <m:t>420,457</m:t>
                  </m:r>
                </m:den>
              </m:f>
            </m:oMath>
            <w:r w:rsidR="00523196" w:rsidRPr="00877EE2">
              <w:rPr>
                <w:rFonts w:ascii="Times New Roman" w:eastAsiaTheme="minorEastAsia" w:hAnsi="Times New Roman" w:cs="Times New Roman"/>
                <w:sz w:val="24"/>
                <w:szCs w:val="24"/>
                <w:lang w:val="en-GB"/>
              </w:rPr>
              <w:t xml:space="preserve">×100 = </w:t>
            </w:r>
          </w:p>
          <w:p w14:paraId="75579F54" w14:textId="77777777" w:rsidR="00523196" w:rsidRPr="00877EE2" w:rsidRDefault="00523196" w:rsidP="0062643F">
            <w:pPr>
              <w:rPr>
                <w:rFonts w:ascii="Times New Roman" w:eastAsiaTheme="minorEastAsia" w:hAnsi="Times New Roman" w:cs="Times New Roman"/>
                <w:sz w:val="24"/>
                <w:szCs w:val="24"/>
                <w:lang w:val="en-GB"/>
              </w:rPr>
            </w:pPr>
          </w:p>
          <w:p w14:paraId="3D8853B9"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–20.29%</w:t>
            </w:r>
          </w:p>
        </w:tc>
        <w:tc>
          <w:tcPr>
            <w:tcW w:w="1502" w:type="dxa"/>
          </w:tcPr>
          <w:p w14:paraId="3200C3F0"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14,548</m:t>
                  </m:r>
                </m:num>
                <m:den>
                  <m:r>
                    <w:rPr>
                      <w:rFonts w:ascii="Cambria Math" w:hAnsi="Cambria Math" w:cs="Times New Roman"/>
                      <w:sz w:val="24"/>
                      <w:szCs w:val="24"/>
                      <w:lang w:val="en-GB"/>
                    </w:rPr>
                    <m:t>542,751</m:t>
                  </m:r>
                </m:den>
              </m:f>
            </m:oMath>
            <w:r w:rsidR="00523196" w:rsidRPr="00877EE2">
              <w:rPr>
                <w:rFonts w:ascii="Times New Roman" w:eastAsiaTheme="minorEastAsia" w:hAnsi="Times New Roman" w:cs="Times New Roman"/>
                <w:sz w:val="24"/>
                <w:szCs w:val="24"/>
                <w:lang w:val="en-GB"/>
              </w:rPr>
              <w:t>×100 =</w:t>
            </w:r>
          </w:p>
          <w:p w14:paraId="62699EF5" w14:textId="77777777" w:rsidR="00523196" w:rsidRPr="00877EE2" w:rsidRDefault="00523196" w:rsidP="0062643F">
            <w:pPr>
              <w:rPr>
                <w:rFonts w:ascii="Times New Roman" w:eastAsiaTheme="minorEastAsia" w:hAnsi="Times New Roman" w:cs="Times New Roman"/>
                <w:sz w:val="24"/>
                <w:szCs w:val="24"/>
                <w:lang w:val="en-GB"/>
              </w:rPr>
            </w:pPr>
          </w:p>
          <w:p w14:paraId="090415DE"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 xml:space="preserve"> 2.68%</w:t>
            </w:r>
          </w:p>
        </w:tc>
        <w:tc>
          <w:tcPr>
            <w:tcW w:w="1503" w:type="dxa"/>
          </w:tcPr>
          <w:p w14:paraId="7CC79899"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23,253</m:t>
                  </m:r>
                </m:num>
                <m:den>
                  <m:r>
                    <w:rPr>
                      <w:rFonts w:ascii="Cambria Math" w:hAnsi="Cambria Math" w:cs="Times New Roman"/>
                      <w:sz w:val="24"/>
                      <w:szCs w:val="24"/>
                      <w:lang w:val="en-GB"/>
                    </w:rPr>
                    <m:t>601,602</m:t>
                  </m:r>
                </m:den>
              </m:f>
            </m:oMath>
            <w:r w:rsidR="00523196" w:rsidRPr="00877EE2">
              <w:rPr>
                <w:rFonts w:ascii="Times New Roman" w:eastAsiaTheme="minorEastAsia" w:hAnsi="Times New Roman" w:cs="Times New Roman"/>
                <w:sz w:val="24"/>
                <w:szCs w:val="24"/>
                <w:lang w:val="en-GB"/>
              </w:rPr>
              <w:t xml:space="preserve">×100 = </w:t>
            </w:r>
          </w:p>
          <w:p w14:paraId="10361335" w14:textId="77777777" w:rsidR="00523196" w:rsidRPr="00877EE2" w:rsidRDefault="00523196" w:rsidP="0062643F">
            <w:pPr>
              <w:rPr>
                <w:rFonts w:ascii="Times New Roman" w:eastAsiaTheme="minorEastAsia" w:hAnsi="Times New Roman" w:cs="Times New Roman"/>
                <w:sz w:val="24"/>
                <w:szCs w:val="24"/>
                <w:lang w:val="en-GB"/>
              </w:rPr>
            </w:pPr>
          </w:p>
          <w:p w14:paraId="058B81D8"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3.87%</w:t>
            </w:r>
          </w:p>
        </w:tc>
        <w:tc>
          <w:tcPr>
            <w:tcW w:w="1503" w:type="dxa"/>
          </w:tcPr>
          <w:p w14:paraId="5400E7AD"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37,267</m:t>
                  </m:r>
                </m:num>
                <m:den>
                  <m:r>
                    <w:rPr>
                      <w:rFonts w:ascii="Cambria Math" w:hAnsi="Cambria Math" w:cs="Times New Roman"/>
                      <w:sz w:val="24"/>
                      <w:szCs w:val="24"/>
                      <w:lang w:val="en-GB"/>
                    </w:rPr>
                    <m:t>614,680</m:t>
                  </m:r>
                </m:den>
              </m:f>
            </m:oMath>
            <w:r w:rsidR="00523196" w:rsidRPr="00877EE2">
              <w:rPr>
                <w:rFonts w:ascii="Times New Roman" w:eastAsiaTheme="minorEastAsia" w:hAnsi="Times New Roman" w:cs="Times New Roman"/>
                <w:sz w:val="24"/>
                <w:szCs w:val="24"/>
                <w:lang w:val="en-GB"/>
              </w:rPr>
              <w:t xml:space="preserve">×100 = </w:t>
            </w:r>
          </w:p>
          <w:p w14:paraId="41C4B821" w14:textId="77777777" w:rsidR="00523196" w:rsidRPr="00877EE2" w:rsidRDefault="00523196" w:rsidP="0062643F">
            <w:pPr>
              <w:rPr>
                <w:rFonts w:ascii="Times New Roman" w:eastAsiaTheme="minorEastAsia" w:hAnsi="Times New Roman" w:cs="Times New Roman"/>
                <w:sz w:val="24"/>
                <w:szCs w:val="24"/>
                <w:lang w:val="en-GB"/>
              </w:rPr>
            </w:pPr>
          </w:p>
          <w:p w14:paraId="32D8B37D"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6.06%</w:t>
            </w:r>
          </w:p>
        </w:tc>
      </w:tr>
      <w:tr w:rsidR="00523196" w:rsidRPr="00877EE2" w14:paraId="1519C8C7" w14:textId="77777777" w:rsidTr="00523196">
        <w:tc>
          <w:tcPr>
            <w:tcW w:w="1714" w:type="dxa"/>
          </w:tcPr>
          <w:p w14:paraId="1989257A" w14:textId="77777777" w:rsidR="00523196" w:rsidRPr="00877EE2" w:rsidRDefault="00523196" w:rsidP="00523196">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ROA %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Net Income (Loss)</m:t>
                  </m:r>
                </m:num>
                <m:den>
                  <m:r>
                    <w:rPr>
                      <w:rFonts w:ascii="Cambria Math" w:hAnsi="Cambria Math" w:cs="Times New Roman"/>
                      <w:sz w:val="24"/>
                      <w:szCs w:val="24"/>
                      <w:lang w:val="en-GB"/>
                    </w:rPr>
                    <m:t>Total Asset</m:t>
                  </m:r>
                </m:den>
              </m:f>
            </m:oMath>
            <w:r w:rsidRPr="00877EE2">
              <w:rPr>
                <w:rFonts w:ascii="Times New Roman" w:eastAsiaTheme="minorEastAsia" w:hAnsi="Times New Roman" w:cs="Times New Roman"/>
                <w:sz w:val="24"/>
                <w:szCs w:val="24"/>
                <w:lang w:val="en-GB"/>
              </w:rPr>
              <w:t xml:space="preserve"> ×100</w:t>
            </w:r>
          </w:p>
        </w:tc>
        <w:tc>
          <w:tcPr>
            <w:tcW w:w="1509" w:type="dxa"/>
          </w:tcPr>
          <w:p w14:paraId="3D6F891F" w14:textId="77777777" w:rsidR="00523196" w:rsidRPr="00877EE2" w:rsidRDefault="00A64F44" w:rsidP="0062643F">
            <w:pPr>
              <w:spacing w:line="360" w:lineRule="auto"/>
              <w:jc w:val="both"/>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24,029</m:t>
                  </m:r>
                </m:num>
                <m:den>
                  <m:r>
                    <w:rPr>
                      <w:rFonts w:ascii="Cambria Math" w:hAnsi="Cambria Math" w:cs="Times New Roman"/>
                      <w:sz w:val="24"/>
                      <w:szCs w:val="24"/>
                      <w:lang w:val="en-GB"/>
                    </w:rPr>
                    <m:t>323,354</m:t>
                  </m:r>
                </m:den>
              </m:f>
            </m:oMath>
            <w:r w:rsidR="00523196" w:rsidRPr="00877EE2">
              <w:rPr>
                <w:rFonts w:ascii="Times New Roman" w:eastAsiaTheme="minorEastAsia" w:hAnsi="Times New Roman" w:cs="Times New Roman"/>
                <w:sz w:val="24"/>
                <w:szCs w:val="24"/>
                <w:lang w:val="en-GB"/>
              </w:rPr>
              <w:t xml:space="preserve">×100 = </w:t>
            </w:r>
          </w:p>
          <w:p w14:paraId="7AEC2EE5" w14:textId="77777777" w:rsidR="00523196" w:rsidRPr="00877EE2" w:rsidRDefault="00523196" w:rsidP="0062643F">
            <w:pPr>
              <w:spacing w:line="360" w:lineRule="auto"/>
              <w:jc w:val="both"/>
              <w:rPr>
                <w:rFonts w:ascii="Times New Roman" w:eastAsiaTheme="minorEastAsia" w:hAnsi="Times New Roman" w:cs="Times New Roman"/>
                <w:sz w:val="24"/>
                <w:szCs w:val="24"/>
                <w:lang w:val="en-GB"/>
              </w:rPr>
            </w:pPr>
          </w:p>
          <w:p w14:paraId="51CFEFB7" w14:textId="77777777" w:rsidR="00523196" w:rsidRPr="00877EE2" w:rsidRDefault="00523196" w:rsidP="0062643F">
            <w:pPr>
              <w:spacing w:line="360" w:lineRule="auto"/>
              <w:jc w:val="both"/>
              <w:rPr>
                <w:rFonts w:ascii="Times New Roman" w:hAnsi="Times New Roman" w:cs="Times New Roman"/>
                <w:sz w:val="24"/>
                <w:szCs w:val="24"/>
                <w:lang w:val="en-GB"/>
              </w:rPr>
            </w:pPr>
            <w:r w:rsidRPr="00877EE2">
              <w:rPr>
                <w:rFonts w:ascii="Times New Roman" w:eastAsiaTheme="minorEastAsia" w:hAnsi="Times New Roman" w:cs="Times New Roman"/>
                <w:sz w:val="24"/>
                <w:szCs w:val="24"/>
                <w:lang w:val="en-GB"/>
              </w:rPr>
              <w:t>–7.43%</w:t>
            </w:r>
          </w:p>
        </w:tc>
        <w:tc>
          <w:tcPr>
            <w:tcW w:w="1511" w:type="dxa"/>
          </w:tcPr>
          <w:p w14:paraId="312C284E"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(98,238)</m:t>
                  </m:r>
                </m:num>
                <m:den>
                  <m:r>
                    <w:rPr>
                      <w:rFonts w:ascii="Cambria Math" w:hAnsi="Cambria Math" w:cs="Times New Roman"/>
                      <w:sz w:val="24"/>
                      <w:szCs w:val="24"/>
                      <w:lang w:val="en-GB"/>
                    </w:rPr>
                    <m:t>355,872</m:t>
                  </m:r>
                </m:den>
              </m:f>
            </m:oMath>
            <w:r w:rsidR="00523196" w:rsidRPr="00877EE2">
              <w:rPr>
                <w:rFonts w:ascii="Times New Roman" w:eastAsiaTheme="minorEastAsia" w:hAnsi="Times New Roman" w:cs="Times New Roman"/>
                <w:sz w:val="24"/>
                <w:szCs w:val="24"/>
                <w:lang w:val="en-GB"/>
              </w:rPr>
              <w:t xml:space="preserve">×100 = </w:t>
            </w:r>
          </w:p>
          <w:p w14:paraId="06131699" w14:textId="77777777" w:rsidR="00523196" w:rsidRPr="00877EE2" w:rsidRDefault="00523196" w:rsidP="0062643F">
            <w:pPr>
              <w:rPr>
                <w:rFonts w:ascii="Times New Roman" w:eastAsiaTheme="minorEastAsia" w:hAnsi="Times New Roman" w:cs="Times New Roman"/>
                <w:sz w:val="24"/>
                <w:szCs w:val="24"/>
                <w:lang w:val="en-GB"/>
              </w:rPr>
            </w:pPr>
          </w:p>
          <w:p w14:paraId="2556B264"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–27.60%</w:t>
            </w:r>
          </w:p>
        </w:tc>
        <w:tc>
          <w:tcPr>
            <w:tcW w:w="1502" w:type="dxa"/>
          </w:tcPr>
          <w:p w14:paraId="0A0672C2"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407</m:t>
                  </m:r>
                </m:num>
                <m:den>
                  <m:r>
                    <w:rPr>
                      <w:rFonts w:ascii="Cambria Math" w:hAnsi="Cambria Math" w:cs="Times New Roman"/>
                      <w:sz w:val="24"/>
                      <w:szCs w:val="24"/>
                      <w:lang w:val="en-GB"/>
                    </w:rPr>
                    <m:t>504,163</m:t>
                  </m:r>
                </m:den>
              </m:f>
            </m:oMath>
            <w:r w:rsidR="00523196" w:rsidRPr="00877EE2">
              <w:rPr>
                <w:rFonts w:ascii="Times New Roman" w:eastAsiaTheme="minorEastAsia" w:hAnsi="Times New Roman" w:cs="Times New Roman"/>
                <w:sz w:val="24"/>
                <w:szCs w:val="24"/>
                <w:lang w:val="en-GB"/>
              </w:rPr>
              <w:t>×100 =</w:t>
            </w:r>
          </w:p>
          <w:p w14:paraId="346D3A71" w14:textId="77777777" w:rsidR="00523196" w:rsidRPr="00877EE2" w:rsidRDefault="00523196" w:rsidP="0062643F">
            <w:pPr>
              <w:rPr>
                <w:rFonts w:ascii="Times New Roman" w:eastAsiaTheme="minorEastAsia" w:hAnsi="Times New Roman" w:cs="Times New Roman"/>
                <w:sz w:val="24"/>
                <w:szCs w:val="24"/>
                <w:lang w:val="en-GB"/>
              </w:rPr>
            </w:pPr>
          </w:p>
          <w:p w14:paraId="5D67E335"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 xml:space="preserve"> 0.08%</w:t>
            </w:r>
          </w:p>
        </w:tc>
        <w:tc>
          <w:tcPr>
            <w:tcW w:w="1503" w:type="dxa"/>
          </w:tcPr>
          <w:p w14:paraId="75844024"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5,301</m:t>
                  </m:r>
                </m:num>
                <m:den>
                  <m:r>
                    <w:rPr>
                      <w:rFonts w:ascii="Cambria Math" w:hAnsi="Cambria Math" w:cs="Times New Roman"/>
                      <w:sz w:val="24"/>
                      <w:szCs w:val="24"/>
                      <w:lang w:val="en-GB"/>
                    </w:rPr>
                    <m:t>510,348</m:t>
                  </m:r>
                </m:den>
              </m:f>
            </m:oMath>
            <w:r w:rsidR="00523196" w:rsidRPr="00877EE2">
              <w:rPr>
                <w:rFonts w:ascii="Times New Roman" w:eastAsiaTheme="minorEastAsia" w:hAnsi="Times New Roman" w:cs="Times New Roman"/>
                <w:sz w:val="24"/>
                <w:szCs w:val="24"/>
                <w:lang w:val="en-GB"/>
              </w:rPr>
              <w:t xml:space="preserve">×100 = </w:t>
            </w:r>
          </w:p>
          <w:p w14:paraId="6D9DA7C0" w14:textId="77777777" w:rsidR="00523196" w:rsidRPr="00877EE2" w:rsidRDefault="00523196" w:rsidP="0062643F">
            <w:pPr>
              <w:rPr>
                <w:rFonts w:ascii="Times New Roman" w:eastAsiaTheme="minorEastAsia" w:hAnsi="Times New Roman" w:cs="Times New Roman"/>
                <w:sz w:val="24"/>
                <w:szCs w:val="24"/>
                <w:lang w:val="en-GB"/>
              </w:rPr>
            </w:pPr>
          </w:p>
          <w:p w14:paraId="5439688F" w14:textId="77777777" w:rsidR="00523196" w:rsidRPr="00877EE2" w:rsidRDefault="00523196" w:rsidP="0062643F">
            <w:pPr>
              <w:rPr>
                <w:lang w:val="en-GB"/>
              </w:rPr>
            </w:pPr>
            <w:r w:rsidRPr="00877EE2">
              <w:rPr>
                <w:lang w:val="en-GB"/>
              </w:rPr>
              <w:t>1.04%</w:t>
            </w:r>
          </w:p>
        </w:tc>
        <w:tc>
          <w:tcPr>
            <w:tcW w:w="1503" w:type="dxa"/>
          </w:tcPr>
          <w:p w14:paraId="396D20DF"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38,572</m:t>
                  </m:r>
                </m:num>
                <m:den>
                  <m:r>
                    <w:rPr>
                      <w:rFonts w:ascii="Cambria Math" w:hAnsi="Cambria Math" w:cs="Times New Roman"/>
                      <w:sz w:val="24"/>
                      <w:szCs w:val="24"/>
                      <w:lang w:val="en-GB"/>
                    </w:rPr>
                    <m:t>510,290</m:t>
                  </m:r>
                </m:den>
              </m:f>
            </m:oMath>
            <w:r w:rsidR="00523196" w:rsidRPr="00877EE2">
              <w:rPr>
                <w:rFonts w:ascii="Times New Roman" w:eastAsiaTheme="minorEastAsia" w:hAnsi="Times New Roman" w:cs="Times New Roman"/>
                <w:sz w:val="24"/>
                <w:szCs w:val="24"/>
                <w:lang w:val="en-GB"/>
              </w:rPr>
              <w:t xml:space="preserve">×100 = </w:t>
            </w:r>
          </w:p>
          <w:p w14:paraId="2A92EC92" w14:textId="77777777" w:rsidR="00523196" w:rsidRPr="00877EE2" w:rsidRDefault="00523196" w:rsidP="0062643F">
            <w:pPr>
              <w:rPr>
                <w:rFonts w:ascii="Times New Roman" w:eastAsiaTheme="minorEastAsia" w:hAnsi="Times New Roman" w:cs="Times New Roman"/>
                <w:sz w:val="24"/>
                <w:szCs w:val="24"/>
                <w:lang w:val="en-GB"/>
              </w:rPr>
            </w:pPr>
          </w:p>
          <w:p w14:paraId="618A638B"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7.56%</w:t>
            </w:r>
          </w:p>
        </w:tc>
      </w:tr>
      <w:tr w:rsidR="00523196" w:rsidRPr="00877EE2" w14:paraId="79FFF531" w14:textId="77777777" w:rsidTr="00523196">
        <w:tc>
          <w:tcPr>
            <w:tcW w:w="1714" w:type="dxa"/>
          </w:tcPr>
          <w:p w14:paraId="193848BF" w14:textId="77777777" w:rsidR="00523196" w:rsidRPr="00877EE2" w:rsidRDefault="00523196" w:rsidP="00523196">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Return on Equity %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Net Income (Loss)</m:t>
                  </m:r>
                </m:num>
                <m:den>
                  <m:r>
                    <w:rPr>
                      <w:rFonts w:ascii="Cambria Math" w:hAnsi="Cambria Math" w:cs="Times New Roman"/>
                      <w:sz w:val="24"/>
                      <w:szCs w:val="24"/>
                      <w:lang w:val="en-GB"/>
                    </w:rPr>
                    <m:t>Total Equity</m:t>
                  </m:r>
                </m:den>
              </m:f>
            </m:oMath>
            <w:r w:rsidRPr="00877EE2">
              <w:rPr>
                <w:rFonts w:ascii="Times New Roman" w:eastAsiaTheme="minorEastAsia" w:hAnsi="Times New Roman" w:cs="Times New Roman"/>
                <w:sz w:val="24"/>
                <w:szCs w:val="24"/>
                <w:lang w:val="en-GB"/>
              </w:rPr>
              <w:t xml:space="preserve"> ×100</w:t>
            </w:r>
          </w:p>
        </w:tc>
        <w:tc>
          <w:tcPr>
            <w:tcW w:w="1509" w:type="dxa"/>
          </w:tcPr>
          <w:p w14:paraId="1F4B81AF" w14:textId="77777777" w:rsidR="00523196" w:rsidRPr="00877EE2" w:rsidRDefault="00A64F44" w:rsidP="0062643F">
            <w:pPr>
              <w:spacing w:line="360" w:lineRule="auto"/>
              <w:jc w:val="both"/>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24,029</m:t>
                  </m:r>
                </m:num>
                <m:den>
                  <m:r>
                    <w:rPr>
                      <w:rFonts w:ascii="Cambria Math" w:hAnsi="Cambria Math" w:cs="Times New Roman"/>
                      <w:sz w:val="24"/>
                      <w:szCs w:val="24"/>
                      <w:lang w:val="en-GB"/>
                    </w:rPr>
                    <m:t>153,105</m:t>
                  </m:r>
                </m:den>
              </m:f>
            </m:oMath>
            <w:r w:rsidR="00523196" w:rsidRPr="00877EE2">
              <w:rPr>
                <w:rFonts w:ascii="Times New Roman" w:eastAsiaTheme="minorEastAsia" w:hAnsi="Times New Roman" w:cs="Times New Roman"/>
                <w:sz w:val="24"/>
                <w:szCs w:val="24"/>
                <w:lang w:val="en-GB"/>
              </w:rPr>
              <w:t xml:space="preserve">×100 = </w:t>
            </w:r>
          </w:p>
          <w:p w14:paraId="2EBAD631" w14:textId="77777777" w:rsidR="00523196" w:rsidRPr="00877EE2" w:rsidRDefault="00523196" w:rsidP="0062643F">
            <w:pPr>
              <w:spacing w:line="360" w:lineRule="auto"/>
              <w:jc w:val="both"/>
              <w:rPr>
                <w:rFonts w:ascii="Times New Roman" w:eastAsiaTheme="minorEastAsia" w:hAnsi="Times New Roman" w:cs="Times New Roman"/>
                <w:sz w:val="24"/>
                <w:szCs w:val="24"/>
                <w:lang w:val="en-GB"/>
              </w:rPr>
            </w:pPr>
          </w:p>
          <w:p w14:paraId="50B7D171" w14:textId="77777777" w:rsidR="00523196" w:rsidRPr="00877EE2" w:rsidRDefault="00523196" w:rsidP="0062643F">
            <w:pPr>
              <w:spacing w:line="360" w:lineRule="auto"/>
              <w:jc w:val="both"/>
              <w:rPr>
                <w:rFonts w:ascii="Times New Roman" w:hAnsi="Times New Roman" w:cs="Times New Roman"/>
                <w:sz w:val="24"/>
                <w:szCs w:val="24"/>
                <w:lang w:val="en-GB"/>
              </w:rPr>
            </w:pPr>
            <w:r w:rsidRPr="00877EE2">
              <w:rPr>
                <w:rFonts w:ascii="Times New Roman" w:eastAsiaTheme="minorEastAsia" w:hAnsi="Times New Roman" w:cs="Times New Roman"/>
                <w:sz w:val="24"/>
                <w:szCs w:val="24"/>
                <w:lang w:val="en-GB"/>
              </w:rPr>
              <w:t>–15.69%</w:t>
            </w:r>
          </w:p>
        </w:tc>
        <w:tc>
          <w:tcPr>
            <w:tcW w:w="1511" w:type="dxa"/>
          </w:tcPr>
          <w:p w14:paraId="36EACC5F"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(98,238)</m:t>
                  </m:r>
                </m:num>
                <m:den>
                  <m:r>
                    <w:rPr>
                      <w:rFonts w:ascii="Cambria Math" w:hAnsi="Cambria Math" w:cs="Times New Roman"/>
                      <w:sz w:val="24"/>
                      <w:szCs w:val="24"/>
                      <w:lang w:val="en-GB"/>
                    </w:rPr>
                    <m:t>178,920</m:t>
                  </m:r>
                </m:den>
              </m:f>
            </m:oMath>
            <w:r w:rsidR="00523196" w:rsidRPr="00877EE2">
              <w:rPr>
                <w:rFonts w:ascii="Times New Roman" w:eastAsiaTheme="minorEastAsia" w:hAnsi="Times New Roman" w:cs="Times New Roman"/>
                <w:sz w:val="24"/>
                <w:szCs w:val="24"/>
                <w:lang w:val="en-GB"/>
              </w:rPr>
              <w:t xml:space="preserve">×100 = </w:t>
            </w:r>
          </w:p>
          <w:p w14:paraId="68AF16B3" w14:textId="77777777" w:rsidR="00523196" w:rsidRPr="00877EE2" w:rsidRDefault="00523196" w:rsidP="0062643F">
            <w:pPr>
              <w:rPr>
                <w:rFonts w:ascii="Times New Roman" w:eastAsiaTheme="minorEastAsia" w:hAnsi="Times New Roman" w:cs="Times New Roman"/>
                <w:sz w:val="24"/>
                <w:szCs w:val="24"/>
                <w:lang w:val="en-GB"/>
              </w:rPr>
            </w:pPr>
          </w:p>
          <w:p w14:paraId="2006C817"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–54.91%</w:t>
            </w:r>
          </w:p>
        </w:tc>
        <w:tc>
          <w:tcPr>
            <w:tcW w:w="1502" w:type="dxa"/>
          </w:tcPr>
          <w:p w14:paraId="3F36E5E2"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407</m:t>
                  </m:r>
                </m:num>
                <m:den>
                  <m:r>
                    <w:rPr>
                      <w:rFonts w:ascii="Cambria Math" w:hAnsi="Cambria Math" w:cs="Times New Roman"/>
                      <w:sz w:val="24"/>
                      <w:szCs w:val="24"/>
                      <w:lang w:val="en-GB"/>
                    </w:rPr>
                    <m:t>268,406</m:t>
                  </m:r>
                </m:den>
              </m:f>
            </m:oMath>
            <w:r w:rsidR="00523196" w:rsidRPr="00877EE2">
              <w:rPr>
                <w:rFonts w:ascii="Times New Roman" w:eastAsiaTheme="minorEastAsia" w:hAnsi="Times New Roman" w:cs="Times New Roman"/>
                <w:sz w:val="24"/>
                <w:szCs w:val="24"/>
                <w:lang w:val="en-GB"/>
              </w:rPr>
              <w:t>×100 =</w:t>
            </w:r>
          </w:p>
          <w:p w14:paraId="381DEC8A" w14:textId="77777777" w:rsidR="00523196" w:rsidRPr="00877EE2" w:rsidRDefault="00523196" w:rsidP="0062643F">
            <w:pPr>
              <w:rPr>
                <w:rFonts w:ascii="Times New Roman" w:eastAsiaTheme="minorEastAsia" w:hAnsi="Times New Roman" w:cs="Times New Roman"/>
                <w:sz w:val="24"/>
                <w:szCs w:val="24"/>
                <w:lang w:val="en-GB"/>
              </w:rPr>
            </w:pPr>
          </w:p>
          <w:p w14:paraId="6F083103"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 xml:space="preserve"> 0.15%</w:t>
            </w:r>
          </w:p>
        </w:tc>
        <w:tc>
          <w:tcPr>
            <w:tcW w:w="1503" w:type="dxa"/>
          </w:tcPr>
          <w:p w14:paraId="284D39DA"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5,301</m:t>
                  </m:r>
                </m:num>
                <m:den>
                  <m:r>
                    <w:rPr>
                      <w:rFonts w:ascii="Cambria Math" w:hAnsi="Cambria Math" w:cs="Times New Roman"/>
                      <w:sz w:val="24"/>
                      <w:szCs w:val="24"/>
                      <w:lang w:val="en-GB"/>
                    </w:rPr>
                    <m:t>275,949</m:t>
                  </m:r>
                </m:den>
              </m:f>
            </m:oMath>
            <w:r w:rsidR="00523196" w:rsidRPr="00877EE2">
              <w:rPr>
                <w:rFonts w:ascii="Times New Roman" w:eastAsiaTheme="minorEastAsia" w:hAnsi="Times New Roman" w:cs="Times New Roman"/>
                <w:sz w:val="24"/>
                <w:szCs w:val="24"/>
                <w:lang w:val="en-GB"/>
              </w:rPr>
              <w:t xml:space="preserve">×100 = </w:t>
            </w:r>
          </w:p>
          <w:p w14:paraId="35B11A1E" w14:textId="77777777" w:rsidR="00523196" w:rsidRPr="00877EE2" w:rsidRDefault="00523196" w:rsidP="0062643F">
            <w:pPr>
              <w:rPr>
                <w:rFonts w:ascii="Times New Roman" w:eastAsiaTheme="minorEastAsia" w:hAnsi="Times New Roman" w:cs="Times New Roman"/>
                <w:sz w:val="24"/>
                <w:szCs w:val="24"/>
                <w:lang w:val="en-GB"/>
              </w:rPr>
            </w:pPr>
          </w:p>
          <w:p w14:paraId="6643B408" w14:textId="77777777" w:rsidR="00523196" w:rsidRPr="00877EE2" w:rsidRDefault="00523196" w:rsidP="0062643F">
            <w:pPr>
              <w:rPr>
                <w:lang w:val="en-GB"/>
              </w:rPr>
            </w:pPr>
            <w:r w:rsidRPr="00877EE2">
              <w:rPr>
                <w:lang w:val="en-GB"/>
              </w:rPr>
              <w:t>1.92%</w:t>
            </w:r>
          </w:p>
        </w:tc>
        <w:tc>
          <w:tcPr>
            <w:tcW w:w="1503" w:type="dxa"/>
          </w:tcPr>
          <w:p w14:paraId="4E5E8D84" w14:textId="77777777" w:rsidR="00523196" w:rsidRPr="00877EE2" w:rsidRDefault="00A64F44" w:rsidP="0062643F">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38,572</m:t>
                  </m:r>
                </m:num>
                <m:den>
                  <m:r>
                    <w:rPr>
                      <w:rFonts w:ascii="Cambria Math" w:hAnsi="Cambria Math" w:cs="Times New Roman"/>
                      <w:sz w:val="24"/>
                      <w:szCs w:val="24"/>
                      <w:lang w:val="en-GB"/>
                    </w:rPr>
                    <m:t>313,301</m:t>
                  </m:r>
                </m:den>
              </m:f>
            </m:oMath>
            <w:r w:rsidR="00523196" w:rsidRPr="00877EE2">
              <w:rPr>
                <w:rFonts w:ascii="Times New Roman" w:eastAsiaTheme="minorEastAsia" w:hAnsi="Times New Roman" w:cs="Times New Roman"/>
                <w:sz w:val="24"/>
                <w:szCs w:val="24"/>
                <w:lang w:val="en-GB"/>
              </w:rPr>
              <w:t xml:space="preserve">×100 = </w:t>
            </w:r>
          </w:p>
          <w:p w14:paraId="1C67EF66" w14:textId="77777777" w:rsidR="00523196" w:rsidRPr="00877EE2" w:rsidRDefault="00523196" w:rsidP="0062643F">
            <w:pPr>
              <w:rPr>
                <w:rFonts w:ascii="Times New Roman" w:eastAsiaTheme="minorEastAsia" w:hAnsi="Times New Roman" w:cs="Times New Roman"/>
                <w:sz w:val="24"/>
                <w:szCs w:val="24"/>
                <w:lang w:val="en-GB"/>
              </w:rPr>
            </w:pPr>
          </w:p>
          <w:p w14:paraId="5A57EBDA" w14:textId="77777777" w:rsidR="00523196" w:rsidRPr="00877EE2" w:rsidRDefault="00523196" w:rsidP="0062643F">
            <w:pPr>
              <w:rPr>
                <w:lang w:val="en-GB"/>
              </w:rPr>
            </w:pPr>
            <w:r w:rsidRPr="00877EE2">
              <w:rPr>
                <w:rFonts w:ascii="Times New Roman" w:eastAsiaTheme="minorEastAsia" w:hAnsi="Times New Roman" w:cs="Times New Roman"/>
                <w:sz w:val="24"/>
                <w:szCs w:val="24"/>
                <w:lang w:val="en-GB"/>
              </w:rPr>
              <w:t>12.31%</w:t>
            </w:r>
          </w:p>
        </w:tc>
      </w:tr>
    </w:tbl>
    <w:p w14:paraId="6B6E4153" w14:textId="77777777" w:rsidR="00CE08A5" w:rsidRPr="00877EE2" w:rsidRDefault="00CE08A5"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 </w:t>
      </w:r>
    </w:p>
    <w:p w14:paraId="7FCCF5F9" w14:textId="77777777" w:rsidR="00CE08A5" w:rsidRPr="00877EE2" w:rsidRDefault="00523196"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Liquidity Ratio</w:t>
      </w:r>
    </w:p>
    <w:tbl>
      <w:tblPr>
        <w:tblStyle w:val="TableGrid"/>
        <w:tblW w:w="0" w:type="auto"/>
        <w:tblLook w:val="04A0" w:firstRow="1" w:lastRow="0" w:firstColumn="1" w:lastColumn="0" w:noHBand="0" w:noVBand="1"/>
      </w:tblPr>
      <w:tblGrid>
        <w:gridCol w:w="2193"/>
        <w:gridCol w:w="1345"/>
        <w:gridCol w:w="1353"/>
        <w:gridCol w:w="1474"/>
        <w:gridCol w:w="1437"/>
        <w:gridCol w:w="1440"/>
      </w:tblGrid>
      <w:tr w:rsidR="0062643F" w:rsidRPr="00877EE2" w14:paraId="2C62754B" w14:textId="77777777" w:rsidTr="0062643F">
        <w:tc>
          <w:tcPr>
            <w:tcW w:w="2436" w:type="dxa"/>
          </w:tcPr>
          <w:p w14:paraId="75055627"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Ratio</w:t>
            </w:r>
          </w:p>
        </w:tc>
        <w:tc>
          <w:tcPr>
            <w:tcW w:w="1360" w:type="dxa"/>
          </w:tcPr>
          <w:p w14:paraId="68C70A61"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2024</w:t>
            </w:r>
          </w:p>
        </w:tc>
        <w:tc>
          <w:tcPr>
            <w:tcW w:w="1361" w:type="dxa"/>
          </w:tcPr>
          <w:p w14:paraId="36E620F4"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2023</w:t>
            </w:r>
          </w:p>
        </w:tc>
        <w:tc>
          <w:tcPr>
            <w:tcW w:w="1361" w:type="dxa"/>
          </w:tcPr>
          <w:p w14:paraId="358AF1D4"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2022</w:t>
            </w:r>
          </w:p>
        </w:tc>
        <w:tc>
          <w:tcPr>
            <w:tcW w:w="1362" w:type="dxa"/>
          </w:tcPr>
          <w:p w14:paraId="2E6C2CE8"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2021</w:t>
            </w:r>
          </w:p>
        </w:tc>
        <w:tc>
          <w:tcPr>
            <w:tcW w:w="1362" w:type="dxa"/>
          </w:tcPr>
          <w:p w14:paraId="0703806C"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2020</w:t>
            </w:r>
          </w:p>
        </w:tc>
      </w:tr>
      <w:tr w:rsidR="0062643F" w:rsidRPr="00877EE2" w14:paraId="12A7F545" w14:textId="77777777" w:rsidTr="0062643F">
        <w:tc>
          <w:tcPr>
            <w:tcW w:w="2436" w:type="dxa"/>
          </w:tcPr>
          <w:p w14:paraId="583A91B7" w14:textId="77777777" w:rsidR="0062643F" w:rsidRPr="00877EE2" w:rsidRDefault="0062643F"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Current Ratio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Current Assets</m:t>
                  </m:r>
                </m:num>
                <m:den>
                  <m:r>
                    <w:rPr>
                      <w:rFonts w:ascii="Cambria Math" w:hAnsi="Cambria Math" w:cs="Times New Roman"/>
                      <w:sz w:val="24"/>
                      <w:szCs w:val="24"/>
                      <w:lang w:val="en-GB"/>
                    </w:rPr>
                    <m:t>Current Liabilities</m:t>
                  </m:r>
                </m:den>
              </m:f>
            </m:oMath>
          </w:p>
        </w:tc>
        <w:tc>
          <w:tcPr>
            <w:tcW w:w="1360" w:type="dxa"/>
          </w:tcPr>
          <w:p w14:paraId="59F500A8" w14:textId="77777777" w:rsidR="0062643F" w:rsidRPr="00877EE2" w:rsidRDefault="00A64F44" w:rsidP="00881A34">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242,494</m:t>
                  </m:r>
                </m:num>
                <m:den>
                  <m:r>
                    <w:rPr>
                      <w:rFonts w:ascii="Cambria Math" w:hAnsi="Cambria Math" w:cs="Times New Roman"/>
                      <w:sz w:val="24"/>
                      <w:szCs w:val="24"/>
                      <w:lang w:val="en-GB"/>
                    </w:rPr>
                    <m:t>158,291</m:t>
                  </m:r>
                </m:den>
              </m:f>
            </m:oMath>
            <w:r w:rsidR="0062643F" w:rsidRPr="00877EE2">
              <w:rPr>
                <w:rFonts w:ascii="Times New Roman" w:eastAsiaTheme="minorEastAsia" w:hAnsi="Times New Roman" w:cs="Times New Roman"/>
                <w:sz w:val="24"/>
                <w:szCs w:val="24"/>
                <w:lang w:val="en-GB"/>
              </w:rPr>
              <w:t xml:space="preserve"> = 1.53 </w:t>
            </w:r>
          </w:p>
        </w:tc>
        <w:tc>
          <w:tcPr>
            <w:tcW w:w="1361" w:type="dxa"/>
          </w:tcPr>
          <w:p w14:paraId="27270B71" w14:textId="77777777" w:rsidR="0062643F" w:rsidRPr="00877EE2" w:rsidRDefault="00A64F44" w:rsidP="00881A34">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258,851</m:t>
                  </m:r>
                </m:num>
                <m:den>
                  <m:r>
                    <w:rPr>
                      <w:rFonts w:ascii="Cambria Math" w:hAnsi="Cambria Math" w:cs="Times New Roman"/>
                      <w:sz w:val="24"/>
                      <w:szCs w:val="24"/>
                      <w:lang w:val="en-GB"/>
                    </w:rPr>
                    <m:t>161,148</m:t>
                  </m:r>
                </m:den>
              </m:f>
            </m:oMath>
            <w:r w:rsidR="0062643F" w:rsidRPr="00877EE2">
              <w:rPr>
                <w:rFonts w:ascii="Times New Roman" w:eastAsiaTheme="minorEastAsia" w:hAnsi="Times New Roman" w:cs="Times New Roman"/>
                <w:sz w:val="24"/>
                <w:szCs w:val="24"/>
                <w:lang w:val="en-GB"/>
              </w:rPr>
              <w:t xml:space="preserve"> = 1.61</w:t>
            </w:r>
          </w:p>
        </w:tc>
        <w:tc>
          <w:tcPr>
            <w:tcW w:w="1361" w:type="dxa"/>
          </w:tcPr>
          <w:p w14:paraId="1FEEC2CC" w14:textId="77777777" w:rsidR="0062643F" w:rsidRPr="00877EE2" w:rsidRDefault="00A64F44" w:rsidP="00881A34">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338,040</m:t>
                  </m:r>
                </m:num>
                <m:den>
                  <m:r>
                    <w:rPr>
                      <w:rFonts w:ascii="Cambria Math" w:hAnsi="Cambria Math" w:cs="Times New Roman"/>
                      <w:sz w:val="24"/>
                      <w:szCs w:val="24"/>
                      <w:lang w:val="en-GB"/>
                    </w:rPr>
                    <m:t>216,473</m:t>
                  </m:r>
                </m:den>
              </m:f>
            </m:oMath>
            <w:r w:rsidR="0062643F" w:rsidRPr="00877EE2">
              <w:rPr>
                <w:rFonts w:ascii="Times New Roman" w:eastAsiaTheme="minorEastAsia" w:hAnsi="Times New Roman" w:cs="Times New Roman"/>
                <w:sz w:val="24"/>
                <w:szCs w:val="24"/>
                <w:lang w:val="en-GB"/>
              </w:rPr>
              <w:t xml:space="preserve"> =  1.56</w:t>
            </w:r>
          </w:p>
        </w:tc>
        <w:tc>
          <w:tcPr>
            <w:tcW w:w="1362" w:type="dxa"/>
          </w:tcPr>
          <w:p w14:paraId="25B3D04C" w14:textId="77777777" w:rsidR="0062643F" w:rsidRPr="00877EE2" w:rsidRDefault="00A64F44" w:rsidP="00881A34">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337,146</m:t>
                  </m:r>
                </m:num>
                <m:den>
                  <m:r>
                    <w:rPr>
                      <w:rFonts w:ascii="Cambria Math" w:hAnsi="Cambria Math" w:cs="Times New Roman"/>
                      <w:sz w:val="24"/>
                      <w:szCs w:val="24"/>
                      <w:lang w:val="en-GB"/>
                    </w:rPr>
                    <m:t>216,787</m:t>
                  </m:r>
                </m:den>
              </m:f>
            </m:oMath>
            <w:r w:rsidR="0062643F" w:rsidRPr="00877EE2">
              <w:rPr>
                <w:rFonts w:ascii="Times New Roman" w:eastAsiaTheme="minorEastAsia" w:hAnsi="Times New Roman" w:cs="Times New Roman"/>
                <w:sz w:val="24"/>
                <w:szCs w:val="24"/>
                <w:lang w:val="en-GB"/>
              </w:rPr>
              <w:t xml:space="preserve"> = 1.56</w:t>
            </w:r>
          </w:p>
        </w:tc>
        <w:tc>
          <w:tcPr>
            <w:tcW w:w="1362" w:type="dxa"/>
          </w:tcPr>
          <w:p w14:paraId="7E4AB252" w14:textId="77777777" w:rsidR="0062643F" w:rsidRPr="00877EE2" w:rsidRDefault="00A64F44" w:rsidP="00881A34">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326,843</m:t>
                  </m:r>
                </m:num>
                <m:den>
                  <m:r>
                    <w:rPr>
                      <w:rFonts w:ascii="Cambria Math" w:hAnsi="Cambria Math" w:cs="Times New Roman"/>
                      <w:sz w:val="24"/>
                      <w:szCs w:val="24"/>
                      <w:lang w:val="en-GB"/>
                    </w:rPr>
                    <m:t>179,510</m:t>
                  </m:r>
                </m:den>
              </m:f>
            </m:oMath>
            <w:r w:rsidR="0062643F" w:rsidRPr="00877EE2">
              <w:rPr>
                <w:rFonts w:ascii="Times New Roman" w:eastAsiaTheme="minorEastAsia" w:hAnsi="Times New Roman" w:cs="Times New Roman"/>
                <w:sz w:val="24"/>
                <w:szCs w:val="24"/>
                <w:lang w:val="en-GB"/>
              </w:rPr>
              <w:t xml:space="preserve"> = 1.82</w:t>
            </w:r>
          </w:p>
        </w:tc>
      </w:tr>
      <w:tr w:rsidR="0062643F" w:rsidRPr="00877EE2" w14:paraId="5F0D0EEF" w14:textId="77777777" w:rsidTr="0062643F">
        <w:tc>
          <w:tcPr>
            <w:tcW w:w="2436" w:type="dxa"/>
          </w:tcPr>
          <w:p w14:paraId="507906BF"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Quick Ratio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Current Assets-Inventory</m:t>
                  </m:r>
                </m:num>
                <m:den>
                  <m:r>
                    <w:rPr>
                      <w:rFonts w:ascii="Cambria Math" w:hAnsi="Cambria Math" w:cs="Times New Roman"/>
                      <w:sz w:val="24"/>
                      <w:szCs w:val="24"/>
                      <w:lang w:val="en-GB"/>
                    </w:rPr>
                    <m:t>Current Liabilities</m:t>
                  </m:r>
                </m:den>
              </m:f>
            </m:oMath>
          </w:p>
        </w:tc>
        <w:tc>
          <w:tcPr>
            <w:tcW w:w="1360" w:type="dxa"/>
          </w:tcPr>
          <w:p w14:paraId="4E04AD72" w14:textId="77777777" w:rsidR="0062643F" w:rsidRPr="00877EE2" w:rsidRDefault="00A64F44" w:rsidP="0062643F">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242,494-79,355</m:t>
                  </m:r>
                </m:num>
                <m:den>
                  <m:r>
                    <w:rPr>
                      <w:rFonts w:ascii="Cambria Math" w:hAnsi="Cambria Math" w:cs="Times New Roman"/>
                      <w:sz w:val="24"/>
                      <w:szCs w:val="24"/>
                      <w:lang w:val="en-GB"/>
                    </w:rPr>
                    <m:t>158,291</m:t>
                  </m:r>
                </m:den>
              </m:f>
            </m:oMath>
            <w:r w:rsidR="0062643F" w:rsidRPr="00877EE2">
              <w:rPr>
                <w:rFonts w:ascii="Times New Roman" w:eastAsiaTheme="minorEastAsia" w:hAnsi="Times New Roman" w:cs="Times New Roman"/>
                <w:sz w:val="24"/>
                <w:szCs w:val="24"/>
                <w:lang w:val="en-GB"/>
              </w:rPr>
              <w:t xml:space="preserve"> = 1.03</w:t>
            </w:r>
          </w:p>
        </w:tc>
        <w:tc>
          <w:tcPr>
            <w:tcW w:w="1361" w:type="dxa"/>
          </w:tcPr>
          <w:p w14:paraId="247EC303" w14:textId="77777777" w:rsidR="0062643F" w:rsidRPr="00877EE2" w:rsidRDefault="00A64F44" w:rsidP="0062643F">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258,851-88,273</m:t>
                  </m:r>
                </m:num>
                <m:den>
                  <m:r>
                    <w:rPr>
                      <w:rFonts w:ascii="Cambria Math" w:hAnsi="Cambria Math" w:cs="Times New Roman"/>
                      <w:sz w:val="24"/>
                      <w:szCs w:val="24"/>
                      <w:lang w:val="en-GB"/>
                    </w:rPr>
                    <m:t>161,148</m:t>
                  </m:r>
                </m:den>
              </m:f>
            </m:oMath>
            <w:r w:rsidR="0062643F" w:rsidRPr="00877EE2">
              <w:rPr>
                <w:rFonts w:ascii="Times New Roman" w:eastAsiaTheme="minorEastAsia" w:hAnsi="Times New Roman" w:cs="Times New Roman"/>
                <w:sz w:val="24"/>
                <w:szCs w:val="24"/>
                <w:lang w:val="en-GB"/>
              </w:rPr>
              <w:t xml:space="preserve"> = 1.06</w:t>
            </w:r>
          </w:p>
        </w:tc>
        <w:tc>
          <w:tcPr>
            <w:tcW w:w="1361" w:type="dxa"/>
          </w:tcPr>
          <w:p w14:paraId="2E0C0057" w14:textId="77777777" w:rsidR="0062643F" w:rsidRPr="00877EE2" w:rsidRDefault="00A64F44" w:rsidP="0062643F">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338,040- 140,181</m:t>
                  </m:r>
                </m:num>
                <m:den>
                  <m:r>
                    <w:rPr>
                      <w:rFonts w:ascii="Cambria Math" w:hAnsi="Cambria Math" w:cs="Times New Roman"/>
                      <w:sz w:val="24"/>
                      <w:szCs w:val="24"/>
                      <w:lang w:val="en-GB"/>
                    </w:rPr>
                    <m:t>216,473</m:t>
                  </m:r>
                </m:den>
              </m:f>
            </m:oMath>
            <w:r w:rsidR="0062643F" w:rsidRPr="00877EE2">
              <w:rPr>
                <w:rFonts w:ascii="Times New Roman" w:eastAsiaTheme="minorEastAsia" w:hAnsi="Times New Roman" w:cs="Times New Roman"/>
                <w:sz w:val="24"/>
                <w:szCs w:val="24"/>
                <w:lang w:val="en-GB"/>
              </w:rPr>
              <w:t xml:space="preserve"> =  0.91</w:t>
            </w:r>
          </w:p>
        </w:tc>
        <w:tc>
          <w:tcPr>
            <w:tcW w:w="1362" w:type="dxa"/>
          </w:tcPr>
          <w:p w14:paraId="1D75D091" w14:textId="77777777" w:rsidR="0062643F" w:rsidRPr="00877EE2" w:rsidRDefault="00A64F44" w:rsidP="0062643F">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337,146-134,469</m:t>
                  </m:r>
                </m:num>
                <m:den>
                  <m:r>
                    <w:rPr>
                      <w:rFonts w:ascii="Cambria Math" w:hAnsi="Cambria Math" w:cs="Times New Roman"/>
                      <w:sz w:val="24"/>
                      <w:szCs w:val="24"/>
                      <w:lang w:val="en-GB"/>
                    </w:rPr>
                    <m:t>216,787</m:t>
                  </m:r>
                </m:den>
              </m:f>
            </m:oMath>
            <w:r w:rsidR="0062643F" w:rsidRPr="00877EE2">
              <w:rPr>
                <w:rFonts w:ascii="Times New Roman" w:eastAsiaTheme="minorEastAsia" w:hAnsi="Times New Roman" w:cs="Times New Roman"/>
                <w:sz w:val="24"/>
                <w:szCs w:val="24"/>
                <w:lang w:val="en-GB"/>
              </w:rPr>
              <w:t xml:space="preserve"> = 0.93</w:t>
            </w:r>
          </w:p>
        </w:tc>
        <w:tc>
          <w:tcPr>
            <w:tcW w:w="1362" w:type="dxa"/>
          </w:tcPr>
          <w:p w14:paraId="4BCEFEAD" w14:textId="77777777" w:rsidR="0062643F" w:rsidRPr="00877EE2" w:rsidRDefault="00A64F44" w:rsidP="0062643F">
            <w:pPr>
              <w:spacing w:line="360" w:lineRule="auto"/>
              <w:jc w:val="both"/>
              <w:rPr>
                <w:rFonts w:ascii="Times New Roman"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326,843-120,430</m:t>
                  </m:r>
                </m:num>
                <m:den>
                  <m:r>
                    <w:rPr>
                      <w:rFonts w:ascii="Cambria Math" w:hAnsi="Cambria Math" w:cs="Times New Roman"/>
                      <w:sz w:val="24"/>
                      <w:szCs w:val="24"/>
                      <w:lang w:val="en-GB"/>
                    </w:rPr>
                    <m:t>179,510</m:t>
                  </m:r>
                </m:den>
              </m:f>
            </m:oMath>
            <w:r w:rsidR="0062643F" w:rsidRPr="00877EE2">
              <w:rPr>
                <w:rFonts w:ascii="Times New Roman" w:eastAsiaTheme="minorEastAsia" w:hAnsi="Times New Roman" w:cs="Times New Roman"/>
                <w:sz w:val="24"/>
                <w:szCs w:val="24"/>
                <w:lang w:val="en-GB"/>
              </w:rPr>
              <w:t xml:space="preserve"> = 1.15</w:t>
            </w:r>
          </w:p>
        </w:tc>
      </w:tr>
    </w:tbl>
    <w:p w14:paraId="1302C9BC" w14:textId="77777777" w:rsidR="00523196" w:rsidRPr="00877EE2" w:rsidRDefault="00523196" w:rsidP="00881A34">
      <w:pPr>
        <w:spacing w:line="360" w:lineRule="auto"/>
        <w:jc w:val="both"/>
        <w:rPr>
          <w:rFonts w:ascii="Times New Roman" w:hAnsi="Times New Roman" w:cs="Times New Roman"/>
          <w:sz w:val="24"/>
          <w:szCs w:val="24"/>
          <w:lang w:val="en-GB"/>
        </w:rPr>
      </w:pPr>
    </w:p>
    <w:p w14:paraId="6D01DBC7" w14:textId="77777777" w:rsidR="0062643F" w:rsidRPr="00877EE2" w:rsidRDefault="0062643F"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3. Efficiency/Activity Ratio</w:t>
      </w:r>
    </w:p>
    <w:tbl>
      <w:tblPr>
        <w:tblStyle w:val="TableGrid"/>
        <w:tblW w:w="0" w:type="auto"/>
        <w:tblLook w:val="04A0" w:firstRow="1" w:lastRow="0" w:firstColumn="1" w:lastColumn="0" w:noHBand="0" w:noVBand="1"/>
      </w:tblPr>
      <w:tblGrid>
        <w:gridCol w:w="2177"/>
        <w:gridCol w:w="1412"/>
        <w:gridCol w:w="1412"/>
        <w:gridCol w:w="1413"/>
        <w:gridCol w:w="1414"/>
        <w:gridCol w:w="1414"/>
      </w:tblGrid>
      <w:tr w:rsidR="0062643F" w:rsidRPr="00877EE2" w14:paraId="50F8D43E" w14:textId="77777777" w:rsidTr="0030364B">
        <w:tc>
          <w:tcPr>
            <w:tcW w:w="2177" w:type="dxa"/>
          </w:tcPr>
          <w:p w14:paraId="7B59611E"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Ratio</w:t>
            </w:r>
          </w:p>
        </w:tc>
        <w:tc>
          <w:tcPr>
            <w:tcW w:w="1412" w:type="dxa"/>
          </w:tcPr>
          <w:p w14:paraId="2EEFB775"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2024</w:t>
            </w:r>
          </w:p>
        </w:tc>
        <w:tc>
          <w:tcPr>
            <w:tcW w:w="1412" w:type="dxa"/>
          </w:tcPr>
          <w:p w14:paraId="3D5DCB36"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2023</w:t>
            </w:r>
          </w:p>
        </w:tc>
        <w:tc>
          <w:tcPr>
            <w:tcW w:w="1413" w:type="dxa"/>
          </w:tcPr>
          <w:p w14:paraId="5249A9F0"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2022</w:t>
            </w:r>
          </w:p>
        </w:tc>
        <w:tc>
          <w:tcPr>
            <w:tcW w:w="1414" w:type="dxa"/>
          </w:tcPr>
          <w:p w14:paraId="6F09356D"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2021</w:t>
            </w:r>
          </w:p>
        </w:tc>
        <w:tc>
          <w:tcPr>
            <w:tcW w:w="1414" w:type="dxa"/>
          </w:tcPr>
          <w:p w14:paraId="4F537D40" w14:textId="77777777" w:rsidR="0062643F" w:rsidRPr="00877EE2" w:rsidRDefault="0062643F"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2020</w:t>
            </w:r>
          </w:p>
        </w:tc>
      </w:tr>
      <w:tr w:rsidR="0062643F" w:rsidRPr="00877EE2" w14:paraId="2C0151A9" w14:textId="77777777" w:rsidTr="0030364B">
        <w:tc>
          <w:tcPr>
            <w:tcW w:w="2177" w:type="dxa"/>
          </w:tcPr>
          <w:p w14:paraId="74F3401D" w14:textId="77777777" w:rsidR="0062643F" w:rsidRPr="00877EE2" w:rsidRDefault="0062643F"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Inventory Turnover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Cost of Sales</m:t>
                  </m:r>
                </m:num>
                <m:den>
                  <m:r>
                    <w:rPr>
                      <w:rFonts w:ascii="Cambria Math" w:hAnsi="Cambria Math" w:cs="Times New Roman"/>
                      <w:sz w:val="24"/>
                      <w:szCs w:val="24"/>
                      <w:lang w:val="en-GB"/>
                    </w:rPr>
                    <m:t>Inventory</m:t>
                  </m:r>
                </m:den>
              </m:f>
            </m:oMath>
          </w:p>
        </w:tc>
        <w:tc>
          <w:tcPr>
            <w:tcW w:w="1412" w:type="dxa"/>
          </w:tcPr>
          <w:p w14:paraId="32EF8076" w14:textId="77777777" w:rsidR="0062643F"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280,885</m:t>
                  </m:r>
                </m:num>
                <m:den>
                  <m:r>
                    <w:rPr>
                      <w:rFonts w:ascii="Cambria Math" w:hAnsi="Cambria Math" w:cs="Times New Roman"/>
                      <w:sz w:val="24"/>
                      <w:szCs w:val="24"/>
                      <w:lang w:val="en-GB"/>
                    </w:rPr>
                    <m:t>79,355</m:t>
                  </m:r>
                </m:den>
              </m:f>
            </m:oMath>
            <w:r w:rsidR="0030364B" w:rsidRPr="00877EE2">
              <w:rPr>
                <w:rFonts w:eastAsiaTheme="minorEastAsia"/>
                <w:sz w:val="24"/>
                <w:szCs w:val="24"/>
                <w:lang w:val="en-GB"/>
              </w:rPr>
              <w:t xml:space="preserve"> =</w:t>
            </w:r>
            <w:r w:rsidR="0030364B" w:rsidRPr="00877EE2">
              <w:rPr>
                <w:lang w:val="en-GB"/>
              </w:rPr>
              <w:t xml:space="preserve"> </w:t>
            </w:r>
            <w:r w:rsidR="0030364B" w:rsidRPr="00877EE2">
              <w:rPr>
                <w:rFonts w:eastAsiaTheme="minorEastAsia"/>
                <w:sz w:val="24"/>
                <w:szCs w:val="24"/>
                <w:lang w:val="en-GB"/>
              </w:rPr>
              <w:t>3.54</w:t>
            </w:r>
          </w:p>
        </w:tc>
        <w:tc>
          <w:tcPr>
            <w:tcW w:w="1412" w:type="dxa"/>
          </w:tcPr>
          <w:p w14:paraId="2920064F" w14:textId="77777777" w:rsidR="0062643F"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322,897</m:t>
                  </m:r>
                </m:num>
                <m:den>
                  <m:r>
                    <w:rPr>
                      <w:rFonts w:ascii="Cambria Math" w:hAnsi="Cambria Math" w:cs="Times New Roman"/>
                      <w:sz w:val="24"/>
                      <w:szCs w:val="24"/>
                      <w:lang w:val="en-GB"/>
                    </w:rPr>
                    <m:t>88,273</m:t>
                  </m:r>
                </m:den>
              </m:f>
            </m:oMath>
            <w:r w:rsidR="0030364B" w:rsidRPr="00877EE2">
              <w:rPr>
                <w:rFonts w:eastAsiaTheme="minorEastAsia"/>
                <w:sz w:val="24"/>
                <w:szCs w:val="24"/>
                <w:lang w:val="en-GB"/>
              </w:rPr>
              <w:t xml:space="preserve"> = 3.66</w:t>
            </w:r>
          </w:p>
        </w:tc>
        <w:tc>
          <w:tcPr>
            <w:tcW w:w="1413" w:type="dxa"/>
          </w:tcPr>
          <w:p w14:paraId="4C9EDD90" w14:textId="77777777" w:rsidR="0062643F"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390,459</m:t>
                  </m:r>
                </m:num>
                <m:den>
                  <m:r>
                    <w:rPr>
                      <w:rFonts w:ascii="Cambria Math" w:hAnsi="Cambria Math" w:cs="Times New Roman"/>
                      <w:sz w:val="24"/>
                      <w:szCs w:val="24"/>
                      <w:lang w:val="en-GB"/>
                    </w:rPr>
                    <m:t>140,181</m:t>
                  </m:r>
                </m:den>
              </m:f>
            </m:oMath>
            <w:r w:rsidR="0030364B" w:rsidRPr="00877EE2">
              <w:rPr>
                <w:rFonts w:eastAsiaTheme="minorEastAsia"/>
                <w:sz w:val="24"/>
                <w:szCs w:val="24"/>
                <w:lang w:val="en-GB"/>
              </w:rPr>
              <w:t xml:space="preserve"> =</w:t>
            </w:r>
            <w:r w:rsidR="0030364B" w:rsidRPr="00877EE2">
              <w:rPr>
                <w:lang w:val="en-GB"/>
              </w:rPr>
              <w:t xml:space="preserve"> </w:t>
            </w:r>
            <w:r w:rsidR="0030364B" w:rsidRPr="00877EE2">
              <w:rPr>
                <w:rFonts w:eastAsiaTheme="minorEastAsia"/>
                <w:sz w:val="24"/>
                <w:szCs w:val="24"/>
                <w:lang w:val="en-GB"/>
              </w:rPr>
              <w:t>2.79</w:t>
            </w:r>
          </w:p>
        </w:tc>
        <w:tc>
          <w:tcPr>
            <w:tcW w:w="1414" w:type="dxa"/>
          </w:tcPr>
          <w:p w14:paraId="05A6C77D" w14:textId="77777777" w:rsidR="0062643F"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428,586</m:t>
                  </m:r>
                </m:num>
                <m:den>
                  <m:r>
                    <w:rPr>
                      <w:rFonts w:ascii="Cambria Math" w:hAnsi="Cambria Math" w:cs="Times New Roman"/>
                      <w:sz w:val="24"/>
                      <w:szCs w:val="24"/>
                      <w:lang w:val="en-GB"/>
                    </w:rPr>
                    <m:t>134,469</m:t>
                  </m:r>
                </m:den>
              </m:f>
            </m:oMath>
            <w:r w:rsidR="0030364B" w:rsidRPr="00877EE2">
              <w:rPr>
                <w:rFonts w:eastAsiaTheme="minorEastAsia"/>
                <w:sz w:val="24"/>
                <w:szCs w:val="24"/>
                <w:lang w:val="en-GB"/>
              </w:rPr>
              <w:t xml:space="preserve"> = 3.19</w:t>
            </w:r>
          </w:p>
        </w:tc>
        <w:tc>
          <w:tcPr>
            <w:tcW w:w="1414" w:type="dxa"/>
          </w:tcPr>
          <w:p w14:paraId="6A3FC8A5" w14:textId="77777777" w:rsidR="0062643F"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438,424</m:t>
                  </m:r>
                </m:num>
                <m:den>
                  <m:r>
                    <w:rPr>
                      <w:rFonts w:ascii="Cambria Math" w:hAnsi="Cambria Math" w:cs="Times New Roman"/>
                      <w:sz w:val="24"/>
                      <w:szCs w:val="24"/>
                      <w:lang w:val="en-GB"/>
                    </w:rPr>
                    <m:t>120,430</m:t>
                  </m:r>
                </m:den>
              </m:f>
            </m:oMath>
            <w:r w:rsidR="0030364B" w:rsidRPr="00877EE2">
              <w:rPr>
                <w:rFonts w:eastAsiaTheme="minorEastAsia"/>
                <w:sz w:val="24"/>
                <w:szCs w:val="24"/>
                <w:lang w:val="en-GB"/>
              </w:rPr>
              <w:t xml:space="preserve"> = 3.64</w:t>
            </w:r>
          </w:p>
        </w:tc>
      </w:tr>
      <w:tr w:rsidR="0030364B" w:rsidRPr="00877EE2" w14:paraId="615E0A5C" w14:textId="77777777" w:rsidTr="0030364B">
        <w:tc>
          <w:tcPr>
            <w:tcW w:w="2177" w:type="dxa"/>
          </w:tcPr>
          <w:p w14:paraId="49A69391" w14:textId="77777777" w:rsidR="0030364B" w:rsidRPr="00877EE2" w:rsidRDefault="0030364B"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Days Inventory Outstanding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hAnsi="Cambria Math" w:cs="Times New Roman"/>
                      <w:sz w:val="24"/>
                      <w:szCs w:val="24"/>
                      <w:lang w:val="en-GB"/>
                    </w:rPr>
                    <m:t xml:space="preserve">Inventory Turnover </m:t>
                  </m:r>
                </m:den>
              </m:f>
            </m:oMath>
          </w:p>
        </w:tc>
        <w:tc>
          <w:tcPr>
            <w:tcW w:w="1412" w:type="dxa"/>
          </w:tcPr>
          <w:p w14:paraId="1677ECFB"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w:rPr>
                      <w:rFonts w:ascii="Cambria Math" w:hAnsi="Cambria Math" w:cs="Times New Roman"/>
                      <w:sz w:val="24"/>
                      <w:szCs w:val="24"/>
                      <w:lang w:val="en-GB"/>
                    </w:rPr>
                    <m:t>3.54</m:t>
                  </m:r>
                </m:den>
              </m:f>
            </m:oMath>
            <w:r w:rsidR="0030364B" w:rsidRPr="00877EE2">
              <w:rPr>
                <w:rFonts w:eastAsiaTheme="minorEastAsia"/>
                <w:sz w:val="24"/>
                <w:szCs w:val="24"/>
                <w:lang w:val="en-GB"/>
              </w:rPr>
              <w:t xml:space="preserve"> = 103.12</w:t>
            </w:r>
          </w:p>
        </w:tc>
        <w:tc>
          <w:tcPr>
            <w:tcW w:w="1412" w:type="dxa"/>
          </w:tcPr>
          <w:p w14:paraId="11CB21B8"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3.66</m:t>
                  </m:r>
                </m:den>
              </m:f>
            </m:oMath>
            <w:r w:rsidR="0030364B" w:rsidRPr="00877EE2">
              <w:rPr>
                <w:rFonts w:eastAsiaTheme="minorEastAsia"/>
                <w:sz w:val="24"/>
                <w:szCs w:val="24"/>
                <w:lang w:val="en-GB"/>
              </w:rPr>
              <w:t xml:space="preserve"> =99.80</w:t>
            </w:r>
          </w:p>
        </w:tc>
        <w:tc>
          <w:tcPr>
            <w:tcW w:w="1413" w:type="dxa"/>
          </w:tcPr>
          <w:p w14:paraId="38D93CBA"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2.79</m:t>
                  </m:r>
                </m:den>
              </m:f>
            </m:oMath>
            <w:r w:rsidR="0030364B" w:rsidRPr="00877EE2">
              <w:rPr>
                <w:rFonts w:eastAsiaTheme="minorEastAsia"/>
                <w:sz w:val="24"/>
                <w:szCs w:val="24"/>
                <w:lang w:val="en-GB"/>
              </w:rPr>
              <w:t xml:space="preserve"> = 131.04</w:t>
            </w:r>
          </w:p>
        </w:tc>
        <w:tc>
          <w:tcPr>
            <w:tcW w:w="1414" w:type="dxa"/>
          </w:tcPr>
          <w:p w14:paraId="00FB7DD9"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3.19</m:t>
                  </m:r>
                </m:den>
              </m:f>
            </m:oMath>
            <w:r w:rsidR="0030364B" w:rsidRPr="00877EE2">
              <w:rPr>
                <w:rFonts w:eastAsiaTheme="minorEastAsia"/>
                <w:sz w:val="24"/>
                <w:szCs w:val="24"/>
                <w:lang w:val="en-GB"/>
              </w:rPr>
              <w:t xml:space="preserve"> =114.52</w:t>
            </w:r>
          </w:p>
        </w:tc>
        <w:tc>
          <w:tcPr>
            <w:tcW w:w="1414" w:type="dxa"/>
          </w:tcPr>
          <w:p w14:paraId="4B178BE1"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3.64</m:t>
                  </m:r>
                </m:den>
              </m:f>
            </m:oMath>
            <w:r w:rsidR="0030364B" w:rsidRPr="00877EE2">
              <w:rPr>
                <w:rFonts w:eastAsiaTheme="minorEastAsia"/>
                <w:sz w:val="24"/>
                <w:szCs w:val="24"/>
                <w:lang w:val="en-GB"/>
              </w:rPr>
              <w:t xml:space="preserve"> =100.26</w:t>
            </w:r>
          </w:p>
        </w:tc>
      </w:tr>
      <w:tr w:rsidR="0030364B" w:rsidRPr="00877EE2" w14:paraId="1472D318" w14:textId="77777777" w:rsidTr="0030364B">
        <w:tc>
          <w:tcPr>
            <w:tcW w:w="2177" w:type="dxa"/>
          </w:tcPr>
          <w:p w14:paraId="6FC045A2" w14:textId="77777777" w:rsidR="0030364B" w:rsidRPr="00877EE2" w:rsidRDefault="0030364B" w:rsidP="0030364B">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Receivables Turnover (times)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Net Sales</m:t>
                  </m:r>
                </m:num>
                <m:den>
                  <m:r>
                    <w:rPr>
                      <w:rFonts w:ascii="Cambria Math" w:hAnsi="Cambria Math" w:cs="Times New Roman"/>
                      <w:sz w:val="24"/>
                      <w:szCs w:val="24"/>
                      <w:lang w:val="en-GB"/>
                    </w:rPr>
                    <m:t>Account Receivables</m:t>
                  </m:r>
                </m:den>
              </m:f>
            </m:oMath>
          </w:p>
        </w:tc>
        <w:tc>
          <w:tcPr>
            <w:tcW w:w="1412" w:type="dxa"/>
          </w:tcPr>
          <w:p w14:paraId="3E3C4C5E"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394,879</m:t>
                  </m:r>
                </m:num>
                <m:den>
                  <m:r>
                    <w:rPr>
                      <w:rFonts w:ascii="Cambria Math" w:hAnsi="Cambria Math" w:cs="Times New Roman"/>
                      <w:sz w:val="24"/>
                      <w:szCs w:val="24"/>
                      <w:lang w:val="en-GB"/>
                    </w:rPr>
                    <m:t>114,182</m:t>
                  </m:r>
                </m:den>
              </m:f>
            </m:oMath>
            <w:r w:rsidR="0030364B" w:rsidRPr="00877EE2">
              <w:rPr>
                <w:rFonts w:ascii="Times New Roman" w:eastAsiaTheme="minorEastAsia" w:hAnsi="Times New Roman" w:cs="Times New Roman"/>
                <w:sz w:val="24"/>
                <w:szCs w:val="24"/>
                <w:lang w:val="en-GB"/>
              </w:rPr>
              <w:t xml:space="preserve"> =  3.46</w:t>
            </w:r>
          </w:p>
        </w:tc>
        <w:tc>
          <w:tcPr>
            <w:tcW w:w="1412" w:type="dxa"/>
          </w:tcPr>
          <w:p w14:paraId="2A4A7702"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420,457</m:t>
                  </m:r>
                </m:num>
                <m:den>
                  <m:r>
                    <w:rPr>
                      <w:rFonts w:ascii="Cambria Math" w:hAnsi="Cambria Math" w:cs="Times New Roman"/>
                      <w:sz w:val="24"/>
                      <w:szCs w:val="24"/>
                      <w:lang w:val="en-GB"/>
                    </w:rPr>
                    <m:t>112,596</m:t>
                  </m:r>
                </m:den>
              </m:f>
            </m:oMath>
            <w:r w:rsidR="0030364B" w:rsidRPr="00877EE2">
              <w:rPr>
                <w:rFonts w:ascii="Times New Roman" w:eastAsiaTheme="minorEastAsia" w:hAnsi="Times New Roman" w:cs="Times New Roman"/>
                <w:sz w:val="24"/>
                <w:szCs w:val="24"/>
                <w:lang w:val="en-GB"/>
              </w:rPr>
              <w:t xml:space="preserve"> = 3.73</w:t>
            </w:r>
          </w:p>
        </w:tc>
        <w:tc>
          <w:tcPr>
            <w:tcW w:w="1413" w:type="dxa"/>
          </w:tcPr>
          <w:p w14:paraId="05C45ECC" w14:textId="77777777" w:rsidR="0030364B" w:rsidRPr="00877EE2" w:rsidRDefault="00A64F44">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542,751</m:t>
                  </m:r>
                </m:num>
                <m:den>
                  <m:r>
                    <w:rPr>
                      <w:rFonts w:ascii="Cambria Math" w:hAnsi="Cambria Math" w:cs="Times New Roman"/>
                      <w:sz w:val="24"/>
                      <w:szCs w:val="24"/>
                      <w:lang w:val="en-GB"/>
                    </w:rPr>
                    <m:t>112,346</m:t>
                  </m:r>
                </m:den>
              </m:f>
            </m:oMath>
            <w:r w:rsidR="0030364B" w:rsidRPr="00877EE2">
              <w:rPr>
                <w:rFonts w:ascii="Times New Roman" w:eastAsiaTheme="minorEastAsia" w:hAnsi="Times New Roman" w:cs="Times New Roman"/>
                <w:sz w:val="24"/>
                <w:szCs w:val="24"/>
                <w:lang w:val="en-GB"/>
              </w:rPr>
              <w:t xml:space="preserve"> = </w:t>
            </w:r>
          </w:p>
          <w:p w14:paraId="59756E22" w14:textId="77777777" w:rsidR="0030364B" w:rsidRPr="00877EE2" w:rsidRDefault="0030364B">
            <w:pPr>
              <w:rPr>
                <w:rFonts w:ascii="Times New Roman" w:eastAsiaTheme="minorEastAsia" w:hAnsi="Times New Roman" w:cs="Times New Roman"/>
                <w:sz w:val="24"/>
                <w:szCs w:val="24"/>
                <w:lang w:val="en-GB"/>
              </w:rPr>
            </w:pPr>
          </w:p>
          <w:p w14:paraId="090EE6C5" w14:textId="77777777" w:rsidR="0030364B" w:rsidRPr="00877EE2" w:rsidRDefault="0030364B">
            <w:pPr>
              <w:rPr>
                <w:lang w:val="en-GB"/>
              </w:rPr>
            </w:pPr>
            <w:r w:rsidRPr="00877EE2">
              <w:rPr>
                <w:lang w:val="en-GB"/>
              </w:rPr>
              <w:t>4.83</w:t>
            </w:r>
          </w:p>
        </w:tc>
        <w:tc>
          <w:tcPr>
            <w:tcW w:w="1414" w:type="dxa"/>
          </w:tcPr>
          <w:p w14:paraId="1BB7D3EF" w14:textId="77777777" w:rsidR="0030364B" w:rsidRPr="00877EE2" w:rsidRDefault="00A64F44">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601,602</m:t>
                  </m:r>
                </m:num>
                <m:den>
                  <m:r>
                    <w:rPr>
                      <w:rFonts w:ascii="Cambria Math" w:hAnsi="Cambria Math" w:cs="Times New Roman"/>
                      <w:sz w:val="24"/>
                      <w:szCs w:val="24"/>
                      <w:lang w:val="en-GB"/>
                    </w:rPr>
                    <m:t>129,215</m:t>
                  </m:r>
                </m:den>
              </m:f>
            </m:oMath>
            <w:r w:rsidR="0030364B" w:rsidRPr="00877EE2">
              <w:rPr>
                <w:rFonts w:ascii="Times New Roman" w:eastAsiaTheme="minorEastAsia" w:hAnsi="Times New Roman" w:cs="Times New Roman"/>
                <w:sz w:val="24"/>
                <w:szCs w:val="24"/>
                <w:lang w:val="en-GB"/>
              </w:rPr>
              <w:t xml:space="preserve"> = </w:t>
            </w:r>
          </w:p>
          <w:p w14:paraId="764A2C6C" w14:textId="77777777" w:rsidR="0030364B" w:rsidRPr="00877EE2" w:rsidRDefault="0030364B">
            <w:pPr>
              <w:rPr>
                <w:rFonts w:ascii="Times New Roman" w:eastAsiaTheme="minorEastAsia" w:hAnsi="Times New Roman" w:cs="Times New Roman"/>
                <w:sz w:val="24"/>
                <w:szCs w:val="24"/>
                <w:lang w:val="en-GB"/>
              </w:rPr>
            </w:pPr>
          </w:p>
          <w:p w14:paraId="169718B5" w14:textId="77777777" w:rsidR="0030364B" w:rsidRPr="00877EE2" w:rsidRDefault="0030364B">
            <w:pPr>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4.66</w:t>
            </w:r>
          </w:p>
          <w:p w14:paraId="3D9B99C4" w14:textId="77777777" w:rsidR="0030364B" w:rsidRPr="00877EE2" w:rsidRDefault="0030364B">
            <w:pPr>
              <w:rPr>
                <w:lang w:val="en-GB"/>
              </w:rPr>
            </w:pPr>
          </w:p>
        </w:tc>
        <w:tc>
          <w:tcPr>
            <w:tcW w:w="1414" w:type="dxa"/>
          </w:tcPr>
          <w:p w14:paraId="1566CF05" w14:textId="77777777" w:rsidR="0030364B" w:rsidRPr="00877EE2" w:rsidRDefault="00A64F44">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614,680</m:t>
                  </m:r>
                </m:num>
                <m:den>
                  <m:r>
                    <w:rPr>
                      <w:rFonts w:ascii="Cambria Math" w:hAnsi="Cambria Math" w:cs="Times New Roman"/>
                      <w:sz w:val="24"/>
                      <w:szCs w:val="24"/>
                      <w:lang w:val="en-GB"/>
                    </w:rPr>
                    <m:t>129,433</m:t>
                  </m:r>
                </m:den>
              </m:f>
            </m:oMath>
            <w:r w:rsidR="0030364B" w:rsidRPr="00877EE2">
              <w:rPr>
                <w:rFonts w:ascii="Times New Roman" w:eastAsiaTheme="minorEastAsia" w:hAnsi="Times New Roman" w:cs="Times New Roman"/>
                <w:sz w:val="24"/>
                <w:szCs w:val="24"/>
                <w:lang w:val="en-GB"/>
              </w:rPr>
              <w:t xml:space="preserve"> =  </w:t>
            </w:r>
          </w:p>
          <w:p w14:paraId="2420ABFD" w14:textId="77777777" w:rsidR="0030364B" w:rsidRPr="00877EE2" w:rsidRDefault="0030364B">
            <w:pPr>
              <w:rPr>
                <w:lang w:val="en-GB"/>
              </w:rPr>
            </w:pPr>
            <w:r w:rsidRPr="00877EE2">
              <w:rPr>
                <w:lang w:val="en-GB"/>
              </w:rPr>
              <w:t>4.75</w:t>
            </w:r>
          </w:p>
        </w:tc>
      </w:tr>
      <w:tr w:rsidR="0030364B" w:rsidRPr="00877EE2" w14:paraId="5389DA3A" w14:textId="77777777" w:rsidTr="0030364B">
        <w:tc>
          <w:tcPr>
            <w:tcW w:w="2177" w:type="dxa"/>
          </w:tcPr>
          <w:p w14:paraId="1418EC74" w14:textId="77777777" w:rsidR="0030364B" w:rsidRPr="00877EE2" w:rsidRDefault="0030364B"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Days Sales Outstanding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hAnsi="Cambria Math" w:cs="Times New Roman"/>
                      <w:sz w:val="24"/>
                      <w:szCs w:val="24"/>
                      <w:lang w:val="en-GB"/>
                    </w:rPr>
                    <m:t xml:space="preserve">Receivables Turnover </m:t>
                  </m:r>
                </m:den>
              </m:f>
            </m:oMath>
          </w:p>
        </w:tc>
        <w:tc>
          <w:tcPr>
            <w:tcW w:w="1412" w:type="dxa"/>
          </w:tcPr>
          <w:p w14:paraId="1B33E27A"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cs="Times New Roman"/>
                      <w:sz w:val="24"/>
                      <w:szCs w:val="24"/>
                      <w:lang w:val="en-GB"/>
                    </w:rPr>
                    <m:t>3.46</m:t>
                  </m:r>
                </m:den>
              </m:f>
            </m:oMath>
            <w:r w:rsidR="0030364B" w:rsidRPr="00877EE2">
              <w:rPr>
                <w:rFonts w:eastAsiaTheme="minorEastAsia"/>
                <w:sz w:val="24"/>
                <w:szCs w:val="24"/>
                <w:lang w:val="en-GB"/>
              </w:rPr>
              <w:t xml:space="preserve"> =105.54</w:t>
            </w:r>
          </w:p>
        </w:tc>
        <w:tc>
          <w:tcPr>
            <w:tcW w:w="1412" w:type="dxa"/>
          </w:tcPr>
          <w:p w14:paraId="30842EF9"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cs="Times New Roman"/>
                      <w:sz w:val="24"/>
                      <w:szCs w:val="24"/>
                      <w:lang w:val="en-GB"/>
                    </w:rPr>
                    <m:t>3.73</m:t>
                  </m:r>
                </m:den>
              </m:f>
            </m:oMath>
            <w:r w:rsidR="0030364B" w:rsidRPr="00877EE2">
              <w:rPr>
                <w:rFonts w:eastAsiaTheme="minorEastAsia"/>
                <w:sz w:val="24"/>
                <w:szCs w:val="24"/>
                <w:lang w:val="en-GB"/>
              </w:rPr>
              <w:t xml:space="preserve"> =97.74</w:t>
            </w:r>
          </w:p>
        </w:tc>
        <w:tc>
          <w:tcPr>
            <w:tcW w:w="1413" w:type="dxa"/>
          </w:tcPr>
          <w:p w14:paraId="5A0AD954"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hAnsi="Cambria Math"/>
                      <w:lang w:val="en-GB"/>
                    </w:rPr>
                    <m:t>4.83</m:t>
                  </m:r>
                </m:den>
              </m:f>
            </m:oMath>
            <w:r w:rsidR="0030364B" w:rsidRPr="00877EE2">
              <w:rPr>
                <w:rFonts w:eastAsiaTheme="minorEastAsia"/>
                <w:sz w:val="24"/>
                <w:szCs w:val="24"/>
                <w:lang w:val="en-GB"/>
              </w:rPr>
              <w:t xml:space="preserve"> =75.55</w:t>
            </w:r>
          </w:p>
        </w:tc>
        <w:tc>
          <w:tcPr>
            <w:tcW w:w="1414" w:type="dxa"/>
          </w:tcPr>
          <w:p w14:paraId="6D40414E"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w:rPr>
                      <w:rFonts w:ascii="Cambria Math" w:hAnsi="Cambria Math" w:cs="Times New Roman"/>
                      <w:sz w:val="24"/>
                      <w:szCs w:val="24"/>
                      <w:lang w:val="en-GB"/>
                    </w:rPr>
                    <m:t>4.66</m:t>
                  </m:r>
                </m:den>
              </m:f>
            </m:oMath>
            <w:r w:rsidR="0030364B" w:rsidRPr="00877EE2">
              <w:rPr>
                <w:rFonts w:eastAsiaTheme="minorEastAsia"/>
                <w:sz w:val="24"/>
                <w:szCs w:val="24"/>
                <w:lang w:val="en-GB"/>
              </w:rPr>
              <w:t xml:space="preserve"> =78.40</w:t>
            </w:r>
          </w:p>
        </w:tc>
        <w:tc>
          <w:tcPr>
            <w:tcW w:w="1414" w:type="dxa"/>
          </w:tcPr>
          <w:p w14:paraId="55164CB7"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hAnsi="Cambria Math"/>
                      <w:lang w:val="en-GB"/>
                    </w:rPr>
                    <m:t>4.75</m:t>
                  </m:r>
                </m:den>
              </m:f>
            </m:oMath>
            <w:r w:rsidR="0030364B" w:rsidRPr="00877EE2">
              <w:rPr>
                <w:rFonts w:eastAsiaTheme="minorEastAsia"/>
                <w:sz w:val="24"/>
                <w:szCs w:val="24"/>
                <w:lang w:val="en-GB"/>
              </w:rPr>
              <w:t xml:space="preserve"> =76.86</w:t>
            </w:r>
          </w:p>
        </w:tc>
      </w:tr>
      <w:tr w:rsidR="0030364B" w:rsidRPr="00877EE2" w14:paraId="617A186F" w14:textId="77777777" w:rsidTr="0030364B">
        <w:tc>
          <w:tcPr>
            <w:tcW w:w="2177" w:type="dxa"/>
          </w:tcPr>
          <w:p w14:paraId="6A85C36D" w14:textId="77777777" w:rsidR="0030364B" w:rsidRPr="00877EE2" w:rsidRDefault="0030364B"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Payables Turnover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Cost of Sales</m:t>
                  </m:r>
                </m:num>
                <m:den>
                  <m:r>
                    <w:rPr>
                      <w:rFonts w:ascii="Cambria Math" w:hAnsi="Cambria Math" w:cs="Times New Roman"/>
                      <w:sz w:val="24"/>
                      <w:szCs w:val="24"/>
                      <w:lang w:val="en-GB"/>
                    </w:rPr>
                    <m:t>Accounts Payable</m:t>
                  </m:r>
                </m:den>
              </m:f>
            </m:oMath>
          </w:p>
        </w:tc>
        <w:tc>
          <w:tcPr>
            <w:tcW w:w="1412" w:type="dxa"/>
          </w:tcPr>
          <w:p w14:paraId="28A71D11" w14:textId="77777777" w:rsidR="0030364B" w:rsidRPr="00877EE2" w:rsidRDefault="00A64F44" w:rsidP="0030364B">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280,885</m:t>
                  </m:r>
                </m:num>
                <m:den>
                  <m:r>
                    <w:rPr>
                      <w:rFonts w:ascii="Cambria Math" w:hAnsi="Cambria Math" w:cs="Times New Roman"/>
                      <w:sz w:val="24"/>
                      <w:szCs w:val="24"/>
                      <w:lang w:val="en-GB"/>
                    </w:rPr>
                    <m:t>72,031</m:t>
                  </m:r>
                </m:den>
              </m:f>
            </m:oMath>
            <w:r w:rsidR="0030364B" w:rsidRPr="00877EE2">
              <w:rPr>
                <w:rFonts w:eastAsiaTheme="minorEastAsia"/>
                <w:sz w:val="24"/>
                <w:szCs w:val="24"/>
                <w:lang w:val="en-GB"/>
              </w:rPr>
              <w:t xml:space="preserve"> =</w:t>
            </w:r>
            <w:r w:rsidR="0030364B" w:rsidRPr="00877EE2">
              <w:rPr>
                <w:lang w:val="en-GB"/>
              </w:rPr>
              <w:t xml:space="preserve"> </w:t>
            </w:r>
            <w:r w:rsidR="0030364B" w:rsidRPr="00877EE2">
              <w:rPr>
                <w:rFonts w:eastAsiaTheme="minorEastAsia"/>
                <w:sz w:val="24"/>
                <w:szCs w:val="24"/>
                <w:lang w:val="en-GB"/>
              </w:rPr>
              <w:t>3.90</w:t>
            </w:r>
          </w:p>
        </w:tc>
        <w:tc>
          <w:tcPr>
            <w:tcW w:w="1412" w:type="dxa"/>
          </w:tcPr>
          <w:p w14:paraId="2E12E14E" w14:textId="77777777" w:rsidR="0030364B"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322,897</m:t>
                  </m:r>
                </m:num>
                <m:den>
                  <m:r>
                    <w:rPr>
                      <w:rFonts w:ascii="Cambria Math" w:hAnsi="Cambria Math" w:cs="Times New Roman"/>
                      <w:sz w:val="24"/>
                      <w:szCs w:val="24"/>
                      <w:lang w:val="en-GB"/>
                    </w:rPr>
                    <m:t>57,033</m:t>
                  </m:r>
                </m:den>
              </m:f>
            </m:oMath>
            <w:r w:rsidR="0030364B" w:rsidRPr="00877EE2">
              <w:rPr>
                <w:rFonts w:eastAsiaTheme="minorEastAsia"/>
                <w:sz w:val="24"/>
                <w:szCs w:val="24"/>
                <w:lang w:val="en-GB"/>
              </w:rPr>
              <w:t xml:space="preserve"> = 5.66</w:t>
            </w:r>
          </w:p>
        </w:tc>
        <w:tc>
          <w:tcPr>
            <w:tcW w:w="1413" w:type="dxa"/>
          </w:tcPr>
          <w:p w14:paraId="255A35CB" w14:textId="77777777" w:rsidR="0030364B" w:rsidRPr="00877EE2" w:rsidRDefault="00A64F44" w:rsidP="0030364B">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390,459</m:t>
                  </m:r>
                </m:num>
                <m:den>
                  <m:r>
                    <w:rPr>
                      <w:rFonts w:ascii="Cambria Math" w:hAnsi="Cambria Math" w:cs="Times New Roman"/>
                      <w:sz w:val="24"/>
                      <w:szCs w:val="24"/>
                      <w:lang w:val="en-GB"/>
                    </w:rPr>
                    <m:t>71,373</m:t>
                  </m:r>
                </m:den>
              </m:f>
            </m:oMath>
            <w:r w:rsidR="0030364B" w:rsidRPr="00877EE2">
              <w:rPr>
                <w:rFonts w:eastAsiaTheme="minorEastAsia"/>
                <w:sz w:val="24"/>
                <w:szCs w:val="24"/>
                <w:lang w:val="en-GB"/>
              </w:rPr>
              <w:t xml:space="preserve"> =</w:t>
            </w:r>
            <w:r w:rsidR="0030364B" w:rsidRPr="00877EE2">
              <w:rPr>
                <w:lang w:val="en-GB"/>
              </w:rPr>
              <w:t xml:space="preserve"> </w:t>
            </w:r>
            <w:r w:rsidR="0030364B" w:rsidRPr="00877EE2">
              <w:rPr>
                <w:rFonts w:eastAsiaTheme="minorEastAsia"/>
                <w:sz w:val="24"/>
                <w:szCs w:val="24"/>
                <w:lang w:val="en-GB"/>
              </w:rPr>
              <w:t>5.47</w:t>
            </w:r>
          </w:p>
        </w:tc>
        <w:tc>
          <w:tcPr>
            <w:tcW w:w="1414" w:type="dxa"/>
          </w:tcPr>
          <w:p w14:paraId="10CE7907" w14:textId="77777777" w:rsidR="0030364B" w:rsidRPr="00877EE2" w:rsidRDefault="00A64F44" w:rsidP="0030364B">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428,586</m:t>
                  </m:r>
                </m:num>
                <m:den>
                  <m:r>
                    <w:rPr>
                      <w:rFonts w:ascii="Cambria Math" w:hAnsi="Cambria Math" w:cs="Times New Roman"/>
                      <w:sz w:val="24"/>
                      <w:szCs w:val="24"/>
                      <w:lang w:val="en-GB"/>
                    </w:rPr>
                    <m:t>92,707</m:t>
                  </m:r>
                </m:den>
              </m:f>
            </m:oMath>
            <w:r w:rsidR="0030364B" w:rsidRPr="00877EE2">
              <w:rPr>
                <w:rFonts w:eastAsiaTheme="minorEastAsia"/>
                <w:sz w:val="24"/>
                <w:szCs w:val="24"/>
                <w:lang w:val="en-GB"/>
              </w:rPr>
              <w:t xml:space="preserve"> = 4.62</w:t>
            </w:r>
          </w:p>
        </w:tc>
        <w:tc>
          <w:tcPr>
            <w:tcW w:w="1414" w:type="dxa"/>
          </w:tcPr>
          <w:p w14:paraId="5C05B192" w14:textId="77777777" w:rsidR="0030364B" w:rsidRPr="00877EE2" w:rsidRDefault="00A64F44" w:rsidP="0030364B">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438,424</m:t>
                  </m:r>
                </m:num>
                <m:den>
                  <m:r>
                    <w:rPr>
                      <w:rFonts w:ascii="Cambria Math" w:hAnsi="Cambria Math" w:cs="Times New Roman"/>
                      <w:sz w:val="24"/>
                      <w:szCs w:val="24"/>
                      <w:lang w:val="en-GB"/>
                    </w:rPr>
                    <m:t>83,229</m:t>
                  </m:r>
                </m:den>
              </m:f>
            </m:oMath>
            <w:r w:rsidR="0030364B" w:rsidRPr="00877EE2">
              <w:rPr>
                <w:rFonts w:eastAsiaTheme="minorEastAsia"/>
                <w:sz w:val="24"/>
                <w:szCs w:val="24"/>
                <w:lang w:val="en-GB"/>
              </w:rPr>
              <w:t xml:space="preserve"> = 5.27</w:t>
            </w:r>
          </w:p>
        </w:tc>
      </w:tr>
      <w:tr w:rsidR="0030364B" w:rsidRPr="00877EE2" w14:paraId="38FC43F6" w14:textId="77777777" w:rsidTr="0030364B">
        <w:tc>
          <w:tcPr>
            <w:tcW w:w="2177" w:type="dxa"/>
          </w:tcPr>
          <w:p w14:paraId="240857D5" w14:textId="77777777" w:rsidR="0030364B" w:rsidRPr="00877EE2" w:rsidRDefault="0030364B" w:rsidP="0062643F">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Days Payables Outstanding=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hAnsi="Cambria Math" w:cs="Times New Roman"/>
                      <w:sz w:val="24"/>
                      <w:szCs w:val="24"/>
                      <w:lang w:val="en-GB"/>
                    </w:rPr>
                    <m:t>Payables Turnover</m:t>
                  </m:r>
                </m:den>
              </m:f>
            </m:oMath>
          </w:p>
        </w:tc>
        <w:tc>
          <w:tcPr>
            <w:tcW w:w="1412" w:type="dxa"/>
          </w:tcPr>
          <w:p w14:paraId="6F1E435E"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3.90</m:t>
                  </m:r>
                </m:den>
              </m:f>
            </m:oMath>
            <w:r w:rsidR="0030364B" w:rsidRPr="00877EE2">
              <w:rPr>
                <w:rFonts w:eastAsiaTheme="minorEastAsia"/>
                <w:sz w:val="24"/>
                <w:szCs w:val="24"/>
                <w:lang w:val="en-GB"/>
              </w:rPr>
              <w:t xml:space="preserve"> = 93.60</w:t>
            </w:r>
          </w:p>
        </w:tc>
        <w:tc>
          <w:tcPr>
            <w:tcW w:w="1412" w:type="dxa"/>
          </w:tcPr>
          <w:p w14:paraId="770B67CE"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3.90</m:t>
                  </m:r>
                </m:den>
              </m:f>
            </m:oMath>
            <w:r w:rsidR="0030364B" w:rsidRPr="00877EE2">
              <w:rPr>
                <w:rFonts w:eastAsiaTheme="minorEastAsia"/>
                <w:sz w:val="24"/>
                <w:szCs w:val="24"/>
                <w:lang w:val="en-GB"/>
              </w:rPr>
              <w:t xml:space="preserve"> =</w:t>
            </w:r>
            <w:r w:rsidR="0030364B" w:rsidRPr="00877EE2">
              <w:rPr>
                <w:lang w:val="en-GB"/>
              </w:rPr>
              <w:t>64.47</w:t>
            </w:r>
          </w:p>
        </w:tc>
        <w:tc>
          <w:tcPr>
            <w:tcW w:w="1413" w:type="dxa"/>
          </w:tcPr>
          <w:p w14:paraId="0B9A3104"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5.47</m:t>
                  </m:r>
                </m:den>
              </m:f>
            </m:oMath>
            <w:r w:rsidR="0030364B" w:rsidRPr="00877EE2">
              <w:rPr>
                <w:rFonts w:eastAsiaTheme="minorEastAsia"/>
                <w:sz w:val="24"/>
                <w:szCs w:val="24"/>
                <w:lang w:val="en-GB"/>
              </w:rPr>
              <w:t xml:space="preserve"> = 66.72</w:t>
            </w:r>
          </w:p>
        </w:tc>
        <w:tc>
          <w:tcPr>
            <w:tcW w:w="1414" w:type="dxa"/>
          </w:tcPr>
          <w:p w14:paraId="35571E93"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4.62</m:t>
                  </m:r>
                </m:den>
              </m:f>
            </m:oMath>
            <w:r w:rsidR="0030364B" w:rsidRPr="00877EE2">
              <w:rPr>
                <w:rFonts w:eastAsiaTheme="minorEastAsia"/>
                <w:sz w:val="24"/>
                <w:szCs w:val="24"/>
                <w:lang w:val="en-GB"/>
              </w:rPr>
              <w:t xml:space="preserve"> = 78.95</w:t>
            </w:r>
          </w:p>
        </w:tc>
        <w:tc>
          <w:tcPr>
            <w:tcW w:w="1414" w:type="dxa"/>
          </w:tcPr>
          <w:p w14:paraId="6A3CC91D" w14:textId="77777777" w:rsidR="0030364B" w:rsidRPr="00877EE2" w:rsidRDefault="00A64F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365</m:t>
                  </m:r>
                </m:num>
                <m:den>
                  <m:r>
                    <m:rPr>
                      <m:sty m:val="p"/>
                    </m:rPr>
                    <w:rPr>
                      <w:rFonts w:ascii="Cambria Math" w:eastAsiaTheme="minorEastAsia" w:hAnsi="Cambria Math"/>
                      <w:sz w:val="24"/>
                      <w:szCs w:val="24"/>
                      <w:lang w:val="en-GB"/>
                    </w:rPr>
                    <m:t>5.27</m:t>
                  </m:r>
                </m:den>
              </m:f>
            </m:oMath>
            <w:r w:rsidR="0030364B" w:rsidRPr="00877EE2">
              <w:rPr>
                <w:rFonts w:eastAsiaTheme="minorEastAsia"/>
                <w:sz w:val="24"/>
                <w:szCs w:val="24"/>
                <w:lang w:val="en-GB"/>
              </w:rPr>
              <w:t xml:space="preserve"> = 69.29</w:t>
            </w:r>
          </w:p>
        </w:tc>
      </w:tr>
      <w:tr w:rsidR="005D0C4D" w:rsidRPr="00877EE2" w14:paraId="6D907C2F" w14:textId="77777777" w:rsidTr="0030364B">
        <w:tc>
          <w:tcPr>
            <w:tcW w:w="2177" w:type="dxa"/>
          </w:tcPr>
          <w:p w14:paraId="40C819D2" w14:textId="77777777" w:rsidR="005D0C4D" w:rsidRPr="00877EE2" w:rsidRDefault="005D0C4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Asset Turnover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 xml:space="preserve">Net Sales </m:t>
                  </m:r>
                </m:num>
                <m:den>
                  <m:r>
                    <w:rPr>
                      <w:rFonts w:ascii="Cambria Math" w:hAnsi="Cambria Math" w:cs="Times New Roman"/>
                      <w:sz w:val="24"/>
                      <w:szCs w:val="24"/>
                      <w:lang w:val="en-GB"/>
                    </w:rPr>
                    <m:t>Total Asset</m:t>
                  </m:r>
                </m:den>
              </m:f>
            </m:oMath>
          </w:p>
        </w:tc>
        <w:tc>
          <w:tcPr>
            <w:tcW w:w="1412" w:type="dxa"/>
          </w:tcPr>
          <w:p w14:paraId="579364E1"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394,879</m:t>
                  </m:r>
                </m:num>
                <m:den>
                  <m:r>
                    <w:rPr>
                      <w:rFonts w:ascii="Cambria Math" w:hAnsi="Cambria Math" w:cs="Times New Roman"/>
                      <w:sz w:val="24"/>
                      <w:szCs w:val="24"/>
                      <w:lang w:val="en-GB"/>
                    </w:rPr>
                    <m:t>323,354</m:t>
                  </m:r>
                </m:den>
              </m:f>
            </m:oMath>
            <w:r w:rsidR="005D0C4D" w:rsidRPr="00877EE2">
              <w:rPr>
                <w:rFonts w:ascii="Times New Roman" w:eastAsiaTheme="minorEastAsia" w:hAnsi="Times New Roman" w:cs="Times New Roman"/>
                <w:sz w:val="24"/>
                <w:szCs w:val="24"/>
                <w:lang w:val="en-GB"/>
              </w:rPr>
              <w:t xml:space="preserve"> =  1.22</w:t>
            </w:r>
          </w:p>
        </w:tc>
        <w:tc>
          <w:tcPr>
            <w:tcW w:w="1412" w:type="dxa"/>
          </w:tcPr>
          <w:p w14:paraId="4C91F28A" w14:textId="77777777" w:rsidR="005D0C4D" w:rsidRPr="00877EE2" w:rsidRDefault="00A64F44" w:rsidP="005D0C4D">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420,457</m:t>
                  </m:r>
                </m:num>
                <m:den>
                  <m:r>
                    <w:rPr>
                      <w:rFonts w:ascii="Cambria Math" w:hAnsi="Cambria Math" w:cs="Times New Roman"/>
                      <w:sz w:val="24"/>
                      <w:szCs w:val="24"/>
                      <w:lang w:val="en-GB"/>
                    </w:rPr>
                    <m:t>323,354</m:t>
                  </m:r>
                </m:den>
              </m:f>
            </m:oMath>
            <w:r w:rsidR="005D0C4D" w:rsidRPr="00877EE2">
              <w:rPr>
                <w:rFonts w:ascii="Times New Roman" w:eastAsiaTheme="minorEastAsia" w:hAnsi="Times New Roman" w:cs="Times New Roman"/>
                <w:sz w:val="24"/>
                <w:szCs w:val="24"/>
                <w:lang w:val="en-GB"/>
              </w:rPr>
              <w:t xml:space="preserve"> = 1.18</w:t>
            </w:r>
          </w:p>
        </w:tc>
        <w:tc>
          <w:tcPr>
            <w:tcW w:w="1413" w:type="dxa"/>
          </w:tcPr>
          <w:p w14:paraId="16127A11" w14:textId="77777777" w:rsidR="005D0C4D" w:rsidRPr="00877EE2" w:rsidRDefault="00A64F44" w:rsidP="009C5844">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542,751</m:t>
                  </m:r>
                </m:num>
                <m:den>
                  <m:r>
                    <w:rPr>
                      <w:rFonts w:ascii="Cambria Math" w:hAnsi="Cambria Math" w:cs="Times New Roman"/>
                      <w:sz w:val="24"/>
                      <w:szCs w:val="24"/>
                      <w:lang w:val="en-GB"/>
                    </w:rPr>
                    <m:t>504,163</m:t>
                  </m:r>
                </m:den>
              </m:f>
            </m:oMath>
            <w:r w:rsidR="005D0C4D" w:rsidRPr="00877EE2">
              <w:rPr>
                <w:rFonts w:ascii="Times New Roman" w:eastAsiaTheme="minorEastAsia" w:hAnsi="Times New Roman" w:cs="Times New Roman"/>
                <w:sz w:val="24"/>
                <w:szCs w:val="24"/>
                <w:lang w:val="en-GB"/>
              </w:rPr>
              <w:t xml:space="preserve"> = </w:t>
            </w:r>
          </w:p>
          <w:p w14:paraId="5DE1A129" w14:textId="77777777" w:rsidR="005D0C4D" w:rsidRPr="00877EE2" w:rsidRDefault="005D0C4D" w:rsidP="009C5844">
            <w:pPr>
              <w:rPr>
                <w:rFonts w:ascii="Times New Roman" w:eastAsiaTheme="minorEastAsia" w:hAnsi="Times New Roman" w:cs="Times New Roman"/>
                <w:sz w:val="24"/>
                <w:szCs w:val="24"/>
                <w:lang w:val="en-GB"/>
              </w:rPr>
            </w:pPr>
          </w:p>
          <w:p w14:paraId="33F08A92" w14:textId="77777777" w:rsidR="005D0C4D" w:rsidRPr="00877EE2" w:rsidRDefault="005D0C4D" w:rsidP="009C5844">
            <w:pPr>
              <w:rPr>
                <w:lang w:val="en-GB"/>
              </w:rPr>
            </w:pPr>
            <w:r w:rsidRPr="00877EE2">
              <w:rPr>
                <w:lang w:val="en-GB"/>
              </w:rPr>
              <w:t>1.08</w:t>
            </w:r>
          </w:p>
        </w:tc>
        <w:tc>
          <w:tcPr>
            <w:tcW w:w="1414" w:type="dxa"/>
          </w:tcPr>
          <w:p w14:paraId="2E00D35D" w14:textId="77777777" w:rsidR="005D0C4D" w:rsidRPr="00877EE2" w:rsidRDefault="00A64F44" w:rsidP="009C5844">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601,602</m:t>
                  </m:r>
                </m:num>
                <m:den>
                  <m:r>
                    <w:rPr>
                      <w:rFonts w:ascii="Cambria Math" w:hAnsi="Cambria Math" w:cs="Times New Roman"/>
                      <w:sz w:val="24"/>
                      <w:szCs w:val="24"/>
                      <w:lang w:val="en-GB"/>
                    </w:rPr>
                    <m:t>510,348</m:t>
                  </m:r>
                </m:den>
              </m:f>
            </m:oMath>
            <w:r w:rsidR="005D0C4D" w:rsidRPr="00877EE2">
              <w:rPr>
                <w:rFonts w:ascii="Times New Roman" w:eastAsiaTheme="minorEastAsia" w:hAnsi="Times New Roman" w:cs="Times New Roman"/>
                <w:sz w:val="24"/>
                <w:szCs w:val="24"/>
                <w:lang w:val="en-GB"/>
              </w:rPr>
              <w:t xml:space="preserve"> = </w:t>
            </w:r>
          </w:p>
          <w:p w14:paraId="70B965D5" w14:textId="77777777" w:rsidR="005D0C4D" w:rsidRPr="00877EE2" w:rsidRDefault="005D0C4D" w:rsidP="009C5844">
            <w:pPr>
              <w:rPr>
                <w:rFonts w:ascii="Times New Roman" w:eastAsiaTheme="minorEastAsia" w:hAnsi="Times New Roman" w:cs="Times New Roman"/>
                <w:sz w:val="24"/>
                <w:szCs w:val="24"/>
                <w:lang w:val="en-GB"/>
              </w:rPr>
            </w:pPr>
          </w:p>
          <w:p w14:paraId="13848E6C" w14:textId="77777777" w:rsidR="005D0C4D" w:rsidRPr="00877EE2" w:rsidRDefault="005D0C4D" w:rsidP="009C5844">
            <w:pPr>
              <w:rPr>
                <w:lang w:val="en-GB"/>
              </w:rPr>
            </w:pPr>
            <w:r w:rsidRPr="00877EE2">
              <w:rPr>
                <w:rFonts w:ascii="Times New Roman" w:eastAsiaTheme="minorEastAsia" w:hAnsi="Times New Roman" w:cs="Times New Roman"/>
                <w:sz w:val="24"/>
                <w:szCs w:val="24"/>
                <w:lang w:val="en-GB"/>
              </w:rPr>
              <w:t>1.18</w:t>
            </w:r>
          </w:p>
        </w:tc>
        <w:tc>
          <w:tcPr>
            <w:tcW w:w="1414" w:type="dxa"/>
          </w:tcPr>
          <w:p w14:paraId="5F588A3E" w14:textId="77777777" w:rsidR="005D0C4D" w:rsidRPr="00877EE2" w:rsidRDefault="00A64F44" w:rsidP="009C5844">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614,680</m:t>
                  </m:r>
                </m:num>
                <m:den>
                  <m:r>
                    <w:rPr>
                      <w:rFonts w:ascii="Cambria Math" w:hAnsi="Cambria Math" w:cs="Times New Roman"/>
                      <w:sz w:val="24"/>
                      <w:szCs w:val="24"/>
                      <w:lang w:val="en-GB"/>
                    </w:rPr>
                    <m:t>510,290</m:t>
                  </m:r>
                </m:den>
              </m:f>
            </m:oMath>
            <w:r w:rsidR="005D0C4D" w:rsidRPr="00877EE2">
              <w:rPr>
                <w:rFonts w:ascii="Times New Roman" w:eastAsiaTheme="minorEastAsia" w:hAnsi="Times New Roman" w:cs="Times New Roman"/>
                <w:sz w:val="24"/>
                <w:szCs w:val="24"/>
                <w:lang w:val="en-GB"/>
              </w:rPr>
              <w:t xml:space="preserve"> =  </w:t>
            </w:r>
          </w:p>
          <w:p w14:paraId="62BC5186" w14:textId="77777777" w:rsidR="005D0C4D" w:rsidRPr="00877EE2" w:rsidRDefault="005D0C4D" w:rsidP="009C5844">
            <w:pPr>
              <w:rPr>
                <w:lang w:val="en-GB"/>
              </w:rPr>
            </w:pPr>
            <w:r w:rsidRPr="00877EE2">
              <w:rPr>
                <w:lang w:val="en-GB"/>
              </w:rPr>
              <w:t>1.20</w:t>
            </w:r>
          </w:p>
        </w:tc>
      </w:tr>
    </w:tbl>
    <w:p w14:paraId="5AF9169A" w14:textId="77777777" w:rsidR="0062643F" w:rsidRPr="00877EE2" w:rsidRDefault="0062643F" w:rsidP="00881A34">
      <w:pPr>
        <w:spacing w:line="360" w:lineRule="auto"/>
        <w:jc w:val="both"/>
        <w:rPr>
          <w:rFonts w:ascii="Times New Roman" w:hAnsi="Times New Roman" w:cs="Times New Roman"/>
          <w:sz w:val="24"/>
          <w:szCs w:val="24"/>
          <w:lang w:val="en-GB"/>
        </w:rPr>
      </w:pPr>
    </w:p>
    <w:p w14:paraId="20E4F1A2" w14:textId="77777777" w:rsidR="005D0C4D" w:rsidRPr="00877EE2" w:rsidRDefault="005D0C4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Gearing Ration</w:t>
      </w:r>
    </w:p>
    <w:tbl>
      <w:tblPr>
        <w:tblStyle w:val="TableGrid"/>
        <w:tblW w:w="0" w:type="auto"/>
        <w:tblLook w:val="04A0" w:firstRow="1" w:lastRow="0" w:firstColumn="1" w:lastColumn="0" w:noHBand="0" w:noVBand="1"/>
      </w:tblPr>
      <w:tblGrid>
        <w:gridCol w:w="1921"/>
        <w:gridCol w:w="1467"/>
        <w:gridCol w:w="1467"/>
        <w:gridCol w:w="1462"/>
        <w:gridCol w:w="1462"/>
        <w:gridCol w:w="1463"/>
      </w:tblGrid>
      <w:tr w:rsidR="005D0C4D" w:rsidRPr="00877EE2" w14:paraId="25C13BE6" w14:textId="77777777" w:rsidTr="005D0C4D">
        <w:tc>
          <w:tcPr>
            <w:tcW w:w="1540" w:type="dxa"/>
          </w:tcPr>
          <w:p w14:paraId="0A16859C"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Ratio</w:t>
            </w:r>
          </w:p>
        </w:tc>
        <w:tc>
          <w:tcPr>
            <w:tcW w:w="1540" w:type="dxa"/>
          </w:tcPr>
          <w:p w14:paraId="1D10562A"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2024</w:t>
            </w:r>
          </w:p>
        </w:tc>
        <w:tc>
          <w:tcPr>
            <w:tcW w:w="1540" w:type="dxa"/>
          </w:tcPr>
          <w:p w14:paraId="16C64E58"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2023</w:t>
            </w:r>
          </w:p>
        </w:tc>
        <w:tc>
          <w:tcPr>
            <w:tcW w:w="1540" w:type="dxa"/>
          </w:tcPr>
          <w:p w14:paraId="50B84B94"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2022</w:t>
            </w:r>
          </w:p>
        </w:tc>
        <w:tc>
          <w:tcPr>
            <w:tcW w:w="1541" w:type="dxa"/>
          </w:tcPr>
          <w:p w14:paraId="49383CCA"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2021</w:t>
            </w:r>
          </w:p>
        </w:tc>
        <w:tc>
          <w:tcPr>
            <w:tcW w:w="1541" w:type="dxa"/>
          </w:tcPr>
          <w:p w14:paraId="0D80EAED"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2020</w:t>
            </w:r>
          </w:p>
        </w:tc>
      </w:tr>
      <w:tr w:rsidR="005D0C4D" w:rsidRPr="00877EE2" w14:paraId="6FA26CEE" w14:textId="77777777" w:rsidTr="005D0C4D">
        <w:tc>
          <w:tcPr>
            <w:tcW w:w="1540" w:type="dxa"/>
          </w:tcPr>
          <w:p w14:paraId="0123AA12" w14:textId="77777777" w:rsidR="005D0C4D" w:rsidRPr="00877EE2" w:rsidRDefault="005D0C4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Debt-to-Equity Ratio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Total Liabilities</m:t>
                  </m:r>
                </m:num>
                <m:den>
                  <m:r>
                    <w:rPr>
                      <w:rFonts w:ascii="Cambria Math" w:hAnsi="Cambria Math" w:cs="Times New Roman"/>
                      <w:sz w:val="24"/>
                      <w:szCs w:val="24"/>
                      <w:lang w:val="en-GB"/>
                    </w:rPr>
                    <m:t>Total Equity</m:t>
                  </m:r>
                </m:den>
              </m:f>
            </m:oMath>
          </w:p>
        </w:tc>
        <w:tc>
          <w:tcPr>
            <w:tcW w:w="1540" w:type="dxa"/>
          </w:tcPr>
          <w:p w14:paraId="50401AE7" w14:textId="77777777" w:rsidR="005D0C4D" w:rsidRPr="00877EE2" w:rsidRDefault="00A64F44" w:rsidP="009C5844">
            <w:pPr>
              <w:rPr>
                <w:rFonts w:ascii="Times New Roman" w:eastAsiaTheme="minorEastAsia" w:hAnsi="Times New Roman" w:cs="Times New Roman"/>
                <w:sz w:val="24"/>
                <w:szCs w:val="24"/>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170,249</m:t>
                  </m:r>
                </m:num>
                <m:den>
                  <m:r>
                    <w:rPr>
                      <w:rFonts w:ascii="Cambria Math" w:hAnsi="Cambria Math" w:cs="Times New Roman"/>
                      <w:sz w:val="24"/>
                      <w:szCs w:val="24"/>
                      <w:lang w:val="en-GB"/>
                    </w:rPr>
                    <m:t>153,105</m:t>
                  </m:r>
                </m:den>
              </m:f>
            </m:oMath>
            <w:r w:rsidR="005D0C4D" w:rsidRPr="00877EE2">
              <w:rPr>
                <w:rFonts w:ascii="Times New Roman" w:eastAsiaTheme="minorEastAsia" w:hAnsi="Times New Roman" w:cs="Times New Roman"/>
                <w:sz w:val="24"/>
                <w:szCs w:val="24"/>
                <w:lang w:val="en-GB"/>
              </w:rPr>
              <w:t xml:space="preserve"> = 1.11</w:t>
            </w:r>
          </w:p>
          <w:p w14:paraId="4654E9C2" w14:textId="77777777" w:rsidR="005D0C4D" w:rsidRPr="00877EE2" w:rsidRDefault="005D0C4D" w:rsidP="009C5844">
            <w:pPr>
              <w:rPr>
                <w:lang w:val="en-GB"/>
              </w:rPr>
            </w:pPr>
          </w:p>
        </w:tc>
        <w:tc>
          <w:tcPr>
            <w:tcW w:w="1540" w:type="dxa"/>
          </w:tcPr>
          <w:p w14:paraId="4298949D"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176,952</m:t>
                  </m:r>
                </m:num>
                <m:den>
                  <m:r>
                    <w:rPr>
                      <w:rFonts w:ascii="Cambria Math" w:hAnsi="Cambria Math" w:cs="Times New Roman"/>
                      <w:sz w:val="24"/>
                      <w:szCs w:val="24"/>
                      <w:lang w:val="en-GB"/>
                    </w:rPr>
                    <m:t>178,920</m:t>
                  </m:r>
                </m:den>
              </m:f>
            </m:oMath>
            <w:r w:rsidR="005D0C4D" w:rsidRPr="00877EE2">
              <w:rPr>
                <w:rFonts w:ascii="Times New Roman" w:eastAsiaTheme="minorEastAsia" w:hAnsi="Times New Roman" w:cs="Times New Roman"/>
                <w:sz w:val="24"/>
                <w:szCs w:val="24"/>
                <w:lang w:val="en-GB"/>
              </w:rPr>
              <w:t xml:space="preserve"> = 0.99</w:t>
            </w:r>
          </w:p>
        </w:tc>
        <w:tc>
          <w:tcPr>
            <w:tcW w:w="1540" w:type="dxa"/>
          </w:tcPr>
          <w:p w14:paraId="728A1C68"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235,757</m:t>
                  </m:r>
                </m:num>
                <m:den>
                  <m:r>
                    <w:rPr>
                      <w:rFonts w:ascii="Cambria Math" w:hAnsi="Cambria Math" w:cs="Times New Roman"/>
                      <w:sz w:val="24"/>
                      <w:szCs w:val="24"/>
                      <w:lang w:val="en-GB"/>
                    </w:rPr>
                    <m:t>268,406</m:t>
                  </m:r>
                </m:den>
              </m:f>
            </m:oMath>
            <w:r w:rsidR="005D0C4D" w:rsidRPr="00877EE2">
              <w:rPr>
                <w:rFonts w:ascii="Times New Roman" w:eastAsiaTheme="minorEastAsia" w:hAnsi="Times New Roman" w:cs="Times New Roman"/>
                <w:sz w:val="24"/>
                <w:szCs w:val="24"/>
                <w:lang w:val="en-GB"/>
              </w:rPr>
              <w:t xml:space="preserve"> = 0.88</w:t>
            </w:r>
          </w:p>
        </w:tc>
        <w:tc>
          <w:tcPr>
            <w:tcW w:w="1541" w:type="dxa"/>
          </w:tcPr>
          <w:p w14:paraId="3770A5A9"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234,399</m:t>
                  </m:r>
                </m:num>
                <m:den>
                  <m:r>
                    <w:rPr>
                      <w:rFonts w:ascii="Cambria Math" w:hAnsi="Cambria Math" w:cs="Times New Roman"/>
                      <w:sz w:val="24"/>
                      <w:szCs w:val="24"/>
                      <w:lang w:val="en-GB"/>
                    </w:rPr>
                    <m:t>275,949</m:t>
                  </m:r>
                </m:den>
              </m:f>
            </m:oMath>
            <w:r w:rsidR="005D0C4D" w:rsidRPr="00877EE2">
              <w:rPr>
                <w:rFonts w:ascii="Times New Roman" w:eastAsiaTheme="minorEastAsia" w:hAnsi="Times New Roman" w:cs="Times New Roman"/>
                <w:sz w:val="24"/>
                <w:szCs w:val="24"/>
                <w:lang w:val="en-GB"/>
              </w:rPr>
              <w:t xml:space="preserve"> = 0.85</w:t>
            </w:r>
          </w:p>
        </w:tc>
        <w:tc>
          <w:tcPr>
            <w:tcW w:w="1541" w:type="dxa"/>
          </w:tcPr>
          <w:p w14:paraId="7790232D"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196,989</m:t>
                  </m:r>
                </m:num>
                <m:den>
                  <m:r>
                    <w:rPr>
                      <w:rFonts w:ascii="Cambria Math" w:hAnsi="Cambria Math" w:cs="Times New Roman"/>
                      <w:sz w:val="24"/>
                      <w:szCs w:val="24"/>
                      <w:lang w:val="en-GB"/>
                    </w:rPr>
                    <m:t>313,301</m:t>
                  </m:r>
                </m:den>
              </m:f>
            </m:oMath>
            <w:r w:rsidR="005D0C4D" w:rsidRPr="00877EE2">
              <w:rPr>
                <w:rFonts w:ascii="Times New Roman" w:eastAsiaTheme="minorEastAsia" w:hAnsi="Times New Roman" w:cs="Times New Roman"/>
                <w:sz w:val="24"/>
                <w:szCs w:val="24"/>
                <w:lang w:val="en-GB"/>
              </w:rPr>
              <w:t xml:space="preserve"> = 0.63</w:t>
            </w:r>
          </w:p>
        </w:tc>
      </w:tr>
      <w:tr w:rsidR="005D0C4D" w:rsidRPr="00877EE2" w14:paraId="7EAC539C" w14:textId="77777777" w:rsidTr="005D0C4D">
        <w:tc>
          <w:tcPr>
            <w:tcW w:w="1540" w:type="dxa"/>
          </w:tcPr>
          <w:p w14:paraId="4539E2C4" w14:textId="77777777" w:rsidR="005D0C4D" w:rsidRPr="00877EE2" w:rsidRDefault="005D0C4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Interest Coverage Ratio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 xml:space="preserve">Operating Income </m:t>
                  </m:r>
                </m:num>
                <m:den>
                  <m:r>
                    <w:rPr>
                      <w:rFonts w:ascii="Cambria Math" w:hAnsi="Cambria Math" w:cs="Times New Roman"/>
                      <w:sz w:val="24"/>
                      <w:szCs w:val="24"/>
                      <w:lang w:val="en-GB"/>
                    </w:rPr>
                    <m:t>Interest Expenses</m:t>
                  </m:r>
                </m:den>
              </m:f>
            </m:oMath>
          </w:p>
        </w:tc>
        <w:tc>
          <w:tcPr>
            <w:tcW w:w="1540" w:type="dxa"/>
          </w:tcPr>
          <w:p w14:paraId="58BD603A"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(15,297)</m:t>
                  </m:r>
                </m:num>
                <m:den>
                  <m:r>
                    <w:rPr>
                      <w:rFonts w:ascii="Cambria Math" w:hAnsi="Cambria Math" w:cs="Times New Roman"/>
                      <w:sz w:val="24"/>
                      <w:szCs w:val="24"/>
                      <w:lang w:val="en-GB"/>
                    </w:rPr>
                    <m:t>3,361</m:t>
                  </m:r>
                </m:den>
              </m:f>
            </m:oMath>
            <w:r w:rsidR="005D0C4D" w:rsidRPr="00877EE2">
              <w:rPr>
                <w:rFonts w:ascii="Times New Roman" w:eastAsiaTheme="minorEastAsia" w:hAnsi="Times New Roman" w:cs="Times New Roman"/>
                <w:sz w:val="24"/>
                <w:szCs w:val="24"/>
                <w:lang w:val="en-GB"/>
              </w:rPr>
              <w:t xml:space="preserve"> = -4.55</w:t>
            </w:r>
          </w:p>
        </w:tc>
        <w:tc>
          <w:tcPr>
            <w:tcW w:w="1540" w:type="dxa"/>
          </w:tcPr>
          <w:p w14:paraId="742187E7"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(85,301)</m:t>
                  </m:r>
                </m:num>
                <m:den>
                  <m:r>
                    <w:rPr>
                      <w:rFonts w:ascii="Cambria Math" w:hAnsi="Cambria Math" w:cs="Times New Roman"/>
                      <w:sz w:val="24"/>
                      <w:szCs w:val="24"/>
                      <w:lang w:val="en-GB"/>
                    </w:rPr>
                    <m:t>4,332</m:t>
                  </m:r>
                </m:den>
              </m:f>
            </m:oMath>
            <w:r w:rsidR="005D0C4D" w:rsidRPr="00877EE2">
              <w:rPr>
                <w:rFonts w:ascii="Times New Roman" w:eastAsiaTheme="minorEastAsia" w:hAnsi="Times New Roman" w:cs="Times New Roman"/>
                <w:sz w:val="24"/>
                <w:szCs w:val="24"/>
                <w:lang w:val="en-GB"/>
              </w:rPr>
              <w:t xml:space="preserve"> = –19.69</w:t>
            </w:r>
          </w:p>
        </w:tc>
        <w:tc>
          <w:tcPr>
            <w:tcW w:w="1540" w:type="dxa"/>
          </w:tcPr>
          <w:p w14:paraId="4567AC44"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14,548</m:t>
                  </m:r>
                </m:num>
                <m:den>
                  <m:r>
                    <w:rPr>
                      <w:rFonts w:ascii="Cambria Math" w:hAnsi="Cambria Math" w:cs="Times New Roman"/>
                      <w:sz w:val="24"/>
                      <w:szCs w:val="24"/>
                      <w:lang w:val="en-GB"/>
                    </w:rPr>
                    <m:t>2,200</m:t>
                  </m:r>
                </m:den>
              </m:f>
            </m:oMath>
            <w:r w:rsidR="005D0C4D" w:rsidRPr="00877EE2">
              <w:rPr>
                <w:rFonts w:ascii="Times New Roman" w:eastAsiaTheme="minorEastAsia" w:hAnsi="Times New Roman" w:cs="Times New Roman"/>
                <w:sz w:val="24"/>
                <w:szCs w:val="24"/>
                <w:lang w:val="en-GB"/>
              </w:rPr>
              <w:t xml:space="preserve"> = 6.61</w:t>
            </w:r>
          </w:p>
        </w:tc>
        <w:tc>
          <w:tcPr>
            <w:tcW w:w="1541" w:type="dxa"/>
          </w:tcPr>
          <w:p w14:paraId="35489694"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23,253</m:t>
                  </m:r>
                </m:num>
                <m:den>
                  <m:r>
                    <w:rPr>
                      <w:rFonts w:ascii="Cambria Math" w:hAnsi="Cambria Math" w:cs="Times New Roman"/>
                      <w:sz w:val="24"/>
                      <w:szCs w:val="24"/>
                      <w:lang w:val="en-GB"/>
                    </w:rPr>
                    <m:t>566</m:t>
                  </m:r>
                </m:den>
              </m:f>
            </m:oMath>
            <w:r w:rsidR="005D0C4D" w:rsidRPr="00877EE2">
              <w:rPr>
                <w:rFonts w:ascii="Times New Roman" w:eastAsiaTheme="minorEastAsia" w:hAnsi="Times New Roman" w:cs="Times New Roman"/>
                <w:sz w:val="24"/>
                <w:szCs w:val="24"/>
                <w:lang w:val="en-GB"/>
              </w:rPr>
              <w:t xml:space="preserve"> = 41.08</w:t>
            </w:r>
          </w:p>
        </w:tc>
        <w:tc>
          <w:tcPr>
            <w:tcW w:w="1541" w:type="dxa"/>
          </w:tcPr>
          <w:p w14:paraId="3CC5787E"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37,267</m:t>
                  </m:r>
                </m:num>
                <m:den>
                  <m:r>
                    <w:rPr>
                      <w:rFonts w:ascii="Cambria Math" w:hAnsi="Cambria Math" w:cs="Times New Roman"/>
                      <w:sz w:val="24"/>
                      <w:szCs w:val="24"/>
                      <w:lang w:val="en-GB"/>
                    </w:rPr>
                    <m:t>1,422</m:t>
                  </m:r>
                </m:den>
              </m:f>
            </m:oMath>
            <w:r w:rsidR="005D0C4D" w:rsidRPr="00877EE2">
              <w:rPr>
                <w:rFonts w:ascii="Times New Roman" w:eastAsiaTheme="minorEastAsia" w:hAnsi="Times New Roman" w:cs="Times New Roman"/>
                <w:sz w:val="24"/>
                <w:szCs w:val="24"/>
                <w:lang w:val="en-GB"/>
              </w:rPr>
              <w:t xml:space="preserve"> = 26.21</w:t>
            </w:r>
          </w:p>
        </w:tc>
      </w:tr>
    </w:tbl>
    <w:p w14:paraId="34107FB5" w14:textId="77777777" w:rsidR="005D0C4D" w:rsidRPr="00877EE2" w:rsidRDefault="005D0C4D" w:rsidP="00881A34">
      <w:pPr>
        <w:spacing w:line="360" w:lineRule="auto"/>
        <w:jc w:val="both"/>
        <w:rPr>
          <w:rFonts w:ascii="Times New Roman" w:hAnsi="Times New Roman" w:cs="Times New Roman"/>
          <w:sz w:val="24"/>
          <w:szCs w:val="24"/>
          <w:lang w:val="en-GB"/>
        </w:rPr>
      </w:pPr>
    </w:p>
    <w:p w14:paraId="78001C24" w14:textId="77777777" w:rsidR="005D0C4D" w:rsidRPr="00877EE2" w:rsidRDefault="005D0C4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Investment Ratios </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5D0C4D" w:rsidRPr="00877EE2" w14:paraId="1C676057" w14:textId="77777777" w:rsidTr="005D0C4D">
        <w:tc>
          <w:tcPr>
            <w:tcW w:w="1540" w:type="dxa"/>
          </w:tcPr>
          <w:p w14:paraId="374485AB"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Ratio</w:t>
            </w:r>
          </w:p>
        </w:tc>
        <w:tc>
          <w:tcPr>
            <w:tcW w:w="1540" w:type="dxa"/>
          </w:tcPr>
          <w:p w14:paraId="5AC8BCDF"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2024</w:t>
            </w:r>
          </w:p>
        </w:tc>
        <w:tc>
          <w:tcPr>
            <w:tcW w:w="1540" w:type="dxa"/>
          </w:tcPr>
          <w:p w14:paraId="6202A95A"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2023</w:t>
            </w:r>
          </w:p>
        </w:tc>
        <w:tc>
          <w:tcPr>
            <w:tcW w:w="1540" w:type="dxa"/>
          </w:tcPr>
          <w:p w14:paraId="1B27C295"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2022</w:t>
            </w:r>
          </w:p>
        </w:tc>
        <w:tc>
          <w:tcPr>
            <w:tcW w:w="1541" w:type="dxa"/>
          </w:tcPr>
          <w:p w14:paraId="5F607C48"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2021</w:t>
            </w:r>
          </w:p>
        </w:tc>
        <w:tc>
          <w:tcPr>
            <w:tcW w:w="1541" w:type="dxa"/>
          </w:tcPr>
          <w:p w14:paraId="138CD22A"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2020</w:t>
            </w:r>
          </w:p>
        </w:tc>
      </w:tr>
      <w:tr w:rsidR="005D0C4D" w:rsidRPr="00877EE2" w14:paraId="6424EF9A" w14:textId="77777777" w:rsidTr="005D0C4D">
        <w:tc>
          <w:tcPr>
            <w:tcW w:w="1540" w:type="dxa"/>
          </w:tcPr>
          <w:p w14:paraId="44E79D3B" w14:textId="77777777" w:rsidR="005D0C4D" w:rsidRPr="00877EE2" w:rsidRDefault="005D0C4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Earnings per Share (EPS) – Basic (£)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Net Income</m:t>
                  </m:r>
                </m:num>
                <m:den>
                  <m:r>
                    <w:rPr>
                      <w:rFonts w:ascii="Cambria Math" w:hAnsi="Cambria Math" w:cs="Times New Roman"/>
                      <w:sz w:val="24"/>
                      <w:szCs w:val="24"/>
                      <w:lang w:val="en-GB"/>
                    </w:rPr>
                    <m:t>Basic Shares</m:t>
                  </m:r>
                </m:den>
              </m:f>
            </m:oMath>
          </w:p>
        </w:tc>
        <w:tc>
          <w:tcPr>
            <w:tcW w:w="1540" w:type="dxa"/>
          </w:tcPr>
          <w:p w14:paraId="0487C00C"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(24,029)</m:t>
                  </m:r>
                </m:num>
                <m:den>
                  <m:r>
                    <w:rPr>
                      <w:rFonts w:ascii="Cambria Math" w:hAnsi="Cambria Math" w:cs="Times New Roman"/>
                      <w:sz w:val="24"/>
                      <w:szCs w:val="24"/>
                      <w:lang w:val="en-GB"/>
                    </w:rPr>
                    <m:t>12,959</m:t>
                  </m:r>
                </m:den>
              </m:f>
            </m:oMath>
            <w:r w:rsidR="005D0C4D" w:rsidRPr="00877EE2">
              <w:rPr>
                <w:rFonts w:ascii="Times New Roman" w:eastAsiaTheme="minorEastAsia" w:hAnsi="Times New Roman" w:cs="Times New Roman"/>
                <w:sz w:val="24"/>
                <w:szCs w:val="24"/>
                <w:lang w:val="en-GB"/>
              </w:rPr>
              <w:t xml:space="preserve"> = –1.85</w:t>
            </w:r>
          </w:p>
        </w:tc>
        <w:tc>
          <w:tcPr>
            <w:tcW w:w="1540" w:type="dxa"/>
          </w:tcPr>
          <w:p w14:paraId="66DF3724"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(98,238)</m:t>
                  </m:r>
                </m:num>
                <m:den>
                  <m:r>
                    <w:rPr>
                      <w:rFonts w:ascii="Cambria Math" w:hAnsi="Cambria Math" w:cs="Times New Roman"/>
                      <w:sz w:val="24"/>
                      <w:szCs w:val="24"/>
                      <w:lang w:val="en-GB"/>
                    </w:rPr>
                    <m:t>12,855</m:t>
                  </m:r>
                </m:den>
              </m:f>
            </m:oMath>
            <w:r w:rsidR="005D0C4D" w:rsidRPr="00877EE2">
              <w:rPr>
                <w:rFonts w:ascii="Times New Roman" w:eastAsiaTheme="minorEastAsia" w:hAnsi="Times New Roman" w:cs="Times New Roman"/>
                <w:sz w:val="24"/>
                <w:szCs w:val="24"/>
                <w:lang w:val="en-GB"/>
              </w:rPr>
              <w:t xml:space="preserve"> = –7.64</w:t>
            </w:r>
          </w:p>
        </w:tc>
        <w:tc>
          <w:tcPr>
            <w:tcW w:w="1540" w:type="dxa"/>
          </w:tcPr>
          <w:p w14:paraId="1C53556B"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407</m:t>
                  </m:r>
                </m:num>
                <m:den>
                  <m:r>
                    <w:rPr>
                      <w:rFonts w:ascii="Cambria Math" w:hAnsi="Cambria Math" w:cs="Times New Roman"/>
                      <w:sz w:val="24"/>
                      <w:szCs w:val="24"/>
                      <w:lang w:val="en-GB"/>
                    </w:rPr>
                    <m:t>12,703</m:t>
                  </m:r>
                </m:den>
              </m:f>
            </m:oMath>
            <w:r w:rsidR="005D0C4D" w:rsidRPr="00877EE2">
              <w:rPr>
                <w:rFonts w:ascii="Times New Roman" w:eastAsiaTheme="minorEastAsia" w:hAnsi="Times New Roman" w:cs="Times New Roman"/>
                <w:sz w:val="24"/>
                <w:szCs w:val="24"/>
                <w:lang w:val="en-GB"/>
              </w:rPr>
              <w:t xml:space="preserve"> = 0.03</w:t>
            </w:r>
          </w:p>
        </w:tc>
        <w:tc>
          <w:tcPr>
            <w:tcW w:w="1541" w:type="dxa"/>
          </w:tcPr>
          <w:p w14:paraId="4400AE95"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5,301</m:t>
                  </m:r>
                </m:num>
                <m:den>
                  <m:r>
                    <w:rPr>
                      <w:rFonts w:ascii="Cambria Math" w:hAnsi="Cambria Math" w:cs="Times New Roman"/>
                      <w:sz w:val="24"/>
                      <w:szCs w:val="24"/>
                      <w:lang w:val="en-GB"/>
                    </w:rPr>
                    <m:t>13,465</m:t>
                  </m:r>
                </m:den>
              </m:f>
            </m:oMath>
            <w:r w:rsidR="005D0C4D" w:rsidRPr="00877EE2">
              <w:rPr>
                <w:rFonts w:ascii="Times New Roman" w:eastAsiaTheme="minorEastAsia" w:hAnsi="Times New Roman" w:cs="Times New Roman"/>
                <w:sz w:val="24"/>
                <w:szCs w:val="24"/>
                <w:lang w:val="en-GB"/>
              </w:rPr>
              <w:t xml:space="preserve"> = 0.3</w:t>
            </w:r>
          </w:p>
        </w:tc>
        <w:tc>
          <w:tcPr>
            <w:tcW w:w="1541" w:type="dxa"/>
          </w:tcPr>
          <w:p w14:paraId="69365342"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38,572</m:t>
                  </m:r>
                </m:num>
                <m:den>
                  <m:r>
                    <w:rPr>
                      <w:rFonts w:ascii="Cambria Math" w:hAnsi="Cambria Math" w:cs="Times New Roman"/>
                      <w:sz w:val="24"/>
                      <w:szCs w:val="24"/>
                      <w:lang w:val="en-GB"/>
                    </w:rPr>
                    <m:t>13,893</m:t>
                  </m:r>
                </m:den>
              </m:f>
            </m:oMath>
            <w:r w:rsidR="005D0C4D" w:rsidRPr="00877EE2">
              <w:rPr>
                <w:rFonts w:ascii="Times New Roman" w:eastAsiaTheme="minorEastAsia" w:hAnsi="Times New Roman" w:cs="Times New Roman"/>
                <w:sz w:val="24"/>
                <w:szCs w:val="24"/>
                <w:lang w:val="en-GB"/>
              </w:rPr>
              <w:t xml:space="preserve"> = 2.78</w:t>
            </w:r>
          </w:p>
        </w:tc>
      </w:tr>
    </w:tbl>
    <w:p w14:paraId="7808E4F9" w14:textId="77777777" w:rsidR="005D0C4D" w:rsidRPr="00877EE2" w:rsidRDefault="005D0C4D" w:rsidP="00881A34">
      <w:pPr>
        <w:spacing w:line="360" w:lineRule="auto"/>
        <w:jc w:val="both"/>
        <w:rPr>
          <w:rFonts w:ascii="Times New Roman" w:hAnsi="Times New Roman" w:cs="Times New Roman"/>
          <w:sz w:val="24"/>
          <w:szCs w:val="24"/>
          <w:lang w:val="en-GB"/>
        </w:rPr>
      </w:pPr>
    </w:p>
    <w:p w14:paraId="0845123B" w14:textId="77777777" w:rsidR="005D0C4D" w:rsidRPr="00877EE2" w:rsidRDefault="005D0C4D" w:rsidP="00881A3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Cash Flow Ratio</w:t>
      </w:r>
    </w:p>
    <w:tbl>
      <w:tblPr>
        <w:tblStyle w:val="TableGrid"/>
        <w:tblW w:w="0" w:type="auto"/>
        <w:tblLook w:val="04A0" w:firstRow="1" w:lastRow="0" w:firstColumn="1" w:lastColumn="0" w:noHBand="0" w:noVBand="1"/>
      </w:tblPr>
      <w:tblGrid>
        <w:gridCol w:w="1977"/>
        <w:gridCol w:w="1462"/>
        <w:gridCol w:w="1462"/>
        <w:gridCol w:w="1447"/>
        <w:gridCol w:w="1447"/>
        <w:gridCol w:w="1447"/>
      </w:tblGrid>
      <w:tr w:rsidR="005D0C4D" w:rsidRPr="00877EE2" w14:paraId="1D70EB58" w14:textId="77777777" w:rsidTr="009C5844">
        <w:tc>
          <w:tcPr>
            <w:tcW w:w="1540" w:type="dxa"/>
          </w:tcPr>
          <w:p w14:paraId="5CD918F4"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Ratio</w:t>
            </w:r>
          </w:p>
        </w:tc>
        <w:tc>
          <w:tcPr>
            <w:tcW w:w="1540" w:type="dxa"/>
          </w:tcPr>
          <w:p w14:paraId="0F9F3956"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2024</w:t>
            </w:r>
          </w:p>
        </w:tc>
        <w:tc>
          <w:tcPr>
            <w:tcW w:w="1540" w:type="dxa"/>
          </w:tcPr>
          <w:p w14:paraId="6A6752E9"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2023</w:t>
            </w:r>
          </w:p>
        </w:tc>
        <w:tc>
          <w:tcPr>
            <w:tcW w:w="1540" w:type="dxa"/>
          </w:tcPr>
          <w:p w14:paraId="18E4971A"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2022</w:t>
            </w:r>
          </w:p>
        </w:tc>
        <w:tc>
          <w:tcPr>
            <w:tcW w:w="1541" w:type="dxa"/>
          </w:tcPr>
          <w:p w14:paraId="14858DD9"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2021</w:t>
            </w:r>
          </w:p>
        </w:tc>
        <w:tc>
          <w:tcPr>
            <w:tcW w:w="1541" w:type="dxa"/>
          </w:tcPr>
          <w:p w14:paraId="629F89A8" w14:textId="77777777" w:rsidR="005D0C4D" w:rsidRPr="00877EE2" w:rsidRDefault="005D0C4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2020</w:t>
            </w:r>
          </w:p>
        </w:tc>
      </w:tr>
      <w:tr w:rsidR="005D0C4D" w:rsidRPr="00877EE2" w14:paraId="4D98D54B" w14:textId="77777777" w:rsidTr="009C5844">
        <w:tc>
          <w:tcPr>
            <w:tcW w:w="1540" w:type="dxa"/>
          </w:tcPr>
          <w:p w14:paraId="1001455F" w14:textId="77777777" w:rsidR="005D0C4D" w:rsidRPr="00877EE2" w:rsidRDefault="005D0C4D" w:rsidP="005D0C4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Operating Cash Flow to Net Income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Operating Cash Flow</m:t>
                  </m:r>
                </m:num>
                <m:den>
                  <m:r>
                    <w:rPr>
                      <w:rFonts w:ascii="Cambria Math" w:hAnsi="Cambria Math" w:cs="Times New Roman"/>
                      <w:sz w:val="24"/>
                      <w:szCs w:val="24"/>
                      <w:lang w:val="en-GB"/>
                    </w:rPr>
                    <m:t>Net Income</m:t>
                  </m:r>
                </m:den>
              </m:f>
            </m:oMath>
          </w:p>
        </w:tc>
        <w:tc>
          <w:tcPr>
            <w:tcW w:w="1540" w:type="dxa"/>
          </w:tcPr>
          <w:p w14:paraId="1BCEFC0B"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14,822</m:t>
                  </m:r>
                </m:num>
                <m:den>
                  <m:r>
                    <w:rPr>
                      <w:rFonts w:ascii="Cambria Math" w:hAnsi="Cambria Math" w:cs="Times New Roman"/>
                      <w:sz w:val="24"/>
                      <w:szCs w:val="24"/>
                      <w:lang w:val="en-GB"/>
                    </w:rPr>
                    <m:t>(24,029)</m:t>
                  </m:r>
                </m:den>
              </m:f>
            </m:oMath>
            <w:r w:rsidR="005D0C4D" w:rsidRPr="00877EE2">
              <w:rPr>
                <w:rFonts w:ascii="Times New Roman" w:eastAsiaTheme="minorEastAsia" w:hAnsi="Times New Roman" w:cs="Times New Roman"/>
                <w:sz w:val="24"/>
                <w:szCs w:val="24"/>
                <w:lang w:val="en-GB"/>
              </w:rPr>
              <w:t xml:space="preserve"> =  –0.62</w:t>
            </w:r>
          </w:p>
        </w:tc>
        <w:tc>
          <w:tcPr>
            <w:tcW w:w="1540" w:type="dxa"/>
          </w:tcPr>
          <w:p w14:paraId="6EA8041D"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25,190</m:t>
                  </m:r>
                </m:num>
                <m:den>
                  <m:r>
                    <w:rPr>
                      <w:rFonts w:ascii="Cambria Math" w:hAnsi="Cambria Math" w:cs="Times New Roman"/>
                      <w:sz w:val="24"/>
                      <w:szCs w:val="24"/>
                      <w:lang w:val="en-GB"/>
                    </w:rPr>
                    <m:t>(98,238)</m:t>
                  </m:r>
                </m:den>
              </m:f>
            </m:oMath>
            <w:r w:rsidR="005D0C4D" w:rsidRPr="00877EE2">
              <w:rPr>
                <w:rFonts w:ascii="Times New Roman" w:eastAsiaTheme="minorEastAsia" w:hAnsi="Times New Roman" w:cs="Times New Roman"/>
                <w:sz w:val="24"/>
                <w:szCs w:val="24"/>
                <w:lang w:val="en-GB"/>
              </w:rPr>
              <w:t xml:space="preserve"> =  –0.26</w:t>
            </w:r>
          </w:p>
        </w:tc>
        <w:tc>
          <w:tcPr>
            <w:tcW w:w="1540" w:type="dxa"/>
          </w:tcPr>
          <w:p w14:paraId="3EB2CFBC"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10,926</m:t>
                  </m:r>
                </m:num>
                <m:den>
                  <m:r>
                    <w:rPr>
                      <w:rFonts w:ascii="Cambria Math" w:hAnsi="Cambria Math" w:cs="Times New Roman"/>
                      <w:sz w:val="24"/>
                      <w:szCs w:val="24"/>
                      <w:lang w:val="en-GB"/>
                    </w:rPr>
                    <m:t>407</m:t>
                  </m:r>
                </m:den>
              </m:f>
            </m:oMath>
            <w:r w:rsidR="005D0C4D" w:rsidRPr="00877EE2">
              <w:rPr>
                <w:rFonts w:ascii="Times New Roman" w:eastAsiaTheme="minorEastAsia" w:hAnsi="Times New Roman" w:cs="Times New Roman"/>
                <w:sz w:val="24"/>
                <w:szCs w:val="24"/>
                <w:lang w:val="en-GB"/>
              </w:rPr>
              <w:t xml:space="preserve"> = 26.85</w:t>
            </w:r>
          </w:p>
        </w:tc>
        <w:tc>
          <w:tcPr>
            <w:tcW w:w="1541" w:type="dxa"/>
          </w:tcPr>
          <w:p w14:paraId="6CD83B3B"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40,283</m:t>
                  </m:r>
                </m:num>
                <m:den>
                  <m:r>
                    <w:rPr>
                      <w:rFonts w:ascii="Cambria Math" w:hAnsi="Cambria Math" w:cs="Times New Roman"/>
                      <w:sz w:val="24"/>
                      <w:szCs w:val="24"/>
                      <w:lang w:val="en-GB"/>
                    </w:rPr>
                    <m:t>5,301</m:t>
                  </m:r>
                </m:den>
              </m:f>
            </m:oMath>
            <w:r w:rsidR="005D0C4D" w:rsidRPr="00877EE2">
              <w:rPr>
                <w:rFonts w:ascii="Times New Roman" w:eastAsiaTheme="minorEastAsia" w:hAnsi="Times New Roman" w:cs="Times New Roman"/>
                <w:sz w:val="24"/>
                <w:szCs w:val="24"/>
                <w:lang w:val="en-GB"/>
              </w:rPr>
              <w:t xml:space="preserve"> = 7.60</w:t>
            </w:r>
          </w:p>
        </w:tc>
        <w:tc>
          <w:tcPr>
            <w:tcW w:w="1541" w:type="dxa"/>
          </w:tcPr>
          <w:p w14:paraId="3E6541C4" w14:textId="77777777" w:rsidR="005D0C4D" w:rsidRPr="00877EE2" w:rsidRDefault="00A64F44" w:rsidP="009C5844">
            <w:pPr>
              <w:rPr>
                <w:lang w:val="en-GB"/>
              </w:rPr>
            </w:pPr>
            <m:oMath>
              <m:f>
                <m:fPr>
                  <m:ctrlPr>
                    <w:rPr>
                      <w:rFonts w:ascii="Cambria Math" w:hAnsi="Cambria Math" w:cs="Times New Roman"/>
                      <w:i/>
                      <w:sz w:val="24"/>
                      <w:szCs w:val="24"/>
                      <w:lang w:val="en-GB"/>
                    </w:rPr>
                  </m:ctrlPr>
                </m:fPr>
                <m:num>
                  <m:r>
                    <w:rPr>
                      <w:rFonts w:ascii="Cambria Math" w:hAnsi="Cambria Math" w:cs="Times New Roman"/>
                      <w:sz w:val="24"/>
                      <w:szCs w:val="24"/>
                      <w:lang w:val="en-GB"/>
                    </w:rPr>
                    <m:t>73,392</m:t>
                  </m:r>
                </m:num>
                <m:den>
                  <m:r>
                    <w:rPr>
                      <w:rFonts w:ascii="Cambria Math" w:hAnsi="Cambria Math" w:cs="Times New Roman"/>
                      <w:sz w:val="24"/>
                      <w:szCs w:val="24"/>
                      <w:lang w:val="en-GB"/>
                    </w:rPr>
                    <m:t>38,572</m:t>
                  </m:r>
                </m:den>
              </m:f>
            </m:oMath>
            <w:r w:rsidR="005D0C4D" w:rsidRPr="00877EE2">
              <w:rPr>
                <w:rFonts w:ascii="Times New Roman" w:eastAsiaTheme="minorEastAsia" w:hAnsi="Times New Roman" w:cs="Times New Roman"/>
                <w:sz w:val="24"/>
                <w:szCs w:val="24"/>
                <w:lang w:val="en-GB"/>
              </w:rPr>
              <w:t xml:space="preserve"> = 1.90</w:t>
            </w:r>
          </w:p>
        </w:tc>
      </w:tr>
    </w:tbl>
    <w:p w14:paraId="7B3B76F5" w14:textId="77777777" w:rsidR="005D0C4D" w:rsidRPr="00877EE2" w:rsidRDefault="005D0C4D" w:rsidP="00881A34">
      <w:pPr>
        <w:spacing w:line="360" w:lineRule="auto"/>
        <w:jc w:val="both"/>
        <w:rPr>
          <w:rFonts w:ascii="Times New Roman" w:hAnsi="Times New Roman" w:cs="Times New Roman"/>
          <w:sz w:val="24"/>
          <w:szCs w:val="24"/>
          <w:lang w:val="en-GB"/>
        </w:rPr>
      </w:pPr>
    </w:p>
    <w:p w14:paraId="334F979B" w14:textId="77777777" w:rsidR="00E0255D" w:rsidRPr="00877EE2" w:rsidRDefault="00E0255D">
      <w:pPr>
        <w:rPr>
          <w:rFonts w:ascii="Times New Roman" w:hAnsi="Times New Roman" w:cs="Times New Roman"/>
          <w:sz w:val="24"/>
          <w:szCs w:val="24"/>
          <w:lang w:val="en-GB"/>
        </w:rPr>
      </w:pPr>
      <w:r w:rsidRPr="00877EE2">
        <w:rPr>
          <w:rFonts w:ascii="Times New Roman" w:hAnsi="Times New Roman" w:cs="Times New Roman"/>
          <w:sz w:val="24"/>
          <w:szCs w:val="24"/>
          <w:lang w:val="en-GB"/>
        </w:rPr>
        <w:br w:type="page"/>
      </w:r>
    </w:p>
    <w:p w14:paraId="0F77DFDE" w14:textId="77777777" w:rsidR="00E0255D" w:rsidRPr="00877EE2" w:rsidRDefault="00E0255D" w:rsidP="006D7DC6">
      <w:pPr>
        <w:pStyle w:val="Heading2"/>
        <w:rPr>
          <w:lang w:val="en-GB"/>
        </w:rPr>
      </w:pPr>
      <w:bookmarkStart w:id="23" w:name="_Toc214455556"/>
      <w:r w:rsidRPr="00877EE2">
        <w:rPr>
          <w:lang w:val="en-GB"/>
        </w:rPr>
        <w:t>2. Investment Appraisal Calculations</w:t>
      </w:r>
      <w:bookmarkEnd w:id="23"/>
    </w:p>
    <w:p w14:paraId="04D3F0DD" w14:textId="77777777" w:rsidR="00E0255D" w:rsidRPr="00877EE2" w:rsidRDefault="00E0255D" w:rsidP="00E0255D">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 xml:space="preserve">Project A </w:t>
      </w:r>
    </w:p>
    <w:p w14:paraId="51CBFE04" w14:textId="77777777" w:rsidR="00E0255D" w:rsidRPr="00877EE2" w:rsidRDefault="00E0255D" w:rsidP="00E0255D">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 xml:space="preserve">Payback Period </w:t>
      </w:r>
    </w:p>
    <w:p w14:paraId="19DCADFB"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Initial Investment = £40m</w:t>
      </w:r>
    </w:p>
    <w:tbl>
      <w:tblPr>
        <w:tblStyle w:val="TableGrid"/>
        <w:tblW w:w="0" w:type="auto"/>
        <w:tblLook w:val="04A0" w:firstRow="1" w:lastRow="0" w:firstColumn="1" w:lastColumn="0" w:noHBand="0" w:noVBand="1"/>
      </w:tblPr>
      <w:tblGrid>
        <w:gridCol w:w="1526"/>
        <w:gridCol w:w="1843"/>
      </w:tblGrid>
      <w:tr w:rsidR="00E0255D" w:rsidRPr="00877EE2" w14:paraId="130D2373" w14:textId="77777777" w:rsidTr="009C5844">
        <w:tc>
          <w:tcPr>
            <w:tcW w:w="1526" w:type="dxa"/>
          </w:tcPr>
          <w:p w14:paraId="420B3772"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Inflow </w:t>
            </w:r>
          </w:p>
        </w:tc>
        <w:tc>
          <w:tcPr>
            <w:tcW w:w="1843" w:type="dxa"/>
          </w:tcPr>
          <w:p w14:paraId="435AF245"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Cumulative Cash Flow </w:t>
            </w:r>
          </w:p>
        </w:tc>
      </w:tr>
      <w:tr w:rsidR="00E0255D" w:rsidRPr="00877EE2" w14:paraId="77A7B952" w14:textId="77777777" w:rsidTr="009C5844">
        <w:tc>
          <w:tcPr>
            <w:tcW w:w="1526" w:type="dxa"/>
          </w:tcPr>
          <w:p w14:paraId="7A15B935"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10</w:t>
            </w:r>
          </w:p>
        </w:tc>
        <w:tc>
          <w:tcPr>
            <w:tcW w:w="1843" w:type="dxa"/>
          </w:tcPr>
          <w:p w14:paraId="2E6F1C91"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10</w:t>
            </w:r>
          </w:p>
        </w:tc>
      </w:tr>
      <w:tr w:rsidR="00E0255D" w:rsidRPr="00877EE2" w14:paraId="5B090AC9" w14:textId="77777777" w:rsidTr="009C5844">
        <w:tc>
          <w:tcPr>
            <w:tcW w:w="1526" w:type="dxa"/>
          </w:tcPr>
          <w:p w14:paraId="787D660A"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12</w:t>
            </w:r>
          </w:p>
        </w:tc>
        <w:tc>
          <w:tcPr>
            <w:tcW w:w="1843" w:type="dxa"/>
          </w:tcPr>
          <w:p w14:paraId="7DC07302"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22</w:t>
            </w:r>
          </w:p>
        </w:tc>
      </w:tr>
      <w:tr w:rsidR="00E0255D" w:rsidRPr="00877EE2" w14:paraId="25FEC067" w14:textId="77777777" w:rsidTr="009C5844">
        <w:tc>
          <w:tcPr>
            <w:tcW w:w="1526" w:type="dxa"/>
          </w:tcPr>
          <w:p w14:paraId="04EFB2FD"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14</w:t>
            </w:r>
          </w:p>
        </w:tc>
        <w:tc>
          <w:tcPr>
            <w:tcW w:w="1843" w:type="dxa"/>
          </w:tcPr>
          <w:p w14:paraId="7AB251F3"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36</w:t>
            </w:r>
          </w:p>
        </w:tc>
      </w:tr>
      <w:tr w:rsidR="00E0255D" w:rsidRPr="00877EE2" w14:paraId="01567472" w14:textId="77777777" w:rsidTr="009C5844">
        <w:tc>
          <w:tcPr>
            <w:tcW w:w="1526" w:type="dxa"/>
          </w:tcPr>
          <w:p w14:paraId="39280343"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10</w:t>
            </w:r>
          </w:p>
        </w:tc>
        <w:tc>
          <w:tcPr>
            <w:tcW w:w="1843" w:type="dxa"/>
          </w:tcPr>
          <w:p w14:paraId="4F1204FE"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46</w:t>
            </w:r>
          </w:p>
        </w:tc>
      </w:tr>
      <w:tr w:rsidR="00E0255D" w:rsidRPr="00877EE2" w14:paraId="1B20220F" w14:textId="77777777" w:rsidTr="009C5844">
        <w:tc>
          <w:tcPr>
            <w:tcW w:w="1526" w:type="dxa"/>
          </w:tcPr>
          <w:p w14:paraId="6CBDE9AA"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8</w:t>
            </w:r>
          </w:p>
        </w:tc>
        <w:tc>
          <w:tcPr>
            <w:tcW w:w="1843" w:type="dxa"/>
          </w:tcPr>
          <w:p w14:paraId="4CBA1E10"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54</w:t>
            </w:r>
          </w:p>
        </w:tc>
      </w:tr>
    </w:tbl>
    <w:p w14:paraId="3AC74F8C"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PBP A is 3 years plus the fraction of Year 4 needed:</w:t>
      </w:r>
    </w:p>
    <w:p w14:paraId="0B438D3F"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 3 years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4</m:t>
            </m:r>
          </m:num>
          <m:den>
            <m:r>
              <w:rPr>
                <w:rFonts w:ascii="Cambria Math" w:hAnsi="Cambria Math" w:cs="Times New Roman"/>
                <w:sz w:val="24"/>
                <w:szCs w:val="24"/>
                <w:lang w:val="en-GB"/>
              </w:rPr>
              <m:t>10</m:t>
            </m:r>
          </m:den>
        </m:f>
      </m:oMath>
      <w:r w:rsidRPr="00877EE2">
        <w:rPr>
          <w:rFonts w:ascii="Times New Roman" w:eastAsiaTheme="minorEastAsia" w:hAnsi="Times New Roman" w:cs="Times New Roman"/>
          <w:sz w:val="24"/>
          <w:szCs w:val="24"/>
          <w:lang w:val="en-GB"/>
        </w:rPr>
        <w:t xml:space="preserve">  = 3.4 years </w:t>
      </w:r>
    </w:p>
    <w:p w14:paraId="398E6621" w14:textId="77777777" w:rsidR="00E0255D" w:rsidRPr="00877EE2" w:rsidRDefault="00E0255D" w:rsidP="00E0255D">
      <w:pPr>
        <w:spacing w:line="360" w:lineRule="auto"/>
        <w:jc w:val="both"/>
        <w:rPr>
          <w:rFonts w:ascii="Times New Roman" w:eastAsiaTheme="minorEastAsia" w:hAnsi="Times New Roman" w:cs="Times New Roman"/>
          <w:b/>
          <w:sz w:val="24"/>
          <w:szCs w:val="24"/>
          <w:lang w:val="en-GB"/>
        </w:rPr>
      </w:pPr>
      <w:r w:rsidRPr="00877EE2">
        <w:rPr>
          <w:rFonts w:ascii="Times New Roman" w:eastAsiaTheme="minorEastAsia" w:hAnsi="Times New Roman" w:cs="Times New Roman"/>
          <w:b/>
          <w:sz w:val="24"/>
          <w:szCs w:val="24"/>
          <w:lang w:val="en-GB"/>
        </w:rPr>
        <w:t>Accounting Rate of Return (ARR)</w:t>
      </w:r>
    </w:p>
    <w:p w14:paraId="26F0DB54"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Average Annual Profit = </w:t>
      </w:r>
      <m:oMath>
        <m:f>
          <m:fPr>
            <m:ctrlPr>
              <w:rPr>
                <w:rFonts w:ascii="Cambria Math" w:eastAsiaTheme="minorEastAsia" w:hAnsi="Cambria Math" w:cs="Times New Roman"/>
                <w:i/>
                <w:sz w:val="24"/>
                <w:szCs w:val="24"/>
                <w:lang w:val="en-GB"/>
              </w:rPr>
            </m:ctrlPr>
          </m:fPr>
          <m:num>
            <m:r>
              <w:rPr>
                <w:rFonts w:ascii="Cambria Math" w:eastAsiaTheme="minorEastAsia" w:hAnsi="Cambria Math" w:cs="Times New Roman"/>
                <w:sz w:val="24"/>
                <w:szCs w:val="24"/>
                <w:lang w:val="en-GB"/>
              </w:rPr>
              <m:t>Total Cash Inflow-Total Depreciation</m:t>
            </m:r>
          </m:num>
          <m:den>
            <m:r>
              <w:rPr>
                <w:rFonts w:ascii="Cambria Math" w:eastAsiaTheme="minorEastAsia" w:hAnsi="Cambria Math" w:cs="Times New Roman"/>
                <w:sz w:val="24"/>
                <w:szCs w:val="24"/>
                <w:lang w:val="en-GB"/>
              </w:rPr>
              <m:t>5 years</m:t>
            </m:r>
          </m:den>
        </m:f>
      </m:oMath>
      <w:r w:rsidRPr="00877EE2">
        <w:rPr>
          <w:rFonts w:ascii="Times New Roman" w:eastAsiaTheme="minorEastAsia" w:hAnsi="Times New Roman" w:cs="Times New Roman"/>
          <w:sz w:val="24"/>
          <w:szCs w:val="24"/>
          <w:lang w:val="en-GB"/>
        </w:rPr>
        <w:t xml:space="preserve"> = </w:t>
      </w:r>
      <m:oMath>
        <m:f>
          <m:fPr>
            <m:ctrlPr>
              <w:rPr>
                <w:rFonts w:ascii="Cambria Math" w:eastAsiaTheme="minorEastAsia" w:hAnsi="Cambria Math" w:cs="Times New Roman"/>
                <w:i/>
                <w:sz w:val="24"/>
                <w:szCs w:val="24"/>
                <w:lang w:val="en-GB"/>
              </w:rPr>
            </m:ctrlPr>
          </m:fPr>
          <m:num>
            <m:r>
              <w:rPr>
                <w:rFonts w:ascii="Cambria Math" w:eastAsiaTheme="minorEastAsia" w:hAnsi="Cambria Math" w:cs="Times New Roman"/>
                <w:sz w:val="24"/>
                <w:szCs w:val="24"/>
                <w:lang w:val="en-GB"/>
              </w:rPr>
              <m:t xml:space="preserve">54-40 </m:t>
            </m:r>
          </m:num>
          <m:den>
            <m:r>
              <w:rPr>
                <w:rFonts w:ascii="Cambria Math" w:eastAsiaTheme="minorEastAsia" w:hAnsi="Cambria Math" w:cs="Times New Roman"/>
                <w:sz w:val="24"/>
                <w:szCs w:val="24"/>
                <w:lang w:val="en-GB"/>
              </w:rPr>
              <m:t>5</m:t>
            </m:r>
          </m:den>
        </m:f>
      </m:oMath>
      <w:r w:rsidRPr="00877EE2">
        <w:rPr>
          <w:rFonts w:ascii="Times New Roman" w:eastAsiaTheme="minorEastAsia" w:hAnsi="Times New Roman" w:cs="Times New Roman"/>
          <w:sz w:val="24"/>
          <w:szCs w:val="24"/>
          <w:lang w:val="en-GB"/>
        </w:rPr>
        <w:t xml:space="preserve"> = 2.8m</w:t>
      </w:r>
    </w:p>
    <w:p w14:paraId="011AE91B"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ARR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 xml:space="preserve">Average Annual Profit </m:t>
            </m:r>
          </m:num>
          <m:den>
            <m:r>
              <w:rPr>
                <w:rFonts w:ascii="Cambria Math" w:hAnsi="Cambria Math" w:cs="Times New Roman"/>
                <w:sz w:val="24"/>
                <w:szCs w:val="24"/>
                <w:lang w:val="en-GB"/>
              </w:rPr>
              <m:t xml:space="preserve">Initial Investment </m:t>
            </m:r>
          </m:den>
        </m:f>
      </m:oMath>
      <w:r w:rsidRPr="00877EE2">
        <w:rPr>
          <w:rFonts w:ascii="Times New Roman" w:eastAsiaTheme="minorEastAsia" w:hAnsi="Times New Roman" w:cs="Times New Roman"/>
          <w:sz w:val="24"/>
          <w:szCs w:val="24"/>
          <w:lang w:val="en-GB"/>
        </w:rPr>
        <w:t xml:space="preserve"> = </w:t>
      </w:r>
      <m:oMath>
        <m:f>
          <m:fPr>
            <m:ctrlPr>
              <w:rPr>
                <w:rFonts w:ascii="Cambria Math" w:eastAsiaTheme="minorEastAsia" w:hAnsi="Cambria Math" w:cs="Times New Roman"/>
                <w:i/>
                <w:sz w:val="24"/>
                <w:szCs w:val="24"/>
                <w:lang w:val="en-GB"/>
              </w:rPr>
            </m:ctrlPr>
          </m:fPr>
          <m:num>
            <m:r>
              <w:rPr>
                <w:rFonts w:ascii="Cambria Math" w:eastAsiaTheme="minorEastAsia" w:hAnsi="Cambria Math" w:cs="Times New Roman"/>
                <w:sz w:val="24"/>
                <w:szCs w:val="24"/>
                <w:lang w:val="en-GB"/>
              </w:rPr>
              <m:t>2.8</m:t>
            </m:r>
          </m:num>
          <m:den>
            <m:r>
              <w:rPr>
                <w:rFonts w:ascii="Cambria Math" w:eastAsiaTheme="minorEastAsia" w:hAnsi="Cambria Math" w:cs="Times New Roman"/>
                <w:sz w:val="24"/>
                <w:szCs w:val="24"/>
                <w:lang w:val="en-GB"/>
              </w:rPr>
              <m:t>40</m:t>
            </m:r>
          </m:den>
        </m:f>
      </m:oMath>
      <w:r w:rsidRPr="00877EE2">
        <w:rPr>
          <w:rFonts w:ascii="Times New Roman" w:eastAsiaTheme="minorEastAsia" w:hAnsi="Times New Roman" w:cs="Times New Roman"/>
          <w:sz w:val="24"/>
          <w:szCs w:val="24"/>
          <w:lang w:val="en-GB"/>
        </w:rPr>
        <w:t xml:space="preserve"> = 7.0%</w:t>
      </w:r>
    </w:p>
    <w:p w14:paraId="006D5E25"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p>
    <w:p w14:paraId="7EC160CB" w14:textId="77777777" w:rsidR="00E0255D" w:rsidRPr="00877EE2" w:rsidRDefault="00E0255D" w:rsidP="00E0255D">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Net Present Value (NPV) &amp; Profitability Index (PI)</w:t>
      </w:r>
    </w:p>
    <w:tbl>
      <w:tblPr>
        <w:tblStyle w:val="TableGrid"/>
        <w:tblW w:w="0" w:type="auto"/>
        <w:tblLook w:val="04A0" w:firstRow="1" w:lastRow="0" w:firstColumn="1" w:lastColumn="0" w:noHBand="0" w:noVBand="1"/>
      </w:tblPr>
      <w:tblGrid>
        <w:gridCol w:w="2223"/>
        <w:gridCol w:w="1076"/>
        <w:gridCol w:w="1360"/>
        <w:gridCol w:w="1076"/>
      </w:tblGrid>
      <w:tr w:rsidR="00E0255D" w:rsidRPr="00877EE2" w14:paraId="37D7B3C7" w14:textId="77777777" w:rsidTr="009C5844">
        <w:tc>
          <w:tcPr>
            <w:tcW w:w="0" w:type="auto"/>
            <w:hideMark/>
          </w:tcPr>
          <w:p w14:paraId="5BAB4FA7"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Year (t)</w:t>
            </w:r>
          </w:p>
        </w:tc>
        <w:tc>
          <w:tcPr>
            <w:tcW w:w="0" w:type="auto"/>
            <w:hideMark/>
          </w:tcPr>
          <w:p w14:paraId="561BAD95"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CF (£m)</w:t>
            </w:r>
          </w:p>
        </w:tc>
        <w:tc>
          <w:tcPr>
            <w:tcW w:w="0" w:type="auto"/>
            <w:hideMark/>
          </w:tcPr>
          <w:p w14:paraId="7EDF06E4"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DF @ 10%</w:t>
            </w:r>
          </w:p>
        </w:tc>
        <w:tc>
          <w:tcPr>
            <w:tcW w:w="0" w:type="auto"/>
            <w:hideMark/>
          </w:tcPr>
          <w:p w14:paraId="4D1849E5"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PV (£m)</w:t>
            </w:r>
          </w:p>
        </w:tc>
      </w:tr>
      <w:tr w:rsidR="00E0255D" w:rsidRPr="00877EE2" w14:paraId="46B8DDBC" w14:textId="77777777" w:rsidTr="009C5844">
        <w:tc>
          <w:tcPr>
            <w:tcW w:w="0" w:type="auto"/>
            <w:hideMark/>
          </w:tcPr>
          <w:p w14:paraId="6918AE1C"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w:t>
            </w:r>
          </w:p>
        </w:tc>
        <w:tc>
          <w:tcPr>
            <w:tcW w:w="0" w:type="auto"/>
            <w:hideMark/>
          </w:tcPr>
          <w:p w14:paraId="72DC59AF"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10</w:t>
            </w:r>
          </w:p>
        </w:tc>
        <w:tc>
          <w:tcPr>
            <w:tcW w:w="0" w:type="auto"/>
            <w:hideMark/>
          </w:tcPr>
          <w:p w14:paraId="0A6995E6"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0.909</w:t>
            </w:r>
          </w:p>
        </w:tc>
        <w:tc>
          <w:tcPr>
            <w:tcW w:w="0" w:type="auto"/>
            <w:hideMark/>
          </w:tcPr>
          <w:p w14:paraId="0FA84DAF"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9.09</w:t>
            </w:r>
          </w:p>
        </w:tc>
      </w:tr>
      <w:tr w:rsidR="00E0255D" w:rsidRPr="00877EE2" w14:paraId="64FC585E" w14:textId="77777777" w:rsidTr="009C5844">
        <w:tc>
          <w:tcPr>
            <w:tcW w:w="0" w:type="auto"/>
            <w:hideMark/>
          </w:tcPr>
          <w:p w14:paraId="3D1F40C0"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2</w:t>
            </w:r>
          </w:p>
        </w:tc>
        <w:tc>
          <w:tcPr>
            <w:tcW w:w="0" w:type="auto"/>
            <w:hideMark/>
          </w:tcPr>
          <w:p w14:paraId="7303DC37"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12</w:t>
            </w:r>
          </w:p>
        </w:tc>
        <w:tc>
          <w:tcPr>
            <w:tcW w:w="0" w:type="auto"/>
            <w:hideMark/>
          </w:tcPr>
          <w:p w14:paraId="76241B58"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0.826</w:t>
            </w:r>
          </w:p>
        </w:tc>
        <w:tc>
          <w:tcPr>
            <w:tcW w:w="0" w:type="auto"/>
            <w:hideMark/>
          </w:tcPr>
          <w:p w14:paraId="6239F86D"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9.91</w:t>
            </w:r>
          </w:p>
        </w:tc>
      </w:tr>
      <w:tr w:rsidR="00E0255D" w:rsidRPr="00877EE2" w14:paraId="07C768A0" w14:textId="77777777" w:rsidTr="009C5844">
        <w:tc>
          <w:tcPr>
            <w:tcW w:w="0" w:type="auto"/>
            <w:hideMark/>
          </w:tcPr>
          <w:p w14:paraId="3FD70822"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3</w:t>
            </w:r>
          </w:p>
        </w:tc>
        <w:tc>
          <w:tcPr>
            <w:tcW w:w="0" w:type="auto"/>
            <w:hideMark/>
          </w:tcPr>
          <w:p w14:paraId="375FCF1A"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14</w:t>
            </w:r>
          </w:p>
        </w:tc>
        <w:tc>
          <w:tcPr>
            <w:tcW w:w="0" w:type="auto"/>
            <w:hideMark/>
          </w:tcPr>
          <w:p w14:paraId="7198EE9C"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0.751</w:t>
            </w:r>
          </w:p>
        </w:tc>
        <w:tc>
          <w:tcPr>
            <w:tcW w:w="0" w:type="auto"/>
            <w:hideMark/>
          </w:tcPr>
          <w:p w14:paraId="1306D288"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10.51</w:t>
            </w:r>
          </w:p>
        </w:tc>
      </w:tr>
      <w:tr w:rsidR="00E0255D" w:rsidRPr="00877EE2" w14:paraId="1E26BE12" w14:textId="77777777" w:rsidTr="009C5844">
        <w:tc>
          <w:tcPr>
            <w:tcW w:w="0" w:type="auto"/>
            <w:hideMark/>
          </w:tcPr>
          <w:p w14:paraId="080584F7"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4</w:t>
            </w:r>
          </w:p>
        </w:tc>
        <w:tc>
          <w:tcPr>
            <w:tcW w:w="0" w:type="auto"/>
            <w:hideMark/>
          </w:tcPr>
          <w:p w14:paraId="56CAAC1B"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10</w:t>
            </w:r>
          </w:p>
        </w:tc>
        <w:tc>
          <w:tcPr>
            <w:tcW w:w="0" w:type="auto"/>
            <w:hideMark/>
          </w:tcPr>
          <w:p w14:paraId="38396060"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0.683</w:t>
            </w:r>
          </w:p>
        </w:tc>
        <w:tc>
          <w:tcPr>
            <w:tcW w:w="0" w:type="auto"/>
            <w:hideMark/>
          </w:tcPr>
          <w:p w14:paraId="0C33112E"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6.83</w:t>
            </w:r>
          </w:p>
        </w:tc>
      </w:tr>
      <w:tr w:rsidR="00E0255D" w:rsidRPr="00877EE2" w14:paraId="18BCEE55" w14:textId="77777777" w:rsidTr="009C5844">
        <w:tc>
          <w:tcPr>
            <w:tcW w:w="0" w:type="auto"/>
            <w:hideMark/>
          </w:tcPr>
          <w:p w14:paraId="4F568065"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5</w:t>
            </w:r>
          </w:p>
        </w:tc>
        <w:tc>
          <w:tcPr>
            <w:tcW w:w="0" w:type="auto"/>
            <w:hideMark/>
          </w:tcPr>
          <w:p w14:paraId="448883F3"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8</w:t>
            </w:r>
          </w:p>
        </w:tc>
        <w:tc>
          <w:tcPr>
            <w:tcW w:w="0" w:type="auto"/>
            <w:hideMark/>
          </w:tcPr>
          <w:p w14:paraId="443AD246"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0.621</w:t>
            </w:r>
          </w:p>
        </w:tc>
        <w:tc>
          <w:tcPr>
            <w:tcW w:w="0" w:type="auto"/>
            <w:hideMark/>
          </w:tcPr>
          <w:p w14:paraId="1FA1AED5"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4.97</w:t>
            </w:r>
          </w:p>
        </w:tc>
      </w:tr>
      <w:tr w:rsidR="00E0255D" w:rsidRPr="00877EE2" w14:paraId="6028B404" w14:textId="77777777" w:rsidTr="009C5844">
        <w:tc>
          <w:tcPr>
            <w:tcW w:w="0" w:type="auto"/>
            <w:hideMark/>
          </w:tcPr>
          <w:p w14:paraId="230FFB43"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Total PV of Inflows</w:t>
            </w:r>
          </w:p>
        </w:tc>
        <w:tc>
          <w:tcPr>
            <w:tcW w:w="0" w:type="auto"/>
            <w:hideMark/>
          </w:tcPr>
          <w:p w14:paraId="3726FEA6" w14:textId="77777777" w:rsidR="00E0255D" w:rsidRPr="00877EE2" w:rsidRDefault="00E0255D" w:rsidP="009C5844">
            <w:pPr>
              <w:rPr>
                <w:rFonts w:ascii="Times New Roman" w:eastAsia="Times New Roman" w:hAnsi="Times New Roman" w:cs="Times New Roman"/>
                <w:color w:val="1B1C1D"/>
                <w:sz w:val="24"/>
                <w:szCs w:val="24"/>
                <w:lang w:val="en-GB" w:eastAsia="en-IN"/>
              </w:rPr>
            </w:pPr>
          </w:p>
        </w:tc>
        <w:tc>
          <w:tcPr>
            <w:tcW w:w="0" w:type="auto"/>
            <w:hideMark/>
          </w:tcPr>
          <w:p w14:paraId="6E0400D1" w14:textId="77777777" w:rsidR="00E0255D" w:rsidRPr="00877EE2" w:rsidRDefault="00E0255D" w:rsidP="009C5844">
            <w:pPr>
              <w:rPr>
                <w:rFonts w:ascii="Times New Roman" w:eastAsia="Times New Roman" w:hAnsi="Times New Roman" w:cs="Times New Roman"/>
                <w:color w:val="1B1C1D"/>
                <w:sz w:val="24"/>
                <w:szCs w:val="24"/>
                <w:lang w:val="en-GB" w:eastAsia="en-IN"/>
              </w:rPr>
            </w:pPr>
          </w:p>
        </w:tc>
        <w:tc>
          <w:tcPr>
            <w:tcW w:w="0" w:type="auto"/>
            <w:hideMark/>
          </w:tcPr>
          <w:p w14:paraId="2AA03BF3"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41.31</w:t>
            </w:r>
          </w:p>
        </w:tc>
      </w:tr>
    </w:tbl>
    <w:p w14:paraId="148ED605" w14:textId="77777777" w:rsidR="00E0255D" w:rsidRPr="00877EE2" w:rsidRDefault="00E0255D" w:rsidP="00E0255D">
      <w:pPr>
        <w:spacing w:line="360" w:lineRule="auto"/>
        <w:jc w:val="both"/>
        <w:rPr>
          <w:rFonts w:ascii="Times New Roman" w:hAnsi="Times New Roman" w:cs="Times New Roman"/>
          <w:sz w:val="24"/>
          <w:szCs w:val="24"/>
          <w:lang w:val="en-GB"/>
        </w:rPr>
      </w:pPr>
    </w:p>
    <w:p w14:paraId="46B54C1E"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NPV = Total PV of Inflows – Initial Investment </w:t>
      </w:r>
    </w:p>
    <w:p w14:paraId="3435ED9F"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ab/>
        <w:t xml:space="preserve"> = 41.31 – 40 = 1.31m </w:t>
      </w:r>
    </w:p>
    <w:p w14:paraId="13E9B49F"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PI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Total PV of Inflows</m:t>
            </m:r>
          </m:num>
          <m:den>
            <m:r>
              <w:rPr>
                <w:rFonts w:ascii="Cambria Math" w:hAnsi="Cambria Math" w:cs="Times New Roman"/>
                <w:sz w:val="24"/>
                <w:szCs w:val="24"/>
                <w:lang w:val="en-GB"/>
              </w:rPr>
              <m:t>Initial Investment</m:t>
            </m:r>
          </m:den>
        </m:f>
      </m:oMath>
      <w:r w:rsidRPr="00877EE2">
        <w:rPr>
          <w:rFonts w:ascii="Times New Roman" w:eastAsiaTheme="minorEastAsia" w:hAnsi="Times New Roman" w:cs="Times New Roman"/>
          <w:sz w:val="24"/>
          <w:szCs w:val="24"/>
          <w:lang w:val="en-GB"/>
        </w:rPr>
        <w:t xml:space="preserve"> = </w:t>
      </w:r>
      <m:oMath>
        <m:f>
          <m:fPr>
            <m:ctrlPr>
              <w:rPr>
                <w:rFonts w:ascii="Cambria Math" w:eastAsiaTheme="minorEastAsia" w:hAnsi="Cambria Math" w:cs="Times New Roman"/>
                <w:i/>
                <w:sz w:val="24"/>
                <w:szCs w:val="24"/>
                <w:lang w:val="en-GB"/>
              </w:rPr>
            </m:ctrlPr>
          </m:fPr>
          <m:num>
            <m:r>
              <w:rPr>
                <w:rFonts w:ascii="Cambria Math" w:eastAsiaTheme="minorEastAsia" w:hAnsi="Cambria Math" w:cs="Times New Roman"/>
                <w:sz w:val="24"/>
                <w:szCs w:val="24"/>
                <w:lang w:val="en-GB"/>
              </w:rPr>
              <m:t>41.31</m:t>
            </m:r>
          </m:num>
          <m:den>
            <m:r>
              <w:rPr>
                <w:rFonts w:ascii="Cambria Math" w:eastAsiaTheme="minorEastAsia" w:hAnsi="Cambria Math" w:cs="Times New Roman"/>
                <w:sz w:val="24"/>
                <w:szCs w:val="24"/>
                <w:lang w:val="en-GB"/>
              </w:rPr>
              <m:t>40</m:t>
            </m:r>
          </m:den>
        </m:f>
      </m:oMath>
      <w:r w:rsidRPr="00877EE2">
        <w:rPr>
          <w:rFonts w:ascii="Times New Roman" w:eastAsiaTheme="minorEastAsia" w:hAnsi="Times New Roman" w:cs="Times New Roman"/>
          <w:sz w:val="24"/>
          <w:szCs w:val="24"/>
          <w:lang w:val="en-GB"/>
        </w:rPr>
        <w:t xml:space="preserve"> = 1.033</w:t>
      </w:r>
    </w:p>
    <w:p w14:paraId="07C2F2A9" w14:textId="77777777" w:rsidR="00E0255D" w:rsidRPr="00877EE2" w:rsidRDefault="00E0255D" w:rsidP="00E0255D">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Internal Rate of Return (IRR)</w:t>
      </w:r>
    </w:p>
    <w:p w14:paraId="5CE3E807"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Since NPV &gt; 0 at 10%, the IRR is higher than 10%. </w:t>
      </w:r>
    </w:p>
    <w:p w14:paraId="2E493BF2"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IRR = approx 11.3%</w:t>
      </w:r>
    </w:p>
    <w:p w14:paraId="4A8D7FDD" w14:textId="77777777" w:rsidR="00E0255D" w:rsidRPr="00877EE2" w:rsidRDefault="00E0255D" w:rsidP="00E0255D">
      <w:pPr>
        <w:rPr>
          <w:rFonts w:ascii="Times New Roman" w:hAnsi="Times New Roman" w:cs="Times New Roman"/>
          <w:sz w:val="24"/>
          <w:szCs w:val="24"/>
          <w:lang w:val="en-GB"/>
        </w:rPr>
      </w:pPr>
    </w:p>
    <w:p w14:paraId="316F3008"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Project B</w:t>
      </w:r>
    </w:p>
    <w:p w14:paraId="11926838"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Initial Investment = 30m </w:t>
      </w:r>
    </w:p>
    <w:tbl>
      <w:tblPr>
        <w:tblStyle w:val="TableGrid"/>
        <w:tblW w:w="0" w:type="auto"/>
        <w:tblLook w:val="04A0" w:firstRow="1" w:lastRow="0" w:firstColumn="1" w:lastColumn="0" w:noHBand="0" w:noVBand="1"/>
      </w:tblPr>
      <w:tblGrid>
        <w:gridCol w:w="1526"/>
        <w:gridCol w:w="1843"/>
      </w:tblGrid>
      <w:tr w:rsidR="00E0255D" w:rsidRPr="00877EE2" w14:paraId="5D3E0BC5" w14:textId="77777777" w:rsidTr="009C5844">
        <w:tc>
          <w:tcPr>
            <w:tcW w:w="1526" w:type="dxa"/>
          </w:tcPr>
          <w:p w14:paraId="38B4E07F"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Inflow </w:t>
            </w:r>
          </w:p>
        </w:tc>
        <w:tc>
          <w:tcPr>
            <w:tcW w:w="1843" w:type="dxa"/>
          </w:tcPr>
          <w:p w14:paraId="0E152BCD"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Cumulative Cash Flow </w:t>
            </w:r>
          </w:p>
        </w:tc>
      </w:tr>
      <w:tr w:rsidR="00E0255D" w:rsidRPr="00877EE2" w14:paraId="2F81BC94" w14:textId="77777777" w:rsidTr="009C5844">
        <w:tc>
          <w:tcPr>
            <w:tcW w:w="1526" w:type="dxa"/>
          </w:tcPr>
          <w:p w14:paraId="30567C87"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6</w:t>
            </w:r>
          </w:p>
        </w:tc>
        <w:tc>
          <w:tcPr>
            <w:tcW w:w="1843" w:type="dxa"/>
          </w:tcPr>
          <w:p w14:paraId="00F41978"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6</w:t>
            </w:r>
          </w:p>
        </w:tc>
      </w:tr>
      <w:tr w:rsidR="00E0255D" w:rsidRPr="00877EE2" w14:paraId="4FA407D3" w14:textId="77777777" w:rsidTr="009C5844">
        <w:tc>
          <w:tcPr>
            <w:tcW w:w="1526" w:type="dxa"/>
          </w:tcPr>
          <w:p w14:paraId="1F2C4526" w14:textId="77777777" w:rsidR="00E0255D" w:rsidRPr="00877EE2" w:rsidRDefault="00E0255D" w:rsidP="009C5844">
            <w:pPr>
              <w:rPr>
                <w:lang w:val="en-GB"/>
              </w:rPr>
            </w:pPr>
            <w:r w:rsidRPr="00877EE2">
              <w:rPr>
                <w:rFonts w:ascii="Times New Roman" w:hAnsi="Times New Roman" w:cs="Times New Roman"/>
                <w:sz w:val="24"/>
                <w:szCs w:val="24"/>
                <w:lang w:val="en-GB"/>
              </w:rPr>
              <w:t>6</w:t>
            </w:r>
          </w:p>
        </w:tc>
        <w:tc>
          <w:tcPr>
            <w:tcW w:w="1843" w:type="dxa"/>
          </w:tcPr>
          <w:p w14:paraId="00657772"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12</w:t>
            </w:r>
          </w:p>
        </w:tc>
      </w:tr>
      <w:tr w:rsidR="00E0255D" w:rsidRPr="00877EE2" w14:paraId="5BA458EE" w14:textId="77777777" w:rsidTr="009C5844">
        <w:tc>
          <w:tcPr>
            <w:tcW w:w="1526" w:type="dxa"/>
          </w:tcPr>
          <w:p w14:paraId="62CCFCB6" w14:textId="77777777" w:rsidR="00E0255D" w:rsidRPr="00877EE2" w:rsidRDefault="00E0255D" w:rsidP="009C5844">
            <w:pPr>
              <w:rPr>
                <w:lang w:val="en-GB"/>
              </w:rPr>
            </w:pPr>
            <w:r w:rsidRPr="00877EE2">
              <w:rPr>
                <w:rFonts w:ascii="Times New Roman" w:hAnsi="Times New Roman" w:cs="Times New Roman"/>
                <w:sz w:val="24"/>
                <w:szCs w:val="24"/>
                <w:lang w:val="en-GB"/>
              </w:rPr>
              <w:t>6</w:t>
            </w:r>
          </w:p>
        </w:tc>
        <w:tc>
          <w:tcPr>
            <w:tcW w:w="1843" w:type="dxa"/>
          </w:tcPr>
          <w:p w14:paraId="6D07B47F"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18</w:t>
            </w:r>
          </w:p>
        </w:tc>
      </w:tr>
      <w:tr w:rsidR="00E0255D" w:rsidRPr="00877EE2" w14:paraId="1E872CC9" w14:textId="77777777" w:rsidTr="009C5844">
        <w:tc>
          <w:tcPr>
            <w:tcW w:w="1526" w:type="dxa"/>
          </w:tcPr>
          <w:p w14:paraId="4AF498C6" w14:textId="77777777" w:rsidR="00E0255D" w:rsidRPr="00877EE2" w:rsidRDefault="00E0255D" w:rsidP="009C5844">
            <w:pPr>
              <w:rPr>
                <w:lang w:val="en-GB"/>
              </w:rPr>
            </w:pPr>
            <w:r w:rsidRPr="00877EE2">
              <w:rPr>
                <w:rFonts w:ascii="Times New Roman" w:hAnsi="Times New Roman" w:cs="Times New Roman"/>
                <w:sz w:val="24"/>
                <w:szCs w:val="24"/>
                <w:lang w:val="en-GB"/>
              </w:rPr>
              <w:t>6</w:t>
            </w:r>
          </w:p>
        </w:tc>
        <w:tc>
          <w:tcPr>
            <w:tcW w:w="1843" w:type="dxa"/>
          </w:tcPr>
          <w:p w14:paraId="2495B681"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24</w:t>
            </w:r>
          </w:p>
        </w:tc>
      </w:tr>
      <w:tr w:rsidR="00E0255D" w:rsidRPr="00877EE2" w14:paraId="4E1CE4BD" w14:textId="77777777" w:rsidTr="009C5844">
        <w:tc>
          <w:tcPr>
            <w:tcW w:w="1526" w:type="dxa"/>
          </w:tcPr>
          <w:p w14:paraId="42CDDE28" w14:textId="77777777" w:rsidR="00E0255D" w:rsidRPr="00877EE2" w:rsidRDefault="00E0255D" w:rsidP="009C5844">
            <w:pPr>
              <w:rPr>
                <w:lang w:val="en-GB"/>
              </w:rPr>
            </w:pPr>
            <w:r w:rsidRPr="00877EE2">
              <w:rPr>
                <w:rFonts w:ascii="Times New Roman" w:hAnsi="Times New Roman" w:cs="Times New Roman"/>
                <w:sz w:val="24"/>
                <w:szCs w:val="24"/>
                <w:lang w:val="en-GB"/>
              </w:rPr>
              <w:t>6</w:t>
            </w:r>
          </w:p>
        </w:tc>
        <w:tc>
          <w:tcPr>
            <w:tcW w:w="1843" w:type="dxa"/>
          </w:tcPr>
          <w:p w14:paraId="6ED074C7"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30</w:t>
            </w:r>
          </w:p>
        </w:tc>
      </w:tr>
    </w:tbl>
    <w:p w14:paraId="457FF675" w14:textId="77777777" w:rsidR="00E0255D" w:rsidRPr="00877EE2" w:rsidRDefault="00E0255D" w:rsidP="00E0255D">
      <w:pPr>
        <w:spacing w:line="360" w:lineRule="auto"/>
        <w:jc w:val="both"/>
        <w:rPr>
          <w:rFonts w:ascii="Times New Roman" w:hAnsi="Times New Roman" w:cs="Times New Roman"/>
          <w:sz w:val="24"/>
          <w:szCs w:val="24"/>
          <w:lang w:val="en-GB"/>
        </w:rPr>
      </w:pPr>
    </w:p>
    <w:p w14:paraId="591ED180"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Payback Period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30</m:t>
            </m:r>
          </m:num>
          <m:den>
            <m:r>
              <w:rPr>
                <w:rFonts w:ascii="Cambria Math" w:hAnsi="Cambria Math" w:cs="Times New Roman"/>
                <w:sz w:val="24"/>
                <w:szCs w:val="24"/>
                <w:lang w:val="en-GB"/>
              </w:rPr>
              <m:t>6</m:t>
            </m:r>
          </m:den>
        </m:f>
      </m:oMath>
      <w:r w:rsidRPr="00877EE2">
        <w:rPr>
          <w:rFonts w:ascii="Times New Roman" w:eastAsiaTheme="minorEastAsia" w:hAnsi="Times New Roman" w:cs="Times New Roman"/>
          <w:sz w:val="24"/>
          <w:szCs w:val="24"/>
          <w:lang w:val="en-GB"/>
        </w:rPr>
        <w:t xml:space="preserve"> = 5.0 years</w:t>
      </w:r>
    </w:p>
    <w:p w14:paraId="0E580407"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Accounting Rate of Return (ARR)</w:t>
      </w:r>
    </w:p>
    <w:p w14:paraId="619F42ED"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Average Annual Profit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0</m:t>
            </m:r>
          </m:num>
          <m:den>
            <m:r>
              <w:rPr>
                <w:rFonts w:ascii="Cambria Math" w:hAnsi="Cambria Math" w:cs="Times New Roman"/>
                <w:sz w:val="24"/>
                <w:szCs w:val="24"/>
                <w:lang w:val="en-GB"/>
              </w:rPr>
              <m:t>30</m:t>
            </m:r>
          </m:den>
        </m:f>
      </m:oMath>
      <w:r w:rsidRPr="00877EE2">
        <w:rPr>
          <w:rFonts w:ascii="Times New Roman" w:eastAsiaTheme="minorEastAsia" w:hAnsi="Times New Roman" w:cs="Times New Roman"/>
          <w:sz w:val="24"/>
          <w:szCs w:val="24"/>
          <w:lang w:val="en-GB"/>
        </w:rPr>
        <w:t xml:space="preserve"> = 0.0% </w:t>
      </w:r>
    </w:p>
    <w:p w14:paraId="35D77BC1" w14:textId="77777777" w:rsidR="00E0255D" w:rsidRPr="00877EE2" w:rsidRDefault="00E0255D" w:rsidP="00E0255D">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Net Present Value (NPV) &amp; Profitability Index (PI)</w:t>
      </w:r>
    </w:p>
    <w:tbl>
      <w:tblPr>
        <w:tblStyle w:val="TableGrid"/>
        <w:tblW w:w="0" w:type="auto"/>
        <w:tblLook w:val="04A0" w:firstRow="1" w:lastRow="0" w:firstColumn="1" w:lastColumn="0" w:noHBand="0" w:noVBand="1"/>
      </w:tblPr>
      <w:tblGrid>
        <w:gridCol w:w="2223"/>
        <w:gridCol w:w="1076"/>
        <w:gridCol w:w="1360"/>
        <w:gridCol w:w="1316"/>
      </w:tblGrid>
      <w:tr w:rsidR="00E0255D" w:rsidRPr="00877EE2" w14:paraId="3E5D8B79" w14:textId="77777777" w:rsidTr="009C5844">
        <w:tc>
          <w:tcPr>
            <w:tcW w:w="0" w:type="auto"/>
            <w:hideMark/>
          </w:tcPr>
          <w:p w14:paraId="26B3660B"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Year (t)</w:t>
            </w:r>
          </w:p>
        </w:tc>
        <w:tc>
          <w:tcPr>
            <w:tcW w:w="0" w:type="auto"/>
            <w:hideMark/>
          </w:tcPr>
          <w:p w14:paraId="4B5E800C"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CF (£m)</w:t>
            </w:r>
          </w:p>
        </w:tc>
        <w:tc>
          <w:tcPr>
            <w:tcW w:w="0" w:type="auto"/>
            <w:hideMark/>
          </w:tcPr>
          <w:p w14:paraId="03633437"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DF @ 10%</w:t>
            </w:r>
          </w:p>
        </w:tc>
        <w:tc>
          <w:tcPr>
            <w:tcW w:w="0" w:type="auto"/>
            <w:hideMark/>
          </w:tcPr>
          <w:p w14:paraId="0FD6CC05"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PV (£m)</w:t>
            </w:r>
          </w:p>
        </w:tc>
      </w:tr>
      <w:tr w:rsidR="00E0255D" w:rsidRPr="00877EE2" w14:paraId="52CF5D35" w14:textId="77777777" w:rsidTr="009C5844">
        <w:tc>
          <w:tcPr>
            <w:tcW w:w="0" w:type="auto"/>
            <w:hideMark/>
          </w:tcPr>
          <w:p w14:paraId="25BC6884"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w:t>
            </w:r>
          </w:p>
        </w:tc>
        <w:tc>
          <w:tcPr>
            <w:tcW w:w="0" w:type="auto"/>
            <w:hideMark/>
          </w:tcPr>
          <w:p w14:paraId="48025556"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6</w:t>
            </w:r>
          </w:p>
        </w:tc>
        <w:tc>
          <w:tcPr>
            <w:tcW w:w="0" w:type="auto"/>
            <w:hideMark/>
          </w:tcPr>
          <w:p w14:paraId="1C90A5BA"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0.909</w:t>
            </w:r>
          </w:p>
        </w:tc>
        <w:tc>
          <w:tcPr>
            <w:tcW w:w="0" w:type="auto"/>
            <w:hideMark/>
          </w:tcPr>
          <w:p w14:paraId="7432901B"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5.4545</w:t>
            </w:r>
          </w:p>
        </w:tc>
      </w:tr>
      <w:tr w:rsidR="00E0255D" w:rsidRPr="00877EE2" w14:paraId="28F55DA8" w14:textId="77777777" w:rsidTr="009C5844">
        <w:tc>
          <w:tcPr>
            <w:tcW w:w="0" w:type="auto"/>
            <w:hideMark/>
          </w:tcPr>
          <w:p w14:paraId="7837AEC4"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2</w:t>
            </w:r>
          </w:p>
        </w:tc>
        <w:tc>
          <w:tcPr>
            <w:tcW w:w="0" w:type="auto"/>
            <w:hideMark/>
          </w:tcPr>
          <w:p w14:paraId="0B38805B" w14:textId="77777777" w:rsidR="00E0255D" w:rsidRPr="00877EE2" w:rsidRDefault="00E0255D" w:rsidP="009C5844">
            <w:pPr>
              <w:rPr>
                <w:lang w:val="en-GB"/>
              </w:rPr>
            </w:pPr>
            <w:r w:rsidRPr="00877EE2">
              <w:rPr>
                <w:rFonts w:ascii="Times New Roman" w:eastAsia="Times New Roman" w:hAnsi="Times New Roman" w:cs="Times New Roman"/>
                <w:color w:val="1B1C1D"/>
                <w:sz w:val="24"/>
                <w:szCs w:val="24"/>
                <w:lang w:val="en-GB" w:eastAsia="en-IN"/>
              </w:rPr>
              <w:t>6</w:t>
            </w:r>
          </w:p>
        </w:tc>
        <w:tc>
          <w:tcPr>
            <w:tcW w:w="0" w:type="auto"/>
            <w:hideMark/>
          </w:tcPr>
          <w:p w14:paraId="11A0CCCC"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0.826</w:t>
            </w:r>
          </w:p>
        </w:tc>
        <w:tc>
          <w:tcPr>
            <w:tcW w:w="0" w:type="auto"/>
            <w:hideMark/>
          </w:tcPr>
          <w:p w14:paraId="60DD6841"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4.9587</w:t>
            </w:r>
          </w:p>
        </w:tc>
      </w:tr>
      <w:tr w:rsidR="00E0255D" w:rsidRPr="00877EE2" w14:paraId="05E03DA5" w14:textId="77777777" w:rsidTr="009C5844">
        <w:tc>
          <w:tcPr>
            <w:tcW w:w="0" w:type="auto"/>
            <w:hideMark/>
          </w:tcPr>
          <w:p w14:paraId="6816B9EA"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3</w:t>
            </w:r>
          </w:p>
        </w:tc>
        <w:tc>
          <w:tcPr>
            <w:tcW w:w="0" w:type="auto"/>
            <w:hideMark/>
          </w:tcPr>
          <w:p w14:paraId="4AE73593" w14:textId="77777777" w:rsidR="00E0255D" w:rsidRPr="00877EE2" w:rsidRDefault="00E0255D" w:rsidP="009C5844">
            <w:pPr>
              <w:rPr>
                <w:lang w:val="en-GB"/>
              </w:rPr>
            </w:pPr>
            <w:r w:rsidRPr="00877EE2">
              <w:rPr>
                <w:rFonts w:ascii="Times New Roman" w:eastAsia="Times New Roman" w:hAnsi="Times New Roman" w:cs="Times New Roman"/>
                <w:color w:val="1B1C1D"/>
                <w:sz w:val="24"/>
                <w:szCs w:val="24"/>
                <w:lang w:val="en-GB" w:eastAsia="en-IN"/>
              </w:rPr>
              <w:t>6</w:t>
            </w:r>
          </w:p>
        </w:tc>
        <w:tc>
          <w:tcPr>
            <w:tcW w:w="0" w:type="auto"/>
            <w:hideMark/>
          </w:tcPr>
          <w:p w14:paraId="22FF3400"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0.751</w:t>
            </w:r>
          </w:p>
        </w:tc>
        <w:tc>
          <w:tcPr>
            <w:tcW w:w="0" w:type="auto"/>
            <w:hideMark/>
          </w:tcPr>
          <w:p w14:paraId="337AB78C"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4.5079</w:t>
            </w:r>
          </w:p>
        </w:tc>
      </w:tr>
      <w:tr w:rsidR="00E0255D" w:rsidRPr="00877EE2" w14:paraId="7EF23544" w14:textId="77777777" w:rsidTr="009C5844">
        <w:tc>
          <w:tcPr>
            <w:tcW w:w="0" w:type="auto"/>
            <w:hideMark/>
          </w:tcPr>
          <w:p w14:paraId="06A996DF"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4</w:t>
            </w:r>
          </w:p>
        </w:tc>
        <w:tc>
          <w:tcPr>
            <w:tcW w:w="0" w:type="auto"/>
            <w:hideMark/>
          </w:tcPr>
          <w:p w14:paraId="330D97C5" w14:textId="77777777" w:rsidR="00E0255D" w:rsidRPr="00877EE2" w:rsidRDefault="00E0255D" w:rsidP="009C5844">
            <w:pPr>
              <w:rPr>
                <w:lang w:val="en-GB"/>
              </w:rPr>
            </w:pPr>
            <w:r w:rsidRPr="00877EE2">
              <w:rPr>
                <w:rFonts w:ascii="Times New Roman" w:eastAsia="Times New Roman" w:hAnsi="Times New Roman" w:cs="Times New Roman"/>
                <w:color w:val="1B1C1D"/>
                <w:sz w:val="24"/>
                <w:szCs w:val="24"/>
                <w:lang w:val="en-GB" w:eastAsia="en-IN"/>
              </w:rPr>
              <w:t>6</w:t>
            </w:r>
          </w:p>
        </w:tc>
        <w:tc>
          <w:tcPr>
            <w:tcW w:w="0" w:type="auto"/>
            <w:hideMark/>
          </w:tcPr>
          <w:p w14:paraId="2B84213B"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0.683</w:t>
            </w:r>
          </w:p>
        </w:tc>
        <w:tc>
          <w:tcPr>
            <w:tcW w:w="0" w:type="auto"/>
            <w:hideMark/>
          </w:tcPr>
          <w:p w14:paraId="06FBA4E9"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4.0981</w:t>
            </w:r>
          </w:p>
        </w:tc>
      </w:tr>
      <w:tr w:rsidR="00E0255D" w:rsidRPr="00877EE2" w14:paraId="113C19C7" w14:textId="77777777" w:rsidTr="009C5844">
        <w:tc>
          <w:tcPr>
            <w:tcW w:w="0" w:type="auto"/>
            <w:hideMark/>
          </w:tcPr>
          <w:p w14:paraId="2CF25B81"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5</w:t>
            </w:r>
          </w:p>
        </w:tc>
        <w:tc>
          <w:tcPr>
            <w:tcW w:w="0" w:type="auto"/>
            <w:hideMark/>
          </w:tcPr>
          <w:p w14:paraId="68AD299F" w14:textId="77777777" w:rsidR="00E0255D" w:rsidRPr="00877EE2" w:rsidRDefault="00E0255D" w:rsidP="009C5844">
            <w:pPr>
              <w:rPr>
                <w:lang w:val="en-GB"/>
              </w:rPr>
            </w:pPr>
            <w:r w:rsidRPr="00877EE2">
              <w:rPr>
                <w:rFonts w:ascii="Times New Roman" w:eastAsia="Times New Roman" w:hAnsi="Times New Roman" w:cs="Times New Roman"/>
                <w:color w:val="1B1C1D"/>
                <w:sz w:val="24"/>
                <w:szCs w:val="24"/>
                <w:lang w:val="en-GB" w:eastAsia="en-IN"/>
              </w:rPr>
              <w:t>6</w:t>
            </w:r>
          </w:p>
        </w:tc>
        <w:tc>
          <w:tcPr>
            <w:tcW w:w="0" w:type="auto"/>
            <w:hideMark/>
          </w:tcPr>
          <w:p w14:paraId="562296B9"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0.621</w:t>
            </w:r>
          </w:p>
        </w:tc>
        <w:tc>
          <w:tcPr>
            <w:tcW w:w="0" w:type="auto"/>
            <w:hideMark/>
          </w:tcPr>
          <w:p w14:paraId="07FD0882"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3.7255</w:t>
            </w:r>
          </w:p>
        </w:tc>
      </w:tr>
      <w:tr w:rsidR="00E0255D" w:rsidRPr="00877EE2" w14:paraId="2D61E0D0" w14:textId="77777777" w:rsidTr="009C5844">
        <w:tc>
          <w:tcPr>
            <w:tcW w:w="0" w:type="auto"/>
            <w:hideMark/>
          </w:tcPr>
          <w:p w14:paraId="49B5A3C3"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Total PV of Inflows</w:t>
            </w:r>
          </w:p>
        </w:tc>
        <w:tc>
          <w:tcPr>
            <w:tcW w:w="0" w:type="auto"/>
            <w:hideMark/>
          </w:tcPr>
          <w:p w14:paraId="585839B8" w14:textId="77777777" w:rsidR="00E0255D" w:rsidRPr="00877EE2" w:rsidRDefault="00E0255D" w:rsidP="009C5844">
            <w:pPr>
              <w:rPr>
                <w:rFonts w:ascii="Times New Roman" w:eastAsia="Times New Roman" w:hAnsi="Times New Roman" w:cs="Times New Roman"/>
                <w:color w:val="1B1C1D"/>
                <w:sz w:val="24"/>
                <w:szCs w:val="24"/>
                <w:lang w:val="en-GB" w:eastAsia="en-IN"/>
              </w:rPr>
            </w:pPr>
          </w:p>
        </w:tc>
        <w:tc>
          <w:tcPr>
            <w:tcW w:w="0" w:type="auto"/>
            <w:hideMark/>
          </w:tcPr>
          <w:p w14:paraId="4BAB256E" w14:textId="77777777" w:rsidR="00E0255D" w:rsidRPr="00877EE2" w:rsidRDefault="00E0255D" w:rsidP="009C5844">
            <w:pPr>
              <w:rPr>
                <w:rFonts w:ascii="Times New Roman" w:eastAsia="Times New Roman" w:hAnsi="Times New Roman" w:cs="Times New Roman"/>
                <w:color w:val="1B1C1D"/>
                <w:sz w:val="24"/>
                <w:szCs w:val="24"/>
                <w:lang w:val="en-GB" w:eastAsia="en-IN"/>
              </w:rPr>
            </w:pPr>
          </w:p>
        </w:tc>
        <w:tc>
          <w:tcPr>
            <w:tcW w:w="0" w:type="auto"/>
            <w:hideMark/>
          </w:tcPr>
          <w:p w14:paraId="7FC7C1C7"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£22.7447m</w:t>
            </w:r>
          </w:p>
        </w:tc>
      </w:tr>
    </w:tbl>
    <w:p w14:paraId="1EFA463C" w14:textId="77777777" w:rsidR="00E0255D" w:rsidRPr="00877EE2" w:rsidRDefault="00E0255D" w:rsidP="00E0255D">
      <w:pPr>
        <w:spacing w:line="360" w:lineRule="auto"/>
        <w:jc w:val="both"/>
        <w:rPr>
          <w:rFonts w:ascii="Times New Roman" w:hAnsi="Times New Roman" w:cs="Times New Roman"/>
          <w:sz w:val="24"/>
          <w:szCs w:val="24"/>
          <w:lang w:val="en-GB"/>
        </w:rPr>
      </w:pPr>
    </w:p>
    <w:p w14:paraId="026527E5"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NPV = 22.7447 − 30 = −£7.2553m (≈ −£7.26m).</w:t>
      </w:r>
    </w:p>
    <w:p w14:paraId="7DB8233A"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PI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22.7447</m:t>
            </m:r>
          </m:num>
          <m:den>
            <m:r>
              <w:rPr>
                <w:rFonts w:ascii="Cambria Math" w:hAnsi="Cambria Math" w:cs="Times New Roman"/>
                <w:sz w:val="24"/>
                <w:szCs w:val="24"/>
                <w:lang w:val="en-GB"/>
              </w:rPr>
              <m:t>30</m:t>
            </m:r>
          </m:den>
        </m:f>
      </m:oMath>
      <w:r w:rsidRPr="00877EE2">
        <w:rPr>
          <w:rFonts w:ascii="Times New Roman" w:eastAsiaTheme="minorEastAsia" w:hAnsi="Times New Roman" w:cs="Times New Roman"/>
          <w:sz w:val="24"/>
          <w:szCs w:val="24"/>
          <w:lang w:val="en-GB"/>
        </w:rPr>
        <w:t xml:space="preserve"> = 0.7582</w:t>
      </w:r>
    </w:p>
    <w:p w14:paraId="1C2C5A44" w14:textId="77777777" w:rsidR="00E0255D" w:rsidRPr="00877EE2" w:rsidRDefault="00E0255D" w:rsidP="00E0255D">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 xml:space="preserve">IRR </w:t>
      </w:r>
    </w:p>
    <w:p w14:paraId="6C8FA636"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Since NPV &lt; 0 at 10% and Total Inflow, so IRR is 0. </w:t>
      </w:r>
    </w:p>
    <w:p w14:paraId="5DE858B5" w14:textId="77777777" w:rsidR="00E0255D" w:rsidRPr="00877EE2" w:rsidRDefault="00E0255D" w:rsidP="00E0255D">
      <w:pPr>
        <w:rPr>
          <w:rFonts w:ascii="Times New Roman" w:hAnsi="Times New Roman" w:cs="Times New Roman"/>
          <w:sz w:val="24"/>
          <w:szCs w:val="24"/>
          <w:lang w:val="en-GB"/>
        </w:rPr>
      </w:pPr>
      <w:r w:rsidRPr="00877EE2">
        <w:rPr>
          <w:rFonts w:ascii="Times New Roman" w:hAnsi="Times New Roman" w:cs="Times New Roman"/>
          <w:sz w:val="24"/>
          <w:szCs w:val="24"/>
          <w:lang w:val="en-GB"/>
        </w:rPr>
        <w:br w:type="page"/>
      </w:r>
    </w:p>
    <w:p w14:paraId="359FF198"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Project C </w:t>
      </w:r>
    </w:p>
    <w:p w14:paraId="540425E4"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Initial investment = 50m </w:t>
      </w:r>
    </w:p>
    <w:tbl>
      <w:tblPr>
        <w:tblStyle w:val="TableGrid"/>
        <w:tblW w:w="0" w:type="auto"/>
        <w:tblLook w:val="04A0" w:firstRow="1" w:lastRow="0" w:firstColumn="1" w:lastColumn="0" w:noHBand="0" w:noVBand="1"/>
      </w:tblPr>
      <w:tblGrid>
        <w:gridCol w:w="1526"/>
        <w:gridCol w:w="1843"/>
      </w:tblGrid>
      <w:tr w:rsidR="00E0255D" w:rsidRPr="00877EE2" w14:paraId="011CB3CC" w14:textId="77777777" w:rsidTr="009C5844">
        <w:tc>
          <w:tcPr>
            <w:tcW w:w="1526" w:type="dxa"/>
          </w:tcPr>
          <w:p w14:paraId="3E2E7538"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Inflow </w:t>
            </w:r>
          </w:p>
        </w:tc>
        <w:tc>
          <w:tcPr>
            <w:tcW w:w="1843" w:type="dxa"/>
          </w:tcPr>
          <w:p w14:paraId="1753B392"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Cumulative Cash Flow </w:t>
            </w:r>
          </w:p>
        </w:tc>
      </w:tr>
      <w:tr w:rsidR="00E0255D" w:rsidRPr="00877EE2" w14:paraId="3F9CF257" w14:textId="77777777" w:rsidTr="009C5844">
        <w:tc>
          <w:tcPr>
            <w:tcW w:w="1526" w:type="dxa"/>
          </w:tcPr>
          <w:p w14:paraId="452A3EB9"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5</w:t>
            </w:r>
          </w:p>
        </w:tc>
        <w:tc>
          <w:tcPr>
            <w:tcW w:w="1843" w:type="dxa"/>
          </w:tcPr>
          <w:p w14:paraId="00B52018"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5</w:t>
            </w:r>
          </w:p>
        </w:tc>
      </w:tr>
      <w:tr w:rsidR="00E0255D" w:rsidRPr="00877EE2" w14:paraId="4224656B" w14:textId="77777777" w:rsidTr="009C5844">
        <w:tc>
          <w:tcPr>
            <w:tcW w:w="1526" w:type="dxa"/>
          </w:tcPr>
          <w:p w14:paraId="0309C13D" w14:textId="77777777" w:rsidR="00E0255D" w:rsidRPr="00877EE2" w:rsidRDefault="00E0255D" w:rsidP="009C5844">
            <w:pPr>
              <w:rPr>
                <w:lang w:val="en-GB"/>
              </w:rPr>
            </w:pPr>
            <w:r w:rsidRPr="00877EE2">
              <w:rPr>
                <w:rFonts w:ascii="Times New Roman" w:hAnsi="Times New Roman" w:cs="Times New Roman"/>
                <w:sz w:val="24"/>
                <w:szCs w:val="24"/>
                <w:lang w:val="en-GB"/>
              </w:rPr>
              <w:t>10</w:t>
            </w:r>
          </w:p>
        </w:tc>
        <w:tc>
          <w:tcPr>
            <w:tcW w:w="1843" w:type="dxa"/>
          </w:tcPr>
          <w:p w14:paraId="2846E0A2"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15</w:t>
            </w:r>
          </w:p>
        </w:tc>
      </w:tr>
      <w:tr w:rsidR="00E0255D" w:rsidRPr="00877EE2" w14:paraId="113FF9B0" w14:textId="77777777" w:rsidTr="009C5844">
        <w:tc>
          <w:tcPr>
            <w:tcW w:w="1526" w:type="dxa"/>
          </w:tcPr>
          <w:p w14:paraId="09539E0E" w14:textId="77777777" w:rsidR="00E0255D" w:rsidRPr="00877EE2" w:rsidRDefault="00E0255D" w:rsidP="009C5844">
            <w:pPr>
              <w:rPr>
                <w:lang w:val="en-GB"/>
              </w:rPr>
            </w:pPr>
            <w:r w:rsidRPr="00877EE2">
              <w:rPr>
                <w:rFonts w:ascii="Times New Roman" w:hAnsi="Times New Roman" w:cs="Times New Roman"/>
                <w:sz w:val="24"/>
                <w:szCs w:val="24"/>
                <w:lang w:val="en-GB"/>
              </w:rPr>
              <w:t>20</w:t>
            </w:r>
          </w:p>
        </w:tc>
        <w:tc>
          <w:tcPr>
            <w:tcW w:w="1843" w:type="dxa"/>
          </w:tcPr>
          <w:p w14:paraId="67E32CF1"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35</w:t>
            </w:r>
          </w:p>
        </w:tc>
      </w:tr>
      <w:tr w:rsidR="00E0255D" w:rsidRPr="00877EE2" w14:paraId="03096D97" w14:textId="77777777" w:rsidTr="009C5844">
        <w:tc>
          <w:tcPr>
            <w:tcW w:w="1526" w:type="dxa"/>
          </w:tcPr>
          <w:p w14:paraId="5E5A8A23" w14:textId="77777777" w:rsidR="00E0255D" w:rsidRPr="00877EE2" w:rsidRDefault="00E0255D" w:rsidP="009C5844">
            <w:pPr>
              <w:rPr>
                <w:lang w:val="en-GB"/>
              </w:rPr>
            </w:pPr>
            <w:r w:rsidRPr="00877EE2">
              <w:rPr>
                <w:rFonts w:ascii="Times New Roman" w:hAnsi="Times New Roman" w:cs="Times New Roman"/>
                <w:sz w:val="24"/>
                <w:szCs w:val="24"/>
                <w:lang w:val="en-GB"/>
              </w:rPr>
              <w:t>25</w:t>
            </w:r>
          </w:p>
        </w:tc>
        <w:tc>
          <w:tcPr>
            <w:tcW w:w="1843" w:type="dxa"/>
          </w:tcPr>
          <w:p w14:paraId="52723934"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60</w:t>
            </w:r>
          </w:p>
        </w:tc>
      </w:tr>
      <w:tr w:rsidR="00E0255D" w:rsidRPr="00877EE2" w14:paraId="569630FD" w14:textId="77777777" w:rsidTr="009C5844">
        <w:tc>
          <w:tcPr>
            <w:tcW w:w="1526" w:type="dxa"/>
          </w:tcPr>
          <w:p w14:paraId="1BBDEA56" w14:textId="77777777" w:rsidR="00E0255D" w:rsidRPr="00877EE2" w:rsidRDefault="00E0255D" w:rsidP="009C5844">
            <w:pPr>
              <w:rPr>
                <w:lang w:val="en-GB"/>
              </w:rPr>
            </w:pPr>
            <w:r w:rsidRPr="00877EE2">
              <w:rPr>
                <w:rFonts w:ascii="Times New Roman" w:hAnsi="Times New Roman" w:cs="Times New Roman"/>
                <w:sz w:val="24"/>
                <w:szCs w:val="24"/>
                <w:lang w:val="en-GB"/>
              </w:rPr>
              <w:t>15</w:t>
            </w:r>
          </w:p>
        </w:tc>
        <w:tc>
          <w:tcPr>
            <w:tcW w:w="1843" w:type="dxa"/>
          </w:tcPr>
          <w:p w14:paraId="5FD3ACB9" w14:textId="77777777" w:rsidR="00E0255D" w:rsidRPr="00877EE2" w:rsidRDefault="00E0255D" w:rsidP="009C5844">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75</w:t>
            </w:r>
          </w:p>
        </w:tc>
      </w:tr>
    </w:tbl>
    <w:p w14:paraId="5AE23672"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PBP C is 3 years plus the fraction of year 4 needed: </w:t>
      </w:r>
    </w:p>
    <w:p w14:paraId="334F99C4"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 = 3 years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15</m:t>
            </m:r>
          </m:num>
          <m:den>
            <m:r>
              <w:rPr>
                <w:rFonts w:ascii="Cambria Math" w:hAnsi="Cambria Math" w:cs="Times New Roman"/>
                <w:sz w:val="24"/>
                <w:szCs w:val="24"/>
                <w:lang w:val="en-GB"/>
              </w:rPr>
              <m:t>25</m:t>
            </m:r>
          </m:den>
        </m:f>
      </m:oMath>
      <w:r w:rsidRPr="00877EE2">
        <w:rPr>
          <w:rFonts w:ascii="Times New Roman" w:eastAsiaTheme="minorEastAsia" w:hAnsi="Times New Roman" w:cs="Times New Roman"/>
          <w:sz w:val="24"/>
          <w:szCs w:val="24"/>
          <w:lang w:val="en-GB"/>
        </w:rPr>
        <w:t xml:space="preserve">  = 3.6 years </w:t>
      </w:r>
    </w:p>
    <w:p w14:paraId="0FCAD2B1"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Accounting Rate of Return (ARR)</w:t>
      </w:r>
    </w:p>
    <w:p w14:paraId="730185A6"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Average Annual Profit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75-50</m:t>
            </m:r>
          </m:num>
          <m:den>
            <m:r>
              <w:rPr>
                <w:rFonts w:ascii="Cambria Math" w:hAnsi="Cambria Math" w:cs="Times New Roman"/>
                <w:sz w:val="24"/>
                <w:szCs w:val="24"/>
                <w:lang w:val="en-GB"/>
              </w:rPr>
              <m:t>5</m:t>
            </m:r>
          </m:den>
        </m:f>
      </m:oMath>
      <w:r w:rsidRPr="00877EE2">
        <w:rPr>
          <w:rFonts w:ascii="Times New Roman" w:eastAsiaTheme="minorEastAsia" w:hAnsi="Times New Roman" w:cs="Times New Roman"/>
          <w:sz w:val="24"/>
          <w:szCs w:val="24"/>
          <w:lang w:val="en-GB"/>
        </w:rPr>
        <w:t xml:space="preserve"> = 5m </w:t>
      </w:r>
    </w:p>
    <w:p w14:paraId="1C7117BC"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ARR = </w:t>
      </w:r>
      <m:oMath>
        <m:f>
          <m:fPr>
            <m:ctrlPr>
              <w:rPr>
                <w:rFonts w:ascii="Cambria Math" w:eastAsiaTheme="minorEastAsia" w:hAnsi="Cambria Math" w:cs="Times New Roman"/>
                <w:i/>
                <w:sz w:val="24"/>
                <w:szCs w:val="24"/>
                <w:lang w:val="en-GB"/>
              </w:rPr>
            </m:ctrlPr>
          </m:fPr>
          <m:num>
            <m:r>
              <w:rPr>
                <w:rFonts w:ascii="Cambria Math" w:eastAsiaTheme="minorEastAsia" w:hAnsi="Cambria Math" w:cs="Times New Roman"/>
                <w:sz w:val="24"/>
                <w:szCs w:val="24"/>
                <w:lang w:val="en-GB"/>
              </w:rPr>
              <m:t>5</m:t>
            </m:r>
          </m:num>
          <m:den>
            <m:r>
              <w:rPr>
                <w:rFonts w:ascii="Cambria Math" w:eastAsiaTheme="minorEastAsia" w:hAnsi="Cambria Math" w:cs="Times New Roman"/>
                <w:sz w:val="24"/>
                <w:szCs w:val="24"/>
                <w:lang w:val="en-GB"/>
              </w:rPr>
              <m:t>50</m:t>
            </m:r>
          </m:den>
        </m:f>
      </m:oMath>
      <w:r w:rsidRPr="00877EE2">
        <w:rPr>
          <w:rFonts w:ascii="Times New Roman" w:eastAsiaTheme="minorEastAsia" w:hAnsi="Times New Roman" w:cs="Times New Roman"/>
          <w:sz w:val="24"/>
          <w:szCs w:val="24"/>
          <w:lang w:val="en-GB"/>
        </w:rPr>
        <w:t xml:space="preserve"> = 10.0% </w:t>
      </w:r>
    </w:p>
    <w:p w14:paraId="39A84676" w14:textId="77777777" w:rsidR="00E0255D" w:rsidRPr="00877EE2" w:rsidRDefault="00E0255D" w:rsidP="00E0255D">
      <w:pPr>
        <w:spacing w:line="360" w:lineRule="auto"/>
        <w:jc w:val="both"/>
        <w:rPr>
          <w:rFonts w:ascii="Times New Roman" w:hAnsi="Times New Roman" w:cs="Times New Roman"/>
          <w:b/>
          <w:sz w:val="24"/>
          <w:szCs w:val="24"/>
          <w:lang w:val="en-GB"/>
        </w:rPr>
      </w:pPr>
      <w:r w:rsidRPr="00877EE2">
        <w:rPr>
          <w:rFonts w:ascii="Times New Roman" w:hAnsi="Times New Roman" w:cs="Times New Roman"/>
          <w:b/>
          <w:sz w:val="24"/>
          <w:szCs w:val="24"/>
          <w:lang w:val="en-GB"/>
        </w:rPr>
        <w:t>Net Present Value (NPV) &amp; Profitability Index (PI)</w:t>
      </w:r>
    </w:p>
    <w:tbl>
      <w:tblPr>
        <w:tblStyle w:val="TableGrid"/>
        <w:tblW w:w="0" w:type="auto"/>
        <w:tblLook w:val="04A0" w:firstRow="1" w:lastRow="0" w:firstColumn="1" w:lastColumn="0" w:noHBand="0" w:noVBand="1"/>
      </w:tblPr>
      <w:tblGrid>
        <w:gridCol w:w="2223"/>
        <w:gridCol w:w="1076"/>
        <w:gridCol w:w="1360"/>
        <w:gridCol w:w="1076"/>
      </w:tblGrid>
      <w:tr w:rsidR="00E0255D" w:rsidRPr="00877EE2" w14:paraId="20288BB7" w14:textId="77777777" w:rsidTr="009C5844">
        <w:tc>
          <w:tcPr>
            <w:tcW w:w="0" w:type="auto"/>
            <w:hideMark/>
          </w:tcPr>
          <w:p w14:paraId="07A3FB6E"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Year (t)</w:t>
            </w:r>
          </w:p>
        </w:tc>
        <w:tc>
          <w:tcPr>
            <w:tcW w:w="0" w:type="auto"/>
            <w:hideMark/>
          </w:tcPr>
          <w:p w14:paraId="38F16747"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CF (£m)</w:t>
            </w:r>
          </w:p>
        </w:tc>
        <w:tc>
          <w:tcPr>
            <w:tcW w:w="0" w:type="auto"/>
            <w:hideMark/>
          </w:tcPr>
          <w:p w14:paraId="2013F11A"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DF @ 10%</w:t>
            </w:r>
          </w:p>
        </w:tc>
        <w:tc>
          <w:tcPr>
            <w:tcW w:w="0" w:type="auto"/>
            <w:hideMark/>
          </w:tcPr>
          <w:p w14:paraId="381531E9"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PV (£m)</w:t>
            </w:r>
          </w:p>
        </w:tc>
      </w:tr>
      <w:tr w:rsidR="00E0255D" w:rsidRPr="00877EE2" w14:paraId="05479502" w14:textId="77777777" w:rsidTr="009C5844">
        <w:tc>
          <w:tcPr>
            <w:tcW w:w="0" w:type="auto"/>
            <w:hideMark/>
          </w:tcPr>
          <w:p w14:paraId="4E84BDAD"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w:t>
            </w:r>
          </w:p>
        </w:tc>
        <w:tc>
          <w:tcPr>
            <w:tcW w:w="0" w:type="auto"/>
            <w:hideMark/>
          </w:tcPr>
          <w:p w14:paraId="556D79A7"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5</w:t>
            </w:r>
          </w:p>
        </w:tc>
        <w:tc>
          <w:tcPr>
            <w:tcW w:w="0" w:type="auto"/>
            <w:hideMark/>
          </w:tcPr>
          <w:p w14:paraId="63E0D368"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0.909</w:t>
            </w:r>
          </w:p>
        </w:tc>
        <w:tc>
          <w:tcPr>
            <w:tcW w:w="0" w:type="auto"/>
            <w:hideMark/>
          </w:tcPr>
          <w:p w14:paraId="431B3185"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4.55</w:t>
            </w:r>
          </w:p>
        </w:tc>
      </w:tr>
      <w:tr w:rsidR="00E0255D" w:rsidRPr="00877EE2" w14:paraId="4A8DE539" w14:textId="77777777" w:rsidTr="009C5844">
        <w:tc>
          <w:tcPr>
            <w:tcW w:w="0" w:type="auto"/>
            <w:hideMark/>
          </w:tcPr>
          <w:p w14:paraId="262C3177"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2</w:t>
            </w:r>
          </w:p>
        </w:tc>
        <w:tc>
          <w:tcPr>
            <w:tcW w:w="0" w:type="auto"/>
            <w:hideMark/>
          </w:tcPr>
          <w:p w14:paraId="08725D81" w14:textId="77777777" w:rsidR="00E0255D" w:rsidRPr="00877EE2" w:rsidRDefault="00E0255D" w:rsidP="009C5844">
            <w:pPr>
              <w:rPr>
                <w:lang w:val="en-GB"/>
              </w:rPr>
            </w:pPr>
            <w:r w:rsidRPr="00877EE2">
              <w:rPr>
                <w:rFonts w:ascii="Times New Roman" w:eastAsia="Times New Roman" w:hAnsi="Times New Roman" w:cs="Times New Roman"/>
                <w:color w:val="1B1C1D"/>
                <w:sz w:val="24"/>
                <w:szCs w:val="24"/>
                <w:lang w:val="en-GB" w:eastAsia="en-IN"/>
              </w:rPr>
              <w:t>10</w:t>
            </w:r>
          </w:p>
        </w:tc>
        <w:tc>
          <w:tcPr>
            <w:tcW w:w="0" w:type="auto"/>
            <w:hideMark/>
          </w:tcPr>
          <w:p w14:paraId="2679C4FA"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0.826</w:t>
            </w:r>
          </w:p>
        </w:tc>
        <w:tc>
          <w:tcPr>
            <w:tcW w:w="0" w:type="auto"/>
            <w:hideMark/>
          </w:tcPr>
          <w:p w14:paraId="28867D9E"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8.26</w:t>
            </w:r>
          </w:p>
        </w:tc>
      </w:tr>
      <w:tr w:rsidR="00E0255D" w:rsidRPr="00877EE2" w14:paraId="52EDBE3B" w14:textId="77777777" w:rsidTr="009C5844">
        <w:tc>
          <w:tcPr>
            <w:tcW w:w="0" w:type="auto"/>
            <w:hideMark/>
          </w:tcPr>
          <w:p w14:paraId="409F98D8"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3</w:t>
            </w:r>
          </w:p>
        </w:tc>
        <w:tc>
          <w:tcPr>
            <w:tcW w:w="0" w:type="auto"/>
            <w:hideMark/>
          </w:tcPr>
          <w:p w14:paraId="45B767D7" w14:textId="77777777" w:rsidR="00E0255D" w:rsidRPr="00877EE2" w:rsidRDefault="00E0255D" w:rsidP="009C5844">
            <w:pPr>
              <w:rPr>
                <w:lang w:val="en-GB"/>
              </w:rPr>
            </w:pPr>
            <w:r w:rsidRPr="00877EE2">
              <w:rPr>
                <w:rFonts w:ascii="Times New Roman" w:eastAsia="Times New Roman" w:hAnsi="Times New Roman" w:cs="Times New Roman"/>
                <w:color w:val="1B1C1D"/>
                <w:sz w:val="24"/>
                <w:szCs w:val="24"/>
                <w:lang w:val="en-GB" w:eastAsia="en-IN"/>
              </w:rPr>
              <w:t>20</w:t>
            </w:r>
          </w:p>
        </w:tc>
        <w:tc>
          <w:tcPr>
            <w:tcW w:w="0" w:type="auto"/>
            <w:hideMark/>
          </w:tcPr>
          <w:p w14:paraId="281786FD"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0.751</w:t>
            </w:r>
          </w:p>
        </w:tc>
        <w:tc>
          <w:tcPr>
            <w:tcW w:w="0" w:type="auto"/>
            <w:hideMark/>
          </w:tcPr>
          <w:p w14:paraId="29A25042"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15.02</w:t>
            </w:r>
          </w:p>
        </w:tc>
      </w:tr>
      <w:tr w:rsidR="00E0255D" w:rsidRPr="00877EE2" w14:paraId="68A09F07" w14:textId="77777777" w:rsidTr="009C5844">
        <w:tc>
          <w:tcPr>
            <w:tcW w:w="0" w:type="auto"/>
            <w:hideMark/>
          </w:tcPr>
          <w:p w14:paraId="05A7B780"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4</w:t>
            </w:r>
          </w:p>
        </w:tc>
        <w:tc>
          <w:tcPr>
            <w:tcW w:w="0" w:type="auto"/>
            <w:hideMark/>
          </w:tcPr>
          <w:p w14:paraId="0E3769B8" w14:textId="77777777" w:rsidR="00E0255D" w:rsidRPr="00877EE2" w:rsidRDefault="00E0255D" w:rsidP="009C5844">
            <w:pPr>
              <w:rPr>
                <w:lang w:val="en-GB"/>
              </w:rPr>
            </w:pPr>
            <w:r w:rsidRPr="00877EE2">
              <w:rPr>
                <w:rFonts w:ascii="Times New Roman" w:eastAsia="Times New Roman" w:hAnsi="Times New Roman" w:cs="Times New Roman"/>
                <w:color w:val="1B1C1D"/>
                <w:sz w:val="24"/>
                <w:szCs w:val="24"/>
                <w:lang w:val="en-GB" w:eastAsia="en-IN"/>
              </w:rPr>
              <w:t>25</w:t>
            </w:r>
          </w:p>
        </w:tc>
        <w:tc>
          <w:tcPr>
            <w:tcW w:w="0" w:type="auto"/>
            <w:hideMark/>
          </w:tcPr>
          <w:p w14:paraId="7EDF5E81"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0.683</w:t>
            </w:r>
          </w:p>
        </w:tc>
        <w:tc>
          <w:tcPr>
            <w:tcW w:w="0" w:type="auto"/>
            <w:hideMark/>
          </w:tcPr>
          <w:p w14:paraId="5A397093"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17.08</w:t>
            </w:r>
          </w:p>
        </w:tc>
      </w:tr>
      <w:tr w:rsidR="00E0255D" w:rsidRPr="00877EE2" w14:paraId="12967415" w14:textId="77777777" w:rsidTr="009C5844">
        <w:tc>
          <w:tcPr>
            <w:tcW w:w="0" w:type="auto"/>
            <w:hideMark/>
          </w:tcPr>
          <w:p w14:paraId="7501B165"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5</w:t>
            </w:r>
          </w:p>
        </w:tc>
        <w:tc>
          <w:tcPr>
            <w:tcW w:w="0" w:type="auto"/>
            <w:hideMark/>
          </w:tcPr>
          <w:p w14:paraId="5CFF786F" w14:textId="77777777" w:rsidR="00E0255D" w:rsidRPr="00877EE2" w:rsidRDefault="00E0255D" w:rsidP="009C5844">
            <w:pPr>
              <w:rPr>
                <w:lang w:val="en-GB"/>
              </w:rPr>
            </w:pPr>
            <w:r w:rsidRPr="00877EE2">
              <w:rPr>
                <w:rFonts w:ascii="Times New Roman" w:eastAsia="Times New Roman" w:hAnsi="Times New Roman" w:cs="Times New Roman"/>
                <w:color w:val="1B1C1D"/>
                <w:sz w:val="24"/>
                <w:szCs w:val="24"/>
                <w:lang w:val="en-GB" w:eastAsia="en-IN"/>
              </w:rPr>
              <w:t>15</w:t>
            </w:r>
          </w:p>
        </w:tc>
        <w:tc>
          <w:tcPr>
            <w:tcW w:w="0" w:type="auto"/>
            <w:hideMark/>
          </w:tcPr>
          <w:p w14:paraId="4FBC2732"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0.621</w:t>
            </w:r>
          </w:p>
        </w:tc>
        <w:tc>
          <w:tcPr>
            <w:tcW w:w="0" w:type="auto"/>
            <w:hideMark/>
          </w:tcPr>
          <w:p w14:paraId="00388016"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color w:val="1B1C1D"/>
                <w:sz w:val="24"/>
                <w:szCs w:val="24"/>
                <w:lang w:val="en-GB" w:eastAsia="en-IN"/>
              </w:rPr>
              <w:t>9.32</w:t>
            </w:r>
          </w:p>
        </w:tc>
      </w:tr>
      <w:tr w:rsidR="00E0255D" w:rsidRPr="00877EE2" w14:paraId="2B1F21AC" w14:textId="77777777" w:rsidTr="009C5844">
        <w:tc>
          <w:tcPr>
            <w:tcW w:w="0" w:type="auto"/>
            <w:hideMark/>
          </w:tcPr>
          <w:p w14:paraId="30F003ED"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Total PV of Inflows</w:t>
            </w:r>
          </w:p>
        </w:tc>
        <w:tc>
          <w:tcPr>
            <w:tcW w:w="0" w:type="auto"/>
            <w:hideMark/>
          </w:tcPr>
          <w:p w14:paraId="02D36915" w14:textId="77777777" w:rsidR="00E0255D" w:rsidRPr="00877EE2" w:rsidRDefault="00E0255D" w:rsidP="009C5844">
            <w:pPr>
              <w:rPr>
                <w:rFonts w:ascii="Times New Roman" w:eastAsia="Times New Roman" w:hAnsi="Times New Roman" w:cs="Times New Roman"/>
                <w:color w:val="1B1C1D"/>
                <w:sz w:val="24"/>
                <w:szCs w:val="24"/>
                <w:lang w:val="en-GB" w:eastAsia="en-IN"/>
              </w:rPr>
            </w:pPr>
          </w:p>
        </w:tc>
        <w:tc>
          <w:tcPr>
            <w:tcW w:w="0" w:type="auto"/>
            <w:hideMark/>
          </w:tcPr>
          <w:p w14:paraId="03730959" w14:textId="77777777" w:rsidR="00E0255D" w:rsidRPr="00877EE2" w:rsidRDefault="00E0255D" w:rsidP="009C5844">
            <w:pPr>
              <w:rPr>
                <w:rFonts w:ascii="Times New Roman" w:eastAsia="Times New Roman" w:hAnsi="Times New Roman" w:cs="Times New Roman"/>
                <w:color w:val="1B1C1D"/>
                <w:sz w:val="24"/>
                <w:szCs w:val="24"/>
                <w:lang w:val="en-GB" w:eastAsia="en-IN"/>
              </w:rPr>
            </w:pPr>
          </w:p>
        </w:tc>
        <w:tc>
          <w:tcPr>
            <w:tcW w:w="0" w:type="auto"/>
            <w:hideMark/>
          </w:tcPr>
          <w:p w14:paraId="6F3A5015" w14:textId="77777777" w:rsidR="00E0255D" w:rsidRPr="00877EE2" w:rsidRDefault="00E0255D" w:rsidP="009C5844">
            <w:pPr>
              <w:rPr>
                <w:rFonts w:ascii="Times New Roman" w:eastAsia="Times New Roman" w:hAnsi="Times New Roman" w:cs="Times New Roman"/>
                <w:color w:val="1B1C1D"/>
                <w:sz w:val="24"/>
                <w:szCs w:val="24"/>
                <w:lang w:val="en-GB" w:eastAsia="en-IN"/>
              </w:rPr>
            </w:pPr>
            <w:r w:rsidRPr="00877EE2">
              <w:rPr>
                <w:rFonts w:ascii="Times New Roman" w:eastAsia="Times New Roman" w:hAnsi="Times New Roman" w:cs="Times New Roman"/>
                <w:b/>
                <w:bCs/>
                <w:color w:val="1B1C1D"/>
                <w:sz w:val="24"/>
                <w:szCs w:val="24"/>
                <w:bdr w:val="none" w:sz="0" w:space="0" w:color="auto" w:frame="1"/>
                <w:lang w:val="en-GB" w:eastAsia="en-IN"/>
              </w:rPr>
              <w:t>£54.23</w:t>
            </w:r>
          </w:p>
        </w:tc>
      </w:tr>
    </w:tbl>
    <w:p w14:paraId="645B92D5" w14:textId="77777777" w:rsidR="00E0255D" w:rsidRPr="00877EE2" w:rsidRDefault="00E0255D" w:rsidP="00E0255D">
      <w:pPr>
        <w:spacing w:line="360" w:lineRule="auto"/>
        <w:jc w:val="both"/>
        <w:rPr>
          <w:rFonts w:ascii="Times New Roman" w:hAnsi="Times New Roman" w:cs="Times New Roman"/>
          <w:sz w:val="24"/>
          <w:szCs w:val="24"/>
          <w:lang w:val="en-GB"/>
        </w:rPr>
      </w:pPr>
    </w:p>
    <w:p w14:paraId="281CDCEE" w14:textId="77777777" w:rsidR="00E0255D" w:rsidRPr="00877EE2" w:rsidRDefault="00E0255D" w:rsidP="00E0255D">
      <w:pPr>
        <w:spacing w:line="360" w:lineRule="auto"/>
        <w:jc w:val="both"/>
        <w:rPr>
          <w:rFonts w:ascii="Times New Roman" w:hAnsi="Times New Roman" w:cs="Times New Roman"/>
          <w:sz w:val="24"/>
          <w:szCs w:val="24"/>
          <w:lang w:val="en-GB"/>
        </w:rPr>
      </w:pPr>
      <w:r w:rsidRPr="00877EE2">
        <w:rPr>
          <w:rFonts w:ascii="Times New Roman" w:hAnsi="Times New Roman" w:cs="Times New Roman"/>
          <w:sz w:val="24"/>
          <w:szCs w:val="24"/>
          <w:lang w:val="en-GB"/>
        </w:rPr>
        <w:t xml:space="preserve">NPV = 54.23 − 50 = £4.233m </w:t>
      </w:r>
    </w:p>
    <w:p w14:paraId="76547159"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hAnsi="Times New Roman" w:cs="Times New Roman"/>
          <w:sz w:val="24"/>
          <w:szCs w:val="24"/>
          <w:lang w:val="en-GB"/>
        </w:rPr>
        <w:t xml:space="preserve">PI = </w:t>
      </w:r>
      <m:oMath>
        <m:f>
          <m:fPr>
            <m:ctrlPr>
              <w:rPr>
                <w:rFonts w:ascii="Cambria Math" w:hAnsi="Cambria Math" w:cs="Times New Roman"/>
                <w:i/>
                <w:sz w:val="24"/>
                <w:szCs w:val="24"/>
                <w:lang w:val="en-GB"/>
              </w:rPr>
            </m:ctrlPr>
          </m:fPr>
          <m:num>
            <m:r>
              <w:rPr>
                <w:rFonts w:ascii="Cambria Math" w:hAnsi="Cambria Math" w:cs="Times New Roman"/>
                <w:sz w:val="24"/>
                <w:szCs w:val="24"/>
                <w:lang w:val="en-GB"/>
              </w:rPr>
              <m:t>54.23</m:t>
            </m:r>
          </m:num>
          <m:den>
            <m:r>
              <w:rPr>
                <w:rFonts w:ascii="Cambria Math" w:hAnsi="Cambria Math" w:cs="Times New Roman"/>
                <w:sz w:val="24"/>
                <w:szCs w:val="24"/>
                <w:lang w:val="en-GB"/>
              </w:rPr>
              <m:t>50</m:t>
            </m:r>
          </m:den>
        </m:f>
      </m:oMath>
      <w:r w:rsidRPr="00877EE2">
        <w:rPr>
          <w:rFonts w:ascii="Times New Roman" w:eastAsiaTheme="minorEastAsia" w:hAnsi="Times New Roman" w:cs="Times New Roman"/>
          <w:sz w:val="24"/>
          <w:szCs w:val="24"/>
          <w:lang w:val="en-GB"/>
        </w:rPr>
        <w:t xml:space="preserve"> = 1.085</w:t>
      </w:r>
    </w:p>
    <w:p w14:paraId="208D49D6"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Internal Rate of Return (IRR)</w:t>
      </w:r>
    </w:p>
    <w:p w14:paraId="67565CCC" w14:textId="77777777" w:rsidR="00E0255D" w:rsidRPr="00877EE2" w:rsidRDefault="00E0255D" w:rsidP="00E0255D">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Since NPV &gt; 0 at 10% and the NPV is the highest, the IRR is the highest </w:t>
      </w:r>
    </w:p>
    <w:p w14:paraId="7732F7F1" w14:textId="77777777" w:rsidR="00E0255D" w:rsidRPr="00877EE2" w:rsidRDefault="00E0255D" w:rsidP="00881A34">
      <w:pPr>
        <w:spacing w:line="360" w:lineRule="auto"/>
        <w:jc w:val="both"/>
        <w:rPr>
          <w:rFonts w:ascii="Times New Roman" w:eastAsiaTheme="minorEastAsia" w:hAnsi="Times New Roman" w:cs="Times New Roman"/>
          <w:sz w:val="24"/>
          <w:szCs w:val="24"/>
          <w:lang w:val="en-GB"/>
        </w:rPr>
      </w:pPr>
      <w:r w:rsidRPr="00877EE2">
        <w:rPr>
          <w:rFonts w:ascii="Times New Roman" w:eastAsiaTheme="minorEastAsia" w:hAnsi="Times New Roman" w:cs="Times New Roman"/>
          <w:sz w:val="24"/>
          <w:szCs w:val="24"/>
          <w:lang w:val="en-GB"/>
        </w:rPr>
        <w:t xml:space="preserve">IRR ≈ 12.4% </w:t>
      </w:r>
    </w:p>
    <w:sectPr w:rsidR="00E0255D" w:rsidRPr="00877EE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83880" w14:textId="77777777" w:rsidR="00450922" w:rsidRDefault="00450922" w:rsidP="006A2E30">
      <w:pPr>
        <w:spacing w:after="0" w:line="240" w:lineRule="auto"/>
      </w:pPr>
      <w:r>
        <w:separator/>
      </w:r>
    </w:p>
  </w:endnote>
  <w:endnote w:type="continuationSeparator" w:id="0">
    <w:p w14:paraId="3222EAFC" w14:textId="77777777" w:rsidR="00450922" w:rsidRDefault="00450922" w:rsidP="006A2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2735561"/>
      <w:docPartObj>
        <w:docPartGallery w:val="Page Numbers (Bottom of Page)"/>
        <w:docPartUnique/>
      </w:docPartObj>
    </w:sdtPr>
    <w:sdtEndPr>
      <w:rPr>
        <w:noProof/>
      </w:rPr>
    </w:sdtEndPr>
    <w:sdtContent>
      <w:p w14:paraId="36D38ED9" w14:textId="77777777" w:rsidR="009C5844" w:rsidRDefault="009C5844">
        <w:pPr>
          <w:pStyle w:val="Footer"/>
          <w:jc w:val="center"/>
        </w:pPr>
        <w:r>
          <w:fldChar w:fldCharType="begin"/>
        </w:r>
        <w:r>
          <w:instrText xml:space="preserve"> PAGE   \* MERGEFORMAT </w:instrText>
        </w:r>
        <w:r>
          <w:fldChar w:fldCharType="separate"/>
        </w:r>
        <w:r w:rsidR="00C602B8">
          <w:rPr>
            <w:noProof/>
          </w:rPr>
          <w:t>3</w:t>
        </w:r>
        <w:r>
          <w:rPr>
            <w:noProof/>
          </w:rPr>
          <w:fldChar w:fldCharType="end"/>
        </w:r>
      </w:p>
    </w:sdtContent>
  </w:sdt>
  <w:p w14:paraId="6D1BF738" w14:textId="77777777" w:rsidR="009C5844" w:rsidRDefault="009C5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E210E" w14:textId="77777777" w:rsidR="00450922" w:rsidRDefault="00450922" w:rsidP="006A2E30">
      <w:pPr>
        <w:spacing w:after="0" w:line="240" w:lineRule="auto"/>
      </w:pPr>
      <w:r>
        <w:separator/>
      </w:r>
    </w:p>
  </w:footnote>
  <w:footnote w:type="continuationSeparator" w:id="0">
    <w:p w14:paraId="2229E569" w14:textId="77777777" w:rsidR="00450922" w:rsidRDefault="00450922" w:rsidP="006A2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A17CF"/>
    <w:multiLevelType w:val="multilevel"/>
    <w:tmpl w:val="09F2F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4E3972"/>
    <w:multiLevelType w:val="multilevel"/>
    <w:tmpl w:val="F33CE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9D34AA"/>
    <w:multiLevelType w:val="multilevel"/>
    <w:tmpl w:val="5C3CC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EB36C3"/>
    <w:multiLevelType w:val="multilevel"/>
    <w:tmpl w:val="0B82D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106A41"/>
    <w:multiLevelType w:val="multilevel"/>
    <w:tmpl w:val="FA86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9601C2"/>
    <w:multiLevelType w:val="multilevel"/>
    <w:tmpl w:val="43C09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6C3D22"/>
    <w:multiLevelType w:val="multilevel"/>
    <w:tmpl w:val="07164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1925991">
    <w:abstractNumId w:val="0"/>
  </w:num>
  <w:num w:numId="2" w16cid:durableId="757596645">
    <w:abstractNumId w:val="6"/>
  </w:num>
  <w:num w:numId="3" w16cid:durableId="281156344">
    <w:abstractNumId w:val="1"/>
  </w:num>
  <w:num w:numId="4" w16cid:durableId="1752972553">
    <w:abstractNumId w:val="5"/>
  </w:num>
  <w:num w:numId="5" w16cid:durableId="1198467037">
    <w:abstractNumId w:val="3"/>
  </w:num>
  <w:num w:numId="6" w16cid:durableId="1924147518">
    <w:abstractNumId w:val="2"/>
  </w:num>
  <w:num w:numId="7" w16cid:durableId="393291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38B0"/>
    <w:rsid w:val="000144B3"/>
    <w:rsid w:val="001B4295"/>
    <w:rsid w:val="00202651"/>
    <w:rsid w:val="00213C5C"/>
    <w:rsid w:val="00224851"/>
    <w:rsid w:val="0023665A"/>
    <w:rsid w:val="00237E55"/>
    <w:rsid w:val="002C314D"/>
    <w:rsid w:val="0030364B"/>
    <w:rsid w:val="00323E4E"/>
    <w:rsid w:val="003925E1"/>
    <w:rsid w:val="00450922"/>
    <w:rsid w:val="00484B28"/>
    <w:rsid w:val="00495394"/>
    <w:rsid w:val="004A1888"/>
    <w:rsid w:val="004C5601"/>
    <w:rsid w:val="00523196"/>
    <w:rsid w:val="0053505C"/>
    <w:rsid w:val="005B4D96"/>
    <w:rsid w:val="005D0C4D"/>
    <w:rsid w:val="005D328B"/>
    <w:rsid w:val="0062029C"/>
    <w:rsid w:val="0062643F"/>
    <w:rsid w:val="00665B79"/>
    <w:rsid w:val="00694950"/>
    <w:rsid w:val="006A2E30"/>
    <w:rsid w:val="006C3C66"/>
    <w:rsid w:val="006C7945"/>
    <w:rsid w:val="006D7DC6"/>
    <w:rsid w:val="007034BF"/>
    <w:rsid w:val="00710CDA"/>
    <w:rsid w:val="007B4709"/>
    <w:rsid w:val="007F1127"/>
    <w:rsid w:val="008140EB"/>
    <w:rsid w:val="00855559"/>
    <w:rsid w:val="00875727"/>
    <w:rsid w:val="00877EE2"/>
    <w:rsid w:val="00881A34"/>
    <w:rsid w:val="008A5FED"/>
    <w:rsid w:val="00961E60"/>
    <w:rsid w:val="00966346"/>
    <w:rsid w:val="009825E4"/>
    <w:rsid w:val="00990D05"/>
    <w:rsid w:val="009938B0"/>
    <w:rsid w:val="009A0061"/>
    <w:rsid w:val="009C5844"/>
    <w:rsid w:val="00A10825"/>
    <w:rsid w:val="00A64F44"/>
    <w:rsid w:val="00AE4033"/>
    <w:rsid w:val="00B45CEE"/>
    <w:rsid w:val="00B50EB8"/>
    <w:rsid w:val="00B773E6"/>
    <w:rsid w:val="00BB34DF"/>
    <w:rsid w:val="00C175CB"/>
    <w:rsid w:val="00C405CF"/>
    <w:rsid w:val="00C602B8"/>
    <w:rsid w:val="00CE08A5"/>
    <w:rsid w:val="00D2028E"/>
    <w:rsid w:val="00D5234F"/>
    <w:rsid w:val="00D57D37"/>
    <w:rsid w:val="00DC4CB8"/>
    <w:rsid w:val="00DE74CD"/>
    <w:rsid w:val="00DF3FFF"/>
    <w:rsid w:val="00E0255D"/>
    <w:rsid w:val="00E3353D"/>
    <w:rsid w:val="00E83DD1"/>
    <w:rsid w:val="00ED0D61"/>
    <w:rsid w:val="00F13293"/>
    <w:rsid w:val="00F35CDC"/>
    <w:rsid w:val="00FC03B0"/>
    <w:rsid w:val="00FD4F70"/>
    <w:rsid w:val="00FD69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73694"/>
  <w15:docId w15:val="{CD0B4C1B-2770-D947-96B9-412615632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3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0255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E40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D0D61"/>
    <w:rPr>
      <w:color w:val="808080"/>
    </w:rPr>
  </w:style>
  <w:style w:type="paragraph" w:styleId="BalloonText">
    <w:name w:val="Balloon Text"/>
    <w:basedOn w:val="Normal"/>
    <w:link w:val="BalloonTextChar"/>
    <w:uiPriority w:val="99"/>
    <w:semiHidden/>
    <w:unhideWhenUsed/>
    <w:rsid w:val="00ED0D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D61"/>
    <w:rPr>
      <w:rFonts w:ascii="Tahoma" w:hAnsi="Tahoma" w:cs="Tahoma"/>
      <w:sz w:val="16"/>
      <w:szCs w:val="16"/>
    </w:rPr>
  </w:style>
  <w:style w:type="paragraph" w:styleId="Header">
    <w:name w:val="header"/>
    <w:basedOn w:val="Normal"/>
    <w:link w:val="HeaderChar"/>
    <w:uiPriority w:val="99"/>
    <w:unhideWhenUsed/>
    <w:rsid w:val="006A2E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E30"/>
  </w:style>
  <w:style w:type="paragraph" w:styleId="Footer">
    <w:name w:val="footer"/>
    <w:basedOn w:val="Normal"/>
    <w:link w:val="FooterChar"/>
    <w:uiPriority w:val="99"/>
    <w:unhideWhenUsed/>
    <w:rsid w:val="006A2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E30"/>
  </w:style>
  <w:style w:type="paragraph" w:styleId="Title">
    <w:name w:val="Title"/>
    <w:basedOn w:val="Normal"/>
    <w:next w:val="Normal"/>
    <w:link w:val="TitleChar"/>
    <w:uiPriority w:val="10"/>
    <w:qFormat/>
    <w:rsid w:val="007B470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B470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773E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0255D"/>
    <w:pPr>
      <w:ind w:left="720"/>
      <w:contextualSpacing/>
    </w:pPr>
  </w:style>
  <w:style w:type="character" w:customStyle="1" w:styleId="Heading2Char">
    <w:name w:val="Heading 2 Char"/>
    <w:basedOn w:val="DefaultParagraphFont"/>
    <w:link w:val="Heading2"/>
    <w:uiPriority w:val="9"/>
    <w:rsid w:val="00E0255D"/>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1B4295"/>
    <w:rPr>
      <w:color w:val="0000FF" w:themeColor="hyperlink"/>
      <w:u w:val="single"/>
    </w:rPr>
  </w:style>
  <w:style w:type="paragraph" w:styleId="TOCHeading">
    <w:name w:val="TOC Heading"/>
    <w:basedOn w:val="Heading1"/>
    <w:next w:val="Normal"/>
    <w:uiPriority w:val="39"/>
    <w:semiHidden/>
    <w:unhideWhenUsed/>
    <w:qFormat/>
    <w:rsid w:val="006D7DC6"/>
    <w:pPr>
      <w:outlineLvl w:val="9"/>
    </w:pPr>
    <w:rPr>
      <w:lang w:val="en-US" w:eastAsia="ja-JP"/>
    </w:rPr>
  </w:style>
  <w:style w:type="paragraph" w:styleId="TOC1">
    <w:name w:val="toc 1"/>
    <w:basedOn w:val="Normal"/>
    <w:next w:val="Normal"/>
    <w:autoRedefine/>
    <w:uiPriority w:val="39"/>
    <w:unhideWhenUsed/>
    <w:rsid w:val="006D7DC6"/>
    <w:pPr>
      <w:spacing w:after="100"/>
    </w:pPr>
  </w:style>
  <w:style w:type="paragraph" w:styleId="TOC2">
    <w:name w:val="toc 2"/>
    <w:basedOn w:val="Normal"/>
    <w:next w:val="Normal"/>
    <w:autoRedefine/>
    <w:uiPriority w:val="39"/>
    <w:unhideWhenUsed/>
    <w:rsid w:val="006D7DC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1921">
      <w:bodyDiv w:val="1"/>
      <w:marLeft w:val="0"/>
      <w:marRight w:val="0"/>
      <w:marTop w:val="0"/>
      <w:marBottom w:val="0"/>
      <w:divBdr>
        <w:top w:val="none" w:sz="0" w:space="0" w:color="auto"/>
        <w:left w:val="none" w:sz="0" w:space="0" w:color="auto"/>
        <w:bottom w:val="none" w:sz="0" w:space="0" w:color="auto"/>
        <w:right w:val="none" w:sz="0" w:space="0" w:color="auto"/>
      </w:divBdr>
    </w:div>
    <w:div w:id="14314486">
      <w:bodyDiv w:val="1"/>
      <w:marLeft w:val="0"/>
      <w:marRight w:val="0"/>
      <w:marTop w:val="0"/>
      <w:marBottom w:val="0"/>
      <w:divBdr>
        <w:top w:val="none" w:sz="0" w:space="0" w:color="auto"/>
        <w:left w:val="none" w:sz="0" w:space="0" w:color="auto"/>
        <w:bottom w:val="none" w:sz="0" w:space="0" w:color="auto"/>
        <w:right w:val="none" w:sz="0" w:space="0" w:color="auto"/>
      </w:divBdr>
    </w:div>
    <w:div w:id="24605122">
      <w:bodyDiv w:val="1"/>
      <w:marLeft w:val="0"/>
      <w:marRight w:val="0"/>
      <w:marTop w:val="0"/>
      <w:marBottom w:val="0"/>
      <w:divBdr>
        <w:top w:val="none" w:sz="0" w:space="0" w:color="auto"/>
        <w:left w:val="none" w:sz="0" w:space="0" w:color="auto"/>
        <w:bottom w:val="none" w:sz="0" w:space="0" w:color="auto"/>
        <w:right w:val="none" w:sz="0" w:space="0" w:color="auto"/>
      </w:divBdr>
      <w:divsChild>
        <w:div w:id="611086224">
          <w:marLeft w:val="0"/>
          <w:marRight w:val="0"/>
          <w:marTop w:val="0"/>
          <w:marBottom w:val="0"/>
          <w:divBdr>
            <w:top w:val="none" w:sz="0" w:space="0" w:color="auto"/>
            <w:left w:val="none" w:sz="0" w:space="0" w:color="auto"/>
            <w:bottom w:val="none" w:sz="0" w:space="0" w:color="auto"/>
            <w:right w:val="none" w:sz="0" w:space="0" w:color="auto"/>
          </w:divBdr>
        </w:div>
      </w:divsChild>
    </w:div>
    <w:div w:id="51387650">
      <w:bodyDiv w:val="1"/>
      <w:marLeft w:val="0"/>
      <w:marRight w:val="0"/>
      <w:marTop w:val="0"/>
      <w:marBottom w:val="0"/>
      <w:divBdr>
        <w:top w:val="none" w:sz="0" w:space="0" w:color="auto"/>
        <w:left w:val="none" w:sz="0" w:space="0" w:color="auto"/>
        <w:bottom w:val="none" w:sz="0" w:space="0" w:color="auto"/>
        <w:right w:val="none" w:sz="0" w:space="0" w:color="auto"/>
      </w:divBdr>
    </w:div>
    <w:div w:id="122696832">
      <w:bodyDiv w:val="1"/>
      <w:marLeft w:val="0"/>
      <w:marRight w:val="0"/>
      <w:marTop w:val="0"/>
      <w:marBottom w:val="0"/>
      <w:divBdr>
        <w:top w:val="none" w:sz="0" w:space="0" w:color="auto"/>
        <w:left w:val="none" w:sz="0" w:space="0" w:color="auto"/>
        <w:bottom w:val="none" w:sz="0" w:space="0" w:color="auto"/>
        <w:right w:val="none" w:sz="0" w:space="0" w:color="auto"/>
      </w:divBdr>
      <w:divsChild>
        <w:div w:id="1712608178">
          <w:marLeft w:val="0"/>
          <w:marRight w:val="0"/>
          <w:marTop w:val="0"/>
          <w:marBottom w:val="0"/>
          <w:divBdr>
            <w:top w:val="none" w:sz="0" w:space="0" w:color="auto"/>
            <w:left w:val="none" w:sz="0" w:space="0" w:color="auto"/>
            <w:bottom w:val="none" w:sz="0" w:space="0" w:color="auto"/>
            <w:right w:val="none" w:sz="0" w:space="0" w:color="auto"/>
          </w:divBdr>
          <w:divsChild>
            <w:div w:id="1672416433">
              <w:marLeft w:val="0"/>
              <w:marRight w:val="0"/>
              <w:marTop w:val="0"/>
              <w:marBottom w:val="0"/>
              <w:divBdr>
                <w:top w:val="none" w:sz="0" w:space="0" w:color="auto"/>
                <w:left w:val="none" w:sz="0" w:space="0" w:color="auto"/>
                <w:bottom w:val="none" w:sz="0" w:space="0" w:color="auto"/>
                <w:right w:val="none" w:sz="0" w:space="0" w:color="auto"/>
              </w:divBdr>
              <w:divsChild>
                <w:div w:id="1406027657">
                  <w:marLeft w:val="0"/>
                  <w:marRight w:val="0"/>
                  <w:marTop w:val="0"/>
                  <w:marBottom w:val="0"/>
                  <w:divBdr>
                    <w:top w:val="none" w:sz="0" w:space="0" w:color="auto"/>
                    <w:left w:val="none" w:sz="0" w:space="0" w:color="auto"/>
                    <w:bottom w:val="none" w:sz="0" w:space="0" w:color="auto"/>
                    <w:right w:val="none" w:sz="0" w:space="0" w:color="auto"/>
                  </w:divBdr>
                  <w:divsChild>
                    <w:div w:id="1840458003">
                      <w:marLeft w:val="0"/>
                      <w:marRight w:val="0"/>
                      <w:marTop w:val="0"/>
                      <w:marBottom w:val="0"/>
                      <w:divBdr>
                        <w:top w:val="none" w:sz="0" w:space="0" w:color="auto"/>
                        <w:left w:val="none" w:sz="0" w:space="0" w:color="auto"/>
                        <w:bottom w:val="none" w:sz="0" w:space="0" w:color="auto"/>
                        <w:right w:val="none" w:sz="0" w:space="0" w:color="auto"/>
                      </w:divBdr>
                      <w:divsChild>
                        <w:div w:id="647397144">
                          <w:marLeft w:val="0"/>
                          <w:marRight w:val="0"/>
                          <w:marTop w:val="0"/>
                          <w:marBottom w:val="0"/>
                          <w:divBdr>
                            <w:top w:val="none" w:sz="0" w:space="0" w:color="auto"/>
                            <w:left w:val="none" w:sz="0" w:space="0" w:color="auto"/>
                            <w:bottom w:val="none" w:sz="0" w:space="0" w:color="auto"/>
                            <w:right w:val="none" w:sz="0" w:space="0" w:color="auto"/>
                          </w:divBdr>
                          <w:divsChild>
                            <w:div w:id="34828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902993">
      <w:bodyDiv w:val="1"/>
      <w:marLeft w:val="0"/>
      <w:marRight w:val="0"/>
      <w:marTop w:val="0"/>
      <w:marBottom w:val="0"/>
      <w:divBdr>
        <w:top w:val="none" w:sz="0" w:space="0" w:color="auto"/>
        <w:left w:val="none" w:sz="0" w:space="0" w:color="auto"/>
        <w:bottom w:val="none" w:sz="0" w:space="0" w:color="auto"/>
        <w:right w:val="none" w:sz="0" w:space="0" w:color="auto"/>
      </w:divBdr>
      <w:divsChild>
        <w:div w:id="410736186">
          <w:marLeft w:val="0"/>
          <w:marRight w:val="0"/>
          <w:marTop w:val="0"/>
          <w:marBottom w:val="0"/>
          <w:divBdr>
            <w:top w:val="none" w:sz="0" w:space="0" w:color="auto"/>
            <w:left w:val="none" w:sz="0" w:space="0" w:color="auto"/>
            <w:bottom w:val="none" w:sz="0" w:space="0" w:color="auto"/>
            <w:right w:val="none" w:sz="0" w:space="0" w:color="auto"/>
          </w:divBdr>
        </w:div>
      </w:divsChild>
    </w:div>
    <w:div w:id="168449935">
      <w:bodyDiv w:val="1"/>
      <w:marLeft w:val="0"/>
      <w:marRight w:val="0"/>
      <w:marTop w:val="0"/>
      <w:marBottom w:val="0"/>
      <w:divBdr>
        <w:top w:val="none" w:sz="0" w:space="0" w:color="auto"/>
        <w:left w:val="none" w:sz="0" w:space="0" w:color="auto"/>
        <w:bottom w:val="none" w:sz="0" w:space="0" w:color="auto"/>
        <w:right w:val="none" w:sz="0" w:space="0" w:color="auto"/>
      </w:divBdr>
    </w:div>
    <w:div w:id="253249040">
      <w:bodyDiv w:val="1"/>
      <w:marLeft w:val="0"/>
      <w:marRight w:val="0"/>
      <w:marTop w:val="0"/>
      <w:marBottom w:val="0"/>
      <w:divBdr>
        <w:top w:val="none" w:sz="0" w:space="0" w:color="auto"/>
        <w:left w:val="none" w:sz="0" w:space="0" w:color="auto"/>
        <w:bottom w:val="none" w:sz="0" w:space="0" w:color="auto"/>
        <w:right w:val="none" w:sz="0" w:space="0" w:color="auto"/>
      </w:divBdr>
    </w:div>
    <w:div w:id="300813549">
      <w:bodyDiv w:val="1"/>
      <w:marLeft w:val="0"/>
      <w:marRight w:val="0"/>
      <w:marTop w:val="0"/>
      <w:marBottom w:val="0"/>
      <w:divBdr>
        <w:top w:val="none" w:sz="0" w:space="0" w:color="auto"/>
        <w:left w:val="none" w:sz="0" w:space="0" w:color="auto"/>
        <w:bottom w:val="none" w:sz="0" w:space="0" w:color="auto"/>
        <w:right w:val="none" w:sz="0" w:space="0" w:color="auto"/>
      </w:divBdr>
      <w:divsChild>
        <w:div w:id="2118938462">
          <w:marLeft w:val="0"/>
          <w:marRight w:val="0"/>
          <w:marTop w:val="0"/>
          <w:marBottom w:val="0"/>
          <w:divBdr>
            <w:top w:val="none" w:sz="0" w:space="0" w:color="auto"/>
            <w:left w:val="none" w:sz="0" w:space="0" w:color="auto"/>
            <w:bottom w:val="none" w:sz="0" w:space="0" w:color="auto"/>
            <w:right w:val="none" w:sz="0" w:space="0" w:color="auto"/>
          </w:divBdr>
          <w:divsChild>
            <w:div w:id="1336372859">
              <w:marLeft w:val="0"/>
              <w:marRight w:val="0"/>
              <w:marTop w:val="0"/>
              <w:marBottom w:val="0"/>
              <w:divBdr>
                <w:top w:val="none" w:sz="0" w:space="0" w:color="auto"/>
                <w:left w:val="none" w:sz="0" w:space="0" w:color="auto"/>
                <w:bottom w:val="none" w:sz="0" w:space="0" w:color="auto"/>
                <w:right w:val="none" w:sz="0" w:space="0" w:color="auto"/>
              </w:divBdr>
              <w:divsChild>
                <w:div w:id="972566693">
                  <w:marLeft w:val="0"/>
                  <w:marRight w:val="0"/>
                  <w:marTop w:val="0"/>
                  <w:marBottom w:val="0"/>
                  <w:divBdr>
                    <w:top w:val="none" w:sz="0" w:space="0" w:color="auto"/>
                    <w:left w:val="none" w:sz="0" w:space="0" w:color="auto"/>
                    <w:bottom w:val="none" w:sz="0" w:space="0" w:color="auto"/>
                    <w:right w:val="none" w:sz="0" w:space="0" w:color="auto"/>
                  </w:divBdr>
                  <w:divsChild>
                    <w:div w:id="1626496078">
                      <w:marLeft w:val="0"/>
                      <w:marRight w:val="0"/>
                      <w:marTop w:val="0"/>
                      <w:marBottom w:val="0"/>
                      <w:divBdr>
                        <w:top w:val="none" w:sz="0" w:space="0" w:color="auto"/>
                        <w:left w:val="none" w:sz="0" w:space="0" w:color="auto"/>
                        <w:bottom w:val="none" w:sz="0" w:space="0" w:color="auto"/>
                        <w:right w:val="none" w:sz="0" w:space="0" w:color="auto"/>
                      </w:divBdr>
                      <w:divsChild>
                        <w:div w:id="1045714579">
                          <w:marLeft w:val="0"/>
                          <w:marRight w:val="0"/>
                          <w:marTop w:val="0"/>
                          <w:marBottom w:val="0"/>
                          <w:divBdr>
                            <w:top w:val="none" w:sz="0" w:space="0" w:color="auto"/>
                            <w:left w:val="none" w:sz="0" w:space="0" w:color="auto"/>
                            <w:bottom w:val="none" w:sz="0" w:space="0" w:color="auto"/>
                            <w:right w:val="none" w:sz="0" w:space="0" w:color="auto"/>
                          </w:divBdr>
                          <w:divsChild>
                            <w:div w:id="1932007824">
                              <w:marLeft w:val="0"/>
                              <w:marRight w:val="0"/>
                              <w:marTop w:val="0"/>
                              <w:marBottom w:val="0"/>
                              <w:divBdr>
                                <w:top w:val="none" w:sz="0" w:space="0" w:color="auto"/>
                                <w:left w:val="none" w:sz="0" w:space="0" w:color="auto"/>
                                <w:bottom w:val="none" w:sz="0" w:space="0" w:color="auto"/>
                                <w:right w:val="none" w:sz="0" w:space="0" w:color="auto"/>
                              </w:divBdr>
                              <w:divsChild>
                                <w:div w:id="1577402430">
                                  <w:marLeft w:val="0"/>
                                  <w:marRight w:val="0"/>
                                  <w:marTop w:val="0"/>
                                  <w:marBottom w:val="0"/>
                                  <w:divBdr>
                                    <w:top w:val="none" w:sz="0" w:space="0" w:color="auto"/>
                                    <w:left w:val="none" w:sz="0" w:space="0" w:color="auto"/>
                                    <w:bottom w:val="none" w:sz="0" w:space="0" w:color="auto"/>
                                    <w:right w:val="none" w:sz="0" w:space="0" w:color="auto"/>
                                  </w:divBdr>
                                  <w:divsChild>
                                    <w:div w:id="1728605634">
                                      <w:marLeft w:val="0"/>
                                      <w:marRight w:val="0"/>
                                      <w:marTop w:val="0"/>
                                      <w:marBottom w:val="120"/>
                                      <w:divBdr>
                                        <w:top w:val="none" w:sz="0" w:space="0" w:color="auto"/>
                                        <w:left w:val="none" w:sz="0" w:space="0" w:color="auto"/>
                                        <w:bottom w:val="none" w:sz="0" w:space="0" w:color="auto"/>
                                        <w:right w:val="none" w:sz="0" w:space="0" w:color="auto"/>
                                      </w:divBdr>
                                      <w:divsChild>
                                        <w:div w:id="195293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041629">
                                  <w:marLeft w:val="0"/>
                                  <w:marRight w:val="0"/>
                                  <w:marTop w:val="0"/>
                                  <w:marBottom w:val="0"/>
                                  <w:divBdr>
                                    <w:top w:val="none" w:sz="0" w:space="0" w:color="auto"/>
                                    <w:left w:val="none" w:sz="0" w:space="0" w:color="auto"/>
                                    <w:bottom w:val="none" w:sz="0" w:space="0" w:color="auto"/>
                                    <w:right w:val="none" w:sz="0" w:space="0" w:color="auto"/>
                                  </w:divBdr>
                                  <w:divsChild>
                                    <w:div w:id="1998924253">
                                      <w:marLeft w:val="0"/>
                                      <w:marRight w:val="0"/>
                                      <w:marTop w:val="0"/>
                                      <w:marBottom w:val="0"/>
                                      <w:divBdr>
                                        <w:top w:val="none" w:sz="0" w:space="0" w:color="auto"/>
                                        <w:left w:val="none" w:sz="0" w:space="0" w:color="auto"/>
                                        <w:bottom w:val="none" w:sz="0" w:space="0" w:color="auto"/>
                                        <w:right w:val="none" w:sz="0" w:space="0" w:color="auto"/>
                                      </w:divBdr>
                                      <w:divsChild>
                                        <w:div w:id="1589776261">
                                          <w:marLeft w:val="0"/>
                                          <w:marRight w:val="0"/>
                                          <w:marTop w:val="0"/>
                                          <w:marBottom w:val="0"/>
                                          <w:divBdr>
                                            <w:top w:val="none" w:sz="0" w:space="0" w:color="auto"/>
                                            <w:left w:val="none" w:sz="0" w:space="0" w:color="auto"/>
                                            <w:bottom w:val="none" w:sz="0" w:space="0" w:color="auto"/>
                                            <w:right w:val="none" w:sz="0" w:space="0" w:color="auto"/>
                                          </w:divBdr>
                                          <w:divsChild>
                                            <w:div w:id="132992818">
                                              <w:marLeft w:val="0"/>
                                              <w:marRight w:val="0"/>
                                              <w:marTop w:val="0"/>
                                              <w:marBottom w:val="0"/>
                                              <w:divBdr>
                                                <w:top w:val="none" w:sz="0" w:space="0" w:color="auto"/>
                                                <w:left w:val="none" w:sz="0" w:space="0" w:color="auto"/>
                                                <w:bottom w:val="none" w:sz="0" w:space="0" w:color="auto"/>
                                                <w:right w:val="none" w:sz="0" w:space="0" w:color="auto"/>
                                              </w:divBdr>
                                              <w:divsChild>
                                                <w:div w:id="1438285545">
                                                  <w:marLeft w:val="0"/>
                                                  <w:marRight w:val="0"/>
                                                  <w:marTop w:val="0"/>
                                                  <w:marBottom w:val="0"/>
                                                  <w:divBdr>
                                                    <w:top w:val="none" w:sz="0" w:space="0" w:color="auto"/>
                                                    <w:left w:val="none" w:sz="0" w:space="0" w:color="auto"/>
                                                    <w:bottom w:val="none" w:sz="0" w:space="0" w:color="auto"/>
                                                    <w:right w:val="none" w:sz="0" w:space="0" w:color="auto"/>
                                                  </w:divBdr>
                                                  <w:divsChild>
                                                    <w:div w:id="36586046">
                                                      <w:marLeft w:val="0"/>
                                                      <w:marRight w:val="0"/>
                                                      <w:marTop w:val="0"/>
                                                      <w:marBottom w:val="0"/>
                                                      <w:divBdr>
                                                        <w:top w:val="none" w:sz="0" w:space="0" w:color="auto"/>
                                                        <w:left w:val="none" w:sz="0" w:space="0" w:color="auto"/>
                                                        <w:bottom w:val="none" w:sz="0" w:space="0" w:color="auto"/>
                                                        <w:right w:val="none" w:sz="0" w:space="0" w:color="auto"/>
                                                      </w:divBdr>
                                                    </w:div>
                                                  </w:divsChild>
                                                </w:div>
                                                <w:div w:id="588395130">
                                                  <w:marLeft w:val="0"/>
                                                  <w:marRight w:val="0"/>
                                                  <w:marTop w:val="0"/>
                                                  <w:marBottom w:val="0"/>
                                                  <w:divBdr>
                                                    <w:top w:val="none" w:sz="0" w:space="0" w:color="auto"/>
                                                    <w:left w:val="none" w:sz="0" w:space="0" w:color="auto"/>
                                                    <w:bottom w:val="none" w:sz="0" w:space="0" w:color="auto"/>
                                                    <w:right w:val="none" w:sz="0" w:space="0" w:color="auto"/>
                                                  </w:divBdr>
                                                  <w:divsChild>
                                                    <w:div w:id="421147979">
                                                      <w:marLeft w:val="0"/>
                                                      <w:marRight w:val="0"/>
                                                      <w:marTop w:val="0"/>
                                                      <w:marBottom w:val="0"/>
                                                      <w:divBdr>
                                                        <w:top w:val="none" w:sz="0" w:space="0" w:color="auto"/>
                                                        <w:left w:val="none" w:sz="0" w:space="0" w:color="auto"/>
                                                        <w:bottom w:val="none" w:sz="0" w:space="0" w:color="auto"/>
                                                        <w:right w:val="none" w:sz="0" w:space="0" w:color="auto"/>
                                                      </w:divBdr>
                                                      <w:divsChild>
                                                        <w:div w:id="1678536962">
                                                          <w:marLeft w:val="0"/>
                                                          <w:marRight w:val="0"/>
                                                          <w:marTop w:val="0"/>
                                                          <w:marBottom w:val="0"/>
                                                          <w:divBdr>
                                                            <w:top w:val="none" w:sz="0" w:space="0" w:color="auto"/>
                                                            <w:left w:val="none" w:sz="0" w:space="0" w:color="auto"/>
                                                            <w:bottom w:val="none" w:sz="0" w:space="0" w:color="auto"/>
                                                            <w:right w:val="none" w:sz="0" w:space="0" w:color="auto"/>
                                                          </w:divBdr>
                                                          <w:divsChild>
                                                            <w:div w:id="1459488954">
                                                              <w:marLeft w:val="0"/>
                                                              <w:marRight w:val="0"/>
                                                              <w:marTop w:val="0"/>
                                                              <w:marBottom w:val="0"/>
                                                              <w:divBdr>
                                                                <w:top w:val="none" w:sz="0" w:space="0" w:color="auto"/>
                                                                <w:left w:val="none" w:sz="0" w:space="0" w:color="auto"/>
                                                                <w:bottom w:val="none" w:sz="0" w:space="0" w:color="auto"/>
                                                                <w:right w:val="none" w:sz="0" w:space="0" w:color="auto"/>
                                                              </w:divBdr>
                                                              <w:divsChild>
                                                                <w:div w:id="1391810935">
                                                                  <w:marLeft w:val="0"/>
                                                                  <w:marRight w:val="0"/>
                                                                  <w:marTop w:val="0"/>
                                                                  <w:marBottom w:val="0"/>
                                                                  <w:divBdr>
                                                                    <w:top w:val="none" w:sz="0" w:space="0" w:color="auto"/>
                                                                    <w:left w:val="none" w:sz="0" w:space="0" w:color="auto"/>
                                                                    <w:bottom w:val="none" w:sz="0" w:space="0" w:color="auto"/>
                                                                    <w:right w:val="none" w:sz="0" w:space="0" w:color="auto"/>
                                                                  </w:divBdr>
                                                                  <w:divsChild>
                                                                    <w:div w:id="70198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155585">
                                                          <w:marLeft w:val="0"/>
                                                          <w:marRight w:val="0"/>
                                                          <w:marTop w:val="0"/>
                                                          <w:marBottom w:val="0"/>
                                                          <w:divBdr>
                                                            <w:top w:val="none" w:sz="0" w:space="0" w:color="auto"/>
                                                            <w:left w:val="none" w:sz="0" w:space="0" w:color="auto"/>
                                                            <w:bottom w:val="none" w:sz="0" w:space="0" w:color="auto"/>
                                                            <w:right w:val="none" w:sz="0" w:space="0" w:color="auto"/>
                                                          </w:divBdr>
                                                          <w:divsChild>
                                                            <w:div w:id="1401170111">
                                                              <w:marLeft w:val="0"/>
                                                              <w:marRight w:val="0"/>
                                                              <w:marTop w:val="0"/>
                                                              <w:marBottom w:val="0"/>
                                                              <w:divBdr>
                                                                <w:top w:val="none" w:sz="0" w:space="0" w:color="auto"/>
                                                                <w:left w:val="none" w:sz="0" w:space="0" w:color="auto"/>
                                                                <w:bottom w:val="none" w:sz="0" w:space="0" w:color="auto"/>
                                                                <w:right w:val="none" w:sz="0" w:space="0" w:color="auto"/>
                                                              </w:divBdr>
                                                              <w:divsChild>
                                                                <w:div w:id="991717245">
                                                                  <w:marLeft w:val="0"/>
                                                                  <w:marRight w:val="0"/>
                                                                  <w:marTop w:val="0"/>
                                                                  <w:marBottom w:val="0"/>
                                                                  <w:divBdr>
                                                                    <w:top w:val="none" w:sz="0" w:space="0" w:color="auto"/>
                                                                    <w:left w:val="none" w:sz="0" w:space="0" w:color="auto"/>
                                                                    <w:bottom w:val="none" w:sz="0" w:space="0" w:color="auto"/>
                                                                    <w:right w:val="none" w:sz="0" w:space="0" w:color="auto"/>
                                                                  </w:divBdr>
                                                                  <w:divsChild>
                                                                    <w:div w:id="25841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36084">
                                                          <w:marLeft w:val="0"/>
                                                          <w:marRight w:val="0"/>
                                                          <w:marTop w:val="0"/>
                                                          <w:marBottom w:val="0"/>
                                                          <w:divBdr>
                                                            <w:top w:val="none" w:sz="0" w:space="0" w:color="auto"/>
                                                            <w:left w:val="none" w:sz="0" w:space="0" w:color="auto"/>
                                                            <w:bottom w:val="none" w:sz="0" w:space="0" w:color="auto"/>
                                                            <w:right w:val="none" w:sz="0" w:space="0" w:color="auto"/>
                                                          </w:divBdr>
                                                          <w:divsChild>
                                                            <w:div w:id="800343936">
                                                              <w:marLeft w:val="0"/>
                                                              <w:marRight w:val="0"/>
                                                              <w:marTop w:val="0"/>
                                                              <w:marBottom w:val="0"/>
                                                              <w:divBdr>
                                                                <w:top w:val="none" w:sz="0" w:space="0" w:color="auto"/>
                                                                <w:left w:val="none" w:sz="0" w:space="0" w:color="auto"/>
                                                                <w:bottom w:val="none" w:sz="0" w:space="0" w:color="auto"/>
                                                                <w:right w:val="none" w:sz="0" w:space="0" w:color="auto"/>
                                                              </w:divBdr>
                                                              <w:divsChild>
                                                                <w:div w:id="818309098">
                                                                  <w:marLeft w:val="0"/>
                                                                  <w:marRight w:val="0"/>
                                                                  <w:marTop w:val="0"/>
                                                                  <w:marBottom w:val="0"/>
                                                                  <w:divBdr>
                                                                    <w:top w:val="none" w:sz="0" w:space="0" w:color="auto"/>
                                                                    <w:left w:val="none" w:sz="0" w:space="0" w:color="auto"/>
                                                                    <w:bottom w:val="none" w:sz="0" w:space="0" w:color="auto"/>
                                                                    <w:right w:val="none" w:sz="0" w:space="0" w:color="auto"/>
                                                                  </w:divBdr>
                                                                  <w:divsChild>
                                                                    <w:div w:id="173003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829143">
                                                          <w:marLeft w:val="0"/>
                                                          <w:marRight w:val="0"/>
                                                          <w:marTop w:val="0"/>
                                                          <w:marBottom w:val="0"/>
                                                          <w:divBdr>
                                                            <w:top w:val="none" w:sz="0" w:space="0" w:color="auto"/>
                                                            <w:left w:val="none" w:sz="0" w:space="0" w:color="auto"/>
                                                            <w:bottom w:val="none" w:sz="0" w:space="0" w:color="auto"/>
                                                            <w:right w:val="none" w:sz="0" w:space="0" w:color="auto"/>
                                                          </w:divBdr>
                                                          <w:divsChild>
                                                            <w:div w:id="1641035511">
                                                              <w:marLeft w:val="0"/>
                                                              <w:marRight w:val="0"/>
                                                              <w:marTop w:val="0"/>
                                                              <w:marBottom w:val="0"/>
                                                              <w:divBdr>
                                                                <w:top w:val="none" w:sz="0" w:space="0" w:color="auto"/>
                                                                <w:left w:val="none" w:sz="0" w:space="0" w:color="auto"/>
                                                                <w:bottom w:val="none" w:sz="0" w:space="0" w:color="auto"/>
                                                                <w:right w:val="none" w:sz="0" w:space="0" w:color="auto"/>
                                                              </w:divBdr>
                                                              <w:divsChild>
                                                                <w:div w:id="518784830">
                                                                  <w:marLeft w:val="0"/>
                                                                  <w:marRight w:val="0"/>
                                                                  <w:marTop w:val="0"/>
                                                                  <w:marBottom w:val="0"/>
                                                                  <w:divBdr>
                                                                    <w:top w:val="none" w:sz="0" w:space="0" w:color="auto"/>
                                                                    <w:left w:val="none" w:sz="0" w:space="0" w:color="auto"/>
                                                                    <w:bottom w:val="none" w:sz="0" w:space="0" w:color="auto"/>
                                                                    <w:right w:val="none" w:sz="0" w:space="0" w:color="auto"/>
                                                                  </w:divBdr>
                                                                  <w:divsChild>
                                                                    <w:div w:id="3316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813952">
                                                          <w:marLeft w:val="0"/>
                                                          <w:marRight w:val="0"/>
                                                          <w:marTop w:val="0"/>
                                                          <w:marBottom w:val="0"/>
                                                          <w:divBdr>
                                                            <w:top w:val="none" w:sz="0" w:space="0" w:color="auto"/>
                                                            <w:left w:val="none" w:sz="0" w:space="0" w:color="auto"/>
                                                            <w:bottom w:val="none" w:sz="0" w:space="0" w:color="auto"/>
                                                            <w:right w:val="none" w:sz="0" w:space="0" w:color="auto"/>
                                                          </w:divBdr>
                                                          <w:divsChild>
                                                            <w:div w:id="1287085388">
                                                              <w:marLeft w:val="0"/>
                                                              <w:marRight w:val="0"/>
                                                              <w:marTop w:val="0"/>
                                                              <w:marBottom w:val="0"/>
                                                              <w:divBdr>
                                                                <w:top w:val="none" w:sz="0" w:space="0" w:color="auto"/>
                                                                <w:left w:val="none" w:sz="0" w:space="0" w:color="auto"/>
                                                                <w:bottom w:val="none" w:sz="0" w:space="0" w:color="auto"/>
                                                                <w:right w:val="none" w:sz="0" w:space="0" w:color="auto"/>
                                                              </w:divBdr>
                                                              <w:divsChild>
                                                                <w:div w:id="624040023">
                                                                  <w:marLeft w:val="0"/>
                                                                  <w:marRight w:val="0"/>
                                                                  <w:marTop w:val="0"/>
                                                                  <w:marBottom w:val="0"/>
                                                                  <w:divBdr>
                                                                    <w:top w:val="none" w:sz="0" w:space="0" w:color="auto"/>
                                                                    <w:left w:val="none" w:sz="0" w:space="0" w:color="auto"/>
                                                                    <w:bottom w:val="none" w:sz="0" w:space="0" w:color="auto"/>
                                                                    <w:right w:val="none" w:sz="0" w:space="0" w:color="auto"/>
                                                                  </w:divBdr>
                                                                  <w:divsChild>
                                                                    <w:div w:id="149306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280602">
                                                          <w:marLeft w:val="0"/>
                                                          <w:marRight w:val="0"/>
                                                          <w:marTop w:val="0"/>
                                                          <w:marBottom w:val="0"/>
                                                          <w:divBdr>
                                                            <w:top w:val="none" w:sz="0" w:space="0" w:color="auto"/>
                                                            <w:left w:val="none" w:sz="0" w:space="0" w:color="auto"/>
                                                            <w:bottom w:val="none" w:sz="0" w:space="0" w:color="auto"/>
                                                            <w:right w:val="none" w:sz="0" w:space="0" w:color="auto"/>
                                                          </w:divBdr>
                                                          <w:divsChild>
                                                            <w:div w:id="1240098723">
                                                              <w:marLeft w:val="0"/>
                                                              <w:marRight w:val="0"/>
                                                              <w:marTop w:val="0"/>
                                                              <w:marBottom w:val="0"/>
                                                              <w:divBdr>
                                                                <w:top w:val="none" w:sz="0" w:space="0" w:color="auto"/>
                                                                <w:left w:val="none" w:sz="0" w:space="0" w:color="auto"/>
                                                                <w:bottom w:val="none" w:sz="0" w:space="0" w:color="auto"/>
                                                                <w:right w:val="none" w:sz="0" w:space="0" w:color="auto"/>
                                                              </w:divBdr>
                                                              <w:divsChild>
                                                                <w:div w:id="1380350766">
                                                                  <w:marLeft w:val="0"/>
                                                                  <w:marRight w:val="0"/>
                                                                  <w:marTop w:val="0"/>
                                                                  <w:marBottom w:val="0"/>
                                                                  <w:divBdr>
                                                                    <w:top w:val="none" w:sz="0" w:space="0" w:color="auto"/>
                                                                    <w:left w:val="none" w:sz="0" w:space="0" w:color="auto"/>
                                                                    <w:bottom w:val="none" w:sz="0" w:space="0" w:color="auto"/>
                                                                    <w:right w:val="none" w:sz="0" w:space="0" w:color="auto"/>
                                                                  </w:divBdr>
                                                                  <w:divsChild>
                                                                    <w:div w:id="59914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9530575">
                              <w:marLeft w:val="0"/>
                              <w:marRight w:val="0"/>
                              <w:marTop w:val="0"/>
                              <w:marBottom w:val="0"/>
                              <w:divBdr>
                                <w:top w:val="none" w:sz="0" w:space="0" w:color="auto"/>
                                <w:left w:val="none" w:sz="0" w:space="0" w:color="auto"/>
                                <w:bottom w:val="none" w:sz="0" w:space="0" w:color="auto"/>
                                <w:right w:val="none" w:sz="0" w:space="0" w:color="auto"/>
                              </w:divBdr>
                              <w:divsChild>
                                <w:div w:id="1164902852">
                                  <w:marLeft w:val="0"/>
                                  <w:marRight w:val="0"/>
                                  <w:marTop w:val="0"/>
                                  <w:marBottom w:val="0"/>
                                  <w:divBdr>
                                    <w:top w:val="none" w:sz="0" w:space="0" w:color="auto"/>
                                    <w:left w:val="none" w:sz="0" w:space="0" w:color="auto"/>
                                    <w:bottom w:val="none" w:sz="0" w:space="0" w:color="auto"/>
                                    <w:right w:val="none" w:sz="0" w:space="0" w:color="auto"/>
                                  </w:divBdr>
                                  <w:divsChild>
                                    <w:div w:id="1047559642">
                                      <w:marLeft w:val="0"/>
                                      <w:marRight w:val="0"/>
                                      <w:marTop w:val="0"/>
                                      <w:marBottom w:val="120"/>
                                      <w:divBdr>
                                        <w:top w:val="none" w:sz="0" w:space="0" w:color="auto"/>
                                        <w:left w:val="none" w:sz="0" w:space="0" w:color="auto"/>
                                        <w:bottom w:val="none" w:sz="0" w:space="0" w:color="auto"/>
                                        <w:right w:val="none" w:sz="0" w:space="0" w:color="auto"/>
                                      </w:divBdr>
                                      <w:divsChild>
                                        <w:div w:id="97761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54750">
                                  <w:marLeft w:val="0"/>
                                  <w:marRight w:val="0"/>
                                  <w:marTop w:val="0"/>
                                  <w:marBottom w:val="0"/>
                                  <w:divBdr>
                                    <w:top w:val="none" w:sz="0" w:space="0" w:color="auto"/>
                                    <w:left w:val="none" w:sz="0" w:space="0" w:color="auto"/>
                                    <w:bottom w:val="none" w:sz="0" w:space="0" w:color="auto"/>
                                    <w:right w:val="none" w:sz="0" w:space="0" w:color="auto"/>
                                  </w:divBdr>
                                  <w:divsChild>
                                    <w:div w:id="2064404725">
                                      <w:marLeft w:val="0"/>
                                      <w:marRight w:val="0"/>
                                      <w:marTop w:val="0"/>
                                      <w:marBottom w:val="0"/>
                                      <w:divBdr>
                                        <w:top w:val="none" w:sz="0" w:space="0" w:color="auto"/>
                                        <w:left w:val="none" w:sz="0" w:space="0" w:color="auto"/>
                                        <w:bottom w:val="none" w:sz="0" w:space="0" w:color="auto"/>
                                        <w:right w:val="none" w:sz="0" w:space="0" w:color="auto"/>
                                      </w:divBdr>
                                      <w:divsChild>
                                        <w:div w:id="373576673">
                                          <w:marLeft w:val="0"/>
                                          <w:marRight w:val="0"/>
                                          <w:marTop w:val="0"/>
                                          <w:marBottom w:val="0"/>
                                          <w:divBdr>
                                            <w:top w:val="none" w:sz="0" w:space="0" w:color="auto"/>
                                            <w:left w:val="none" w:sz="0" w:space="0" w:color="auto"/>
                                            <w:bottom w:val="none" w:sz="0" w:space="0" w:color="auto"/>
                                            <w:right w:val="none" w:sz="0" w:space="0" w:color="auto"/>
                                          </w:divBdr>
                                          <w:divsChild>
                                            <w:div w:id="546601696">
                                              <w:marLeft w:val="0"/>
                                              <w:marRight w:val="0"/>
                                              <w:marTop w:val="0"/>
                                              <w:marBottom w:val="0"/>
                                              <w:divBdr>
                                                <w:top w:val="none" w:sz="0" w:space="0" w:color="auto"/>
                                                <w:left w:val="none" w:sz="0" w:space="0" w:color="auto"/>
                                                <w:bottom w:val="none" w:sz="0" w:space="0" w:color="auto"/>
                                                <w:right w:val="none" w:sz="0" w:space="0" w:color="auto"/>
                                              </w:divBdr>
                                              <w:divsChild>
                                                <w:div w:id="1796292251">
                                                  <w:marLeft w:val="0"/>
                                                  <w:marRight w:val="0"/>
                                                  <w:marTop w:val="0"/>
                                                  <w:marBottom w:val="0"/>
                                                  <w:divBdr>
                                                    <w:top w:val="none" w:sz="0" w:space="0" w:color="auto"/>
                                                    <w:left w:val="none" w:sz="0" w:space="0" w:color="auto"/>
                                                    <w:bottom w:val="none" w:sz="0" w:space="0" w:color="auto"/>
                                                    <w:right w:val="none" w:sz="0" w:space="0" w:color="auto"/>
                                                  </w:divBdr>
                                                  <w:divsChild>
                                                    <w:div w:id="641889671">
                                                      <w:marLeft w:val="0"/>
                                                      <w:marRight w:val="0"/>
                                                      <w:marTop w:val="0"/>
                                                      <w:marBottom w:val="0"/>
                                                      <w:divBdr>
                                                        <w:top w:val="none" w:sz="0" w:space="0" w:color="auto"/>
                                                        <w:left w:val="none" w:sz="0" w:space="0" w:color="auto"/>
                                                        <w:bottom w:val="none" w:sz="0" w:space="0" w:color="auto"/>
                                                        <w:right w:val="none" w:sz="0" w:space="0" w:color="auto"/>
                                                      </w:divBdr>
                                                    </w:div>
                                                  </w:divsChild>
                                                </w:div>
                                                <w:div w:id="641693445">
                                                  <w:marLeft w:val="0"/>
                                                  <w:marRight w:val="0"/>
                                                  <w:marTop w:val="0"/>
                                                  <w:marBottom w:val="0"/>
                                                  <w:divBdr>
                                                    <w:top w:val="none" w:sz="0" w:space="0" w:color="auto"/>
                                                    <w:left w:val="none" w:sz="0" w:space="0" w:color="auto"/>
                                                    <w:bottom w:val="none" w:sz="0" w:space="0" w:color="auto"/>
                                                    <w:right w:val="none" w:sz="0" w:space="0" w:color="auto"/>
                                                  </w:divBdr>
                                                  <w:divsChild>
                                                    <w:div w:id="721370441">
                                                      <w:marLeft w:val="0"/>
                                                      <w:marRight w:val="0"/>
                                                      <w:marTop w:val="0"/>
                                                      <w:marBottom w:val="0"/>
                                                      <w:divBdr>
                                                        <w:top w:val="none" w:sz="0" w:space="0" w:color="auto"/>
                                                        <w:left w:val="none" w:sz="0" w:space="0" w:color="auto"/>
                                                        <w:bottom w:val="none" w:sz="0" w:space="0" w:color="auto"/>
                                                        <w:right w:val="none" w:sz="0" w:space="0" w:color="auto"/>
                                                      </w:divBdr>
                                                      <w:divsChild>
                                                        <w:div w:id="1478691963">
                                                          <w:marLeft w:val="0"/>
                                                          <w:marRight w:val="0"/>
                                                          <w:marTop w:val="0"/>
                                                          <w:marBottom w:val="0"/>
                                                          <w:divBdr>
                                                            <w:top w:val="none" w:sz="0" w:space="0" w:color="auto"/>
                                                            <w:left w:val="none" w:sz="0" w:space="0" w:color="auto"/>
                                                            <w:bottom w:val="none" w:sz="0" w:space="0" w:color="auto"/>
                                                            <w:right w:val="none" w:sz="0" w:space="0" w:color="auto"/>
                                                          </w:divBdr>
                                                          <w:divsChild>
                                                            <w:div w:id="941914970">
                                                              <w:marLeft w:val="0"/>
                                                              <w:marRight w:val="0"/>
                                                              <w:marTop w:val="0"/>
                                                              <w:marBottom w:val="0"/>
                                                              <w:divBdr>
                                                                <w:top w:val="none" w:sz="0" w:space="0" w:color="auto"/>
                                                                <w:left w:val="none" w:sz="0" w:space="0" w:color="auto"/>
                                                                <w:bottom w:val="none" w:sz="0" w:space="0" w:color="auto"/>
                                                                <w:right w:val="none" w:sz="0" w:space="0" w:color="auto"/>
                                                              </w:divBdr>
                                                              <w:divsChild>
                                                                <w:div w:id="387264717">
                                                                  <w:marLeft w:val="0"/>
                                                                  <w:marRight w:val="0"/>
                                                                  <w:marTop w:val="0"/>
                                                                  <w:marBottom w:val="0"/>
                                                                  <w:divBdr>
                                                                    <w:top w:val="none" w:sz="0" w:space="0" w:color="auto"/>
                                                                    <w:left w:val="none" w:sz="0" w:space="0" w:color="auto"/>
                                                                    <w:bottom w:val="none" w:sz="0" w:space="0" w:color="auto"/>
                                                                    <w:right w:val="none" w:sz="0" w:space="0" w:color="auto"/>
                                                                  </w:divBdr>
                                                                  <w:divsChild>
                                                                    <w:div w:id="144025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967340">
                                                          <w:marLeft w:val="0"/>
                                                          <w:marRight w:val="0"/>
                                                          <w:marTop w:val="0"/>
                                                          <w:marBottom w:val="0"/>
                                                          <w:divBdr>
                                                            <w:top w:val="none" w:sz="0" w:space="0" w:color="auto"/>
                                                            <w:left w:val="none" w:sz="0" w:space="0" w:color="auto"/>
                                                            <w:bottom w:val="none" w:sz="0" w:space="0" w:color="auto"/>
                                                            <w:right w:val="none" w:sz="0" w:space="0" w:color="auto"/>
                                                          </w:divBdr>
                                                          <w:divsChild>
                                                            <w:div w:id="2099936507">
                                                              <w:marLeft w:val="0"/>
                                                              <w:marRight w:val="0"/>
                                                              <w:marTop w:val="0"/>
                                                              <w:marBottom w:val="0"/>
                                                              <w:divBdr>
                                                                <w:top w:val="none" w:sz="0" w:space="0" w:color="auto"/>
                                                                <w:left w:val="none" w:sz="0" w:space="0" w:color="auto"/>
                                                                <w:bottom w:val="none" w:sz="0" w:space="0" w:color="auto"/>
                                                                <w:right w:val="none" w:sz="0" w:space="0" w:color="auto"/>
                                                              </w:divBdr>
                                                              <w:divsChild>
                                                                <w:div w:id="1623196645">
                                                                  <w:marLeft w:val="0"/>
                                                                  <w:marRight w:val="0"/>
                                                                  <w:marTop w:val="0"/>
                                                                  <w:marBottom w:val="0"/>
                                                                  <w:divBdr>
                                                                    <w:top w:val="none" w:sz="0" w:space="0" w:color="auto"/>
                                                                    <w:left w:val="none" w:sz="0" w:space="0" w:color="auto"/>
                                                                    <w:bottom w:val="none" w:sz="0" w:space="0" w:color="auto"/>
                                                                    <w:right w:val="none" w:sz="0" w:space="0" w:color="auto"/>
                                                                  </w:divBdr>
                                                                  <w:divsChild>
                                                                    <w:div w:id="32952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613816">
                                                          <w:marLeft w:val="0"/>
                                                          <w:marRight w:val="0"/>
                                                          <w:marTop w:val="0"/>
                                                          <w:marBottom w:val="0"/>
                                                          <w:divBdr>
                                                            <w:top w:val="none" w:sz="0" w:space="0" w:color="auto"/>
                                                            <w:left w:val="none" w:sz="0" w:space="0" w:color="auto"/>
                                                            <w:bottom w:val="none" w:sz="0" w:space="0" w:color="auto"/>
                                                            <w:right w:val="none" w:sz="0" w:space="0" w:color="auto"/>
                                                          </w:divBdr>
                                                          <w:divsChild>
                                                            <w:div w:id="1898080434">
                                                              <w:marLeft w:val="0"/>
                                                              <w:marRight w:val="0"/>
                                                              <w:marTop w:val="0"/>
                                                              <w:marBottom w:val="0"/>
                                                              <w:divBdr>
                                                                <w:top w:val="none" w:sz="0" w:space="0" w:color="auto"/>
                                                                <w:left w:val="none" w:sz="0" w:space="0" w:color="auto"/>
                                                                <w:bottom w:val="none" w:sz="0" w:space="0" w:color="auto"/>
                                                                <w:right w:val="none" w:sz="0" w:space="0" w:color="auto"/>
                                                              </w:divBdr>
                                                              <w:divsChild>
                                                                <w:div w:id="629669991">
                                                                  <w:marLeft w:val="0"/>
                                                                  <w:marRight w:val="0"/>
                                                                  <w:marTop w:val="0"/>
                                                                  <w:marBottom w:val="0"/>
                                                                  <w:divBdr>
                                                                    <w:top w:val="none" w:sz="0" w:space="0" w:color="auto"/>
                                                                    <w:left w:val="none" w:sz="0" w:space="0" w:color="auto"/>
                                                                    <w:bottom w:val="none" w:sz="0" w:space="0" w:color="auto"/>
                                                                    <w:right w:val="none" w:sz="0" w:space="0" w:color="auto"/>
                                                                  </w:divBdr>
                                                                  <w:divsChild>
                                                                    <w:div w:id="201071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03628765">
      <w:bodyDiv w:val="1"/>
      <w:marLeft w:val="0"/>
      <w:marRight w:val="0"/>
      <w:marTop w:val="0"/>
      <w:marBottom w:val="0"/>
      <w:divBdr>
        <w:top w:val="none" w:sz="0" w:space="0" w:color="auto"/>
        <w:left w:val="none" w:sz="0" w:space="0" w:color="auto"/>
        <w:bottom w:val="none" w:sz="0" w:space="0" w:color="auto"/>
        <w:right w:val="none" w:sz="0" w:space="0" w:color="auto"/>
      </w:divBdr>
      <w:divsChild>
        <w:div w:id="486172243">
          <w:marLeft w:val="0"/>
          <w:marRight w:val="0"/>
          <w:marTop w:val="0"/>
          <w:marBottom w:val="0"/>
          <w:divBdr>
            <w:top w:val="none" w:sz="0" w:space="0" w:color="auto"/>
            <w:left w:val="none" w:sz="0" w:space="0" w:color="auto"/>
            <w:bottom w:val="none" w:sz="0" w:space="0" w:color="auto"/>
            <w:right w:val="none" w:sz="0" w:space="0" w:color="auto"/>
          </w:divBdr>
        </w:div>
      </w:divsChild>
    </w:div>
    <w:div w:id="330832840">
      <w:bodyDiv w:val="1"/>
      <w:marLeft w:val="0"/>
      <w:marRight w:val="0"/>
      <w:marTop w:val="0"/>
      <w:marBottom w:val="0"/>
      <w:divBdr>
        <w:top w:val="none" w:sz="0" w:space="0" w:color="auto"/>
        <w:left w:val="none" w:sz="0" w:space="0" w:color="auto"/>
        <w:bottom w:val="none" w:sz="0" w:space="0" w:color="auto"/>
        <w:right w:val="none" w:sz="0" w:space="0" w:color="auto"/>
      </w:divBdr>
      <w:divsChild>
        <w:div w:id="768965111">
          <w:marLeft w:val="0"/>
          <w:marRight w:val="0"/>
          <w:marTop w:val="0"/>
          <w:marBottom w:val="0"/>
          <w:divBdr>
            <w:top w:val="none" w:sz="0" w:space="0" w:color="auto"/>
            <w:left w:val="none" w:sz="0" w:space="0" w:color="auto"/>
            <w:bottom w:val="none" w:sz="0" w:space="0" w:color="auto"/>
            <w:right w:val="none" w:sz="0" w:space="0" w:color="auto"/>
          </w:divBdr>
          <w:divsChild>
            <w:div w:id="194391625">
              <w:marLeft w:val="0"/>
              <w:marRight w:val="0"/>
              <w:marTop w:val="0"/>
              <w:marBottom w:val="0"/>
              <w:divBdr>
                <w:top w:val="none" w:sz="0" w:space="0" w:color="auto"/>
                <w:left w:val="none" w:sz="0" w:space="0" w:color="auto"/>
                <w:bottom w:val="none" w:sz="0" w:space="0" w:color="auto"/>
                <w:right w:val="none" w:sz="0" w:space="0" w:color="auto"/>
              </w:divBdr>
              <w:divsChild>
                <w:div w:id="484473491">
                  <w:marLeft w:val="0"/>
                  <w:marRight w:val="0"/>
                  <w:marTop w:val="0"/>
                  <w:marBottom w:val="0"/>
                  <w:divBdr>
                    <w:top w:val="none" w:sz="0" w:space="0" w:color="auto"/>
                    <w:left w:val="none" w:sz="0" w:space="0" w:color="auto"/>
                    <w:bottom w:val="none" w:sz="0" w:space="0" w:color="auto"/>
                    <w:right w:val="none" w:sz="0" w:space="0" w:color="auto"/>
                  </w:divBdr>
                  <w:divsChild>
                    <w:div w:id="583565285">
                      <w:marLeft w:val="0"/>
                      <w:marRight w:val="0"/>
                      <w:marTop w:val="0"/>
                      <w:marBottom w:val="0"/>
                      <w:divBdr>
                        <w:top w:val="none" w:sz="0" w:space="0" w:color="auto"/>
                        <w:left w:val="none" w:sz="0" w:space="0" w:color="auto"/>
                        <w:bottom w:val="none" w:sz="0" w:space="0" w:color="auto"/>
                        <w:right w:val="none" w:sz="0" w:space="0" w:color="auto"/>
                      </w:divBdr>
                      <w:divsChild>
                        <w:div w:id="81537491">
                          <w:marLeft w:val="0"/>
                          <w:marRight w:val="0"/>
                          <w:marTop w:val="0"/>
                          <w:marBottom w:val="0"/>
                          <w:divBdr>
                            <w:top w:val="none" w:sz="0" w:space="0" w:color="auto"/>
                            <w:left w:val="none" w:sz="0" w:space="0" w:color="auto"/>
                            <w:bottom w:val="none" w:sz="0" w:space="0" w:color="auto"/>
                            <w:right w:val="none" w:sz="0" w:space="0" w:color="auto"/>
                          </w:divBdr>
                          <w:divsChild>
                            <w:div w:id="1705253095">
                              <w:marLeft w:val="0"/>
                              <w:marRight w:val="0"/>
                              <w:marTop w:val="0"/>
                              <w:marBottom w:val="0"/>
                              <w:divBdr>
                                <w:top w:val="none" w:sz="0" w:space="0" w:color="auto"/>
                                <w:left w:val="none" w:sz="0" w:space="0" w:color="auto"/>
                                <w:bottom w:val="none" w:sz="0" w:space="0" w:color="auto"/>
                                <w:right w:val="none" w:sz="0" w:space="0" w:color="auto"/>
                              </w:divBdr>
                              <w:divsChild>
                                <w:div w:id="2078015799">
                                  <w:marLeft w:val="0"/>
                                  <w:marRight w:val="0"/>
                                  <w:marTop w:val="0"/>
                                  <w:marBottom w:val="0"/>
                                  <w:divBdr>
                                    <w:top w:val="none" w:sz="0" w:space="0" w:color="auto"/>
                                    <w:left w:val="none" w:sz="0" w:space="0" w:color="auto"/>
                                    <w:bottom w:val="none" w:sz="0" w:space="0" w:color="auto"/>
                                    <w:right w:val="none" w:sz="0" w:space="0" w:color="auto"/>
                                  </w:divBdr>
                                  <w:divsChild>
                                    <w:div w:id="633948752">
                                      <w:marLeft w:val="0"/>
                                      <w:marRight w:val="0"/>
                                      <w:marTop w:val="0"/>
                                      <w:marBottom w:val="120"/>
                                      <w:divBdr>
                                        <w:top w:val="none" w:sz="0" w:space="0" w:color="auto"/>
                                        <w:left w:val="none" w:sz="0" w:space="0" w:color="auto"/>
                                        <w:bottom w:val="none" w:sz="0" w:space="0" w:color="auto"/>
                                        <w:right w:val="none" w:sz="0" w:space="0" w:color="auto"/>
                                      </w:divBdr>
                                      <w:divsChild>
                                        <w:div w:id="36687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59462">
                                  <w:marLeft w:val="0"/>
                                  <w:marRight w:val="0"/>
                                  <w:marTop w:val="0"/>
                                  <w:marBottom w:val="0"/>
                                  <w:divBdr>
                                    <w:top w:val="none" w:sz="0" w:space="0" w:color="auto"/>
                                    <w:left w:val="none" w:sz="0" w:space="0" w:color="auto"/>
                                    <w:bottom w:val="none" w:sz="0" w:space="0" w:color="auto"/>
                                    <w:right w:val="none" w:sz="0" w:space="0" w:color="auto"/>
                                  </w:divBdr>
                                  <w:divsChild>
                                    <w:div w:id="714812749">
                                      <w:marLeft w:val="0"/>
                                      <w:marRight w:val="0"/>
                                      <w:marTop w:val="0"/>
                                      <w:marBottom w:val="0"/>
                                      <w:divBdr>
                                        <w:top w:val="none" w:sz="0" w:space="0" w:color="auto"/>
                                        <w:left w:val="none" w:sz="0" w:space="0" w:color="auto"/>
                                        <w:bottom w:val="none" w:sz="0" w:space="0" w:color="auto"/>
                                        <w:right w:val="none" w:sz="0" w:space="0" w:color="auto"/>
                                      </w:divBdr>
                                      <w:divsChild>
                                        <w:div w:id="1390609146">
                                          <w:marLeft w:val="0"/>
                                          <w:marRight w:val="0"/>
                                          <w:marTop w:val="0"/>
                                          <w:marBottom w:val="0"/>
                                          <w:divBdr>
                                            <w:top w:val="none" w:sz="0" w:space="0" w:color="auto"/>
                                            <w:left w:val="none" w:sz="0" w:space="0" w:color="auto"/>
                                            <w:bottom w:val="none" w:sz="0" w:space="0" w:color="auto"/>
                                            <w:right w:val="none" w:sz="0" w:space="0" w:color="auto"/>
                                          </w:divBdr>
                                          <w:divsChild>
                                            <w:div w:id="1238244569">
                                              <w:marLeft w:val="0"/>
                                              <w:marRight w:val="0"/>
                                              <w:marTop w:val="0"/>
                                              <w:marBottom w:val="0"/>
                                              <w:divBdr>
                                                <w:top w:val="none" w:sz="0" w:space="0" w:color="auto"/>
                                                <w:left w:val="none" w:sz="0" w:space="0" w:color="auto"/>
                                                <w:bottom w:val="none" w:sz="0" w:space="0" w:color="auto"/>
                                                <w:right w:val="none" w:sz="0" w:space="0" w:color="auto"/>
                                              </w:divBdr>
                                              <w:divsChild>
                                                <w:div w:id="158815897">
                                                  <w:marLeft w:val="0"/>
                                                  <w:marRight w:val="0"/>
                                                  <w:marTop w:val="0"/>
                                                  <w:marBottom w:val="0"/>
                                                  <w:divBdr>
                                                    <w:top w:val="none" w:sz="0" w:space="0" w:color="auto"/>
                                                    <w:left w:val="none" w:sz="0" w:space="0" w:color="auto"/>
                                                    <w:bottom w:val="none" w:sz="0" w:space="0" w:color="auto"/>
                                                    <w:right w:val="none" w:sz="0" w:space="0" w:color="auto"/>
                                                  </w:divBdr>
                                                  <w:divsChild>
                                                    <w:div w:id="2050228735">
                                                      <w:marLeft w:val="0"/>
                                                      <w:marRight w:val="0"/>
                                                      <w:marTop w:val="0"/>
                                                      <w:marBottom w:val="0"/>
                                                      <w:divBdr>
                                                        <w:top w:val="none" w:sz="0" w:space="0" w:color="auto"/>
                                                        <w:left w:val="none" w:sz="0" w:space="0" w:color="auto"/>
                                                        <w:bottom w:val="none" w:sz="0" w:space="0" w:color="auto"/>
                                                        <w:right w:val="none" w:sz="0" w:space="0" w:color="auto"/>
                                                      </w:divBdr>
                                                    </w:div>
                                                  </w:divsChild>
                                                </w:div>
                                                <w:div w:id="81221870">
                                                  <w:marLeft w:val="0"/>
                                                  <w:marRight w:val="0"/>
                                                  <w:marTop w:val="0"/>
                                                  <w:marBottom w:val="0"/>
                                                  <w:divBdr>
                                                    <w:top w:val="none" w:sz="0" w:space="0" w:color="auto"/>
                                                    <w:left w:val="none" w:sz="0" w:space="0" w:color="auto"/>
                                                    <w:bottom w:val="none" w:sz="0" w:space="0" w:color="auto"/>
                                                    <w:right w:val="none" w:sz="0" w:space="0" w:color="auto"/>
                                                  </w:divBdr>
                                                  <w:divsChild>
                                                    <w:div w:id="937445137">
                                                      <w:marLeft w:val="0"/>
                                                      <w:marRight w:val="0"/>
                                                      <w:marTop w:val="0"/>
                                                      <w:marBottom w:val="0"/>
                                                      <w:divBdr>
                                                        <w:top w:val="none" w:sz="0" w:space="0" w:color="auto"/>
                                                        <w:left w:val="none" w:sz="0" w:space="0" w:color="auto"/>
                                                        <w:bottom w:val="none" w:sz="0" w:space="0" w:color="auto"/>
                                                        <w:right w:val="none" w:sz="0" w:space="0" w:color="auto"/>
                                                      </w:divBdr>
                                                      <w:divsChild>
                                                        <w:div w:id="842160822">
                                                          <w:marLeft w:val="0"/>
                                                          <w:marRight w:val="0"/>
                                                          <w:marTop w:val="0"/>
                                                          <w:marBottom w:val="0"/>
                                                          <w:divBdr>
                                                            <w:top w:val="none" w:sz="0" w:space="0" w:color="auto"/>
                                                            <w:left w:val="none" w:sz="0" w:space="0" w:color="auto"/>
                                                            <w:bottom w:val="none" w:sz="0" w:space="0" w:color="auto"/>
                                                            <w:right w:val="none" w:sz="0" w:space="0" w:color="auto"/>
                                                          </w:divBdr>
                                                          <w:divsChild>
                                                            <w:div w:id="1360549275">
                                                              <w:marLeft w:val="0"/>
                                                              <w:marRight w:val="0"/>
                                                              <w:marTop w:val="0"/>
                                                              <w:marBottom w:val="0"/>
                                                              <w:divBdr>
                                                                <w:top w:val="none" w:sz="0" w:space="0" w:color="auto"/>
                                                                <w:left w:val="none" w:sz="0" w:space="0" w:color="auto"/>
                                                                <w:bottom w:val="none" w:sz="0" w:space="0" w:color="auto"/>
                                                                <w:right w:val="none" w:sz="0" w:space="0" w:color="auto"/>
                                                              </w:divBdr>
                                                              <w:divsChild>
                                                                <w:div w:id="2056587240">
                                                                  <w:marLeft w:val="0"/>
                                                                  <w:marRight w:val="0"/>
                                                                  <w:marTop w:val="0"/>
                                                                  <w:marBottom w:val="0"/>
                                                                  <w:divBdr>
                                                                    <w:top w:val="none" w:sz="0" w:space="0" w:color="auto"/>
                                                                    <w:left w:val="none" w:sz="0" w:space="0" w:color="auto"/>
                                                                    <w:bottom w:val="none" w:sz="0" w:space="0" w:color="auto"/>
                                                                    <w:right w:val="none" w:sz="0" w:space="0" w:color="auto"/>
                                                                  </w:divBdr>
                                                                  <w:divsChild>
                                                                    <w:div w:id="52613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807414">
                                                          <w:marLeft w:val="0"/>
                                                          <w:marRight w:val="0"/>
                                                          <w:marTop w:val="0"/>
                                                          <w:marBottom w:val="0"/>
                                                          <w:divBdr>
                                                            <w:top w:val="none" w:sz="0" w:space="0" w:color="auto"/>
                                                            <w:left w:val="none" w:sz="0" w:space="0" w:color="auto"/>
                                                            <w:bottom w:val="none" w:sz="0" w:space="0" w:color="auto"/>
                                                            <w:right w:val="none" w:sz="0" w:space="0" w:color="auto"/>
                                                          </w:divBdr>
                                                          <w:divsChild>
                                                            <w:div w:id="647902983">
                                                              <w:marLeft w:val="0"/>
                                                              <w:marRight w:val="0"/>
                                                              <w:marTop w:val="0"/>
                                                              <w:marBottom w:val="0"/>
                                                              <w:divBdr>
                                                                <w:top w:val="none" w:sz="0" w:space="0" w:color="auto"/>
                                                                <w:left w:val="none" w:sz="0" w:space="0" w:color="auto"/>
                                                                <w:bottom w:val="none" w:sz="0" w:space="0" w:color="auto"/>
                                                                <w:right w:val="none" w:sz="0" w:space="0" w:color="auto"/>
                                                              </w:divBdr>
                                                              <w:divsChild>
                                                                <w:div w:id="306394513">
                                                                  <w:marLeft w:val="0"/>
                                                                  <w:marRight w:val="0"/>
                                                                  <w:marTop w:val="0"/>
                                                                  <w:marBottom w:val="0"/>
                                                                  <w:divBdr>
                                                                    <w:top w:val="none" w:sz="0" w:space="0" w:color="auto"/>
                                                                    <w:left w:val="none" w:sz="0" w:space="0" w:color="auto"/>
                                                                    <w:bottom w:val="none" w:sz="0" w:space="0" w:color="auto"/>
                                                                    <w:right w:val="none" w:sz="0" w:space="0" w:color="auto"/>
                                                                  </w:divBdr>
                                                                  <w:divsChild>
                                                                    <w:div w:id="204586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618828">
                                                          <w:marLeft w:val="0"/>
                                                          <w:marRight w:val="0"/>
                                                          <w:marTop w:val="0"/>
                                                          <w:marBottom w:val="0"/>
                                                          <w:divBdr>
                                                            <w:top w:val="none" w:sz="0" w:space="0" w:color="auto"/>
                                                            <w:left w:val="none" w:sz="0" w:space="0" w:color="auto"/>
                                                            <w:bottom w:val="none" w:sz="0" w:space="0" w:color="auto"/>
                                                            <w:right w:val="none" w:sz="0" w:space="0" w:color="auto"/>
                                                          </w:divBdr>
                                                          <w:divsChild>
                                                            <w:div w:id="118839856">
                                                              <w:marLeft w:val="0"/>
                                                              <w:marRight w:val="0"/>
                                                              <w:marTop w:val="0"/>
                                                              <w:marBottom w:val="0"/>
                                                              <w:divBdr>
                                                                <w:top w:val="none" w:sz="0" w:space="0" w:color="auto"/>
                                                                <w:left w:val="none" w:sz="0" w:space="0" w:color="auto"/>
                                                                <w:bottom w:val="none" w:sz="0" w:space="0" w:color="auto"/>
                                                                <w:right w:val="none" w:sz="0" w:space="0" w:color="auto"/>
                                                              </w:divBdr>
                                                              <w:divsChild>
                                                                <w:div w:id="644043829">
                                                                  <w:marLeft w:val="0"/>
                                                                  <w:marRight w:val="0"/>
                                                                  <w:marTop w:val="0"/>
                                                                  <w:marBottom w:val="0"/>
                                                                  <w:divBdr>
                                                                    <w:top w:val="none" w:sz="0" w:space="0" w:color="auto"/>
                                                                    <w:left w:val="none" w:sz="0" w:space="0" w:color="auto"/>
                                                                    <w:bottom w:val="none" w:sz="0" w:space="0" w:color="auto"/>
                                                                    <w:right w:val="none" w:sz="0" w:space="0" w:color="auto"/>
                                                                  </w:divBdr>
                                                                  <w:divsChild>
                                                                    <w:div w:id="134770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22540">
                                                          <w:marLeft w:val="0"/>
                                                          <w:marRight w:val="0"/>
                                                          <w:marTop w:val="0"/>
                                                          <w:marBottom w:val="0"/>
                                                          <w:divBdr>
                                                            <w:top w:val="none" w:sz="0" w:space="0" w:color="auto"/>
                                                            <w:left w:val="none" w:sz="0" w:space="0" w:color="auto"/>
                                                            <w:bottom w:val="none" w:sz="0" w:space="0" w:color="auto"/>
                                                            <w:right w:val="none" w:sz="0" w:space="0" w:color="auto"/>
                                                          </w:divBdr>
                                                          <w:divsChild>
                                                            <w:div w:id="648174302">
                                                              <w:marLeft w:val="0"/>
                                                              <w:marRight w:val="0"/>
                                                              <w:marTop w:val="0"/>
                                                              <w:marBottom w:val="0"/>
                                                              <w:divBdr>
                                                                <w:top w:val="none" w:sz="0" w:space="0" w:color="auto"/>
                                                                <w:left w:val="none" w:sz="0" w:space="0" w:color="auto"/>
                                                                <w:bottom w:val="none" w:sz="0" w:space="0" w:color="auto"/>
                                                                <w:right w:val="none" w:sz="0" w:space="0" w:color="auto"/>
                                                              </w:divBdr>
                                                              <w:divsChild>
                                                                <w:div w:id="1022898504">
                                                                  <w:marLeft w:val="0"/>
                                                                  <w:marRight w:val="0"/>
                                                                  <w:marTop w:val="0"/>
                                                                  <w:marBottom w:val="0"/>
                                                                  <w:divBdr>
                                                                    <w:top w:val="none" w:sz="0" w:space="0" w:color="auto"/>
                                                                    <w:left w:val="none" w:sz="0" w:space="0" w:color="auto"/>
                                                                    <w:bottom w:val="none" w:sz="0" w:space="0" w:color="auto"/>
                                                                    <w:right w:val="none" w:sz="0" w:space="0" w:color="auto"/>
                                                                  </w:divBdr>
                                                                  <w:divsChild>
                                                                    <w:div w:id="166870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713244">
                                                          <w:marLeft w:val="0"/>
                                                          <w:marRight w:val="0"/>
                                                          <w:marTop w:val="0"/>
                                                          <w:marBottom w:val="0"/>
                                                          <w:divBdr>
                                                            <w:top w:val="none" w:sz="0" w:space="0" w:color="auto"/>
                                                            <w:left w:val="none" w:sz="0" w:space="0" w:color="auto"/>
                                                            <w:bottom w:val="none" w:sz="0" w:space="0" w:color="auto"/>
                                                            <w:right w:val="none" w:sz="0" w:space="0" w:color="auto"/>
                                                          </w:divBdr>
                                                          <w:divsChild>
                                                            <w:div w:id="758137386">
                                                              <w:marLeft w:val="0"/>
                                                              <w:marRight w:val="0"/>
                                                              <w:marTop w:val="0"/>
                                                              <w:marBottom w:val="0"/>
                                                              <w:divBdr>
                                                                <w:top w:val="none" w:sz="0" w:space="0" w:color="auto"/>
                                                                <w:left w:val="none" w:sz="0" w:space="0" w:color="auto"/>
                                                                <w:bottom w:val="none" w:sz="0" w:space="0" w:color="auto"/>
                                                                <w:right w:val="none" w:sz="0" w:space="0" w:color="auto"/>
                                                              </w:divBdr>
                                                              <w:divsChild>
                                                                <w:div w:id="2054038602">
                                                                  <w:marLeft w:val="0"/>
                                                                  <w:marRight w:val="0"/>
                                                                  <w:marTop w:val="0"/>
                                                                  <w:marBottom w:val="0"/>
                                                                  <w:divBdr>
                                                                    <w:top w:val="none" w:sz="0" w:space="0" w:color="auto"/>
                                                                    <w:left w:val="none" w:sz="0" w:space="0" w:color="auto"/>
                                                                    <w:bottom w:val="none" w:sz="0" w:space="0" w:color="auto"/>
                                                                    <w:right w:val="none" w:sz="0" w:space="0" w:color="auto"/>
                                                                  </w:divBdr>
                                                                  <w:divsChild>
                                                                    <w:div w:id="72325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664057">
                                                          <w:marLeft w:val="0"/>
                                                          <w:marRight w:val="0"/>
                                                          <w:marTop w:val="0"/>
                                                          <w:marBottom w:val="0"/>
                                                          <w:divBdr>
                                                            <w:top w:val="none" w:sz="0" w:space="0" w:color="auto"/>
                                                            <w:left w:val="none" w:sz="0" w:space="0" w:color="auto"/>
                                                            <w:bottom w:val="none" w:sz="0" w:space="0" w:color="auto"/>
                                                            <w:right w:val="none" w:sz="0" w:space="0" w:color="auto"/>
                                                          </w:divBdr>
                                                          <w:divsChild>
                                                            <w:div w:id="1564414179">
                                                              <w:marLeft w:val="0"/>
                                                              <w:marRight w:val="0"/>
                                                              <w:marTop w:val="0"/>
                                                              <w:marBottom w:val="0"/>
                                                              <w:divBdr>
                                                                <w:top w:val="none" w:sz="0" w:space="0" w:color="auto"/>
                                                                <w:left w:val="none" w:sz="0" w:space="0" w:color="auto"/>
                                                                <w:bottom w:val="none" w:sz="0" w:space="0" w:color="auto"/>
                                                                <w:right w:val="none" w:sz="0" w:space="0" w:color="auto"/>
                                                              </w:divBdr>
                                                              <w:divsChild>
                                                                <w:div w:id="520557552">
                                                                  <w:marLeft w:val="0"/>
                                                                  <w:marRight w:val="0"/>
                                                                  <w:marTop w:val="0"/>
                                                                  <w:marBottom w:val="0"/>
                                                                  <w:divBdr>
                                                                    <w:top w:val="none" w:sz="0" w:space="0" w:color="auto"/>
                                                                    <w:left w:val="none" w:sz="0" w:space="0" w:color="auto"/>
                                                                    <w:bottom w:val="none" w:sz="0" w:space="0" w:color="auto"/>
                                                                    <w:right w:val="none" w:sz="0" w:space="0" w:color="auto"/>
                                                                  </w:divBdr>
                                                                  <w:divsChild>
                                                                    <w:div w:id="41617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0003915">
                              <w:marLeft w:val="0"/>
                              <w:marRight w:val="0"/>
                              <w:marTop w:val="0"/>
                              <w:marBottom w:val="0"/>
                              <w:divBdr>
                                <w:top w:val="none" w:sz="0" w:space="0" w:color="auto"/>
                                <w:left w:val="none" w:sz="0" w:space="0" w:color="auto"/>
                                <w:bottom w:val="none" w:sz="0" w:space="0" w:color="auto"/>
                                <w:right w:val="none" w:sz="0" w:space="0" w:color="auto"/>
                              </w:divBdr>
                              <w:divsChild>
                                <w:div w:id="1621492256">
                                  <w:marLeft w:val="0"/>
                                  <w:marRight w:val="0"/>
                                  <w:marTop w:val="0"/>
                                  <w:marBottom w:val="0"/>
                                  <w:divBdr>
                                    <w:top w:val="none" w:sz="0" w:space="0" w:color="auto"/>
                                    <w:left w:val="none" w:sz="0" w:space="0" w:color="auto"/>
                                    <w:bottom w:val="none" w:sz="0" w:space="0" w:color="auto"/>
                                    <w:right w:val="none" w:sz="0" w:space="0" w:color="auto"/>
                                  </w:divBdr>
                                  <w:divsChild>
                                    <w:div w:id="1196388049">
                                      <w:marLeft w:val="0"/>
                                      <w:marRight w:val="0"/>
                                      <w:marTop w:val="0"/>
                                      <w:marBottom w:val="120"/>
                                      <w:divBdr>
                                        <w:top w:val="none" w:sz="0" w:space="0" w:color="auto"/>
                                        <w:left w:val="none" w:sz="0" w:space="0" w:color="auto"/>
                                        <w:bottom w:val="none" w:sz="0" w:space="0" w:color="auto"/>
                                        <w:right w:val="none" w:sz="0" w:space="0" w:color="auto"/>
                                      </w:divBdr>
                                      <w:divsChild>
                                        <w:div w:id="182616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846339">
                                  <w:marLeft w:val="0"/>
                                  <w:marRight w:val="0"/>
                                  <w:marTop w:val="0"/>
                                  <w:marBottom w:val="0"/>
                                  <w:divBdr>
                                    <w:top w:val="none" w:sz="0" w:space="0" w:color="auto"/>
                                    <w:left w:val="none" w:sz="0" w:space="0" w:color="auto"/>
                                    <w:bottom w:val="none" w:sz="0" w:space="0" w:color="auto"/>
                                    <w:right w:val="none" w:sz="0" w:space="0" w:color="auto"/>
                                  </w:divBdr>
                                  <w:divsChild>
                                    <w:div w:id="1433742891">
                                      <w:marLeft w:val="0"/>
                                      <w:marRight w:val="0"/>
                                      <w:marTop w:val="0"/>
                                      <w:marBottom w:val="0"/>
                                      <w:divBdr>
                                        <w:top w:val="none" w:sz="0" w:space="0" w:color="auto"/>
                                        <w:left w:val="none" w:sz="0" w:space="0" w:color="auto"/>
                                        <w:bottom w:val="none" w:sz="0" w:space="0" w:color="auto"/>
                                        <w:right w:val="none" w:sz="0" w:space="0" w:color="auto"/>
                                      </w:divBdr>
                                      <w:divsChild>
                                        <w:div w:id="1883134848">
                                          <w:marLeft w:val="0"/>
                                          <w:marRight w:val="0"/>
                                          <w:marTop w:val="0"/>
                                          <w:marBottom w:val="0"/>
                                          <w:divBdr>
                                            <w:top w:val="none" w:sz="0" w:space="0" w:color="auto"/>
                                            <w:left w:val="none" w:sz="0" w:space="0" w:color="auto"/>
                                            <w:bottom w:val="none" w:sz="0" w:space="0" w:color="auto"/>
                                            <w:right w:val="none" w:sz="0" w:space="0" w:color="auto"/>
                                          </w:divBdr>
                                          <w:divsChild>
                                            <w:div w:id="742989692">
                                              <w:marLeft w:val="0"/>
                                              <w:marRight w:val="0"/>
                                              <w:marTop w:val="0"/>
                                              <w:marBottom w:val="0"/>
                                              <w:divBdr>
                                                <w:top w:val="none" w:sz="0" w:space="0" w:color="auto"/>
                                                <w:left w:val="none" w:sz="0" w:space="0" w:color="auto"/>
                                                <w:bottom w:val="none" w:sz="0" w:space="0" w:color="auto"/>
                                                <w:right w:val="none" w:sz="0" w:space="0" w:color="auto"/>
                                              </w:divBdr>
                                              <w:divsChild>
                                                <w:div w:id="136074613">
                                                  <w:marLeft w:val="0"/>
                                                  <w:marRight w:val="0"/>
                                                  <w:marTop w:val="0"/>
                                                  <w:marBottom w:val="0"/>
                                                  <w:divBdr>
                                                    <w:top w:val="none" w:sz="0" w:space="0" w:color="auto"/>
                                                    <w:left w:val="none" w:sz="0" w:space="0" w:color="auto"/>
                                                    <w:bottom w:val="none" w:sz="0" w:space="0" w:color="auto"/>
                                                    <w:right w:val="none" w:sz="0" w:space="0" w:color="auto"/>
                                                  </w:divBdr>
                                                  <w:divsChild>
                                                    <w:div w:id="1542356043">
                                                      <w:marLeft w:val="0"/>
                                                      <w:marRight w:val="0"/>
                                                      <w:marTop w:val="0"/>
                                                      <w:marBottom w:val="0"/>
                                                      <w:divBdr>
                                                        <w:top w:val="none" w:sz="0" w:space="0" w:color="auto"/>
                                                        <w:left w:val="none" w:sz="0" w:space="0" w:color="auto"/>
                                                        <w:bottom w:val="none" w:sz="0" w:space="0" w:color="auto"/>
                                                        <w:right w:val="none" w:sz="0" w:space="0" w:color="auto"/>
                                                      </w:divBdr>
                                                    </w:div>
                                                  </w:divsChild>
                                                </w:div>
                                                <w:div w:id="2021002505">
                                                  <w:marLeft w:val="0"/>
                                                  <w:marRight w:val="0"/>
                                                  <w:marTop w:val="0"/>
                                                  <w:marBottom w:val="0"/>
                                                  <w:divBdr>
                                                    <w:top w:val="none" w:sz="0" w:space="0" w:color="auto"/>
                                                    <w:left w:val="none" w:sz="0" w:space="0" w:color="auto"/>
                                                    <w:bottom w:val="none" w:sz="0" w:space="0" w:color="auto"/>
                                                    <w:right w:val="none" w:sz="0" w:space="0" w:color="auto"/>
                                                  </w:divBdr>
                                                  <w:divsChild>
                                                    <w:div w:id="421688585">
                                                      <w:marLeft w:val="0"/>
                                                      <w:marRight w:val="0"/>
                                                      <w:marTop w:val="0"/>
                                                      <w:marBottom w:val="0"/>
                                                      <w:divBdr>
                                                        <w:top w:val="none" w:sz="0" w:space="0" w:color="auto"/>
                                                        <w:left w:val="none" w:sz="0" w:space="0" w:color="auto"/>
                                                        <w:bottom w:val="none" w:sz="0" w:space="0" w:color="auto"/>
                                                        <w:right w:val="none" w:sz="0" w:space="0" w:color="auto"/>
                                                      </w:divBdr>
                                                      <w:divsChild>
                                                        <w:div w:id="2118451828">
                                                          <w:marLeft w:val="0"/>
                                                          <w:marRight w:val="0"/>
                                                          <w:marTop w:val="0"/>
                                                          <w:marBottom w:val="0"/>
                                                          <w:divBdr>
                                                            <w:top w:val="none" w:sz="0" w:space="0" w:color="auto"/>
                                                            <w:left w:val="none" w:sz="0" w:space="0" w:color="auto"/>
                                                            <w:bottom w:val="none" w:sz="0" w:space="0" w:color="auto"/>
                                                            <w:right w:val="none" w:sz="0" w:space="0" w:color="auto"/>
                                                          </w:divBdr>
                                                          <w:divsChild>
                                                            <w:div w:id="2037080988">
                                                              <w:marLeft w:val="0"/>
                                                              <w:marRight w:val="0"/>
                                                              <w:marTop w:val="0"/>
                                                              <w:marBottom w:val="0"/>
                                                              <w:divBdr>
                                                                <w:top w:val="none" w:sz="0" w:space="0" w:color="auto"/>
                                                                <w:left w:val="none" w:sz="0" w:space="0" w:color="auto"/>
                                                                <w:bottom w:val="none" w:sz="0" w:space="0" w:color="auto"/>
                                                                <w:right w:val="none" w:sz="0" w:space="0" w:color="auto"/>
                                                              </w:divBdr>
                                                              <w:divsChild>
                                                                <w:div w:id="868641309">
                                                                  <w:marLeft w:val="0"/>
                                                                  <w:marRight w:val="0"/>
                                                                  <w:marTop w:val="0"/>
                                                                  <w:marBottom w:val="0"/>
                                                                  <w:divBdr>
                                                                    <w:top w:val="none" w:sz="0" w:space="0" w:color="auto"/>
                                                                    <w:left w:val="none" w:sz="0" w:space="0" w:color="auto"/>
                                                                    <w:bottom w:val="none" w:sz="0" w:space="0" w:color="auto"/>
                                                                    <w:right w:val="none" w:sz="0" w:space="0" w:color="auto"/>
                                                                  </w:divBdr>
                                                                  <w:divsChild>
                                                                    <w:div w:id="44743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089600">
                                                          <w:marLeft w:val="0"/>
                                                          <w:marRight w:val="0"/>
                                                          <w:marTop w:val="0"/>
                                                          <w:marBottom w:val="0"/>
                                                          <w:divBdr>
                                                            <w:top w:val="none" w:sz="0" w:space="0" w:color="auto"/>
                                                            <w:left w:val="none" w:sz="0" w:space="0" w:color="auto"/>
                                                            <w:bottom w:val="none" w:sz="0" w:space="0" w:color="auto"/>
                                                            <w:right w:val="none" w:sz="0" w:space="0" w:color="auto"/>
                                                          </w:divBdr>
                                                          <w:divsChild>
                                                            <w:div w:id="1646927624">
                                                              <w:marLeft w:val="0"/>
                                                              <w:marRight w:val="0"/>
                                                              <w:marTop w:val="0"/>
                                                              <w:marBottom w:val="0"/>
                                                              <w:divBdr>
                                                                <w:top w:val="none" w:sz="0" w:space="0" w:color="auto"/>
                                                                <w:left w:val="none" w:sz="0" w:space="0" w:color="auto"/>
                                                                <w:bottom w:val="none" w:sz="0" w:space="0" w:color="auto"/>
                                                                <w:right w:val="none" w:sz="0" w:space="0" w:color="auto"/>
                                                              </w:divBdr>
                                                              <w:divsChild>
                                                                <w:div w:id="56629636">
                                                                  <w:marLeft w:val="0"/>
                                                                  <w:marRight w:val="0"/>
                                                                  <w:marTop w:val="0"/>
                                                                  <w:marBottom w:val="0"/>
                                                                  <w:divBdr>
                                                                    <w:top w:val="none" w:sz="0" w:space="0" w:color="auto"/>
                                                                    <w:left w:val="none" w:sz="0" w:space="0" w:color="auto"/>
                                                                    <w:bottom w:val="none" w:sz="0" w:space="0" w:color="auto"/>
                                                                    <w:right w:val="none" w:sz="0" w:space="0" w:color="auto"/>
                                                                  </w:divBdr>
                                                                  <w:divsChild>
                                                                    <w:div w:id="83803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278904">
                                                          <w:marLeft w:val="0"/>
                                                          <w:marRight w:val="0"/>
                                                          <w:marTop w:val="0"/>
                                                          <w:marBottom w:val="0"/>
                                                          <w:divBdr>
                                                            <w:top w:val="none" w:sz="0" w:space="0" w:color="auto"/>
                                                            <w:left w:val="none" w:sz="0" w:space="0" w:color="auto"/>
                                                            <w:bottom w:val="none" w:sz="0" w:space="0" w:color="auto"/>
                                                            <w:right w:val="none" w:sz="0" w:space="0" w:color="auto"/>
                                                          </w:divBdr>
                                                          <w:divsChild>
                                                            <w:div w:id="646057910">
                                                              <w:marLeft w:val="0"/>
                                                              <w:marRight w:val="0"/>
                                                              <w:marTop w:val="0"/>
                                                              <w:marBottom w:val="0"/>
                                                              <w:divBdr>
                                                                <w:top w:val="none" w:sz="0" w:space="0" w:color="auto"/>
                                                                <w:left w:val="none" w:sz="0" w:space="0" w:color="auto"/>
                                                                <w:bottom w:val="none" w:sz="0" w:space="0" w:color="auto"/>
                                                                <w:right w:val="none" w:sz="0" w:space="0" w:color="auto"/>
                                                              </w:divBdr>
                                                              <w:divsChild>
                                                                <w:div w:id="1837378033">
                                                                  <w:marLeft w:val="0"/>
                                                                  <w:marRight w:val="0"/>
                                                                  <w:marTop w:val="0"/>
                                                                  <w:marBottom w:val="0"/>
                                                                  <w:divBdr>
                                                                    <w:top w:val="none" w:sz="0" w:space="0" w:color="auto"/>
                                                                    <w:left w:val="none" w:sz="0" w:space="0" w:color="auto"/>
                                                                    <w:bottom w:val="none" w:sz="0" w:space="0" w:color="auto"/>
                                                                    <w:right w:val="none" w:sz="0" w:space="0" w:color="auto"/>
                                                                  </w:divBdr>
                                                                  <w:divsChild>
                                                                    <w:div w:id="199945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50365733">
      <w:bodyDiv w:val="1"/>
      <w:marLeft w:val="0"/>
      <w:marRight w:val="0"/>
      <w:marTop w:val="0"/>
      <w:marBottom w:val="0"/>
      <w:divBdr>
        <w:top w:val="none" w:sz="0" w:space="0" w:color="auto"/>
        <w:left w:val="none" w:sz="0" w:space="0" w:color="auto"/>
        <w:bottom w:val="none" w:sz="0" w:space="0" w:color="auto"/>
        <w:right w:val="none" w:sz="0" w:space="0" w:color="auto"/>
      </w:divBdr>
    </w:div>
    <w:div w:id="461775937">
      <w:bodyDiv w:val="1"/>
      <w:marLeft w:val="0"/>
      <w:marRight w:val="0"/>
      <w:marTop w:val="0"/>
      <w:marBottom w:val="0"/>
      <w:divBdr>
        <w:top w:val="none" w:sz="0" w:space="0" w:color="auto"/>
        <w:left w:val="none" w:sz="0" w:space="0" w:color="auto"/>
        <w:bottom w:val="none" w:sz="0" w:space="0" w:color="auto"/>
        <w:right w:val="none" w:sz="0" w:space="0" w:color="auto"/>
      </w:divBdr>
    </w:div>
    <w:div w:id="524683858">
      <w:bodyDiv w:val="1"/>
      <w:marLeft w:val="0"/>
      <w:marRight w:val="0"/>
      <w:marTop w:val="0"/>
      <w:marBottom w:val="0"/>
      <w:divBdr>
        <w:top w:val="none" w:sz="0" w:space="0" w:color="auto"/>
        <w:left w:val="none" w:sz="0" w:space="0" w:color="auto"/>
        <w:bottom w:val="none" w:sz="0" w:space="0" w:color="auto"/>
        <w:right w:val="none" w:sz="0" w:space="0" w:color="auto"/>
      </w:divBdr>
    </w:div>
    <w:div w:id="528957518">
      <w:bodyDiv w:val="1"/>
      <w:marLeft w:val="0"/>
      <w:marRight w:val="0"/>
      <w:marTop w:val="0"/>
      <w:marBottom w:val="0"/>
      <w:divBdr>
        <w:top w:val="none" w:sz="0" w:space="0" w:color="auto"/>
        <w:left w:val="none" w:sz="0" w:space="0" w:color="auto"/>
        <w:bottom w:val="none" w:sz="0" w:space="0" w:color="auto"/>
        <w:right w:val="none" w:sz="0" w:space="0" w:color="auto"/>
      </w:divBdr>
    </w:div>
    <w:div w:id="607199649">
      <w:bodyDiv w:val="1"/>
      <w:marLeft w:val="0"/>
      <w:marRight w:val="0"/>
      <w:marTop w:val="0"/>
      <w:marBottom w:val="0"/>
      <w:divBdr>
        <w:top w:val="none" w:sz="0" w:space="0" w:color="auto"/>
        <w:left w:val="none" w:sz="0" w:space="0" w:color="auto"/>
        <w:bottom w:val="none" w:sz="0" w:space="0" w:color="auto"/>
        <w:right w:val="none" w:sz="0" w:space="0" w:color="auto"/>
      </w:divBdr>
    </w:div>
    <w:div w:id="680012622">
      <w:bodyDiv w:val="1"/>
      <w:marLeft w:val="0"/>
      <w:marRight w:val="0"/>
      <w:marTop w:val="0"/>
      <w:marBottom w:val="0"/>
      <w:divBdr>
        <w:top w:val="none" w:sz="0" w:space="0" w:color="auto"/>
        <w:left w:val="none" w:sz="0" w:space="0" w:color="auto"/>
        <w:bottom w:val="none" w:sz="0" w:space="0" w:color="auto"/>
        <w:right w:val="none" w:sz="0" w:space="0" w:color="auto"/>
      </w:divBdr>
    </w:div>
    <w:div w:id="795949132">
      <w:bodyDiv w:val="1"/>
      <w:marLeft w:val="0"/>
      <w:marRight w:val="0"/>
      <w:marTop w:val="0"/>
      <w:marBottom w:val="0"/>
      <w:divBdr>
        <w:top w:val="none" w:sz="0" w:space="0" w:color="auto"/>
        <w:left w:val="none" w:sz="0" w:space="0" w:color="auto"/>
        <w:bottom w:val="none" w:sz="0" w:space="0" w:color="auto"/>
        <w:right w:val="none" w:sz="0" w:space="0" w:color="auto"/>
      </w:divBdr>
    </w:div>
    <w:div w:id="797257604">
      <w:bodyDiv w:val="1"/>
      <w:marLeft w:val="0"/>
      <w:marRight w:val="0"/>
      <w:marTop w:val="0"/>
      <w:marBottom w:val="0"/>
      <w:divBdr>
        <w:top w:val="none" w:sz="0" w:space="0" w:color="auto"/>
        <w:left w:val="none" w:sz="0" w:space="0" w:color="auto"/>
        <w:bottom w:val="none" w:sz="0" w:space="0" w:color="auto"/>
        <w:right w:val="none" w:sz="0" w:space="0" w:color="auto"/>
      </w:divBdr>
    </w:div>
    <w:div w:id="799349850">
      <w:bodyDiv w:val="1"/>
      <w:marLeft w:val="0"/>
      <w:marRight w:val="0"/>
      <w:marTop w:val="0"/>
      <w:marBottom w:val="0"/>
      <w:divBdr>
        <w:top w:val="none" w:sz="0" w:space="0" w:color="auto"/>
        <w:left w:val="none" w:sz="0" w:space="0" w:color="auto"/>
        <w:bottom w:val="none" w:sz="0" w:space="0" w:color="auto"/>
        <w:right w:val="none" w:sz="0" w:space="0" w:color="auto"/>
      </w:divBdr>
    </w:div>
    <w:div w:id="890925226">
      <w:bodyDiv w:val="1"/>
      <w:marLeft w:val="0"/>
      <w:marRight w:val="0"/>
      <w:marTop w:val="0"/>
      <w:marBottom w:val="0"/>
      <w:divBdr>
        <w:top w:val="none" w:sz="0" w:space="0" w:color="auto"/>
        <w:left w:val="none" w:sz="0" w:space="0" w:color="auto"/>
        <w:bottom w:val="none" w:sz="0" w:space="0" w:color="auto"/>
        <w:right w:val="none" w:sz="0" w:space="0" w:color="auto"/>
      </w:divBdr>
    </w:div>
    <w:div w:id="908881127">
      <w:bodyDiv w:val="1"/>
      <w:marLeft w:val="0"/>
      <w:marRight w:val="0"/>
      <w:marTop w:val="0"/>
      <w:marBottom w:val="0"/>
      <w:divBdr>
        <w:top w:val="none" w:sz="0" w:space="0" w:color="auto"/>
        <w:left w:val="none" w:sz="0" w:space="0" w:color="auto"/>
        <w:bottom w:val="none" w:sz="0" w:space="0" w:color="auto"/>
        <w:right w:val="none" w:sz="0" w:space="0" w:color="auto"/>
      </w:divBdr>
    </w:div>
    <w:div w:id="916548324">
      <w:bodyDiv w:val="1"/>
      <w:marLeft w:val="0"/>
      <w:marRight w:val="0"/>
      <w:marTop w:val="0"/>
      <w:marBottom w:val="0"/>
      <w:divBdr>
        <w:top w:val="none" w:sz="0" w:space="0" w:color="auto"/>
        <w:left w:val="none" w:sz="0" w:space="0" w:color="auto"/>
        <w:bottom w:val="none" w:sz="0" w:space="0" w:color="auto"/>
        <w:right w:val="none" w:sz="0" w:space="0" w:color="auto"/>
      </w:divBdr>
    </w:div>
    <w:div w:id="975792456">
      <w:bodyDiv w:val="1"/>
      <w:marLeft w:val="0"/>
      <w:marRight w:val="0"/>
      <w:marTop w:val="0"/>
      <w:marBottom w:val="0"/>
      <w:divBdr>
        <w:top w:val="none" w:sz="0" w:space="0" w:color="auto"/>
        <w:left w:val="none" w:sz="0" w:space="0" w:color="auto"/>
        <w:bottom w:val="none" w:sz="0" w:space="0" w:color="auto"/>
        <w:right w:val="none" w:sz="0" w:space="0" w:color="auto"/>
      </w:divBdr>
      <w:divsChild>
        <w:div w:id="598608488">
          <w:marLeft w:val="0"/>
          <w:marRight w:val="0"/>
          <w:marTop w:val="0"/>
          <w:marBottom w:val="0"/>
          <w:divBdr>
            <w:top w:val="none" w:sz="0" w:space="0" w:color="auto"/>
            <w:left w:val="none" w:sz="0" w:space="0" w:color="auto"/>
            <w:bottom w:val="none" w:sz="0" w:space="0" w:color="auto"/>
            <w:right w:val="none" w:sz="0" w:space="0" w:color="auto"/>
          </w:divBdr>
          <w:divsChild>
            <w:div w:id="1685400667">
              <w:marLeft w:val="0"/>
              <w:marRight w:val="0"/>
              <w:marTop w:val="0"/>
              <w:marBottom w:val="0"/>
              <w:divBdr>
                <w:top w:val="none" w:sz="0" w:space="0" w:color="auto"/>
                <w:left w:val="none" w:sz="0" w:space="0" w:color="auto"/>
                <w:bottom w:val="none" w:sz="0" w:space="0" w:color="auto"/>
                <w:right w:val="none" w:sz="0" w:space="0" w:color="auto"/>
              </w:divBdr>
              <w:divsChild>
                <w:div w:id="309016746">
                  <w:marLeft w:val="0"/>
                  <w:marRight w:val="0"/>
                  <w:marTop w:val="0"/>
                  <w:marBottom w:val="0"/>
                  <w:divBdr>
                    <w:top w:val="none" w:sz="0" w:space="0" w:color="auto"/>
                    <w:left w:val="none" w:sz="0" w:space="0" w:color="auto"/>
                    <w:bottom w:val="none" w:sz="0" w:space="0" w:color="auto"/>
                    <w:right w:val="none" w:sz="0" w:space="0" w:color="auto"/>
                  </w:divBdr>
                  <w:divsChild>
                    <w:div w:id="2145274001">
                      <w:marLeft w:val="0"/>
                      <w:marRight w:val="0"/>
                      <w:marTop w:val="0"/>
                      <w:marBottom w:val="0"/>
                      <w:divBdr>
                        <w:top w:val="none" w:sz="0" w:space="0" w:color="auto"/>
                        <w:left w:val="none" w:sz="0" w:space="0" w:color="auto"/>
                        <w:bottom w:val="none" w:sz="0" w:space="0" w:color="auto"/>
                        <w:right w:val="none" w:sz="0" w:space="0" w:color="auto"/>
                      </w:divBdr>
                      <w:divsChild>
                        <w:div w:id="1694114138">
                          <w:marLeft w:val="0"/>
                          <w:marRight w:val="0"/>
                          <w:marTop w:val="0"/>
                          <w:marBottom w:val="0"/>
                          <w:divBdr>
                            <w:top w:val="none" w:sz="0" w:space="0" w:color="auto"/>
                            <w:left w:val="none" w:sz="0" w:space="0" w:color="auto"/>
                            <w:bottom w:val="none" w:sz="0" w:space="0" w:color="auto"/>
                            <w:right w:val="none" w:sz="0" w:space="0" w:color="auto"/>
                          </w:divBdr>
                          <w:divsChild>
                            <w:div w:id="1147357972">
                              <w:marLeft w:val="0"/>
                              <w:marRight w:val="0"/>
                              <w:marTop w:val="0"/>
                              <w:marBottom w:val="0"/>
                              <w:divBdr>
                                <w:top w:val="none" w:sz="0" w:space="0" w:color="auto"/>
                                <w:left w:val="none" w:sz="0" w:space="0" w:color="auto"/>
                                <w:bottom w:val="none" w:sz="0" w:space="0" w:color="auto"/>
                                <w:right w:val="none" w:sz="0" w:space="0" w:color="auto"/>
                              </w:divBdr>
                              <w:divsChild>
                                <w:div w:id="266741179">
                                  <w:marLeft w:val="0"/>
                                  <w:marRight w:val="0"/>
                                  <w:marTop w:val="0"/>
                                  <w:marBottom w:val="0"/>
                                  <w:divBdr>
                                    <w:top w:val="none" w:sz="0" w:space="0" w:color="auto"/>
                                    <w:left w:val="none" w:sz="0" w:space="0" w:color="auto"/>
                                    <w:bottom w:val="none" w:sz="0" w:space="0" w:color="auto"/>
                                    <w:right w:val="none" w:sz="0" w:space="0" w:color="auto"/>
                                  </w:divBdr>
                                  <w:divsChild>
                                    <w:div w:id="1165172638">
                                      <w:marLeft w:val="0"/>
                                      <w:marRight w:val="0"/>
                                      <w:marTop w:val="0"/>
                                      <w:marBottom w:val="120"/>
                                      <w:divBdr>
                                        <w:top w:val="none" w:sz="0" w:space="0" w:color="auto"/>
                                        <w:left w:val="none" w:sz="0" w:space="0" w:color="auto"/>
                                        <w:bottom w:val="none" w:sz="0" w:space="0" w:color="auto"/>
                                        <w:right w:val="none" w:sz="0" w:space="0" w:color="auto"/>
                                      </w:divBdr>
                                      <w:divsChild>
                                        <w:div w:id="116798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410329">
                                  <w:marLeft w:val="0"/>
                                  <w:marRight w:val="0"/>
                                  <w:marTop w:val="0"/>
                                  <w:marBottom w:val="0"/>
                                  <w:divBdr>
                                    <w:top w:val="none" w:sz="0" w:space="0" w:color="auto"/>
                                    <w:left w:val="none" w:sz="0" w:space="0" w:color="auto"/>
                                    <w:bottom w:val="none" w:sz="0" w:space="0" w:color="auto"/>
                                    <w:right w:val="none" w:sz="0" w:space="0" w:color="auto"/>
                                  </w:divBdr>
                                  <w:divsChild>
                                    <w:div w:id="752553016">
                                      <w:marLeft w:val="0"/>
                                      <w:marRight w:val="0"/>
                                      <w:marTop w:val="0"/>
                                      <w:marBottom w:val="0"/>
                                      <w:divBdr>
                                        <w:top w:val="none" w:sz="0" w:space="0" w:color="auto"/>
                                        <w:left w:val="none" w:sz="0" w:space="0" w:color="auto"/>
                                        <w:bottom w:val="none" w:sz="0" w:space="0" w:color="auto"/>
                                        <w:right w:val="none" w:sz="0" w:space="0" w:color="auto"/>
                                      </w:divBdr>
                                      <w:divsChild>
                                        <w:div w:id="31424355">
                                          <w:marLeft w:val="0"/>
                                          <w:marRight w:val="0"/>
                                          <w:marTop w:val="0"/>
                                          <w:marBottom w:val="0"/>
                                          <w:divBdr>
                                            <w:top w:val="none" w:sz="0" w:space="0" w:color="auto"/>
                                            <w:left w:val="none" w:sz="0" w:space="0" w:color="auto"/>
                                            <w:bottom w:val="none" w:sz="0" w:space="0" w:color="auto"/>
                                            <w:right w:val="none" w:sz="0" w:space="0" w:color="auto"/>
                                          </w:divBdr>
                                          <w:divsChild>
                                            <w:div w:id="1810054652">
                                              <w:marLeft w:val="0"/>
                                              <w:marRight w:val="0"/>
                                              <w:marTop w:val="0"/>
                                              <w:marBottom w:val="0"/>
                                              <w:divBdr>
                                                <w:top w:val="none" w:sz="0" w:space="0" w:color="auto"/>
                                                <w:left w:val="none" w:sz="0" w:space="0" w:color="auto"/>
                                                <w:bottom w:val="none" w:sz="0" w:space="0" w:color="auto"/>
                                                <w:right w:val="none" w:sz="0" w:space="0" w:color="auto"/>
                                              </w:divBdr>
                                              <w:divsChild>
                                                <w:div w:id="549343141">
                                                  <w:marLeft w:val="0"/>
                                                  <w:marRight w:val="0"/>
                                                  <w:marTop w:val="0"/>
                                                  <w:marBottom w:val="0"/>
                                                  <w:divBdr>
                                                    <w:top w:val="none" w:sz="0" w:space="0" w:color="auto"/>
                                                    <w:left w:val="none" w:sz="0" w:space="0" w:color="auto"/>
                                                    <w:bottom w:val="none" w:sz="0" w:space="0" w:color="auto"/>
                                                    <w:right w:val="none" w:sz="0" w:space="0" w:color="auto"/>
                                                  </w:divBdr>
                                                  <w:divsChild>
                                                    <w:div w:id="17317019">
                                                      <w:marLeft w:val="0"/>
                                                      <w:marRight w:val="0"/>
                                                      <w:marTop w:val="0"/>
                                                      <w:marBottom w:val="0"/>
                                                      <w:divBdr>
                                                        <w:top w:val="none" w:sz="0" w:space="0" w:color="auto"/>
                                                        <w:left w:val="none" w:sz="0" w:space="0" w:color="auto"/>
                                                        <w:bottom w:val="none" w:sz="0" w:space="0" w:color="auto"/>
                                                        <w:right w:val="none" w:sz="0" w:space="0" w:color="auto"/>
                                                      </w:divBdr>
                                                    </w:div>
                                                  </w:divsChild>
                                                </w:div>
                                                <w:div w:id="116916820">
                                                  <w:marLeft w:val="0"/>
                                                  <w:marRight w:val="0"/>
                                                  <w:marTop w:val="0"/>
                                                  <w:marBottom w:val="0"/>
                                                  <w:divBdr>
                                                    <w:top w:val="none" w:sz="0" w:space="0" w:color="auto"/>
                                                    <w:left w:val="none" w:sz="0" w:space="0" w:color="auto"/>
                                                    <w:bottom w:val="none" w:sz="0" w:space="0" w:color="auto"/>
                                                    <w:right w:val="none" w:sz="0" w:space="0" w:color="auto"/>
                                                  </w:divBdr>
                                                  <w:divsChild>
                                                    <w:div w:id="2002809150">
                                                      <w:marLeft w:val="0"/>
                                                      <w:marRight w:val="0"/>
                                                      <w:marTop w:val="0"/>
                                                      <w:marBottom w:val="0"/>
                                                      <w:divBdr>
                                                        <w:top w:val="none" w:sz="0" w:space="0" w:color="auto"/>
                                                        <w:left w:val="none" w:sz="0" w:space="0" w:color="auto"/>
                                                        <w:bottom w:val="none" w:sz="0" w:space="0" w:color="auto"/>
                                                        <w:right w:val="none" w:sz="0" w:space="0" w:color="auto"/>
                                                      </w:divBdr>
                                                      <w:divsChild>
                                                        <w:div w:id="1687251576">
                                                          <w:marLeft w:val="0"/>
                                                          <w:marRight w:val="0"/>
                                                          <w:marTop w:val="0"/>
                                                          <w:marBottom w:val="0"/>
                                                          <w:divBdr>
                                                            <w:top w:val="none" w:sz="0" w:space="0" w:color="auto"/>
                                                            <w:left w:val="none" w:sz="0" w:space="0" w:color="auto"/>
                                                            <w:bottom w:val="none" w:sz="0" w:space="0" w:color="auto"/>
                                                            <w:right w:val="none" w:sz="0" w:space="0" w:color="auto"/>
                                                          </w:divBdr>
                                                          <w:divsChild>
                                                            <w:div w:id="1780830350">
                                                              <w:marLeft w:val="0"/>
                                                              <w:marRight w:val="0"/>
                                                              <w:marTop w:val="0"/>
                                                              <w:marBottom w:val="0"/>
                                                              <w:divBdr>
                                                                <w:top w:val="none" w:sz="0" w:space="0" w:color="auto"/>
                                                                <w:left w:val="none" w:sz="0" w:space="0" w:color="auto"/>
                                                                <w:bottom w:val="none" w:sz="0" w:space="0" w:color="auto"/>
                                                                <w:right w:val="none" w:sz="0" w:space="0" w:color="auto"/>
                                                              </w:divBdr>
                                                              <w:divsChild>
                                                                <w:div w:id="449712802">
                                                                  <w:marLeft w:val="0"/>
                                                                  <w:marRight w:val="0"/>
                                                                  <w:marTop w:val="0"/>
                                                                  <w:marBottom w:val="0"/>
                                                                  <w:divBdr>
                                                                    <w:top w:val="none" w:sz="0" w:space="0" w:color="auto"/>
                                                                    <w:left w:val="none" w:sz="0" w:space="0" w:color="auto"/>
                                                                    <w:bottom w:val="none" w:sz="0" w:space="0" w:color="auto"/>
                                                                    <w:right w:val="none" w:sz="0" w:space="0" w:color="auto"/>
                                                                  </w:divBdr>
                                                                  <w:divsChild>
                                                                    <w:div w:id="43483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317936">
                                                          <w:marLeft w:val="0"/>
                                                          <w:marRight w:val="0"/>
                                                          <w:marTop w:val="0"/>
                                                          <w:marBottom w:val="0"/>
                                                          <w:divBdr>
                                                            <w:top w:val="none" w:sz="0" w:space="0" w:color="auto"/>
                                                            <w:left w:val="none" w:sz="0" w:space="0" w:color="auto"/>
                                                            <w:bottom w:val="none" w:sz="0" w:space="0" w:color="auto"/>
                                                            <w:right w:val="none" w:sz="0" w:space="0" w:color="auto"/>
                                                          </w:divBdr>
                                                          <w:divsChild>
                                                            <w:div w:id="755831840">
                                                              <w:marLeft w:val="0"/>
                                                              <w:marRight w:val="0"/>
                                                              <w:marTop w:val="0"/>
                                                              <w:marBottom w:val="0"/>
                                                              <w:divBdr>
                                                                <w:top w:val="none" w:sz="0" w:space="0" w:color="auto"/>
                                                                <w:left w:val="none" w:sz="0" w:space="0" w:color="auto"/>
                                                                <w:bottom w:val="none" w:sz="0" w:space="0" w:color="auto"/>
                                                                <w:right w:val="none" w:sz="0" w:space="0" w:color="auto"/>
                                                              </w:divBdr>
                                                              <w:divsChild>
                                                                <w:div w:id="1644041055">
                                                                  <w:marLeft w:val="0"/>
                                                                  <w:marRight w:val="0"/>
                                                                  <w:marTop w:val="0"/>
                                                                  <w:marBottom w:val="0"/>
                                                                  <w:divBdr>
                                                                    <w:top w:val="none" w:sz="0" w:space="0" w:color="auto"/>
                                                                    <w:left w:val="none" w:sz="0" w:space="0" w:color="auto"/>
                                                                    <w:bottom w:val="none" w:sz="0" w:space="0" w:color="auto"/>
                                                                    <w:right w:val="none" w:sz="0" w:space="0" w:color="auto"/>
                                                                  </w:divBdr>
                                                                  <w:divsChild>
                                                                    <w:div w:id="61016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091641">
                                                          <w:marLeft w:val="0"/>
                                                          <w:marRight w:val="0"/>
                                                          <w:marTop w:val="0"/>
                                                          <w:marBottom w:val="0"/>
                                                          <w:divBdr>
                                                            <w:top w:val="none" w:sz="0" w:space="0" w:color="auto"/>
                                                            <w:left w:val="none" w:sz="0" w:space="0" w:color="auto"/>
                                                            <w:bottom w:val="none" w:sz="0" w:space="0" w:color="auto"/>
                                                            <w:right w:val="none" w:sz="0" w:space="0" w:color="auto"/>
                                                          </w:divBdr>
                                                          <w:divsChild>
                                                            <w:div w:id="1605461003">
                                                              <w:marLeft w:val="0"/>
                                                              <w:marRight w:val="0"/>
                                                              <w:marTop w:val="0"/>
                                                              <w:marBottom w:val="0"/>
                                                              <w:divBdr>
                                                                <w:top w:val="none" w:sz="0" w:space="0" w:color="auto"/>
                                                                <w:left w:val="none" w:sz="0" w:space="0" w:color="auto"/>
                                                                <w:bottom w:val="none" w:sz="0" w:space="0" w:color="auto"/>
                                                                <w:right w:val="none" w:sz="0" w:space="0" w:color="auto"/>
                                                              </w:divBdr>
                                                              <w:divsChild>
                                                                <w:div w:id="731856482">
                                                                  <w:marLeft w:val="0"/>
                                                                  <w:marRight w:val="0"/>
                                                                  <w:marTop w:val="0"/>
                                                                  <w:marBottom w:val="0"/>
                                                                  <w:divBdr>
                                                                    <w:top w:val="none" w:sz="0" w:space="0" w:color="auto"/>
                                                                    <w:left w:val="none" w:sz="0" w:space="0" w:color="auto"/>
                                                                    <w:bottom w:val="none" w:sz="0" w:space="0" w:color="auto"/>
                                                                    <w:right w:val="none" w:sz="0" w:space="0" w:color="auto"/>
                                                                  </w:divBdr>
                                                                  <w:divsChild>
                                                                    <w:div w:id="167387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241244">
                                                          <w:marLeft w:val="0"/>
                                                          <w:marRight w:val="0"/>
                                                          <w:marTop w:val="0"/>
                                                          <w:marBottom w:val="0"/>
                                                          <w:divBdr>
                                                            <w:top w:val="none" w:sz="0" w:space="0" w:color="auto"/>
                                                            <w:left w:val="none" w:sz="0" w:space="0" w:color="auto"/>
                                                            <w:bottom w:val="none" w:sz="0" w:space="0" w:color="auto"/>
                                                            <w:right w:val="none" w:sz="0" w:space="0" w:color="auto"/>
                                                          </w:divBdr>
                                                          <w:divsChild>
                                                            <w:div w:id="892231312">
                                                              <w:marLeft w:val="0"/>
                                                              <w:marRight w:val="0"/>
                                                              <w:marTop w:val="0"/>
                                                              <w:marBottom w:val="0"/>
                                                              <w:divBdr>
                                                                <w:top w:val="none" w:sz="0" w:space="0" w:color="auto"/>
                                                                <w:left w:val="none" w:sz="0" w:space="0" w:color="auto"/>
                                                                <w:bottom w:val="none" w:sz="0" w:space="0" w:color="auto"/>
                                                                <w:right w:val="none" w:sz="0" w:space="0" w:color="auto"/>
                                                              </w:divBdr>
                                                              <w:divsChild>
                                                                <w:div w:id="543760801">
                                                                  <w:marLeft w:val="0"/>
                                                                  <w:marRight w:val="0"/>
                                                                  <w:marTop w:val="0"/>
                                                                  <w:marBottom w:val="0"/>
                                                                  <w:divBdr>
                                                                    <w:top w:val="none" w:sz="0" w:space="0" w:color="auto"/>
                                                                    <w:left w:val="none" w:sz="0" w:space="0" w:color="auto"/>
                                                                    <w:bottom w:val="none" w:sz="0" w:space="0" w:color="auto"/>
                                                                    <w:right w:val="none" w:sz="0" w:space="0" w:color="auto"/>
                                                                  </w:divBdr>
                                                                  <w:divsChild>
                                                                    <w:div w:id="12092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928276">
                                                          <w:marLeft w:val="0"/>
                                                          <w:marRight w:val="0"/>
                                                          <w:marTop w:val="0"/>
                                                          <w:marBottom w:val="0"/>
                                                          <w:divBdr>
                                                            <w:top w:val="none" w:sz="0" w:space="0" w:color="auto"/>
                                                            <w:left w:val="none" w:sz="0" w:space="0" w:color="auto"/>
                                                            <w:bottom w:val="none" w:sz="0" w:space="0" w:color="auto"/>
                                                            <w:right w:val="none" w:sz="0" w:space="0" w:color="auto"/>
                                                          </w:divBdr>
                                                          <w:divsChild>
                                                            <w:div w:id="1784810668">
                                                              <w:marLeft w:val="0"/>
                                                              <w:marRight w:val="0"/>
                                                              <w:marTop w:val="0"/>
                                                              <w:marBottom w:val="0"/>
                                                              <w:divBdr>
                                                                <w:top w:val="none" w:sz="0" w:space="0" w:color="auto"/>
                                                                <w:left w:val="none" w:sz="0" w:space="0" w:color="auto"/>
                                                                <w:bottom w:val="none" w:sz="0" w:space="0" w:color="auto"/>
                                                                <w:right w:val="none" w:sz="0" w:space="0" w:color="auto"/>
                                                              </w:divBdr>
                                                              <w:divsChild>
                                                                <w:div w:id="1966277788">
                                                                  <w:marLeft w:val="0"/>
                                                                  <w:marRight w:val="0"/>
                                                                  <w:marTop w:val="0"/>
                                                                  <w:marBottom w:val="0"/>
                                                                  <w:divBdr>
                                                                    <w:top w:val="none" w:sz="0" w:space="0" w:color="auto"/>
                                                                    <w:left w:val="none" w:sz="0" w:space="0" w:color="auto"/>
                                                                    <w:bottom w:val="none" w:sz="0" w:space="0" w:color="auto"/>
                                                                    <w:right w:val="none" w:sz="0" w:space="0" w:color="auto"/>
                                                                  </w:divBdr>
                                                                  <w:divsChild>
                                                                    <w:div w:id="61764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483631">
                                                          <w:marLeft w:val="0"/>
                                                          <w:marRight w:val="0"/>
                                                          <w:marTop w:val="0"/>
                                                          <w:marBottom w:val="0"/>
                                                          <w:divBdr>
                                                            <w:top w:val="none" w:sz="0" w:space="0" w:color="auto"/>
                                                            <w:left w:val="none" w:sz="0" w:space="0" w:color="auto"/>
                                                            <w:bottom w:val="none" w:sz="0" w:space="0" w:color="auto"/>
                                                            <w:right w:val="none" w:sz="0" w:space="0" w:color="auto"/>
                                                          </w:divBdr>
                                                          <w:divsChild>
                                                            <w:div w:id="845749489">
                                                              <w:marLeft w:val="0"/>
                                                              <w:marRight w:val="0"/>
                                                              <w:marTop w:val="0"/>
                                                              <w:marBottom w:val="0"/>
                                                              <w:divBdr>
                                                                <w:top w:val="none" w:sz="0" w:space="0" w:color="auto"/>
                                                                <w:left w:val="none" w:sz="0" w:space="0" w:color="auto"/>
                                                                <w:bottom w:val="none" w:sz="0" w:space="0" w:color="auto"/>
                                                                <w:right w:val="none" w:sz="0" w:space="0" w:color="auto"/>
                                                              </w:divBdr>
                                                              <w:divsChild>
                                                                <w:div w:id="1304382621">
                                                                  <w:marLeft w:val="0"/>
                                                                  <w:marRight w:val="0"/>
                                                                  <w:marTop w:val="0"/>
                                                                  <w:marBottom w:val="0"/>
                                                                  <w:divBdr>
                                                                    <w:top w:val="none" w:sz="0" w:space="0" w:color="auto"/>
                                                                    <w:left w:val="none" w:sz="0" w:space="0" w:color="auto"/>
                                                                    <w:bottom w:val="none" w:sz="0" w:space="0" w:color="auto"/>
                                                                    <w:right w:val="none" w:sz="0" w:space="0" w:color="auto"/>
                                                                  </w:divBdr>
                                                                  <w:divsChild>
                                                                    <w:div w:id="211015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9381896">
                              <w:marLeft w:val="0"/>
                              <w:marRight w:val="0"/>
                              <w:marTop w:val="0"/>
                              <w:marBottom w:val="0"/>
                              <w:divBdr>
                                <w:top w:val="none" w:sz="0" w:space="0" w:color="auto"/>
                                <w:left w:val="none" w:sz="0" w:space="0" w:color="auto"/>
                                <w:bottom w:val="none" w:sz="0" w:space="0" w:color="auto"/>
                                <w:right w:val="none" w:sz="0" w:space="0" w:color="auto"/>
                              </w:divBdr>
                              <w:divsChild>
                                <w:div w:id="1225750483">
                                  <w:marLeft w:val="0"/>
                                  <w:marRight w:val="0"/>
                                  <w:marTop w:val="0"/>
                                  <w:marBottom w:val="0"/>
                                  <w:divBdr>
                                    <w:top w:val="none" w:sz="0" w:space="0" w:color="auto"/>
                                    <w:left w:val="none" w:sz="0" w:space="0" w:color="auto"/>
                                    <w:bottom w:val="none" w:sz="0" w:space="0" w:color="auto"/>
                                    <w:right w:val="none" w:sz="0" w:space="0" w:color="auto"/>
                                  </w:divBdr>
                                  <w:divsChild>
                                    <w:div w:id="1763069476">
                                      <w:marLeft w:val="0"/>
                                      <w:marRight w:val="0"/>
                                      <w:marTop w:val="0"/>
                                      <w:marBottom w:val="120"/>
                                      <w:divBdr>
                                        <w:top w:val="none" w:sz="0" w:space="0" w:color="auto"/>
                                        <w:left w:val="none" w:sz="0" w:space="0" w:color="auto"/>
                                        <w:bottom w:val="none" w:sz="0" w:space="0" w:color="auto"/>
                                        <w:right w:val="none" w:sz="0" w:space="0" w:color="auto"/>
                                      </w:divBdr>
                                      <w:divsChild>
                                        <w:div w:id="173292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537836">
                                  <w:marLeft w:val="0"/>
                                  <w:marRight w:val="0"/>
                                  <w:marTop w:val="0"/>
                                  <w:marBottom w:val="0"/>
                                  <w:divBdr>
                                    <w:top w:val="none" w:sz="0" w:space="0" w:color="auto"/>
                                    <w:left w:val="none" w:sz="0" w:space="0" w:color="auto"/>
                                    <w:bottom w:val="none" w:sz="0" w:space="0" w:color="auto"/>
                                    <w:right w:val="none" w:sz="0" w:space="0" w:color="auto"/>
                                  </w:divBdr>
                                  <w:divsChild>
                                    <w:div w:id="1193108446">
                                      <w:marLeft w:val="0"/>
                                      <w:marRight w:val="0"/>
                                      <w:marTop w:val="0"/>
                                      <w:marBottom w:val="0"/>
                                      <w:divBdr>
                                        <w:top w:val="none" w:sz="0" w:space="0" w:color="auto"/>
                                        <w:left w:val="none" w:sz="0" w:space="0" w:color="auto"/>
                                        <w:bottom w:val="none" w:sz="0" w:space="0" w:color="auto"/>
                                        <w:right w:val="none" w:sz="0" w:space="0" w:color="auto"/>
                                      </w:divBdr>
                                      <w:divsChild>
                                        <w:div w:id="1476338392">
                                          <w:marLeft w:val="0"/>
                                          <w:marRight w:val="0"/>
                                          <w:marTop w:val="0"/>
                                          <w:marBottom w:val="0"/>
                                          <w:divBdr>
                                            <w:top w:val="none" w:sz="0" w:space="0" w:color="auto"/>
                                            <w:left w:val="none" w:sz="0" w:space="0" w:color="auto"/>
                                            <w:bottom w:val="none" w:sz="0" w:space="0" w:color="auto"/>
                                            <w:right w:val="none" w:sz="0" w:space="0" w:color="auto"/>
                                          </w:divBdr>
                                          <w:divsChild>
                                            <w:div w:id="658774123">
                                              <w:marLeft w:val="0"/>
                                              <w:marRight w:val="0"/>
                                              <w:marTop w:val="0"/>
                                              <w:marBottom w:val="0"/>
                                              <w:divBdr>
                                                <w:top w:val="none" w:sz="0" w:space="0" w:color="auto"/>
                                                <w:left w:val="none" w:sz="0" w:space="0" w:color="auto"/>
                                                <w:bottom w:val="none" w:sz="0" w:space="0" w:color="auto"/>
                                                <w:right w:val="none" w:sz="0" w:space="0" w:color="auto"/>
                                              </w:divBdr>
                                              <w:divsChild>
                                                <w:div w:id="139537682">
                                                  <w:marLeft w:val="0"/>
                                                  <w:marRight w:val="0"/>
                                                  <w:marTop w:val="0"/>
                                                  <w:marBottom w:val="0"/>
                                                  <w:divBdr>
                                                    <w:top w:val="none" w:sz="0" w:space="0" w:color="auto"/>
                                                    <w:left w:val="none" w:sz="0" w:space="0" w:color="auto"/>
                                                    <w:bottom w:val="none" w:sz="0" w:space="0" w:color="auto"/>
                                                    <w:right w:val="none" w:sz="0" w:space="0" w:color="auto"/>
                                                  </w:divBdr>
                                                  <w:divsChild>
                                                    <w:div w:id="1521313913">
                                                      <w:marLeft w:val="0"/>
                                                      <w:marRight w:val="0"/>
                                                      <w:marTop w:val="0"/>
                                                      <w:marBottom w:val="0"/>
                                                      <w:divBdr>
                                                        <w:top w:val="none" w:sz="0" w:space="0" w:color="auto"/>
                                                        <w:left w:val="none" w:sz="0" w:space="0" w:color="auto"/>
                                                        <w:bottom w:val="none" w:sz="0" w:space="0" w:color="auto"/>
                                                        <w:right w:val="none" w:sz="0" w:space="0" w:color="auto"/>
                                                      </w:divBdr>
                                                    </w:div>
                                                  </w:divsChild>
                                                </w:div>
                                                <w:div w:id="1011106031">
                                                  <w:marLeft w:val="0"/>
                                                  <w:marRight w:val="0"/>
                                                  <w:marTop w:val="0"/>
                                                  <w:marBottom w:val="0"/>
                                                  <w:divBdr>
                                                    <w:top w:val="none" w:sz="0" w:space="0" w:color="auto"/>
                                                    <w:left w:val="none" w:sz="0" w:space="0" w:color="auto"/>
                                                    <w:bottom w:val="none" w:sz="0" w:space="0" w:color="auto"/>
                                                    <w:right w:val="none" w:sz="0" w:space="0" w:color="auto"/>
                                                  </w:divBdr>
                                                  <w:divsChild>
                                                    <w:div w:id="764305907">
                                                      <w:marLeft w:val="0"/>
                                                      <w:marRight w:val="0"/>
                                                      <w:marTop w:val="0"/>
                                                      <w:marBottom w:val="0"/>
                                                      <w:divBdr>
                                                        <w:top w:val="none" w:sz="0" w:space="0" w:color="auto"/>
                                                        <w:left w:val="none" w:sz="0" w:space="0" w:color="auto"/>
                                                        <w:bottom w:val="none" w:sz="0" w:space="0" w:color="auto"/>
                                                        <w:right w:val="none" w:sz="0" w:space="0" w:color="auto"/>
                                                      </w:divBdr>
                                                      <w:divsChild>
                                                        <w:div w:id="251476264">
                                                          <w:marLeft w:val="0"/>
                                                          <w:marRight w:val="0"/>
                                                          <w:marTop w:val="0"/>
                                                          <w:marBottom w:val="0"/>
                                                          <w:divBdr>
                                                            <w:top w:val="none" w:sz="0" w:space="0" w:color="auto"/>
                                                            <w:left w:val="none" w:sz="0" w:space="0" w:color="auto"/>
                                                            <w:bottom w:val="none" w:sz="0" w:space="0" w:color="auto"/>
                                                            <w:right w:val="none" w:sz="0" w:space="0" w:color="auto"/>
                                                          </w:divBdr>
                                                          <w:divsChild>
                                                            <w:div w:id="1869950659">
                                                              <w:marLeft w:val="0"/>
                                                              <w:marRight w:val="0"/>
                                                              <w:marTop w:val="0"/>
                                                              <w:marBottom w:val="0"/>
                                                              <w:divBdr>
                                                                <w:top w:val="none" w:sz="0" w:space="0" w:color="auto"/>
                                                                <w:left w:val="none" w:sz="0" w:space="0" w:color="auto"/>
                                                                <w:bottom w:val="none" w:sz="0" w:space="0" w:color="auto"/>
                                                                <w:right w:val="none" w:sz="0" w:space="0" w:color="auto"/>
                                                              </w:divBdr>
                                                              <w:divsChild>
                                                                <w:div w:id="324170946">
                                                                  <w:marLeft w:val="0"/>
                                                                  <w:marRight w:val="0"/>
                                                                  <w:marTop w:val="0"/>
                                                                  <w:marBottom w:val="0"/>
                                                                  <w:divBdr>
                                                                    <w:top w:val="none" w:sz="0" w:space="0" w:color="auto"/>
                                                                    <w:left w:val="none" w:sz="0" w:space="0" w:color="auto"/>
                                                                    <w:bottom w:val="none" w:sz="0" w:space="0" w:color="auto"/>
                                                                    <w:right w:val="none" w:sz="0" w:space="0" w:color="auto"/>
                                                                  </w:divBdr>
                                                                  <w:divsChild>
                                                                    <w:div w:id="21281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071187">
                                                          <w:marLeft w:val="0"/>
                                                          <w:marRight w:val="0"/>
                                                          <w:marTop w:val="0"/>
                                                          <w:marBottom w:val="0"/>
                                                          <w:divBdr>
                                                            <w:top w:val="none" w:sz="0" w:space="0" w:color="auto"/>
                                                            <w:left w:val="none" w:sz="0" w:space="0" w:color="auto"/>
                                                            <w:bottom w:val="none" w:sz="0" w:space="0" w:color="auto"/>
                                                            <w:right w:val="none" w:sz="0" w:space="0" w:color="auto"/>
                                                          </w:divBdr>
                                                          <w:divsChild>
                                                            <w:div w:id="834151521">
                                                              <w:marLeft w:val="0"/>
                                                              <w:marRight w:val="0"/>
                                                              <w:marTop w:val="0"/>
                                                              <w:marBottom w:val="0"/>
                                                              <w:divBdr>
                                                                <w:top w:val="none" w:sz="0" w:space="0" w:color="auto"/>
                                                                <w:left w:val="none" w:sz="0" w:space="0" w:color="auto"/>
                                                                <w:bottom w:val="none" w:sz="0" w:space="0" w:color="auto"/>
                                                                <w:right w:val="none" w:sz="0" w:space="0" w:color="auto"/>
                                                              </w:divBdr>
                                                              <w:divsChild>
                                                                <w:div w:id="1238784735">
                                                                  <w:marLeft w:val="0"/>
                                                                  <w:marRight w:val="0"/>
                                                                  <w:marTop w:val="0"/>
                                                                  <w:marBottom w:val="0"/>
                                                                  <w:divBdr>
                                                                    <w:top w:val="none" w:sz="0" w:space="0" w:color="auto"/>
                                                                    <w:left w:val="none" w:sz="0" w:space="0" w:color="auto"/>
                                                                    <w:bottom w:val="none" w:sz="0" w:space="0" w:color="auto"/>
                                                                    <w:right w:val="none" w:sz="0" w:space="0" w:color="auto"/>
                                                                  </w:divBdr>
                                                                  <w:divsChild>
                                                                    <w:div w:id="31761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357168">
                                                          <w:marLeft w:val="0"/>
                                                          <w:marRight w:val="0"/>
                                                          <w:marTop w:val="0"/>
                                                          <w:marBottom w:val="0"/>
                                                          <w:divBdr>
                                                            <w:top w:val="none" w:sz="0" w:space="0" w:color="auto"/>
                                                            <w:left w:val="none" w:sz="0" w:space="0" w:color="auto"/>
                                                            <w:bottom w:val="none" w:sz="0" w:space="0" w:color="auto"/>
                                                            <w:right w:val="none" w:sz="0" w:space="0" w:color="auto"/>
                                                          </w:divBdr>
                                                          <w:divsChild>
                                                            <w:div w:id="355086141">
                                                              <w:marLeft w:val="0"/>
                                                              <w:marRight w:val="0"/>
                                                              <w:marTop w:val="0"/>
                                                              <w:marBottom w:val="0"/>
                                                              <w:divBdr>
                                                                <w:top w:val="none" w:sz="0" w:space="0" w:color="auto"/>
                                                                <w:left w:val="none" w:sz="0" w:space="0" w:color="auto"/>
                                                                <w:bottom w:val="none" w:sz="0" w:space="0" w:color="auto"/>
                                                                <w:right w:val="none" w:sz="0" w:space="0" w:color="auto"/>
                                                              </w:divBdr>
                                                              <w:divsChild>
                                                                <w:div w:id="1695304089">
                                                                  <w:marLeft w:val="0"/>
                                                                  <w:marRight w:val="0"/>
                                                                  <w:marTop w:val="0"/>
                                                                  <w:marBottom w:val="0"/>
                                                                  <w:divBdr>
                                                                    <w:top w:val="none" w:sz="0" w:space="0" w:color="auto"/>
                                                                    <w:left w:val="none" w:sz="0" w:space="0" w:color="auto"/>
                                                                    <w:bottom w:val="none" w:sz="0" w:space="0" w:color="auto"/>
                                                                    <w:right w:val="none" w:sz="0" w:space="0" w:color="auto"/>
                                                                  </w:divBdr>
                                                                  <w:divsChild>
                                                                    <w:div w:id="88980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005716978">
      <w:bodyDiv w:val="1"/>
      <w:marLeft w:val="0"/>
      <w:marRight w:val="0"/>
      <w:marTop w:val="0"/>
      <w:marBottom w:val="0"/>
      <w:divBdr>
        <w:top w:val="none" w:sz="0" w:space="0" w:color="auto"/>
        <w:left w:val="none" w:sz="0" w:space="0" w:color="auto"/>
        <w:bottom w:val="none" w:sz="0" w:space="0" w:color="auto"/>
        <w:right w:val="none" w:sz="0" w:space="0" w:color="auto"/>
      </w:divBdr>
    </w:div>
    <w:div w:id="1034304751">
      <w:bodyDiv w:val="1"/>
      <w:marLeft w:val="0"/>
      <w:marRight w:val="0"/>
      <w:marTop w:val="0"/>
      <w:marBottom w:val="0"/>
      <w:divBdr>
        <w:top w:val="none" w:sz="0" w:space="0" w:color="auto"/>
        <w:left w:val="none" w:sz="0" w:space="0" w:color="auto"/>
        <w:bottom w:val="none" w:sz="0" w:space="0" w:color="auto"/>
        <w:right w:val="none" w:sz="0" w:space="0" w:color="auto"/>
      </w:divBdr>
    </w:div>
    <w:div w:id="1083380675">
      <w:bodyDiv w:val="1"/>
      <w:marLeft w:val="0"/>
      <w:marRight w:val="0"/>
      <w:marTop w:val="0"/>
      <w:marBottom w:val="0"/>
      <w:divBdr>
        <w:top w:val="none" w:sz="0" w:space="0" w:color="auto"/>
        <w:left w:val="none" w:sz="0" w:space="0" w:color="auto"/>
        <w:bottom w:val="none" w:sz="0" w:space="0" w:color="auto"/>
        <w:right w:val="none" w:sz="0" w:space="0" w:color="auto"/>
      </w:divBdr>
    </w:div>
    <w:div w:id="1085762667">
      <w:bodyDiv w:val="1"/>
      <w:marLeft w:val="0"/>
      <w:marRight w:val="0"/>
      <w:marTop w:val="0"/>
      <w:marBottom w:val="0"/>
      <w:divBdr>
        <w:top w:val="none" w:sz="0" w:space="0" w:color="auto"/>
        <w:left w:val="none" w:sz="0" w:space="0" w:color="auto"/>
        <w:bottom w:val="none" w:sz="0" w:space="0" w:color="auto"/>
        <w:right w:val="none" w:sz="0" w:space="0" w:color="auto"/>
      </w:divBdr>
    </w:div>
    <w:div w:id="1327397692">
      <w:bodyDiv w:val="1"/>
      <w:marLeft w:val="0"/>
      <w:marRight w:val="0"/>
      <w:marTop w:val="0"/>
      <w:marBottom w:val="0"/>
      <w:divBdr>
        <w:top w:val="none" w:sz="0" w:space="0" w:color="auto"/>
        <w:left w:val="none" w:sz="0" w:space="0" w:color="auto"/>
        <w:bottom w:val="none" w:sz="0" w:space="0" w:color="auto"/>
        <w:right w:val="none" w:sz="0" w:space="0" w:color="auto"/>
      </w:divBdr>
    </w:div>
    <w:div w:id="1328170424">
      <w:bodyDiv w:val="1"/>
      <w:marLeft w:val="0"/>
      <w:marRight w:val="0"/>
      <w:marTop w:val="0"/>
      <w:marBottom w:val="0"/>
      <w:divBdr>
        <w:top w:val="none" w:sz="0" w:space="0" w:color="auto"/>
        <w:left w:val="none" w:sz="0" w:space="0" w:color="auto"/>
        <w:bottom w:val="none" w:sz="0" w:space="0" w:color="auto"/>
        <w:right w:val="none" w:sz="0" w:space="0" w:color="auto"/>
      </w:divBdr>
    </w:div>
    <w:div w:id="1330331384">
      <w:bodyDiv w:val="1"/>
      <w:marLeft w:val="0"/>
      <w:marRight w:val="0"/>
      <w:marTop w:val="0"/>
      <w:marBottom w:val="0"/>
      <w:divBdr>
        <w:top w:val="none" w:sz="0" w:space="0" w:color="auto"/>
        <w:left w:val="none" w:sz="0" w:space="0" w:color="auto"/>
        <w:bottom w:val="none" w:sz="0" w:space="0" w:color="auto"/>
        <w:right w:val="none" w:sz="0" w:space="0" w:color="auto"/>
      </w:divBdr>
    </w:div>
    <w:div w:id="1417484708">
      <w:bodyDiv w:val="1"/>
      <w:marLeft w:val="0"/>
      <w:marRight w:val="0"/>
      <w:marTop w:val="0"/>
      <w:marBottom w:val="0"/>
      <w:divBdr>
        <w:top w:val="none" w:sz="0" w:space="0" w:color="auto"/>
        <w:left w:val="none" w:sz="0" w:space="0" w:color="auto"/>
        <w:bottom w:val="none" w:sz="0" w:space="0" w:color="auto"/>
        <w:right w:val="none" w:sz="0" w:space="0" w:color="auto"/>
      </w:divBdr>
    </w:div>
    <w:div w:id="1481000395">
      <w:bodyDiv w:val="1"/>
      <w:marLeft w:val="0"/>
      <w:marRight w:val="0"/>
      <w:marTop w:val="0"/>
      <w:marBottom w:val="0"/>
      <w:divBdr>
        <w:top w:val="none" w:sz="0" w:space="0" w:color="auto"/>
        <w:left w:val="none" w:sz="0" w:space="0" w:color="auto"/>
        <w:bottom w:val="none" w:sz="0" w:space="0" w:color="auto"/>
        <w:right w:val="none" w:sz="0" w:space="0" w:color="auto"/>
      </w:divBdr>
    </w:div>
    <w:div w:id="1564098809">
      <w:bodyDiv w:val="1"/>
      <w:marLeft w:val="0"/>
      <w:marRight w:val="0"/>
      <w:marTop w:val="0"/>
      <w:marBottom w:val="0"/>
      <w:divBdr>
        <w:top w:val="none" w:sz="0" w:space="0" w:color="auto"/>
        <w:left w:val="none" w:sz="0" w:space="0" w:color="auto"/>
        <w:bottom w:val="none" w:sz="0" w:space="0" w:color="auto"/>
        <w:right w:val="none" w:sz="0" w:space="0" w:color="auto"/>
      </w:divBdr>
      <w:divsChild>
        <w:div w:id="2016762211">
          <w:marLeft w:val="0"/>
          <w:marRight w:val="0"/>
          <w:marTop w:val="0"/>
          <w:marBottom w:val="0"/>
          <w:divBdr>
            <w:top w:val="none" w:sz="0" w:space="0" w:color="auto"/>
            <w:left w:val="none" w:sz="0" w:space="0" w:color="auto"/>
            <w:bottom w:val="none" w:sz="0" w:space="0" w:color="auto"/>
            <w:right w:val="none" w:sz="0" w:space="0" w:color="auto"/>
          </w:divBdr>
          <w:divsChild>
            <w:div w:id="1657949029">
              <w:marLeft w:val="0"/>
              <w:marRight w:val="0"/>
              <w:marTop w:val="0"/>
              <w:marBottom w:val="0"/>
              <w:divBdr>
                <w:top w:val="none" w:sz="0" w:space="0" w:color="auto"/>
                <w:left w:val="none" w:sz="0" w:space="0" w:color="auto"/>
                <w:bottom w:val="none" w:sz="0" w:space="0" w:color="auto"/>
                <w:right w:val="none" w:sz="0" w:space="0" w:color="auto"/>
              </w:divBdr>
              <w:divsChild>
                <w:div w:id="1817792627">
                  <w:marLeft w:val="0"/>
                  <w:marRight w:val="0"/>
                  <w:marTop w:val="0"/>
                  <w:marBottom w:val="0"/>
                  <w:divBdr>
                    <w:top w:val="none" w:sz="0" w:space="0" w:color="auto"/>
                    <w:left w:val="none" w:sz="0" w:space="0" w:color="auto"/>
                    <w:bottom w:val="none" w:sz="0" w:space="0" w:color="auto"/>
                    <w:right w:val="none" w:sz="0" w:space="0" w:color="auto"/>
                  </w:divBdr>
                  <w:divsChild>
                    <w:div w:id="419789075">
                      <w:marLeft w:val="0"/>
                      <w:marRight w:val="0"/>
                      <w:marTop w:val="0"/>
                      <w:marBottom w:val="0"/>
                      <w:divBdr>
                        <w:top w:val="none" w:sz="0" w:space="0" w:color="auto"/>
                        <w:left w:val="none" w:sz="0" w:space="0" w:color="auto"/>
                        <w:bottom w:val="none" w:sz="0" w:space="0" w:color="auto"/>
                        <w:right w:val="none" w:sz="0" w:space="0" w:color="auto"/>
                      </w:divBdr>
                      <w:divsChild>
                        <w:div w:id="1438211930">
                          <w:marLeft w:val="0"/>
                          <w:marRight w:val="0"/>
                          <w:marTop w:val="0"/>
                          <w:marBottom w:val="0"/>
                          <w:divBdr>
                            <w:top w:val="none" w:sz="0" w:space="0" w:color="auto"/>
                            <w:left w:val="none" w:sz="0" w:space="0" w:color="auto"/>
                            <w:bottom w:val="none" w:sz="0" w:space="0" w:color="auto"/>
                            <w:right w:val="none" w:sz="0" w:space="0" w:color="auto"/>
                          </w:divBdr>
                          <w:divsChild>
                            <w:div w:id="58662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6839981">
      <w:bodyDiv w:val="1"/>
      <w:marLeft w:val="0"/>
      <w:marRight w:val="0"/>
      <w:marTop w:val="0"/>
      <w:marBottom w:val="0"/>
      <w:divBdr>
        <w:top w:val="none" w:sz="0" w:space="0" w:color="auto"/>
        <w:left w:val="none" w:sz="0" w:space="0" w:color="auto"/>
        <w:bottom w:val="none" w:sz="0" w:space="0" w:color="auto"/>
        <w:right w:val="none" w:sz="0" w:space="0" w:color="auto"/>
      </w:divBdr>
      <w:divsChild>
        <w:div w:id="1733506948">
          <w:marLeft w:val="0"/>
          <w:marRight w:val="0"/>
          <w:marTop w:val="0"/>
          <w:marBottom w:val="0"/>
          <w:divBdr>
            <w:top w:val="none" w:sz="0" w:space="0" w:color="auto"/>
            <w:left w:val="none" w:sz="0" w:space="0" w:color="auto"/>
            <w:bottom w:val="none" w:sz="0" w:space="0" w:color="auto"/>
            <w:right w:val="none" w:sz="0" w:space="0" w:color="auto"/>
          </w:divBdr>
        </w:div>
      </w:divsChild>
    </w:div>
    <w:div w:id="1682509166">
      <w:bodyDiv w:val="1"/>
      <w:marLeft w:val="0"/>
      <w:marRight w:val="0"/>
      <w:marTop w:val="0"/>
      <w:marBottom w:val="0"/>
      <w:divBdr>
        <w:top w:val="none" w:sz="0" w:space="0" w:color="auto"/>
        <w:left w:val="none" w:sz="0" w:space="0" w:color="auto"/>
        <w:bottom w:val="none" w:sz="0" w:space="0" w:color="auto"/>
        <w:right w:val="none" w:sz="0" w:space="0" w:color="auto"/>
      </w:divBdr>
    </w:div>
    <w:div w:id="1729495153">
      <w:bodyDiv w:val="1"/>
      <w:marLeft w:val="0"/>
      <w:marRight w:val="0"/>
      <w:marTop w:val="0"/>
      <w:marBottom w:val="0"/>
      <w:divBdr>
        <w:top w:val="none" w:sz="0" w:space="0" w:color="auto"/>
        <w:left w:val="none" w:sz="0" w:space="0" w:color="auto"/>
        <w:bottom w:val="none" w:sz="0" w:space="0" w:color="auto"/>
        <w:right w:val="none" w:sz="0" w:space="0" w:color="auto"/>
      </w:divBdr>
    </w:div>
    <w:div w:id="1791388071">
      <w:bodyDiv w:val="1"/>
      <w:marLeft w:val="0"/>
      <w:marRight w:val="0"/>
      <w:marTop w:val="0"/>
      <w:marBottom w:val="0"/>
      <w:divBdr>
        <w:top w:val="none" w:sz="0" w:space="0" w:color="auto"/>
        <w:left w:val="none" w:sz="0" w:space="0" w:color="auto"/>
        <w:bottom w:val="none" w:sz="0" w:space="0" w:color="auto"/>
        <w:right w:val="none" w:sz="0" w:space="0" w:color="auto"/>
      </w:divBdr>
    </w:div>
    <w:div w:id="1843818281">
      <w:bodyDiv w:val="1"/>
      <w:marLeft w:val="0"/>
      <w:marRight w:val="0"/>
      <w:marTop w:val="0"/>
      <w:marBottom w:val="0"/>
      <w:divBdr>
        <w:top w:val="none" w:sz="0" w:space="0" w:color="auto"/>
        <w:left w:val="none" w:sz="0" w:space="0" w:color="auto"/>
        <w:bottom w:val="none" w:sz="0" w:space="0" w:color="auto"/>
        <w:right w:val="none" w:sz="0" w:space="0" w:color="auto"/>
      </w:divBdr>
    </w:div>
    <w:div w:id="1847943104">
      <w:bodyDiv w:val="1"/>
      <w:marLeft w:val="0"/>
      <w:marRight w:val="0"/>
      <w:marTop w:val="0"/>
      <w:marBottom w:val="0"/>
      <w:divBdr>
        <w:top w:val="none" w:sz="0" w:space="0" w:color="auto"/>
        <w:left w:val="none" w:sz="0" w:space="0" w:color="auto"/>
        <w:bottom w:val="none" w:sz="0" w:space="0" w:color="auto"/>
        <w:right w:val="none" w:sz="0" w:space="0" w:color="auto"/>
      </w:divBdr>
    </w:div>
    <w:div w:id="1861774029">
      <w:bodyDiv w:val="1"/>
      <w:marLeft w:val="0"/>
      <w:marRight w:val="0"/>
      <w:marTop w:val="0"/>
      <w:marBottom w:val="0"/>
      <w:divBdr>
        <w:top w:val="none" w:sz="0" w:space="0" w:color="auto"/>
        <w:left w:val="none" w:sz="0" w:space="0" w:color="auto"/>
        <w:bottom w:val="none" w:sz="0" w:space="0" w:color="auto"/>
        <w:right w:val="none" w:sz="0" w:space="0" w:color="auto"/>
      </w:divBdr>
    </w:div>
    <w:div w:id="1888027674">
      <w:bodyDiv w:val="1"/>
      <w:marLeft w:val="0"/>
      <w:marRight w:val="0"/>
      <w:marTop w:val="0"/>
      <w:marBottom w:val="0"/>
      <w:divBdr>
        <w:top w:val="none" w:sz="0" w:space="0" w:color="auto"/>
        <w:left w:val="none" w:sz="0" w:space="0" w:color="auto"/>
        <w:bottom w:val="none" w:sz="0" w:space="0" w:color="auto"/>
        <w:right w:val="none" w:sz="0" w:space="0" w:color="auto"/>
      </w:divBdr>
    </w:div>
    <w:div w:id="1931501874">
      <w:bodyDiv w:val="1"/>
      <w:marLeft w:val="0"/>
      <w:marRight w:val="0"/>
      <w:marTop w:val="0"/>
      <w:marBottom w:val="0"/>
      <w:divBdr>
        <w:top w:val="none" w:sz="0" w:space="0" w:color="auto"/>
        <w:left w:val="none" w:sz="0" w:space="0" w:color="auto"/>
        <w:bottom w:val="none" w:sz="0" w:space="0" w:color="auto"/>
        <w:right w:val="none" w:sz="0" w:space="0" w:color="auto"/>
      </w:divBdr>
    </w:div>
    <w:div w:id="1936478779">
      <w:bodyDiv w:val="1"/>
      <w:marLeft w:val="0"/>
      <w:marRight w:val="0"/>
      <w:marTop w:val="0"/>
      <w:marBottom w:val="0"/>
      <w:divBdr>
        <w:top w:val="none" w:sz="0" w:space="0" w:color="auto"/>
        <w:left w:val="none" w:sz="0" w:space="0" w:color="auto"/>
        <w:bottom w:val="none" w:sz="0" w:space="0" w:color="auto"/>
        <w:right w:val="none" w:sz="0" w:space="0" w:color="auto"/>
      </w:divBdr>
    </w:div>
    <w:div w:id="1938519276">
      <w:bodyDiv w:val="1"/>
      <w:marLeft w:val="0"/>
      <w:marRight w:val="0"/>
      <w:marTop w:val="0"/>
      <w:marBottom w:val="0"/>
      <w:divBdr>
        <w:top w:val="none" w:sz="0" w:space="0" w:color="auto"/>
        <w:left w:val="none" w:sz="0" w:space="0" w:color="auto"/>
        <w:bottom w:val="none" w:sz="0" w:space="0" w:color="auto"/>
        <w:right w:val="none" w:sz="0" w:space="0" w:color="auto"/>
      </w:divBdr>
    </w:div>
    <w:div w:id="1962833013">
      <w:bodyDiv w:val="1"/>
      <w:marLeft w:val="0"/>
      <w:marRight w:val="0"/>
      <w:marTop w:val="0"/>
      <w:marBottom w:val="0"/>
      <w:divBdr>
        <w:top w:val="none" w:sz="0" w:space="0" w:color="auto"/>
        <w:left w:val="none" w:sz="0" w:space="0" w:color="auto"/>
        <w:bottom w:val="none" w:sz="0" w:space="0" w:color="auto"/>
        <w:right w:val="none" w:sz="0" w:space="0" w:color="auto"/>
      </w:divBdr>
    </w:div>
    <w:div w:id="1969046830">
      <w:bodyDiv w:val="1"/>
      <w:marLeft w:val="0"/>
      <w:marRight w:val="0"/>
      <w:marTop w:val="0"/>
      <w:marBottom w:val="0"/>
      <w:divBdr>
        <w:top w:val="none" w:sz="0" w:space="0" w:color="auto"/>
        <w:left w:val="none" w:sz="0" w:space="0" w:color="auto"/>
        <w:bottom w:val="none" w:sz="0" w:space="0" w:color="auto"/>
        <w:right w:val="none" w:sz="0" w:space="0" w:color="auto"/>
      </w:divBdr>
    </w:div>
    <w:div w:id="1978221957">
      <w:bodyDiv w:val="1"/>
      <w:marLeft w:val="0"/>
      <w:marRight w:val="0"/>
      <w:marTop w:val="0"/>
      <w:marBottom w:val="0"/>
      <w:divBdr>
        <w:top w:val="none" w:sz="0" w:space="0" w:color="auto"/>
        <w:left w:val="none" w:sz="0" w:space="0" w:color="auto"/>
        <w:bottom w:val="none" w:sz="0" w:space="0" w:color="auto"/>
        <w:right w:val="none" w:sz="0" w:space="0" w:color="auto"/>
      </w:divBdr>
      <w:divsChild>
        <w:div w:id="1994681641">
          <w:marLeft w:val="0"/>
          <w:marRight w:val="0"/>
          <w:marTop w:val="0"/>
          <w:marBottom w:val="0"/>
          <w:divBdr>
            <w:top w:val="none" w:sz="0" w:space="0" w:color="auto"/>
            <w:left w:val="none" w:sz="0" w:space="0" w:color="auto"/>
            <w:bottom w:val="none" w:sz="0" w:space="0" w:color="auto"/>
            <w:right w:val="none" w:sz="0" w:space="0" w:color="auto"/>
          </w:divBdr>
        </w:div>
      </w:divsChild>
    </w:div>
    <w:div w:id="1987004805">
      <w:bodyDiv w:val="1"/>
      <w:marLeft w:val="0"/>
      <w:marRight w:val="0"/>
      <w:marTop w:val="0"/>
      <w:marBottom w:val="0"/>
      <w:divBdr>
        <w:top w:val="none" w:sz="0" w:space="0" w:color="auto"/>
        <w:left w:val="none" w:sz="0" w:space="0" w:color="auto"/>
        <w:bottom w:val="none" w:sz="0" w:space="0" w:color="auto"/>
        <w:right w:val="none" w:sz="0" w:space="0" w:color="auto"/>
      </w:divBdr>
    </w:div>
    <w:div w:id="2003701778">
      <w:bodyDiv w:val="1"/>
      <w:marLeft w:val="0"/>
      <w:marRight w:val="0"/>
      <w:marTop w:val="0"/>
      <w:marBottom w:val="0"/>
      <w:divBdr>
        <w:top w:val="none" w:sz="0" w:space="0" w:color="auto"/>
        <w:left w:val="none" w:sz="0" w:space="0" w:color="auto"/>
        <w:bottom w:val="none" w:sz="0" w:space="0" w:color="auto"/>
        <w:right w:val="none" w:sz="0" w:space="0" w:color="auto"/>
      </w:divBdr>
    </w:div>
    <w:div w:id="2130851564">
      <w:bodyDiv w:val="1"/>
      <w:marLeft w:val="0"/>
      <w:marRight w:val="0"/>
      <w:marTop w:val="0"/>
      <w:marBottom w:val="0"/>
      <w:divBdr>
        <w:top w:val="none" w:sz="0" w:space="0" w:color="auto"/>
        <w:left w:val="none" w:sz="0" w:space="0" w:color="auto"/>
        <w:bottom w:val="none" w:sz="0" w:space="0" w:color="auto"/>
        <w:right w:val="none" w:sz="0" w:space="0" w:color="auto"/>
      </w:divBdr>
    </w:div>
    <w:div w:id="213490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jbe.fcu.edu.tw/assets/ijbe/past_issue/No.18-3/pdf/vol_18-3-4.pdf" TargetMode="External"/><Relationship Id="rId13" Type="http://schemas.openxmlformats.org/officeDocument/2006/relationships/hyperlink" Target="https://www.researchgate.net/profile/Adri-Ridder/publication/369723213_Accounts_Payable_Management/links/67bb1955461fb56424e76018/Accounts-Payable-Management.pdf" TargetMode="External"/><Relationship Id="rId18" Type="http://schemas.openxmlformats.org/officeDocument/2006/relationships/hyperlink" Target="https://doi.org/10.1108/RAF-01-2017-0001" TargetMode="External"/><Relationship Id="rId26" Type="http://schemas.openxmlformats.org/officeDocument/2006/relationships/hyperlink" Target="https://www.igi-global.com/gateway/article/full-text-pdf/319974&amp;riu=true" TargetMode="External"/><Relationship Id="rId3" Type="http://schemas.openxmlformats.org/officeDocument/2006/relationships/styles" Target="styles.xml"/><Relationship Id="rId21" Type="http://schemas.openxmlformats.org/officeDocument/2006/relationships/hyperlink" Target="https://papers.ssrn.com/sol3/papers.cfm?abstract_id=3838158" TargetMode="External"/><Relationship Id="rId7" Type="http://schemas.openxmlformats.org/officeDocument/2006/relationships/endnotes" Target="endnotes.xml"/><Relationship Id="rId12" Type="http://schemas.openxmlformats.org/officeDocument/2006/relationships/hyperlink" Target="https://www.mdpi.com/1911-8074/18/8/465" TargetMode="External"/><Relationship Id="rId17" Type="http://schemas.openxmlformats.org/officeDocument/2006/relationships/hyperlink" Target="https://dergipark.org.tr/en/download/article-file/1182048" TargetMode="External"/><Relationship Id="rId25" Type="http://schemas.openxmlformats.org/officeDocument/2006/relationships/hyperlink" Target="https://www.researchgate.net/profile/Chnar-Rashid/publication/348686551_THE_EFFICIENCY_OF_FINANCIAL_RATIOS_ANALYSIS_TO_EVALUATE_COMPANY'S_PROFITABILITY/links/600ad9df92851c13fe2b24ba/THE-EFFICIENCY-OF-FINANCIAL-RATIOS-ANALYSIS-TO-EVALUATE-COMPANYS-PROFITABILITY.pdf" TargetMode="External"/><Relationship Id="rId2" Type="http://schemas.openxmlformats.org/officeDocument/2006/relationships/numbering" Target="numbering.xml"/><Relationship Id="rId16" Type="http://schemas.openxmlformats.org/officeDocument/2006/relationships/hyperlink" Target="https://faculty.wharton.upenn.edu/wp-content/uploads/2016/11/Restructuring-and-Divestitures.pdf" TargetMode="External"/><Relationship Id="rId20" Type="http://schemas.openxmlformats.org/officeDocument/2006/relationships/hyperlink" Target="https://academic.oup.com/rfs/article-abstract/34/4/1789/589742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10.1177/13540661211001425" TargetMode="External"/><Relationship Id="rId24" Type="http://schemas.openxmlformats.org/officeDocument/2006/relationships/hyperlink" Target="https://books.google.co.in/books?hl=en&amp;lr=&amp;id=IDT6DwAAQBAJ&amp;oi=fnd&amp;pg=PR13&amp;dq=importance+of+financial+statement+analysis&amp;ots=uKglaXsdgY&amp;sig=drFiY9MPsiC76NBQjnDxH2T3do0&amp;redir_esc=y" TargetMode="External"/><Relationship Id="rId5" Type="http://schemas.openxmlformats.org/officeDocument/2006/relationships/webSettings" Target="webSettings.xml"/><Relationship Id="rId15" Type="http://schemas.openxmlformats.org/officeDocument/2006/relationships/hyperlink" Target="https://www.researchgate.net/profile/Maria-Heder/publication/345902413_Knowledge_transfer_as_a_condition_of_employee_dedication/links/5fb1547d92851cf24cd30133/Knowledge-transfer-as-a-condition-of-employee-dedication.pdf" TargetMode="External"/><Relationship Id="rId23" Type="http://schemas.openxmlformats.org/officeDocument/2006/relationships/hyperlink" Target="https://ieeexplore.ieee.org/stamp/stamp.jsp?arnumber=8928492" TargetMode="External"/><Relationship Id="rId28" Type="http://schemas.openxmlformats.org/officeDocument/2006/relationships/fontTable" Target="fontTable.xml"/><Relationship Id="rId10" Type="http://schemas.openxmlformats.org/officeDocument/2006/relationships/hyperlink" Target="https://papers.ssrn.com/sol3/papers.cfm?abstract_id=5004465" TargetMode="External"/><Relationship Id="rId19" Type="http://schemas.openxmlformats.org/officeDocument/2006/relationships/hyperlink" Target="https://pubsonline.informs.org/doi/full/10.1287/mnsc.2021.02755" TargetMode="External"/><Relationship Id="rId4" Type="http://schemas.openxmlformats.org/officeDocument/2006/relationships/settings" Target="settings.xml"/><Relationship Id="rId9" Type="http://schemas.openxmlformats.org/officeDocument/2006/relationships/hyperlink" Target="http://dx.doi.org/10.6007/IJARBSS/v12-i11/15276" TargetMode="External"/><Relationship Id="rId14" Type="http://schemas.openxmlformats.org/officeDocument/2006/relationships/hyperlink" Target="https://www.atlantis-press.com/proceedings/febm-20/125948439" TargetMode="External"/><Relationship Id="rId22" Type="http://schemas.openxmlformats.org/officeDocument/2006/relationships/hyperlink" Target="https://papers.ssrn.com/sol3/papers.cfm?abstract_id=458466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3AE609-3945-4F34-A6FD-B9236E8EF3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Pages>
  <Words>7468</Words>
  <Characters>42568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Bogdan Alexandru</cp:lastModifiedBy>
  <cp:revision>87</cp:revision>
  <dcterms:created xsi:type="dcterms:W3CDTF">2025-11-18T09:44:00Z</dcterms:created>
  <dcterms:modified xsi:type="dcterms:W3CDTF">2025-11-30T19:14:00Z</dcterms:modified>
</cp:coreProperties>
</file>