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2693" w:rsidRPr="00821096" w:rsidRDefault="00612693" w:rsidP="00612693">
      <w:pPr>
        <w:jc w:val="center"/>
        <w:rPr>
          <w:rFonts w:cs="Arial"/>
        </w:rPr>
      </w:pPr>
      <w:r w:rsidRPr="00821096">
        <w:rPr>
          <w:rFonts w:cs="Arial"/>
          <w:noProof/>
        </w:rPr>
        <w:drawing>
          <wp:inline distT="0" distB="0" distL="0" distR="0" wp14:anchorId="6E65697B" wp14:editId="438C822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821096">
        <w:rPr>
          <w:rFonts w:cs="Arial"/>
        </w:rPr>
        <w:fldChar w:fldCharType="begin"/>
      </w:r>
      <w:r w:rsidRPr="00821096">
        <w:rPr>
          <w:rFonts w:cs="Arial"/>
        </w:rPr>
        <w:instrText xml:space="preserve"> INCLUDEPICTURE "C:\\Users\\AzZedin01\\Library\\Group Containers\\UBF8T346G9.ms\\WebArchiveCopyPasteTempFiles\\com.microsoft.Word\\8P2xdp3q1g646AAAAAElFTkSuQmCC" \* MERGEFORMAT </w:instrText>
      </w:r>
      <w:r w:rsidRPr="00821096">
        <w:rPr>
          <w:rFonts w:cs="Arial"/>
        </w:rPr>
        <w:fldChar w:fldCharType="end"/>
      </w:r>
    </w:p>
    <w:p w:rsidR="00612693" w:rsidRPr="00821096" w:rsidRDefault="00612693" w:rsidP="00612693">
      <w:pPr>
        <w:rPr>
          <w:rFonts w:cs="Arial"/>
        </w:rPr>
      </w:pPr>
    </w:p>
    <w:p w:rsidR="00612693" w:rsidRPr="00821096" w:rsidRDefault="00612693" w:rsidP="00612693">
      <w:pPr>
        <w:jc w:val="center"/>
        <w:rPr>
          <w:rFonts w:cs="Arial"/>
        </w:rPr>
      </w:pPr>
    </w:p>
    <w:p w:rsidR="00612693" w:rsidRPr="00821096" w:rsidRDefault="00612693" w:rsidP="00612693">
      <w:pPr>
        <w:jc w:val="center"/>
        <w:rPr>
          <w:rFonts w:cs="Arial"/>
          <w:b/>
          <w:bCs/>
          <w:sz w:val="28"/>
          <w:szCs w:val="28"/>
        </w:rPr>
      </w:pPr>
      <w:r w:rsidRPr="00821096">
        <w:rPr>
          <w:rFonts w:cs="Arial"/>
          <w:b/>
          <w:bCs/>
          <w:sz w:val="28"/>
          <w:szCs w:val="28"/>
        </w:rPr>
        <w:t>Student Name:</w:t>
      </w:r>
      <w:r w:rsidR="00104CD5" w:rsidRPr="00821096">
        <w:rPr>
          <w:rFonts w:cs="Arial"/>
          <w:b/>
          <w:bCs/>
          <w:sz w:val="28"/>
          <w:szCs w:val="28"/>
        </w:rPr>
        <w:t xml:space="preserve"> </w:t>
      </w:r>
      <w:r w:rsidR="00821096" w:rsidRPr="00821096">
        <w:rPr>
          <w:rFonts w:cs="Arial"/>
          <w:b/>
          <w:bCs/>
          <w:sz w:val="28"/>
          <w:szCs w:val="28"/>
        </w:rPr>
        <w:t>B</w:t>
      </w:r>
      <w:r w:rsidR="006500ED">
        <w:rPr>
          <w:rFonts w:cs="Arial"/>
          <w:b/>
          <w:bCs/>
          <w:sz w:val="28"/>
          <w:szCs w:val="28"/>
        </w:rPr>
        <w:t xml:space="preserve"> </w:t>
      </w:r>
      <w:r w:rsidR="00821096" w:rsidRPr="00821096">
        <w:rPr>
          <w:rFonts w:cs="Arial"/>
          <w:b/>
          <w:bCs/>
          <w:sz w:val="28"/>
          <w:szCs w:val="28"/>
        </w:rPr>
        <w:t>M</w:t>
      </w:r>
      <w:r w:rsidR="006500ED">
        <w:rPr>
          <w:rFonts w:cs="Arial"/>
          <w:b/>
          <w:bCs/>
          <w:sz w:val="28"/>
          <w:szCs w:val="28"/>
        </w:rPr>
        <w:t xml:space="preserve"> </w:t>
      </w:r>
      <w:r w:rsidR="00821096" w:rsidRPr="00821096">
        <w:rPr>
          <w:rFonts w:cs="Arial"/>
          <w:b/>
          <w:bCs/>
          <w:sz w:val="28"/>
          <w:szCs w:val="28"/>
        </w:rPr>
        <w:t>A RAHMA</w:t>
      </w:r>
      <w:r w:rsidR="00926611">
        <w:rPr>
          <w:rFonts w:cs="Arial"/>
          <w:b/>
          <w:bCs/>
          <w:sz w:val="28"/>
          <w:szCs w:val="28"/>
        </w:rPr>
        <w:t>N</w:t>
      </w:r>
    </w:p>
    <w:p w:rsidR="00612693" w:rsidRPr="00821096" w:rsidRDefault="00612693" w:rsidP="00612693">
      <w:pPr>
        <w:jc w:val="center"/>
        <w:rPr>
          <w:rFonts w:cs="Arial"/>
          <w:b/>
          <w:bCs/>
          <w:sz w:val="28"/>
          <w:szCs w:val="28"/>
        </w:rPr>
      </w:pPr>
      <w:r w:rsidRPr="00821096">
        <w:rPr>
          <w:rFonts w:cs="Arial"/>
          <w:b/>
          <w:bCs/>
          <w:sz w:val="28"/>
          <w:szCs w:val="28"/>
        </w:rPr>
        <w:t>Student ID:</w:t>
      </w:r>
      <w:r w:rsidR="00104CD5" w:rsidRPr="00821096">
        <w:rPr>
          <w:rFonts w:cs="Arial"/>
          <w:b/>
          <w:bCs/>
          <w:sz w:val="28"/>
          <w:szCs w:val="28"/>
        </w:rPr>
        <w:t xml:space="preserve"> 2526730</w:t>
      </w:r>
    </w:p>
    <w:p w:rsidR="00612693" w:rsidRPr="00821096" w:rsidRDefault="00612693" w:rsidP="00612693">
      <w:pPr>
        <w:rPr>
          <w:rFonts w:cs="Arial"/>
          <w:sz w:val="28"/>
          <w:szCs w:val="28"/>
        </w:rPr>
      </w:pPr>
    </w:p>
    <w:p w:rsidR="00612693" w:rsidRPr="00821096" w:rsidRDefault="00612693" w:rsidP="00612693">
      <w:pPr>
        <w:jc w:val="center"/>
        <w:rPr>
          <w:rFonts w:cs="Arial"/>
          <w:b/>
          <w:bCs/>
          <w:sz w:val="28"/>
          <w:szCs w:val="28"/>
        </w:rPr>
      </w:pPr>
      <w:r w:rsidRPr="00821096">
        <w:rPr>
          <w:rFonts w:cs="Arial"/>
          <w:b/>
          <w:bCs/>
          <w:sz w:val="28"/>
          <w:szCs w:val="28"/>
        </w:rPr>
        <w:t>Module Name: Marketing Management</w:t>
      </w:r>
    </w:p>
    <w:p w:rsidR="00612693" w:rsidRPr="00821096" w:rsidRDefault="00612693" w:rsidP="00612693">
      <w:pPr>
        <w:jc w:val="center"/>
        <w:rPr>
          <w:rFonts w:cs="Arial"/>
          <w:b/>
          <w:bCs/>
          <w:sz w:val="28"/>
          <w:szCs w:val="28"/>
        </w:rPr>
      </w:pPr>
      <w:r w:rsidRPr="00821096">
        <w:rPr>
          <w:rFonts w:cs="Arial"/>
          <w:b/>
          <w:bCs/>
          <w:sz w:val="28"/>
          <w:szCs w:val="28"/>
        </w:rPr>
        <w:t>Module Code: LCMB7024</w:t>
      </w:r>
    </w:p>
    <w:p w:rsidR="00612693" w:rsidRPr="00821096" w:rsidRDefault="00612693" w:rsidP="00612693">
      <w:pPr>
        <w:rPr>
          <w:rFonts w:cs="Arial"/>
          <w:b/>
          <w:bCs/>
          <w:sz w:val="28"/>
          <w:szCs w:val="28"/>
        </w:rPr>
      </w:pPr>
    </w:p>
    <w:p w:rsidR="00104CD5" w:rsidRPr="00821096" w:rsidRDefault="00104CD5" w:rsidP="00612693">
      <w:pPr>
        <w:rPr>
          <w:rFonts w:cs="Arial"/>
          <w:b/>
          <w:bCs/>
          <w:sz w:val="28"/>
          <w:szCs w:val="28"/>
        </w:rPr>
      </w:pPr>
    </w:p>
    <w:p w:rsidR="00612693" w:rsidRPr="00821096" w:rsidRDefault="00612693" w:rsidP="00612693">
      <w:pPr>
        <w:jc w:val="center"/>
        <w:rPr>
          <w:rFonts w:cs="Arial"/>
          <w:b/>
          <w:bCs/>
          <w:sz w:val="28"/>
          <w:szCs w:val="28"/>
        </w:rPr>
      </w:pPr>
      <w:r w:rsidRPr="00821096">
        <w:rPr>
          <w:rFonts w:cs="Arial"/>
          <w:b/>
          <w:bCs/>
          <w:sz w:val="28"/>
          <w:szCs w:val="28"/>
        </w:rPr>
        <w:t>Lecturer’s Name:</w:t>
      </w:r>
      <w:r w:rsidR="000A5E17">
        <w:rPr>
          <w:rFonts w:cs="Arial"/>
          <w:b/>
          <w:bCs/>
          <w:sz w:val="28"/>
          <w:szCs w:val="28"/>
        </w:rPr>
        <w:t xml:space="preserve"> Dr</w:t>
      </w:r>
      <w:r w:rsidR="00AD439C">
        <w:rPr>
          <w:rFonts w:cs="Arial"/>
          <w:b/>
          <w:bCs/>
          <w:sz w:val="28"/>
          <w:szCs w:val="28"/>
        </w:rPr>
        <w:t xml:space="preserve"> </w:t>
      </w:r>
      <w:r w:rsidR="00AD439C" w:rsidRPr="00AD439C">
        <w:rPr>
          <w:rFonts w:cs="Arial"/>
          <w:b/>
          <w:bCs/>
          <w:sz w:val="28"/>
          <w:szCs w:val="28"/>
        </w:rPr>
        <w:t xml:space="preserve">Laila </w:t>
      </w:r>
      <w:proofErr w:type="spellStart"/>
      <w:r w:rsidR="00AD439C" w:rsidRPr="00AD439C">
        <w:rPr>
          <w:rFonts w:cs="Arial"/>
          <w:b/>
          <w:bCs/>
          <w:sz w:val="28"/>
          <w:szCs w:val="28"/>
        </w:rPr>
        <w:t>Maazouz</w:t>
      </w:r>
      <w:proofErr w:type="spellEnd"/>
    </w:p>
    <w:p w:rsidR="00612693" w:rsidRPr="00821096" w:rsidRDefault="00612693" w:rsidP="00612693">
      <w:pPr>
        <w:rPr>
          <w:rFonts w:cs="Arial"/>
          <w:b/>
          <w:bCs/>
          <w:sz w:val="28"/>
          <w:szCs w:val="28"/>
        </w:rPr>
      </w:pPr>
    </w:p>
    <w:p w:rsidR="00104CD5" w:rsidRPr="00821096" w:rsidRDefault="00104CD5" w:rsidP="00612693">
      <w:pPr>
        <w:rPr>
          <w:rFonts w:cs="Arial"/>
          <w:b/>
          <w:bCs/>
          <w:sz w:val="28"/>
          <w:szCs w:val="28"/>
        </w:rPr>
      </w:pPr>
    </w:p>
    <w:p w:rsidR="00612693" w:rsidRPr="00821096" w:rsidRDefault="00612693" w:rsidP="00104CD5">
      <w:pPr>
        <w:jc w:val="center"/>
        <w:rPr>
          <w:rFonts w:cs="Arial"/>
          <w:b/>
          <w:bCs/>
          <w:sz w:val="28"/>
          <w:szCs w:val="28"/>
        </w:rPr>
      </w:pPr>
      <w:r w:rsidRPr="00821096">
        <w:rPr>
          <w:rFonts w:cs="Arial"/>
          <w:b/>
          <w:bCs/>
          <w:sz w:val="28"/>
          <w:szCs w:val="28"/>
        </w:rPr>
        <w:t>Work Count:</w:t>
      </w:r>
      <w:r w:rsidR="00B147C7">
        <w:rPr>
          <w:rFonts w:cs="Arial"/>
          <w:b/>
          <w:bCs/>
          <w:sz w:val="28"/>
          <w:szCs w:val="28"/>
        </w:rPr>
        <w:t xml:space="preserve"> </w:t>
      </w:r>
      <w:r w:rsidR="00156D79">
        <w:rPr>
          <w:rFonts w:cs="Arial"/>
          <w:b/>
          <w:bCs/>
          <w:sz w:val="28"/>
          <w:szCs w:val="28"/>
        </w:rPr>
        <w:t>269</w:t>
      </w:r>
      <w:r w:rsidR="00F57D38">
        <w:rPr>
          <w:rFonts w:cs="Arial"/>
          <w:b/>
          <w:bCs/>
          <w:sz w:val="28"/>
          <w:szCs w:val="28"/>
        </w:rPr>
        <w:t>2</w:t>
      </w:r>
      <w:bookmarkStart w:id="0" w:name="_GoBack"/>
      <w:bookmarkEnd w:id="0"/>
    </w:p>
    <w:p w:rsidR="00612693" w:rsidRPr="00821096" w:rsidRDefault="00612693" w:rsidP="00612693">
      <w:pPr>
        <w:jc w:val="center"/>
        <w:rPr>
          <w:rFonts w:cs="Arial"/>
          <w:b/>
          <w:bCs/>
          <w:sz w:val="28"/>
          <w:szCs w:val="28"/>
        </w:rPr>
      </w:pPr>
    </w:p>
    <w:p w:rsidR="00612693" w:rsidRPr="00821096" w:rsidRDefault="00612693" w:rsidP="00612693">
      <w:pPr>
        <w:jc w:val="center"/>
        <w:rPr>
          <w:rFonts w:cs="Arial"/>
          <w:b/>
          <w:bCs/>
          <w:sz w:val="28"/>
          <w:szCs w:val="28"/>
        </w:rPr>
      </w:pPr>
    </w:p>
    <w:p w:rsidR="00612693" w:rsidRPr="00821096" w:rsidRDefault="00612693" w:rsidP="00612693">
      <w:pPr>
        <w:jc w:val="center"/>
        <w:rPr>
          <w:rFonts w:cs="Arial"/>
          <w:b/>
          <w:bCs/>
          <w:sz w:val="28"/>
          <w:szCs w:val="28"/>
        </w:rPr>
      </w:pPr>
    </w:p>
    <w:p w:rsidR="00612693" w:rsidRPr="00821096" w:rsidRDefault="00612693" w:rsidP="00612693">
      <w:pPr>
        <w:jc w:val="center"/>
        <w:rPr>
          <w:rFonts w:cs="Arial"/>
          <w:b/>
          <w:bCs/>
          <w:sz w:val="28"/>
          <w:szCs w:val="28"/>
        </w:rPr>
      </w:pPr>
      <w:r w:rsidRPr="00821096">
        <w:rPr>
          <w:rFonts w:cs="Arial"/>
          <w:b/>
          <w:bCs/>
          <w:sz w:val="28"/>
          <w:szCs w:val="28"/>
        </w:rPr>
        <w:t>Term 1</w:t>
      </w:r>
    </w:p>
    <w:p w:rsidR="006A6FD0" w:rsidRPr="00821096" w:rsidRDefault="006A6FD0" w:rsidP="006A6FD0">
      <w:pPr>
        <w:pStyle w:val="NoSpacing"/>
        <w:rPr>
          <w:rFonts w:ascii="Arial" w:hAnsi="Arial" w:cs="Arial"/>
        </w:rPr>
      </w:pPr>
    </w:p>
    <w:p w:rsidR="00821096" w:rsidRPr="00821096" w:rsidRDefault="00821096">
      <w:pPr>
        <w:spacing w:line="259" w:lineRule="auto"/>
        <w:jc w:val="left"/>
        <w:rPr>
          <w:rFonts w:cs="Arial"/>
        </w:rPr>
      </w:pPr>
      <w:r w:rsidRPr="00821096">
        <w:rPr>
          <w:rFonts w:cs="Arial"/>
        </w:rPr>
        <w:br w:type="page"/>
      </w:r>
    </w:p>
    <w:sdt>
      <w:sdtPr>
        <w:rPr>
          <w:rFonts w:ascii="Arial" w:eastAsiaTheme="minorHAnsi" w:hAnsi="Arial" w:cs="Arial"/>
          <w:color w:val="auto"/>
          <w:sz w:val="24"/>
          <w:szCs w:val="24"/>
        </w:rPr>
        <w:id w:val="1185018450"/>
        <w:docPartObj>
          <w:docPartGallery w:val="Table of Contents"/>
          <w:docPartUnique/>
        </w:docPartObj>
      </w:sdtPr>
      <w:sdtEndPr>
        <w:rPr>
          <w:bCs/>
          <w:noProof/>
        </w:rPr>
      </w:sdtEndPr>
      <w:sdtContent>
        <w:p w:rsidR="00821096" w:rsidRPr="000431D1" w:rsidRDefault="00821096" w:rsidP="000431D1">
          <w:pPr>
            <w:pStyle w:val="TOCHeading"/>
            <w:spacing w:line="360" w:lineRule="auto"/>
            <w:rPr>
              <w:rFonts w:ascii="Arial" w:hAnsi="Arial" w:cs="Arial"/>
              <w:sz w:val="24"/>
              <w:szCs w:val="24"/>
            </w:rPr>
          </w:pPr>
          <w:r w:rsidRPr="000431D1">
            <w:rPr>
              <w:rFonts w:ascii="Arial" w:hAnsi="Arial" w:cs="Arial"/>
              <w:sz w:val="24"/>
              <w:szCs w:val="24"/>
            </w:rPr>
            <w:t>Table of Contents</w:t>
          </w:r>
        </w:p>
        <w:p w:rsidR="000431D1" w:rsidRPr="000431D1" w:rsidRDefault="00821096" w:rsidP="000431D1">
          <w:pPr>
            <w:pStyle w:val="TOC2"/>
            <w:tabs>
              <w:tab w:val="left" w:pos="880"/>
              <w:tab w:val="right" w:leader="dot" w:pos="9016"/>
            </w:tabs>
            <w:rPr>
              <w:rFonts w:eastAsiaTheme="minorEastAsia" w:cs="Arial"/>
              <w:noProof/>
              <w:kern w:val="0"/>
              <w:sz w:val="22"/>
              <w:szCs w:val="22"/>
              <w14:ligatures w14:val="none"/>
            </w:rPr>
          </w:pPr>
          <w:r w:rsidRPr="000431D1">
            <w:rPr>
              <w:rFonts w:cs="Arial"/>
            </w:rPr>
            <w:fldChar w:fldCharType="begin"/>
          </w:r>
          <w:r w:rsidRPr="000431D1">
            <w:rPr>
              <w:rFonts w:cs="Arial"/>
            </w:rPr>
            <w:instrText xml:space="preserve"> TOC \o "1-3" \h \z \u </w:instrText>
          </w:r>
          <w:r w:rsidRPr="000431D1">
            <w:rPr>
              <w:rFonts w:cs="Arial"/>
            </w:rPr>
            <w:fldChar w:fldCharType="separate"/>
          </w:r>
          <w:hyperlink w:anchor="_Toc224914011" w:history="1">
            <w:r w:rsidR="000431D1" w:rsidRPr="000431D1">
              <w:rPr>
                <w:rStyle w:val="Hyperlink"/>
                <w:rFonts w:cs="Arial"/>
                <w:noProof/>
              </w:rPr>
              <w:t>1.</w:t>
            </w:r>
            <w:r w:rsidR="000431D1" w:rsidRPr="000431D1">
              <w:rPr>
                <w:rFonts w:eastAsiaTheme="minorEastAsia" w:cs="Arial"/>
                <w:noProof/>
                <w:kern w:val="0"/>
                <w:sz w:val="22"/>
                <w:szCs w:val="22"/>
                <w14:ligatures w14:val="none"/>
              </w:rPr>
              <w:tab/>
            </w:r>
            <w:r w:rsidR="000431D1" w:rsidRPr="000431D1">
              <w:rPr>
                <w:rStyle w:val="Hyperlink"/>
                <w:rFonts w:cs="Arial"/>
                <w:noProof/>
              </w:rPr>
              <w:t>Introduction</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_Toc224914011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3</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2" w:history="1">
            <w:r w:rsidR="000431D1" w:rsidRPr="000431D1">
              <w:rPr>
                <w:rStyle w:val="Hyperlink"/>
                <w:rFonts w:cs="Arial"/>
                <w:noProof/>
                <w:lang w:eastAsia="zh-CN"/>
              </w:rPr>
              <w:t>2. Task 1: Critical Analysis of the Macro Marketing Environment</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_Toc224914012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4</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3" w:history="1">
            <w:r w:rsidR="000431D1" w:rsidRPr="000431D1">
              <w:rPr>
                <w:rStyle w:val="Hyperlink"/>
                <w:rFonts w:cs="Arial"/>
                <w:noProof/>
              </w:rPr>
              <w:t>2.1 Macro marketing environment</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_Toc224914013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4</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4" w:history="1">
            <w:r w:rsidR="000431D1" w:rsidRPr="000431D1">
              <w:rPr>
                <w:rStyle w:val="Hyperlink"/>
                <w:rFonts w:cs="Arial"/>
                <w:noProof/>
              </w:rPr>
              <w:t>2.2 Analysis of Macro Factor 1: Government policy, incentives and trade measures</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_Toc224914014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6</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5" w:history="1">
            <w:r w:rsidR="000431D1" w:rsidRPr="000431D1">
              <w:rPr>
                <w:rStyle w:val="Hyperlink"/>
                <w:rFonts w:cs="Arial"/>
                <w:noProof/>
              </w:rPr>
              <w:t>2.2.1 Impact on the pioneer organisation: Tesla, Inc.</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_Toc224914015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6</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6" w:history="1">
            <w:r w:rsidR="000431D1" w:rsidRPr="000431D1">
              <w:rPr>
                <w:rStyle w:val="Hyperlink"/>
                <w:rFonts w:cs="Arial"/>
                <w:noProof/>
              </w:rPr>
              <w:t>2.2.2 Impact on the follower organisation: BYD Company Limited</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_Toc224914016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6</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7" w:history="1">
            <w:r w:rsidR="000431D1" w:rsidRPr="000431D1">
              <w:rPr>
                <w:rStyle w:val="Hyperlink"/>
                <w:rFonts w:cs="Arial"/>
                <w:noProof/>
              </w:rPr>
              <w:t>2.3 Analysis of Macro Factor 2: Technological &amp; battery-cost dynamics</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_Toc224914017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7</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8" w:history="1">
            <w:r w:rsidR="000431D1" w:rsidRPr="000431D1">
              <w:rPr>
                <w:rStyle w:val="Hyperlink"/>
                <w:rFonts w:cs="Arial"/>
                <w:noProof/>
              </w:rPr>
              <w:t>2.3.1 Impact on the pioneer organisation: Tesla</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_Toc224914018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7</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19" w:history="1">
            <w:r w:rsidR="000431D1" w:rsidRPr="000431D1">
              <w:rPr>
                <w:rStyle w:val="Hyperlink"/>
                <w:rFonts w:cs="Arial"/>
                <w:noProof/>
              </w:rPr>
              <w:t>2.3.2 Impact on the follower organisation: BYD</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_Toc224914019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8</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20" w:history="1">
            <w:r w:rsidR="000431D1" w:rsidRPr="000431D1">
              <w:rPr>
                <w:rStyle w:val="Hyperlink"/>
                <w:rFonts w:cs="Arial"/>
                <w:noProof/>
              </w:rPr>
              <w:t>3. Task 2: Strategic Responses of Pioneering and Follower Organisations</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_Toc224914020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9</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21" w:history="1">
            <w:r w:rsidR="000431D1" w:rsidRPr="000431D1">
              <w:rPr>
                <w:rStyle w:val="Hyperlink"/>
                <w:rFonts w:cs="Arial"/>
                <w:noProof/>
              </w:rPr>
              <w:t>3.1 Pioneering Organisation’s Strategic Responses: Tesla, Inc.</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_Toc224914021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9</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22" w:history="1">
            <w:r w:rsidR="000431D1" w:rsidRPr="000431D1">
              <w:rPr>
                <w:rStyle w:val="Hyperlink"/>
                <w:rFonts w:cs="Arial"/>
                <w:noProof/>
              </w:rPr>
              <w:t>3.2 Follower Organisation’s Strategic Responses: BYD Company</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_Toc224914022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11</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23" w:history="1">
            <w:r w:rsidR="000431D1" w:rsidRPr="000431D1">
              <w:rPr>
                <w:rStyle w:val="Hyperlink"/>
                <w:rFonts w:cs="Arial"/>
                <w:noProof/>
              </w:rPr>
              <w:t>4. Conclusion</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_Toc224914023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12</w:t>
            </w:r>
            <w:r w:rsidR="000431D1" w:rsidRPr="000431D1">
              <w:rPr>
                <w:rFonts w:cs="Arial"/>
                <w:noProof/>
                <w:webHidden/>
              </w:rPr>
              <w:fldChar w:fldCharType="end"/>
            </w:r>
          </w:hyperlink>
        </w:p>
        <w:p w:rsidR="000431D1" w:rsidRPr="000431D1" w:rsidRDefault="00F12338" w:rsidP="000431D1">
          <w:pPr>
            <w:pStyle w:val="TOC2"/>
            <w:tabs>
              <w:tab w:val="right" w:leader="dot" w:pos="9016"/>
            </w:tabs>
            <w:rPr>
              <w:rFonts w:eastAsiaTheme="minorEastAsia" w:cs="Arial"/>
              <w:noProof/>
              <w:kern w:val="0"/>
              <w:sz w:val="22"/>
              <w:szCs w:val="22"/>
              <w14:ligatures w14:val="none"/>
            </w:rPr>
          </w:pPr>
          <w:hyperlink w:anchor="_Toc224914024" w:history="1">
            <w:r w:rsidR="000431D1" w:rsidRPr="000431D1">
              <w:rPr>
                <w:rStyle w:val="Hyperlink"/>
                <w:rFonts w:cs="Arial"/>
                <w:noProof/>
              </w:rPr>
              <w:t>References</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_Toc224914024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14</w:t>
            </w:r>
            <w:r w:rsidR="000431D1" w:rsidRPr="000431D1">
              <w:rPr>
                <w:rFonts w:cs="Arial"/>
                <w:noProof/>
                <w:webHidden/>
              </w:rPr>
              <w:fldChar w:fldCharType="end"/>
            </w:r>
          </w:hyperlink>
        </w:p>
        <w:p w:rsidR="0047146C" w:rsidRPr="000431D1" w:rsidRDefault="00821096" w:rsidP="000431D1">
          <w:pPr>
            <w:rPr>
              <w:rFonts w:cs="Arial"/>
              <w:bCs/>
              <w:noProof/>
            </w:rPr>
          </w:pPr>
          <w:r w:rsidRPr="000431D1">
            <w:rPr>
              <w:rFonts w:cs="Arial"/>
              <w:bCs/>
              <w:noProof/>
            </w:rPr>
            <w:fldChar w:fldCharType="end"/>
          </w:r>
        </w:p>
      </w:sdtContent>
    </w:sdt>
    <w:p w:rsidR="000431D1" w:rsidRPr="000431D1" w:rsidRDefault="0047146C" w:rsidP="000431D1">
      <w:pPr>
        <w:pStyle w:val="TableofFigures"/>
        <w:tabs>
          <w:tab w:val="right" w:leader="dot" w:pos="9016"/>
        </w:tabs>
        <w:rPr>
          <w:rFonts w:eastAsiaTheme="minorEastAsia" w:cs="Arial"/>
          <w:noProof/>
          <w:color w:val="auto"/>
          <w:kern w:val="0"/>
          <w:sz w:val="22"/>
          <w:szCs w:val="22"/>
          <w14:ligatures w14:val="none"/>
        </w:rPr>
      </w:pPr>
      <w:r w:rsidRPr="000431D1">
        <w:rPr>
          <w:rFonts w:cs="Arial"/>
        </w:rPr>
        <w:fldChar w:fldCharType="begin"/>
      </w:r>
      <w:r w:rsidRPr="000431D1">
        <w:rPr>
          <w:rFonts w:cs="Arial"/>
        </w:rPr>
        <w:instrText xml:space="preserve"> TOC \h \z \c "Table" </w:instrText>
      </w:r>
      <w:r w:rsidRPr="000431D1">
        <w:rPr>
          <w:rFonts w:cs="Arial"/>
        </w:rPr>
        <w:fldChar w:fldCharType="separate"/>
      </w:r>
      <w:hyperlink w:anchor="_Toc224914027" w:history="1">
        <w:r w:rsidR="000431D1" w:rsidRPr="000431D1">
          <w:rPr>
            <w:rStyle w:val="Hyperlink"/>
            <w:rFonts w:cs="Arial"/>
            <w:noProof/>
          </w:rPr>
          <w:t>Table 1: PESTLE Analysis of the Electric Vehicle (EV) Industry</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_Toc224914027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5</w:t>
        </w:r>
        <w:r w:rsidR="000431D1" w:rsidRPr="000431D1">
          <w:rPr>
            <w:rFonts w:cs="Arial"/>
            <w:noProof/>
            <w:webHidden/>
          </w:rPr>
          <w:fldChar w:fldCharType="end"/>
        </w:r>
      </w:hyperlink>
    </w:p>
    <w:p w:rsidR="000431D1" w:rsidRPr="000431D1" w:rsidRDefault="00F12338" w:rsidP="000431D1">
      <w:pPr>
        <w:pStyle w:val="TableofFigures"/>
        <w:tabs>
          <w:tab w:val="right" w:leader="dot" w:pos="9016"/>
        </w:tabs>
        <w:rPr>
          <w:rFonts w:eastAsiaTheme="minorEastAsia" w:cs="Arial"/>
          <w:noProof/>
          <w:color w:val="auto"/>
          <w:kern w:val="0"/>
          <w:sz w:val="22"/>
          <w:szCs w:val="22"/>
          <w14:ligatures w14:val="none"/>
        </w:rPr>
      </w:pPr>
      <w:hyperlink w:anchor="_Toc224914028" w:history="1">
        <w:r w:rsidR="000431D1" w:rsidRPr="000431D1">
          <w:rPr>
            <w:rStyle w:val="Hyperlink"/>
            <w:rFonts w:cs="Arial"/>
            <w:noProof/>
          </w:rPr>
          <w:t>Table 2: Policy Impact - Tesla vs BYD in the EV Industry</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_Toc224914028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7</w:t>
        </w:r>
        <w:r w:rsidR="000431D1" w:rsidRPr="000431D1">
          <w:rPr>
            <w:rFonts w:cs="Arial"/>
            <w:noProof/>
            <w:webHidden/>
          </w:rPr>
          <w:fldChar w:fldCharType="end"/>
        </w:r>
      </w:hyperlink>
    </w:p>
    <w:p w:rsidR="000431D1" w:rsidRPr="000431D1" w:rsidRDefault="0047146C" w:rsidP="000431D1">
      <w:pPr>
        <w:rPr>
          <w:rFonts w:cs="Arial"/>
          <w:noProof/>
        </w:rPr>
      </w:pPr>
      <w:r w:rsidRPr="000431D1">
        <w:rPr>
          <w:rFonts w:cs="Arial"/>
        </w:rPr>
        <w:fldChar w:fldCharType="end"/>
      </w:r>
      <w:r w:rsidRPr="000431D1">
        <w:rPr>
          <w:rFonts w:cs="Arial"/>
        </w:rPr>
        <w:fldChar w:fldCharType="begin"/>
      </w:r>
      <w:r w:rsidRPr="000431D1">
        <w:rPr>
          <w:rFonts w:cs="Arial"/>
        </w:rPr>
        <w:instrText xml:space="preserve"> TOC \h \z \c "Figure" </w:instrText>
      </w:r>
      <w:r w:rsidRPr="000431D1">
        <w:rPr>
          <w:rFonts w:cs="Arial"/>
        </w:rPr>
        <w:fldChar w:fldCharType="separate"/>
      </w:r>
    </w:p>
    <w:p w:rsidR="000431D1" w:rsidRPr="000431D1" w:rsidRDefault="00F12338" w:rsidP="000431D1">
      <w:pPr>
        <w:pStyle w:val="TableofFigures"/>
        <w:tabs>
          <w:tab w:val="right" w:leader="dot" w:pos="9016"/>
        </w:tabs>
        <w:rPr>
          <w:rFonts w:eastAsiaTheme="minorEastAsia" w:cs="Arial"/>
          <w:noProof/>
          <w:color w:val="auto"/>
          <w:kern w:val="0"/>
          <w:sz w:val="22"/>
          <w:szCs w:val="22"/>
          <w14:ligatures w14:val="none"/>
        </w:rPr>
      </w:pPr>
      <w:hyperlink w:anchor="_Toc224914032" w:history="1">
        <w:r w:rsidR="000431D1" w:rsidRPr="000431D1">
          <w:rPr>
            <w:rStyle w:val="Hyperlink"/>
            <w:rFonts w:cs="Arial"/>
            <w:noProof/>
          </w:rPr>
          <w:t>Figure 1: Macro Environment</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_Toc224914032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4</w:t>
        </w:r>
        <w:r w:rsidR="000431D1" w:rsidRPr="000431D1">
          <w:rPr>
            <w:rFonts w:cs="Arial"/>
            <w:noProof/>
            <w:webHidden/>
          </w:rPr>
          <w:fldChar w:fldCharType="end"/>
        </w:r>
      </w:hyperlink>
    </w:p>
    <w:p w:rsidR="000431D1" w:rsidRPr="000431D1" w:rsidRDefault="00F12338" w:rsidP="000431D1">
      <w:pPr>
        <w:pStyle w:val="TableofFigures"/>
        <w:tabs>
          <w:tab w:val="right" w:leader="dot" w:pos="9016"/>
        </w:tabs>
        <w:rPr>
          <w:rFonts w:eastAsiaTheme="minorEastAsia" w:cs="Arial"/>
          <w:noProof/>
          <w:color w:val="auto"/>
          <w:kern w:val="0"/>
          <w:sz w:val="22"/>
          <w:szCs w:val="22"/>
          <w14:ligatures w14:val="none"/>
        </w:rPr>
      </w:pPr>
      <w:hyperlink w:anchor="_Toc224914033" w:history="1">
        <w:r w:rsidR="000431D1" w:rsidRPr="000431D1">
          <w:rPr>
            <w:rStyle w:val="Hyperlink"/>
            <w:rFonts w:cs="Arial"/>
            <w:noProof/>
          </w:rPr>
          <w:t>Figure 2: Declining Global EV Battery Pack Prices (2013-2025)</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_Toc224914033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8</w:t>
        </w:r>
        <w:r w:rsidR="000431D1" w:rsidRPr="000431D1">
          <w:rPr>
            <w:rFonts w:cs="Arial"/>
            <w:noProof/>
            <w:webHidden/>
          </w:rPr>
          <w:fldChar w:fldCharType="end"/>
        </w:r>
      </w:hyperlink>
    </w:p>
    <w:p w:rsidR="000431D1" w:rsidRPr="000431D1" w:rsidRDefault="00F12338" w:rsidP="000431D1">
      <w:pPr>
        <w:pStyle w:val="TableofFigures"/>
        <w:tabs>
          <w:tab w:val="right" w:leader="dot" w:pos="9016"/>
        </w:tabs>
        <w:rPr>
          <w:rFonts w:eastAsiaTheme="minorEastAsia" w:cs="Arial"/>
          <w:noProof/>
          <w:color w:val="auto"/>
          <w:kern w:val="0"/>
          <w:sz w:val="22"/>
          <w:szCs w:val="22"/>
          <w14:ligatures w14:val="none"/>
        </w:rPr>
      </w:pPr>
      <w:hyperlink w:anchor="_Toc224914034" w:history="1">
        <w:r w:rsidR="000431D1" w:rsidRPr="000431D1">
          <w:rPr>
            <w:rStyle w:val="Hyperlink"/>
            <w:rFonts w:cs="Arial"/>
            <w:noProof/>
          </w:rPr>
          <w:t>Figure 3: Tesla’s Strategic Positioning Matrix (Porter Framework)</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_Toc224914034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10</w:t>
        </w:r>
        <w:r w:rsidR="000431D1" w:rsidRPr="000431D1">
          <w:rPr>
            <w:rFonts w:cs="Arial"/>
            <w:noProof/>
            <w:webHidden/>
          </w:rPr>
          <w:fldChar w:fldCharType="end"/>
        </w:r>
      </w:hyperlink>
    </w:p>
    <w:p w:rsidR="000431D1" w:rsidRPr="000431D1" w:rsidRDefault="00F12338" w:rsidP="000431D1">
      <w:pPr>
        <w:pStyle w:val="TableofFigures"/>
        <w:tabs>
          <w:tab w:val="right" w:leader="dot" w:pos="9016"/>
        </w:tabs>
        <w:rPr>
          <w:rFonts w:eastAsiaTheme="minorEastAsia" w:cs="Arial"/>
          <w:noProof/>
          <w:color w:val="auto"/>
          <w:kern w:val="0"/>
          <w:sz w:val="22"/>
          <w:szCs w:val="22"/>
          <w14:ligatures w14:val="none"/>
        </w:rPr>
      </w:pPr>
      <w:hyperlink w:anchor="_Toc224914035" w:history="1">
        <w:r w:rsidR="000431D1" w:rsidRPr="000431D1">
          <w:rPr>
            <w:rStyle w:val="Hyperlink"/>
            <w:rFonts w:cs="Arial"/>
            <w:noProof/>
          </w:rPr>
          <w:t>Figure 4: Ansoff Matrix Illustrating BYD Company Limited’s Growth Strategies</w:t>
        </w:r>
        <w:r w:rsidR="000431D1" w:rsidRPr="000431D1">
          <w:rPr>
            <w:rFonts w:cs="Arial"/>
            <w:noProof/>
            <w:webHidden/>
          </w:rPr>
          <w:tab/>
        </w:r>
        <w:r w:rsidR="000431D1" w:rsidRPr="000431D1">
          <w:rPr>
            <w:rFonts w:cs="Arial"/>
            <w:noProof/>
            <w:webHidden/>
          </w:rPr>
          <w:fldChar w:fldCharType="begin"/>
        </w:r>
        <w:r w:rsidR="000431D1" w:rsidRPr="000431D1">
          <w:rPr>
            <w:rFonts w:cs="Arial"/>
            <w:noProof/>
            <w:webHidden/>
          </w:rPr>
          <w:instrText xml:space="preserve"> PAGEREF _Toc224914035 \h </w:instrText>
        </w:r>
        <w:r w:rsidR="000431D1" w:rsidRPr="000431D1">
          <w:rPr>
            <w:rFonts w:cs="Arial"/>
            <w:noProof/>
            <w:webHidden/>
          </w:rPr>
        </w:r>
        <w:r w:rsidR="000431D1" w:rsidRPr="000431D1">
          <w:rPr>
            <w:rFonts w:cs="Arial"/>
            <w:noProof/>
            <w:webHidden/>
          </w:rPr>
          <w:fldChar w:fldCharType="separate"/>
        </w:r>
        <w:r w:rsidR="000431D1" w:rsidRPr="000431D1">
          <w:rPr>
            <w:rFonts w:cs="Arial"/>
            <w:noProof/>
            <w:webHidden/>
          </w:rPr>
          <w:t>11</w:t>
        </w:r>
        <w:r w:rsidR="000431D1" w:rsidRPr="000431D1">
          <w:rPr>
            <w:rFonts w:cs="Arial"/>
            <w:noProof/>
            <w:webHidden/>
          </w:rPr>
          <w:fldChar w:fldCharType="end"/>
        </w:r>
      </w:hyperlink>
    </w:p>
    <w:p w:rsidR="006A6FD0" w:rsidRPr="000431D1" w:rsidRDefault="0047146C" w:rsidP="000431D1">
      <w:pPr>
        <w:rPr>
          <w:rFonts w:cs="Arial"/>
        </w:rPr>
      </w:pPr>
      <w:r w:rsidRPr="000431D1">
        <w:rPr>
          <w:rFonts w:cs="Arial"/>
        </w:rPr>
        <w:fldChar w:fldCharType="end"/>
      </w:r>
      <w:r w:rsidR="006A6FD0" w:rsidRPr="000431D1">
        <w:rPr>
          <w:rFonts w:cs="Arial"/>
        </w:rPr>
        <w:br w:type="page"/>
      </w:r>
    </w:p>
    <w:p w:rsidR="007133DC" w:rsidRPr="00821096" w:rsidRDefault="007133DC" w:rsidP="006A6FD0">
      <w:pPr>
        <w:pStyle w:val="Heading2"/>
        <w:numPr>
          <w:ilvl w:val="0"/>
          <w:numId w:val="4"/>
        </w:numPr>
        <w:rPr>
          <w:rFonts w:cs="Arial"/>
        </w:rPr>
      </w:pPr>
      <w:bookmarkStart w:id="1" w:name="_Toc223436255"/>
      <w:bookmarkStart w:id="2" w:name="_Toc224914011"/>
      <w:r w:rsidRPr="00821096">
        <w:rPr>
          <w:rFonts w:cs="Arial"/>
        </w:rPr>
        <w:lastRenderedPageBreak/>
        <w:t>Introduction</w:t>
      </w:r>
      <w:bookmarkEnd w:id="1"/>
      <w:bookmarkEnd w:id="2"/>
    </w:p>
    <w:p w:rsidR="007133DC" w:rsidRPr="00821096" w:rsidRDefault="007133DC" w:rsidP="00E5641A">
      <w:pPr>
        <w:rPr>
          <w:rFonts w:cs="Arial"/>
        </w:rPr>
      </w:pPr>
      <w:r w:rsidRPr="00821096">
        <w:rPr>
          <w:rFonts w:cs="Arial"/>
        </w:rPr>
        <w:t>This report discusses strategi</w:t>
      </w:r>
      <w:r w:rsidR="00543464">
        <w:rPr>
          <w:rFonts w:cs="Arial"/>
        </w:rPr>
        <w:t>c</w:t>
      </w:r>
      <w:r w:rsidRPr="00821096">
        <w:rPr>
          <w:rFonts w:cs="Arial"/>
        </w:rPr>
        <w:t xml:space="preserve"> management marketing in the global electric vehicle (EV) market, the forces of macro-environments in developing firm strategy and competitive positioning. It is meant to examine two important macro factors, assess their segmented actions on a pioneering company and a follower company, and evaluate strategic responses that transform the external threats into sustainable benefit. EV sector represents boom growth, highly competitive, technology-focused and rising policy interventions; the EV uptake in the world has risen dramatically in recent years and changed the form of the industry, as well as strategic priorities among the incumbents</w:t>
      </w:r>
      <w:r w:rsidR="00944A50" w:rsidRPr="00821096">
        <w:rPr>
          <w:rFonts w:cs="Arial"/>
        </w:rPr>
        <w:t xml:space="preserve"> </w:t>
      </w:r>
      <w:r w:rsidR="00944A50" w:rsidRPr="00821096">
        <w:rPr>
          <w:rFonts w:cs="Arial"/>
        </w:rPr>
        <w:fldChar w:fldCharType="begin" w:fldLock="1"/>
      </w:r>
      <w:r w:rsidR="000D1F72"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944A50" w:rsidRPr="00821096">
        <w:rPr>
          <w:rFonts w:cs="Arial"/>
        </w:rPr>
        <w:fldChar w:fldCharType="separate"/>
      </w:r>
      <w:r w:rsidR="00685B96" w:rsidRPr="00821096">
        <w:rPr>
          <w:rFonts w:cs="Arial"/>
          <w:noProof/>
        </w:rPr>
        <w:t>(International Energy Agency, 2025)</w:t>
      </w:r>
      <w:r w:rsidR="00944A50" w:rsidRPr="00821096">
        <w:rPr>
          <w:rFonts w:cs="Arial"/>
        </w:rPr>
        <w:fldChar w:fldCharType="end"/>
      </w:r>
      <w:r w:rsidR="00F30C60" w:rsidRPr="00821096">
        <w:rPr>
          <w:rFonts w:cs="Arial"/>
        </w:rPr>
        <w:t xml:space="preserve">. </w:t>
      </w:r>
      <w:r w:rsidRPr="00821096">
        <w:rPr>
          <w:rFonts w:cs="Arial"/>
        </w:rPr>
        <w:t xml:space="preserve">The large vertically integrated manufacturers grasp the market leadership as many of the adherents struggle to compete based on cost, scale and localization </w:t>
      </w:r>
      <w:r w:rsidR="00950F43" w:rsidRPr="00821096">
        <w:rPr>
          <w:rFonts w:cs="Arial"/>
        </w:rPr>
        <w:fldChar w:fldCharType="begin" w:fldLock="1"/>
      </w:r>
      <w:r w:rsidR="00AE6C80" w:rsidRPr="00821096">
        <w:rPr>
          <w:rFonts w:cs="Arial"/>
        </w:rPr>
        <w:instrText>ADDIN CSL_CITATION {"citationItems":[{"id":"ITEM-1","itemData":{"URL":"https://ir.tesla.com/press-release/tesla-fourth-quarter-2024-production-deliveries-and-deployments?","accessed":{"date-parts":[["2026","3","3"]]},"author":[{"dropping-particle":"","family":"Business Wire","given":"","non-dropping-particle":"","parse-names":false,"suffix":""}],"container-title":"Tesla","id":"ITEM-1","issued":{"date-parts":[["2025"]]},"title":"Tesla Fourth Quarter 2024 Production, Deliveries &amp; Deployments | Tesla Investor Relations","type":"webpage"},"uris":["http://www.mendeley.com/documents/?uuid=6cd11798-10f3-39da-ac65-f1a1a8fc7880"]},{"id":"ITEM-2","itemData":{"URL":"https://www.bydglobal.com/en/InnovationByd.html","accessed":{"date-parts":[["2026","3","3"]]},"author":[{"dropping-particle":"","family":"BYD","given":"","non-dropping-particle":"","parse-names":false,"suffix":""}],"container-title":"BYD Company Limited","id":"ITEM-2","issued":{"date-parts":[["2025"]]},"title":"Innovation at BYD-BYD","type":"webpage"},"uris":["http://www.mendeley.com/documents/?uuid=20e988aa-7a24-3ad0-a966-aed5254a9100"]}],"mendeley":{"formattedCitation":"(Business Wire, 2025; BYD, 2025)","plainTextFormattedCitation":"(Business Wire, 2025; BYD, 2025)","previouslyFormattedCitation":"(Business Wire, 2025; BYD, 2025)"},"properties":{"noteIndex":0},"schema":"https://github.com/citation-style-language/schema/raw/master/csl-citation.json"}</w:instrText>
      </w:r>
      <w:r w:rsidR="00950F43" w:rsidRPr="00821096">
        <w:rPr>
          <w:rFonts w:cs="Arial"/>
        </w:rPr>
        <w:fldChar w:fldCharType="separate"/>
      </w:r>
      <w:r w:rsidR="00FF3975" w:rsidRPr="00821096">
        <w:rPr>
          <w:rFonts w:cs="Arial"/>
          <w:noProof/>
        </w:rPr>
        <w:t>(Business Wire, 2025; BYD, 2025)</w:t>
      </w:r>
      <w:r w:rsidR="00950F43" w:rsidRPr="00821096">
        <w:rPr>
          <w:rFonts w:cs="Arial"/>
        </w:rPr>
        <w:fldChar w:fldCharType="end"/>
      </w:r>
    </w:p>
    <w:p w:rsidR="00D36F73" w:rsidRDefault="007133DC" w:rsidP="00E5641A">
      <w:pPr>
        <w:rPr>
          <w:rFonts w:cs="Arial"/>
        </w:rPr>
      </w:pPr>
      <w:r w:rsidRPr="00821096">
        <w:rPr>
          <w:rFonts w:cs="Arial"/>
        </w:rPr>
        <w:t xml:space="preserve">Necessary analysis of the macro marketing context is due to the fact that what is demanded, the price-setting, the supply-chain design, and market entry-related decisions are determined by the forces of PESTLE-level (political, economic, social, technological, legal, and environmental), which explores how the marketing and investment choices are made </w:t>
      </w:r>
      <w:r w:rsidR="00CC63BD" w:rsidRPr="00821096">
        <w:rPr>
          <w:rFonts w:cs="Arial"/>
        </w:rPr>
        <w:fldChar w:fldCharType="begin" w:fldLock="1"/>
      </w:r>
      <w:r w:rsidR="002501A7">
        <w:rPr>
          <w:rFonts w:cs="Arial"/>
        </w:rPr>
        <w:instrText>ADDIN CSL_CITATION {"citationItems":[{"id":"ITEM-1","itemData":{"author":[{"dropping-particle":"","family":"Johnson","given":"Gerry","non-dropping-particle":"","parse-names":false,"suffix":""},{"dropping-particle":"","family":"Scholes","given":"Kevan","non-dropping-particle":"","parse-names":false,"suffix":""},{"dropping-particle":"","family":"Whittington","given":"Richard","non-dropping-particle":"","parse-names":false,"suffix":""}],"id":"ITEM-1","issued":{"date-parts":[["2017","1","1"]]},"publisher":"Pearson","title":"Exploring Corporate Strategy: Text &amp; Cases","type":"book"},"uris":["http://www.mendeley.com/documents/?uuid=000711cf-f320-4c9f-bfbf-8b0458529141"]}],"mendeley":{"formattedCitation":"(Johnson, Scholes and Whittington, 2017)","plainTextFormattedCitation":"(Johnson, Scholes and Whittington, 2017)","previouslyFormattedCitation":"(Johnson, Scholes and Whittington, 2017)"},"properties":{"noteIndex":0},"schema":"https://github.com/citation-style-language/schema/raw/master/csl-citation.json"}</w:instrText>
      </w:r>
      <w:r w:rsidR="00CC63BD" w:rsidRPr="00821096">
        <w:rPr>
          <w:rFonts w:cs="Arial"/>
        </w:rPr>
        <w:fldChar w:fldCharType="separate"/>
      </w:r>
      <w:r w:rsidR="008263D3" w:rsidRPr="008263D3">
        <w:rPr>
          <w:rFonts w:cs="Arial"/>
          <w:noProof/>
        </w:rPr>
        <w:t>(Johnson, Scholes and Whittington, 2017)</w:t>
      </w:r>
      <w:r w:rsidR="00CC63BD" w:rsidRPr="00821096">
        <w:rPr>
          <w:rFonts w:cs="Arial"/>
        </w:rPr>
        <w:fldChar w:fldCharType="end"/>
      </w:r>
      <w:r w:rsidRPr="00821096">
        <w:rPr>
          <w:rFonts w:cs="Arial"/>
        </w:rPr>
        <w:t xml:space="preserve">. This report is organized in the following way: Task 1 includes the PESTLE overview and the critical analysis of two selected macro factors and their impact on the pioneer and follower; Task 2 conditions evaluate the strategic responses through the available </w:t>
      </w:r>
      <w:r w:rsidR="00112E52" w:rsidRPr="00821096">
        <w:rPr>
          <w:rFonts w:cs="Arial"/>
        </w:rPr>
        <w:t>models; finally</w:t>
      </w:r>
      <w:r w:rsidRPr="00821096">
        <w:rPr>
          <w:rFonts w:cs="Arial"/>
        </w:rPr>
        <w:t>, the report includes the integrated recommendations and implications to the practice.</w:t>
      </w:r>
    </w:p>
    <w:p w:rsidR="0064054E" w:rsidRDefault="0064054E" w:rsidP="009352DE">
      <w:pPr>
        <w:rPr>
          <w:rFonts w:cs="Arial"/>
        </w:rPr>
      </w:pPr>
    </w:p>
    <w:p w:rsidR="0064054E" w:rsidRDefault="0064054E" w:rsidP="009352DE">
      <w:pPr>
        <w:rPr>
          <w:rFonts w:cs="Arial"/>
        </w:rPr>
      </w:pPr>
    </w:p>
    <w:p w:rsidR="0064054E" w:rsidRDefault="0064054E" w:rsidP="009352DE">
      <w:pPr>
        <w:rPr>
          <w:rFonts w:cs="Arial"/>
        </w:rPr>
      </w:pPr>
    </w:p>
    <w:p w:rsidR="0064054E" w:rsidRDefault="0064054E" w:rsidP="009352DE">
      <w:pPr>
        <w:rPr>
          <w:rFonts w:cs="Arial"/>
        </w:rPr>
      </w:pPr>
    </w:p>
    <w:p w:rsidR="0064054E" w:rsidRDefault="0064054E" w:rsidP="009352DE">
      <w:pPr>
        <w:rPr>
          <w:rFonts w:cs="Arial"/>
        </w:rPr>
      </w:pPr>
    </w:p>
    <w:p w:rsidR="0064054E" w:rsidRDefault="0064054E" w:rsidP="009352DE">
      <w:pPr>
        <w:rPr>
          <w:rFonts w:cs="Arial"/>
        </w:rPr>
      </w:pPr>
    </w:p>
    <w:p w:rsidR="00464EA1" w:rsidRDefault="00464EA1" w:rsidP="009352DE">
      <w:pPr>
        <w:rPr>
          <w:rFonts w:cs="Arial"/>
        </w:rPr>
      </w:pPr>
    </w:p>
    <w:p w:rsidR="00E5641A" w:rsidRDefault="00E5641A" w:rsidP="009352DE">
      <w:pPr>
        <w:rPr>
          <w:rFonts w:cs="Arial"/>
        </w:rPr>
      </w:pPr>
    </w:p>
    <w:p w:rsidR="00C73023" w:rsidRDefault="00C73023" w:rsidP="009352DE">
      <w:pPr>
        <w:rPr>
          <w:rFonts w:cs="Arial"/>
        </w:rPr>
      </w:pPr>
    </w:p>
    <w:p w:rsidR="00464EA1" w:rsidRPr="00821096" w:rsidRDefault="00464EA1" w:rsidP="009352DE">
      <w:pPr>
        <w:rPr>
          <w:rFonts w:cs="Arial"/>
        </w:rPr>
      </w:pPr>
    </w:p>
    <w:p w:rsidR="00112E52" w:rsidRPr="00821096" w:rsidRDefault="002C67B0" w:rsidP="00E5641A">
      <w:pPr>
        <w:pStyle w:val="Heading2"/>
      </w:pPr>
      <w:bookmarkStart w:id="3" w:name="_Toc223436256"/>
      <w:bookmarkStart w:id="4" w:name="_Toc224914012"/>
      <w:r w:rsidRPr="00821096">
        <w:rPr>
          <w:lang w:eastAsia="zh-CN"/>
        </w:rPr>
        <w:lastRenderedPageBreak/>
        <w:t>2. Task 1: Critical Analysis of the Macro Marketing Environment</w:t>
      </w:r>
      <w:bookmarkEnd w:id="3"/>
      <w:bookmarkEnd w:id="4"/>
    </w:p>
    <w:p w:rsidR="00692934" w:rsidRDefault="00790BB5" w:rsidP="00E5641A">
      <w:pPr>
        <w:pStyle w:val="Heading2"/>
      </w:pPr>
      <w:bookmarkStart w:id="5" w:name="_Toc223436257"/>
      <w:bookmarkStart w:id="6" w:name="_Toc224914013"/>
      <w:r>
        <w:rPr>
          <w:noProof/>
        </w:rPr>
        <w:drawing>
          <wp:anchor distT="0" distB="0" distL="114300" distR="114300" simplePos="0" relativeHeight="251660288" behindDoc="0" locked="0" layoutInCell="1" allowOverlap="1">
            <wp:simplePos x="0" y="0"/>
            <wp:positionH relativeFrom="margin">
              <wp:align>right</wp:align>
            </wp:positionH>
            <wp:positionV relativeFrom="paragraph">
              <wp:posOffset>320040</wp:posOffset>
            </wp:positionV>
            <wp:extent cx="5772150" cy="3479800"/>
            <wp:effectExtent l="0" t="0" r="0" b="635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692934" w:rsidRPr="00821096">
        <w:t>2.1 Macro marketing environment</w:t>
      </w:r>
      <w:bookmarkEnd w:id="5"/>
      <w:bookmarkEnd w:id="6"/>
    </w:p>
    <w:p w:rsidR="00CB0A40" w:rsidRPr="00A65458" w:rsidRDefault="00A65458" w:rsidP="00A65458">
      <w:pPr>
        <w:pStyle w:val="Caption"/>
        <w:rPr>
          <w:rFonts w:cs="Arial"/>
        </w:rPr>
      </w:pPr>
      <w:bookmarkStart w:id="7" w:name="_Toc224914032"/>
      <w:r w:rsidRPr="00A65458">
        <w:rPr>
          <w:rFonts w:cs="Arial"/>
        </w:rPr>
        <w:t xml:space="preserve">Figure </w:t>
      </w:r>
      <w:r w:rsidRPr="00A65458">
        <w:rPr>
          <w:rFonts w:cs="Arial"/>
        </w:rPr>
        <w:fldChar w:fldCharType="begin"/>
      </w:r>
      <w:r w:rsidRPr="00A65458">
        <w:rPr>
          <w:rFonts w:cs="Arial"/>
        </w:rPr>
        <w:instrText xml:space="preserve"> SEQ Figure \* ARABIC </w:instrText>
      </w:r>
      <w:r w:rsidRPr="00A65458">
        <w:rPr>
          <w:rFonts w:cs="Arial"/>
        </w:rPr>
        <w:fldChar w:fldCharType="separate"/>
      </w:r>
      <w:r w:rsidR="00356424">
        <w:rPr>
          <w:rFonts w:cs="Arial"/>
          <w:noProof/>
        </w:rPr>
        <w:t>1</w:t>
      </w:r>
      <w:r w:rsidRPr="00A65458">
        <w:rPr>
          <w:rFonts w:cs="Arial"/>
        </w:rPr>
        <w:fldChar w:fldCharType="end"/>
      </w:r>
      <w:r w:rsidRPr="00A65458">
        <w:rPr>
          <w:rFonts w:cs="Arial"/>
        </w:rPr>
        <w:t>: Macro Environment</w:t>
      </w:r>
      <w:bookmarkEnd w:id="7"/>
    </w:p>
    <w:p w:rsidR="00112E52" w:rsidRPr="00821096" w:rsidRDefault="00112E52" w:rsidP="00E5641A">
      <w:pPr>
        <w:pStyle w:val="NoSpacing"/>
        <w:spacing w:line="360" w:lineRule="auto"/>
        <w:rPr>
          <w:rFonts w:ascii="Arial" w:hAnsi="Arial"/>
          <w:szCs w:val="24"/>
        </w:rPr>
      </w:pPr>
      <w:r w:rsidRPr="00821096">
        <w:rPr>
          <w:rFonts w:ascii="Arial" w:hAnsi="Arial"/>
          <w:szCs w:val="24"/>
        </w:rPr>
        <w:t>Macro marketing environment includes the forces outside the industry that distort the opportunities and threats on the industry level, and thus, should be included in the strategic marketing choices</w:t>
      </w:r>
      <w:r w:rsidR="0015066D" w:rsidRPr="00821096">
        <w:rPr>
          <w:rFonts w:ascii="Arial" w:hAnsi="Arial"/>
          <w:szCs w:val="24"/>
        </w:rPr>
        <w:t xml:space="preserve"> </w:t>
      </w:r>
      <w:r w:rsidR="0015066D" w:rsidRPr="00821096">
        <w:rPr>
          <w:rFonts w:ascii="Arial" w:hAnsi="Arial"/>
          <w:szCs w:val="24"/>
        </w:rPr>
        <w:fldChar w:fldCharType="begin" w:fldLock="1"/>
      </w:r>
      <w:r w:rsidR="002501A7">
        <w:rPr>
          <w:rFonts w:ascii="Arial" w:hAnsi="Arial"/>
          <w:szCs w:val="24"/>
        </w:rPr>
        <w:instrText>ADDIN CSL_CITATION {"citationItems":[{"id":"ITEM-1","itemData":{"author":[{"dropping-particle":"","family":"Kotler","given":"Philip","non-dropping-particle":"","parse-names":false,"suffix":""},{"dropping-particle":"","family":"Keller","given":"","non-dropping-particle":"","parse-names":false,"suffix":""},{"dropping-particle":"","family":"Manceau","given":"","non-dropping-particle":"","parse-names":false,"suffix":""},{"dropping-particle":"","family":"Hemonnet-Goujot","given":"Aurélie","non-dropping-particle":"","parse-names":false,"suffix":""}],"container-title":"Pearson Education","id":"ITEM-1","issued":{"date-parts":[["2016","9","1"]]},"title":"Marketing Management 15th","type":"book","volume":"83"},"uris":["http://www.mendeley.com/documents/?uuid=726668cc-6d66-4c31-905d-5a2d15bb17a2"]}],"mendeley":{"formattedCitation":"(Kotler &lt;i&gt;et al.&lt;/i&gt;, 2016)","plainTextFormattedCitation":"(Kotler et al., 2016)","previouslyFormattedCitation":"(Kotler &lt;i&gt;et al.&lt;/i&gt;, 2016)"},"properties":{"noteIndex":0},"schema":"https://github.com/citation-style-language/schema/raw/master/csl-citation.json"}</w:instrText>
      </w:r>
      <w:r w:rsidR="0015066D" w:rsidRPr="00821096">
        <w:rPr>
          <w:rFonts w:ascii="Arial" w:hAnsi="Arial"/>
          <w:szCs w:val="24"/>
        </w:rPr>
        <w:fldChar w:fldCharType="separate"/>
      </w:r>
      <w:r w:rsidR="008263D3" w:rsidRPr="008263D3">
        <w:rPr>
          <w:rFonts w:ascii="Arial" w:hAnsi="Arial"/>
          <w:noProof/>
          <w:szCs w:val="24"/>
        </w:rPr>
        <w:t xml:space="preserve">(Kotler </w:t>
      </w:r>
      <w:r w:rsidR="008263D3" w:rsidRPr="008263D3">
        <w:rPr>
          <w:rFonts w:ascii="Arial" w:hAnsi="Arial"/>
          <w:i/>
          <w:noProof/>
          <w:szCs w:val="24"/>
        </w:rPr>
        <w:t>et al.</w:t>
      </w:r>
      <w:r w:rsidR="008263D3" w:rsidRPr="008263D3">
        <w:rPr>
          <w:rFonts w:ascii="Arial" w:hAnsi="Arial"/>
          <w:noProof/>
          <w:szCs w:val="24"/>
        </w:rPr>
        <w:t>, 2016)</w:t>
      </w:r>
      <w:r w:rsidR="0015066D" w:rsidRPr="00821096">
        <w:rPr>
          <w:rFonts w:ascii="Arial" w:hAnsi="Arial"/>
          <w:szCs w:val="24"/>
        </w:rPr>
        <w:fldChar w:fldCharType="end"/>
      </w:r>
      <w:r w:rsidRPr="00821096">
        <w:rPr>
          <w:rFonts w:ascii="Arial" w:hAnsi="Arial"/>
          <w:szCs w:val="24"/>
        </w:rPr>
        <w:t>. PESTLE framework is a framework that systematizes the macro forces into Political, Economic, Social, Technological, Legal and Environmental and has been extensively used to arrange and structure systematic scanning of the environment in strategic planning</w:t>
      </w:r>
      <w:r w:rsidR="0015066D" w:rsidRPr="00821096">
        <w:rPr>
          <w:rFonts w:ascii="Arial" w:hAnsi="Arial"/>
          <w:szCs w:val="24"/>
        </w:rPr>
        <w:t xml:space="preserve"> </w:t>
      </w:r>
      <w:r w:rsidR="0015066D" w:rsidRPr="00821096">
        <w:rPr>
          <w:rFonts w:ascii="Arial" w:hAnsi="Arial"/>
          <w:szCs w:val="24"/>
        </w:rPr>
        <w:fldChar w:fldCharType="begin" w:fldLock="1"/>
      </w:r>
      <w:r w:rsidR="002501A7">
        <w:rPr>
          <w:rFonts w:ascii="Arial" w:hAnsi="Arial"/>
          <w:szCs w:val="24"/>
        </w:rPr>
        <w:instrText>ADDIN CSL_CITATION {"citationItems":[{"id":"ITEM-1","itemData":{"author":[{"dropping-particle":"","family":"Johnson","given":"Gerry","non-dropping-particle":"","parse-names":false,"suffix":""},{"dropping-particle":"","family":"Scholes","given":"Kevan","non-dropping-particle":"","parse-names":false,"suffix":""},{"dropping-particle":"","family":"Whittington","given":"Richard","non-dropping-particle":"","parse-names":false,"suffix":""}],"id":"ITEM-1","issued":{"date-parts":[["2017","1","1"]]},"publisher":"Pearson","title":"Exploring Corporate Strategy: Text &amp; Cases","type":"book"},"uris":["http://www.mendeley.com/documents/?uuid=000711cf-f320-4c9f-bfbf-8b0458529141"]}],"mendeley":{"formattedCitation":"(Johnson, Scholes and Whittington, 2017)","plainTextFormattedCitation":"(Johnson, Scholes and Whittington, 2017)","previouslyFormattedCitation":"(Johnson, Scholes and Whittington, 2017)"},"properties":{"noteIndex":0},"schema":"https://github.com/citation-style-language/schema/raw/master/csl-citation.json"}</w:instrText>
      </w:r>
      <w:r w:rsidR="0015066D" w:rsidRPr="00821096">
        <w:rPr>
          <w:rFonts w:ascii="Arial" w:hAnsi="Arial"/>
          <w:szCs w:val="24"/>
        </w:rPr>
        <w:fldChar w:fldCharType="separate"/>
      </w:r>
      <w:r w:rsidR="008263D3" w:rsidRPr="008263D3">
        <w:rPr>
          <w:rFonts w:ascii="Arial" w:hAnsi="Arial"/>
          <w:noProof/>
          <w:szCs w:val="24"/>
        </w:rPr>
        <w:t>(Johnson, Scholes and Whittington, 2017)</w:t>
      </w:r>
      <w:r w:rsidR="0015066D" w:rsidRPr="00821096">
        <w:rPr>
          <w:rFonts w:ascii="Arial" w:hAnsi="Arial"/>
          <w:szCs w:val="24"/>
        </w:rPr>
        <w:fldChar w:fldCharType="end"/>
      </w:r>
      <w:r w:rsidRPr="00821096">
        <w:rPr>
          <w:rFonts w:ascii="Arial" w:hAnsi="Arial"/>
          <w:szCs w:val="24"/>
        </w:rPr>
        <w:t xml:space="preserve">. The fact that the PESTLE enables managers to directly associate visible external trends (such as a shift in regulations, demand trends, and changes in technology) to strategic contingencies and reaction strategies is helpful </w:t>
      </w:r>
      <w:r w:rsidR="00CA623E" w:rsidRPr="00821096">
        <w:rPr>
          <w:rFonts w:ascii="Arial" w:hAnsi="Arial"/>
          <w:szCs w:val="24"/>
        </w:rPr>
        <w:fldChar w:fldCharType="begin" w:fldLock="1"/>
      </w:r>
      <w:r w:rsidR="002501A7">
        <w:rPr>
          <w:rFonts w:ascii="Arial" w:hAnsi="Arial"/>
          <w:szCs w:val="24"/>
        </w:rPr>
        <w:instrText>ADDIN CSL_CITATION {"citationItems":[{"id":"ITEM-1","itemData":{"author":[{"dropping-particle":"","family":"Kotler","given":"Philip","non-dropping-particle":"","parse-names":false,"suffix":""},{"dropping-particle":"","family":"Keller","given":"","non-dropping-particle":"","parse-names":false,"suffix":""},{"dropping-particle":"","family":"Manceau","given":"","non-dropping-particle":"","parse-names":false,"suffix":""},{"dropping-particle":"","family":"Hemonnet-Goujot","given":"Aurélie","non-dropping-particle":"","parse-names":false,"suffix":""}],"container-title":"Pearson Education","id":"ITEM-1","issued":{"date-parts":[["2016","9","1"]]},"title":"Marketing Management 15th","type":"book","volume":"83"},"uris":["http://www.mendeley.com/documents/?uuid=726668cc-6d66-4c31-905d-5a2d15bb17a2"]}],"mendeley":{"formattedCitation":"(Kotler &lt;i&gt;et al.&lt;/i&gt;, 2016)","plainTextFormattedCitation":"(Kotler et al., 2016)","previouslyFormattedCitation":"(Kotler &lt;i&gt;et al.&lt;/i&gt;, 2016)"},"properties":{"noteIndex":0},"schema":"https://github.com/citation-style-language/schema/raw/master/csl-citation.json"}</w:instrText>
      </w:r>
      <w:r w:rsidR="00CA623E" w:rsidRPr="00821096">
        <w:rPr>
          <w:rFonts w:ascii="Arial" w:hAnsi="Arial"/>
          <w:szCs w:val="24"/>
        </w:rPr>
        <w:fldChar w:fldCharType="separate"/>
      </w:r>
      <w:r w:rsidR="008263D3" w:rsidRPr="008263D3">
        <w:rPr>
          <w:rFonts w:ascii="Arial" w:hAnsi="Arial"/>
          <w:noProof/>
          <w:szCs w:val="24"/>
        </w:rPr>
        <w:t xml:space="preserve">(Kotler </w:t>
      </w:r>
      <w:r w:rsidR="008263D3" w:rsidRPr="008263D3">
        <w:rPr>
          <w:rFonts w:ascii="Arial" w:hAnsi="Arial"/>
          <w:i/>
          <w:noProof/>
          <w:szCs w:val="24"/>
        </w:rPr>
        <w:t>et al.</w:t>
      </w:r>
      <w:r w:rsidR="008263D3" w:rsidRPr="008263D3">
        <w:rPr>
          <w:rFonts w:ascii="Arial" w:hAnsi="Arial"/>
          <w:noProof/>
          <w:szCs w:val="24"/>
        </w:rPr>
        <w:t>, 2016)</w:t>
      </w:r>
      <w:r w:rsidR="00CA623E" w:rsidRPr="00821096">
        <w:rPr>
          <w:rFonts w:ascii="Arial" w:hAnsi="Arial"/>
          <w:szCs w:val="24"/>
        </w:rPr>
        <w:fldChar w:fldCharType="end"/>
      </w:r>
      <w:r w:rsidR="00CA623E" w:rsidRPr="00821096">
        <w:rPr>
          <w:rFonts w:ascii="Arial" w:hAnsi="Arial"/>
          <w:szCs w:val="24"/>
        </w:rPr>
        <w:t>.</w:t>
      </w:r>
    </w:p>
    <w:p w:rsidR="00E65D89" w:rsidRDefault="00112E52" w:rsidP="00A65458">
      <w:pPr>
        <w:rPr>
          <w:rFonts w:cs="Arial"/>
        </w:rPr>
      </w:pPr>
      <w:r w:rsidRPr="00821096">
        <w:rPr>
          <w:rFonts w:cs="Arial"/>
        </w:rPr>
        <w:t>To complete this report, I shall be looking at the electric vehicle (EV) industry and apply two macro-factors in detail, (1) government policy and trade/regulatory measures (Political/Legal) and (2) technological and battery-cost dynamics (Technological/Economic). The first one is chosen due to the fact that the EV adoption pattern by regions is being driven by the purchase incentive and fleet procurement regulations along with the local-content regulations significantly influencing the public policy</w:t>
      </w:r>
      <w:r w:rsidR="00CA623E" w:rsidRPr="00821096">
        <w:rPr>
          <w:rFonts w:cs="Arial"/>
        </w:rPr>
        <w:t xml:space="preserve"> </w:t>
      </w:r>
      <w:r w:rsidR="00CA623E" w:rsidRPr="00821096">
        <w:rPr>
          <w:rFonts w:cs="Arial"/>
        </w:rPr>
        <w:fldChar w:fldCharType="begin" w:fldLock="1"/>
      </w:r>
      <w:r w:rsidR="00C50E6D"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CA623E" w:rsidRPr="00821096">
        <w:rPr>
          <w:rFonts w:cs="Arial"/>
        </w:rPr>
        <w:fldChar w:fldCharType="separate"/>
      </w:r>
      <w:r w:rsidR="00CA623E" w:rsidRPr="00821096">
        <w:rPr>
          <w:rFonts w:cs="Arial"/>
          <w:noProof/>
        </w:rPr>
        <w:t>(International Energy Agency, 2025)</w:t>
      </w:r>
      <w:r w:rsidR="00CA623E" w:rsidRPr="00821096">
        <w:rPr>
          <w:rFonts w:cs="Arial"/>
        </w:rPr>
        <w:fldChar w:fldCharType="end"/>
      </w:r>
      <w:r w:rsidRPr="00821096">
        <w:rPr>
          <w:rFonts w:cs="Arial"/>
        </w:rPr>
        <w:t xml:space="preserve">. The latter factor is selected since </w:t>
      </w:r>
      <w:r w:rsidRPr="00821096">
        <w:rPr>
          <w:rFonts w:cs="Arial"/>
        </w:rPr>
        <w:lastRenderedPageBreak/>
        <w:t xml:space="preserve">expenses of the battery and associated technology progress define the affordability of vehicles by consumers leading to their adoption and unit economics of manufacturers </w:t>
      </w:r>
      <w:r w:rsidR="00C50E6D" w:rsidRPr="00821096">
        <w:rPr>
          <w:rFonts w:cs="Arial"/>
        </w:rPr>
        <w:fldChar w:fldCharType="begin" w:fldLock="1"/>
      </w:r>
      <w:r w:rsidR="00262B6B"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C50E6D" w:rsidRPr="00821096">
        <w:rPr>
          <w:rFonts w:cs="Arial"/>
        </w:rPr>
        <w:fldChar w:fldCharType="separate"/>
      </w:r>
      <w:r w:rsidR="00C50E6D" w:rsidRPr="00821096">
        <w:rPr>
          <w:rFonts w:cs="Arial"/>
          <w:noProof/>
        </w:rPr>
        <w:t>(International Energy Agency, 2025)</w:t>
      </w:r>
      <w:r w:rsidR="00C50E6D" w:rsidRPr="00821096">
        <w:rPr>
          <w:rFonts w:cs="Arial"/>
        </w:rPr>
        <w:fldChar w:fldCharType="end"/>
      </w:r>
      <w:r w:rsidR="00C50E6D" w:rsidRPr="00821096">
        <w:rPr>
          <w:rFonts w:cs="Arial"/>
        </w:rPr>
        <w:t>.</w:t>
      </w:r>
      <w:r w:rsidRPr="00821096">
        <w:rPr>
          <w:rFonts w:cs="Arial"/>
        </w:rPr>
        <w:t xml:space="preserve">Both indicators thus dictate the increase of demand, supply-chain structure and company-level economic and are tactical in the view of the companies that are competing in the industry </w:t>
      </w:r>
      <w:r w:rsidR="00262B6B" w:rsidRPr="00821096">
        <w:rPr>
          <w:rFonts w:cs="Arial"/>
        </w:rPr>
        <w:fldChar w:fldCharType="begin" w:fldLock="1"/>
      </w:r>
      <w:r w:rsidR="00345983">
        <w:rPr>
          <w:rFonts w:cs="Arial"/>
        </w:rPr>
        <w:instrText>ADDIN CSL_CITATION {"citationItems":[{"id":"ITEM-1","itemData":{"URL":"https://www.statista.com/study/103895/electric-vehicles-report/","accessed":{"date-parts":[["2026","3","3"]]},"author":[{"dropping-particle":"","family":"Statista","given":"","non-dropping-particle":"","parse-names":false,"suffix":""}],"container-title":"Statista","id":"ITEM-1","issued":{"date-parts":[["2024"]]},"title":"Electric Vehicles: market data &amp; analysis | Statista","type":"webpage"},"uris":["http://www.mendeley.com/documents/?uuid=156ac900-e486-3e71-854c-cac5b75bf19a"]}],"mendeley":{"formattedCitation":"(Statista, 2024)","plainTextFormattedCitation":"(Statista, 2024)","previouslyFormattedCitation":"(Statista, 2024)"},"properties":{"noteIndex":0},"schema":"https://github.com/citation-style-language/schema/raw/master/csl-citation.json"}</w:instrText>
      </w:r>
      <w:r w:rsidR="00262B6B" w:rsidRPr="00821096">
        <w:rPr>
          <w:rFonts w:cs="Arial"/>
        </w:rPr>
        <w:fldChar w:fldCharType="separate"/>
      </w:r>
      <w:r w:rsidR="0015756E" w:rsidRPr="0015756E">
        <w:rPr>
          <w:rFonts w:cs="Arial"/>
          <w:noProof/>
        </w:rPr>
        <w:t>(Statista, 2024)</w:t>
      </w:r>
      <w:r w:rsidR="00262B6B" w:rsidRPr="00821096">
        <w:rPr>
          <w:rFonts w:cs="Arial"/>
        </w:rPr>
        <w:fldChar w:fldCharType="end"/>
      </w:r>
      <w:r w:rsidR="00262B6B" w:rsidRPr="00821096">
        <w:rPr>
          <w:rFonts w:cs="Arial"/>
        </w:rPr>
        <w:t>.</w:t>
      </w:r>
    </w:p>
    <w:p w:rsidR="00E65D89" w:rsidRPr="00FF0C92" w:rsidRDefault="00FF0C92" w:rsidP="00FF0C92">
      <w:pPr>
        <w:pStyle w:val="Caption"/>
        <w:rPr>
          <w:rFonts w:eastAsia="Times New Roman" w:cs="Arial"/>
          <w:b/>
          <w:bCs/>
          <w:i w:val="0"/>
          <w:color w:val="4472C4" w:themeColor="accent1"/>
          <w:sz w:val="24"/>
          <w:szCs w:val="24"/>
        </w:rPr>
      </w:pPr>
      <w:bookmarkStart w:id="8" w:name="_Toc224914027"/>
      <w:r w:rsidRPr="00FF0C92">
        <w:rPr>
          <w:rFonts w:cs="Arial"/>
          <w:b/>
          <w:i w:val="0"/>
          <w:color w:val="4472C4" w:themeColor="accent1"/>
          <w:sz w:val="24"/>
          <w:szCs w:val="24"/>
        </w:rPr>
        <w:t xml:space="preserve">Table </w:t>
      </w:r>
      <w:r w:rsidRPr="00FF0C92">
        <w:rPr>
          <w:rFonts w:cs="Arial"/>
          <w:b/>
          <w:i w:val="0"/>
          <w:color w:val="4472C4" w:themeColor="accent1"/>
          <w:sz w:val="24"/>
          <w:szCs w:val="24"/>
        </w:rPr>
        <w:fldChar w:fldCharType="begin"/>
      </w:r>
      <w:r w:rsidRPr="00FF0C92">
        <w:rPr>
          <w:rFonts w:cs="Arial"/>
          <w:b/>
          <w:i w:val="0"/>
          <w:color w:val="4472C4" w:themeColor="accent1"/>
          <w:sz w:val="24"/>
          <w:szCs w:val="24"/>
        </w:rPr>
        <w:instrText xml:space="preserve"> SEQ Table \* ARABIC </w:instrText>
      </w:r>
      <w:r w:rsidRPr="00FF0C92">
        <w:rPr>
          <w:rFonts w:cs="Arial"/>
          <w:b/>
          <w:i w:val="0"/>
          <w:color w:val="4472C4" w:themeColor="accent1"/>
          <w:sz w:val="24"/>
          <w:szCs w:val="24"/>
        </w:rPr>
        <w:fldChar w:fldCharType="separate"/>
      </w:r>
      <w:r w:rsidR="006F1A12">
        <w:rPr>
          <w:rFonts w:cs="Arial"/>
          <w:b/>
          <w:i w:val="0"/>
          <w:noProof/>
          <w:color w:val="4472C4" w:themeColor="accent1"/>
          <w:sz w:val="24"/>
          <w:szCs w:val="24"/>
        </w:rPr>
        <w:t>1</w:t>
      </w:r>
      <w:r w:rsidRPr="00FF0C92">
        <w:rPr>
          <w:rFonts w:cs="Arial"/>
          <w:b/>
          <w:i w:val="0"/>
          <w:color w:val="4472C4" w:themeColor="accent1"/>
          <w:sz w:val="24"/>
          <w:szCs w:val="24"/>
        </w:rPr>
        <w:fldChar w:fldCharType="end"/>
      </w:r>
      <w:r w:rsidRPr="00FF0C92">
        <w:rPr>
          <w:rFonts w:cs="Arial"/>
          <w:b/>
          <w:i w:val="0"/>
          <w:color w:val="4472C4" w:themeColor="accent1"/>
          <w:sz w:val="24"/>
          <w:szCs w:val="24"/>
        </w:rPr>
        <w:t>: PESTLE Analysis of the Electric Vehicle (EV) Industry</w:t>
      </w:r>
      <w:bookmarkEnd w:id="8"/>
    </w:p>
    <w:tbl>
      <w:tblPr>
        <w:tblStyle w:val="TableGrid"/>
        <w:tblW w:w="9535" w:type="dxa"/>
        <w:tblLook w:val="04A0" w:firstRow="1" w:lastRow="0" w:firstColumn="1" w:lastColumn="0" w:noHBand="0" w:noVBand="1"/>
      </w:tblPr>
      <w:tblGrid>
        <w:gridCol w:w="1812"/>
        <w:gridCol w:w="3777"/>
        <w:gridCol w:w="2866"/>
        <w:gridCol w:w="1080"/>
      </w:tblGrid>
      <w:tr w:rsidR="00E65D89" w:rsidRPr="00143FD9" w:rsidTr="00746FAD">
        <w:tc>
          <w:tcPr>
            <w:tcW w:w="1763" w:type="dxa"/>
            <w:vAlign w:val="center"/>
          </w:tcPr>
          <w:p w:rsidR="00E65D89" w:rsidRPr="002B0051" w:rsidRDefault="00E65D89" w:rsidP="008E331F">
            <w:pPr>
              <w:spacing w:line="240" w:lineRule="auto"/>
              <w:jc w:val="center"/>
              <w:rPr>
                <w:rFonts w:eastAsia="Times New Roman" w:cs="Arial"/>
                <w:b/>
                <w:bCs/>
              </w:rPr>
            </w:pPr>
            <w:r w:rsidRPr="002B0051">
              <w:rPr>
                <w:rFonts w:eastAsia="Times New Roman" w:cs="Arial"/>
                <w:b/>
                <w:bCs/>
              </w:rPr>
              <w:t>Factor</w:t>
            </w:r>
          </w:p>
        </w:tc>
        <w:tc>
          <w:tcPr>
            <w:tcW w:w="3812" w:type="dxa"/>
            <w:vAlign w:val="center"/>
          </w:tcPr>
          <w:p w:rsidR="00E65D89" w:rsidRPr="002B0051" w:rsidRDefault="00E65D89" w:rsidP="008E331F">
            <w:pPr>
              <w:spacing w:line="240" w:lineRule="auto"/>
              <w:jc w:val="center"/>
              <w:rPr>
                <w:rFonts w:eastAsia="Times New Roman" w:cs="Arial"/>
                <w:b/>
                <w:bCs/>
              </w:rPr>
            </w:pPr>
            <w:r w:rsidRPr="002B0051">
              <w:rPr>
                <w:rFonts w:eastAsia="Times New Roman" w:cs="Arial"/>
                <w:b/>
                <w:bCs/>
              </w:rPr>
              <w:t>Key Points</w:t>
            </w:r>
          </w:p>
        </w:tc>
        <w:tc>
          <w:tcPr>
            <w:tcW w:w="2880" w:type="dxa"/>
            <w:vAlign w:val="center"/>
          </w:tcPr>
          <w:p w:rsidR="00E65D89" w:rsidRPr="002B0051" w:rsidRDefault="00E65D89" w:rsidP="008E331F">
            <w:pPr>
              <w:spacing w:line="240" w:lineRule="auto"/>
              <w:jc w:val="center"/>
              <w:rPr>
                <w:rFonts w:eastAsia="Times New Roman" w:cs="Arial"/>
                <w:b/>
                <w:bCs/>
              </w:rPr>
            </w:pPr>
            <w:r w:rsidRPr="002B0051">
              <w:rPr>
                <w:rFonts w:eastAsia="Times New Roman" w:cs="Arial"/>
                <w:b/>
                <w:bCs/>
              </w:rPr>
              <w:t>Strategic Impact</w:t>
            </w:r>
          </w:p>
        </w:tc>
        <w:tc>
          <w:tcPr>
            <w:tcW w:w="1080" w:type="dxa"/>
            <w:vAlign w:val="center"/>
          </w:tcPr>
          <w:p w:rsidR="00E65D89" w:rsidRPr="002B0051" w:rsidRDefault="00E65D89" w:rsidP="008E331F">
            <w:pPr>
              <w:spacing w:line="240" w:lineRule="auto"/>
              <w:jc w:val="center"/>
              <w:rPr>
                <w:rFonts w:eastAsia="Times New Roman" w:cs="Arial"/>
                <w:b/>
                <w:bCs/>
              </w:rPr>
            </w:pPr>
            <w:r w:rsidRPr="002B0051">
              <w:rPr>
                <w:rFonts w:eastAsia="Times New Roman" w:cs="Arial"/>
                <w:b/>
                <w:bCs/>
              </w:rPr>
              <w:t>Priority</w:t>
            </w:r>
          </w:p>
        </w:tc>
      </w:tr>
      <w:tr w:rsidR="00E65D89" w:rsidRPr="00143FD9" w:rsidTr="00746FAD">
        <w:tc>
          <w:tcPr>
            <w:tcW w:w="1763" w:type="dxa"/>
            <w:vAlign w:val="center"/>
          </w:tcPr>
          <w:p w:rsidR="00E65D89" w:rsidRPr="002B0051" w:rsidRDefault="00E65D89" w:rsidP="00143FD9">
            <w:pPr>
              <w:spacing w:line="240" w:lineRule="auto"/>
              <w:jc w:val="left"/>
              <w:rPr>
                <w:rFonts w:eastAsia="Times New Roman" w:cs="Arial"/>
                <w:b/>
              </w:rPr>
            </w:pPr>
            <w:r w:rsidRPr="00874E94">
              <w:rPr>
                <w:rFonts w:eastAsia="Times New Roman" w:cs="Arial"/>
                <w:b/>
                <w:bCs/>
              </w:rPr>
              <w:t>Political (Chosen)</w:t>
            </w:r>
          </w:p>
        </w:tc>
        <w:tc>
          <w:tcPr>
            <w:tcW w:w="3812"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Subsidies, fleet sources target and buying bonuses serve to boost the demand of EVs. Location of production is determined by industrial policies, as well as trade diplomacy.</w:t>
            </w:r>
          </w:p>
        </w:tc>
        <w:tc>
          <w:tcPr>
            <w:tcW w:w="2880"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 xml:space="preserve">Determines the size of the market in different regions and will possibly need market entry through </w:t>
            </w:r>
            <w:proofErr w:type="spellStart"/>
            <w:r w:rsidRPr="00143FD9">
              <w:rPr>
                <w:rFonts w:eastAsia="Times New Roman" w:cs="Arial"/>
              </w:rPr>
              <w:t>localisations</w:t>
            </w:r>
            <w:proofErr w:type="spellEnd"/>
            <w:r w:rsidRPr="00143FD9">
              <w:rPr>
                <w:rFonts w:eastAsia="Times New Roman" w:cs="Arial"/>
              </w:rPr>
              <w:t xml:space="preserve"> or joint venture.</w:t>
            </w:r>
          </w:p>
        </w:tc>
        <w:tc>
          <w:tcPr>
            <w:tcW w:w="1080" w:type="dxa"/>
            <w:vAlign w:val="center"/>
          </w:tcPr>
          <w:p w:rsidR="00E65D89" w:rsidRPr="002B0051" w:rsidRDefault="00E65D89" w:rsidP="00143FD9">
            <w:pPr>
              <w:spacing w:line="240" w:lineRule="auto"/>
              <w:jc w:val="left"/>
              <w:rPr>
                <w:rFonts w:eastAsia="Times New Roman" w:cs="Arial"/>
              </w:rPr>
            </w:pPr>
            <w:r w:rsidRPr="002B0051">
              <w:rPr>
                <w:rFonts w:eastAsia="Times New Roman" w:cs="Arial"/>
              </w:rPr>
              <w:t>High</w:t>
            </w:r>
          </w:p>
        </w:tc>
      </w:tr>
      <w:tr w:rsidR="00E65D89" w:rsidRPr="00143FD9" w:rsidTr="00746FAD">
        <w:tc>
          <w:tcPr>
            <w:tcW w:w="1763" w:type="dxa"/>
            <w:vAlign w:val="center"/>
          </w:tcPr>
          <w:p w:rsidR="00E65D89" w:rsidRPr="002B0051" w:rsidRDefault="00E65D89" w:rsidP="00143FD9">
            <w:pPr>
              <w:spacing w:line="240" w:lineRule="auto"/>
              <w:jc w:val="left"/>
              <w:rPr>
                <w:rFonts w:eastAsia="Times New Roman" w:cs="Arial"/>
              </w:rPr>
            </w:pPr>
            <w:r w:rsidRPr="00874E94">
              <w:rPr>
                <w:rFonts w:eastAsia="Times New Roman" w:cs="Arial"/>
                <w:bCs/>
              </w:rPr>
              <w:t>Economic</w:t>
            </w:r>
          </w:p>
        </w:tc>
        <w:tc>
          <w:tcPr>
            <w:tcW w:w="3812"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Trends in battery cost, GDP growth, inflation, and cost of raw-materials (lithium, nickel) influence costs of production and affordability.</w:t>
            </w:r>
          </w:p>
        </w:tc>
        <w:tc>
          <w:tcPr>
            <w:tcW w:w="2880"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Determines pricing strategy, margins and long-term investment decisions.</w:t>
            </w:r>
          </w:p>
        </w:tc>
        <w:tc>
          <w:tcPr>
            <w:tcW w:w="1080" w:type="dxa"/>
            <w:vAlign w:val="center"/>
          </w:tcPr>
          <w:p w:rsidR="00E65D89" w:rsidRPr="002B0051" w:rsidRDefault="00E65D89" w:rsidP="00143FD9">
            <w:pPr>
              <w:spacing w:line="240" w:lineRule="auto"/>
              <w:jc w:val="left"/>
              <w:rPr>
                <w:rFonts w:eastAsia="Times New Roman" w:cs="Arial"/>
              </w:rPr>
            </w:pPr>
            <w:r w:rsidRPr="002B0051">
              <w:rPr>
                <w:rFonts w:eastAsia="Times New Roman" w:cs="Arial"/>
              </w:rPr>
              <w:t>High</w:t>
            </w:r>
          </w:p>
        </w:tc>
      </w:tr>
      <w:tr w:rsidR="00E65D89" w:rsidRPr="00143FD9" w:rsidTr="00746FAD">
        <w:tc>
          <w:tcPr>
            <w:tcW w:w="1763" w:type="dxa"/>
            <w:vAlign w:val="center"/>
          </w:tcPr>
          <w:p w:rsidR="00E65D89" w:rsidRPr="002B0051" w:rsidRDefault="00E65D89" w:rsidP="00143FD9">
            <w:pPr>
              <w:spacing w:line="240" w:lineRule="auto"/>
              <w:jc w:val="left"/>
              <w:rPr>
                <w:rFonts w:eastAsia="Times New Roman" w:cs="Arial"/>
              </w:rPr>
            </w:pPr>
            <w:r w:rsidRPr="00874E94">
              <w:rPr>
                <w:rFonts w:eastAsia="Times New Roman" w:cs="Arial"/>
                <w:bCs/>
              </w:rPr>
              <w:t>Social</w:t>
            </w:r>
          </w:p>
        </w:tc>
        <w:tc>
          <w:tcPr>
            <w:tcW w:w="3812"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 xml:space="preserve">The popularity of sustainability and increased connectivity among consumers; </w:t>
            </w:r>
            <w:proofErr w:type="spellStart"/>
            <w:r w:rsidRPr="00143FD9">
              <w:rPr>
                <w:rFonts w:eastAsia="Times New Roman" w:cs="Arial"/>
              </w:rPr>
              <w:t>urbanisation</w:t>
            </w:r>
            <w:proofErr w:type="spellEnd"/>
            <w:r w:rsidRPr="00143FD9">
              <w:rPr>
                <w:rFonts w:eastAsia="Times New Roman" w:cs="Arial"/>
              </w:rPr>
              <w:t xml:space="preserve"> and shared mobility.</w:t>
            </w:r>
          </w:p>
        </w:tc>
        <w:tc>
          <w:tcPr>
            <w:tcW w:w="2880"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Influences market segmentations, positioning of the product as well as marketing approaches.</w:t>
            </w:r>
          </w:p>
        </w:tc>
        <w:tc>
          <w:tcPr>
            <w:tcW w:w="1080" w:type="dxa"/>
            <w:vAlign w:val="center"/>
          </w:tcPr>
          <w:p w:rsidR="00E65D89" w:rsidRPr="002B0051" w:rsidRDefault="00E65D89" w:rsidP="00143FD9">
            <w:pPr>
              <w:spacing w:line="240" w:lineRule="auto"/>
              <w:jc w:val="left"/>
              <w:rPr>
                <w:rFonts w:eastAsia="Times New Roman" w:cs="Arial"/>
              </w:rPr>
            </w:pPr>
            <w:r w:rsidRPr="002B0051">
              <w:rPr>
                <w:rFonts w:eastAsia="Times New Roman" w:cs="Arial"/>
              </w:rPr>
              <w:t>Medium</w:t>
            </w:r>
          </w:p>
        </w:tc>
      </w:tr>
      <w:tr w:rsidR="00E65D89" w:rsidRPr="00143FD9" w:rsidTr="00746FAD">
        <w:tc>
          <w:tcPr>
            <w:tcW w:w="1763" w:type="dxa"/>
            <w:vAlign w:val="center"/>
          </w:tcPr>
          <w:p w:rsidR="00E65D89" w:rsidRPr="002B0051" w:rsidRDefault="00E65D89" w:rsidP="00143FD9">
            <w:pPr>
              <w:spacing w:line="240" w:lineRule="auto"/>
              <w:jc w:val="left"/>
              <w:rPr>
                <w:rFonts w:eastAsia="Times New Roman" w:cs="Arial"/>
                <w:b/>
              </w:rPr>
            </w:pPr>
            <w:r w:rsidRPr="00874E94">
              <w:rPr>
                <w:rFonts w:eastAsia="Times New Roman" w:cs="Arial"/>
                <w:b/>
                <w:bCs/>
              </w:rPr>
              <w:t>Technological (Chosen)</w:t>
            </w:r>
          </w:p>
        </w:tc>
        <w:tc>
          <w:tcPr>
            <w:tcW w:w="3812"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Innovation in the battery chemistry, charging infrastructure and software integration enhance the performance and user experience.</w:t>
            </w:r>
          </w:p>
        </w:tc>
        <w:tc>
          <w:tcPr>
            <w:tcW w:w="2880"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Promotes innovation, competitiveness, and the investment in the R&amp;D.</w:t>
            </w:r>
          </w:p>
        </w:tc>
        <w:tc>
          <w:tcPr>
            <w:tcW w:w="1080" w:type="dxa"/>
            <w:vAlign w:val="center"/>
          </w:tcPr>
          <w:p w:rsidR="00E65D89" w:rsidRPr="002B0051" w:rsidRDefault="00E65D89" w:rsidP="00143FD9">
            <w:pPr>
              <w:spacing w:line="240" w:lineRule="auto"/>
              <w:jc w:val="left"/>
              <w:rPr>
                <w:rFonts w:eastAsia="Times New Roman" w:cs="Arial"/>
              </w:rPr>
            </w:pPr>
            <w:r w:rsidRPr="002B0051">
              <w:rPr>
                <w:rFonts w:eastAsia="Times New Roman" w:cs="Arial"/>
              </w:rPr>
              <w:t>High</w:t>
            </w:r>
          </w:p>
        </w:tc>
      </w:tr>
      <w:tr w:rsidR="00E65D89" w:rsidRPr="00143FD9" w:rsidTr="00746FAD">
        <w:tc>
          <w:tcPr>
            <w:tcW w:w="1763" w:type="dxa"/>
            <w:vAlign w:val="center"/>
          </w:tcPr>
          <w:p w:rsidR="00E65D89" w:rsidRPr="002B0051" w:rsidRDefault="00E65D89" w:rsidP="00143FD9">
            <w:pPr>
              <w:spacing w:line="240" w:lineRule="auto"/>
              <w:jc w:val="left"/>
              <w:rPr>
                <w:rFonts w:eastAsia="Times New Roman" w:cs="Arial"/>
              </w:rPr>
            </w:pPr>
            <w:r w:rsidRPr="00874E94">
              <w:rPr>
                <w:rFonts w:eastAsia="Times New Roman" w:cs="Arial"/>
                <w:bCs/>
              </w:rPr>
              <w:t>Legal</w:t>
            </w:r>
          </w:p>
        </w:tc>
        <w:tc>
          <w:tcPr>
            <w:tcW w:w="3812"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There is a difference in measures of emittance in different markets, safety provisions and trade restrictions.</w:t>
            </w:r>
          </w:p>
        </w:tc>
        <w:tc>
          <w:tcPr>
            <w:tcW w:w="2880"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Needs compliance with the regulations and can influence the pricing and export.</w:t>
            </w:r>
          </w:p>
        </w:tc>
        <w:tc>
          <w:tcPr>
            <w:tcW w:w="1080" w:type="dxa"/>
            <w:vAlign w:val="center"/>
          </w:tcPr>
          <w:p w:rsidR="00E65D89" w:rsidRPr="002B0051" w:rsidRDefault="00E65D89" w:rsidP="00143FD9">
            <w:pPr>
              <w:spacing w:line="240" w:lineRule="auto"/>
              <w:jc w:val="left"/>
              <w:rPr>
                <w:rFonts w:eastAsia="Times New Roman" w:cs="Arial"/>
              </w:rPr>
            </w:pPr>
            <w:r w:rsidRPr="002B0051">
              <w:rPr>
                <w:rFonts w:eastAsia="Times New Roman" w:cs="Arial"/>
              </w:rPr>
              <w:t>Medium</w:t>
            </w:r>
          </w:p>
        </w:tc>
      </w:tr>
      <w:tr w:rsidR="00E65D89" w:rsidRPr="00143FD9" w:rsidTr="00746FAD">
        <w:tc>
          <w:tcPr>
            <w:tcW w:w="1763" w:type="dxa"/>
            <w:vAlign w:val="center"/>
          </w:tcPr>
          <w:p w:rsidR="00E65D89" w:rsidRPr="002B0051" w:rsidRDefault="00E65D89" w:rsidP="00143FD9">
            <w:pPr>
              <w:spacing w:line="240" w:lineRule="auto"/>
              <w:jc w:val="left"/>
              <w:rPr>
                <w:rFonts w:eastAsia="Times New Roman" w:cs="Arial"/>
              </w:rPr>
            </w:pPr>
            <w:r w:rsidRPr="00874E94">
              <w:rPr>
                <w:rFonts w:eastAsia="Times New Roman" w:cs="Arial"/>
                <w:bCs/>
              </w:rPr>
              <w:t>Environmental</w:t>
            </w:r>
          </w:p>
        </w:tc>
        <w:tc>
          <w:tcPr>
            <w:tcW w:w="3812"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Climate policy, lifecycle emission issues, battery recycling programs.</w:t>
            </w:r>
          </w:p>
        </w:tc>
        <w:tc>
          <w:tcPr>
            <w:tcW w:w="2880" w:type="dxa"/>
            <w:vAlign w:val="center"/>
          </w:tcPr>
          <w:p w:rsidR="00E65D89" w:rsidRPr="002B0051" w:rsidRDefault="00E65D89" w:rsidP="00143FD9">
            <w:pPr>
              <w:spacing w:line="240" w:lineRule="auto"/>
              <w:jc w:val="left"/>
              <w:rPr>
                <w:rFonts w:eastAsia="Times New Roman" w:cs="Arial"/>
              </w:rPr>
            </w:pPr>
            <w:r w:rsidRPr="00143FD9">
              <w:rPr>
                <w:rFonts w:eastAsia="Times New Roman" w:cs="Arial"/>
              </w:rPr>
              <w:t>Promotes the environmental friendliness in design of products and enhances environmental branding.</w:t>
            </w:r>
          </w:p>
        </w:tc>
        <w:tc>
          <w:tcPr>
            <w:tcW w:w="1080" w:type="dxa"/>
            <w:vAlign w:val="center"/>
          </w:tcPr>
          <w:p w:rsidR="00E65D89" w:rsidRPr="002B0051" w:rsidRDefault="00E65D89" w:rsidP="00143FD9">
            <w:pPr>
              <w:spacing w:line="240" w:lineRule="auto"/>
              <w:jc w:val="left"/>
              <w:rPr>
                <w:rFonts w:eastAsia="Times New Roman" w:cs="Arial"/>
              </w:rPr>
            </w:pPr>
            <w:r w:rsidRPr="002B0051">
              <w:rPr>
                <w:rFonts w:eastAsia="Times New Roman" w:cs="Arial"/>
              </w:rPr>
              <w:t>Medium</w:t>
            </w:r>
          </w:p>
        </w:tc>
      </w:tr>
    </w:tbl>
    <w:p w:rsidR="00550D05" w:rsidRPr="001D5263" w:rsidRDefault="00114AE5" w:rsidP="00C71026">
      <w:pPr>
        <w:spacing w:before="100" w:beforeAutospacing="1" w:after="100" w:afterAutospacing="1" w:line="240" w:lineRule="auto"/>
        <w:jc w:val="left"/>
        <w:rPr>
          <w:rFonts w:cs="Arial"/>
          <w:i/>
        </w:rPr>
      </w:pPr>
      <w:r w:rsidRPr="001D5263">
        <w:rPr>
          <w:rFonts w:eastAsia="Times New Roman" w:cs="Arial"/>
          <w:i/>
          <w:sz w:val="18"/>
          <w:szCs w:val="18"/>
        </w:rPr>
        <w:t xml:space="preserve">Source: </w:t>
      </w:r>
      <w:r w:rsidR="00C71026" w:rsidRPr="001D5263">
        <w:rPr>
          <w:rFonts w:eastAsia="Times New Roman" w:cs="Arial"/>
          <w:i/>
          <w:sz w:val="18"/>
          <w:szCs w:val="18"/>
        </w:rPr>
        <w:t>(</w:t>
      </w:r>
      <w:r w:rsidRPr="001D5263">
        <w:rPr>
          <w:rFonts w:eastAsia="Times New Roman" w:cs="Arial"/>
          <w:i/>
          <w:sz w:val="18"/>
          <w:szCs w:val="18"/>
        </w:rPr>
        <w:t>Adapted from</w:t>
      </w:r>
      <w:r w:rsidR="00B57B0D" w:rsidRPr="001D5263">
        <w:rPr>
          <w:rFonts w:eastAsia="Times New Roman" w:cs="Arial"/>
          <w:i/>
          <w:sz w:val="18"/>
          <w:szCs w:val="18"/>
        </w:rPr>
        <w:t xml:space="preserve"> </w:t>
      </w:r>
      <w:r w:rsidR="00C71026" w:rsidRPr="001D5263">
        <w:rPr>
          <w:rFonts w:eastAsia="Times New Roman" w:cs="Arial"/>
          <w:i/>
          <w:sz w:val="18"/>
          <w:szCs w:val="18"/>
        </w:rPr>
        <w:fldChar w:fldCharType="begin" w:fldLock="1"/>
      </w:r>
      <w:r w:rsidR="00C94EA8" w:rsidRPr="001D5263">
        <w:rPr>
          <w:rFonts w:eastAsia="Times New Roman" w:cs="Arial"/>
          <w:i/>
          <w:sz w:val="18"/>
          <w:szCs w:val="18"/>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id":"ITEM-2","itemData":{"URL":"https://www.acea.auto/pc-registrations/new-car-registrations-1-8-in-2025-battery-electric-17-4-market-share/?","accessed":{"date-parts":[["2026","3","3"]]},"author":[{"dropping-particle":"","family":"ACEA","given":"","non-dropping-particle":"","parse-names":false,"suffix":""}],"container-title":"ACEA","id":"ITEM-2","issued":{"date-parts":[["2026"]]},"title":"New car registrations: +1.8% in 2025; battery-electric 17.4% market share - ACEA - European Automobile Manufacturers' Association","type":"webpage"},"uris":["http://www.mendeley.com/documents/?uuid=76e26c23-12c4-3870-bf48-4d629b2fec30"]}],"mendeley":{"formattedCitation":"(International Energy Agency, 2025; ACEA, 2026)","manualFormatting":"International Energy Agency, 2025; ACEA, 2026)","plainTextFormattedCitation":"(International Energy Agency, 2025; ACEA, 2026)","previouslyFormattedCitation":"(International Energy Agency, 2025; ACEA, 2026)"},"properties":{"noteIndex":0},"schema":"https://github.com/citation-style-language/schema/raw/master/csl-citation.json"}</w:instrText>
      </w:r>
      <w:r w:rsidR="00C71026" w:rsidRPr="001D5263">
        <w:rPr>
          <w:rFonts w:eastAsia="Times New Roman" w:cs="Arial"/>
          <w:i/>
          <w:sz w:val="18"/>
          <w:szCs w:val="18"/>
        </w:rPr>
        <w:fldChar w:fldCharType="separate"/>
      </w:r>
      <w:r w:rsidR="00C71026" w:rsidRPr="001D5263">
        <w:rPr>
          <w:rFonts w:eastAsia="Times New Roman" w:cs="Arial"/>
          <w:i/>
          <w:noProof/>
          <w:sz w:val="18"/>
          <w:szCs w:val="18"/>
        </w:rPr>
        <w:t>International Energy Agency, 2025; ACEA, 2026)</w:t>
      </w:r>
      <w:r w:rsidR="00C71026" w:rsidRPr="001D5263">
        <w:rPr>
          <w:rFonts w:eastAsia="Times New Roman" w:cs="Arial"/>
          <w:i/>
          <w:sz w:val="18"/>
          <w:szCs w:val="18"/>
        </w:rPr>
        <w:fldChar w:fldCharType="end"/>
      </w:r>
    </w:p>
    <w:p w:rsidR="00550D05" w:rsidRDefault="00550D05" w:rsidP="009352DE">
      <w:pPr>
        <w:rPr>
          <w:rFonts w:cs="Arial"/>
        </w:rPr>
      </w:pPr>
    </w:p>
    <w:p w:rsidR="00E65D89" w:rsidRPr="00821096" w:rsidRDefault="00E65D89" w:rsidP="00E65D89">
      <w:pPr>
        <w:spacing w:line="259" w:lineRule="auto"/>
        <w:jc w:val="left"/>
        <w:rPr>
          <w:rFonts w:cs="Arial"/>
        </w:rPr>
      </w:pPr>
      <w:r>
        <w:rPr>
          <w:rFonts w:cs="Arial"/>
        </w:rPr>
        <w:br w:type="page"/>
      </w:r>
    </w:p>
    <w:p w:rsidR="00692934" w:rsidRPr="00821096" w:rsidRDefault="00692934" w:rsidP="004B4DE3">
      <w:pPr>
        <w:pStyle w:val="Heading2"/>
        <w:rPr>
          <w:rFonts w:cs="Arial"/>
        </w:rPr>
      </w:pPr>
      <w:bookmarkStart w:id="9" w:name="_Toc223436258"/>
      <w:bookmarkStart w:id="10" w:name="_Toc224914014"/>
      <w:r w:rsidRPr="00821096">
        <w:rPr>
          <w:rFonts w:cs="Arial"/>
        </w:rPr>
        <w:lastRenderedPageBreak/>
        <w:t>2.2 Analysis of Macro Factor 1: Government policy, incentives and trade measures</w:t>
      </w:r>
      <w:bookmarkEnd w:id="9"/>
      <w:bookmarkEnd w:id="10"/>
    </w:p>
    <w:p w:rsidR="00692934" w:rsidRPr="00821096" w:rsidRDefault="00692934" w:rsidP="004B4DE3">
      <w:pPr>
        <w:pStyle w:val="Heading2"/>
        <w:rPr>
          <w:rFonts w:cs="Arial"/>
        </w:rPr>
      </w:pPr>
      <w:bookmarkStart w:id="11" w:name="_Toc223436259"/>
      <w:bookmarkStart w:id="12" w:name="_Toc224914015"/>
      <w:r w:rsidRPr="00821096">
        <w:rPr>
          <w:rFonts w:cs="Arial"/>
        </w:rPr>
        <w:t xml:space="preserve">2.2.1 Impact on the pioneer </w:t>
      </w:r>
      <w:proofErr w:type="spellStart"/>
      <w:r w:rsidRPr="00821096">
        <w:rPr>
          <w:rFonts w:cs="Arial"/>
        </w:rPr>
        <w:t>organi</w:t>
      </w:r>
      <w:r w:rsidR="009352DE" w:rsidRPr="00821096">
        <w:rPr>
          <w:rFonts w:cs="Arial"/>
        </w:rPr>
        <w:t>s</w:t>
      </w:r>
      <w:r w:rsidRPr="00821096">
        <w:rPr>
          <w:rFonts w:cs="Arial"/>
        </w:rPr>
        <w:t>ation</w:t>
      </w:r>
      <w:proofErr w:type="spellEnd"/>
      <w:r w:rsidRPr="00821096">
        <w:rPr>
          <w:rFonts w:cs="Arial"/>
        </w:rPr>
        <w:t>: Tesla, Inc.</w:t>
      </w:r>
      <w:bookmarkEnd w:id="11"/>
      <w:bookmarkEnd w:id="12"/>
    </w:p>
    <w:p w:rsidR="003E69E1" w:rsidRPr="00821096" w:rsidRDefault="00112E52" w:rsidP="001E7F96">
      <w:pPr>
        <w:rPr>
          <w:rFonts w:cs="Arial"/>
        </w:rPr>
      </w:pPr>
      <w:r w:rsidRPr="00821096">
        <w:rPr>
          <w:rFonts w:cs="Arial"/>
        </w:rPr>
        <w:t>Regulatory facilitation and incentives of the government boost the near-term demand of EVs and market availability of incumbents</w:t>
      </w:r>
      <w:r w:rsidR="003B19A1" w:rsidRPr="00821096">
        <w:rPr>
          <w:rFonts w:cs="Arial"/>
        </w:rPr>
        <w:t xml:space="preserve"> </w:t>
      </w:r>
      <w:r w:rsidR="003B19A1" w:rsidRPr="00821096">
        <w:rPr>
          <w:rFonts w:cs="Arial"/>
        </w:rPr>
        <w:fldChar w:fldCharType="begin" w:fldLock="1"/>
      </w:r>
      <w:r w:rsidR="003B19A1"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3B19A1" w:rsidRPr="00821096">
        <w:rPr>
          <w:rFonts w:cs="Arial"/>
        </w:rPr>
        <w:fldChar w:fldCharType="separate"/>
      </w:r>
      <w:r w:rsidR="003B19A1" w:rsidRPr="00821096">
        <w:rPr>
          <w:rFonts w:cs="Arial"/>
          <w:noProof/>
        </w:rPr>
        <w:t>(International Energy Agency, 2025)</w:t>
      </w:r>
      <w:r w:rsidR="003B19A1" w:rsidRPr="00821096">
        <w:rPr>
          <w:rFonts w:cs="Arial"/>
        </w:rPr>
        <w:fldChar w:fldCharType="end"/>
      </w:r>
      <w:r w:rsidRPr="00821096">
        <w:rPr>
          <w:rFonts w:cs="Arial"/>
        </w:rPr>
        <w:t xml:space="preserve">. Meanwhile, the industrial policies which condition subsidies on local production or local-content requirement introduce compliance costs to the foreign producers, which is a strategically dangerous situation whereby local rules are stringent </w:t>
      </w:r>
      <w:r w:rsidR="003B19A1" w:rsidRPr="00821096">
        <w:rPr>
          <w:rFonts w:cs="Arial"/>
        </w:rPr>
        <w:fldChar w:fldCharType="begin" w:fldLock="1"/>
      </w:r>
      <w:r w:rsidR="00EA5B0D"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3B19A1" w:rsidRPr="00821096">
        <w:rPr>
          <w:rFonts w:cs="Arial"/>
        </w:rPr>
        <w:fldChar w:fldCharType="separate"/>
      </w:r>
      <w:r w:rsidR="003B19A1" w:rsidRPr="00821096">
        <w:rPr>
          <w:rFonts w:cs="Arial"/>
          <w:noProof/>
        </w:rPr>
        <w:t>(International Energy Agency, 2025)</w:t>
      </w:r>
      <w:r w:rsidR="003B19A1" w:rsidRPr="00821096">
        <w:rPr>
          <w:rFonts w:cs="Arial"/>
        </w:rPr>
        <w:fldChar w:fldCharType="end"/>
      </w:r>
      <w:r w:rsidRPr="00821096">
        <w:rPr>
          <w:rFonts w:cs="Arial"/>
        </w:rPr>
        <w:t xml:space="preserve">. Empirical reviews of industries positively associate regional incentive schemes with EV registration spikes, meaning that its sales figures are sensitive to its design </w:t>
      </w:r>
      <w:r w:rsidR="00EA5B0D" w:rsidRPr="00821096">
        <w:rPr>
          <w:rFonts w:cs="Arial"/>
        </w:rPr>
        <w:fldChar w:fldCharType="begin" w:fldLock="1"/>
      </w:r>
      <w:r w:rsidR="001D5094" w:rsidRPr="00821096">
        <w:rPr>
          <w:rFonts w:cs="Arial"/>
        </w:rPr>
        <w:instrText>ADDIN CSL_CITATION {"citationItems":[{"id":"ITEM-1","itemData":{"URL":"https://www.acea.auto/pc-registrations/new-car-registrations-1-8-in-2025-battery-electric-17-4-market-share/?","accessed":{"date-parts":[["2026","3","3"]]},"author":[{"dropping-particle":"","family":"ACEA","given":"","non-dropping-particle":"","parse-names":false,"suffix":""}],"container-title":"ACEA","id":"ITEM-1","issued":{"date-parts":[["2026"]]},"title":"New car registrations: +1.8% in 2025; battery-electric 17.4% market share - ACEA - European Automobile Manufacturers' Association","type":"webpage"},"uris":["http://www.mendeley.com/documents/?uuid=76e26c23-12c4-3870-bf48-4d629b2fec30"]}],"mendeley":{"formattedCitation":"(ACEA, 2026)","plainTextFormattedCitation":"(ACEA, 2026)","previouslyFormattedCitation":"(ACEA, 2026)"},"properties":{"noteIndex":0},"schema":"https://github.com/citation-style-language/schema/raw/master/csl-citation.json"}</w:instrText>
      </w:r>
      <w:r w:rsidR="00EA5B0D" w:rsidRPr="00821096">
        <w:rPr>
          <w:rFonts w:cs="Arial"/>
        </w:rPr>
        <w:fldChar w:fldCharType="separate"/>
      </w:r>
      <w:r w:rsidR="00EA5B0D" w:rsidRPr="00821096">
        <w:rPr>
          <w:rFonts w:cs="Arial"/>
          <w:noProof/>
        </w:rPr>
        <w:t>(ACEA, 2026)</w:t>
      </w:r>
      <w:r w:rsidR="00EA5B0D" w:rsidRPr="00821096">
        <w:rPr>
          <w:rFonts w:cs="Arial"/>
        </w:rPr>
        <w:fldChar w:fldCharType="end"/>
      </w:r>
      <w:r w:rsidRPr="00821096">
        <w:rPr>
          <w:rFonts w:cs="Arial"/>
        </w:rPr>
        <w:t>. The response rate to the subsidy schedule and tax treatment of major markets in Tesla has been responsive</w:t>
      </w:r>
      <w:r w:rsidR="001D5094" w:rsidRPr="00821096">
        <w:rPr>
          <w:rFonts w:cs="Arial"/>
        </w:rPr>
        <w:t xml:space="preserve"> </w:t>
      </w:r>
      <w:r w:rsidR="001D5094" w:rsidRPr="00821096">
        <w:rPr>
          <w:rFonts w:cs="Arial"/>
        </w:rPr>
        <w:fldChar w:fldCharType="begin" w:fldLock="1"/>
      </w:r>
      <w:r w:rsidR="00AE6C80" w:rsidRPr="00821096">
        <w:rPr>
          <w:rFonts w:cs="Arial"/>
        </w:rPr>
        <w:instrText>ADDIN CSL_CITATION {"citationItems":[{"id":"ITEM-1","itemData":{"URL":"https://ir.tesla.com/press-release/tesla-fourth-quarter-2024-production-deliveries-and-deployments?","accessed":{"date-parts":[["2026","3","3"]]},"author":[{"dropping-particle":"","family":"Business Wire","given":"","non-dropping-particle":"","parse-names":false,"suffix":""}],"container-title":"Tesla","id":"ITEM-1","issued":{"date-parts":[["2025"]]},"title":"Tesla Fourth Quarter 2024 Production, Deliveries &amp; Deployments | Tesla Investor Relations","type":"webpage"},"uris":["http://www.mendeley.com/documents/?uuid=6cd11798-10f3-39da-ac65-f1a1a8fc7880"]}],"mendeley":{"formattedCitation":"(Business Wire, 2025)","plainTextFormattedCitation":"(Business Wire, 2025)","previouslyFormattedCitation":"(Business Wire, 2025)"},"properties":{"noteIndex":0},"schema":"https://github.com/citation-style-language/schema/raw/master/csl-citation.json"}</w:instrText>
      </w:r>
      <w:r w:rsidR="001D5094" w:rsidRPr="00821096">
        <w:rPr>
          <w:rFonts w:cs="Arial"/>
        </w:rPr>
        <w:fldChar w:fldCharType="separate"/>
      </w:r>
      <w:r w:rsidR="001D5094" w:rsidRPr="00821096">
        <w:rPr>
          <w:rFonts w:cs="Arial"/>
          <w:noProof/>
        </w:rPr>
        <w:t>(Business Wire, 2025)</w:t>
      </w:r>
      <w:r w:rsidR="001D5094" w:rsidRPr="00821096">
        <w:rPr>
          <w:rFonts w:cs="Arial"/>
        </w:rPr>
        <w:fldChar w:fldCharType="end"/>
      </w:r>
      <w:r w:rsidRPr="00821096">
        <w:rPr>
          <w:rFonts w:cs="Arial"/>
        </w:rPr>
        <w:t>. The current international presence and localized production (</w:t>
      </w:r>
      <w:proofErr w:type="spellStart"/>
      <w:r w:rsidRPr="00821096">
        <w:rPr>
          <w:rFonts w:cs="Arial"/>
        </w:rPr>
        <w:t>Gigafactories</w:t>
      </w:r>
      <w:proofErr w:type="spellEnd"/>
      <w:r w:rsidRPr="00821096">
        <w:rPr>
          <w:rFonts w:cs="Arial"/>
        </w:rPr>
        <w:t>) of Tesla is incomplete protection against subsidy conditionalities in that the company can manufacture products much closer to demand, which facilitates strategic flexibility</w:t>
      </w:r>
      <w:r w:rsidR="001D5094" w:rsidRPr="00821096">
        <w:rPr>
          <w:rFonts w:cs="Arial"/>
        </w:rPr>
        <w:t xml:space="preserve"> </w:t>
      </w:r>
      <w:r w:rsidR="001D5094" w:rsidRPr="00821096">
        <w:rPr>
          <w:rFonts w:cs="Arial"/>
        </w:rPr>
        <w:fldChar w:fldCharType="begin" w:fldLock="1"/>
      </w:r>
      <w:r w:rsidR="00AE6C80" w:rsidRPr="00821096">
        <w:rPr>
          <w:rFonts w:cs="Arial"/>
        </w:rPr>
        <w:instrText>ADDIN CSL_CITATION {"citationItems":[{"id":"ITEM-1","itemData":{"URL":"https://ir.tesla.com/press-release/tesla-fourth-quarter-2024-production-deliveries-and-deployments?","accessed":{"date-parts":[["2026","3","3"]]},"author":[{"dropping-particle":"","family":"Business Wire","given":"","non-dropping-particle":"","parse-names":false,"suffix":""}],"container-title":"Tesla","id":"ITEM-1","issued":{"date-parts":[["2025"]]},"title":"Tesla Fourth Quarter 2024 Production, Deliveries &amp; Deployments | Tesla Investor Relations","type":"webpage"},"uris":["http://www.mendeley.com/documents/?uuid=6cd11798-10f3-39da-ac65-f1a1a8fc7880"]}],"mendeley":{"formattedCitation":"(Business Wire, 2025)","plainTextFormattedCitation":"(Business Wire, 2025)","previouslyFormattedCitation":"(Business Wire, 2025)"},"properties":{"noteIndex":0},"schema":"https://github.com/citation-style-language/schema/raw/master/csl-citation.json"}</w:instrText>
      </w:r>
      <w:r w:rsidR="001D5094" w:rsidRPr="00821096">
        <w:rPr>
          <w:rFonts w:cs="Arial"/>
        </w:rPr>
        <w:fldChar w:fldCharType="separate"/>
      </w:r>
      <w:r w:rsidR="001D5094" w:rsidRPr="00821096">
        <w:rPr>
          <w:rFonts w:cs="Arial"/>
          <w:noProof/>
        </w:rPr>
        <w:t>(Business Wire, 2025)</w:t>
      </w:r>
      <w:r w:rsidR="001D5094" w:rsidRPr="00821096">
        <w:rPr>
          <w:rFonts w:cs="Arial"/>
        </w:rPr>
        <w:fldChar w:fldCharType="end"/>
      </w:r>
      <w:r w:rsidRPr="00821096">
        <w:rPr>
          <w:rFonts w:cs="Arial"/>
        </w:rPr>
        <w:t>. Nonetheless, policy instability creates more uncertainty, consequently creating greater importance to regulatory intelligence and adaptive supply-chain capabilities as a source of sustainable advantage</w:t>
      </w:r>
      <w:r w:rsidR="001D5094" w:rsidRPr="00821096">
        <w:rPr>
          <w:rFonts w:cs="Arial"/>
        </w:rPr>
        <w:t>.</w:t>
      </w:r>
    </w:p>
    <w:p w:rsidR="00342C46" w:rsidRPr="00821096" w:rsidRDefault="00342C46" w:rsidP="004B4DE3">
      <w:pPr>
        <w:pStyle w:val="Heading2"/>
        <w:rPr>
          <w:rFonts w:cs="Arial"/>
        </w:rPr>
      </w:pPr>
      <w:bookmarkStart w:id="13" w:name="_Toc223436260"/>
      <w:bookmarkStart w:id="14" w:name="_Toc224914016"/>
      <w:r w:rsidRPr="00821096">
        <w:rPr>
          <w:rFonts w:cs="Arial"/>
        </w:rPr>
        <w:t xml:space="preserve">2.2.2 Impact on the follower </w:t>
      </w:r>
      <w:proofErr w:type="spellStart"/>
      <w:r w:rsidRPr="00821096">
        <w:rPr>
          <w:rFonts w:cs="Arial"/>
        </w:rPr>
        <w:t>organi</w:t>
      </w:r>
      <w:r w:rsidR="009352DE" w:rsidRPr="00821096">
        <w:rPr>
          <w:rFonts w:cs="Arial"/>
        </w:rPr>
        <w:t>s</w:t>
      </w:r>
      <w:r w:rsidRPr="00821096">
        <w:rPr>
          <w:rFonts w:cs="Arial"/>
        </w:rPr>
        <w:t>ation</w:t>
      </w:r>
      <w:proofErr w:type="spellEnd"/>
      <w:r w:rsidRPr="00821096">
        <w:rPr>
          <w:rFonts w:cs="Arial"/>
        </w:rPr>
        <w:t>: BYD Company Limited</w:t>
      </w:r>
      <w:bookmarkEnd w:id="13"/>
      <w:bookmarkEnd w:id="14"/>
    </w:p>
    <w:p w:rsidR="00112E52" w:rsidRDefault="00112E52" w:rsidP="009352DE">
      <w:pPr>
        <w:rPr>
          <w:rFonts w:cs="Arial"/>
        </w:rPr>
      </w:pPr>
      <w:r w:rsidRPr="00821096">
        <w:rPr>
          <w:rFonts w:cs="Arial"/>
        </w:rPr>
        <w:t xml:space="preserve">The Chinese approach of domestic policy support (direct subsidies, local procurement, and industrial coordination) has allowed domestic adherers to increase production and domestic market share within a short period, and this is a huge opportunity to the firm like BYD </w:t>
      </w:r>
      <w:r w:rsidR="00FF3975" w:rsidRPr="00821096">
        <w:rPr>
          <w:rFonts w:cs="Arial"/>
        </w:rPr>
        <w:fldChar w:fldCharType="begin" w:fldLock="1"/>
      </w:r>
      <w:r w:rsidR="00FF3975"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FF3975" w:rsidRPr="00821096">
        <w:rPr>
          <w:rFonts w:cs="Arial"/>
        </w:rPr>
        <w:fldChar w:fldCharType="separate"/>
      </w:r>
      <w:r w:rsidR="00FF3975" w:rsidRPr="00821096">
        <w:rPr>
          <w:rFonts w:cs="Arial"/>
          <w:noProof/>
        </w:rPr>
        <w:t>(International Energy Agency, 2025)</w:t>
      </w:r>
      <w:r w:rsidR="00FF3975" w:rsidRPr="00821096">
        <w:rPr>
          <w:rFonts w:cs="Arial"/>
        </w:rPr>
        <w:fldChar w:fldCharType="end"/>
      </w:r>
      <w:r w:rsidRPr="00821096">
        <w:rPr>
          <w:rFonts w:cs="Arial"/>
        </w:rPr>
        <w:t>. The home-market demand and verticalization of battery manufacturing reduces the unit cost exposure of BYD and enhances its ability to resist the international supply shock</w:t>
      </w:r>
      <w:r w:rsidR="00FF3975" w:rsidRPr="00821096">
        <w:rPr>
          <w:rFonts w:cs="Arial"/>
        </w:rPr>
        <w:t xml:space="preserve"> </w:t>
      </w:r>
      <w:r w:rsidR="00FF3975" w:rsidRPr="00821096">
        <w:rPr>
          <w:rFonts w:cs="Arial"/>
        </w:rPr>
        <w:fldChar w:fldCharType="begin" w:fldLock="1"/>
      </w:r>
      <w:r w:rsidR="00E34533" w:rsidRPr="00821096">
        <w:rPr>
          <w:rFonts w:cs="Arial"/>
        </w:rPr>
        <w:instrText>ADDIN CSL_CITATION {"citationItems":[{"id":"ITEM-1","itemData":{"URL":"https://www.bydglobal.com/en/InnovationByd.html","accessed":{"date-parts":[["2026","3","3"]]},"author":[{"dropping-particle":"","family":"BYD","given":"","non-dropping-particle":"","parse-names":false,"suffix":""}],"container-title":"BYD Company Limited","id":"ITEM-1","issued":{"date-parts":[["2025"]]},"title":"Innovation at BYD-BYD","type":"webpage"},"uris":["http://www.mendeley.com/documents/?uuid=20e988aa-7a24-3ad0-a966-aed5254a9100"]}],"mendeley":{"formattedCitation":"(BYD, 2025)","plainTextFormattedCitation":"(BYD, 2025)","previouslyFormattedCitation":"(BYD, 2025)"},"properties":{"noteIndex":0},"schema":"https://github.com/citation-style-language/schema/raw/master/csl-citation.json"}</w:instrText>
      </w:r>
      <w:r w:rsidR="00FF3975" w:rsidRPr="00821096">
        <w:rPr>
          <w:rFonts w:cs="Arial"/>
        </w:rPr>
        <w:fldChar w:fldCharType="separate"/>
      </w:r>
      <w:r w:rsidR="00FF3975" w:rsidRPr="00821096">
        <w:rPr>
          <w:rFonts w:cs="Arial"/>
          <w:noProof/>
        </w:rPr>
        <w:t>(BYD, 2025)</w:t>
      </w:r>
      <w:r w:rsidR="00FF3975" w:rsidRPr="00821096">
        <w:rPr>
          <w:rFonts w:cs="Arial"/>
        </w:rPr>
        <w:fldChar w:fldCharType="end"/>
      </w:r>
      <w:r w:rsidRPr="00821096">
        <w:rPr>
          <w:rFonts w:cs="Arial"/>
        </w:rPr>
        <w:t>. However, export markets such as anti-subsidy investigations and tariffs can be discussed as the threat to overseas development in BYD since they may raise effective prices or limit accessibility</w:t>
      </w:r>
      <w:r w:rsidR="00E34533" w:rsidRPr="00821096">
        <w:rPr>
          <w:rFonts w:cs="Arial"/>
        </w:rPr>
        <w:t xml:space="preserve"> </w:t>
      </w:r>
      <w:r w:rsidR="00E34533" w:rsidRPr="00821096">
        <w:rPr>
          <w:rFonts w:cs="Arial"/>
        </w:rPr>
        <w:fldChar w:fldCharType="begin" w:fldLock="1"/>
      </w:r>
      <w:r w:rsidR="00846CE4" w:rsidRPr="00821096">
        <w:rPr>
          <w:rFonts w:cs="Arial"/>
        </w:rPr>
        <w:instrText>ADDIN CSL_CITATION {"citationItems":[{"id":"ITEM-1","itemData":{"URL":"https://www.reuters.com/sustainability/climate-energy/global-ev-sales-growth-slowest-since-feb-2024-china-plateau-us-policy-changes-2025-12-12/","accessed":{"date-parts":[["2026","3","3"]]},"author":[{"dropping-particle":"","family":"Parodi","given":"Alessandro","non-dropping-particle":"","parse-names":false,"suffix":""}],"container-title":"Reuters","id":"ITEM-1","issued":{"date-parts":[["2025","12","12"]]},"title":"Global EV sales growth slowest since Feb 2024 on China plateau, US policy changes | Reuters","type":"webpage"},"uris":["http://www.mendeley.com/documents/?uuid=45aabea0-7914-3398-9a70-762a630b7d8a"]}],"mendeley":{"formattedCitation":"(Parodi, 2025)","plainTextFormattedCitation":"(Parodi, 2025)","previouslyFormattedCitation":"(Parodi, 2025)"},"properties":{"noteIndex":0},"schema":"https://github.com/citation-style-language/schema/raw/master/csl-citation.json"}</w:instrText>
      </w:r>
      <w:r w:rsidR="00E34533" w:rsidRPr="00821096">
        <w:rPr>
          <w:rFonts w:cs="Arial"/>
        </w:rPr>
        <w:fldChar w:fldCharType="separate"/>
      </w:r>
      <w:r w:rsidR="00846CE4" w:rsidRPr="00821096">
        <w:rPr>
          <w:rFonts w:cs="Arial"/>
          <w:noProof/>
        </w:rPr>
        <w:t>(Parodi, 2025)</w:t>
      </w:r>
      <w:r w:rsidR="00E34533" w:rsidRPr="00821096">
        <w:rPr>
          <w:rFonts w:cs="Arial"/>
        </w:rPr>
        <w:fldChar w:fldCharType="end"/>
      </w:r>
      <w:r w:rsidRPr="00821096">
        <w:rPr>
          <w:rFonts w:cs="Arial"/>
        </w:rPr>
        <w:t>. BYD has less risk of cell shortages at the upstream caused by its integrated supply chain but a greater risk of political restrictions to entering regulated non-Chinese markets without a local investment</w:t>
      </w:r>
      <w:r w:rsidR="00C21CE5" w:rsidRPr="00821096">
        <w:rPr>
          <w:rFonts w:cs="Arial"/>
        </w:rPr>
        <w:t xml:space="preserve"> </w:t>
      </w:r>
      <w:r w:rsidR="00C21CE5" w:rsidRPr="00821096">
        <w:rPr>
          <w:rFonts w:cs="Arial"/>
        </w:rPr>
        <w:fldChar w:fldCharType="begin" w:fldLock="1"/>
      </w:r>
      <w:r w:rsidR="00C21CE5" w:rsidRPr="00821096">
        <w:rPr>
          <w:rFonts w:cs="Arial"/>
        </w:rPr>
        <w:instrText>ADDIN CSL_CITATION {"citationItems":[{"id":"ITEM-1","itemData":{"URL":"https://www.bydglobal.com/en/InnovationByd.html","accessed":{"date-parts":[["2026","3","3"]]},"author":[{"dropping-particle":"","family":"BYD","given":"","non-dropping-particle":"","parse-names":false,"suffix":""}],"container-title":"BYD Company Limited","id":"ITEM-1","issued":{"date-parts":[["2025"]]},"title":"Innovation at BYD-BYD","type":"webpage"},"uris":["http://www.mendeley.com/documents/?uuid=20e988aa-7a24-3ad0-a966-aed5254a9100"]}],"mendeley":{"formattedCitation":"(BYD, 2025)","plainTextFormattedCitation":"(BYD, 2025)","previouslyFormattedCitation":"(BYD, 2025)"},"properties":{"noteIndex":0},"schema":"https://github.com/citation-style-language/schema/raw/master/csl-citation.json"}</w:instrText>
      </w:r>
      <w:r w:rsidR="00C21CE5" w:rsidRPr="00821096">
        <w:rPr>
          <w:rFonts w:cs="Arial"/>
        </w:rPr>
        <w:fldChar w:fldCharType="separate"/>
      </w:r>
      <w:r w:rsidR="00C21CE5" w:rsidRPr="00821096">
        <w:rPr>
          <w:rFonts w:cs="Arial"/>
          <w:noProof/>
        </w:rPr>
        <w:t>(BYD, 2025)</w:t>
      </w:r>
      <w:r w:rsidR="00C21CE5" w:rsidRPr="00821096">
        <w:rPr>
          <w:rFonts w:cs="Arial"/>
        </w:rPr>
        <w:fldChar w:fldCharType="end"/>
      </w:r>
      <w:r w:rsidRPr="00821096">
        <w:rPr>
          <w:rFonts w:cs="Arial"/>
        </w:rPr>
        <w:t xml:space="preserve">. As a result, the conducive domestic policy will likely pull the scale advantage of BYD into the domestic market and compel the capital-intensive localized production strategies </w:t>
      </w:r>
      <w:r w:rsidRPr="00821096">
        <w:rPr>
          <w:rFonts w:cs="Arial"/>
        </w:rPr>
        <w:lastRenderedPageBreak/>
        <w:t xml:space="preserve">as the prerequisite of its long-term international growth </w:t>
      </w:r>
      <w:r w:rsidR="00C21CE5" w:rsidRPr="00821096">
        <w:rPr>
          <w:rFonts w:cs="Arial"/>
        </w:rPr>
        <w:fldChar w:fldCharType="begin" w:fldLock="1"/>
      </w:r>
      <w:r w:rsidR="00F9717D"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C21CE5" w:rsidRPr="00821096">
        <w:rPr>
          <w:rFonts w:cs="Arial"/>
        </w:rPr>
        <w:fldChar w:fldCharType="separate"/>
      </w:r>
      <w:r w:rsidR="00C21CE5" w:rsidRPr="00821096">
        <w:rPr>
          <w:rFonts w:cs="Arial"/>
          <w:noProof/>
        </w:rPr>
        <w:t>(International Energy Agency, 2025)</w:t>
      </w:r>
      <w:r w:rsidR="00C21CE5" w:rsidRPr="00821096">
        <w:rPr>
          <w:rFonts w:cs="Arial"/>
        </w:rPr>
        <w:fldChar w:fldCharType="end"/>
      </w:r>
      <w:r w:rsidR="00C21CE5" w:rsidRPr="00821096">
        <w:rPr>
          <w:rFonts w:cs="Arial"/>
        </w:rPr>
        <w:t>.</w:t>
      </w:r>
    </w:p>
    <w:p w:rsidR="00CC3382" w:rsidRPr="00922CC1" w:rsidRDefault="00EE452D" w:rsidP="00EE452D">
      <w:pPr>
        <w:pStyle w:val="Caption"/>
        <w:rPr>
          <w:rFonts w:cs="Arial"/>
          <w:b/>
          <w:i w:val="0"/>
          <w:color w:val="4472C4" w:themeColor="accent1"/>
          <w:sz w:val="24"/>
          <w:szCs w:val="24"/>
        </w:rPr>
      </w:pPr>
      <w:bookmarkStart w:id="15" w:name="_Toc224914028"/>
      <w:r w:rsidRPr="00922CC1">
        <w:rPr>
          <w:rFonts w:cs="Arial"/>
          <w:b/>
          <w:i w:val="0"/>
          <w:color w:val="4472C4" w:themeColor="accent1"/>
          <w:sz w:val="24"/>
          <w:szCs w:val="24"/>
        </w:rPr>
        <w:t xml:space="preserve">Table </w:t>
      </w:r>
      <w:r w:rsidRPr="00922CC1">
        <w:rPr>
          <w:rFonts w:cs="Arial"/>
          <w:b/>
          <w:i w:val="0"/>
          <w:color w:val="4472C4" w:themeColor="accent1"/>
          <w:sz w:val="24"/>
          <w:szCs w:val="24"/>
        </w:rPr>
        <w:fldChar w:fldCharType="begin"/>
      </w:r>
      <w:r w:rsidRPr="00922CC1">
        <w:rPr>
          <w:rFonts w:cs="Arial"/>
          <w:b/>
          <w:i w:val="0"/>
          <w:color w:val="4472C4" w:themeColor="accent1"/>
          <w:sz w:val="24"/>
          <w:szCs w:val="24"/>
        </w:rPr>
        <w:instrText xml:space="preserve"> SEQ Table \* ARABIC </w:instrText>
      </w:r>
      <w:r w:rsidRPr="00922CC1">
        <w:rPr>
          <w:rFonts w:cs="Arial"/>
          <w:b/>
          <w:i w:val="0"/>
          <w:color w:val="4472C4" w:themeColor="accent1"/>
          <w:sz w:val="24"/>
          <w:szCs w:val="24"/>
        </w:rPr>
        <w:fldChar w:fldCharType="separate"/>
      </w:r>
      <w:r w:rsidR="006F1A12">
        <w:rPr>
          <w:rFonts w:cs="Arial"/>
          <w:b/>
          <w:i w:val="0"/>
          <w:noProof/>
          <w:color w:val="4472C4" w:themeColor="accent1"/>
          <w:sz w:val="24"/>
          <w:szCs w:val="24"/>
        </w:rPr>
        <w:t>2</w:t>
      </w:r>
      <w:r w:rsidRPr="00922CC1">
        <w:rPr>
          <w:rFonts w:cs="Arial"/>
          <w:b/>
          <w:i w:val="0"/>
          <w:color w:val="4472C4" w:themeColor="accent1"/>
          <w:sz w:val="24"/>
          <w:szCs w:val="24"/>
        </w:rPr>
        <w:fldChar w:fldCharType="end"/>
      </w:r>
      <w:r w:rsidRPr="00922CC1">
        <w:rPr>
          <w:rFonts w:cs="Arial"/>
          <w:b/>
          <w:i w:val="0"/>
          <w:color w:val="4472C4" w:themeColor="accent1"/>
          <w:sz w:val="24"/>
          <w:szCs w:val="24"/>
        </w:rPr>
        <w:t>: Policy Impact - Tesla vs BYD in the EV Industry</w:t>
      </w:r>
      <w:bookmarkEnd w:id="15"/>
    </w:p>
    <w:tbl>
      <w:tblPr>
        <w:tblStyle w:val="TableGrid"/>
        <w:tblW w:w="9805" w:type="dxa"/>
        <w:tblLook w:val="04A0" w:firstRow="1" w:lastRow="0" w:firstColumn="1" w:lastColumn="0" w:noHBand="0" w:noVBand="1"/>
      </w:tblPr>
      <w:tblGrid>
        <w:gridCol w:w="2155"/>
        <w:gridCol w:w="2519"/>
        <w:gridCol w:w="2337"/>
        <w:gridCol w:w="2794"/>
      </w:tblGrid>
      <w:tr w:rsidR="00CC3382" w:rsidRPr="0099190C" w:rsidTr="00746FAD">
        <w:tc>
          <w:tcPr>
            <w:tcW w:w="2155" w:type="dxa"/>
            <w:vAlign w:val="center"/>
          </w:tcPr>
          <w:p w:rsidR="00CC3382" w:rsidRPr="001D6A81" w:rsidRDefault="00CC3382" w:rsidP="00746FAD">
            <w:pPr>
              <w:spacing w:line="240" w:lineRule="auto"/>
              <w:jc w:val="center"/>
              <w:rPr>
                <w:rFonts w:eastAsia="Times New Roman" w:cs="Arial"/>
                <w:b/>
                <w:bCs/>
              </w:rPr>
            </w:pPr>
            <w:r w:rsidRPr="001D6A81">
              <w:rPr>
                <w:rFonts w:eastAsia="Times New Roman" w:cs="Arial"/>
                <w:b/>
                <w:bCs/>
              </w:rPr>
              <w:t>Policy Dimension</w:t>
            </w:r>
          </w:p>
        </w:tc>
        <w:tc>
          <w:tcPr>
            <w:tcW w:w="2519" w:type="dxa"/>
            <w:vAlign w:val="center"/>
          </w:tcPr>
          <w:p w:rsidR="00CC3382" w:rsidRPr="001D6A81" w:rsidRDefault="00CC3382" w:rsidP="00746FAD">
            <w:pPr>
              <w:spacing w:line="240" w:lineRule="auto"/>
              <w:jc w:val="center"/>
              <w:rPr>
                <w:rFonts w:eastAsia="Times New Roman" w:cs="Arial"/>
                <w:b/>
                <w:bCs/>
              </w:rPr>
            </w:pPr>
            <w:r w:rsidRPr="001D6A81">
              <w:rPr>
                <w:rFonts w:eastAsia="Times New Roman" w:cs="Arial"/>
                <w:b/>
                <w:bCs/>
              </w:rPr>
              <w:t>Tesla</w:t>
            </w:r>
          </w:p>
        </w:tc>
        <w:tc>
          <w:tcPr>
            <w:tcW w:w="2337" w:type="dxa"/>
            <w:vAlign w:val="center"/>
          </w:tcPr>
          <w:p w:rsidR="00CC3382" w:rsidRPr="001D6A81" w:rsidRDefault="00CC3382" w:rsidP="00746FAD">
            <w:pPr>
              <w:spacing w:line="240" w:lineRule="auto"/>
              <w:jc w:val="center"/>
              <w:rPr>
                <w:rFonts w:eastAsia="Times New Roman" w:cs="Arial"/>
                <w:b/>
                <w:bCs/>
              </w:rPr>
            </w:pPr>
            <w:r w:rsidRPr="001D6A81">
              <w:rPr>
                <w:rFonts w:eastAsia="Times New Roman" w:cs="Arial"/>
                <w:b/>
                <w:bCs/>
              </w:rPr>
              <w:t>BYD</w:t>
            </w:r>
          </w:p>
        </w:tc>
        <w:tc>
          <w:tcPr>
            <w:tcW w:w="2794" w:type="dxa"/>
            <w:vAlign w:val="center"/>
          </w:tcPr>
          <w:p w:rsidR="00CC3382" w:rsidRPr="001D6A81" w:rsidRDefault="00CC3382" w:rsidP="00746FAD">
            <w:pPr>
              <w:spacing w:line="240" w:lineRule="auto"/>
              <w:jc w:val="center"/>
              <w:rPr>
                <w:rFonts w:eastAsia="Times New Roman" w:cs="Arial"/>
                <w:b/>
                <w:bCs/>
              </w:rPr>
            </w:pPr>
            <w:r w:rsidRPr="001D6A81">
              <w:rPr>
                <w:rFonts w:eastAsia="Times New Roman" w:cs="Arial"/>
                <w:b/>
                <w:bCs/>
              </w:rPr>
              <w:t>Strategic Implication</w:t>
            </w:r>
          </w:p>
        </w:tc>
      </w:tr>
      <w:tr w:rsidR="00CC3382" w:rsidRPr="0099190C" w:rsidTr="00746FAD">
        <w:tc>
          <w:tcPr>
            <w:tcW w:w="2155"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bCs/>
              </w:rPr>
              <w:t>Incentives</w:t>
            </w:r>
          </w:p>
        </w:tc>
        <w:tc>
          <w:tcPr>
            <w:tcW w:w="2519"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Had benefited with U.S. and European EV tax breaks which encouraged early adoption.</w:t>
            </w:r>
          </w:p>
        </w:tc>
        <w:tc>
          <w:tcPr>
            <w:tcW w:w="2337"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Firm Chinese government subsidies and domestic EV policies.</w:t>
            </w:r>
          </w:p>
        </w:tc>
        <w:tc>
          <w:tcPr>
            <w:tcW w:w="2794"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Incentives boost the demand of EVs and facilitate the development of the market.</w:t>
            </w:r>
          </w:p>
        </w:tc>
      </w:tr>
      <w:tr w:rsidR="00CC3382" w:rsidRPr="0099190C" w:rsidTr="00746FAD">
        <w:tc>
          <w:tcPr>
            <w:tcW w:w="2155"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bCs/>
              </w:rPr>
              <w:t>Local Production</w:t>
            </w:r>
          </w:p>
        </w:tc>
        <w:tc>
          <w:tcPr>
            <w:tcW w:w="2519"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 xml:space="preserve">It set up </w:t>
            </w:r>
            <w:proofErr w:type="spellStart"/>
            <w:r w:rsidRPr="0099190C">
              <w:rPr>
                <w:rFonts w:eastAsia="Times New Roman" w:cs="Arial"/>
              </w:rPr>
              <w:t>Gigafactories</w:t>
            </w:r>
            <w:proofErr w:type="spellEnd"/>
            <w:r w:rsidRPr="0099190C">
              <w:rPr>
                <w:rFonts w:eastAsia="Times New Roman" w:cs="Arial"/>
              </w:rPr>
              <w:t xml:space="preserve"> in the U.S., China and Germany to comply with localization regulations.</w:t>
            </w:r>
          </w:p>
        </w:tc>
        <w:tc>
          <w:tcPr>
            <w:tcW w:w="2337"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High Chinese manufacturing presence and growing overseas locations.</w:t>
            </w:r>
          </w:p>
        </w:tc>
        <w:tc>
          <w:tcPr>
            <w:tcW w:w="2794"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Local production assists companies in the access to subsidies and lower trade barriers.</w:t>
            </w:r>
          </w:p>
        </w:tc>
      </w:tr>
      <w:tr w:rsidR="00CC3382" w:rsidRPr="0099190C" w:rsidTr="00746FAD">
        <w:tc>
          <w:tcPr>
            <w:tcW w:w="2155"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bCs/>
              </w:rPr>
              <w:t>Trade Exposure</w:t>
            </w:r>
          </w:p>
        </w:tc>
        <w:tc>
          <w:tcPr>
            <w:tcW w:w="2519"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Some of its export markets are facing tariffs and geopolitical trade risks.</w:t>
            </w:r>
          </w:p>
        </w:tc>
        <w:tc>
          <w:tcPr>
            <w:tcW w:w="2337"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There has been a rise in scrutiny and anti-subsidy investigations in the Western markets.</w:t>
            </w:r>
          </w:p>
        </w:tc>
        <w:tc>
          <w:tcPr>
            <w:tcW w:w="2794" w:type="dxa"/>
            <w:vAlign w:val="center"/>
          </w:tcPr>
          <w:p w:rsidR="00CC3382" w:rsidRPr="001D6A81" w:rsidRDefault="00CC3382" w:rsidP="00746FAD">
            <w:pPr>
              <w:spacing w:line="240" w:lineRule="auto"/>
              <w:jc w:val="left"/>
              <w:rPr>
                <w:rFonts w:eastAsia="Times New Roman" w:cs="Arial"/>
              </w:rPr>
            </w:pPr>
            <w:r w:rsidRPr="0099190C">
              <w:rPr>
                <w:rFonts w:eastAsia="Times New Roman" w:cs="Arial"/>
              </w:rPr>
              <w:t>Trade policy influences international expansion and supply-chain plan.</w:t>
            </w:r>
          </w:p>
        </w:tc>
      </w:tr>
    </w:tbl>
    <w:p w:rsidR="00CC3382" w:rsidRPr="0086543F" w:rsidRDefault="00CC3382" w:rsidP="00CC3382">
      <w:pPr>
        <w:jc w:val="left"/>
        <w:rPr>
          <w:rFonts w:cs="Arial"/>
          <w:i/>
          <w:sz w:val="18"/>
          <w:szCs w:val="18"/>
        </w:rPr>
      </w:pPr>
      <w:r w:rsidRPr="0086543F">
        <w:rPr>
          <w:rFonts w:cs="Arial"/>
          <w:i/>
          <w:sz w:val="18"/>
          <w:szCs w:val="18"/>
        </w:rPr>
        <w:t xml:space="preserve">Source: </w:t>
      </w:r>
      <w:r w:rsidR="00C94EA8" w:rsidRPr="0086543F">
        <w:rPr>
          <w:rFonts w:cs="Arial"/>
          <w:i/>
          <w:sz w:val="18"/>
          <w:szCs w:val="18"/>
        </w:rPr>
        <w:t>(</w:t>
      </w:r>
      <w:r w:rsidRPr="0086543F">
        <w:rPr>
          <w:rFonts w:cs="Arial"/>
          <w:i/>
          <w:sz w:val="18"/>
          <w:szCs w:val="18"/>
        </w:rPr>
        <w:t>Adapted from industry reports including</w:t>
      </w:r>
      <w:r w:rsidR="00C57BA6" w:rsidRPr="0086543F">
        <w:rPr>
          <w:rFonts w:cs="Arial"/>
          <w:i/>
          <w:sz w:val="18"/>
          <w:szCs w:val="18"/>
        </w:rPr>
        <w:t xml:space="preserve"> the </w:t>
      </w:r>
      <w:r w:rsidR="00C94EA8" w:rsidRPr="0086543F">
        <w:rPr>
          <w:rFonts w:cs="Arial"/>
          <w:i/>
          <w:sz w:val="18"/>
          <w:szCs w:val="18"/>
        </w:rPr>
        <w:fldChar w:fldCharType="begin" w:fldLock="1"/>
      </w:r>
      <w:r w:rsidR="00B82DED" w:rsidRPr="0086543F">
        <w:rPr>
          <w:rFonts w:cs="Arial"/>
          <w:i/>
          <w:sz w:val="18"/>
          <w:szCs w:val="18"/>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id":"ITEM-2","itemData":{"URL":"https://www.acea.auto/pc-registrations/new-car-registrations-1-8-in-2025-battery-electric-17-4-market-share/?","accessed":{"date-parts":[["2026","3","3"]]},"author":[{"dropping-particle":"","family":"ACEA","given":"","non-dropping-particle":"","parse-names":false,"suffix":""}],"container-title":"ACEA","id":"ITEM-2","issued":{"date-parts":[["2026"]]},"title":"New car registrations: +1.8% in 2025; battery-electric 17.4% market share - ACEA - European Automobile Manufacturers' Association","type":"webpage"},"uris":["http://www.mendeley.com/documents/?uuid=76e26c23-12c4-3870-bf48-4d629b2fec30"]}],"mendeley":{"formattedCitation":"(International Energy Agency, 2025; ACEA, 2026)","manualFormatting":"International Energy Agency, 2025; ACEA, 2026)","plainTextFormattedCitation":"(International Energy Agency, 2025; ACEA, 2026)","previouslyFormattedCitation":"(International Energy Agency, 2025; ACEA, 2026)"},"properties":{"noteIndex":0},"schema":"https://github.com/citation-style-language/schema/raw/master/csl-citation.json"}</w:instrText>
      </w:r>
      <w:r w:rsidR="00C94EA8" w:rsidRPr="0086543F">
        <w:rPr>
          <w:rFonts w:cs="Arial"/>
          <w:i/>
          <w:sz w:val="18"/>
          <w:szCs w:val="18"/>
        </w:rPr>
        <w:fldChar w:fldCharType="separate"/>
      </w:r>
      <w:r w:rsidR="00C94EA8" w:rsidRPr="0086543F">
        <w:rPr>
          <w:rFonts w:cs="Arial"/>
          <w:i/>
          <w:noProof/>
          <w:sz w:val="18"/>
          <w:szCs w:val="18"/>
        </w:rPr>
        <w:t>International Energy Agency, 2025; ACEA, 2026)</w:t>
      </w:r>
      <w:r w:rsidR="00C94EA8" w:rsidRPr="0086543F">
        <w:rPr>
          <w:rFonts w:cs="Arial"/>
          <w:i/>
          <w:sz w:val="18"/>
          <w:szCs w:val="18"/>
        </w:rPr>
        <w:fldChar w:fldCharType="end"/>
      </w:r>
    </w:p>
    <w:p w:rsidR="00342C46" w:rsidRPr="00821096" w:rsidRDefault="00342C46" w:rsidP="004B4DE3">
      <w:pPr>
        <w:pStyle w:val="Heading2"/>
        <w:rPr>
          <w:rFonts w:cs="Arial"/>
        </w:rPr>
      </w:pPr>
      <w:bookmarkStart w:id="16" w:name="_Toc223436261"/>
      <w:bookmarkStart w:id="17" w:name="_Toc224914017"/>
      <w:r w:rsidRPr="00821096">
        <w:rPr>
          <w:rFonts w:cs="Arial"/>
        </w:rPr>
        <w:t>2.3 Analysis of Macro Factor 2: Technological &amp; battery-cost dynamics</w:t>
      </w:r>
      <w:bookmarkEnd w:id="16"/>
      <w:bookmarkEnd w:id="17"/>
    </w:p>
    <w:p w:rsidR="00342C46" w:rsidRPr="00821096" w:rsidRDefault="00342C46" w:rsidP="004B4DE3">
      <w:pPr>
        <w:pStyle w:val="Heading2"/>
        <w:rPr>
          <w:rFonts w:cs="Arial"/>
        </w:rPr>
      </w:pPr>
      <w:bookmarkStart w:id="18" w:name="_Toc223436262"/>
      <w:bookmarkStart w:id="19" w:name="_Toc224914018"/>
      <w:r w:rsidRPr="00821096">
        <w:rPr>
          <w:rFonts w:cs="Arial"/>
        </w:rPr>
        <w:t xml:space="preserve">2.3.1 Impact on the pioneer </w:t>
      </w:r>
      <w:proofErr w:type="spellStart"/>
      <w:r w:rsidRPr="00821096">
        <w:rPr>
          <w:rFonts w:cs="Arial"/>
        </w:rPr>
        <w:t>organi</w:t>
      </w:r>
      <w:r w:rsidR="009352DE" w:rsidRPr="00821096">
        <w:rPr>
          <w:rFonts w:cs="Arial"/>
        </w:rPr>
        <w:t>s</w:t>
      </w:r>
      <w:r w:rsidRPr="00821096">
        <w:rPr>
          <w:rFonts w:cs="Arial"/>
        </w:rPr>
        <w:t>ation</w:t>
      </w:r>
      <w:proofErr w:type="spellEnd"/>
      <w:r w:rsidRPr="00821096">
        <w:rPr>
          <w:rFonts w:cs="Arial"/>
        </w:rPr>
        <w:t>: Tesla</w:t>
      </w:r>
      <w:bookmarkEnd w:id="18"/>
      <w:bookmarkEnd w:id="19"/>
    </w:p>
    <w:p w:rsidR="00112E52" w:rsidRDefault="00112E52" w:rsidP="009352DE">
      <w:pPr>
        <w:rPr>
          <w:rFonts w:cs="Arial"/>
        </w:rPr>
      </w:pPr>
      <w:r w:rsidRPr="00821096">
        <w:rPr>
          <w:rFonts w:cs="Arial"/>
        </w:rPr>
        <w:t>Reduced battery pack prices and cell design developments also offer an opportunity to reduce prices or enhance margins among the incumbents to access more customer segments</w:t>
      </w:r>
      <w:r w:rsidR="00F9717D" w:rsidRPr="00821096">
        <w:rPr>
          <w:rFonts w:cs="Arial"/>
        </w:rPr>
        <w:t xml:space="preserve"> </w:t>
      </w:r>
      <w:r w:rsidR="00F9717D" w:rsidRPr="00821096">
        <w:rPr>
          <w:rFonts w:cs="Arial"/>
        </w:rPr>
        <w:fldChar w:fldCharType="begin" w:fldLock="1"/>
      </w:r>
      <w:r w:rsidR="00846CE4"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F9717D" w:rsidRPr="00821096">
        <w:rPr>
          <w:rFonts w:cs="Arial"/>
        </w:rPr>
        <w:fldChar w:fldCharType="separate"/>
      </w:r>
      <w:r w:rsidR="00F9717D" w:rsidRPr="00821096">
        <w:rPr>
          <w:rFonts w:cs="Arial"/>
          <w:noProof/>
        </w:rPr>
        <w:t>(International Energy Agency, 2025)</w:t>
      </w:r>
      <w:r w:rsidR="00F9717D" w:rsidRPr="00821096">
        <w:rPr>
          <w:rFonts w:cs="Arial"/>
        </w:rPr>
        <w:fldChar w:fldCharType="end"/>
      </w:r>
      <w:r w:rsidRPr="00821096">
        <w:rPr>
          <w:rFonts w:cs="Arial"/>
        </w:rPr>
        <w:t>. It has been invested in next-generation cells (such as 4680 formats), which should be able to attain unit-cost advantages, but scale-up problems during production can postpone such advantages and therefore becomes a strategic threat when competitors attain lower costs earlier</w:t>
      </w:r>
      <w:r w:rsidR="00257462" w:rsidRPr="00821096">
        <w:rPr>
          <w:rFonts w:cs="Arial"/>
        </w:rPr>
        <w:t xml:space="preserve"> </w:t>
      </w:r>
      <w:r w:rsidR="00257462" w:rsidRPr="00821096">
        <w:rPr>
          <w:rFonts w:cs="Arial"/>
        </w:rPr>
        <w:fldChar w:fldCharType="begin" w:fldLock="1"/>
      </w:r>
      <w:r w:rsidR="00257462" w:rsidRPr="00821096">
        <w:rPr>
          <w:rFonts w:cs="Arial"/>
        </w:rPr>
        <w:instrText>ADDIN CSL_CITATION {"citationItems":[{"id":"ITEM-1","itemData":{"URL":"https://www.teslarati.com/tesla-confirms-finally-solved-4680-battery-dry-cathode-process/","accessed":{"date-parts":[["2026","3","3"]]},"author":[{"dropping-particle":"","family":"Alvarez","given":"Simon","non-dropping-particle":"","parse-names":false,"suffix":""}],"container-title":"Teslarati","id":"ITEM-1","issued":{"date-parts":[["2026","1","30"]]},"title":"Tesla confirms that it finally solved its 4680 battery's dry cathode process","type":"webpage"},"uris":["http://www.mendeley.com/documents/?uuid=883198c8-0e84-361d-ab34-fa3143682923"]}],"mendeley":{"formattedCitation":"(Alvarez, 2026)","plainTextFormattedCitation":"(Alvarez, 2026)","previouslyFormattedCitation":"(Alvarez, 2026)"},"properties":{"noteIndex":0},"schema":"https://github.com/citation-style-language/schema/raw/master/csl-citation.json"}</w:instrText>
      </w:r>
      <w:r w:rsidR="00257462" w:rsidRPr="00821096">
        <w:rPr>
          <w:rFonts w:cs="Arial"/>
        </w:rPr>
        <w:fldChar w:fldCharType="separate"/>
      </w:r>
      <w:r w:rsidR="00257462" w:rsidRPr="00821096">
        <w:rPr>
          <w:rFonts w:cs="Arial"/>
          <w:noProof/>
        </w:rPr>
        <w:t>(Alvarez, 2026)</w:t>
      </w:r>
      <w:r w:rsidR="00257462" w:rsidRPr="00821096">
        <w:rPr>
          <w:rFonts w:cs="Arial"/>
        </w:rPr>
        <w:fldChar w:fldCharType="end"/>
      </w:r>
      <w:r w:rsidRPr="00821096">
        <w:rPr>
          <w:rFonts w:cs="Arial"/>
        </w:rPr>
        <w:t>. According to industry analyses, battery pack prices in terms of $/kWh are a significant influencing factor of EV retail prices and tens of dollars per kWh differences significantly influence competitiveness</w:t>
      </w:r>
      <w:r w:rsidR="00257462" w:rsidRPr="00821096">
        <w:rPr>
          <w:rFonts w:cs="Arial"/>
        </w:rPr>
        <w:t xml:space="preserve"> </w:t>
      </w:r>
      <w:r w:rsidR="00257462" w:rsidRPr="00821096">
        <w:rPr>
          <w:rFonts w:cs="Arial"/>
        </w:rPr>
        <w:fldChar w:fldCharType="begin" w:fldLock="1"/>
      </w:r>
      <w:r w:rsidR="00257462"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257462" w:rsidRPr="00821096">
        <w:rPr>
          <w:rFonts w:cs="Arial"/>
        </w:rPr>
        <w:fldChar w:fldCharType="separate"/>
      </w:r>
      <w:r w:rsidR="00257462" w:rsidRPr="00821096">
        <w:rPr>
          <w:rFonts w:cs="Arial"/>
          <w:noProof/>
        </w:rPr>
        <w:t>(International Energy Agency, 2025)</w:t>
      </w:r>
      <w:r w:rsidR="00257462" w:rsidRPr="00821096">
        <w:rPr>
          <w:rFonts w:cs="Arial"/>
        </w:rPr>
        <w:fldChar w:fldCharType="end"/>
      </w:r>
      <w:r w:rsidRPr="00821096">
        <w:rPr>
          <w:rFonts w:cs="Arial"/>
        </w:rPr>
        <w:t xml:space="preserve">. Therefore, the implementation of technology and the quality of manufacturing are the core aspects of Tesla maintaining the status of a high premium and competitive price </w:t>
      </w:r>
      <w:r w:rsidR="00257462" w:rsidRPr="00821096">
        <w:rPr>
          <w:rFonts w:cs="Arial"/>
        </w:rPr>
        <w:fldChar w:fldCharType="begin" w:fldLock="1"/>
      </w:r>
      <w:r w:rsidR="00AE6C80" w:rsidRPr="00821096">
        <w:rPr>
          <w:rFonts w:cs="Arial"/>
        </w:rPr>
        <w:instrText>ADDIN CSL_CITATION {"citationItems":[{"id":"ITEM-1","itemData":{"URL":"https://ir.tesla.com/press-release/tesla-fourth-quarter-2024-production-deliveries-and-deployments?","accessed":{"date-parts":[["2026","3","3"]]},"author":[{"dropping-particle":"","family":"Business Wire","given":"","non-dropping-particle":"","parse-names":false,"suffix":""}],"container-title":"Tesla","id":"ITEM-1","issued":{"date-parts":[["2025"]]},"title":"Tesla Fourth Quarter 2024 Production, Deliveries &amp; Deployments | Tesla Investor Relations","type":"webpage"},"uris":["http://www.mendeley.com/documents/?uuid=6cd11798-10f3-39da-ac65-f1a1a8fc7880"]}],"mendeley":{"formattedCitation":"(Business Wire, 2025)","plainTextFormattedCitation":"(Business Wire, 2025)","previouslyFormattedCitation":"(Business Wire, 2025)"},"properties":{"noteIndex":0},"schema":"https://github.com/citation-style-language/schema/raw/master/csl-citation.json"}</w:instrText>
      </w:r>
      <w:r w:rsidR="00257462" w:rsidRPr="00821096">
        <w:rPr>
          <w:rFonts w:cs="Arial"/>
        </w:rPr>
        <w:fldChar w:fldCharType="separate"/>
      </w:r>
      <w:r w:rsidR="00257462" w:rsidRPr="00821096">
        <w:rPr>
          <w:rFonts w:cs="Arial"/>
          <w:noProof/>
        </w:rPr>
        <w:t>(Business Wire, 2025)</w:t>
      </w:r>
      <w:r w:rsidR="00257462" w:rsidRPr="00821096">
        <w:rPr>
          <w:rFonts w:cs="Arial"/>
        </w:rPr>
        <w:fldChar w:fldCharType="end"/>
      </w:r>
      <w:r w:rsidR="00257462" w:rsidRPr="00821096">
        <w:rPr>
          <w:rFonts w:cs="Arial"/>
        </w:rPr>
        <w:t>.</w:t>
      </w:r>
    </w:p>
    <w:p w:rsidR="00C57BA6" w:rsidRPr="00821096" w:rsidRDefault="00C57BA6" w:rsidP="009352DE">
      <w:pPr>
        <w:rPr>
          <w:rFonts w:cs="Arial"/>
        </w:rPr>
      </w:pPr>
    </w:p>
    <w:p w:rsidR="00342C46" w:rsidRPr="00821096" w:rsidRDefault="00342C46" w:rsidP="004B4DE3">
      <w:pPr>
        <w:pStyle w:val="Heading2"/>
        <w:rPr>
          <w:rFonts w:cs="Arial"/>
        </w:rPr>
      </w:pPr>
      <w:bookmarkStart w:id="20" w:name="_Toc223436263"/>
      <w:bookmarkStart w:id="21" w:name="_Toc224914019"/>
      <w:r w:rsidRPr="00821096">
        <w:rPr>
          <w:rFonts w:cs="Arial"/>
        </w:rPr>
        <w:lastRenderedPageBreak/>
        <w:t xml:space="preserve">2.3.2 Impact on the follower </w:t>
      </w:r>
      <w:proofErr w:type="spellStart"/>
      <w:r w:rsidRPr="00821096">
        <w:rPr>
          <w:rFonts w:cs="Arial"/>
        </w:rPr>
        <w:t>organi</w:t>
      </w:r>
      <w:r w:rsidR="009352DE" w:rsidRPr="00821096">
        <w:rPr>
          <w:rFonts w:cs="Arial"/>
        </w:rPr>
        <w:t>s</w:t>
      </w:r>
      <w:r w:rsidRPr="00821096">
        <w:rPr>
          <w:rFonts w:cs="Arial"/>
        </w:rPr>
        <w:t>ation</w:t>
      </w:r>
      <w:proofErr w:type="spellEnd"/>
      <w:r w:rsidRPr="00821096">
        <w:rPr>
          <w:rFonts w:cs="Arial"/>
        </w:rPr>
        <w:t>: BYD</w:t>
      </w:r>
      <w:bookmarkEnd w:id="20"/>
      <w:bookmarkEnd w:id="21"/>
    </w:p>
    <w:p w:rsidR="00BF64B8" w:rsidRDefault="00112E52" w:rsidP="000E40C7">
      <w:pPr>
        <w:rPr>
          <w:rFonts w:cs="Arial"/>
        </w:rPr>
      </w:pPr>
      <w:r w:rsidRPr="00821096">
        <w:rPr>
          <w:rFonts w:cs="Arial"/>
        </w:rPr>
        <w:t xml:space="preserve">The blade battery of BYD and the integrated form of manufacture decrease dependence on external suppliers and contributes to per-kWh expenses, which is a possibility to act as an aggressor competitor in a price-sensitive segment </w:t>
      </w:r>
      <w:r w:rsidR="00AE6C80" w:rsidRPr="00821096">
        <w:rPr>
          <w:rFonts w:cs="Arial"/>
        </w:rPr>
        <w:fldChar w:fldCharType="begin" w:fldLock="1"/>
      </w:r>
      <w:r w:rsidR="00BB27B9" w:rsidRPr="00821096">
        <w:rPr>
          <w:rFonts w:cs="Arial"/>
        </w:rPr>
        <w:instrText>ADDIN CSL_CITATION {"citationItems":[{"id":"ITEM-1","itemData":{"URL":"https://www.bydglobal.com/en/InnovationByd.html","accessed":{"date-parts":[["2026","3","3"]]},"author":[{"dropping-particle":"","family":"BYD","given":"","non-dropping-particle":"","parse-names":false,"suffix":""}],"container-title":"BYD Company Limited","id":"ITEM-1","issued":{"date-parts":[["2025"]]},"title":"Innovation at BYD-BYD","type":"webpage"},"uris":["http://www.mendeley.com/documents/?uuid=20e988aa-7a24-3ad0-a966-aed5254a9100"]}],"mendeley":{"formattedCitation":"(BYD, 2025)","plainTextFormattedCitation":"(BYD, 2025)","previouslyFormattedCitation":"(BYD, 2025)"},"properties":{"noteIndex":0},"schema":"https://github.com/citation-style-language/schema/raw/master/csl-citation.json"}</w:instrText>
      </w:r>
      <w:r w:rsidR="00AE6C80" w:rsidRPr="00821096">
        <w:rPr>
          <w:rFonts w:cs="Arial"/>
        </w:rPr>
        <w:fldChar w:fldCharType="separate"/>
      </w:r>
      <w:r w:rsidR="00AE6C80" w:rsidRPr="00821096">
        <w:rPr>
          <w:rFonts w:cs="Arial"/>
          <w:noProof/>
        </w:rPr>
        <w:t>(BYD, 2025)</w:t>
      </w:r>
      <w:r w:rsidR="00AE6C80" w:rsidRPr="00821096">
        <w:rPr>
          <w:rFonts w:cs="Arial"/>
        </w:rPr>
        <w:fldChar w:fldCharType="end"/>
      </w:r>
      <w:r w:rsidR="00AE6C80" w:rsidRPr="00821096">
        <w:rPr>
          <w:rFonts w:cs="Arial"/>
        </w:rPr>
        <w:t>.</w:t>
      </w:r>
      <w:r w:rsidRPr="00821096">
        <w:rPr>
          <w:rFonts w:cs="Arial"/>
        </w:rPr>
        <w:t xml:space="preserve">Vertical integration of BYD provides the company with comparative vulnerability to the battery-price volatility and cushions the margins </w:t>
      </w:r>
      <w:r w:rsidR="00BB27B9" w:rsidRPr="00821096">
        <w:rPr>
          <w:rFonts w:cs="Arial"/>
        </w:rPr>
        <w:fldChar w:fldCharType="begin" w:fldLock="1"/>
      </w:r>
      <w:r w:rsidR="00BB27B9" w:rsidRPr="00821096">
        <w:rPr>
          <w:rFonts w:cs="Arial"/>
        </w:rPr>
        <w:instrText>ADDIN CSL_CITATION {"citationItems":[{"id":"ITEM-1","itemData":{"URL":"https://www.batterytechonline.com/market-analysis/byd-s-batteries-power-more-than-their-own-evs?utm_source=chatgpt.com","accessed":{"date-parts":[["2026","3","3"]]},"author":[{"dropping-particle":"","family":"Hertz","given":"Jake","non-dropping-particle":"","parse-names":false,"suffix":""}],"container-title":"Battery Technology","id":"ITEM-1","issued":{"date-parts":[["2025","5","13"]]},"title":"BYD’s Batteries Power More Than Their Own EVs","type":"webpage"},"uris":["http://www.mendeley.com/documents/?uuid=01bc3c88-ff9d-3c81-8702-9b6bedd67bba"]}],"mendeley":{"formattedCitation":"(Hertz, 2025)","plainTextFormattedCitation":"(Hertz, 2025)","previouslyFormattedCitation":"(Hertz, 2025)"},"properties":{"noteIndex":0},"schema":"https://github.com/citation-style-language/schema/raw/master/csl-citation.json"}</w:instrText>
      </w:r>
      <w:r w:rsidR="00BB27B9" w:rsidRPr="00821096">
        <w:rPr>
          <w:rFonts w:cs="Arial"/>
        </w:rPr>
        <w:fldChar w:fldCharType="separate"/>
      </w:r>
      <w:r w:rsidR="00BB27B9" w:rsidRPr="00821096">
        <w:rPr>
          <w:rFonts w:cs="Arial"/>
          <w:noProof/>
        </w:rPr>
        <w:t>(Hertz, 2025)</w:t>
      </w:r>
      <w:r w:rsidR="00BB27B9" w:rsidRPr="00821096">
        <w:rPr>
          <w:rFonts w:cs="Arial"/>
        </w:rPr>
        <w:fldChar w:fldCharType="end"/>
      </w:r>
      <w:r w:rsidRPr="00821096">
        <w:rPr>
          <w:rFonts w:cs="Arial"/>
        </w:rPr>
        <w:t xml:space="preserve">. Nevertheless, should market preference change decisively towards higher-energy-density chemistries (premium long-range EVs), and BYD has not industrialized the higher-energy-density chemistries, its relative position in LFP-based cost leadership may be frittered away in the high-end market segments </w:t>
      </w:r>
      <w:r w:rsidR="00BB27B9" w:rsidRPr="00821096">
        <w:rPr>
          <w:rFonts w:cs="Arial"/>
        </w:rPr>
        <w:fldChar w:fldCharType="begin" w:fldLock="1"/>
      </w:r>
      <w:r w:rsidR="000E40C7" w:rsidRPr="00821096">
        <w:rPr>
          <w:rFonts w:cs="Arial"/>
        </w:rPr>
        <w:instrText>ADDIN CSL_CITATION {"citationItems":[{"id":"ITEM-1","itemData":{"URL":"https://www.batterytechonline.com/market-analysis/byd-s-batteries-power-more-than-their-own-evs?utm_source=chatgpt.com","accessed":{"date-parts":[["2026","3","3"]]},"author":[{"dropping-particle":"","family":"Hertz","given":"Jake","non-dropping-particle":"","parse-names":false,"suffix":""}],"container-title":"Battery Technology","id":"ITEM-1","issued":{"date-parts":[["2025","5","13"]]},"title":"BYD’s Batteries Power More Than Their Own EVs","type":"webpage"},"uris":["http://www.mendeley.com/documents/?uuid=01bc3c88-ff9d-3c81-8702-9b6bedd67bba"]}],"mendeley":{"formattedCitation":"(Hertz, 2025)","plainTextFormattedCitation":"(Hertz, 2025)","previouslyFormattedCitation":"(Hertz, 2025)"},"properties":{"noteIndex":0},"schema":"https://github.com/citation-style-language/schema/raw/master/csl-citation.json"}</w:instrText>
      </w:r>
      <w:r w:rsidR="00BB27B9" w:rsidRPr="00821096">
        <w:rPr>
          <w:rFonts w:cs="Arial"/>
        </w:rPr>
        <w:fldChar w:fldCharType="separate"/>
      </w:r>
      <w:r w:rsidR="00BB27B9" w:rsidRPr="00821096">
        <w:rPr>
          <w:rFonts w:cs="Arial"/>
          <w:noProof/>
        </w:rPr>
        <w:t>(Hertz, 2025)</w:t>
      </w:r>
      <w:r w:rsidR="00BB27B9" w:rsidRPr="00821096">
        <w:rPr>
          <w:rFonts w:cs="Arial"/>
        </w:rPr>
        <w:fldChar w:fldCharType="end"/>
      </w:r>
      <w:r w:rsidRPr="00821096">
        <w:rPr>
          <w:rFonts w:cs="Arial"/>
        </w:rPr>
        <w:t xml:space="preserve">. Hence, the technological position of BYD helps to scale rapidly and compete in prices with the help of the current technological state and should be followed by the continued R&amp;D not to fall behind in high-end range / energy segments </w:t>
      </w:r>
      <w:r w:rsidR="000E40C7" w:rsidRPr="00821096">
        <w:rPr>
          <w:rFonts w:cs="Arial"/>
        </w:rPr>
        <w:fldChar w:fldCharType="begin" w:fldLock="1"/>
      </w:r>
      <w:r w:rsidR="00B8090E"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0E40C7" w:rsidRPr="00821096">
        <w:rPr>
          <w:rFonts w:cs="Arial"/>
        </w:rPr>
        <w:fldChar w:fldCharType="separate"/>
      </w:r>
      <w:r w:rsidR="000E40C7" w:rsidRPr="00821096">
        <w:rPr>
          <w:rFonts w:cs="Arial"/>
          <w:noProof/>
        </w:rPr>
        <w:t>(International Energy Agency, 2025)</w:t>
      </w:r>
      <w:r w:rsidR="000E40C7" w:rsidRPr="00821096">
        <w:rPr>
          <w:rFonts w:cs="Arial"/>
        </w:rPr>
        <w:fldChar w:fldCharType="end"/>
      </w:r>
      <w:r w:rsidR="000E40C7" w:rsidRPr="00821096">
        <w:rPr>
          <w:rFonts w:cs="Arial"/>
        </w:rPr>
        <w:t>.</w:t>
      </w:r>
    </w:p>
    <w:p w:rsidR="00DE617E" w:rsidRPr="00CD3C74" w:rsidRDefault="00DE617E" w:rsidP="00DE617E">
      <w:pPr>
        <w:pStyle w:val="Caption"/>
        <w:jc w:val="center"/>
        <w:rPr>
          <w:rFonts w:cs="Arial"/>
          <w:b/>
          <w:i w:val="0"/>
          <w:color w:val="4472C4" w:themeColor="accent1"/>
          <w:sz w:val="24"/>
          <w:szCs w:val="24"/>
        </w:rPr>
      </w:pPr>
      <w:r>
        <w:rPr>
          <w:noProof/>
        </w:rPr>
        <w:drawing>
          <wp:anchor distT="0" distB="0" distL="114300" distR="114300" simplePos="0" relativeHeight="251659264" behindDoc="0" locked="0" layoutInCell="1" allowOverlap="1" wp14:anchorId="6E26099B" wp14:editId="444B7612">
            <wp:simplePos x="0" y="0"/>
            <wp:positionH relativeFrom="margin">
              <wp:align>left</wp:align>
            </wp:positionH>
            <wp:positionV relativeFrom="paragraph">
              <wp:posOffset>297815</wp:posOffset>
            </wp:positionV>
            <wp:extent cx="5969000" cy="3314700"/>
            <wp:effectExtent l="0" t="0" r="12700" b="0"/>
            <wp:wrapSquare wrapText="bothSides"/>
            <wp:docPr id="1" name="Chart 1">
              <a:extLst xmlns:a="http://schemas.openxmlformats.org/drawingml/2006/main">
                <a:ext uri="{FF2B5EF4-FFF2-40B4-BE49-F238E27FC236}">
                  <a16:creationId xmlns:a16="http://schemas.microsoft.com/office/drawing/2014/main" id="{6A8FF3A2-AC43-46B7-904D-AC9851ECF6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Pr="00535475">
        <w:rPr>
          <w:rFonts w:cs="Arial"/>
          <w:b/>
          <w:i w:val="0"/>
          <w:color w:val="4472C4" w:themeColor="accent1"/>
          <w:sz w:val="24"/>
          <w:szCs w:val="24"/>
        </w:rPr>
        <w:t>Declining Global EV Battery Pack Prices (2013</w:t>
      </w:r>
      <w:r w:rsidR="00E74A58">
        <w:rPr>
          <w:rFonts w:cs="Arial"/>
          <w:b/>
          <w:i w:val="0"/>
          <w:color w:val="4472C4" w:themeColor="accent1"/>
          <w:sz w:val="24"/>
          <w:szCs w:val="24"/>
        </w:rPr>
        <w:t>-</w:t>
      </w:r>
      <w:r w:rsidRPr="00535475">
        <w:rPr>
          <w:rFonts w:cs="Arial"/>
          <w:b/>
          <w:i w:val="0"/>
          <w:color w:val="4472C4" w:themeColor="accent1"/>
          <w:sz w:val="24"/>
          <w:szCs w:val="24"/>
        </w:rPr>
        <w:t>2025)</w:t>
      </w:r>
    </w:p>
    <w:p w:rsidR="009B5077" w:rsidRPr="001D5263" w:rsidRDefault="003C586E" w:rsidP="00FC655E">
      <w:pPr>
        <w:rPr>
          <w:rFonts w:cs="Arial"/>
          <w:sz w:val="18"/>
          <w:szCs w:val="18"/>
        </w:rPr>
      </w:pPr>
      <w:r w:rsidRPr="001D5263">
        <w:rPr>
          <w:rFonts w:cs="Arial"/>
          <w:color w:val="000000" w:themeColor="text1"/>
          <w:sz w:val="18"/>
          <w:szCs w:val="18"/>
        </w:rPr>
        <w:t xml:space="preserve">Source: </w:t>
      </w:r>
      <w:r w:rsidR="002501A7" w:rsidRPr="001D5263">
        <w:rPr>
          <w:rFonts w:cs="Arial"/>
          <w:color w:val="000000" w:themeColor="text1"/>
          <w:sz w:val="18"/>
          <w:szCs w:val="18"/>
        </w:rPr>
        <w:fldChar w:fldCharType="begin" w:fldLock="1"/>
      </w:r>
      <w:r w:rsidR="00DE430C" w:rsidRPr="001D5263">
        <w:rPr>
          <w:rFonts w:cs="Arial"/>
          <w:color w:val="000000" w:themeColor="text1"/>
          <w:sz w:val="18"/>
          <w:szCs w:val="18"/>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id":"ITEM-2","itemData":{"URL":"https://about.bnef.com/insights/clean-transport/lithium-ion-battery-pack-prices-fall-to-108-per-kilowatt-hour-despite-rising-metal-prices-bloombergnef/","accessed":{"date-parts":[["2026","3","5"]]},"author":[{"dropping-particle":"","family":"BloombergNEF","given":"","non-dropping-particle":"","parse-names":false,"suffix":""}],"container-title":"BloombergNEF","id":"ITEM-2","issued":{"date-parts":[["2024"]]},"title":"Lithium-Ion Battery Pack Prices Fall to $108 Per Kilowatt-Hour, Despite Rising Metal Prices: BloombergNEF | BloombergNEF","type":"webpage"},"uris":["http://www.mendeley.com/documents/?uuid=d2b54806-697c-369c-b9b9-01b18c290131"]}],"mendeley":{"formattedCitation":"(BloombergNEF, 2024; International Energy Agency, 2025)","plainTextFormattedCitation":"(BloombergNEF, 2024; International Energy Agency, 2025)","previouslyFormattedCitation":"(BloombergNEF, 2024; International Energy Agency, 2025)"},"properties":{"noteIndex":0},"schema":"https://github.com/citation-style-language/schema/raw/master/csl-citation.json"}</w:instrText>
      </w:r>
      <w:r w:rsidR="002501A7" w:rsidRPr="001D5263">
        <w:rPr>
          <w:rFonts w:cs="Arial"/>
          <w:color w:val="000000" w:themeColor="text1"/>
          <w:sz w:val="18"/>
          <w:szCs w:val="18"/>
        </w:rPr>
        <w:fldChar w:fldCharType="separate"/>
      </w:r>
      <w:r w:rsidR="002501A7" w:rsidRPr="001D5263">
        <w:rPr>
          <w:rFonts w:cs="Arial"/>
          <w:noProof/>
          <w:color w:val="000000" w:themeColor="text1"/>
          <w:sz w:val="18"/>
          <w:szCs w:val="18"/>
        </w:rPr>
        <w:t>(BloombergNEF, 2024; International Energy Agency, 2025)</w:t>
      </w:r>
      <w:r w:rsidR="002501A7" w:rsidRPr="001D5263">
        <w:rPr>
          <w:rFonts w:cs="Arial"/>
          <w:color w:val="000000" w:themeColor="text1"/>
          <w:sz w:val="18"/>
          <w:szCs w:val="18"/>
        </w:rPr>
        <w:fldChar w:fldCharType="end"/>
      </w:r>
    </w:p>
    <w:p w:rsidR="00DE617E" w:rsidRDefault="00D2445E" w:rsidP="00CE4432">
      <w:pPr>
        <w:pStyle w:val="Caption"/>
        <w:rPr>
          <w:rFonts w:cs="Arial"/>
          <w:color w:val="4472C4" w:themeColor="accent1"/>
        </w:rPr>
      </w:pPr>
      <w:bookmarkStart w:id="22" w:name="_Toc224914033"/>
      <w:r w:rsidRPr="001E6E23">
        <w:rPr>
          <w:rFonts w:cs="Arial"/>
          <w:color w:val="4472C4" w:themeColor="accent1"/>
        </w:rPr>
        <w:t xml:space="preserve">Figure </w:t>
      </w:r>
      <w:r w:rsidRPr="001E6E23">
        <w:rPr>
          <w:rFonts w:cs="Arial"/>
          <w:color w:val="4472C4" w:themeColor="accent1"/>
        </w:rPr>
        <w:fldChar w:fldCharType="begin"/>
      </w:r>
      <w:r w:rsidRPr="001E6E23">
        <w:rPr>
          <w:rFonts w:cs="Arial"/>
          <w:color w:val="4472C4" w:themeColor="accent1"/>
        </w:rPr>
        <w:instrText xml:space="preserve"> SEQ Figure \* ARABIC </w:instrText>
      </w:r>
      <w:r w:rsidRPr="001E6E23">
        <w:rPr>
          <w:rFonts w:cs="Arial"/>
          <w:color w:val="4472C4" w:themeColor="accent1"/>
        </w:rPr>
        <w:fldChar w:fldCharType="separate"/>
      </w:r>
      <w:r w:rsidR="00356424">
        <w:rPr>
          <w:rFonts w:cs="Arial"/>
          <w:noProof/>
          <w:color w:val="4472C4" w:themeColor="accent1"/>
        </w:rPr>
        <w:t>2</w:t>
      </w:r>
      <w:r w:rsidRPr="001E6E23">
        <w:rPr>
          <w:rFonts w:cs="Arial"/>
          <w:color w:val="4472C4" w:themeColor="accent1"/>
        </w:rPr>
        <w:fldChar w:fldCharType="end"/>
      </w:r>
      <w:r w:rsidRPr="001E6E23">
        <w:rPr>
          <w:rFonts w:cs="Arial"/>
          <w:color w:val="4472C4" w:themeColor="accent1"/>
        </w:rPr>
        <w:t>: Declining Global EV Battery Pack Prices (2013</w:t>
      </w:r>
      <w:r w:rsidR="00E74A58">
        <w:rPr>
          <w:rFonts w:cs="Arial"/>
          <w:color w:val="4472C4" w:themeColor="accent1"/>
        </w:rPr>
        <w:t>-</w:t>
      </w:r>
      <w:r w:rsidRPr="001E6E23">
        <w:rPr>
          <w:rFonts w:cs="Arial"/>
          <w:color w:val="4472C4" w:themeColor="accent1"/>
        </w:rPr>
        <w:t>2025)</w:t>
      </w:r>
      <w:bookmarkEnd w:id="22"/>
    </w:p>
    <w:p w:rsidR="001E7F96" w:rsidRDefault="001E7F96" w:rsidP="001E7F96"/>
    <w:p w:rsidR="001E7F96" w:rsidRDefault="001E7F96" w:rsidP="001E7F96"/>
    <w:p w:rsidR="001E7F96" w:rsidRPr="001E7F96" w:rsidRDefault="001E7F96" w:rsidP="001E7F96"/>
    <w:p w:rsidR="008B4450" w:rsidRPr="00821096" w:rsidRDefault="000E40C7" w:rsidP="00BF64B8">
      <w:pPr>
        <w:pStyle w:val="Heading2"/>
        <w:rPr>
          <w:rFonts w:cs="Arial"/>
        </w:rPr>
      </w:pPr>
      <w:bookmarkStart w:id="23" w:name="_Toc223436264"/>
      <w:bookmarkStart w:id="24" w:name="_Toc224914020"/>
      <w:r w:rsidRPr="00821096">
        <w:rPr>
          <w:rFonts w:cs="Arial"/>
        </w:rPr>
        <w:lastRenderedPageBreak/>
        <w:t xml:space="preserve">3. </w:t>
      </w:r>
      <w:r w:rsidR="008B4450" w:rsidRPr="00821096">
        <w:rPr>
          <w:rFonts w:cs="Arial"/>
        </w:rPr>
        <w:t xml:space="preserve">Task 2: Strategic Responses of Pioneering and Follower </w:t>
      </w:r>
      <w:proofErr w:type="spellStart"/>
      <w:r w:rsidR="008B4450" w:rsidRPr="00821096">
        <w:rPr>
          <w:rFonts w:cs="Arial"/>
        </w:rPr>
        <w:t>Organisations</w:t>
      </w:r>
      <w:bookmarkEnd w:id="23"/>
      <w:bookmarkEnd w:id="24"/>
      <w:proofErr w:type="spellEnd"/>
    </w:p>
    <w:p w:rsidR="00591FE8" w:rsidRPr="00821096" w:rsidRDefault="009352DE" w:rsidP="00BF64B8">
      <w:pPr>
        <w:pStyle w:val="Heading2"/>
        <w:rPr>
          <w:rFonts w:cs="Arial"/>
        </w:rPr>
      </w:pPr>
      <w:bookmarkStart w:id="25" w:name="_Toc222732283"/>
      <w:bookmarkStart w:id="26" w:name="_Toc223436265"/>
      <w:bookmarkStart w:id="27" w:name="_Toc224914021"/>
      <w:r w:rsidRPr="00821096">
        <w:rPr>
          <w:rFonts w:cs="Arial"/>
        </w:rPr>
        <w:t xml:space="preserve">3.1 Pioneering </w:t>
      </w:r>
      <w:proofErr w:type="spellStart"/>
      <w:r w:rsidRPr="00821096">
        <w:rPr>
          <w:rFonts w:cs="Arial"/>
        </w:rPr>
        <w:t>Organisation’s</w:t>
      </w:r>
      <w:proofErr w:type="spellEnd"/>
      <w:r w:rsidRPr="00821096">
        <w:rPr>
          <w:rFonts w:cs="Arial"/>
        </w:rPr>
        <w:t xml:space="preserve"> Strategic Responses</w:t>
      </w:r>
      <w:bookmarkEnd w:id="25"/>
      <w:r w:rsidR="00591FE8" w:rsidRPr="00821096">
        <w:rPr>
          <w:rFonts w:cs="Arial"/>
        </w:rPr>
        <w:t>: Tesla, Inc.</w:t>
      </w:r>
      <w:bookmarkEnd w:id="26"/>
      <w:bookmarkEnd w:id="27"/>
    </w:p>
    <w:p w:rsidR="00E0025C" w:rsidRPr="00821096" w:rsidRDefault="00591FE8" w:rsidP="00CE4432">
      <w:pPr>
        <w:rPr>
          <w:rFonts w:cs="Arial"/>
        </w:rPr>
      </w:pPr>
      <w:r w:rsidRPr="00821096">
        <w:rPr>
          <w:rFonts w:cs="Arial"/>
        </w:rPr>
        <w:t xml:space="preserve">Strategic reactions of Tesla to the pressures of macro environments are a mix of product and process innovation, vertical integration, and geographic diversification in selective manner to defend its differentiation-based position. Tesla focuses on differentiation by regularly updating the product, providing unique software (OTA updates), and strong brand valuing performance and technology, which has been assisting it in maintaining high prices despite the rising competition </w:t>
      </w:r>
      <w:r w:rsidR="0025197B" w:rsidRPr="00821096">
        <w:rPr>
          <w:rFonts w:cs="Arial"/>
        </w:rPr>
        <w:fldChar w:fldCharType="begin" w:fldLock="1"/>
      </w:r>
      <w:r w:rsidR="00E0025C" w:rsidRPr="00821096">
        <w:rPr>
          <w:rFonts w:cs="Arial"/>
        </w:rPr>
        <w:instrText>ADDIN CSL_CITATION {"citationItems":[{"id":"ITEM-1","itemData":{"URL":"https://ir.tesla.com/press-release/tesla-fourth-quarter-2024-production-deliveries-and-deployments?","accessed":{"date-parts":[["2026","3","3"]]},"author":[{"dropping-particle":"","family":"Business Wire","given":"","non-dropping-particle":"","parse-names":false,"suffix":""}],"container-title":"Tesla","id":"ITEM-1","issued":{"date-parts":[["2025"]]},"title":"Tesla Fourth Quarter 2024 Production, Deliveries &amp; Deployments | Tesla Investor Relations","type":"webpage"},"uris":["http://www.mendeley.com/documents/?uuid=6cd11798-10f3-39da-ac65-f1a1a8fc7880"]}],"mendeley":{"formattedCitation":"(Business Wire, 2025)","plainTextFormattedCitation":"(Business Wire, 2025)","previouslyFormattedCitation":"(Business Wire, 2025)"},"properties":{"noteIndex":0},"schema":"https://github.com/citation-style-language/schema/raw/master/csl-citation.json"}</w:instrText>
      </w:r>
      <w:r w:rsidR="0025197B" w:rsidRPr="00821096">
        <w:rPr>
          <w:rFonts w:cs="Arial"/>
        </w:rPr>
        <w:fldChar w:fldCharType="separate"/>
      </w:r>
      <w:r w:rsidR="0025197B" w:rsidRPr="00821096">
        <w:rPr>
          <w:rFonts w:cs="Arial"/>
          <w:noProof/>
        </w:rPr>
        <w:t>(Business Wire, 2025)</w:t>
      </w:r>
      <w:r w:rsidR="0025197B" w:rsidRPr="00821096">
        <w:rPr>
          <w:rFonts w:cs="Arial"/>
        </w:rPr>
        <w:fldChar w:fldCharType="end"/>
      </w:r>
      <w:r w:rsidRPr="00821096">
        <w:rPr>
          <w:rFonts w:cs="Arial"/>
        </w:rPr>
        <w:t>. The company can reposition to policy risks and local content regulations through tactical movements of production to the demand area through investments in local manufacturing (</w:t>
      </w:r>
      <w:proofErr w:type="spellStart"/>
      <w:r w:rsidRPr="00821096">
        <w:rPr>
          <w:rFonts w:cs="Arial"/>
        </w:rPr>
        <w:t>Gigafactories</w:t>
      </w:r>
      <w:proofErr w:type="spellEnd"/>
      <w:r w:rsidRPr="00821096">
        <w:rPr>
          <w:rFonts w:cs="Arial"/>
        </w:rPr>
        <w:t>), as this would decrease the exposure to tariff risks and access regional incentives</w:t>
      </w:r>
      <w:r w:rsidR="00E0025C" w:rsidRPr="00821096">
        <w:rPr>
          <w:rFonts w:cs="Arial"/>
        </w:rPr>
        <w:t xml:space="preserve"> </w:t>
      </w:r>
      <w:r w:rsidR="00E0025C" w:rsidRPr="00821096">
        <w:rPr>
          <w:rFonts w:cs="Arial"/>
        </w:rPr>
        <w:fldChar w:fldCharType="begin" w:fldLock="1"/>
      </w:r>
      <w:r w:rsidR="003D59F3"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E0025C" w:rsidRPr="00821096">
        <w:rPr>
          <w:rFonts w:cs="Arial"/>
        </w:rPr>
        <w:fldChar w:fldCharType="separate"/>
      </w:r>
      <w:r w:rsidR="00E0025C" w:rsidRPr="00821096">
        <w:rPr>
          <w:rFonts w:cs="Arial"/>
          <w:noProof/>
        </w:rPr>
        <w:t>(International Energy Agency, 2025)</w:t>
      </w:r>
      <w:r w:rsidR="00E0025C" w:rsidRPr="00821096">
        <w:rPr>
          <w:rFonts w:cs="Arial"/>
        </w:rPr>
        <w:fldChar w:fldCharType="end"/>
      </w:r>
      <w:r w:rsidR="00E0025C" w:rsidRPr="00821096">
        <w:rPr>
          <w:rFonts w:cs="Arial"/>
        </w:rPr>
        <w:t>.</w:t>
      </w:r>
    </w:p>
    <w:p w:rsidR="00591FE8" w:rsidRPr="00821096" w:rsidRDefault="00591FE8" w:rsidP="00CE4432">
      <w:pPr>
        <w:rPr>
          <w:rFonts w:cs="Arial"/>
        </w:rPr>
      </w:pPr>
      <w:r w:rsidRPr="00821096">
        <w:rPr>
          <w:rFonts w:cs="Arial"/>
        </w:rPr>
        <w:t xml:space="preserve">Using the Generic Strategies developed by Michael Porter, the Tesla strategy can be described as differentiation strategy with selective cost- efficiency-plans, as opposed to the cost leadership strategy </w:t>
      </w:r>
      <w:r w:rsidR="00B8090E" w:rsidRPr="00821096">
        <w:rPr>
          <w:rFonts w:cs="Arial"/>
        </w:rPr>
        <w:fldChar w:fldCharType="begin" w:fldLock="1"/>
      </w:r>
      <w:r w:rsidR="00B8090E" w:rsidRPr="00821096">
        <w:rPr>
          <w:rFonts w:cs="Arial"/>
        </w:rPr>
        <w:instrText>ADDIN CSL_CITATION {"citationItems":[{"id":"ITEM-1","itemData":{"author":[{"dropping-particle":"","family":"Porter","given":"M. E","non-dropping-particle":"","parse-names":false,"suffix":""}],"container-title":"Competitive Strategy: Techniques for Analyzing Industries and Competitors","id":"ITEM-1","issued":{"date-parts":[["1980","7","5"]]},"number-of-pages":"1-110","title":"Competitive Strategy: Techniques for Analyzing Industries and Competitors","type":"book"},"uris":["http://www.mendeley.com/documents/?uuid=6a1b97db-f611-4a75-b131-2fb5c7033667"]}],"mendeley":{"formattedCitation":"(Porter, 1980)","plainTextFormattedCitation":"(Porter, 1980)","previouslyFormattedCitation":"(Porter, 1980)"},"properties":{"noteIndex":0},"schema":"https://github.com/citation-style-language/schema/raw/master/csl-citation.json"}</w:instrText>
      </w:r>
      <w:r w:rsidR="00B8090E" w:rsidRPr="00821096">
        <w:rPr>
          <w:rFonts w:cs="Arial"/>
        </w:rPr>
        <w:fldChar w:fldCharType="separate"/>
      </w:r>
      <w:r w:rsidR="00B8090E" w:rsidRPr="00821096">
        <w:rPr>
          <w:rFonts w:cs="Arial"/>
          <w:noProof/>
        </w:rPr>
        <w:t>(Porter, 1980)</w:t>
      </w:r>
      <w:r w:rsidR="00B8090E" w:rsidRPr="00821096">
        <w:rPr>
          <w:rFonts w:cs="Arial"/>
        </w:rPr>
        <w:fldChar w:fldCharType="end"/>
      </w:r>
      <w:r w:rsidRPr="00821096">
        <w:rPr>
          <w:rFonts w:cs="Arial"/>
        </w:rPr>
        <w:t xml:space="preserve">. It is distinguished by proprietary battery and powertrain technology, vehicle software ecosystem, and network effects created by Supercharger networks that increase the cost of switching customers and enable it to maintain above-average margins </w:t>
      </w:r>
      <w:r w:rsidR="00B8090E" w:rsidRPr="00821096">
        <w:rPr>
          <w:rFonts w:cs="Arial"/>
        </w:rPr>
        <w:fldChar w:fldCharType="begin" w:fldLock="1"/>
      </w:r>
      <w:r w:rsidR="00B8090E" w:rsidRPr="00821096">
        <w:rPr>
          <w:rFonts w:cs="Arial"/>
        </w:rPr>
        <w:instrText>ADDIN CSL_CITATION {"citationItems":[{"id":"ITEM-1","itemData":{"URL":"https://ir.tesla.com/press-release/tesla-fourth-quarter-2024-production-deliveries-and-deployments?","accessed":{"date-parts":[["2026","3","3"]]},"author":[{"dropping-particle":"","family":"Business Wire","given":"","non-dropping-particle":"","parse-names":false,"suffix":""}],"container-title":"Tesla","id":"ITEM-1","issued":{"date-parts":[["2025"]]},"title":"Tesla Fourth Quarter 2024 Production, Deliveries &amp; Deployments | Tesla Investor Relations","type":"webpage"},"uris":["http://www.mendeley.com/documents/?uuid=6cd11798-10f3-39da-ac65-f1a1a8fc7880"]}],"mendeley":{"formattedCitation":"(Business Wire, 2025)","plainTextFormattedCitation":"(Business Wire, 2025)","previouslyFormattedCitation":"(Business Wire, 2025)"},"properties":{"noteIndex":0},"schema":"https://github.com/citation-style-language/schema/raw/master/csl-citation.json"}</w:instrText>
      </w:r>
      <w:r w:rsidR="00B8090E" w:rsidRPr="00821096">
        <w:rPr>
          <w:rFonts w:cs="Arial"/>
        </w:rPr>
        <w:fldChar w:fldCharType="separate"/>
      </w:r>
      <w:r w:rsidR="00B8090E" w:rsidRPr="00821096">
        <w:rPr>
          <w:rFonts w:cs="Arial"/>
          <w:noProof/>
        </w:rPr>
        <w:t>(Business Wire, 2025)</w:t>
      </w:r>
      <w:r w:rsidR="00B8090E" w:rsidRPr="00821096">
        <w:rPr>
          <w:rFonts w:cs="Arial"/>
        </w:rPr>
        <w:fldChar w:fldCharType="end"/>
      </w:r>
      <w:r w:rsidRPr="00821096">
        <w:rPr>
          <w:rFonts w:cs="Arial"/>
        </w:rPr>
        <w:t xml:space="preserve">. Simultaneously, Tesla is making investments in scale, manufacturing innovations (e.g. cell formats, giga-scale plants) to help drive unit costs down in a hybrid strategy that tries to maintain market share when EV price elasticities grow </w:t>
      </w:r>
      <w:r w:rsidR="00B8090E" w:rsidRPr="00821096">
        <w:rPr>
          <w:rFonts w:cs="Arial"/>
        </w:rPr>
        <w:fldChar w:fldCharType="begin" w:fldLock="1"/>
      </w:r>
      <w:r w:rsidR="00614190"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B8090E" w:rsidRPr="00821096">
        <w:rPr>
          <w:rFonts w:cs="Arial"/>
        </w:rPr>
        <w:fldChar w:fldCharType="separate"/>
      </w:r>
      <w:r w:rsidR="00B8090E" w:rsidRPr="00821096">
        <w:rPr>
          <w:rFonts w:cs="Arial"/>
          <w:noProof/>
        </w:rPr>
        <w:t>(International Energy Agency, 2025)</w:t>
      </w:r>
      <w:r w:rsidR="00B8090E" w:rsidRPr="00821096">
        <w:rPr>
          <w:rFonts w:cs="Arial"/>
        </w:rPr>
        <w:fldChar w:fldCharType="end"/>
      </w:r>
      <w:r w:rsidR="00B8090E" w:rsidRPr="00821096">
        <w:rPr>
          <w:rFonts w:cs="Arial"/>
        </w:rPr>
        <w:t>.</w:t>
      </w:r>
    </w:p>
    <w:p w:rsidR="00591FE8" w:rsidRPr="00821096" w:rsidRDefault="00591FE8" w:rsidP="00CE4432">
      <w:pPr>
        <w:rPr>
          <w:rFonts w:cs="Arial"/>
        </w:rPr>
      </w:pPr>
      <w:r w:rsidRPr="00821096">
        <w:rPr>
          <w:rFonts w:cs="Arial"/>
        </w:rPr>
        <w:t xml:space="preserve">Most importantly, there exist three weaknesses in the strategy of Tesla. First, there is a problem of implementation in the reliance on breakthrough manufacturing (e.g., new cell formats): a delay, or quality issues can undermine a promised cost benefit </w:t>
      </w:r>
      <w:r w:rsidR="00614190" w:rsidRPr="00821096">
        <w:rPr>
          <w:rFonts w:cs="Arial"/>
        </w:rPr>
        <w:fldChar w:fldCharType="begin" w:fldLock="1"/>
      </w:r>
      <w:r w:rsidR="00614190" w:rsidRPr="00821096">
        <w:rPr>
          <w:rFonts w:cs="Arial"/>
        </w:rPr>
        <w:instrText>ADDIN CSL_CITATION {"citationItems":[{"id":"ITEM-1","itemData":{"URL":"https://www.teslarati.com/tesla-confirms-finally-solved-4680-battery-dry-cathode-process/","accessed":{"date-parts":[["2026","3","3"]]},"author":[{"dropping-particle":"","family":"Alvarez","given":"Simon","non-dropping-particle":"","parse-names":false,"suffix":""}],"container-title":"Teslarati","id":"ITEM-1","issued":{"date-parts":[["2026","1","30"]]},"title":"Tesla confirms that it finally solved its 4680 battery's dry cathode process","type":"webpage"},"uris":["http://www.mendeley.com/documents/?uuid=883198c8-0e84-361d-ab34-fa3143682923"]}],"mendeley":{"formattedCitation":"(Alvarez, 2026)","plainTextFormattedCitation":"(Alvarez, 2026)","previouslyFormattedCitation":"(Alvarez, 2026)"},"properties":{"noteIndex":0},"schema":"https://github.com/citation-style-language/schema/raw/master/csl-citation.json"}</w:instrText>
      </w:r>
      <w:r w:rsidR="00614190" w:rsidRPr="00821096">
        <w:rPr>
          <w:rFonts w:cs="Arial"/>
        </w:rPr>
        <w:fldChar w:fldCharType="separate"/>
      </w:r>
      <w:r w:rsidR="00614190" w:rsidRPr="00821096">
        <w:rPr>
          <w:rFonts w:cs="Arial"/>
          <w:noProof/>
        </w:rPr>
        <w:t>(Alvarez, 2026)</w:t>
      </w:r>
      <w:r w:rsidR="00614190" w:rsidRPr="00821096">
        <w:rPr>
          <w:rFonts w:cs="Arial"/>
        </w:rPr>
        <w:fldChar w:fldCharType="end"/>
      </w:r>
      <w:r w:rsidRPr="00821096">
        <w:rPr>
          <w:rFonts w:cs="Arial"/>
        </w:rPr>
        <w:t xml:space="preserve">. Second, it should have great policy dependence; such as, subsidy cutbacks or options of local content may rapidly shift the economic condition in the essential markets, straining margins </w:t>
      </w:r>
      <w:r w:rsidR="00614190" w:rsidRPr="00821096">
        <w:rPr>
          <w:rFonts w:cs="Arial"/>
        </w:rPr>
        <w:fldChar w:fldCharType="begin" w:fldLock="1"/>
      </w:r>
      <w:r w:rsidR="00614190" w:rsidRPr="00821096">
        <w:rPr>
          <w:rFonts w:cs="Arial"/>
        </w:rPr>
        <w:instrText>ADDIN CSL_CITATION {"citationItems":[{"id":"ITEM-1","itemData":{"URL":"https://www.acea.auto/pc-registrations/new-car-registrations-1-8-in-2025-battery-electric-17-4-market-share/?","accessed":{"date-parts":[["2026","3","3"]]},"author":[{"dropping-particle":"","family":"ACEA","given":"","non-dropping-particle":"","parse-names":false,"suffix":""}],"container-title":"ACEA","id":"ITEM-1","issued":{"date-parts":[["2026"]]},"title":"New car registrations: +1.8% in 2025; battery-electric 17.4% market share - ACEA - European Automobile Manufacturers' Association","type":"webpage"},"uris":["http://www.mendeley.com/documents/?uuid=76e26c23-12c4-3870-bf48-4d629b2fec30"]}],"mendeley":{"formattedCitation":"(ACEA, 2026)","plainTextFormattedCitation":"(ACEA, 2026)","previouslyFormattedCitation":"(ACEA, 2026)"},"properties":{"noteIndex":0},"schema":"https://github.com/citation-style-language/schema/raw/master/csl-citation.json"}</w:instrText>
      </w:r>
      <w:r w:rsidR="00614190" w:rsidRPr="00821096">
        <w:rPr>
          <w:rFonts w:cs="Arial"/>
        </w:rPr>
        <w:fldChar w:fldCharType="separate"/>
      </w:r>
      <w:r w:rsidR="00614190" w:rsidRPr="00821096">
        <w:rPr>
          <w:rFonts w:cs="Arial"/>
          <w:noProof/>
        </w:rPr>
        <w:t>(ACEA, 2026)</w:t>
      </w:r>
      <w:r w:rsidR="00614190" w:rsidRPr="00821096">
        <w:rPr>
          <w:rFonts w:cs="Arial"/>
        </w:rPr>
        <w:fldChar w:fldCharType="end"/>
      </w:r>
      <w:r w:rsidRPr="00821096">
        <w:rPr>
          <w:rFonts w:cs="Arial"/>
        </w:rPr>
        <w:t>. Third, segment cannibalization risks more competition with vertically integrated followers that are able to underprice Tesla in volume segments</w:t>
      </w:r>
      <w:r w:rsidR="00614190" w:rsidRPr="00821096">
        <w:rPr>
          <w:rFonts w:cs="Arial"/>
        </w:rPr>
        <w:t xml:space="preserve"> </w:t>
      </w:r>
      <w:r w:rsidR="00614190" w:rsidRPr="00821096">
        <w:rPr>
          <w:rFonts w:cs="Arial"/>
        </w:rPr>
        <w:fldChar w:fldCharType="begin" w:fldLock="1"/>
      </w:r>
      <w:r w:rsidR="00295890" w:rsidRPr="00821096">
        <w:rPr>
          <w:rFonts w:cs="Arial"/>
        </w:rPr>
        <w:instrText>ADDIN CSL_CITATION {"citationItems":[{"id":"ITEM-1","itemData":{"URL":"https://www.bydglobal.com/en/InnovationByd.html","accessed":{"date-parts":[["2026","3","3"]]},"author":[{"dropping-particle":"","family":"BYD","given":"","non-dropping-particle":"","parse-names":false,"suffix":""}],"container-title":"BYD Company Limited","id":"ITEM-1","issued":{"date-parts":[["2025"]]},"title":"Innovation at BYD-BYD","type":"webpage"},"uris":["http://www.mendeley.com/documents/?uuid=20e988aa-7a24-3ad0-a966-aed5254a9100"]}],"mendeley":{"formattedCitation":"(BYD, 2025)","plainTextFormattedCitation":"(BYD, 2025)","previouslyFormattedCitation":"(BYD, 2025)"},"properties":{"noteIndex":0},"schema":"https://github.com/citation-style-language/schema/raw/master/csl-citation.json"}</w:instrText>
      </w:r>
      <w:r w:rsidR="00614190" w:rsidRPr="00821096">
        <w:rPr>
          <w:rFonts w:cs="Arial"/>
        </w:rPr>
        <w:fldChar w:fldCharType="separate"/>
      </w:r>
      <w:r w:rsidR="00614190" w:rsidRPr="00821096">
        <w:rPr>
          <w:rFonts w:cs="Arial"/>
          <w:noProof/>
        </w:rPr>
        <w:t>(BYD, 2025)</w:t>
      </w:r>
      <w:r w:rsidR="00614190" w:rsidRPr="00821096">
        <w:rPr>
          <w:rFonts w:cs="Arial"/>
        </w:rPr>
        <w:fldChar w:fldCharType="end"/>
      </w:r>
      <w:r w:rsidRPr="00821096">
        <w:rPr>
          <w:rFonts w:cs="Arial"/>
        </w:rPr>
        <w:t>.</w:t>
      </w:r>
    </w:p>
    <w:p w:rsidR="002B22EF" w:rsidRDefault="00591FE8" w:rsidP="00CE4432">
      <w:pPr>
        <w:rPr>
          <w:rFonts w:cs="Arial"/>
        </w:rPr>
      </w:pPr>
      <w:r w:rsidRPr="00821096">
        <w:rPr>
          <w:rFonts w:cs="Arial"/>
        </w:rPr>
        <w:t>The examples of the concrete industry can demonstrate the following points: the price changes in 2023-2024 in various markets allowed Tesla to respond to competitive pressure regarding pricing as a reaction, and the rush to increase local production volume in Europe and Asia demonstrated a proactive policy-hedging</w:t>
      </w:r>
      <w:r w:rsidR="00295890" w:rsidRPr="00821096">
        <w:rPr>
          <w:rFonts w:cs="Arial"/>
        </w:rPr>
        <w:t xml:space="preserve"> </w:t>
      </w:r>
      <w:r w:rsidR="00295890" w:rsidRPr="00821096">
        <w:rPr>
          <w:rFonts w:cs="Arial"/>
        </w:rPr>
        <w:fldChar w:fldCharType="begin" w:fldLock="1"/>
      </w:r>
      <w:r w:rsidR="00E32F03" w:rsidRPr="00821096">
        <w:rPr>
          <w:rFonts w:cs="Arial"/>
        </w:rPr>
        <w:instrText>ADDIN CSL_CITATION {"citationItems":[{"id":"ITEM-1","itemData":{"URL":"https://ir.tesla.com/press-release/tesla-fourth-quarter-2024-production-deliveries-and-deployments?","accessed":{"date-parts":[["2026","3","3"]]},"author":[{"dropping-particle":"","family":"Business Wire","given":"","non-dropping-particle":"","parse-names":false,"suffix":""}],"container-title":"Tesla","id":"ITEM-1","issued":{"date-parts":[["2025"]]},"title":"Tesla Fourth Quarter 2024 Production, Deliveries &amp; Deployments | Tesla Investor Relations","type":"webpage"},"uris":["http://www.mendeley.com/documents/?uuid=6cd11798-10f3-39da-ac65-f1a1a8fc7880"]},{"id":"ITEM-2","itemData":{"URL":"https://www.reuters.com/sustainability/climate-energy/global-ev-sales-growth-slowest-since-feb-2024-china-plateau-us-policy-changes-2025-12-12/","accessed":{"date-parts":[["2026","3","3"]]},"author":[{"dropping-particle":"","family":"Parodi","given":"Alessandro","non-dropping-particle":"","parse-names":false,"suffix":""}],"container-title":"Reuters","id":"ITEM-2","issued":{"date-parts":[["2025","12","12"]]},"title":"Global EV sales growth slowest since Feb 2024 on China plateau, US policy changes | Reuters","type":"webpage"},"uris":["http://www.mendeley.com/documents/?uuid=45aabea0-7914-3398-9a70-762a630b7d8a"]}],"mendeley":{"formattedCitation":"(Business Wire, 2025; Parodi, 2025)","plainTextFormattedCitation":"(Business Wire, 2025; Parodi, 2025)","previouslyFormattedCitation":"(Business Wire, 2025; Parodi, 2025)"},"properties":{"noteIndex":0},"schema":"https://github.com/citation-style-language/schema/raw/master/csl-citation.json"}</w:instrText>
      </w:r>
      <w:r w:rsidR="00295890" w:rsidRPr="00821096">
        <w:rPr>
          <w:rFonts w:cs="Arial"/>
        </w:rPr>
        <w:fldChar w:fldCharType="separate"/>
      </w:r>
      <w:r w:rsidR="00295890" w:rsidRPr="00821096">
        <w:rPr>
          <w:rFonts w:cs="Arial"/>
          <w:noProof/>
        </w:rPr>
        <w:t xml:space="preserve">(Business Wire, </w:t>
      </w:r>
      <w:r w:rsidR="00295890" w:rsidRPr="00821096">
        <w:rPr>
          <w:rFonts w:cs="Arial"/>
          <w:noProof/>
        </w:rPr>
        <w:lastRenderedPageBreak/>
        <w:t>2025; Parodi, 2025)</w:t>
      </w:r>
      <w:r w:rsidR="00295890" w:rsidRPr="00821096">
        <w:rPr>
          <w:rFonts w:cs="Arial"/>
        </w:rPr>
        <w:fldChar w:fldCharType="end"/>
      </w:r>
      <w:r w:rsidRPr="00821096">
        <w:rPr>
          <w:rFonts w:cs="Arial"/>
        </w:rPr>
        <w:t>. In general, a long-term sustainable position of Tesla in the Porter context is a mix of a differentiation (premium features, software ecosystem) and a selective use of the scales and process economies to protect margins i.e. differentiation buttressed by cost initiatives especially those specifically targeting cost leadership is not a wholesale shift to cost leadership, but rather a once-occasion cost-cutting effort</w:t>
      </w:r>
      <w:r w:rsidR="00E32F03" w:rsidRPr="00821096">
        <w:rPr>
          <w:rFonts w:cs="Arial"/>
        </w:rPr>
        <w:t xml:space="preserve"> </w:t>
      </w:r>
      <w:r w:rsidR="00E32F03" w:rsidRPr="00821096">
        <w:rPr>
          <w:rFonts w:cs="Arial"/>
        </w:rPr>
        <w:fldChar w:fldCharType="begin" w:fldLock="1"/>
      </w:r>
      <w:r w:rsidR="002501A7">
        <w:rPr>
          <w:rFonts w:cs="Arial"/>
        </w:rPr>
        <w:instrText>ADDIN CSL_CITATION {"citationItems":[{"id":"ITEM-1","itemData":{"author":[{"dropping-particle":"","family":"Porter","given":"M. E","non-dropping-particle":"","parse-names":false,"suffix":""}],"container-title":"Competitive Strategy: Techniques for Analyzing Industries and Competitors","id":"ITEM-1","issued":{"date-parts":[["1980","7","5"]]},"number-of-pages":"1-110","title":"Competitive Strategy: Techniques for Analyzing Industries and Competitors","type":"book"},"uris":["http://www.mendeley.com/documents/?uuid=6a1b97db-f611-4a75-b131-2fb5c7033667"]},{"id":"ITEM-2","itemData":{"author":[{"dropping-particle":"","family":"Johnson","given":"Gerry","non-dropping-particle":"","parse-names":false,"suffix":""},{"dropping-particle":"","family":"Scholes","given":"Kevan","non-dropping-particle":"","parse-names":false,"suffix":""},{"dropping-particle":"","family":"Whittington","given":"Richard","non-dropping-particle":"","parse-names":false,"suffix":""}],"id":"ITEM-2","issued":{"date-parts":[["2017","1","1"]]},"publisher":"Pearson","title":"Exploring Corporate Strategy: Text &amp; Cases","type":"book"},"uris":["http://www.mendeley.com/documents/?uuid=000711cf-f320-4c9f-bfbf-8b0458529141"]}],"mendeley":{"formattedCitation":"(Porter, 1980; Johnson, Scholes and Whittington, 2017)","plainTextFormattedCitation":"(Porter, 1980; Johnson, Scholes and Whittington, 2017)","previouslyFormattedCitation":"(Porter, 1980; Johnson, Scholes and Whittington, 2017)"},"properties":{"noteIndex":0},"schema":"https://github.com/citation-style-language/schema/raw/master/csl-citation.json"}</w:instrText>
      </w:r>
      <w:r w:rsidR="00E32F03" w:rsidRPr="00821096">
        <w:rPr>
          <w:rFonts w:cs="Arial"/>
        </w:rPr>
        <w:fldChar w:fldCharType="separate"/>
      </w:r>
      <w:r w:rsidR="008263D3" w:rsidRPr="008263D3">
        <w:rPr>
          <w:rFonts w:cs="Arial"/>
          <w:noProof/>
        </w:rPr>
        <w:t>(Porter, 1980; Johnson, Scholes and Whittington, 2017)</w:t>
      </w:r>
      <w:r w:rsidR="00E32F03" w:rsidRPr="00821096">
        <w:rPr>
          <w:rFonts w:cs="Arial"/>
        </w:rPr>
        <w:fldChar w:fldCharType="end"/>
      </w:r>
      <w:r w:rsidRPr="00821096">
        <w:rPr>
          <w:rFonts w:cs="Arial"/>
        </w:rPr>
        <w:t xml:space="preserve">. </w:t>
      </w:r>
    </w:p>
    <w:p w:rsidR="002B22EF" w:rsidRPr="00746FAD" w:rsidRDefault="002B22EF" w:rsidP="009352DE">
      <w:pPr>
        <w:rPr>
          <w:rFonts w:cs="Arial"/>
          <w:b/>
          <w:color w:val="4472C4" w:themeColor="accent1"/>
        </w:rPr>
      </w:pPr>
      <w:r>
        <w:rPr>
          <w:noProof/>
        </w:rPr>
        <w:drawing>
          <wp:anchor distT="0" distB="0" distL="114300" distR="114300" simplePos="0" relativeHeight="251661312" behindDoc="0" locked="0" layoutInCell="1" allowOverlap="1">
            <wp:simplePos x="0" y="0"/>
            <wp:positionH relativeFrom="margin">
              <wp:posOffset>139700</wp:posOffset>
            </wp:positionH>
            <wp:positionV relativeFrom="paragraph">
              <wp:posOffset>450850</wp:posOffset>
            </wp:positionV>
            <wp:extent cx="5537200" cy="3691255"/>
            <wp:effectExtent l="0" t="0" r="6350"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37200" cy="3691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6FAD" w:rsidRPr="00746FAD">
        <w:rPr>
          <w:rFonts w:cs="Arial"/>
          <w:b/>
          <w:color w:val="4472C4" w:themeColor="accent1"/>
        </w:rPr>
        <w:t>Tesla’s Strategic Positioning Matrix: Differentiation and Cost Leadership Initiatives (Porter Framework)</w:t>
      </w:r>
    </w:p>
    <w:p w:rsidR="00DE37DC" w:rsidRPr="001D5263" w:rsidRDefault="0086543F" w:rsidP="002B22EF">
      <w:pPr>
        <w:pStyle w:val="Caption"/>
        <w:rPr>
          <w:rFonts w:cs="Arial"/>
          <w:color w:val="4472C4" w:themeColor="accent1"/>
        </w:rPr>
      </w:pPr>
      <w:r w:rsidRPr="001D5263">
        <w:rPr>
          <w:color w:val="000000" w:themeColor="text1"/>
        </w:rPr>
        <w:t>(</w:t>
      </w:r>
      <w:r w:rsidR="00217267" w:rsidRPr="001D5263">
        <w:rPr>
          <w:color w:val="000000" w:themeColor="text1"/>
        </w:rPr>
        <w:t xml:space="preserve">Adapted from </w:t>
      </w:r>
      <w:r w:rsidR="008F7C39" w:rsidRPr="001D5263">
        <w:rPr>
          <w:color w:val="000000" w:themeColor="text1"/>
        </w:rPr>
        <w:fldChar w:fldCharType="begin" w:fldLock="1"/>
      </w:r>
      <w:r w:rsidR="000431D1">
        <w:rPr>
          <w:color w:val="000000" w:themeColor="text1"/>
        </w:rPr>
        <w:instrText>ADDIN CSL_CITATION {"citationItems":[{"id":"ITEM-1","itemData":{"URL":"https://www.teslarati.com/tesla-confirms-finally-solved-4680-battery-dry-cathode-process/","accessed":{"date-parts":[["2026","3","3"]]},"author":[{"dropping-particle":"","family":"Alvarez","given":"Simon","non-dropping-particle":"","parse-names":false,"suffix":""}],"container-title":"Teslarati","id":"ITEM-1","issued":{"date-parts":[["2026","1","30"]]},"title":"Tesla confirms that it finally solved its 4680 battery's dry cathode process","type":"webpage"},"uris":["http://www.mendeley.com/documents/?uuid=883198c8-0e84-361d-ab34-fa3143682923"]},{"id":"ITEM-2","itemData":{"ISBN":"9780029250907","author":[{"dropping-particle":"","family":"Porter","given":"M E","non-dropping-particle":"","parse-names":false,"suffix":""}],"id":"ITEM-2","issued":{"date-parts":[["1985"]]},"publisher":"Free Press","title":"Competitive Advantage: Creating and Sustaining Superior Performance","type":"book"},"uris":["http://www.mendeley.com/documents/?uuid=e7882caf-556f-4c00-b0e1-7418b2605914"]}],"mendeley":{"formattedCitation":"(Porter, 1985; Alvarez, 2026)","manualFormatting":"Porter, 1985; Alvarez, 2026)","plainTextFormattedCitation":"(Porter, 1985; Alvarez, 2026)","previouslyFormattedCitation":"(Porter, 1985; Alvarez, 2026)"},"properties":{"noteIndex":0},"schema":"https://github.com/citation-style-language/schema/raw/master/csl-citation.json"}</w:instrText>
      </w:r>
      <w:r w:rsidR="008F7C39" w:rsidRPr="001D5263">
        <w:rPr>
          <w:color w:val="000000" w:themeColor="text1"/>
        </w:rPr>
        <w:fldChar w:fldCharType="separate"/>
      </w:r>
      <w:r w:rsidR="008F7C39" w:rsidRPr="001D5263">
        <w:rPr>
          <w:noProof/>
          <w:color w:val="000000" w:themeColor="text1"/>
        </w:rPr>
        <w:t>Porter, 1985; Alvarez, 2026)</w:t>
      </w:r>
      <w:r w:rsidR="008F7C39" w:rsidRPr="001D5263">
        <w:rPr>
          <w:color w:val="000000" w:themeColor="text1"/>
        </w:rPr>
        <w:fldChar w:fldCharType="end"/>
      </w:r>
    </w:p>
    <w:p w:rsidR="00DE430C" w:rsidRDefault="009C00A4" w:rsidP="002B22EF">
      <w:pPr>
        <w:pStyle w:val="Caption"/>
        <w:rPr>
          <w:rFonts w:cs="Arial"/>
          <w:color w:val="4472C4" w:themeColor="accent1"/>
        </w:rPr>
      </w:pPr>
      <w:bookmarkStart w:id="28" w:name="_Toc224914034"/>
      <w:r w:rsidRPr="001E6E23">
        <w:rPr>
          <w:rFonts w:cs="Arial"/>
          <w:color w:val="4472C4" w:themeColor="accent1"/>
        </w:rPr>
        <w:t xml:space="preserve">Figure </w:t>
      </w:r>
      <w:r w:rsidRPr="001E6E23">
        <w:rPr>
          <w:rFonts w:cs="Arial"/>
          <w:color w:val="4472C4" w:themeColor="accent1"/>
        </w:rPr>
        <w:fldChar w:fldCharType="begin"/>
      </w:r>
      <w:r w:rsidRPr="001E6E23">
        <w:rPr>
          <w:rFonts w:cs="Arial"/>
          <w:color w:val="4472C4" w:themeColor="accent1"/>
        </w:rPr>
        <w:instrText xml:space="preserve"> SEQ Figure \* ARABIC </w:instrText>
      </w:r>
      <w:r w:rsidRPr="001E6E23">
        <w:rPr>
          <w:rFonts w:cs="Arial"/>
          <w:color w:val="4472C4" w:themeColor="accent1"/>
        </w:rPr>
        <w:fldChar w:fldCharType="separate"/>
      </w:r>
      <w:r w:rsidR="00356424">
        <w:rPr>
          <w:rFonts w:cs="Arial"/>
          <w:noProof/>
          <w:color w:val="4472C4" w:themeColor="accent1"/>
        </w:rPr>
        <w:t>3</w:t>
      </w:r>
      <w:r w:rsidRPr="001E6E23">
        <w:rPr>
          <w:rFonts w:cs="Arial"/>
          <w:color w:val="4472C4" w:themeColor="accent1"/>
        </w:rPr>
        <w:fldChar w:fldCharType="end"/>
      </w:r>
      <w:r w:rsidRPr="001E6E23">
        <w:rPr>
          <w:rFonts w:cs="Arial"/>
          <w:color w:val="4472C4" w:themeColor="accent1"/>
        </w:rPr>
        <w:t>: Tesla’s Strategic Positioning Matrix (Porter Framework)</w:t>
      </w:r>
      <w:bookmarkEnd w:id="28"/>
    </w:p>
    <w:p w:rsidR="00F95666" w:rsidRDefault="00F95666" w:rsidP="00F95666"/>
    <w:p w:rsidR="00F95666" w:rsidRDefault="00F95666" w:rsidP="00F95666"/>
    <w:p w:rsidR="00F95666" w:rsidRDefault="00F95666" w:rsidP="00F95666"/>
    <w:p w:rsidR="00F95666" w:rsidRDefault="00F95666" w:rsidP="00F95666"/>
    <w:p w:rsidR="00F95666" w:rsidRDefault="00F95666" w:rsidP="00F95666"/>
    <w:p w:rsidR="00F95666" w:rsidRDefault="00F95666" w:rsidP="00F95666"/>
    <w:p w:rsidR="00F95666" w:rsidRDefault="00F95666" w:rsidP="00F95666"/>
    <w:p w:rsidR="00F95666" w:rsidRDefault="00F95666" w:rsidP="00F95666"/>
    <w:p w:rsidR="00F95666" w:rsidRPr="00F95666" w:rsidRDefault="00F95666" w:rsidP="00F95666"/>
    <w:p w:rsidR="003A2EE3" w:rsidRDefault="00356424" w:rsidP="00BF64B8">
      <w:pPr>
        <w:pStyle w:val="Heading2"/>
        <w:rPr>
          <w:rFonts w:cs="Arial"/>
        </w:rPr>
      </w:pPr>
      <w:bookmarkStart w:id="29" w:name="_Toc222732284"/>
      <w:bookmarkStart w:id="30" w:name="_Toc223436266"/>
      <w:bookmarkStart w:id="31" w:name="_Toc224914022"/>
      <w:r>
        <w:rPr>
          <w:noProof/>
        </w:rPr>
        <w:lastRenderedPageBreak/>
        <w:drawing>
          <wp:anchor distT="0" distB="0" distL="114300" distR="114300" simplePos="0" relativeHeight="251662336" behindDoc="0" locked="0" layoutInCell="1" allowOverlap="1">
            <wp:simplePos x="0" y="0"/>
            <wp:positionH relativeFrom="margin">
              <wp:align>center</wp:align>
            </wp:positionH>
            <wp:positionV relativeFrom="paragraph">
              <wp:posOffset>292100</wp:posOffset>
            </wp:positionV>
            <wp:extent cx="5461000" cy="3896360"/>
            <wp:effectExtent l="0" t="0" r="6350"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1000" cy="3896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52DE" w:rsidRPr="00821096">
        <w:rPr>
          <w:rFonts w:cs="Arial"/>
        </w:rPr>
        <w:t xml:space="preserve">3.2 Follower </w:t>
      </w:r>
      <w:proofErr w:type="spellStart"/>
      <w:r w:rsidR="009352DE" w:rsidRPr="00821096">
        <w:rPr>
          <w:rFonts w:cs="Arial"/>
        </w:rPr>
        <w:t>Organisation’s</w:t>
      </w:r>
      <w:proofErr w:type="spellEnd"/>
      <w:r w:rsidR="009352DE" w:rsidRPr="00821096">
        <w:rPr>
          <w:rFonts w:cs="Arial"/>
        </w:rPr>
        <w:t xml:space="preserve"> Strategic Responses</w:t>
      </w:r>
      <w:bookmarkEnd w:id="29"/>
      <w:bookmarkEnd w:id="30"/>
      <w:r w:rsidR="008F6641">
        <w:rPr>
          <w:rFonts w:cs="Arial"/>
        </w:rPr>
        <w:t xml:space="preserve">: </w:t>
      </w:r>
      <w:r w:rsidR="008F6641" w:rsidRPr="00821096">
        <w:rPr>
          <w:rFonts w:cs="Arial"/>
        </w:rPr>
        <w:t>BYD</w:t>
      </w:r>
      <w:r w:rsidR="008F6641">
        <w:rPr>
          <w:rFonts w:cs="Arial"/>
        </w:rPr>
        <w:t xml:space="preserve"> Company</w:t>
      </w:r>
      <w:bookmarkEnd w:id="31"/>
    </w:p>
    <w:p w:rsidR="00B82DED" w:rsidRPr="000431D1" w:rsidRDefault="00B82DED" w:rsidP="00B82DED">
      <w:pPr>
        <w:rPr>
          <w:i/>
          <w:sz w:val="18"/>
          <w:szCs w:val="18"/>
        </w:rPr>
      </w:pPr>
      <w:r w:rsidRPr="000431D1">
        <w:rPr>
          <w:i/>
          <w:sz w:val="18"/>
          <w:szCs w:val="18"/>
        </w:rPr>
        <w:t xml:space="preserve">(Adapted from </w:t>
      </w:r>
      <w:r w:rsidRPr="000431D1">
        <w:rPr>
          <w:i/>
          <w:sz w:val="18"/>
          <w:szCs w:val="18"/>
        </w:rPr>
        <w:fldChar w:fldCharType="begin" w:fldLock="1"/>
      </w:r>
      <w:r w:rsidRPr="000431D1">
        <w:rPr>
          <w:i/>
          <w:sz w:val="18"/>
          <w:szCs w:val="18"/>
        </w:rPr>
        <w:instrText>ADDIN CSL_CITATION {"citationItems":[{"id":"ITEM-1","itemData":{"DOI":"10.1016/0024-6301(72)90048-9","ISSN":"00246301","abstract":"The most suitable approach to the obtaining of new products by an individual firm in order to reach new markets can be determined only after a thorough investigation of the company's situation and the market conditions. Depending on the relationship between the old and the new products and their markets, the following basic strategies are possible: horizontal, vertical and lateral diversification. © 1972.","author":[{"dropping-particle":"","family":"Ansoff","given":"H. I.","non-dropping-particle":"","parse-names":false,"suffix":""}],"container-title":"Harvard Business Review","id":"ITEM-1","issue":"5","issued":{"date-parts":[["1957"]]},"page":"113–124","title":"Strategies for diversification","type":"article-journal","volume":"35"},"uris":["http://www.mendeley.com/documents/?uuid=0b6212b7-f198-4694-8e4d-1c574af89356"]},{"id":"ITEM-2","itemData":{"URL":"https://www.bydglobal.com/en/InnovationByd.html","accessed":{"date-parts":[["2026","3","3"]]},"author":[{"dropping-particle":"","family":"BYD","given":"","non-dropping-particle":"","parse-names":false,"suffix":""}],"container-title":"BYD Company Limited","id":"ITEM-2","issued":{"date-parts":[["2025"]]},"title":"Innovation at BYD-BYD","type":"webpage"},"uris":["http://www.mendeley.com/documents/?uuid=20e988aa-7a24-3ad0-a966-aed5254a9100"]}],"mendeley":{"formattedCitation":"(Ansoff, 1957; BYD, 2025)","manualFormatting":"Ansoff, 1957; BYD, 2025)","plainTextFormattedCitation":"(Ansoff, 1957; BYD, 2025)","previouslyFormattedCitation":"(Ansoff, 1957; BYD, 2025)"},"properties":{"noteIndex":0},"schema":"https://github.com/citation-style-language/schema/raw/master/csl-citation.json"}</w:instrText>
      </w:r>
      <w:r w:rsidRPr="000431D1">
        <w:rPr>
          <w:i/>
          <w:sz w:val="18"/>
          <w:szCs w:val="18"/>
        </w:rPr>
        <w:fldChar w:fldCharType="separate"/>
      </w:r>
      <w:r w:rsidRPr="000431D1">
        <w:rPr>
          <w:i/>
          <w:noProof/>
          <w:sz w:val="18"/>
          <w:szCs w:val="18"/>
        </w:rPr>
        <w:t>Ansoff, 1957; BYD, 2025)</w:t>
      </w:r>
      <w:r w:rsidRPr="000431D1">
        <w:rPr>
          <w:i/>
          <w:sz w:val="18"/>
          <w:szCs w:val="18"/>
        </w:rPr>
        <w:fldChar w:fldCharType="end"/>
      </w:r>
    </w:p>
    <w:p w:rsidR="00356424" w:rsidRDefault="00356424" w:rsidP="00356424">
      <w:pPr>
        <w:pStyle w:val="Caption"/>
        <w:rPr>
          <w:rFonts w:cs="Arial"/>
        </w:rPr>
      </w:pPr>
      <w:bookmarkStart w:id="32" w:name="_Toc224914035"/>
      <w:r w:rsidRPr="00356424">
        <w:rPr>
          <w:rFonts w:cs="Arial"/>
        </w:rPr>
        <w:t xml:space="preserve">Figure </w:t>
      </w:r>
      <w:r w:rsidRPr="00356424">
        <w:rPr>
          <w:rFonts w:cs="Arial"/>
        </w:rPr>
        <w:fldChar w:fldCharType="begin"/>
      </w:r>
      <w:r w:rsidRPr="00356424">
        <w:rPr>
          <w:rFonts w:cs="Arial"/>
        </w:rPr>
        <w:instrText xml:space="preserve"> SEQ Figure \* ARABIC </w:instrText>
      </w:r>
      <w:r w:rsidRPr="00356424">
        <w:rPr>
          <w:rFonts w:cs="Arial"/>
        </w:rPr>
        <w:fldChar w:fldCharType="separate"/>
      </w:r>
      <w:r w:rsidRPr="00356424">
        <w:rPr>
          <w:rFonts w:cs="Arial"/>
          <w:noProof/>
        </w:rPr>
        <w:t>4</w:t>
      </w:r>
      <w:r w:rsidRPr="00356424">
        <w:rPr>
          <w:rFonts w:cs="Arial"/>
        </w:rPr>
        <w:fldChar w:fldCharType="end"/>
      </w:r>
      <w:r w:rsidRPr="00356424">
        <w:rPr>
          <w:rFonts w:cs="Arial"/>
        </w:rPr>
        <w:t>: Ansoff Matrix Illustrating BYD Company Limited’s Growth Strategies</w:t>
      </w:r>
      <w:bookmarkEnd w:id="32"/>
    </w:p>
    <w:p w:rsidR="00591FE8" w:rsidRPr="00821096" w:rsidRDefault="00591FE8" w:rsidP="002B22EF">
      <w:pPr>
        <w:rPr>
          <w:rFonts w:cs="Arial"/>
        </w:rPr>
      </w:pPr>
      <w:r w:rsidRPr="00821096">
        <w:rPr>
          <w:rFonts w:cs="Arial"/>
        </w:rPr>
        <w:t>The strategic positioning of BYD puts a strong focus on the speed of market penetration via cost leadership, which operates through vertical integration and product-line depth, and on the international market expansion wherever possible</w:t>
      </w:r>
      <w:r w:rsidR="00032D11" w:rsidRPr="00821096">
        <w:rPr>
          <w:rFonts w:cs="Arial"/>
        </w:rPr>
        <w:t xml:space="preserve"> </w:t>
      </w:r>
      <w:r w:rsidR="00032D11" w:rsidRPr="00821096">
        <w:rPr>
          <w:rFonts w:cs="Arial"/>
        </w:rPr>
        <w:fldChar w:fldCharType="begin" w:fldLock="1"/>
      </w:r>
      <w:r w:rsidR="00533519" w:rsidRPr="00821096">
        <w:rPr>
          <w:rFonts w:cs="Arial"/>
        </w:rPr>
        <w:instrText>ADDIN CSL_CITATION {"citationItems":[{"id":"ITEM-1","itemData":{"URL":"https://www.bydglobal.com/en/InnovationByd.html","accessed":{"date-parts":[["2026","3","3"]]},"author":[{"dropping-particle":"","family":"BYD","given":"","non-dropping-particle":"","parse-names":false,"suffix":""}],"container-title":"BYD Company Limited","id":"ITEM-1","issued":{"date-parts":[["2025"]]},"title":"Innovation at BYD-BYD","type":"webpage"},"uris":["http://www.mendeley.com/documents/?uuid=20e988aa-7a24-3ad0-a966-aed5254a9100"]}],"mendeley":{"formattedCitation":"(BYD, 2025)","plainTextFormattedCitation":"(BYD, 2025)","previouslyFormattedCitation":"(BYD, 2025)"},"properties":{"noteIndex":0},"schema":"https://github.com/citation-style-language/schema/raw/master/csl-citation.json"}</w:instrText>
      </w:r>
      <w:r w:rsidR="00032D11" w:rsidRPr="00821096">
        <w:rPr>
          <w:rFonts w:cs="Arial"/>
        </w:rPr>
        <w:fldChar w:fldCharType="separate"/>
      </w:r>
      <w:r w:rsidR="00032D11" w:rsidRPr="00821096">
        <w:rPr>
          <w:rFonts w:cs="Arial"/>
          <w:noProof/>
        </w:rPr>
        <w:t>(BYD, 2025)</w:t>
      </w:r>
      <w:r w:rsidR="00032D11" w:rsidRPr="00821096">
        <w:rPr>
          <w:rFonts w:cs="Arial"/>
        </w:rPr>
        <w:fldChar w:fldCharType="end"/>
      </w:r>
      <w:r w:rsidRPr="00821096">
        <w:rPr>
          <w:rFonts w:cs="Arial"/>
        </w:rPr>
        <w:t>. Using the Growth Matrix created by Igor Ansoff, the activities of BYD fit in this market penetration, product development, and market development quadrants: aggressive prices and massive production volumes (market penetration); new models and development of battery technology (product development); and targeted global expansion and local manufacturing alliances (market development)</w:t>
      </w:r>
      <w:r w:rsidR="00533519" w:rsidRPr="00821096">
        <w:rPr>
          <w:rFonts w:cs="Arial"/>
        </w:rPr>
        <w:t xml:space="preserve"> </w:t>
      </w:r>
      <w:r w:rsidR="00533519" w:rsidRPr="00821096">
        <w:rPr>
          <w:rFonts w:cs="Arial"/>
        </w:rPr>
        <w:fldChar w:fldCharType="begin" w:fldLock="1"/>
      </w:r>
      <w:r w:rsidR="00533519" w:rsidRPr="00821096">
        <w:rPr>
          <w:rFonts w:cs="Arial"/>
        </w:rPr>
        <w:instrText>ADDIN CSL_CITATION {"citationItems":[{"id":"ITEM-1","itemData":{"DOI":"10.1016/0024-6301(72)90048-9","ISSN":"00246301","abstract":"The most suitable approach to the obtaining of new products by an individual firm in order to reach new markets can be determined only after a thorough investigation of the company's situation and the market conditions. Depending on the relationship between the old and the new products and their markets, the following basic strategies are possible: horizontal, vertical and lateral diversification. © 1972.","author":[{"dropping-particle":"","family":"Ansoff","given":"H. I.","non-dropping-particle":"","parse-names":false,"suffix":""}],"container-title":"Harvard Business Review","id":"ITEM-1","issue":"5","issued":{"date-parts":[["1957"]]},"page":"113–124","title":"Strategies for diversification","type":"article-journal","volume":"35"},"uris":["http://www.mendeley.com/documents/?uuid=0b6212b7-f198-4694-8e4d-1c574af89356"]}],"mendeley":{"formattedCitation":"(Ansoff, 1957)","plainTextFormattedCitation":"(Ansoff, 1957)","previouslyFormattedCitation":"(Ansoff, 1957)"},"properties":{"noteIndex":0},"schema":"https://github.com/citation-style-language/schema/raw/master/csl-citation.json"}</w:instrText>
      </w:r>
      <w:r w:rsidR="00533519" w:rsidRPr="00821096">
        <w:rPr>
          <w:rFonts w:cs="Arial"/>
        </w:rPr>
        <w:fldChar w:fldCharType="separate"/>
      </w:r>
      <w:r w:rsidR="00533519" w:rsidRPr="00821096">
        <w:rPr>
          <w:rFonts w:cs="Arial"/>
          <w:noProof/>
        </w:rPr>
        <w:t>(Ansoff, 1957)</w:t>
      </w:r>
      <w:r w:rsidR="00533519" w:rsidRPr="00821096">
        <w:rPr>
          <w:rFonts w:cs="Arial"/>
        </w:rPr>
        <w:fldChar w:fldCharType="end"/>
      </w:r>
      <w:r w:rsidRPr="00821096">
        <w:rPr>
          <w:rFonts w:cs="Arial"/>
        </w:rPr>
        <w:t xml:space="preserve">. </w:t>
      </w:r>
    </w:p>
    <w:p w:rsidR="00591FE8" w:rsidRPr="00821096" w:rsidRDefault="00591FE8" w:rsidP="002B22EF">
      <w:pPr>
        <w:rPr>
          <w:rFonts w:cs="Arial"/>
        </w:rPr>
      </w:pPr>
      <w:r w:rsidRPr="00821096">
        <w:rPr>
          <w:rFonts w:cs="Arial"/>
        </w:rPr>
        <w:t>To gain market share, BYD employs price campaigns and broad model offerings as market penetration instruments based on the Blade/LFP lower cost of the battery and seize the opportunity of lower prices</w:t>
      </w:r>
      <w:r w:rsidR="003D59F3" w:rsidRPr="00821096">
        <w:rPr>
          <w:rFonts w:cs="Arial"/>
        </w:rPr>
        <w:t xml:space="preserve"> </w:t>
      </w:r>
      <w:r w:rsidR="003D59F3" w:rsidRPr="00821096">
        <w:rPr>
          <w:rFonts w:cs="Arial"/>
        </w:rPr>
        <w:fldChar w:fldCharType="begin" w:fldLock="1"/>
      </w:r>
      <w:r w:rsidR="003D59F3" w:rsidRPr="00821096">
        <w:rPr>
          <w:rFonts w:cs="Arial"/>
        </w:rPr>
        <w:instrText>ADDIN CSL_CITATION {"citationItems":[{"id":"ITEM-1","itemData":{"URL":"https://www.batterytechonline.com/market-analysis/byd-s-batteries-power-more-than-their-own-evs?utm_source=chatgpt.com","accessed":{"date-parts":[["2026","3","3"]]},"author":[{"dropping-particle":"","family":"Hertz","given":"Jake","non-dropping-particle":"","parse-names":false,"suffix":""}],"container-title":"Battery Technology","id":"ITEM-1","issued":{"date-parts":[["2025","5","13"]]},"title":"BYD’s Batteries Power More Than Their Own EVs","type":"webpage"},"uris":["http://www.mendeley.com/documents/?uuid=01bc3c88-ff9d-3c81-8702-9b6bedd67bba"]}],"mendeley":{"formattedCitation":"(Hertz, 2025)","plainTextFormattedCitation":"(Hertz, 2025)","previouslyFormattedCitation":"(Hertz, 2025)"},"properties":{"noteIndex":0},"schema":"https://github.com/citation-style-language/schema/raw/master/csl-citation.json"}</w:instrText>
      </w:r>
      <w:r w:rsidR="003D59F3" w:rsidRPr="00821096">
        <w:rPr>
          <w:rFonts w:cs="Arial"/>
        </w:rPr>
        <w:fldChar w:fldCharType="separate"/>
      </w:r>
      <w:r w:rsidR="003D59F3" w:rsidRPr="00821096">
        <w:rPr>
          <w:rFonts w:cs="Arial"/>
          <w:noProof/>
        </w:rPr>
        <w:t>(Hertz, 2025)</w:t>
      </w:r>
      <w:r w:rsidR="003D59F3" w:rsidRPr="00821096">
        <w:rPr>
          <w:rFonts w:cs="Arial"/>
        </w:rPr>
        <w:fldChar w:fldCharType="end"/>
      </w:r>
      <w:r w:rsidRPr="00821096">
        <w:rPr>
          <w:rFonts w:cs="Arial"/>
        </w:rPr>
        <w:t>. During the process of product development, BYD progressively refines battery chemistry and the platform of vehicles in question, which allows adopting variants and alternate configurations to fit other regulatory environments and enhances the competitiveness of the company in terms of flexibility</w:t>
      </w:r>
      <w:r w:rsidR="003D59F3" w:rsidRPr="00821096">
        <w:rPr>
          <w:rFonts w:cs="Arial"/>
        </w:rPr>
        <w:t xml:space="preserve"> </w:t>
      </w:r>
      <w:r w:rsidR="003D59F3" w:rsidRPr="00821096">
        <w:rPr>
          <w:rFonts w:cs="Arial"/>
        </w:rPr>
        <w:fldChar w:fldCharType="begin" w:fldLock="1"/>
      </w:r>
      <w:r w:rsidR="003D59F3" w:rsidRPr="00821096">
        <w:rPr>
          <w:rFonts w:cs="Arial"/>
        </w:rPr>
        <w:instrText>ADDIN CSL_CITATION {"citationItems":[{"id":"ITEM-1","itemData":{"URL":"https://www.bydglobal.com/en/InnovationByd.html","accessed":{"date-parts":[["2026","3","3"]]},"author":[{"dropping-particle":"","family":"BYD","given":"","non-dropping-particle":"","parse-names":false,"suffix":""}],"container-title":"BYD Company Limited","id":"ITEM-1","issued":{"date-parts":[["2025"]]},"title":"Innovation at BYD-BYD","type":"webpage"},"uris":["http://www.mendeley.com/documents/?uuid=20e988aa-7a24-3ad0-a966-aed5254a9100"]}],"mendeley":{"formattedCitation":"(BYD, 2025)","plainTextFormattedCitation":"(BYD, 2025)","previouslyFormattedCitation":"(BYD, 2025)"},"properties":{"noteIndex":0},"schema":"https://github.com/citation-style-language/schema/raw/master/csl-citation.json"}</w:instrText>
      </w:r>
      <w:r w:rsidR="003D59F3" w:rsidRPr="00821096">
        <w:rPr>
          <w:rFonts w:cs="Arial"/>
        </w:rPr>
        <w:fldChar w:fldCharType="separate"/>
      </w:r>
      <w:r w:rsidR="003D59F3" w:rsidRPr="00821096">
        <w:rPr>
          <w:rFonts w:cs="Arial"/>
          <w:noProof/>
        </w:rPr>
        <w:t>(BYD, 2025)</w:t>
      </w:r>
      <w:r w:rsidR="003D59F3" w:rsidRPr="00821096">
        <w:rPr>
          <w:rFonts w:cs="Arial"/>
        </w:rPr>
        <w:fldChar w:fldCharType="end"/>
      </w:r>
      <w:r w:rsidRPr="00821096">
        <w:rPr>
          <w:rFonts w:cs="Arial"/>
        </w:rPr>
        <w:t>. To develop the market, BYD has sought local manufacture and joint venture in identified foreign markets to bypass trade obstacles and locally-</w:t>
      </w:r>
      <w:r w:rsidRPr="00821096">
        <w:rPr>
          <w:rFonts w:cs="Arial"/>
        </w:rPr>
        <w:lastRenderedPageBreak/>
        <w:t xml:space="preserve">made content demands sensible adoption of the Ansoff market development approach to reduce political risks </w:t>
      </w:r>
      <w:r w:rsidR="003D59F3" w:rsidRPr="00821096">
        <w:rPr>
          <w:rFonts w:cs="Arial"/>
        </w:rPr>
        <w:fldChar w:fldCharType="begin" w:fldLock="1"/>
      </w:r>
      <w:r w:rsidR="00946623" w:rsidRPr="00821096">
        <w:rPr>
          <w:rFonts w:cs="Arial"/>
        </w:rPr>
        <w:instrText>ADDIN CSL_CITATION {"citationItems":[{"id":"ITEM-1","itemData":{"URL":"https://www.reuters.com/sustainability/climate-energy/global-ev-sales-growth-slowest-since-feb-2024-china-plateau-us-policy-changes-2025-12-12/","accessed":{"date-parts":[["2026","3","3"]]},"author":[{"dropping-particle":"","family":"Parodi","given":"Alessandro","non-dropping-particle":"","parse-names":false,"suffix":""}],"container-title":"Reuters","id":"ITEM-1","issued":{"date-parts":[["2025","12","12"]]},"title":"Global EV sales growth slowest since Feb 2024 on China plateau, US policy changes | Reuters","type":"webpage"},"uris":["http://www.mendeley.com/documents/?uuid=45aabea0-7914-3398-9a70-762a630b7d8a"]}],"mendeley":{"formattedCitation":"(Parodi, 2025)","plainTextFormattedCitation":"(Parodi, 2025)","previouslyFormattedCitation":"(Parodi, 2025)"},"properties":{"noteIndex":0},"schema":"https://github.com/citation-style-language/schema/raw/master/csl-citation.json"}</w:instrText>
      </w:r>
      <w:r w:rsidR="003D59F3" w:rsidRPr="00821096">
        <w:rPr>
          <w:rFonts w:cs="Arial"/>
        </w:rPr>
        <w:fldChar w:fldCharType="separate"/>
      </w:r>
      <w:r w:rsidR="003D59F3" w:rsidRPr="00821096">
        <w:rPr>
          <w:rFonts w:cs="Arial"/>
          <w:noProof/>
        </w:rPr>
        <w:t>(Parodi, 2025)</w:t>
      </w:r>
      <w:r w:rsidR="003D59F3" w:rsidRPr="00821096">
        <w:rPr>
          <w:rFonts w:cs="Arial"/>
        </w:rPr>
        <w:fldChar w:fldCharType="end"/>
      </w:r>
      <w:r w:rsidR="003D59F3" w:rsidRPr="00821096">
        <w:rPr>
          <w:rFonts w:cs="Arial"/>
        </w:rPr>
        <w:t>.</w:t>
      </w:r>
    </w:p>
    <w:p w:rsidR="00591FE8" w:rsidRPr="00821096" w:rsidRDefault="00591FE8" w:rsidP="002B22EF">
      <w:pPr>
        <w:rPr>
          <w:rFonts w:cs="Arial"/>
        </w:rPr>
      </w:pPr>
      <w:r w:rsidRPr="00821096">
        <w:rPr>
          <w:rFonts w:cs="Arial"/>
        </w:rPr>
        <w:t>A critical evaluation of the strategy of BYD has weaknesses and strengths. The vertically-integrated cost base and scale-up is very strong short-term benefits with powerful defensive pricing and scale up</w:t>
      </w:r>
      <w:r w:rsidR="00946623" w:rsidRPr="00821096">
        <w:rPr>
          <w:rFonts w:cs="Arial"/>
        </w:rPr>
        <w:t xml:space="preserve"> </w:t>
      </w:r>
      <w:r w:rsidR="00946623" w:rsidRPr="00821096">
        <w:rPr>
          <w:rFonts w:cs="Arial"/>
        </w:rPr>
        <w:fldChar w:fldCharType="begin" w:fldLock="1"/>
      </w:r>
      <w:r w:rsidR="00946623" w:rsidRPr="00821096">
        <w:rPr>
          <w:rFonts w:cs="Arial"/>
        </w:rPr>
        <w:instrText>ADDIN CSL_CITATION {"citationItems":[{"id":"ITEM-1","itemData":{"author":[{"dropping-particle":"","family":"International Energy Agency","given":"","non-dropping-particle":"","parse-names":false,"suffix":""}],"id":"ITEM-1","issued":{"date-parts":[["2025"]]},"title":"Global EV Outlook 2025. Paris: IEA.","type":"report"},"uris":["http://www.mendeley.com/documents/?uuid=4bd0bd3b-0626-3408-a0c8-aa28d1ed61ac"]}],"mendeley":{"formattedCitation":"(International Energy Agency, 2025)","plainTextFormattedCitation":"(International Energy Agency, 2025)","previouslyFormattedCitation":"(International Energy Agency, 2025)"},"properties":{"noteIndex":0},"schema":"https://github.com/citation-style-language/schema/raw/master/csl-citation.json"}</w:instrText>
      </w:r>
      <w:r w:rsidR="00946623" w:rsidRPr="00821096">
        <w:rPr>
          <w:rFonts w:cs="Arial"/>
        </w:rPr>
        <w:fldChar w:fldCharType="separate"/>
      </w:r>
      <w:r w:rsidR="00946623" w:rsidRPr="00821096">
        <w:rPr>
          <w:rFonts w:cs="Arial"/>
          <w:noProof/>
        </w:rPr>
        <w:t>(International Energy Agency, 2025)</w:t>
      </w:r>
      <w:r w:rsidR="00946623" w:rsidRPr="00821096">
        <w:rPr>
          <w:rFonts w:cs="Arial"/>
        </w:rPr>
        <w:fldChar w:fldCharType="end"/>
      </w:r>
      <w:r w:rsidRPr="00821096">
        <w:rPr>
          <w:rFonts w:cs="Arial"/>
        </w:rPr>
        <w:t>. Nevertheless, the approach can limit BYD in the higher-end niche in which customers value extended range functionality and brand image, and significant investment may be required to dictate a domestic level into various other global jurisdictions</w:t>
      </w:r>
      <w:r w:rsidR="00946623" w:rsidRPr="00821096">
        <w:rPr>
          <w:rFonts w:cs="Arial"/>
        </w:rPr>
        <w:t xml:space="preserve"> </w:t>
      </w:r>
      <w:r w:rsidR="00946623" w:rsidRPr="00821096">
        <w:rPr>
          <w:rFonts w:cs="Arial"/>
        </w:rPr>
        <w:fldChar w:fldCharType="begin" w:fldLock="1"/>
      </w:r>
      <w:r w:rsidR="00345983">
        <w:rPr>
          <w:rFonts w:cs="Arial"/>
        </w:rPr>
        <w:instrText>ADDIN CSL_CITATION {"citationItems":[{"id":"ITEM-1","itemData":{"URL":"https://www.statista.com/study/103895/electric-vehicles-report/","accessed":{"date-parts":[["2026","3","3"]]},"author":[{"dropping-particle":"","family":"Statista","given":"","non-dropping-particle":"","parse-names":false,"suffix":""}],"container-title":"Statista","id":"ITEM-1","issued":{"date-parts":[["2024"]]},"title":"Electric Vehicles: market data &amp; analysis | Statista","type":"webpage"},"uris":["http://www.mendeley.com/documents/?uuid=156ac900-e486-3e71-854c-cac5b75bf19a"]}],"mendeley":{"formattedCitation":"(Statista, 2024)","plainTextFormattedCitation":"(Statista, 2024)","previouslyFormattedCitation":"(Statista, 2024)"},"properties":{"noteIndex":0},"schema":"https://github.com/citation-style-language/schema/raw/master/csl-citation.json"}</w:instrText>
      </w:r>
      <w:r w:rsidR="00946623" w:rsidRPr="00821096">
        <w:rPr>
          <w:rFonts w:cs="Arial"/>
        </w:rPr>
        <w:fldChar w:fldCharType="separate"/>
      </w:r>
      <w:r w:rsidR="0015756E" w:rsidRPr="0015756E">
        <w:rPr>
          <w:rFonts w:cs="Arial"/>
          <w:noProof/>
        </w:rPr>
        <w:t>(Statista, 2024)</w:t>
      </w:r>
      <w:r w:rsidR="00946623" w:rsidRPr="00821096">
        <w:rPr>
          <w:rFonts w:cs="Arial"/>
        </w:rPr>
        <w:fldChar w:fldCharType="end"/>
      </w:r>
      <w:r w:rsidRPr="00821096">
        <w:rPr>
          <w:rFonts w:cs="Arial"/>
        </w:rPr>
        <w:t xml:space="preserve">. In addition, the matrix by Ansoff cautions that market growth and diversification are more risks and need new competencies; BYD globalization thus subjects it to the risks of friction in regulations and branding overseas </w:t>
      </w:r>
      <w:r w:rsidR="00946623" w:rsidRPr="00821096">
        <w:rPr>
          <w:rFonts w:cs="Arial"/>
        </w:rPr>
        <w:fldChar w:fldCharType="begin" w:fldLock="1"/>
      </w:r>
      <w:r w:rsidR="00E62603" w:rsidRPr="00821096">
        <w:rPr>
          <w:rFonts w:cs="Arial"/>
        </w:rPr>
        <w:instrText>ADDIN CSL_CITATION {"citationItems":[{"id":"ITEM-1","itemData":{"DOI":"10.1016/0024-6301(72)90048-9","ISSN":"00246301","abstract":"The most suitable approach to the obtaining of new products by an individual firm in order to reach new markets can be determined only after a thorough investigation of the company's situation and the market conditions. Depending on the relationship between the old and the new products and their markets, the following basic strategies are possible: horizontal, vertical and lateral diversification. © 1972.","author":[{"dropping-particle":"","family":"Ansoff","given":"H. I.","non-dropping-particle":"","parse-names":false,"suffix":""}],"container-title":"Harvard Business Review","id":"ITEM-1","issue":"5","issued":{"date-parts":[["1957"]]},"page":"113–124","title":"Strategies for diversification","type":"article-journal","volume":"35"},"uris":["http://www.mendeley.com/documents/?uuid=0b6212b7-f198-4694-8e4d-1c574af89356"]},{"id":"ITEM-2","itemData":{"URL":"https://www.reuters.com/sustainability/climate-energy/global-ev-sales-growth-slowest-since-feb-2024-china-plateau-us-policy-changes-2025-12-12/","accessed":{"date-parts":[["2026","3","3"]]},"author":[{"dropping-particle":"","family":"Parodi","given":"Alessandro","non-dropping-particle":"","parse-names":false,"suffix":""}],"container-title":"Reuters","id":"ITEM-2","issued":{"date-parts":[["2025","12","12"]]},"title":"Global EV sales growth slowest since Feb 2024 on China plateau, US policy changes | Reuters","type":"webpage"},"uris":["http://www.mendeley.com/documents/?uuid=45aabea0-7914-3398-9a70-762a630b7d8a"]}],"mendeley":{"formattedCitation":"(Ansoff, 1957; Parodi, 2025)","plainTextFormattedCitation":"(Ansoff, 1957; Parodi, 2025)","previouslyFormattedCitation":"(Ansoff, 1957; Parodi, 2025)"},"properties":{"noteIndex":0},"schema":"https://github.com/citation-style-language/schema/raw/master/csl-citation.json"}</w:instrText>
      </w:r>
      <w:r w:rsidR="00946623" w:rsidRPr="00821096">
        <w:rPr>
          <w:rFonts w:cs="Arial"/>
        </w:rPr>
        <w:fldChar w:fldCharType="separate"/>
      </w:r>
      <w:r w:rsidR="00946623" w:rsidRPr="00821096">
        <w:rPr>
          <w:rFonts w:cs="Arial"/>
          <w:noProof/>
        </w:rPr>
        <w:t>(Ansoff, 1957; Parodi, 2025)</w:t>
      </w:r>
      <w:r w:rsidR="00946623" w:rsidRPr="00821096">
        <w:rPr>
          <w:rFonts w:cs="Arial"/>
        </w:rPr>
        <w:fldChar w:fldCharType="end"/>
      </w:r>
      <w:r w:rsidRPr="00821096">
        <w:rPr>
          <w:rFonts w:cs="Arial"/>
        </w:rPr>
        <w:t xml:space="preserve">. </w:t>
      </w:r>
    </w:p>
    <w:p w:rsidR="001E7F96" w:rsidRPr="00821096" w:rsidRDefault="00591FE8" w:rsidP="002B22EF">
      <w:pPr>
        <w:rPr>
          <w:rFonts w:cs="Arial"/>
        </w:rPr>
      </w:pPr>
      <w:r w:rsidRPr="00821096">
        <w:rPr>
          <w:rFonts w:cs="Arial"/>
        </w:rPr>
        <w:t xml:space="preserve">Evidence within the industry reveals that BYD has experienced a fast rate of </w:t>
      </w:r>
      <w:r w:rsidR="00242A5E" w:rsidRPr="00821096">
        <w:rPr>
          <w:rFonts w:cs="Arial"/>
        </w:rPr>
        <w:t>domestication</w:t>
      </w:r>
      <w:r w:rsidRPr="00821096">
        <w:rPr>
          <w:rFonts w:cs="Arial"/>
        </w:rPr>
        <w:t xml:space="preserve"> and an expanding export base, however, it is also seen that there is trade scrutiny in certain regions that make direct export approaches challenging and local investment is required</w:t>
      </w:r>
      <w:r w:rsidR="00E62603" w:rsidRPr="00821096">
        <w:rPr>
          <w:rFonts w:cs="Arial"/>
        </w:rPr>
        <w:t xml:space="preserve"> </w:t>
      </w:r>
      <w:r w:rsidR="00E62603" w:rsidRPr="00821096">
        <w:rPr>
          <w:rFonts w:cs="Arial"/>
        </w:rPr>
        <w:fldChar w:fldCharType="begin" w:fldLock="1"/>
      </w:r>
      <w:r w:rsidR="00E62603" w:rsidRPr="00821096">
        <w:rPr>
          <w:rFonts w:cs="Arial"/>
        </w:rPr>
        <w:instrText>ADDIN CSL_CITATION {"citationItems":[{"id":"ITEM-1","itemData":{"URL":"https://www.bydglobal.com/en/InnovationByd.html","accessed":{"date-parts":[["2026","3","3"]]},"author":[{"dropping-particle":"","family":"BYD","given":"","non-dropping-particle":"","parse-names":false,"suffix":""}],"container-title":"BYD Company Limited","id":"ITEM-1","issued":{"date-parts":[["2025"]]},"title":"Innovation at BYD-BYD","type":"webpage"},"uris":["http://www.mendeley.com/documents/?uuid=20e988aa-7a24-3ad0-a966-aed5254a9100"]},{"id":"ITEM-2","itemData":{"URL":"https://www.reuters.com/sustainability/climate-energy/global-ev-sales-growth-slowest-since-feb-2024-china-plateau-us-policy-changes-2025-12-12/","accessed":{"date-parts":[["2026","3","3"]]},"author":[{"dropping-particle":"","family":"Parodi","given":"Alessandro","non-dropping-particle":"","parse-names":false,"suffix":""}],"container-title":"Reuters","id":"ITEM-2","issued":{"date-parts":[["2025","12","12"]]},"title":"Global EV sales growth slowest since Feb 2024 on China plateau, US policy changes | Reuters","type":"webpage"},"uris":["http://www.mendeley.com/documents/?uuid=45aabea0-7914-3398-9a70-762a630b7d8a"]}],"mendeley":{"formattedCitation":"(BYD, 2025; Parodi, 2025)","plainTextFormattedCitation":"(BYD, 2025; Parodi, 2025)","previouslyFormattedCitation":"(BYD, 2025; Parodi, 2025)"},"properties":{"noteIndex":0},"schema":"https://github.com/citation-style-language/schema/raw/master/csl-citation.json"}</w:instrText>
      </w:r>
      <w:r w:rsidR="00E62603" w:rsidRPr="00821096">
        <w:rPr>
          <w:rFonts w:cs="Arial"/>
        </w:rPr>
        <w:fldChar w:fldCharType="separate"/>
      </w:r>
      <w:r w:rsidR="00E62603" w:rsidRPr="00821096">
        <w:rPr>
          <w:rFonts w:cs="Arial"/>
          <w:noProof/>
        </w:rPr>
        <w:t>(BYD, 2025; Parodi, 2025)</w:t>
      </w:r>
      <w:r w:rsidR="00E62603" w:rsidRPr="00821096">
        <w:rPr>
          <w:rFonts w:cs="Arial"/>
        </w:rPr>
        <w:fldChar w:fldCharType="end"/>
      </w:r>
      <w:r w:rsidRPr="00821096">
        <w:rPr>
          <w:rFonts w:cs="Arial"/>
        </w:rPr>
        <w:t>. Overall, the penetration market-based and localization-based approach of BYD to the new market can be viewed as a plausible path to scale due to their alignment with an Ansoff strategy but slim margins need adjustable market-development and product-differentiation interventions that could help the company avoid being perpetually stuck in the segments with a low margin</w:t>
      </w:r>
      <w:r w:rsidR="00E62603" w:rsidRPr="00821096">
        <w:rPr>
          <w:rFonts w:cs="Arial"/>
        </w:rPr>
        <w:t xml:space="preserve"> </w:t>
      </w:r>
      <w:r w:rsidR="00E62603" w:rsidRPr="00821096">
        <w:rPr>
          <w:rFonts w:cs="Arial"/>
        </w:rPr>
        <w:fldChar w:fldCharType="begin" w:fldLock="1"/>
      </w:r>
      <w:r w:rsidR="002501A7">
        <w:rPr>
          <w:rFonts w:cs="Arial"/>
        </w:rPr>
        <w:instrText>ADDIN CSL_CITATION {"citationItems":[{"id":"ITEM-1","itemData":{"DOI":"10.1016/0024-6301(72)90048-9","ISSN":"00246301","abstract":"The most suitable approach to the obtaining of new products by an individual firm in order to reach new markets can be determined only after a thorough investigation of the company's situation and the market conditions. Depending on the relationship between the old and the new products and their markets, the following basic strategies are possible: horizontal, vertical and lateral diversification. © 1972.","author":[{"dropping-particle":"","family":"Ansoff","given":"H. I.","non-dropping-particle":"","parse-names":false,"suffix":""}],"container-title":"Harvard Business Review","id":"ITEM-1","issue":"5","issued":{"date-parts":[["1957"]]},"page":"113–124","title":"Strategies for diversification","type":"article-journal","volume":"35"},"uris":["http://www.mendeley.com/documents/?uuid=0b6212b7-f198-4694-8e4d-1c574af89356"]},{"id":"ITEM-2","itemData":{"author":[{"dropping-particle":"","family":"Johnson","given":"Gerry","non-dropping-particle":"","parse-names":false,"suffix":""},{"dropping-particle":"","family":"Scholes","given":"Kevan","non-dropping-particle":"","parse-names":false,"suffix":""},{"dropping-particle":"","family":"Whittington","given":"Richard","non-dropping-particle":"","parse-names":false,"suffix":""}],"id":"ITEM-2","issued":{"date-parts":[["2017","1","1"]]},"publisher":"Pearson","title":"Exploring Corporate Strategy: Text &amp; Cases","type":"book"},"uris":["http://www.mendeley.com/documents/?uuid=000711cf-f320-4c9f-bfbf-8b0458529141"]}],"mendeley":{"formattedCitation":"(Ansoff, 1957; Johnson, Scholes and Whittington, 2017)","plainTextFormattedCitation":"(Ansoff, 1957; Johnson, Scholes and Whittington, 2017)","previouslyFormattedCitation":"(Ansoff, 1957; Johnson, Scholes and Whittington, 2017)"},"properties":{"noteIndex":0},"schema":"https://github.com/citation-style-language/schema/raw/master/csl-citation.json"}</w:instrText>
      </w:r>
      <w:r w:rsidR="00E62603" w:rsidRPr="00821096">
        <w:rPr>
          <w:rFonts w:cs="Arial"/>
        </w:rPr>
        <w:fldChar w:fldCharType="separate"/>
      </w:r>
      <w:r w:rsidR="008263D3" w:rsidRPr="008263D3">
        <w:rPr>
          <w:rFonts w:cs="Arial"/>
          <w:noProof/>
        </w:rPr>
        <w:t>(Ansoff, 1957; Johnson, Scholes and Whittington, 2017)</w:t>
      </w:r>
      <w:r w:rsidR="00E62603" w:rsidRPr="00821096">
        <w:rPr>
          <w:rFonts w:cs="Arial"/>
        </w:rPr>
        <w:fldChar w:fldCharType="end"/>
      </w:r>
      <w:r w:rsidRPr="00821096">
        <w:rPr>
          <w:rFonts w:cs="Arial"/>
        </w:rPr>
        <w:t>.</w:t>
      </w:r>
    </w:p>
    <w:p w:rsidR="00242A5E" w:rsidRPr="00821096" w:rsidRDefault="00242A5E" w:rsidP="002B22EF">
      <w:pPr>
        <w:pStyle w:val="Heading2"/>
        <w:spacing w:line="360" w:lineRule="auto"/>
        <w:jc w:val="both"/>
        <w:rPr>
          <w:rFonts w:cs="Arial"/>
          <w:szCs w:val="24"/>
        </w:rPr>
      </w:pPr>
      <w:bookmarkStart w:id="33" w:name="_Toc223436267"/>
      <w:bookmarkStart w:id="34" w:name="_Toc224914023"/>
      <w:r w:rsidRPr="00821096">
        <w:rPr>
          <w:rFonts w:cs="Arial"/>
          <w:szCs w:val="24"/>
        </w:rPr>
        <w:t>4. Conclusion</w:t>
      </w:r>
      <w:bookmarkEnd w:id="33"/>
      <w:bookmarkEnd w:id="34"/>
      <w:r w:rsidRPr="00821096">
        <w:rPr>
          <w:rFonts w:cs="Arial"/>
          <w:szCs w:val="24"/>
        </w:rPr>
        <w:t xml:space="preserve"> </w:t>
      </w:r>
    </w:p>
    <w:p w:rsidR="00BF64B8" w:rsidRDefault="00242A5E" w:rsidP="002B22EF">
      <w:pPr>
        <w:rPr>
          <w:rFonts w:cs="Arial"/>
        </w:rPr>
      </w:pPr>
      <w:r w:rsidRPr="00821096">
        <w:rPr>
          <w:rFonts w:cs="Arial"/>
        </w:rPr>
        <w:t xml:space="preserve">The discussion shows that macro-environmental forces are the basic factors which are influencing a strategic preference and competition in the electric vehicle industry. Market demand, cost structures and entry conditions, are directly contorted by regulatory frameworks such as incentives and localization policies; and the product, performance and margin dynamics are always dependent on product affordability, which is dictated by battery technology and cost. The first mover, Tesla, Inc., retaliates with differentiated position protection with relentless product and software innovation, strategic local production and specific cost-cutting campaigns that keep the company in the up-end market. The follower, BYD Company Limited, follows a fast scale through vertical integration, low cost leadership, wide product coverage, and selective internationalization to encompass mass segments. Collectively, these instances </w:t>
      </w:r>
      <w:r w:rsidRPr="00821096">
        <w:rPr>
          <w:rFonts w:cs="Arial"/>
        </w:rPr>
        <w:lastRenderedPageBreak/>
        <w:t>demonstrate that competitive competence within this industry is preceded by the alignment of internal aptitude producing flexibility in the production of the battery, regulatory cunning and brand/technology resources, and the external trends. Therefore, it is necessary to conduct systematic surveys of the surrounding environment and sustainable reverse and forward optimization of the strategy: companies have to be able to transform the material obtained in PESTLE onto specific marketing, operational and investment choices. Companies that will have institutionalized the practice of horizon scanning, scenario planning and flexible execution will be in the best position to transform the uncertainty in form of an opportunity and to remain at par as the regulatory and technological landscape keeps changing.</w:t>
      </w:r>
    </w:p>
    <w:p w:rsidR="00C74E13" w:rsidRDefault="00C74E13" w:rsidP="002B22EF">
      <w:pPr>
        <w:rPr>
          <w:rFonts w:cs="Arial"/>
        </w:rPr>
      </w:pPr>
    </w:p>
    <w:p w:rsidR="00DE430C" w:rsidRDefault="00DE430C" w:rsidP="009352DE">
      <w:pPr>
        <w:rPr>
          <w:rFonts w:cs="Arial"/>
        </w:rPr>
      </w:pPr>
    </w:p>
    <w:p w:rsidR="00C74E13" w:rsidRDefault="00C74E13"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2B22EF" w:rsidRDefault="002B22EF" w:rsidP="009352DE">
      <w:pPr>
        <w:rPr>
          <w:rFonts w:cs="Arial"/>
        </w:rPr>
      </w:pPr>
    </w:p>
    <w:p w:rsidR="00345983" w:rsidRDefault="00345983" w:rsidP="009352DE">
      <w:pPr>
        <w:rPr>
          <w:rFonts w:cs="Arial"/>
        </w:rPr>
      </w:pPr>
    </w:p>
    <w:p w:rsidR="002B22EF" w:rsidRDefault="002B22EF" w:rsidP="009352DE">
      <w:pPr>
        <w:rPr>
          <w:rFonts w:cs="Arial"/>
        </w:rPr>
      </w:pPr>
    </w:p>
    <w:p w:rsidR="00B82DED" w:rsidRPr="00821096" w:rsidRDefault="00B82DED" w:rsidP="009352DE">
      <w:pPr>
        <w:rPr>
          <w:rFonts w:cs="Arial"/>
        </w:rPr>
      </w:pPr>
    </w:p>
    <w:p w:rsidR="00944A50" w:rsidRPr="00821096" w:rsidRDefault="00944A50" w:rsidP="00BF64B8">
      <w:pPr>
        <w:pStyle w:val="Heading2"/>
        <w:rPr>
          <w:rFonts w:cs="Arial"/>
        </w:rPr>
      </w:pPr>
      <w:bookmarkStart w:id="35" w:name="_Toc223436268"/>
      <w:bookmarkStart w:id="36" w:name="_Toc224914024"/>
      <w:r w:rsidRPr="00821096">
        <w:rPr>
          <w:rFonts w:cs="Arial"/>
        </w:rPr>
        <w:lastRenderedPageBreak/>
        <w:t>References</w:t>
      </w:r>
      <w:bookmarkEnd w:id="35"/>
      <w:bookmarkEnd w:id="36"/>
    </w:p>
    <w:p w:rsidR="00C73023" w:rsidRPr="00C73023" w:rsidRDefault="00944A50" w:rsidP="00C73023">
      <w:pPr>
        <w:widowControl w:val="0"/>
        <w:autoSpaceDE w:val="0"/>
        <w:autoSpaceDN w:val="0"/>
        <w:adjustRightInd w:val="0"/>
        <w:rPr>
          <w:rFonts w:cs="Arial"/>
          <w:noProof/>
        </w:rPr>
      </w:pPr>
      <w:r w:rsidRPr="00821096">
        <w:rPr>
          <w:rFonts w:cs="Arial"/>
        </w:rPr>
        <w:fldChar w:fldCharType="begin" w:fldLock="1"/>
      </w:r>
      <w:r w:rsidRPr="00821096">
        <w:rPr>
          <w:rFonts w:cs="Arial"/>
        </w:rPr>
        <w:instrText xml:space="preserve">ADDIN Mendeley Bibliography CSL_BIBLIOGRAPHY </w:instrText>
      </w:r>
      <w:r w:rsidRPr="00821096">
        <w:rPr>
          <w:rFonts w:cs="Arial"/>
        </w:rPr>
        <w:fldChar w:fldCharType="separate"/>
      </w:r>
      <w:r w:rsidR="00C73023" w:rsidRPr="00C73023">
        <w:rPr>
          <w:rFonts w:cs="Arial"/>
          <w:noProof/>
        </w:rPr>
        <w:t xml:space="preserve">ACEA (2026) </w:t>
      </w:r>
      <w:r w:rsidR="00C73023" w:rsidRPr="00C73023">
        <w:rPr>
          <w:rFonts w:cs="Arial"/>
          <w:i/>
          <w:iCs/>
          <w:noProof/>
        </w:rPr>
        <w:t>New car registrations: +1.8% in 2025; battery-electric 17.4% market share - ACEA - European Automobile Manufacturers’ Association</w:t>
      </w:r>
      <w:r w:rsidR="00C73023" w:rsidRPr="00C73023">
        <w:rPr>
          <w:rFonts w:cs="Arial"/>
          <w:noProof/>
        </w:rPr>
        <w:t xml:space="preserve">, </w:t>
      </w:r>
      <w:r w:rsidR="00C73023" w:rsidRPr="00C73023">
        <w:rPr>
          <w:rFonts w:cs="Arial"/>
          <w:i/>
          <w:iCs/>
          <w:noProof/>
        </w:rPr>
        <w:t>ACEA</w:t>
      </w:r>
      <w:r w:rsidR="00C73023" w:rsidRPr="00C73023">
        <w:rPr>
          <w:rFonts w:cs="Arial"/>
          <w:noProof/>
        </w:rPr>
        <w:t>. Available at: https://www.acea.auto/pc-registrations/new-car-registrations-1-8-in-2025-battery-electric-17-4-market-share/? (Accessed: 3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Alvarez, S. (2026) </w:t>
      </w:r>
      <w:r w:rsidRPr="00C73023">
        <w:rPr>
          <w:rFonts w:cs="Arial"/>
          <w:i/>
          <w:iCs/>
          <w:noProof/>
        </w:rPr>
        <w:t>Tesla confirms that it finally solved its 4680 battery’s dry cathode process</w:t>
      </w:r>
      <w:r w:rsidRPr="00C73023">
        <w:rPr>
          <w:rFonts w:cs="Arial"/>
          <w:noProof/>
        </w:rPr>
        <w:t xml:space="preserve">, </w:t>
      </w:r>
      <w:r w:rsidRPr="00C73023">
        <w:rPr>
          <w:rFonts w:cs="Arial"/>
          <w:i/>
          <w:iCs/>
          <w:noProof/>
        </w:rPr>
        <w:t>Teslarati</w:t>
      </w:r>
      <w:r w:rsidRPr="00C73023">
        <w:rPr>
          <w:rFonts w:cs="Arial"/>
          <w:noProof/>
        </w:rPr>
        <w:t>. Available at: https://www.teslarati.com/tesla-confirms-finally-solved-4680-battery-dry-cathode-process/ (Accessed: 3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Ansoff, H.I. (1957) ‘Strategies for diversification’, </w:t>
      </w:r>
      <w:r w:rsidRPr="00C73023">
        <w:rPr>
          <w:rFonts w:cs="Arial"/>
          <w:i/>
          <w:iCs/>
          <w:noProof/>
        </w:rPr>
        <w:t>Harvard Business Review</w:t>
      </w:r>
      <w:r w:rsidRPr="00C73023">
        <w:rPr>
          <w:rFonts w:cs="Arial"/>
          <w:noProof/>
        </w:rPr>
        <w:t>, 35(5), pp. 113–124. Available at: https://doi.org/10.1016/0024-6301(72)90048-9.</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BloombergNEF (2024) </w:t>
      </w:r>
      <w:r w:rsidRPr="00C73023">
        <w:rPr>
          <w:rFonts w:cs="Arial"/>
          <w:i/>
          <w:iCs/>
          <w:noProof/>
        </w:rPr>
        <w:t>Lithium-Ion Battery Pack Prices Fall to $108 Per Kilowatt-Hour, Despite Rising Metal Prices: BloombergNEF | BloombergNEF</w:t>
      </w:r>
      <w:r w:rsidRPr="00C73023">
        <w:rPr>
          <w:rFonts w:cs="Arial"/>
          <w:noProof/>
        </w:rPr>
        <w:t xml:space="preserve">, </w:t>
      </w:r>
      <w:r w:rsidRPr="00C73023">
        <w:rPr>
          <w:rFonts w:cs="Arial"/>
          <w:i/>
          <w:iCs/>
          <w:noProof/>
        </w:rPr>
        <w:t>BloombergNEF</w:t>
      </w:r>
      <w:r w:rsidRPr="00C73023">
        <w:rPr>
          <w:rFonts w:cs="Arial"/>
          <w:noProof/>
        </w:rPr>
        <w:t>. Available at: https://about.bnef.com/insights/clean-transport/lithium-ion-battery-pack-prices-fall-to-108-per-kilowatt-hour-despite-rising-metal-prices-bloombergnef/ (Accessed: 5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Business Wire (2025) </w:t>
      </w:r>
      <w:r w:rsidRPr="00C73023">
        <w:rPr>
          <w:rFonts w:cs="Arial"/>
          <w:i/>
          <w:iCs/>
          <w:noProof/>
        </w:rPr>
        <w:t>Tesla Fourth Quarter 2024 Production, Deliveries &amp; Deployments | Tesla Investor Relations</w:t>
      </w:r>
      <w:r w:rsidRPr="00C73023">
        <w:rPr>
          <w:rFonts w:cs="Arial"/>
          <w:noProof/>
        </w:rPr>
        <w:t xml:space="preserve">, </w:t>
      </w:r>
      <w:r w:rsidRPr="00C73023">
        <w:rPr>
          <w:rFonts w:cs="Arial"/>
          <w:i/>
          <w:iCs/>
          <w:noProof/>
        </w:rPr>
        <w:t>Tesla</w:t>
      </w:r>
      <w:r w:rsidRPr="00C73023">
        <w:rPr>
          <w:rFonts w:cs="Arial"/>
          <w:noProof/>
        </w:rPr>
        <w:t>. Available at: https://ir.tesla.com/press-release/tesla-fourth-quarter-2024-production-deliveries-and-deployments? (Accessed: 3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BYD (2025) </w:t>
      </w:r>
      <w:r w:rsidRPr="00C73023">
        <w:rPr>
          <w:rFonts w:cs="Arial"/>
          <w:i/>
          <w:iCs/>
          <w:noProof/>
        </w:rPr>
        <w:t>Innovation at BYD-BYD</w:t>
      </w:r>
      <w:r w:rsidRPr="00C73023">
        <w:rPr>
          <w:rFonts w:cs="Arial"/>
          <w:noProof/>
        </w:rPr>
        <w:t xml:space="preserve">, </w:t>
      </w:r>
      <w:r w:rsidRPr="00C73023">
        <w:rPr>
          <w:rFonts w:cs="Arial"/>
          <w:i/>
          <w:iCs/>
          <w:noProof/>
        </w:rPr>
        <w:t>BYD Company Limited</w:t>
      </w:r>
      <w:r w:rsidRPr="00C73023">
        <w:rPr>
          <w:rFonts w:cs="Arial"/>
          <w:noProof/>
        </w:rPr>
        <w:t>. Available at: https://www.bydglobal.com/en/InnovationByd.html (Accessed: 3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Hertz, J. (2025) </w:t>
      </w:r>
      <w:r w:rsidRPr="00C73023">
        <w:rPr>
          <w:rFonts w:cs="Arial"/>
          <w:i/>
          <w:iCs/>
          <w:noProof/>
        </w:rPr>
        <w:t>BYD’s Batteries Power More Than Their Own EVs</w:t>
      </w:r>
      <w:r w:rsidRPr="00C73023">
        <w:rPr>
          <w:rFonts w:cs="Arial"/>
          <w:noProof/>
        </w:rPr>
        <w:t xml:space="preserve">, </w:t>
      </w:r>
      <w:r w:rsidRPr="00C73023">
        <w:rPr>
          <w:rFonts w:cs="Arial"/>
          <w:i/>
          <w:iCs/>
          <w:noProof/>
        </w:rPr>
        <w:t>Battery Technology</w:t>
      </w:r>
      <w:r w:rsidRPr="00C73023">
        <w:rPr>
          <w:rFonts w:cs="Arial"/>
          <w:noProof/>
        </w:rPr>
        <w:t>. Available at: https://www.batterytechonline.com/market-analysis/byd-s-batteries-power-more-than-their-own-evs?utm_source=chatgpt.com (Accessed: 3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International Energy Agency (2025) </w:t>
      </w:r>
      <w:r w:rsidRPr="00C73023">
        <w:rPr>
          <w:rFonts w:cs="Arial"/>
          <w:i/>
          <w:iCs/>
          <w:noProof/>
        </w:rPr>
        <w:t>Global EV Outlook 2025. Paris: IEA.</w:t>
      </w:r>
      <w:r w:rsidRPr="00C73023">
        <w:rPr>
          <w:rFonts w:cs="Arial"/>
          <w:noProof/>
        </w:rPr>
        <w:t xml:space="preserve"> Available at: https://iea.blob.core.windows.net/assets/7ea38b60-3033-42a6-9589-71134f4229f4/GlobalEVOutlook2025.pdf? (Accessed: 3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Johnson, G., Scholes, K. and Whittington, R. (2017) </w:t>
      </w:r>
      <w:r w:rsidRPr="00C73023">
        <w:rPr>
          <w:rFonts w:cs="Arial"/>
          <w:i/>
          <w:iCs/>
          <w:noProof/>
        </w:rPr>
        <w:t>Exploring Corporate Strategy: Text &amp; Cases</w:t>
      </w:r>
      <w:r w:rsidRPr="00C73023">
        <w:rPr>
          <w:rFonts w:cs="Arial"/>
          <w:noProof/>
        </w:rPr>
        <w:t>. Pearson.</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Kotler, P. </w:t>
      </w:r>
      <w:r w:rsidRPr="00C73023">
        <w:rPr>
          <w:rFonts w:cs="Arial"/>
          <w:i/>
          <w:iCs/>
          <w:noProof/>
        </w:rPr>
        <w:t>et al.</w:t>
      </w:r>
      <w:r w:rsidRPr="00C73023">
        <w:rPr>
          <w:rFonts w:cs="Arial"/>
          <w:noProof/>
        </w:rPr>
        <w:t xml:space="preserve"> (2016) </w:t>
      </w:r>
      <w:r w:rsidRPr="00C73023">
        <w:rPr>
          <w:rFonts w:cs="Arial"/>
          <w:i/>
          <w:iCs/>
          <w:noProof/>
        </w:rPr>
        <w:t>Marketing Management 15th</w:t>
      </w:r>
      <w:r w:rsidRPr="00C73023">
        <w:rPr>
          <w:rFonts w:cs="Arial"/>
          <w:noProof/>
        </w:rPr>
        <w:t xml:space="preserve">, </w:t>
      </w:r>
      <w:r w:rsidRPr="00C73023">
        <w:rPr>
          <w:rFonts w:cs="Arial"/>
          <w:i/>
          <w:iCs/>
          <w:noProof/>
        </w:rPr>
        <w:t>Pearson Education</w:t>
      </w:r>
      <w:r w:rsidRPr="00C73023">
        <w:rPr>
          <w:rFonts w:cs="Arial"/>
          <w:noProof/>
        </w:rPr>
        <w:t>.</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Parodi, A. (2025) </w:t>
      </w:r>
      <w:r w:rsidRPr="00C73023">
        <w:rPr>
          <w:rFonts w:cs="Arial"/>
          <w:i/>
          <w:iCs/>
          <w:noProof/>
        </w:rPr>
        <w:t xml:space="preserve">Global EV sales growth slowest since Feb 2024 on China plateau, </w:t>
      </w:r>
      <w:r w:rsidRPr="00C73023">
        <w:rPr>
          <w:rFonts w:cs="Arial"/>
          <w:i/>
          <w:iCs/>
          <w:noProof/>
        </w:rPr>
        <w:lastRenderedPageBreak/>
        <w:t>US policy changes | Reuters</w:t>
      </w:r>
      <w:r w:rsidRPr="00C73023">
        <w:rPr>
          <w:rFonts w:cs="Arial"/>
          <w:noProof/>
        </w:rPr>
        <w:t xml:space="preserve">, </w:t>
      </w:r>
      <w:r w:rsidRPr="00C73023">
        <w:rPr>
          <w:rFonts w:cs="Arial"/>
          <w:i/>
          <w:iCs/>
          <w:noProof/>
        </w:rPr>
        <w:t>Reuters</w:t>
      </w:r>
      <w:r w:rsidRPr="00C73023">
        <w:rPr>
          <w:rFonts w:cs="Arial"/>
          <w:noProof/>
        </w:rPr>
        <w:t>. Available at: https://www.reuters.com/sustainability/climate-energy/global-ev-sales-growth-slowest-since-feb-2024-china-plateau-us-policy-changes-2025-12-12/ (Accessed: 3 March 2026).</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Porter, M.E. (1980) </w:t>
      </w:r>
      <w:r w:rsidRPr="00C73023">
        <w:rPr>
          <w:rFonts w:cs="Arial"/>
          <w:i/>
          <w:iCs/>
          <w:noProof/>
        </w:rPr>
        <w:t>Competitive Strategy: Techniques for Analyzing Industries and Competitors</w:t>
      </w:r>
      <w:r w:rsidRPr="00C73023">
        <w:rPr>
          <w:rFonts w:cs="Arial"/>
          <w:noProof/>
        </w:rPr>
        <w:t xml:space="preserve">, </w:t>
      </w:r>
      <w:r w:rsidRPr="00C73023">
        <w:rPr>
          <w:rFonts w:cs="Arial"/>
          <w:i/>
          <w:iCs/>
          <w:noProof/>
        </w:rPr>
        <w:t>Competitive Strategy: Techniques for Analyzing Industries and Competitors</w:t>
      </w:r>
      <w:r w:rsidRPr="00C73023">
        <w:rPr>
          <w:rFonts w:cs="Arial"/>
          <w:noProof/>
        </w:rPr>
        <w:t>.</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Porter, M.E. (1985) </w:t>
      </w:r>
      <w:r w:rsidRPr="00C73023">
        <w:rPr>
          <w:rFonts w:cs="Arial"/>
          <w:i/>
          <w:iCs/>
          <w:noProof/>
        </w:rPr>
        <w:t>Competitive Advantage: Creating and Sustaining Superior Performance</w:t>
      </w:r>
      <w:r w:rsidRPr="00C73023">
        <w:rPr>
          <w:rFonts w:cs="Arial"/>
          <w:noProof/>
        </w:rPr>
        <w:t>. Free Press. Available at: https://books.google.com.bd/books?id=9C-5AAAAIAAJ.</w:t>
      </w:r>
    </w:p>
    <w:p w:rsidR="00C73023" w:rsidRPr="00C73023" w:rsidRDefault="00C73023" w:rsidP="00C73023">
      <w:pPr>
        <w:widowControl w:val="0"/>
        <w:autoSpaceDE w:val="0"/>
        <w:autoSpaceDN w:val="0"/>
        <w:adjustRightInd w:val="0"/>
        <w:rPr>
          <w:rFonts w:cs="Arial"/>
          <w:noProof/>
        </w:rPr>
      </w:pPr>
      <w:r w:rsidRPr="00C73023">
        <w:rPr>
          <w:rFonts w:cs="Arial"/>
          <w:noProof/>
        </w:rPr>
        <w:t xml:space="preserve">Statista (2024) </w:t>
      </w:r>
      <w:r w:rsidRPr="00C73023">
        <w:rPr>
          <w:rFonts w:cs="Arial"/>
          <w:i/>
          <w:iCs/>
          <w:noProof/>
        </w:rPr>
        <w:t>Electric Vehicles: market data &amp; analysis | Statista</w:t>
      </w:r>
      <w:r w:rsidRPr="00C73023">
        <w:rPr>
          <w:rFonts w:cs="Arial"/>
          <w:noProof/>
        </w:rPr>
        <w:t xml:space="preserve">, </w:t>
      </w:r>
      <w:r w:rsidRPr="00C73023">
        <w:rPr>
          <w:rFonts w:cs="Arial"/>
          <w:i/>
          <w:iCs/>
          <w:noProof/>
        </w:rPr>
        <w:t>Statista</w:t>
      </w:r>
      <w:r w:rsidRPr="00C73023">
        <w:rPr>
          <w:rFonts w:cs="Arial"/>
          <w:noProof/>
        </w:rPr>
        <w:t>. Available at: https://www.statista.com/study/103895/electric-vehicles-report/ (Accessed: 3 March 2026).</w:t>
      </w:r>
    </w:p>
    <w:p w:rsidR="00944A50" w:rsidRPr="00821096" w:rsidRDefault="00944A50" w:rsidP="000431D1">
      <w:pPr>
        <w:ind w:left="720" w:hanging="720"/>
        <w:jc w:val="left"/>
        <w:rPr>
          <w:rFonts w:cs="Arial"/>
        </w:rPr>
      </w:pPr>
      <w:r w:rsidRPr="00821096">
        <w:rPr>
          <w:rFonts w:cs="Arial"/>
        </w:rPr>
        <w:fldChar w:fldCharType="end"/>
      </w:r>
    </w:p>
    <w:sectPr w:rsidR="00944A50" w:rsidRPr="00821096" w:rsidSect="002A1E8C">
      <w:footerReference w:type="default" r:id="rId1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2338" w:rsidRDefault="00F12338" w:rsidP="00042869">
      <w:pPr>
        <w:spacing w:after="0" w:line="240" w:lineRule="auto"/>
      </w:pPr>
      <w:r>
        <w:separator/>
      </w:r>
    </w:p>
  </w:endnote>
  <w:endnote w:type="continuationSeparator" w:id="0">
    <w:p w:rsidR="00F12338" w:rsidRDefault="00F12338" w:rsidP="00042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Arial"/>
      </w:rPr>
      <w:id w:val="-1978145256"/>
      <w:docPartObj>
        <w:docPartGallery w:val="Page Numbers (Bottom of Page)"/>
        <w:docPartUnique/>
      </w:docPartObj>
    </w:sdtPr>
    <w:sdtEndPr>
      <w:rPr>
        <w:noProof/>
      </w:rPr>
    </w:sdtEndPr>
    <w:sdtContent>
      <w:p w:rsidR="000431D1" w:rsidRPr="00042869" w:rsidRDefault="000431D1">
        <w:pPr>
          <w:pStyle w:val="Footer"/>
          <w:jc w:val="right"/>
          <w:rPr>
            <w:rFonts w:cs="Arial"/>
          </w:rPr>
        </w:pPr>
        <w:r w:rsidRPr="00042869">
          <w:rPr>
            <w:rFonts w:cs="Arial"/>
          </w:rPr>
          <w:fldChar w:fldCharType="begin"/>
        </w:r>
        <w:r w:rsidRPr="00042869">
          <w:rPr>
            <w:rFonts w:cs="Arial"/>
          </w:rPr>
          <w:instrText xml:space="preserve"> PAGE   \* MERGEFORMAT </w:instrText>
        </w:r>
        <w:r w:rsidRPr="00042869">
          <w:rPr>
            <w:rFonts w:cs="Arial"/>
          </w:rPr>
          <w:fldChar w:fldCharType="separate"/>
        </w:r>
        <w:r w:rsidRPr="00042869">
          <w:rPr>
            <w:rFonts w:cs="Arial"/>
            <w:noProof/>
          </w:rPr>
          <w:t>2</w:t>
        </w:r>
        <w:r w:rsidRPr="00042869">
          <w:rPr>
            <w:rFonts w:cs="Arial"/>
            <w:noProof/>
          </w:rPr>
          <w:fldChar w:fldCharType="end"/>
        </w:r>
      </w:p>
    </w:sdtContent>
  </w:sdt>
  <w:p w:rsidR="000431D1" w:rsidRDefault="00043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2338" w:rsidRDefault="00F12338" w:rsidP="00042869">
      <w:pPr>
        <w:spacing w:after="0" w:line="240" w:lineRule="auto"/>
      </w:pPr>
      <w:r>
        <w:separator/>
      </w:r>
    </w:p>
  </w:footnote>
  <w:footnote w:type="continuationSeparator" w:id="0">
    <w:p w:rsidR="00F12338" w:rsidRDefault="00F12338" w:rsidP="000428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65A62"/>
    <w:multiLevelType w:val="hybridMultilevel"/>
    <w:tmpl w:val="6F5EEB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F61FEF"/>
    <w:multiLevelType w:val="hybridMultilevel"/>
    <w:tmpl w:val="E38AE0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D87AA7"/>
    <w:multiLevelType w:val="hybridMultilevel"/>
    <w:tmpl w:val="1772D1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5E3E34"/>
    <w:multiLevelType w:val="hybridMultilevel"/>
    <w:tmpl w:val="8D70A96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3DC"/>
    <w:rsid w:val="00001B46"/>
    <w:rsid w:val="00032D11"/>
    <w:rsid w:val="00042869"/>
    <w:rsid w:val="000431D1"/>
    <w:rsid w:val="000A5E17"/>
    <w:rsid w:val="000A5F2A"/>
    <w:rsid w:val="000A68B9"/>
    <w:rsid w:val="000D1F72"/>
    <w:rsid w:val="000E40C7"/>
    <w:rsid w:val="000E58CB"/>
    <w:rsid w:val="00104CD5"/>
    <w:rsid w:val="00112E52"/>
    <w:rsid w:val="00114AE5"/>
    <w:rsid w:val="00122304"/>
    <w:rsid w:val="00143FD9"/>
    <w:rsid w:val="0015066D"/>
    <w:rsid w:val="00156D79"/>
    <w:rsid w:val="0015756E"/>
    <w:rsid w:val="00173FFA"/>
    <w:rsid w:val="001D5094"/>
    <w:rsid w:val="001D5263"/>
    <w:rsid w:val="001E6E23"/>
    <w:rsid w:val="001E7F96"/>
    <w:rsid w:val="00217267"/>
    <w:rsid w:val="00242A5E"/>
    <w:rsid w:val="002501A7"/>
    <w:rsid w:val="0025197B"/>
    <w:rsid w:val="00257462"/>
    <w:rsid w:val="00262B6B"/>
    <w:rsid w:val="00266EE2"/>
    <w:rsid w:val="002677A6"/>
    <w:rsid w:val="002924DD"/>
    <w:rsid w:val="00295890"/>
    <w:rsid w:val="002A1E8C"/>
    <w:rsid w:val="002A2544"/>
    <w:rsid w:val="002B22EF"/>
    <w:rsid w:val="002C67B0"/>
    <w:rsid w:val="00317CF7"/>
    <w:rsid w:val="00342C46"/>
    <w:rsid w:val="003435E8"/>
    <w:rsid w:val="00345983"/>
    <w:rsid w:val="003471B2"/>
    <w:rsid w:val="00347370"/>
    <w:rsid w:val="00355916"/>
    <w:rsid w:val="00356424"/>
    <w:rsid w:val="003924AC"/>
    <w:rsid w:val="003A2EE3"/>
    <w:rsid w:val="003B19A1"/>
    <w:rsid w:val="003C586E"/>
    <w:rsid w:val="003D59F3"/>
    <w:rsid w:val="003E69E1"/>
    <w:rsid w:val="00464EA1"/>
    <w:rsid w:val="0047146C"/>
    <w:rsid w:val="004834BB"/>
    <w:rsid w:val="004A7B39"/>
    <w:rsid w:val="004B4DE3"/>
    <w:rsid w:val="005062DA"/>
    <w:rsid w:val="00533519"/>
    <w:rsid w:val="00535475"/>
    <w:rsid w:val="005359B5"/>
    <w:rsid w:val="00542720"/>
    <w:rsid w:val="00543464"/>
    <w:rsid w:val="00550D05"/>
    <w:rsid w:val="00591FE8"/>
    <w:rsid w:val="005E4C8E"/>
    <w:rsid w:val="00612693"/>
    <w:rsid w:val="00614190"/>
    <w:rsid w:val="0064054E"/>
    <w:rsid w:val="006500ED"/>
    <w:rsid w:val="00685B96"/>
    <w:rsid w:val="00692934"/>
    <w:rsid w:val="006A0113"/>
    <w:rsid w:val="006A6FD0"/>
    <w:rsid w:val="006F1A12"/>
    <w:rsid w:val="00706376"/>
    <w:rsid w:val="007133DC"/>
    <w:rsid w:val="00736223"/>
    <w:rsid w:val="00743215"/>
    <w:rsid w:val="00746FAD"/>
    <w:rsid w:val="00765449"/>
    <w:rsid w:val="00790BB5"/>
    <w:rsid w:val="007A589A"/>
    <w:rsid w:val="007A6397"/>
    <w:rsid w:val="00821096"/>
    <w:rsid w:val="008263D3"/>
    <w:rsid w:val="00846CE4"/>
    <w:rsid w:val="0086543F"/>
    <w:rsid w:val="00874E94"/>
    <w:rsid w:val="008A694B"/>
    <w:rsid w:val="008B4450"/>
    <w:rsid w:val="008C4A22"/>
    <w:rsid w:val="008E331F"/>
    <w:rsid w:val="008F6641"/>
    <w:rsid w:val="008F7C39"/>
    <w:rsid w:val="00922CC1"/>
    <w:rsid w:val="00926611"/>
    <w:rsid w:val="009352DE"/>
    <w:rsid w:val="00944A50"/>
    <w:rsid w:val="00946623"/>
    <w:rsid w:val="00950F43"/>
    <w:rsid w:val="00963DBE"/>
    <w:rsid w:val="009B5077"/>
    <w:rsid w:val="009B6FEF"/>
    <w:rsid w:val="009C00A4"/>
    <w:rsid w:val="009F3169"/>
    <w:rsid w:val="00A65458"/>
    <w:rsid w:val="00A65D89"/>
    <w:rsid w:val="00A75A80"/>
    <w:rsid w:val="00A9129B"/>
    <w:rsid w:val="00AB5857"/>
    <w:rsid w:val="00AD439C"/>
    <w:rsid w:val="00AE6C80"/>
    <w:rsid w:val="00B058C9"/>
    <w:rsid w:val="00B147C7"/>
    <w:rsid w:val="00B50195"/>
    <w:rsid w:val="00B57B0D"/>
    <w:rsid w:val="00B8090E"/>
    <w:rsid w:val="00B82DED"/>
    <w:rsid w:val="00BB27B9"/>
    <w:rsid w:val="00BD23E2"/>
    <w:rsid w:val="00BF64B8"/>
    <w:rsid w:val="00C068F3"/>
    <w:rsid w:val="00C21CE5"/>
    <w:rsid w:val="00C50E6D"/>
    <w:rsid w:val="00C57BA6"/>
    <w:rsid w:val="00C71026"/>
    <w:rsid w:val="00C73023"/>
    <w:rsid w:val="00C74E13"/>
    <w:rsid w:val="00C94EA8"/>
    <w:rsid w:val="00CA623E"/>
    <w:rsid w:val="00CB0A40"/>
    <w:rsid w:val="00CC3382"/>
    <w:rsid w:val="00CC63BD"/>
    <w:rsid w:val="00CD3C74"/>
    <w:rsid w:val="00CE4432"/>
    <w:rsid w:val="00D05AE2"/>
    <w:rsid w:val="00D2445E"/>
    <w:rsid w:val="00D36F73"/>
    <w:rsid w:val="00D40EAF"/>
    <w:rsid w:val="00D73699"/>
    <w:rsid w:val="00D928CF"/>
    <w:rsid w:val="00DC5611"/>
    <w:rsid w:val="00DE37DC"/>
    <w:rsid w:val="00DE430C"/>
    <w:rsid w:val="00DE617E"/>
    <w:rsid w:val="00E0025C"/>
    <w:rsid w:val="00E27E6F"/>
    <w:rsid w:val="00E32F03"/>
    <w:rsid w:val="00E34533"/>
    <w:rsid w:val="00E5641A"/>
    <w:rsid w:val="00E62603"/>
    <w:rsid w:val="00E65D89"/>
    <w:rsid w:val="00E67A32"/>
    <w:rsid w:val="00E74A58"/>
    <w:rsid w:val="00EA5B0D"/>
    <w:rsid w:val="00EA6242"/>
    <w:rsid w:val="00EE452D"/>
    <w:rsid w:val="00EF61F7"/>
    <w:rsid w:val="00F12338"/>
    <w:rsid w:val="00F30C60"/>
    <w:rsid w:val="00F37F1B"/>
    <w:rsid w:val="00F4325E"/>
    <w:rsid w:val="00F57D38"/>
    <w:rsid w:val="00F84DFD"/>
    <w:rsid w:val="00F95666"/>
    <w:rsid w:val="00F9717D"/>
    <w:rsid w:val="00FB12FB"/>
    <w:rsid w:val="00FC655E"/>
    <w:rsid w:val="00FF0C92"/>
    <w:rsid w:val="00FF397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C19D2B"/>
  <w15:chartTrackingRefBased/>
  <w15:docId w15:val="{9AADA118-E4D5-4D1B-9341-DA2E727C7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7F96"/>
    <w:pPr>
      <w:spacing w:after="40" w:line="360" w:lineRule="auto"/>
      <w:jc w:val="both"/>
    </w:pPr>
    <w:rPr>
      <w:rFonts w:ascii="Arial" w:hAnsi="Arial" w:cs="Times New Roman"/>
      <w:kern w:val="2"/>
      <w:sz w:val="24"/>
      <w:szCs w:val="24"/>
      <w:lang w:bidi="ar-SA"/>
      <w14:ligatures w14:val="standardContextual"/>
    </w:rPr>
  </w:style>
  <w:style w:type="paragraph" w:styleId="Heading1">
    <w:name w:val="heading 1"/>
    <w:basedOn w:val="Normal"/>
    <w:next w:val="Normal"/>
    <w:link w:val="Heading1Char"/>
    <w:autoRedefine/>
    <w:uiPriority w:val="9"/>
    <w:qFormat/>
    <w:rsid w:val="0012230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link w:val="Heading2Char"/>
    <w:uiPriority w:val="9"/>
    <w:qFormat/>
    <w:rsid w:val="004B4DE3"/>
    <w:pPr>
      <w:spacing w:before="100" w:beforeAutospacing="1" w:after="100" w:afterAutospacing="1" w:line="240" w:lineRule="auto"/>
      <w:jc w:val="left"/>
      <w:outlineLvl w:val="1"/>
    </w:pPr>
    <w:rPr>
      <w:rFonts w:eastAsia="Times New Roman"/>
      <w:b/>
      <w:bCs/>
      <w:color w:val="4472C4" w:themeColor="accent1"/>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304"/>
    <w:rPr>
      <w:rFonts w:ascii="Times New Roman" w:eastAsiaTheme="majorEastAsia" w:hAnsi="Times New Roman" w:cstheme="majorBidi"/>
      <w:color w:val="2F5496" w:themeColor="accent1" w:themeShade="BF"/>
      <w:sz w:val="32"/>
      <w:szCs w:val="32"/>
      <w:lang w:bidi="ar-SA"/>
    </w:rPr>
  </w:style>
  <w:style w:type="paragraph" w:styleId="ListParagraph">
    <w:name w:val="List Paragraph"/>
    <w:basedOn w:val="Normal"/>
    <w:uiPriority w:val="34"/>
    <w:qFormat/>
    <w:rsid w:val="007133DC"/>
    <w:pPr>
      <w:ind w:left="720"/>
      <w:contextualSpacing/>
    </w:pPr>
  </w:style>
  <w:style w:type="character" w:customStyle="1" w:styleId="Heading2Char">
    <w:name w:val="Heading 2 Char"/>
    <w:basedOn w:val="DefaultParagraphFont"/>
    <w:link w:val="Heading2"/>
    <w:uiPriority w:val="9"/>
    <w:rsid w:val="004B4DE3"/>
    <w:rPr>
      <w:rFonts w:ascii="Arial" w:eastAsia="Times New Roman" w:hAnsi="Arial" w:cs="Times New Roman"/>
      <w:b/>
      <w:bCs/>
      <w:color w:val="4472C4" w:themeColor="accent1"/>
      <w:sz w:val="24"/>
      <w:szCs w:val="36"/>
      <w:lang w:bidi="ar-SA"/>
    </w:rPr>
  </w:style>
  <w:style w:type="paragraph" w:styleId="NoSpacing">
    <w:name w:val="No Spacing"/>
    <w:uiPriority w:val="1"/>
    <w:qFormat/>
    <w:rsid w:val="006A6FD0"/>
    <w:pPr>
      <w:spacing w:after="0" w:line="240" w:lineRule="auto"/>
      <w:jc w:val="both"/>
    </w:pPr>
    <w:rPr>
      <w:rFonts w:ascii="Times New Roman" w:hAnsi="Times New Roman"/>
      <w:sz w:val="24"/>
      <w:szCs w:val="22"/>
      <w:lang w:bidi="ar-SA"/>
    </w:rPr>
  </w:style>
  <w:style w:type="paragraph" w:styleId="TOCHeading">
    <w:name w:val="TOC Heading"/>
    <w:basedOn w:val="Heading1"/>
    <w:next w:val="Normal"/>
    <w:uiPriority w:val="39"/>
    <w:unhideWhenUsed/>
    <w:qFormat/>
    <w:rsid w:val="008C4A22"/>
    <w:pPr>
      <w:spacing w:line="259" w:lineRule="auto"/>
      <w:jc w:val="left"/>
      <w:outlineLvl w:val="9"/>
    </w:pPr>
    <w:rPr>
      <w:rFonts w:asciiTheme="majorHAnsi" w:hAnsiTheme="majorHAnsi"/>
    </w:rPr>
  </w:style>
  <w:style w:type="paragraph" w:styleId="TOC2">
    <w:name w:val="toc 2"/>
    <w:basedOn w:val="Normal"/>
    <w:next w:val="Normal"/>
    <w:autoRedefine/>
    <w:uiPriority w:val="39"/>
    <w:unhideWhenUsed/>
    <w:rsid w:val="008C4A22"/>
    <w:pPr>
      <w:spacing w:after="100"/>
      <w:ind w:left="240"/>
    </w:pPr>
  </w:style>
  <w:style w:type="character" w:styleId="Hyperlink">
    <w:name w:val="Hyperlink"/>
    <w:basedOn w:val="DefaultParagraphFont"/>
    <w:uiPriority w:val="99"/>
    <w:unhideWhenUsed/>
    <w:rsid w:val="008C4A22"/>
    <w:rPr>
      <w:color w:val="0563C1" w:themeColor="hyperlink"/>
      <w:u w:val="single"/>
    </w:rPr>
  </w:style>
  <w:style w:type="table" w:styleId="TableGrid">
    <w:name w:val="Table Grid"/>
    <w:basedOn w:val="TableNormal"/>
    <w:uiPriority w:val="39"/>
    <w:rsid w:val="00E65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C3382"/>
    <w:rPr>
      <w:i/>
      <w:iCs/>
    </w:rPr>
  </w:style>
  <w:style w:type="paragraph" w:styleId="Caption">
    <w:name w:val="caption"/>
    <w:basedOn w:val="Normal"/>
    <w:next w:val="Normal"/>
    <w:uiPriority w:val="35"/>
    <w:unhideWhenUsed/>
    <w:qFormat/>
    <w:rsid w:val="00FF0C9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7146C"/>
    <w:pPr>
      <w:spacing w:after="0"/>
    </w:pPr>
    <w:rPr>
      <w:color w:val="000000" w:themeColor="text1"/>
    </w:rPr>
  </w:style>
  <w:style w:type="paragraph" w:styleId="Header">
    <w:name w:val="header"/>
    <w:basedOn w:val="Normal"/>
    <w:link w:val="HeaderChar"/>
    <w:uiPriority w:val="99"/>
    <w:unhideWhenUsed/>
    <w:rsid w:val="000428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869"/>
    <w:rPr>
      <w:rFonts w:ascii="Times New Roman" w:hAnsi="Times New Roman"/>
      <w:sz w:val="24"/>
      <w:szCs w:val="22"/>
      <w:lang w:bidi="ar-SA"/>
    </w:rPr>
  </w:style>
  <w:style w:type="paragraph" w:styleId="Footer">
    <w:name w:val="footer"/>
    <w:basedOn w:val="Normal"/>
    <w:link w:val="FooterChar"/>
    <w:uiPriority w:val="99"/>
    <w:unhideWhenUsed/>
    <w:rsid w:val="000428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2869"/>
    <w:rPr>
      <w:rFonts w:ascii="Times New Roman" w:hAnsi="Times New Roman"/>
      <w:sz w:val="24"/>
      <w:szCs w:val="22"/>
      <w:lang w:bidi="ar-SA"/>
    </w:rPr>
  </w:style>
  <w:style w:type="character" w:customStyle="1" w:styleId="whitespace-normal">
    <w:name w:val="whitespace-normal"/>
    <w:basedOn w:val="DefaultParagraphFont"/>
    <w:rsid w:val="00356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64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sz="1200">
                <a:latin typeface="Arial" panose="020B0604020202020204" pitchFamily="34" charset="0"/>
                <a:cs typeface="Arial" panose="020B0604020202020204" pitchFamily="34" charset="0"/>
              </a:rPr>
              <a:t>Battery Pack Cost ($/kWh)</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lineMarker"/>
        <c:varyColors val="0"/>
        <c:ser>
          <c:idx val="0"/>
          <c:order val="0"/>
          <c:tx>
            <c:strRef>
              <c:f>Sheet1!$D$4</c:f>
              <c:strCache>
                <c:ptCount val="1"/>
                <c:pt idx="0">
                  <c:v>Battery Pack Cost ($/kWh)</c:v>
                </c:pt>
              </c:strCache>
            </c:strRef>
          </c:tx>
          <c:spPr>
            <a:ln w="28575" cap="rnd">
              <a:solidFill>
                <a:schemeClr val="lt1">
                  <a:alpha val="50000"/>
                </a:schemeClr>
              </a:solidFill>
              <a:round/>
            </a:ln>
            <a:effectLst>
              <a:outerShdw dist="25400" dir="2700000" algn="tl" rotWithShape="0">
                <a:schemeClr val="accent1"/>
              </a:outerShdw>
            </a:effectLst>
          </c:spPr>
          <c:marker>
            <c:symbol val="circle"/>
            <c:size val="6"/>
            <c:spPr>
              <a:solidFill>
                <a:schemeClr val="accent1"/>
              </a:solidFill>
              <a:ln w="22225">
                <a:solidFill>
                  <a:schemeClr val="l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xVal>
            <c:numRef>
              <c:f>Sheet1!$C$5:$C$17</c:f>
              <c:numCache>
                <c:formatCode>General</c:formatCode>
                <c:ptCount val="13"/>
                <c:pt idx="0">
                  <c:v>2013</c:v>
                </c:pt>
                <c:pt idx="1">
                  <c:v>2014</c:v>
                </c:pt>
                <c:pt idx="2">
                  <c:v>2015</c:v>
                </c:pt>
                <c:pt idx="3">
                  <c:v>2016</c:v>
                </c:pt>
                <c:pt idx="4">
                  <c:v>2017</c:v>
                </c:pt>
                <c:pt idx="5">
                  <c:v>2018</c:v>
                </c:pt>
                <c:pt idx="6">
                  <c:v>2019</c:v>
                </c:pt>
                <c:pt idx="7">
                  <c:v>2020</c:v>
                </c:pt>
                <c:pt idx="8">
                  <c:v>2021</c:v>
                </c:pt>
                <c:pt idx="9">
                  <c:v>2022</c:v>
                </c:pt>
                <c:pt idx="10">
                  <c:v>2023</c:v>
                </c:pt>
                <c:pt idx="11">
                  <c:v>2024</c:v>
                </c:pt>
                <c:pt idx="12">
                  <c:v>2025</c:v>
                </c:pt>
              </c:numCache>
            </c:numRef>
          </c:xVal>
          <c:yVal>
            <c:numRef>
              <c:f>Sheet1!$D$5:$D$17</c:f>
              <c:numCache>
                <c:formatCode>General</c:formatCode>
                <c:ptCount val="13"/>
                <c:pt idx="0">
                  <c:v>668</c:v>
                </c:pt>
                <c:pt idx="1">
                  <c:v>592</c:v>
                </c:pt>
                <c:pt idx="2">
                  <c:v>384</c:v>
                </c:pt>
                <c:pt idx="3">
                  <c:v>295</c:v>
                </c:pt>
                <c:pt idx="4">
                  <c:v>221</c:v>
                </c:pt>
                <c:pt idx="5">
                  <c:v>181</c:v>
                </c:pt>
                <c:pt idx="6">
                  <c:v>157</c:v>
                </c:pt>
                <c:pt idx="7">
                  <c:v>137</c:v>
                </c:pt>
                <c:pt idx="8">
                  <c:v>132</c:v>
                </c:pt>
                <c:pt idx="9">
                  <c:v>151</c:v>
                </c:pt>
                <c:pt idx="10">
                  <c:v>140</c:v>
                </c:pt>
                <c:pt idx="11">
                  <c:v>115</c:v>
                </c:pt>
                <c:pt idx="12">
                  <c:v>108</c:v>
                </c:pt>
              </c:numCache>
            </c:numRef>
          </c:yVal>
          <c:smooth val="0"/>
          <c:extLst>
            <c:ext xmlns:c16="http://schemas.microsoft.com/office/drawing/2014/chart" uri="{C3380CC4-5D6E-409C-BE32-E72D297353CC}">
              <c16:uniqueId val="{00000000-241F-4AF9-A86F-7337BC518A07}"/>
            </c:ext>
          </c:extLst>
        </c:ser>
        <c:dLbls>
          <c:dLblPos val="t"/>
          <c:showLegendKey val="0"/>
          <c:showVal val="1"/>
          <c:showCatName val="0"/>
          <c:showSerName val="0"/>
          <c:showPercent val="0"/>
          <c:showBubbleSize val="0"/>
        </c:dLbls>
        <c:axId val="582982288"/>
        <c:axId val="581714240"/>
      </c:scatterChart>
      <c:valAx>
        <c:axId val="582982288"/>
        <c:scaling>
          <c:orientation val="minMax"/>
        </c:scaling>
        <c:delete val="0"/>
        <c:axPos val="b"/>
        <c:majorGridlines>
          <c:spPr>
            <a:ln w="9525" cap="flat" cmpd="sng" algn="ctr">
              <a:solidFill>
                <a:schemeClr val="lt1">
                  <a:alpha val="2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81714240"/>
        <c:crosses val="autoZero"/>
        <c:crossBetween val="midCat"/>
      </c:valAx>
      <c:valAx>
        <c:axId val="581714240"/>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Battery Pack Cost ($/kWh)</a:t>
                </a:r>
              </a:p>
            </c:rich>
          </c:tx>
          <c:layout>
            <c:manualLayout>
              <c:xMode val="edge"/>
              <c:yMode val="edge"/>
              <c:x val="2.0460358056265986E-2"/>
              <c:y val="0.1796125907990315"/>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82982288"/>
        <c:crosses val="autoZero"/>
        <c:crossBetween val="midCat"/>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F91FA2-71A7-4863-912E-602D030BB247}"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US"/>
        </a:p>
      </dgm:t>
    </dgm:pt>
    <dgm:pt modelId="{D57B1805-3C4E-4511-BC5F-A601C4098300}">
      <dgm:prSet phldrT="[Text]" custT="1"/>
      <dgm:spPr/>
      <dgm:t>
        <a:bodyPr/>
        <a:lstStyle/>
        <a:p>
          <a:r>
            <a:rPr lang="en-US" sz="800">
              <a:latin typeface="Arial" panose="020B0604020202020204" pitchFamily="34" charset="0"/>
              <a:cs typeface="Arial" panose="020B0604020202020204" pitchFamily="34" charset="0"/>
            </a:rPr>
            <a:t>Macro Environment</a:t>
          </a:r>
        </a:p>
      </dgm:t>
    </dgm:pt>
    <dgm:pt modelId="{E19D8E67-365D-4A56-AEB5-5C1A4F45D058}" type="parTrans" cxnId="{667736E2-7FB1-4C5A-8652-AA650F582EB0}">
      <dgm:prSet/>
      <dgm:spPr/>
      <dgm:t>
        <a:bodyPr/>
        <a:lstStyle/>
        <a:p>
          <a:endParaRPr lang="en-US"/>
        </a:p>
      </dgm:t>
    </dgm:pt>
    <dgm:pt modelId="{31DB97FB-D098-4170-B04A-FF393719170B}" type="sibTrans" cxnId="{667736E2-7FB1-4C5A-8652-AA650F582EB0}">
      <dgm:prSet/>
      <dgm:spPr/>
      <dgm:t>
        <a:bodyPr/>
        <a:lstStyle/>
        <a:p>
          <a:endParaRPr lang="en-US"/>
        </a:p>
      </dgm:t>
    </dgm:pt>
    <dgm:pt modelId="{82E4193A-5AE1-4C67-9747-6C0A9E84D6F0}">
      <dgm:prSet phldrT="[Text]" custT="1"/>
      <dgm:spPr/>
      <dgm:t>
        <a:bodyPr/>
        <a:lstStyle/>
        <a:p>
          <a:r>
            <a:rPr lang="en-US" sz="800">
              <a:latin typeface="Arial" panose="020B0604020202020204" pitchFamily="34" charset="0"/>
              <a:cs typeface="Arial" panose="020B0604020202020204" pitchFamily="34" charset="0"/>
            </a:rPr>
            <a:t>Political</a:t>
          </a:r>
        </a:p>
      </dgm:t>
    </dgm:pt>
    <dgm:pt modelId="{F1C8226B-D809-42F5-A28B-2DE5838ACC72}" type="parTrans" cxnId="{AA99957E-537E-4F05-A5A6-3D54B509886F}">
      <dgm:prSet/>
      <dgm:spPr/>
      <dgm:t>
        <a:bodyPr/>
        <a:lstStyle/>
        <a:p>
          <a:endParaRPr lang="en-US"/>
        </a:p>
      </dgm:t>
    </dgm:pt>
    <dgm:pt modelId="{59EDFA8E-346B-4B4B-A1EC-8DAF69616898}" type="sibTrans" cxnId="{AA99957E-537E-4F05-A5A6-3D54B509886F}">
      <dgm:prSet/>
      <dgm:spPr/>
      <dgm:t>
        <a:bodyPr/>
        <a:lstStyle/>
        <a:p>
          <a:endParaRPr lang="en-US" sz="800">
            <a:latin typeface="Arial" panose="020B0604020202020204" pitchFamily="34" charset="0"/>
            <a:cs typeface="Arial" panose="020B0604020202020204" pitchFamily="34" charset="0"/>
          </a:endParaRPr>
        </a:p>
      </dgm:t>
    </dgm:pt>
    <dgm:pt modelId="{D3D7F064-1ACE-4C77-B60E-B18A1A9E6BDE}">
      <dgm:prSet phldrT="[Text]" custT="1"/>
      <dgm:spPr/>
      <dgm:t>
        <a:bodyPr/>
        <a:lstStyle/>
        <a:p>
          <a:r>
            <a:rPr lang="en-US" sz="800">
              <a:latin typeface="Arial" panose="020B0604020202020204" pitchFamily="34" charset="0"/>
              <a:cs typeface="Arial" panose="020B0604020202020204" pitchFamily="34" charset="0"/>
            </a:rPr>
            <a:t>Social</a:t>
          </a:r>
        </a:p>
      </dgm:t>
    </dgm:pt>
    <dgm:pt modelId="{5CE511EA-2E6C-49B0-B753-9334EB21ED64}" type="parTrans" cxnId="{D5180718-1A71-4432-B231-081D3F85C9D4}">
      <dgm:prSet/>
      <dgm:spPr/>
      <dgm:t>
        <a:bodyPr/>
        <a:lstStyle/>
        <a:p>
          <a:endParaRPr lang="en-US"/>
        </a:p>
      </dgm:t>
    </dgm:pt>
    <dgm:pt modelId="{956EBAA0-E358-481B-82D5-214C9786E029}" type="sibTrans" cxnId="{D5180718-1A71-4432-B231-081D3F85C9D4}">
      <dgm:prSet/>
      <dgm:spPr/>
      <dgm:t>
        <a:bodyPr/>
        <a:lstStyle/>
        <a:p>
          <a:endParaRPr lang="en-US" sz="800">
            <a:latin typeface="Arial" panose="020B0604020202020204" pitchFamily="34" charset="0"/>
            <a:cs typeface="Arial" panose="020B0604020202020204" pitchFamily="34" charset="0"/>
          </a:endParaRPr>
        </a:p>
      </dgm:t>
    </dgm:pt>
    <dgm:pt modelId="{CBFEA987-9B2C-48D7-B8E7-4CAB846EBF6A}">
      <dgm:prSet phldrT="[Text]" custT="1"/>
      <dgm:spPr/>
      <dgm:t>
        <a:bodyPr/>
        <a:lstStyle/>
        <a:p>
          <a:r>
            <a:rPr lang="en-US" sz="800">
              <a:latin typeface="Arial" panose="020B0604020202020204" pitchFamily="34" charset="0"/>
              <a:cs typeface="Arial" panose="020B0604020202020204" pitchFamily="34" charset="0"/>
            </a:rPr>
            <a:t>Legal</a:t>
          </a:r>
        </a:p>
      </dgm:t>
    </dgm:pt>
    <dgm:pt modelId="{85367538-B954-44A0-A883-1702CD9582D4}" type="parTrans" cxnId="{F443D102-FD83-4CFD-AFA7-D199C638D1D7}">
      <dgm:prSet/>
      <dgm:spPr/>
      <dgm:t>
        <a:bodyPr/>
        <a:lstStyle/>
        <a:p>
          <a:endParaRPr lang="en-US"/>
        </a:p>
      </dgm:t>
    </dgm:pt>
    <dgm:pt modelId="{D5DA837C-4431-45D6-8EDD-720A059F9696}" type="sibTrans" cxnId="{F443D102-FD83-4CFD-AFA7-D199C638D1D7}">
      <dgm:prSet/>
      <dgm:spPr/>
      <dgm:t>
        <a:bodyPr/>
        <a:lstStyle/>
        <a:p>
          <a:endParaRPr lang="en-US" sz="800">
            <a:latin typeface="Arial" panose="020B0604020202020204" pitchFamily="34" charset="0"/>
            <a:cs typeface="Arial" panose="020B0604020202020204" pitchFamily="34" charset="0"/>
          </a:endParaRPr>
        </a:p>
      </dgm:t>
    </dgm:pt>
    <dgm:pt modelId="{656CEDA2-9C04-4A11-BF38-029A20B5B25C}">
      <dgm:prSet custT="1"/>
      <dgm:spPr/>
      <dgm:t>
        <a:bodyPr/>
        <a:lstStyle/>
        <a:p>
          <a:r>
            <a:rPr lang="en-US" sz="800">
              <a:latin typeface="Arial" panose="020B0604020202020204" pitchFamily="34" charset="0"/>
              <a:cs typeface="Arial" panose="020B0604020202020204" pitchFamily="34" charset="0"/>
            </a:rPr>
            <a:t>Economic</a:t>
          </a:r>
        </a:p>
      </dgm:t>
    </dgm:pt>
    <dgm:pt modelId="{B7202853-017B-40C7-B1A4-B5776338D3FC}" type="parTrans" cxnId="{924AA70D-F0D8-475B-95D3-504561268A52}">
      <dgm:prSet/>
      <dgm:spPr/>
      <dgm:t>
        <a:bodyPr/>
        <a:lstStyle/>
        <a:p>
          <a:endParaRPr lang="en-US"/>
        </a:p>
      </dgm:t>
    </dgm:pt>
    <dgm:pt modelId="{033A2BBE-8148-4455-A820-1A6BC6259C25}" type="sibTrans" cxnId="{924AA70D-F0D8-475B-95D3-504561268A52}">
      <dgm:prSet/>
      <dgm:spPr/>
      <dgm:t>
        <a:bodyPr/>
        <a:lstStyle/>
        <a:p>
          <a:endParaRPr lang="en-US" sz="800">
            <a:latin typeface="Arial" panose="020B0604020202020204" pitchFamily="34" charset="0"/>
            <a:cs typeface="Arial" panose="020B0604020202020204" pitchFamily="34" charset="0"/>
          </a:endParaRPr>
        </a:p>
      </dgm:t>
    </dgm:pt>
    <dgm:pt modelId="{65F8692A-AB56-4634-95B5-499B96C8ED43}">
      <dgm:prSet custT="1"/>
      <dgm:spPr/>
      <dgm:t>
        <a:bodyPr/>
        <a:lstStyle/>
        <a:p>
          <a:r>
            <a:rPr lang="en-US" sz="800">
              <a:latin typeface="Arial" panose="020B0604020202020204" pitchFamily="34" charset="0"/>
              <a:cs typeface="Arial" panose="020B0604020202020204" pitchFamily="34" charset="0"/>
            </a:rPr>
            <a:t>Technological</a:t>
          </a:r>
        </a:p>
      </dgm:t>
    </dgm:pt>
    <dgm:pt modelId="{3CCB08C0-5A2F-4F73-B733-836B10FFAE6F}" type="parTrans" cxnId="{1E9C5CA2-9A9E-4BC3-B544-012A80891351}">
      <dgm:prSet/>
      <dgm:spPr/>
      <dgm:t>
        <a:bodyPr/>
        <a:lstStyle/>
        <a:p>
          <a:endParaRPr lang="en-US"/>
        </a:p>
      </dgm:t>
    </dgm:pt>
    <dgm:pt modelId="{7CC6A917-C909-43C9-85F5-783A09CCFA6F}" type="sibTrans" cxnId="{1E9C5CA2-9A9E-4BC3-B544-012A80891351}">
      <dgm:prSet/>
      <dgm:spPr/>
      <dgm:t>
        <a:bodyPr/>
        <a:lstStyle/>
        <a:p>
          <a:endParaRPr lang="en-US" sz="800">
            <a:latin typeface="Arial" panose="020B0604020202020204" pitchFamily="34" charset="0"/>
            <a:cs typeface="Arial" panose="020B0604020202020204" pitchFamily="34" charset="0"/>
          </a:endParaRPr>
        </a:p>
      </dgm:t>
    </dgm:pt>
    <dgm:pt modelId="{56D7C0DA-22C3-48BC-A684-AECFF1593398}" type="pres">
      <dgm:prSet presAssocID="{70F91FA2-71A7-4863-912E-602D030BB247}" presName="Name0" presStyleCnt="0">
        <dgm:presLayoutVars>
          <dgm:chMax val="1"/>
          <dgm:dir/>
          <dgm:animLvl val="ctr"/>
          <dgm:resizeHandles val="exact"/>
        </dgm:presLayoutVars>
      </dgm:prSet>
      <dgm:spPr/>
    </dgm:pt>
    <dgm:pt modelId="{2CB37D83-9047-4AD8-8803-81A9B909FF52}" type="pres">
      <dgm:prSet presAssocID="{D57B1805-3C4E-4511-BC5F-A601C4098300}" presName="centerShape" presStyleLbl="node0" presStyleIdx="0" presStyleCnt="1"/>
      <dgm:spPr/>
    </dgm:pt>
    <dgm:pt modelId="{5E5C2BCB-B7E1-4B3C-88B9-2DDC1A7FADE0}" type="pres">
      <dgm:prSet presAssocID="{82E4193A-5AE1-4C67-9747-6C0A9E84D6F0}" presName="node" presStyleLbl="node1" presStyleIdx="0" presStyleCnt="5">
        <dgm:presLayoutVars>
          <dgm:bulletEnabled val="1"/>
        </dgm:presLayoutVars>
      </dgm:prSet>
      <dgm:spPr/>
    </dgm:pt>
    <dgm:pt modelId="{0617EF9C-FA45-40C7-9148-843D573F6935}" type="pres">
      <dgm:prSet presAssocID="{82E4193A-5AE1-4C67-9747-6C0A9E84D6F0}" presName="dummy" presStyleCnt="0"/>
      <dgm:spPr/>
    </dgm:pt>
    <dgm:pt modelId="{187EC904-37A4-4836-8A66-54A54CD66249}" type="pres">
      <dgm:prSet presAssocID="{59EDFA8E-346B-4B4B-A1EC-8DAF69616898}" presName="sibTrans" presStyleLbl="sibTrans2D1" presStyleIdx="0" presStyleCnt="5"/>
      <dgm:spPr/>
    </dgm:pt>
    <dgm:pt modelId="{A9D18092-711B-4D7D-8116-22BA9952660F}" type="pres">
      <dgm:prSet presAssocID="{656CEDA2-9C04-4A11-BF38-029A20B5B25C}" presName="node" presStyleLbl="node1" presStyleIdx="1" presStyleCnt="5">
        <dgm:presLayoutVars>
          <dgm:bulletEnabled val="1"/>
        </dgm:presLayoutVars>
      </dgm:prSet>
      <dgm:spPr/>
    </dgm:pt>
    <dgm:pt modelId="{B116EA8E-7232-4465-B664-B4FA06C4C201}" type="pres">
      <dgm:prSet presAssocID="{656CEDA2-9C04-4A11-BF38-029A20B5B25C}" presName="dummy" presStyleCnt="0"/>
      <dgm:spPr/>
    </dgm:pt>
    <dgm:pt modelId="{14131F1A-0A6D-4071-ABBD-8AB458E6EAC7}" type="pres">
      <dgm:prSet presAssocID="{033A2BBE-8148-4455-A820-1A6BC6259C25}" presName="sibTrans" presStyleLbl="sibTrans2D1" presStyleIdx="1" presStyleCnt="5"/>
      <dgm:spPr/>
    </dgm:pt>
    <dgm:pt modelId="{87B4B994-F18B-4551-A0CE-89201F911CAD}" type="pres">
      <dgm:prSet presAssocID="{D3D7F064-1ACE-4C77-B60E-B18A1A9E6BDE}" presName="node" presStyleLbl="node1" presStyleIdx="2" presStyleCnt="5">
        <dgm:presLayoutVars>
          <dgm:bulletEnabled val="1"/>
        </dgm:presLayoutVars>
      </dgm:prSet>
      <dgm:spPr/>
    </dgm:pt>
    <dgm:pt modelId="{0610EE12-C363-40C8-A2AA-1C9FBE4CD236}" type="pres">
      <dgm:prSet presAssocID="{D3D7F064-1ACE-4C77-B60E-B18A1A9E6BDE}" presName="dummy" presStyleCnt="0"/>
      <dgm:spPr/>
    </dgm:pt>
    <dgm:pt modelId="{D96854D2-937E-45E8-8DED-B75771165F65}" type="pres">
      <dgm:prSet presAssocID="{956EBAA0-E358-481B-82D5-214C9786E029}" presName="sibTrans" presStyleLbl="sibTrans2D1" presStyleIdx="2" presStyleCnt="5"/>
      <dgm:spPr/>
    </dgm:pt>
    <dgm:pt modelId="{EB85FE47-4307-4366-A40B-0F7786EB9264}" type="pres">
      <dgm:prSet presAssocID="{65F8692A-AB56-4634-95B5-499B96C8ED43}" presName="node" presStyleLbl="node1" presStyleIdx="3" presStyleCnt="5">
        <dgm:presLayoutVars>
          <dgm:bulletEnabled val="1"/>
        </dgm:presLayoutVars>
      </dgm:prSet>
      <dgm:spPr/>
    </dgm:pt>
    <dgm:pt modelId="{9BA164AC-CD1D-4C0A-A9DD-1992829FAC52}" type="pres">
      <dgm:prSet presAssocID="{65F8692A-AB56-4634-95B5-499B96C8ED43}" presName="dummy" presStyleCnt="0"/>
      <dgm:spPr/>
    </dgm:pt>
    <dgm:pt modelId="{A369AA2C-4BF1-4881-B372-3D2401BF705E}" type="pres">
      <dgm:prSet presAssocID="{7CC6A917-C909-43C9-85F5-783A09CCFA6F}" presName="sibTrans" presStyleLbl="sibTrans2D1" presStyleIdx="3" presStyleCnt="5"/>
      <dgm:spPr/>
    </dgm:pt>
    <dgm:pt modelId="{C8124807-A24F-4680-BBBB-C03C454B2B05}" type="pres">
      <dgm:prSet presAssocID="{CBFEA987-9B2C-48D7-B8E7-4CAB846EBF6A}" presName="node" presStyleLbl="node1" presStyleIdx="4" presStyleCnt="5">
        <dgm:presLayoutVars>
          <dgm:bulletEnabled val="1"/>
        </dgm:presLayoutVars>
      </dgm:prSet>
      <dgm:spPr/>
    </dgm:pt>
    <dgm:pt modelId="{A2BD07A2-E3F8-413C-80C7-1704567BC533}" type="pres">
      <dgm:prSet presAssocID="{CBFEA987-9B2C-48D7-B8E7-4CAB846EBF6A}" presName="dummy" presStyleCnt="0"/>
      <dgm:spPr/>
    </dgm:pt>
    <dgm:pt modelId="{8043E0F0-6654-4D60-A3D9-253DB09A0AB9}" type="pres">
      <dgm:prSet presAssocID="{D5DA837C-4431-45D6-8EDD-720A059F9696}" presName="sibTrans" presStyleLbl="sibTrans2D1" presStyleIdx="4" presStyleCnt="5"/>
      <dgm:spPr/>
    </dgm:pt>
  </dgm:ptLst>
  <dgm:cxnLst>
    <dgm:cxn modelId="{F443D102-FD83-4CFD-AFA7-D199C638D1D7}" srcId="{D57B1805-3C4E-4511-BC5F-A601C4098300}" destId="{CBFEA987-9B2C-48D7-B8E7-4CAB846EBF6A}" srcOrd="4" destOrd="0" parTransId="{85367538-B954-44A0-A883-1702CD9582D4}" sibTransId="{D5DA837C-4431-45D6-8EDD-720A059F9696}"/>
    <dgm:cxn modelId="{5775580C-BB2D-459A-B3B3-6C561002C53E}" type="presOf" srcId="{033A2BBE-8148-4455-A820-1A6BC6259C25}" destId="{14131F1A-0A6D-4071-ABBD-8AB458E6EAC7}" srcOrd="0" destOrd="0" presId="urn:microsoft.com/office/officeart/2005/8/layout/radial6"/>
    <dgm:cxn modelId="{924AA70D-F0D8-475B-95D3-504561268A52}" srcId="{D57B1805-3C4E-4511-BC5F-A601C4098300}" destId="{656CEDA2-9C04-4A11-BF38-029A20B5B25C}" srcOrd="1" destOrd="0" parTransId="{B7202853-017B-40C7-B1A4-B5776338D3FC}" sibTransId="{033A2BBE-8148-4455-A820-1A6BC6259C25}"/>
    <dgm:cxn modelId="{D5180718-1A71-4432-B231-081D3F85C9D4}" srcId="{D57B1805-3C4E-4511-BC5F-A601C4098300}" destId="{D3D7F064-1ACE-4C77-B60E-B18A1A9E6BDE}" srcOrd="2" destOrd="0" parTransId="{5CE511EA-2E6C-49B0-B753-9334EB21ED64}" sibTransId="{956EBAA0-E358-481B-82D5-214C9786E029}"/>
    <dgm:cxn modelId="{49E7391E-FD92-42AA-9D14-5F1306821C59}" type="presOf" srcId="{D57B1805-3C4E-4511-BC5F-A601C4098300}" destId="{2CB37D83-9047-4AD8-8803-81A9B909FF52}" srcOrd="0" destOrd="0" presId="urn:microsoft.com/office/officeart/2005/8/layout/radial6"/>
    <dgm:cxn modelId="{F2375229-BDDD-41C9-9BC2-5A61676F454C}" type="presOf" srcId="{656CEDA2-9C04-4A11-BF38-029A20B5B25C}" destId="{A9D18092-711B-4D7D-8116-22BA9952660F}" srcOrd="0" destOrd="0" presId="urn:microsoft.com/office/officeart/2005/8/layout/radial6"/>
    <dgm:cxn modelId="{99F83F57-54DD-4528-B616-950A29099702}" type="presOf" srcId="{7CC6A917-C909-43C9-85F5-783A09CCFA6F}" destId="{A369AA2C-4BF1-4881-B372-3D2401BF705E}" srcOrd="0" destOrd="0" presId="urn:microsoft.com/office/officeart/2005/8/layout/radial6"/>
    <dgm:cxn modelId="{A55E5579-7BFE-482A-849F-74356B597EE5}" type="presOf" srcId="{59EDFA8E-346B-4B4B-A1EC-8DAF69616898}" destId="{187EC904-37A4-4836-8A66-54A54CD66249}" srcOrd="0" destOrd="0" presId="urn:microsoft.com/office/officeart/2005/8/layout/radial6"/>
    <dgm:cxn modelId="{9A252C7C-4CFD-4B26-9B0E-F651CE6306D4}" type="presOf" srcId="{70F91FA2-71A7-4863-912E-602D030BB247}" destId="{56D7C0DA-22C3-48BC-A684-AECFF1593398}" srcOrd="0" destOrd="0" presId="urn:microsoft.com/office/officeart/2005/8/layout/radial6"/>
    <dgm:cxn modelId="{AA99957E-537E-4F05-A5A6-3D54B509886F}" srcId="{D57B1805-3C4E-4511-BC5F-A601C4098300}" destId="{82E4193A-5AE1-4C67-9747-6C0A9E84D6F0}" srcOrd="0" destOrd="0" parTransId="{F1C8226B-D809-42F5-A28B-2DE5838ACC72}" sibTransId="{59EDFA8E-346B-4B4B-A1EC-8DAF69616898}"/>
    <dgm:cxn modelId="{307B0682-7708-46BC-86F7-1A3BAFE28FDD}" type="presOf" srcId="{82E4193A-5AE1-4C67-9747-6C0A9E84D6F0}" destId="{5E5C2BCB-B7E1-4B3C-88B9-2DDC1A7FADE0}" srcOrd="0" destOrd="0" presId="urn:microsoft.com/office/officeart/2005/8/layout/radial6"/>
    <dgm:cxn modelId="{76425F8F-EAA8-434D-9630-1D6D4827F13E}" type="presOf" srcId="{D5DA837C-4431-45D6-8EDD-720A059F9696}" destId="{8043E0F0-6654-4D60-A3D9-253DB09A0AB9}" srcOrd="0" destOrd="0" presId="urn:microsoft.com/office/officeart/2005/8/layout/radial6"/>
    <dgm:cxn modelId="{39700992-49A8-46C4-AC39-95335057BD51}" type="presOf" srcId="{D3D7F064-1ACE-4C77-B60E-B18A1A9E6BDE}" destId="{87B4B994-F18B-4551-A0CE-89201F911CAD}" srcOrd="0" destOrd="0" presId="urn:microsoft.com/office/officeart/2005/8/layout/radial6"/>
    <dgm:cxn modelId="{780EA893-71C4-4DA5-87EB-7518CDFE7FBD}" type="presOf" srcId="{CBFEA987-9B2C-48D7-B8E7-4CAB846EBF6A}" destId="{C8124807-A24F-4680-BBBB-C03C454B2B05}" srcOrd="0" destOrd="0" presId="urn:microsoft.com/office/officeart/2005/8/layout/radial6"/>
    <dgm:cxn modelId="{B7F0CF9F-8C0A-414F-A45D-8215D495381B}" type="presOf" srcId="{65F8692A-AB56-4634-95B5-499B96C8ED43}" destId="{EB85FE47-4307-4366-A40B-0F7786EB9264}" srcOrd="0" destOrd="0" presId="urn:microsoft.com/office/officeart/2005/8/layout/radial6"/>
    <dgm:cxn modelId="{1E9C5CA2-9A9E-4BC3-B544-012A80891351}" srcId="{D57B1805-3C4E-4511-BC5F-A601C4098300}" destId="{65F8692A-AB56-4634-95B5-499B96C8ED43}" srcOrd="3" destOrd="0" parTransId="{3CCB08C0-5A2F-4F73-B733-836B10FFAE6F}" sibTransId="{7CC6A917-C909-43C9-85F5-783A09CCFA6F}"/>
    <dgm:cxn modelId="{667736E2-7FB1-4C5A-8652-AA650F582EB0}" srcId="{70F91FA2-71A7-4863-912E-602D030BB247}" destId="{D57B1805-3C4E-4511-BC5F-A601C4098300}" srcOrd="0" destOrd="0" parTransId="{E19D8E67-365D-4A56-AEB5-5C1A4F45D058}" sibTransId="{31DB97FB-D098-4170-B04A-FF393719170B}"/>
    <dgm:cxn modelId="{7E6071E8-B433-4A65-BE5A-7C74EA579A09}" type="presOf" srcId="{956EBAA0-E358-481B-82D5-214C9786E029}" destId="{D96854D2-937E-45E8-8DED-B75771165F65}" srcOrd="0" destOrd="0" presId="urn:microsoft.com/office/officeart/2005/8/layout/radial6"/>
    <dgm:cxn modelId="{43AB3843-8D5B-4CF1-BDB8-A4C11AABAC6E}" type="presParOf" srcId="{56D7C0DA-22C3-48BC-A684-AECFF1593398}" destId="{2CB37D83-9047-4AD8-8803-81A9B909FF52}" srcOrd="0" destOrd="0" presId="urn:microsoft.com/office/officeart/2005/8/layout/radial6"/>
    <dgm:cxn modelId="{576C0C49-AE05-4600-9905-604B97631440}" type="presParOf" srcId="{56D7C0DA-22C3-48BC-A684-AECFF1593398}" destId="{5E5C2BCB-B7E1-4B3C-88B9-2DDC1A7FADE0}" srcOrd="1" destOrd="0" presId="urn:microsoft.com/office/officeart/2005/8/layout/radial6"/>
    <dgm:cxn modelId="{03B6B1AF-B509-4A82-AF75-3FBB15E1AEF8}" type="presParOf" srcId="{56D7C0DA-22C3-48BC-A684-AECFF1593398}" destId="{0617EF9C-FA45-40C7-9148-843D573F6935}" srcOrd="2" destOrd="0" presId="urn:microsoft.com/office/officeart/2005/8/layout/radial6"/>
    <dgm:cxn modelId="{A44FD796-085A-4F43-B90C-976DA6CBC23E}" type="presParOf" srcId="{56D7C0DA-22C3-48BC-A684-AECFF1593398}" destId="{187EC904-37A4-4836-8A66-54A54CD66249}" srcOrd="3" destOrd="0" presId="urn:microsoft.com/office/officeart/2005/8/layout/radial6"/>
    <dgm:cxn modelId="{1F2FC5DC-6DC5-4A29-A507-6FFF862EB435}" type="presParOf" srcId="{56D7C0DA-22C3-48BC-A684-AECFF1593398}" destId="{A9D18092-711B-4D7D-8116-22BA9952660F}" srcOrd="4" destOrd="0" presId="urn:microsoft.com/office/officeart/2005/8/layout/radial6"/>
    <dgm:cxn modelId="{1B931724-6C56-43E0-8A1D-99E241191206}" type="presParOf" srcId="{56D7C0DA-22C3-48BC-A684-AECFF1593398}" destId="{B116EA8E-7232-4465-B664-B4FA06C4C201}" srcOrd="5" destOrd="0" presId="urn:microsoft.com/office/officeart/2005/8/layout/radial6"/>
    <dgm:cxn modelId="{69BC9E36-45E1-49DB-8EDF-67B271A184FC}" type="presParOf" srcId="{56D7C0DA-22C3-48BC-A684-AECFF1593398}" destId="{14131F1A-0A6D-4071-ABBD-8AB458E6EAC7}" srcOrd="6" destOrd="0" presId="urn:microsoft.com/office/officeart/2005/8/layout/radial6"/>
    <dgm:cxn modelId="{08D8F491-FE51-441F-A46F-3C094B98F93E}" type="presParOf" srcId="{56D7C0DA-22C3-48BC-A684-AECFF1593398}" destId="{87B4B994-F18B-4551-A0CE-89201F911CAD}" srcOrd="7" destOrd="0" presId="urn:microsoft.com/office/officeart/2005/8/layout/radial6"/>
    <dgm:cxn modelId="{C7865BF5-E63D-4E3F-831A-AA447BB62619}" type="presParOf" srcId="{56D7C0DA-22C3-48BC-A684-AECFF1593398}" destId="{0610EE12-C363-40C8-A2AA-1C9FBE4CD236}" srcOrd="8" destOrd="0" presId="urn:microsoft.com/office/officeart/2005/8/layout/radial6"/>
    <dgm:cxn modelId="{BBDFA6E7-110A-44CE-9C4D-C405D7C35DC8}" type="presParOf" srcId="{56D7C0DA-22C3-48BC-A684-AECFF1593398}" destId="{D96854D2-937E-45E8-8DED-B75771165F65}" srcOrd="9" destOrd="0" presId="urn:microsoft.com/office/officeart/2005/8/layout/radial6"/>
    <dgm:cxn modelId="{B635C8CA-B04B-4A8A-A7F1-A25422E8F641}" type="presParOf" srcId="{56D7C0DA-22C3-48BC-A684-AECFF1593398}" destId="{EB85FE47-4307-4366-A40B-0F7786EB9264}" srcOrd="10" destOrd="0" presId="urn:microsoft.com/office/officeart/2005/8/layout/radial6"/>
    <dgm:cxn modelId="{19B31F92-32F1-4781-BB49-6349F771968D}" type="presParOf" srcId="{56D7C0DA-22C3-48BC-A684-AECFF1593398}" destId="{9BA164AC-CD1D-4C0A-A9DD-1992829FAC52}" srcOrd="11" destOrd="0" presId="urn:microsoft.com/office/officeart/2005/8/layout/radial6"/>
    <dgm:cxn modelId="{E3621B4F-139F-4E75-94D4-25F521428C38}" type="presParOf" srcId="{56D7C0DA-22C3-48BC-A684-AECFF1593398}" destId="{A369AA2C-4BF1-4881-B372-3D2401BF705E}" srcOrd="12" destOrd="0" presId="urn:microsoft.com/office/officeart/2005/8/layout/radial6"/>
    <dgm:cxn modelId="{B566730B-9B11-4D34-8ADA-704A43740D2D}" type="presParOf" srcId="{56D7C0DA-22C3-48BC-A684-AECFF1593398}" destId="{C8124807-A24F-4680-BBBB-C03C454B2B05}" srcOrd="13" destOrd="0" presId="urn:microsoft.com/office/officeart/2005/8/layout/radial6"/>
    <dgm:cxn modelId="{B7736308-69D9-4922-9C4C-25E9C3DCA47A}" type="presParOf" srcId="{56D7C0DA-22C3-48BC-A684-AECFF1593398}" destId="{A2BD07A2-E3F8-413C-80C7-1704567BC533}" srcOrd="14" destOrd="0" presId="urn:microsoft.com/office/officeart/2005/8/layout/radial6"/>
    <dgm:cxn modelId="{71379993-C691-4A93-8089-A076921126FE}" type="presParOf" srcId="{56D7C0DA-22C3-48BC-A684-AECFF1593398}" destId="{8043E0F0-6654-4D60-A3D9-253DB09A0AB9}" srcOrd="15"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43E0F0-6654-4D60-A3D9-253DB09A0AB9}">
      <dsp:nvSpPr>
        <dsp:cNvPr id="0" name=""/>
        <dsp:cNvSpPr/>
      </dsp:nvSpPr>
      <dsp:spPr>
        <a:xfrm>
          <a:off x="1453199" y="429112"/>
          <a:ext cx="2865751" cy="2865751"/>
        </a:xfrm>
        <a:prstGeom prst="blockArc">
          <a:avLst>
            <a:gd name="adj1" fmla="val 11880000"/>
            <a:gd name="adj2" fmla="val 16200000"/>
            <a:gd name="adj3" fmla="val 464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369AA2C-4BF1-4881-B372-3D2401BF705E}">
      <dsp:nvSpPr>
        <dsp:cNvPr id="0" name=""/>
        <dsp:cNvSpPr/>
      </dsp:nvSpPr>
      <dsp:spPr>
        <a:xfrm>
          <a:off x="1453199" y="429112"/>
          <a:ext cx="2865751" cy="2865751"/>
        </a:xfrm>
        <a:prstGeom prst="blockArc">
          <a:avLst>
            <a:gd name="adj1" fmla="val 7560000"/>
            <a:gd name="adj2" fmla="val 11880000"/>
            <a:gd name="adj3" fmla="val 464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96854D2-937E-45E8-8DED-B75771165F65}">
      <dsp:nvSpPr>
        <dsp:cNvPr id="0" name=""/>
        <dsp:cNvSpPr/>
      </dsp:nvSpPr>
      <dsp:spPr>
        <a:xfrm>
          <a:off x="1453199" y="429112"/>
          <a:ext cx="2865751" cy="2865751"/>
        </a:xfrm>
        <a:prstGeom prst="blockArc">
          <a:avLst>
            <a:gd name="adj1" fmla="val 3240000"/>
            <a:gd name="adj2" fmla="val 7560000"/>
            <a:gd name="adj3" fmla="val 464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4131F1A-0A6D-4071-ABBD-8AB458E6EAC7}">
      <dsp:nvSpPr>
        <dsp:cNvPr id="0" name=""/>
        <dsp:cNvSpPr/>
      </dsp:nvSpPr>
      <dsp:spPr>
        <a:xfrm>
          <a:off x="1453199" y="429112"/>
          <a:ext cx="2865751" cy="2865751"/>
        </a:xfrm>
        <a:prstGeom prst="blockArc">
          <a:avLst>
            <a:gd name="adj1" fmla="val 20520000"/>
            <a:gd name="adj2" fmla="val 3240000"/>
            <a:gd name="adj3" fmla="val 464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87EC904-37A4-4836-8A66-54A54CD66249}">
      <dsp:nvSpPr>
        <dsp:cNvPr id="0" name=""/>
        <dsp:cNvSpPr/>
      </dsp:nvSpPr>
      <dsp:spPr>
        <a:xfrm>
          <a:off x="1453199" y="429112"/>
          <a:ext cx="2865751" cy="2865751"/>
        </a:xfrm>
        <a:prstGeom prst="blockArc">
          <a:avLst>
            <a:gd name="adj1" fmla="val 16200000"/>
            <a:gd name="adj2" fmla="val 20520000"/>
            <a:gd name="adj3" fmla="val 464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B37D83-9047-4AD8-8803-81A9B909FF52}">
      <dsp:nvSpPr>
        <dsp:cNvPr id="0" name=""/>
        <dsp:cNvSpPr/>
      </dsp:nvSpPr>
      <dsp:spPr>
        <a:xfrm>
          <a:off x="2226561" y="1202474"/>
          <a:ext cx="1319026" cy="131902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Macro Environment</a:t>
          </a:r>
        </a:p>
      </dsp:txBody>
      <dsp:txXfrm>
        <a:off x="2419728" y="1395641"/>
        <a:ext cx="932692" cy="932692"/>
      </dsp:txXfrm>
    </dsp:sp>
    <dsp:sp modelId="{5E5C2BCB-B7E1-4B3C-88B9-2DDC1A7FADE0}">
      <dsp:nvSpPr>
        <dsp:cNvPr id="0" name=""/>
        <dsp:cNvSpPr/>
      </dsp:nvSpPr>
      <dsp:spPr>
        <a:xfrm>
          <a:off x="2424415" y="692"/>
          <a:ext cx="923318" cy="92331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Political</a:t>
          </a:r>
        </a:p>
      </dsp:txBody>
      <dsp:txXfrm>
        <a:off x="2559632" y="135909"/>
        <a:ext cx="652884" cy="652884"/>
      </dsp:txXfrm>
    </dsp:sp>
    <dsp:sp modelId="{A9D18092-711B-4D7D-8116-22BA9952660F}">
      <dsp:nvSpPr>
        <dsp:cNvPr id="0" name=""/>
        <dsp:cNvSpPr/>
      </dsp:nvSpPr>
      <dsp:spPr>
        <a:xfrm>
          <a:off x="3755549" y="967817"/>
          <a:ext cx="923318" cy="92331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Economic</a:t>
          </a:r>
        </a:p>
      </dsp:txBody>
      <dsp:txXfrm>
        <a:off x="3890766" y="1103034"/>
        <a:ext cx="652884" cy="652884"/>
      </dsp:txXfrm>
    </dsp:sp>
    <dsp:sp modelId="{87B4B994-F18B-4551-A0CE-89201F911CAD}">
      <dsp:nvSpPr>
        <dsp:cNvPr id="0" name=""/>
        <dsp:cNvSpPr/>
      </dsp:nvSpPr>
      <dsp:spPr>
        <a:xfrm>
          <a:off x="3247101" y="2532658"/>
          <a:ext cx="923318" cy="92331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Social</a:t>
          </a:r>
        </a:p>
      </dsp:txBody>
      <dsp:txXfrm>
        <a:off x="3382318" y="2667875"/>
        <a:ext cx="652884" cy="652884"/>
      </dsp:txXfrm>
    </dsp:sp>
    <dsp:sp modelId="{EB85FE47-4307-4366-A40B-0F7786EB9264}">
      <dsp:nvSpPr>
        <dsp:cNvPr id="0" name=""/>
        <dsp:cNvSpPr/>
      </dsp:nvSpPr>
      <dsp:spPr>
        <a:xfrm>
          <a:off x="1601730" y="2532658"/>
          <a:ext cx="923318" cy="923318"/>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Technological</a:t>
          </a:r>
        </a:p>
      </dsp:txBody>
      <dsp:txXfrm>
        <a:off x="1736947" y="2667875"/>
        <a:ext cx="652884" cy="652884"/>
      </dsp:txXfrm>
    </dsp:sp>
    <dsp:sp modelId="{C8124807-A24F-4680-BBBB-C03C454B2B05}">
      <dsp:nvSpPr>
        <dsp:cNvPr id="0" name=""/>
        <dsp:cNvSpPr/>
      </dsp:nvSpPr>
      <dsp:spPr>
        <a:xfrm>
          <a:off x="1093282" y="967817"/>
          <a:ext cx="923318" cy="923318"/>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Legal</a:t>
          </a:r>
        </a:p>
      </dsp:txBody>
      <dsp:txXfrm>
        <a:off x="1228499" y="1103034"/>
        <a:ext cx="652884" cy="65288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D9AC8F-884F-4E37-B706-74B4501A6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15</Pages>
  <Words>11610</Words>
  <Characters>66183</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2526730@student.uwtsd.ac.uk</dc:creator>
  <cp:keywords/>
  <dc:description/>
  <cp:lastModifiedBy>2526730@student.uwtsd.ac.uk</cp:lastModifiedBy>
  <cp:revision>41</cp:revision>
  <dcterms:created xsi:type="dcterms:W3CDTF">2026-03-03T04:34:00Z</dcterms:created>
  <dcterms:modified xsi:type="dcterms:W3CDTF">2026-03-20T12:21:00Z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4th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f0d7ce96-7cb2-3d6e-b7c5-1a5727ca58af</vt:lpwstr>
  </property>
  <property fmtid="{D5CDD505-2E9C-101B-9397-08002B2CF9AE}" pid="24" name="Mendeley Citation Style_1">
    <vt:lpwstr>http://www.zotero.org/styles/harvard-cite-them-right</vt:lpwstr>
  </property>
</Properties>
</file>