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AD108B" w14:textId="246CABDA" w:rsidR="00FA2B30" w:rsidRPr="00FA2B30" w:rsidRDefault="00FA2B30" w:rsidP="00FA2B30">
      <w:pPr>
        <w:rPr>
          <w:b/>
        </w:rPr>
      </w:pPr>
      <w:r w:rsidRPr="00FA2B30">
        <w:rPr>
          <w:noProof/>
        </w:rPr>
        <w:drawing>
          <wp:anchor distT="0" distB="0" distL="114300" distR="114300" simplePos="0" relativeHeight="251659264" behindDoc="0" locked="0" layoutInCell="1" allowOverlap="1" wp14:anchorId="7D4BCAB9" wp14:editId="6A6449B6">
            <wp:simplePos x="0" y="0"/>
            <wp:positionH relativeFrom="column">
              <wp:align>left</wp:align>
            </wp:positionH>
            <wp:positionV relativeFrom="paragraph">
              <wp:align>top</wp:align>
            </wp:positionV>
            <wp:extent cx="1809750" cy="723900"/>
            <wp:effectExtent l="0" t="0" r="0" b="0"/>
            <wp:wrapSquare wrapText="bothSides"/>
            <wp:docPr id="359198101" name="Picture 2"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r w:rsidRPr="00FA2B30">
        <w:t xml:space="preserve"> </w:t>
      </w:r>
      <w:r w:rsidRPr="00FA2B30">
        <w:br/>
      </w:r>
      <w:r w:rsidRPr="00FA2B30">
        <w:rPr>
          <w:b/>
        </w:rPr>
        <w:t>APPENDIX GA36b</w:t>
      </w:r>
    </w:p>
    <w:p w14:paraId="0D608FB9" w14:textId="77777777" w:rsidR="00FA2B30" w:rsidRPr="00FA2B30" w:rsidRDefault="00FA2B30" w:rsidP="00FA2B30"/>
    <w:tbl>
      <w:tblPr>
        <w:tblW w:w="0" w:type="auto"/>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FA2B30" w:rsidRPr="00FA2B30" w14:paraId="73D73307" w14:textId="77777777" w:rsidTr="00FA2B30">
        <w:tc>
          <w:tcPr>
            <w:tcW w:w="8624" w:type="dxa"/>
            <w:tcBorders>
              <w:top w:val="single" w:sz="4" w:space="0" w:color="auto"/>
              <w:left w:val="single" w:sz="4" w:space="0" w:color="auto"/>
              <w:bottom w:val="single" w:sz="4" w:space="0" w:color="auto"/>
              <w:right w:val="single" w:sz="4" w:space="0" w:color="auto"/>
            </w:tcBorders>
            <w:shd w:val="clear" w:color="auto" w:fill="C0C0C0"/>
            <w:hideMark/>
          </w:tcPr>
          <w:p w14:paraId="4C765CE9" w14:textId="32C6441F" w:rsidR="00FA2B30" w:rsidRPr="00FA2B30" w:rsidRDefault="00FA2B30" w:rsidP="00FA2B30">
            <w:pPr>
              <w:jc w:val="center"/>
              <w:rPr>
                <w:b/>
              </w:rPr>
            </w:pPr>
            <w:r w:rsidRPr="00FA2B30">
              <w:rPr>
                <w:b/>
              </w:rPr>
              <w:t>LEVEL 5 ASSESSMENT SPECIFICATION</w:t>
            </w:r>
          </w:p>
        </w:tc>
      </w:tr>
    </w:tbl>
    <w:p w14:paraId="21CD9253" w14:textId="77777777" w:rsidR="00FA2B30" w:rsidRPr="00FA2B30" w:rsidRDefault="00FA2B30" w:rsidP="00FA2B30">
      <w:pPr>
        <w:rPr>
          <w:b/>
          <w:i/>
        </w:rPr>
      </w:pPr>
    </w:p>
    <w:tbl>
      <w:tblPr>
        <w:tblW w:w="8534"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2"/>
        <w:gridCol w:w="3291"/>
        <w:gridCol w:w="1847"/>
        <w:gridCol w:w="1304"/>
      </w:tblGrid>
      <w:tr w:rsidR="00FA2B30" w:rsidRPr="00FA2B30" w14:paraId="2C6BE97B" w14:textId="77777777" w:rsidTr="00FA2B30">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66733A84" w14:textId="77777777" w:rsidR="00FA2B30" w:rsidRPr="00FA2B30" w:rsidRDefault="00FA2B30" w:rsidP="00FA2B30">
            <w:pPr>
              <w:rPr>
                <w:b/>
              </w:rPr>
            </w:pPr>
            <w:r w:rsidRPr="00FA2B30">
              <w:rPr>
                <w:b/>
              </w:rPr>
              <w:t>Student name:</w:t>
            </w:r>
          </w:p>
        </w:tc>
        <w:tc>
          <w:tcPr>
            <w:tcW w:w="3291" w:type="dxa"/>
            <w:tcBorders>
              <w:top w:val="single" w:sz="4" w:space="0" w:color="auto"/>
              <w:left w:val="single" w:sz="4" w:space="0" w:color="auto"/>
              <w:bottom w:val="single" w:sz="4" w:space="0" w:color="auto"/>
              <w:right w:val="single" w:sz="4" w:space="0" w:color="auto"/>
            </w:tcBorders>
            <w:hideMark/>
          </w:tcPr>
          <w:p w14:paraId="6D98B4EA" w14:textId="46888901" w:rsidR="00FA2B30" w:rsidRPr="00FA2B30" w:rsidRDefault="00FA2B30" w:rsidP="00FA2B30">
            <w:pPr>
              <w:rPr>
                <w:b/>
              </w:rPr>
            </w:pPr>
            <w:r>
              <w:rPr>
                <w:b/>
              </w:rPr>
              <w:t>Sarah Louise Hoffmann</w:t>
            </w:r>
          </w:p>
        </w:tc>
        <w:tc>
          <w:tcPr>
            <w:tcW w:w="1847" w:type="dxa"/>
            <w:tcBorders>
              <w:top w:val="single" w:sz="4" w:space="0" w:color="auto"/>
              <w:left w:val="single" w:sz="4" w:space="0" w:color="auto"/>
              <w:bottom w:val="single" w:sz="4" w:space="0" w:color="auto"/>
              <w:right w:val="single" w:sz="4" w:space="0" w:color="auto"/>
            </w:tcBorders>
            <w:shd w:val="clear" w:color="auto" w:fill="D9D9D9"/>
            <w:hideMark/>
          </w:tcPr>
          <w:p w14:paraId="1661627B" w14:textId="77777777" w:rsidR="00FA2B30" w:rsidRPr="00FA2B30" w:rsidRDefault="00FA2B30" w:rsidP="00FA2B30">
            <w:pPr>
              <w:rPr>
                <w:b/>
              </w:rPr>
            </w:pPr>
            <w:r w:rsidRPr="00FA2B30">
              <w:rPr>
                <w:b/>
              </w:rPr>
              <w:t>Student ID number:</w:t>
            </w:r>
          </w:p>
        </w:tc>
        <w:tc>
          <w:tcPr>
            <w:tcW w:w="1304" w:type="dxa"/>
            <w:tcBorders>
              <w:top w:val="single" w:sz="4" w:space="0" w:color="auto"/>
              <w:left w:val="single" w:sz="4" w:space="0" w:color="auto"/>
              <w:bottom w:val="single" w:sz="4" w:space="0" w:color="auto"/>
              <w:right w:val="single" w:sz="4" w:space="0" w:color="auto"/>
            </w:tcBorders>
          </w:tcPr>
          <w:p w14:paraId="310BCAB2" w14:textId="26D79354" w:rsidR="00FA2B30" w:rsidRPr="00FA2B30" w:rsidRDefault="00FA2B30" w:rsidP="00FA2B30">
            <w:pPr>
              <w:rPr>
                <w:b/>
              </w:rPr>
            </w:pPr>
            <w:r>
              <w:rPr>
                <w:b/>
              </w:rPr>
              <w:t>2315599</w:t>
            </w:r>
          </w:p>
        </w:tc>
      </w:tr>
      <w:tr w:rsidR="00FA2B30" w:rsidRPr="00FA2B30" w14:paraId="5B20A0C1" w14:textId="77777777" w:rsidTr="00FA2B30">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42E8CCDB" w14:textId="77777777" w:rsidR="00FA2B30" w:rsidRPr="00FA2B30" w:rsidRDefault="00FA2B30" w:rsidP="00FA2B30">
            <w:pPr>
              <w:rPr>
                <w:b/>
              </w:rPr>
            </w:pPr>
            <w:r w:rsidRPr="00FA2B30">
              <w:rPr>
                <w:b/>
              </w:rPr>
              <w:t>Programme:</w:t>
            </w:r>
          </w:p>
        </w:tc>
        <w:tc>
          <w:tcPr>
            <w:tcW w:w="6442" w:type="dxa"/>
            <w:gridSpan w:val="3"/>
            <w:tcBorders>
              <w:top w:val="single" w:sz="4" w:space="0" w:color="auto"/>
              <w:left w:val="single" w:sz="4" w:space="0" w:color="auto"/>
              <w:bottom w:val="single" w:sz="4" w:space="0" w:color="auto"/>
              <w:right w:val="single" w:sz="4" w:space="0" w:color="auto"/>
            </w:tcBorders>
            <w:hideMark/>
          </w:tcPr>
          <w:p w14:paraId="7807B7BC" w14:textId="77777777" w:rsidR="00FA2B30" w:rsidRPr="00FA2B30" w:rsidRDefault="00FA2B30" w:rsidP="00FA2B30">
            <w:pPr>
              <w:rPr>
                <w:b/>
              </w:rPr>
            </w:pPr>
            <w:r w:rsidRPr="00FA2B30">
              <w:rPr>
                <w:b/>
              </w:rPr>
              <w:t>Law portfolio</w:t>
            </w:r>
          </w:p>
        </w:tc>
      </w:tr>
      <w:tr w:rsidR="00FA2B30" w:rsidRPr="00FA2B30" w14:paraId="749EB8BD" w14:textId="77777777" w:rsidTr="00FA2B30">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0DC3F6E4" w14:textId="77777777" w:rsidR="00FA2B30" w:rsidRPr="00FA2B30" w:rsidRDefault="00FA2B30" w:rsidP="00FA2B30">
            <w:pPr>
              <w:rPr>
                <w:b/>
              </w:rPr>
            </w:pPr>
            <w:r w:rsidRPr="00FA2B30">
              <w:rPr>
                <w:b/>
              </w:rPr>
              <w:t>Module:</w:t>
            </w:r>
          </w:p>
        </w:tc>
        <w:tc>
          <w:tcPr>
            <w:tcW w:w="6442" w:type="dxa"/>
            <w:gridSpan w:val="3"/>
            <w:tcBorders>
              <w:top w:val="single" w:sz="4" w:space="0" w:color="auto"/>
              <w:left w:val="single" w:sz="4" w:space="0" w:color="auto"/>
              <w:bottom w:val="single" w:sz="4" w:space="0" w:color="auto"/>
              <w:right w:val="single" w:sz="4" w:space="0" w:color="auto"/>
            </w:tcBorders>
            <w:hideMark/>
          </w:tcPr>
          <w:p w14:paraId="31E33616" w14:textId="77777777" w:rsidR="00FA2B30" w:rsidRPr="00FA2B30" w:rsidRDefault="00FA2B30" w:rsidP="00FA2B30">
            <w:pPr>
              <w:rPr>
                <w:b/>
              </w:rPr>
            </w:pPr>
            <w:r w:rsidRPr="00FA2B30">
              <w:rPr>
                <w:b/>
              </w:rPr>
              <w:t>Contract law</w:t>
            </w:r>
          </w:p>
        </w:tc>
      </w:tr>
      <w:tr w:rsidR="00FA2B30" w:rsidRPr="00FA2B30" w14:paraId="47679F73" w14:textId="77777777" w:rsidTr="00FA2B30">
        <w:trPr>
          <w:gridAfter w:val="2"/>
          <w:wAfter w:w="3151" w:type="dxa"/>
        </w:trPr>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08222732" w14:textId="77777777" w:rsidR="00FA2B30" w:rsidRPr="00FA2B30" w:rsidRDefault="00FA2B30" w:rsidP="00FA2B30">
            <w:pPr>
              <w:rPr>
                <w:b/>
              </w:rPr>
            </w:pPr>
            <w:r w:rsidRPr="00FA2B30">
              <w:rPr>
                <w:b/>
              </w:rPr>
              <w:t>Module code:</w:t>
            </w:r>
          </w:p>
        </w:tc>
        <w:tc>
          <w:tcPr>
            <w:tcW w:w="3291" w:type="dxa"/>
            <w:tcBorders>
              <w:top w:val="single" w:sz="4" w:space="0" w:color="auto"/>
              <w:left w:val="single" w:sz="4" w:space="0" w:color="auto"/>
              <w:bottom w:val="single" w:sz="4" w:space="0" w:color="auto"/>
              <w:right w:val="single" w:sz="4" w:space="0" w:color="auto"/>
            </w:tcBorders>
            <w:hideMark/>
          </w:tcPr>
          <w:p w14:paraId="21465872" w14:textId="77777777" w:rsidR="00FA2B30" w:rsidRPr="00FA2B30" w:rsidRDefault="00FA2B30" w:rsidP="00FA2B30">
            <w:pPr>
              <w:rPr>
                <w:b/>
              </w:rPr>
            </w:pPr>
            <w:r w:rsidRPr="00FA2B30">
              <w:rPr>
                <w:b/>
              </w:rPr>
              <w:t>BMLW5017</w:t>
            </w:r>
          </w:p>
        </w:tc>
      </w:tr>
      <w:tr w:rsidR="00FA2B30" w:rsidRPr="00FA2B30" w14:paraId="164FF9B5" w14:textId="77777777" w:rsidTr="00FA2B30">
        <w:trPr>
          <w:gridAfter w:val="2"/>
          <w:wAfter w:w="3151" w:type="dxa"/>
        </w:trPr>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5D10965A" w14:textId="77777777" w:rsidR="00FA2B30" w:rsidRPr="00FA2B30" w:rsidRDefault="00FA2B30" w:rsidP="00FA2B30">
            <w:pPr>
              <w:rPr>
                <w:b/>
              </w:rPr>
            </w:pPr>
            <w:r w:rsidRPr="00FA2B30">
              <w:rPr>
                <w:b/>
              </w:rPr>
              <w:t>Assignment Title:</w:t>
            </w:r>
          </w:p>
        </w:tc>
        <w:tc>
          <w:tcPr>
            <w:tcW w:w="3291" w:type="dxa"/>
            <w:tcBorders>
              <w:top w:val="single" w:sz="4" w:space="0" w:color="auto"/>
              <w:left w:val="single" w:sz="4" w:space="0" w:color="auto"/>
              <w:bottom w:val="single" w:sz="4" w:space="0" w:color="auto"/>
              <w:right w:val="single" w:sz="4" w:space="0" w:color="auto"/>
            </w:tcBorders>
            <w:hideMark/>
          </w:tcPr>
          <w:p w14:paraId="6064E026" w14:textId="77777777" w:rsidR="00FA2B30" w:rsidRPr="00FA2B30" w:rsidRDefault="00FA2B30" w:rsidP="00FA2B30">
            <w:pPr>
              <w:rPr>
                <w:b/>
              </w:rPr>
            </w:pPr>
            <w:r w:rsidRPr="00FA2B30">
              <w:rPr>
                <w:b/>
              </w:rPr>
              <w:t>Letter of advice on formation of contract</w:t>
            </w:r>
          </w:p>
        </w:tc>
      </w:tr>
    </w:tbl>
    <w:p w14:paraId="165FC91E" w14:textId="77777777" w:rsidR="00FA2B30" w:rsidRDefault="00FA2B30" w:rsidP="00FA2B30">
      <w:pPr>
        <w:ind w:left="-426"/>
      </w:pPr>
    </w:p>
    <w:p w14:paraId="56B8F796" w14:textId="5BF01647" w:rsidR="00FA2B30" w:rsidRDefault="00FA2B30">
      <w:r>
        <w:br w:type="page"/>
      </w:r>
    </w:p>
    <w:sdt>
      <w:sdtPr>
        <w:rPr>
          <w:rFonts w:asciiTheme="minorHAnsi" w:eastAsiaTheme="minorHAnsi" w:hAnsiTheme="minorHAnsi" w:cstheme="minorBidi"/>
          <w:color w:val="auto"/>
          <w:kern w:val="2"/>
          <w:sz w:val="24"/>
          <w:szCs w:val="24"/>
          <w:lang w:eastAsia="en-US"/>
          <w14:ligatures w14:val="standardContextual"/>
        </w:rPr>
        <w:id w:val="173464328"/>
        <w:docPartObj>
          <w:docPartGallery w:val="Table of Contents"/>
          <w:docPartUnique/>
        </w:docPartObj>
      </w:sdtPr>
      <w:sdtEndPr>
        <w:rPr>
          <w:b/>
          <w:bCs/>
        </w:rPr>
      </w:sdtEndPr>
      <w:sdtContent>
        <w:p w14:paraId="4A160D13" w14:textId="72471FEB" w:rsidR="00FA2B30" w:rsidRDefault="00FA2B30">
          <w:pPr>
            <w:pStyle w:val="TOCHeading"/>
          </w:pPr>
          <w:r>
            <w:t>Contents</w:t>
          </w:r>
        </w:p>
        <w:p w14:paraId="3237E701" w14:textId="5F6C56CA" w:rsidR="00745EE0" w:rsidRDefault="00FA2B3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90863983" w:history="1">
            <w:r w:rsidR="00745EE0" w:rsidRPr="00616601">
              <w:rPr>
                <w:rStyle w:val="Hyperlink"/>
                <w:noProof/>
              </w:rPr>
              <w:t>Letter of Advice</w:t>
            </w:r>
            <w:r w:rsidR="00745EE0">
              <w:rPr>
                <w:noProof/>
                <w:webHidden/>
              </w:rPr>
              <w:tab/>
            </w:r>
            <w:r w:rsidR="00745EE0">
              <w:rPr>
                <w:noProof/>
                <w:webHidden/>
              </w:rPr>
              <w:fldChar w:fldCharType="begin"/>
            </w:r>
            <w:r w:rsidR="00745EE0">
              <w:rPr>
                <w:noProof/>
                <w:webHidden/>
              </w:rPr>
              <w:instrText xml:space="preserve"> PAGEREF _Toc190863983 \h </w:instrText>
            </w:r>
            <w:r w:rsidR="00745EE0">
              <w:rPr>
                <w:noProof/>
                <w:webHidden/>
              </w:rPr>
            </w:r>
            <w:r w:rsidR="00745EE0">
              <w:rPr>
                <w:noProof/>
                <w:webHidden/>
              </w:rPr>
              <w:fldChar w:fldCharType="separate"/>
            </w:r>
            <w:r w:rsidR="006E7002">
              <w:rPr>
                <w:noProof/>
                <w:webHidden/>
              </w:rPr>
              <w:t>3</w:t>
            </w:r>
            <w:r w:rsidR="00745EE0">
              <w:rPr>
                <w:noProof/>
                <w:webHidden/>
              </w:rPr>
              <w:fldChar w:fldCharType="end"/>
            </w:r>
          </w:hyperlink>
        </w:p>
        <w:p w14:paraId="25A5E00A" w14:textId="34455D20" w:rsidR="00745EE0" w:rsidRDefault="00745EE0">
          <w:pPr>
            <w:pStyle w:val="TOC1"/>
            <w:tabs>
              <w:tab w:val="right" w:leader="dot" w:pos="9016"/>
            </w:tabs>
            <w:rPr>
              <w:rFonts w:eastAsiaTheme="minorEastAsia"/>
              <w:noProof/>
              <w:lang w:eastAsia="en-GB"/>
            </w:rPr>
          </w:pPr>
          <w:hyperlink w:anchor="_Toc190863984" w:history="1">
            <w:r w:rsidRPr="00616601">
              <w:rPr>
                <w:rStyle w:val="Hyperlink"/>
                <w:noProof/>
              </w:rPr>
              <w:t>Table of cases</w:t>
            </w:r>
            <w:r>
              <w:rPr>
                <w:noProof/>
                <w:webHidden/>
              </w:rPr>
              <w:tab/>
            </w:r>
            <w:r>
              <w:rPr>
                <w:noProof/>
                <w:webHidden/>
              </w:rPr>
              <w:fldChar w:fldCharType="begin"/>
            </w:r>
            <w:r>
              <w:rPr>
                <w:noProof/>
                <w:webHidden/>
              </w:rPr>
              <w:instrText xml:space="preserve"> PAGEREF _Toc190863984 \h </w:instrText>
            </w:r>
            <w:r>
              <w:rPr>
                <w:noProof/>
                <w:webHidden/>
              </w:rPr>
            </w:r>
            <w:r>
              <w:rPr>
                <w:noProof/>
                <w:webHidden/>
              </w:rPr>
              <w:fldChar w:fldCharType="separate"/>
            </w:r>
            <w:r w:rsidR="006E7002">
              <w:rPr>
                <w:noProof/>
                <w:webHidden/>
              </w:rPr>
              <w:t>8</w:t>
            </w:r>
            <w:r>
              <w:rPr>
                <w:noProof/>
                <w:webHidden/>
              </w:rPr>
              <w:fldChar w:fldCharType="end"/>
            </w:r>
          </w:hyperlink>
        </w:p>
        <w:p w14:paraId="6790AED4" w14:textId="5AD04C88" w:rsidR="00745EE0" w:rsidRDefault="00745EE0">
          <w:pPr>
            <w:pStyle w:val="TOC1"/>
            <w:tabs>
              <w:tab w:val="right" w:leader="dot" w:pos="9016"/>
            </w:tabs>
            <w:rPr>
              <w:rFonts w:eastAsiaTheme="minorEastAsia"/>
              <w:noProof/>
              <w:lang w:eastAsia="en-GB"/>
            </w:rPr>
          </w:pPr>
          <w:hyperlink w:anchor="_Toc190863985" w:history="1">
            <w:r w:rsidRPr="00616601">
              <w:rPr>
                <w:rStyle w:val="Hyperlink"/>
                <w:noProof/>
              </w:rPr>
              <w:t>Table of legislation</w:t>
            </w:r>
            <w:r>
              <w:rPr>
                <w:noProof/>
                <w:webHidden/>
              </w:rPr>
              <w:tab/>
            </w:r>
            <w:r>
              <w:rPr>
                <w:noProof/>
                <w:webHidden/>
              </w:rPr>
              <w:fldChar w:fldCharType="begin"/>
            </w:r>
            <w:r>
              <w:rPr>
                <w:noProof/>
                <w:webHidden/>
              </w:rPr>
              <w:instrText xml:space="preserve"> PAGEREF _Toc190863985 \h </w:instrText>
            </w:r>
            <w:r>
              <w:rPr>
                <w:noProof/>
                <w:webHidden/>
              </w:rPr>
            </w:r>
            <w:r>
              <w:rPr>
                <w:noProof/>
                <w:webHidden/>
              </w:rPr>
              <w:fldChar w:fldCharType="separate"/>
            </w:r>
            <w:r w:rsidR="006E7002">
              <w:rPr>
                <w:noProof/>
                <w:webHidden/>
              </w:rPr>
              <w:t>10</w:t>
            </w:r>
            <w:r>
              <w:rPr>
                <w:noProof/>
                <w:webHidden/>
              </w:rPr>
              <w:fldChar w:fldCharType="end"/>
            </w:r>
          </w:hyperlink>
        </w:p>
        <w:p w14:paraId="348FFAFF" w14:textId="6B38FCEF" w:rsidR="00745EE0" w:rsidRDefault="00745EE0">
          <w:pPr>
            <w:pStyle w:val="TOC1"/>
            <w:tabs>
              <w:tab w:val="right" w:leader="dot" w:pos="9016"/>
            </w:tabs>
            <w:rPr>
              <w:rFonts w:eastAsiaTheme="minorEastAsia"/>
              <w:noProof/>
              <w:lang w:eastAsia="en-GB"/>
            </w:rPr>
          </w:pPr>
          <w:hyperlink w:anchor="_Toc190863986" w:history="1">
            <w:r w:rsidRPr="00616601">
              <w:rPr>
                <w:rStyle w:val="Hyperlink"/>
                <w:noProof/>
              </w:rPr>
              <w:t>References</w:t>
            </w:r>
            <w:r>
              <w:rPr>
                <w:noProof/>
                <w:webHidden/>
              </w:rPr>
              <w:tab/>
            </w:r>
            <w:r>
              <w:rPr>
                <w:noProof/>
                <w:webHidden/>
              </w:rPr>
              <w:fldChar w:fldCharType="begin"/>
            </w:r>
            <w:r>
              <w:rPr>
                <w:noProof/>
                <w:webHidden/>
              </w:rPr>
              <w:instrText xml:space="preserve"> PAGEREF _Toc190863986 \h </w:instrText>
            </w:r>
            <w:r>
              <w:rPr>
                <w:noProof/>
                <w:webHidden/>
              </w:rPr>
            </w:r>
            <w:r>
              <w:rPr>
                <w:noProof/>
                <w:webHidden/>
              </w:rPr>
              <w:fldChar w:fldCharType="separate"/>
            </w:r>
            <w:r w:rsidR="006E7002">
              <w:rPr>
                <w:noProof/>
                <w:webHidden/>
              </w:rPr>
              <w:t>11</w:t>
            </w:r>
            <w:r>
              <w:rPr>
                <w:noProof/>
                <w:webHidden/>
              </w:rPr>
              <w:fldChar w:fldCharType="end"/>
            </w:r>
          </w:hyperlink>
        </w:p>
        <w:p w14:paraId="4B006200" w14:textId="129CC568" w:rsidR="00FA2B30" w:rsidRDefault="00FA2B30">
          <w:r>
            <w:rPr>
              <w:b/>
              <w:bCs/>
            </w:rPr>
            <w:fldChar w:fldCharType="end"/>
          </w:r>
        </w:p>
      </w:sdtContent>
    </w:sdt>
    <w:p w14:paraId="24937890" w14:textId="1568F538" w:rsidR="00FA2B30" w:rsidRDefault="00FA2B30">
      <w:r>
        <w:br w:type="page"/>
      </w:r>
    </w:p>
    <w:p w14:paraId="76940FFA" w14:textId="364EAEAB" w:rsidR="00FA2B30" w:rsidRDefault="00FA2B30" w:rsidP="00FA2B30">
      <w:pPr>
        <w:pStyle w:val="Heading1"/>
      </w:pPr>
      <w:bookmarkStart w:id="0" w:name="_Toc190863983"/>
      <w:r>
        <w:lastRenderedPageBreak/>
        <w:t>Letter of Advice</w:t>
      </w:r>
      <w:bookmarkEnd w:id="0"/>
    </w:p>
    <w:p w14:paraId="372DE6C5" w14:textId="77777777" w:rsidR="00FA2B30" w:rsidRPr="00FA2B30" w:rsidRDefault="00FA2B30" w:rsidP="00FA2B30"/>
    <w:p w14:paraId="4B73ED32" w14:textId="77777777" w:rsidR="00FA2B30" w:rsidRPr="00FA2B30" w:rsidRDefault="00FA2B30" w:rsidP="00FA2B30">
      <w:pPr>
        <w:jc w:val="both"/>
      </w:pPr>
      <w:r w:rsidRPr="00FA2B30">
        <w:t>Dear Mr. Smith,</w:t>
      </w:r>
    </w:p>
    <w:p w14:paraId="5E07687C" w14:textId="7FA5525B" w:rsidR="00CA5D7A" w:rsidRDefault="00FA2B30" w:rsidP="000E4A08">
      <w:pPr>
        <w:jc w:val="both"/>
      </w:pPr>
      <w:r w:rsidRPr="00FA2B30">
        <w:t xml:space="preserve">I hope this letter finds you well. I am writing to address the recent communication </w:t>
      </w:r>
      <w:r w:rsidR="000357A3">
        <w:t xml:space="preserve">between us </w:t>
      </w:r>
      <w:r w:rsidRPr="00FA2B30">
        <w:t>regarding the rental of your flat</w:t>
      </w:r>
      <w:r w:rsidR="00934839">
        <w:t xml:space="preserve"> </w:t>
      </w:r>
      <w:r w:rsidR="0007145A">
        <w:t>that y</w:t>
      </w:r>
      <w:r w:rsidR="00934839">
        <w:t>ou advertised</w:t>
      </w:r>
      <w:r w:rsidRPr="00FA2B30">
        <w:t>, which I had agreed to rent starting September 1st</w:t>
      </w:r>
      <w:proofErr w:type="gramStart"/>
      <w:r w:rsidRPr="00FA2B30">
        <w:t xml:space="preserve"> 2025</w:t>
      </w:r>
      <w:proofErr w:type="gramEnd"/>
      <w:r w:rsidRPr="00FA2B30">
        <w:t xml:space="preserve"> for £500 per month. </w:t>
      </w:r>
    </w:p>
    <w:p w14:paraId="7F049345" w14:textId="4DFB83F5" w:rsidR="00C83AC7" w:rsidRPr="00FA2B30" w:rsidRDefault="00FA2B30" w:rsidP="00C83AC7">
      <w:pPr>
        <w:jc w:val="both"/>
      </w:pPr>
      <w:r w:rsidRPr="00FA2B30">
        <w:t xml:space="preserve">During our initial meeting, you verbally offered to rent the flat to me for £500 per month, starting from September 1st, 2025. This offer was clear and specific, detailing the rental amount and the start date. </w:t>
      </w:r>
      <w:r w:rsidR="00CA5D7A" w:rsidRPr="00CA5D7A">
        <w:t>A significant case in UK law that underscores the requirement for an offer to be sufficiently certain is </w:t>
      </w:r>
      <w:proofErr w:type="spellStart"/>
      <w:r w:rsidR="00CA5D7A" w:rsidRPr="00CA5D7A">
        <w:t>Guthing</w:t>
      </w:r>
      <w:proofErr w:type="spellEnd"/>
      <w:r w:rsidR="00CA5D7A" w:rsidRPr="00CA5D7A">
        <w:t xml:space="preserve"> v Lynn (1831). The court in this case determined that an offer must be clear and specific to be enforceable. The offer was considered too vague because it included a promise to pay an additional sum "if the horse is lucky," which the court found lacked the necessary certainty to form a binding contract</w:t>
      </w:r>
      <w:r w:rsidR="00201FEC">
        <w:t xml:space="preserve">. </w:t>
      </w:r>
      <w:r w:rsidRPr="00FA2B30">
        <w:t>An offer is a crucial element in contract formation as it sets the terms that the other party can accept or reject.</w:t>
      </w:r>
      <w:r w:rsidR="002C4312">
        <w:t xml:space="preserve"> </w:t>
      </w:r>
      <w:r w:rsidR="002C4312" w:rsidRPr="00FA2B30">
        <w:t>The case of </w:t>
      </w:r>
      <w:r w:rsidR="002C4312" w:rsidRPr="006E7002">
        <w:t>Carlill v Carbolic Smoke Ball Co</w:t>
      </w:r>
      <w:r w:rsidR="002C4312" w:rsidRPr="00FA2B30">
        <w:t xml:space="preserve"> </w:t>
      </w:r>
      <w:r w:rsidR="006E7002">
        <w:t>(</w:t>
      </w:r>
      <w:r w:rsidR="002C4312" w:rsidRPr="00FA2B30">
        <w:t>1893</w:t>
      </w:r>
      <w:r w:rsidR="006E7002">
        <w:t>)</w:t>
      </w:r>
      <w:r w:rsidR="002C4312" w:rsidRPr="00FA2B30">
        <w:t xml:space="preserve"> 1 QB 256 supports the notion that a contract is formed when an offer is </w:t>
      </w:r>
      <w:proofErr w:type="gramStart"/>
      <w:r w:rsidR="002C4312" w:rsidRPr="00FA2B30">
        <w:t>accepted</w:t>
      </w:r>
      <w:proofErr w:type="gramEnd"/>
      <w:r w:rsidR="002C4312" w:rsidRPr="00FA2B30">
        <w:t xml:space="preserve"> and consideration is provided.</w:t>
      </w:r>
      <w:r w:rsidR="002C4312">
        <w:t xml:space="preserve"> In con</w:t>
      </w:r>
      <w:r w:rsidR="00DD36FD">
        <w:t xml:space="preserve">trast to the case of </w:t>
      </w:r>
      <w:r w:rsidR="00DD36FD" w:rsidRPr="00FA2B30">
        <w:t>Payne v Cave (1789) </w:t>
      </w:r>
      <w:r w:rsidR="00C83AC7">
        <w:t>whereby</w:t>
      </w:r>
      <w:r w:rsidR="00DD36FD" w:rsidRPr="00FA2B30">
        <w:t xml:space="preserve"> an offer can be withdrawn before acceptance, but in our case, the offer was accepted, and consideration was provided before any withdrawal. In</w:t>
      </w:r>
      <w:r w:rsidR="00510E50">
        <w:t xml:space="preserve"> the case of</w:t>
      </w:r>
      <w:r w:rsidR="00DD36FD" w:rsidRPr="00FA2B30">
        <w:t xml:space="preserve"> Payne v Cave</w:t>
      </w:r>
      <w:r w:rsidR="00CA5D7A">
        <w:t xml:space="preserve"> (1789)</w:t>
      </w:r>
      <w:r w:rsidR="00DD36FD" w:rsidRPr="00FA2B30">
        <w:t xml:space="preserve"> the court ruled that an offer can be revoked at any time before acceptance. However, once acceptance is communicated, the offeror is bound by the terms of the offer. In our situation, my acceptance and the subsequent deposit payment solidified the contract before any attempt</w:t>
      </w:r>
      <w:r w:rsidR="00813999">
        <w:t xml:space="preserve"> by you</w:t>
      </w:r>
      <w:r w:rsidR="00DD36FD" w:rsidRPr="00FA2B30">
        <w:t xml:space="preserve"> to withdraw the offer.</w:t>
      </w:r>
      <w:r w:rsidR="00C83AC7">
        <w:t xml:space="preserve"> You did not convey to me that </w:t>
      </w:r>
      <w:r w:rsidR="00813999">
        <w:t xml:space="preserve">our </w:t>
      </w:r>
      <w:r w:rsidR="00C83AC7">
        <w:t xml:space="preserve">agreement had been terminated before accepting the new contract accepting the higher value of rent. </w:t>
      </w:r>
    </w:p>
    <w:p w14:paraId="474CE224" w14:textId="232D71F6" w:rsidR="004A52DE" w:rsidRDefault="00FA2B30" w:rsidP="00A47B3C">
      <w:pPr>
        <w:jc w:val="both"/>
        <w:rPr>
          <w:i/>
          <w:iCs/>
        </w:rPr>
      </w:pPr>
      <w:r w:rsidRPr="00FA2B30">
        <w:t>Following our meeting, I expressed my interest in renting the flat and subsequently confirmed my acceptance of your offer via email. In my email, I stated, “I agree to the terms. I will arrange the deposit payment by the end of this week.” Acceptance must be unequivocal and communicated to the offeror, which I did through my email response. This acceptance was unconditional and matched the terms of your offer, thereby creating an agreement.</w:t>
      </w:r>
      <w:r w:rsidR="00DB6E0C">
        <w:t xml:space="preserve"> </w:t>
      </w:r>
      <w:r w:rsidR="00F11F52">
        <w:t xml:space="preserve">As per the case of </w:t>
      </w:r>
      <w:proofErr w:type="spellStart"/>
      <w:r w:rsidR="00F11F52" w:rsidRPr="008F3973">
        <w:t>Felthouse</w:t>
      </w:r>
      <w:proofErr w:type="spellEnd"/>
      <w:r w:rsidR="00F11F52" w:rsidRPr="008F3973">
        <w:t xml:space="preserve"> v Bindley </w:t>
      </w:r>
      <w:r w:rsidR="008F3973">
        <w:t>(</w:t>
      </w:r>
      <w:r w:rsidR="00F11F52" w:rsidRPr="008F3973">
        <w:t>1862</w:t>
      </w:r>
      <w:r w:rsidR="008F3973">
        <w:t>)</w:t>
      </w:r>
      <w:r w:rsidR="00F11F52">
        <w:rPr>
          <w:i/>
          <w:iCs/>
        </w:rPr>
        <w:t>,</w:t>
      </w:r>
      <w:r w:rsidR="00F11F52" w:rsidRPr="004A52DE">
        <w:t xml:space="preserve"> </w:t>
      </w:r>
      <w:r w:rsidR="00703B45" w:rsidRPr="004A52DE">
        <w:t>my acceptance of the flat you offered was communicated to you in a timely manner</w:t>
      </w:r>
      <w:r w:rsidR="00703B45" w:rsidRPr="0060290C">
        <w:t xml:space="preserve">. </w:t>
      </w:r>
      <w:r w:rsidR="004A52DE" w:rsidRPr="0060290C">
        <w:t xml:space="preserve"> Likewise in the case of Powell v Lee </w:t>
      </w:r>
      <w:r w:rsidR="00E84CE0">
        <w:t>(</w:t>
      </w:r>
      <w:r w:rsidR="004A52DE" w:rsidRPr="0060290C">
        <w:t>1908</w:t>
      </w:r>
      <w:r w:rsidR="00E84CE0">
        <w:t>)</w:t>
      </w:r>
      <w:r w:rsidR="004A52DE" w:rsidRPr="0060290C">
        <w:t xml:space="preserve"> </w:t>
      </w:r>
      <w:r w:rsidR="0060290C" w:rsidRPr="0060290C">
        <w:t>as you are the owner of the property,</w:t>
      </w:r>
      <w:r w:rsidR="0060290C">
        <w:t xml:space="preserve"> you are authorised to </w:t>
      </w:r>
      <w:r w:rsidR="00FB7554">
        <w:t xml:space="preserve">accept my form of communication. </w:t>
      </w:r>
    </w:p>
    <w:p w14:paraId="04FB6AD5" w14:textId="5AF6DE59" w:rsidR="00FA2B30" w:rsidRPr="00FA2B30" w:rsidRDefault="00FA2B30" w:rsidP="007E0E36">
      <w:pPr>
        <w:jc w:val="both"/>
      </w:pPr>
      <w:r w:rsidRPr="00FA2B30">
        <w:t>Consideration refers to something of value exchanged between the parties. In this case, the consideration is the monthly rent of £500, which I agreed to pay, and the deposit I transferred to your bank account as agreed</w:t>
      </w:r>
      <w:r w:rsidR="005424B9">
        <w:t xml:space="preserve"> by you</w:t>
      </w:r>
      <w:r w:rsidRPr="00FA2B30">
        <w:t>.</w:t>
      </w:r>
      <w:r w:rsidR="005424B9">
        <w:t xml:space="preserve"> In simple terms a mirror</w:t>
      </w:r>
      <w:r w:rsidR="00C85956">
        <w:t xml:space="preserve">-image rule was applied. Unlike in the case of </w:t>
      </w:r>
      <w:r w:rsidR="00C85956" w:rsidRPr="00135FCD">
        <w:t xml:space="preserve">Hyde v Wrench </w:t>
      </w:r>
      <w:r w:rsidR="008F3973">
        <w:t>(</w:t>
      </w:r>
      <w:r w:rsidR="00C85956" w:rsidRPr="00135FCD">
        <w:t>1840</w:t>
      </w:r>
      <w:r w:rsidR="008F3973">
        <w:t>)</w:t>
      </w:r>
      <w:r w:rsidR="00C85956">
        <w:t xml:space="preserve">, whereby a </w:t>
      </w:r>
      <w:proofErr w:type="gramStart"/>
      <w:r w:rsidR="00C85956">
        <w:t>counter-offer</w:t>
      </w:r>
      <w:proofErr w:type="gramEnd"/>
      <w:r w:rsidR="00C85956">
        <w:t xml:space="preserve"> was </w:t>
      </w:r>
      <w:r w:rsidR="00C85956">
        <w:lastRenderedPageBreak/>
        <w:t xml:space="preserve">made and accepted. </w:t>
      </w:r>
      <w:r w:rsidRPr="00FA2B30">
        <w:t>Consideration is a fundamental aspect of a contract, as it signifies that each party is providing something of value in exchange for the other party's promise.</w:t>
      </w:r>
      <w:r w:rsidR="00A31838">
        <w:t xml:space="preserve"> </w:t>
      </w:r>
      <w:r w:rsidR="00A31838" w:rsidRPr="00A31838">
        <w:t>The case of Currie v Misa (1875) defines consideration as "some right, interest, profit, or benefit accruing to one party, or some forbearance, detriment, loss, or responsibility given, suffered, or undertaken by the other."</w:t>
      </w:r>
      <w:r w:rsidR="00A31838">
        <w:t xml:space="preserve"> The detriment that I have now suffered is that the flat that was offered and agreed to me has now been offered to a third party</w:t>
      </w:r>
      <w:r w:rsidR="00182D4D">
        <w:t xml:space="preserve">. </w:t>
      </w:r>
    </w:p>
    <w:p w14:paraId="3C3E15EA" w14:textId="17E4E6CB" w:rsidR="00FA2B30" w:rsidRDefault="00FA2B30" w:rsidP="007E0E36">
      <w:pPr>
        <w:jc w:val="both"/>
      </w:pPr>
      <w:r w:rsidRPr="00FA2B30">
        <w:t xml:space="preserve">Our email exchange clearly indicates an intention to create legal relations. You explicitly asked for my confirmation, and I provided </w:t>
      </w:r>
      <w:r w:rsidR="00BC21BD">
        <w:t xml:space="preserve">you with the same thereby </w:t>
      </w:r>
      <w:r w:rsidRPr="00FA2B30">
        <w:t>demonstrating our mutual intent to enter into a binding agreement. In contract law, it is presumed that parties entering into a commercial agreement intend to create legal relations, unless there is evidence to the contrary. Our correspondence supports this presumption.</w:t>
      </w:r>
      <w:r w:rsidR="00BF5A5D">
        <w:t xml:space="preserve"> </w:t>
      </w:r>
      <w:r w:rsidR="00BF5A5D" w:rsidRPr="00BF5A5D">
        <w:t>A key UK law case that supports the presumption of an intention to create legal relations in commercial agreements is Edwards v Skyways Ltd </w:t>
      </w:r>
      <w:r w:rsidR="00472ED2">
        <w:t>(</w:t>
      </w:r>
      <w:r w:rsidR="00BF5A5D" w:rsidRPr="00BF5A5D">
        <w:t>1964</w:t>
      </w:r>
      <w:r w:rsidR="00472ED2">
        <w:t>)</w:t>
      </w:r>
      <w:r w:rsidR="00BF5A5D" w:rsidRPr="00BF5A5D">
        <w:t>. In this case, the court held that in commercial transactions, there is a strong presumption that the parties intend to create legal relations. This presumption can only be rebutted by clear evidence to the contrary. Applying this principle to our situation, our email exchange clearly indicates an intention to create legal relations. You explicitly asked for my confirmation, and I provided it, demonstrating our mutual intent to enter into a binding agreement. Therefore, our correspondence supports the presumption of an intention to create legal relations.</w:t>
      </w:r>
    </w:p>
    <w:p w14:paraId="0374D737" w14:textId="77777777" w:rsidR="00BF5A5D" w:rsidRDefault="00BF5A5D" w:rsidP="007E0E36">
      <w:pPr>
        <w:jc w:val="both"/>
      </w:pPr>
    </w:p>
    <w:p w14:paraId="4241B614" w14:textId="7C132312" w:rsidR="00A76DAA" w:rsidRPr="00A76DAA" w:rsidRDefault="00A76DAA" w:rsidP="00A76DAA">
      <w:pPr>
        <w:jc w:val="both"/>
      </w:pPr>
      <w:r w:rsidRPr="00A76DAA">
        <w:t>However, the case of </w:t>
      </w:r>
      <w:proofErr w:type="spellStart"/>
      <w:r w:rsidRPr="00A76DAA">
        <w:t>Greenclose</w:t>
      </w:r>
      <w:proofErr w:type="spellEnd"/>
      <w:r w:rsidRPr="00A76DAA">
        <w:t xml:space="preserve"> Ltd v National Westminster Bank plc </w:t>
      </w:r>
      <w:r w:rsidR="008F3973">
        <w:t>(</w:t>
      </w:r>
      <w:r w:rsidRPr="00A76DAA">
        <w:t>2014</w:t>
      </w:r>
      <w:r w:rsidR="008F3973">
        <w:t>)</w:t>
      </w:r>
      <w:r w:rsidRPr="00A76DAA">
        <w:t> provided significant clarification on this matter. In this case, the court determined that emails do not fall under the postal rule. The court's decision emphasized that emails, unlike traditional postal communications, are considered instantaneous forms of communication. As such, the acceptance of an offer via email is only effective when it is received by the offeror, not when it is sent.</w:t>
      </w:r>
    </w:p>
    <w:p w14:paraId="6DF2E3B2" w14:textId="79451BAA" w:rsidR="00A76DAA" w:rsidRDefault="00A76DAA" w:rsidP="00A76DAA">
      <w:pPr>
        <w:jc w:val="both"/>
      </w:pPr>
      <w:r w:rsidRPr="00A76DAA">
        <w:t>This distinction is crucial in modern contract law, where electronic communications are prevalent. The ruling in </w:t>
      </w:r>
      <w:proofErr w:type="spellStart"/>
      <w:r w:rsidRPr="00A76DAA">
        <w:t>Greenclose</w:t>
      </w:r>
      <w:proofErr w:type="spellEnd"/>
      <w:r w:rsidRPr="00A76DAA">
        <w:t xml:space="preserve"> Ltd v National Westminster Bank plc</w:t>
      </w:r>
      <w:r w:rsidR="004870AA" w:rsidRPr="004870AA">
        <w:t xml:space="preserve"> </w:t>
      </w:r>
      <w:r w:rsidR="008F3973">
        <w:t>(</w:t>
      </w:r>
      <w:r w:rsidR="004870AA" w:rsidRPr="004870AA">
        <w:t>2014</w:t>
      </w:r>
      <w:r w:rsidR="008F3973">
        <w:t>)</w:t>
      </w:r>
      <w:r w:rsidRPr="00A76DAA">
        <w:t> aligns with the general principle that instantaneous communications, such as emails, faxes, and telephone calls, do not benefit from the postal rule. Instead, these forms of communication require actual receipt by the offeror to constitute a valid acceptance</w:t>
      </w:r>
      <w:r w:rsidR="004C5B1C">
        <w:t xml:space="preserve">. </w:t>
      </w:r>
      <w:r w:rsidR="00821AC1" w:rsidRPr="00821AC1">
        <w:t>Instead, these forms of communication require actual receipt by the offeror to constitute a valid acceptance. This principle was affirmed in </w:t>
      </w:r>
      <w:proofErr w:type="spellStart"/>
      <w:r w:rsidR="00821AC1" w:rsidRPr="00821AC1">
        <w:t>Brinkibon</w:t>
      </w:r>
      <w:proofErr w:type="spellEnd"/>
      <w:r w:rsidR="00821AC1" w:rsidRPr="00821AC1">
        <w:t xml:space="preserve"> Ltd v </w:t>
      </w:r>
      <w:proofErr w:type="spellStart"/>
      <w:r w:rsidR="00821AC1" w:rsidRPr="00821AC1">
        <w:t>Stahag</w:t>
      </w:r>
      <w:proofErr w:type="spellEnd"/>
      <w:r w:rsidR="00821AC1" w:rsidRPr="00821AC1">
        <w:t xml:space="preserve"> Stahl GmbH </w:t>
      </w:r>
      <w:r w:rsidR="00821AC1">
        <w:t>(</w:t>
      </w:r>
      <w:r w:rsidR="00821AC1" w:rsidRPr="00821AC1">
        <w:t>1983</w:t>
      </w:r>
      <w:r w:rsidR="00821AC1">
        <w:t>)</w:t>
      </w:r>
      <w:r w:rsidR="00821AC1" w:rsidRPr="00821AC1">
        <w:t xml:space="preserve"> where the court held that for instantaneous forms of communication, such as telex, the contract is formed when and where the acceptance is received by the offeror. This case highlights that the postal rule does not apply to modern, instantaneous communications, emphasi</w:t>
      </w:r>
      <w:r w:rsidR="00821AC1">
        <w:t>s</w:t>
      </w:r>
      <w:r w:rsidR="00821AC1" w:rsidRPr="00821AC1">
        <w:t xml:space="preserve">ing the necessity for the offeror to </w:t>
      </w:r>
      <w:proofErr w:type="gramStart"/>
      <w:r w:rsidR="00821AC1" w:rsidRPr="00821AC1">
        <w:t>actually receive</w:t>
      </w:r>
      <w:proofErr w:type="gramEnd"/>
      <w:r w:rsidR="00821AC1" w:rsidRPr="00821AC1">
        <w:t xml:space="preserve"> the acceptance for it to be valid.</w:t>
      </w:r>
    </w:p>
    <w:p w14:paraId="539DAA18" w14:textId="77777777" w:rsidR="004C5B1C" w:rsidRPr="00A76DAA" w:rsidRDefault="004C5B1C" w:rsidP="00A76DAA">
      <w:pPr>
        <w:jc w:val="both"/>
      </w:pPr>
    </w:p>
    <w:p w14:paraId="57886E0F" w14:textId="1A68D717" w:rsidR="00A76DAA" w:rsidRPr="00A76DAA" w:rsidRDefault="00A76DAA" w:rsidP="00A76DAA">
      <w:pPr>
        <w:jc w:val="both"/>
      </w:pPr>
      <w:r w:rsidRPr="00A76DAA">
        <w:t>The court's decision in this case underscores the importance of understanding the nature of the communication method used in contract formation. While the postal rule provides certainty in the context of traditional mail, its application to modern, instantaneous communication methods would create inconsistencies. Therefore, the ruling in </w:t>
      </w:r>
      <w:proofErr w:type="spellStart"/>
      <w:r w:rsidRPr="00A76DAA">
        <w:t>Greenclose</w:t>
      </w:r>
      <w:proofErr w:type="spellEnd"/>
      <w:r w:rsidRPr="00A76DAA">
        <w:t xml:space="preserve"> Ltd v National Westminster Bank </w:t>
      </w:r>
      <w:r w:rsidR="008F3973">
        <w:t>(</w:t>
      </w:r>
      <w:r w:rsidR="009C6E2D">
        <w:t>2014</w:t>
      </w:r>
      <w:r w:rsidR="008F3973">
        <w:t>)</w:t>
      </w:r>
      <w:r w:rsidR="009C6E2D">
        <w:t xml:space="preserve"> </w:t>
      </w:r>
      <w:r w:rsidRPr="00A76DAA">
        <w:t>plc helps to maintain clarity and fairness in the formation of contracts in the digital age.</w:t>
      </w:r>
      <w:r w:rsidR="00B47358">
        <w:t xml:space="preserve"> Our email exchanges were </w:t>
      </w:r>
      <w:r w:rsidR="009E35A3">
        <w:t>of a business nature to form a commercial agreement as opposed to a dom</w:t>
      </w:r>
      <w:r w:rsidR="00EC6185">
        <w:t xml:space="preserve">estic agreement. </w:t>
      </w:r>
    </w:p>
    <w:p w14:paraId="5466E6EF" w14:textId="5B82F27C" w:rsidR="0082339B" w:rsidRPr="0082339B" w:rsidRDefault="0082339B" w:rsidP="0082339B">
      <w:pPr>
        <w:jc w:val="both"/>
      </w:pPr>
      <w:r w:rsidRPr="0082339B">
        <w:t xml:space="preserve">Both of us possess the legal capacity to </w:t>
      </w:r>
      <w:proofErr w:type="gramStart"/>
      <w:r w:rsidRPr="0082339B">
        <w:t>enter into</w:t>
      </w:r>
      <w:proofErr w:type="gramEnd"/>
      <w:r w:rsidRPr="0082339B">
        <w:t xml:space="preserve"> this contract, as there are no indications to suggest otherwise. Legal capacity refers to the ability of the parties involved to understand and engage in a binding agreement. Generally, this means that the individuals must be adults of sound mind, capable of comprehending the nature and consequences of the contract.</w:t>
      </w:r>
      <w:r w:rsidR="00D75F4A">
        <w:t xml:space="preserve"> </w:t>
      </w:r>
      <w:r w:rsidR="003233F1" w:rsidRPr="003233F1">
        <w:t xml:space="preserve">The ability to </w:t>
      </w:r>
      <w:proofErr w:type="gramStart"/>
      <w:r w:rsidR="003233F1" w:rsidRPr="003233F1">
        <w:t>enter into</w:t>
      </w:r>
      <w:proofErr w:type="gramEnd"/>
      <w:r w:rsidR="003233F1" w:rsidRPr="003233F1">
        <w:t xml:space="preserve"> this contract is clear, as there are no signs to suggest otherwise. Legal capacity involves the parties' ability to understand and engage in a binding agreement. Typically, this means that the individuals must be adults of sound mind, capable of understanding the nature and consequences of the contract. This principle is illustrated in the case of </w:t>
      </w:r>
      <w:r w:rsidR="003233F1" w:rsidRPr="007F68EA">
        <w:t>Nash v Inman</w:t>
      </w:r>
      <w:r w:rsidR="003233F1" w:rsidRPr="003233F1">
        <w:t> </w:t>
      </w:r>
      <w:r w:rsidR="007F68EA">
        <w:t>(</w:t>
      </w:r>
      <w:r w:rsidR="003233F1" w:rsidRPr="003233F1">
        <w:t>1908</w:t>
      </w:r>
      <w:r w:rsidR="007F68EA">
        <w:t>)</w:t>
      </w:r>
      <w:r w:rsidR="003233F1" w:rsidRPr="003233F1">
        <w:t>, where the court determined that a contract with a minor was voidable because the minor did not have the capacity to comprehend the contract's implications.</w:t>
      </w:r>
    </w:p>
    <w:p w14:paraId="0AB64BB3" w14:textId="4C279CE3" w:rsidR="0082339B" w:rsidRPr="0082339B" w:rsidRDefault="0082339B" w:rsidP="0082339B">
      <w:pPr>
        <w:jc w:val="both"/>
      </w:pPr>
      <w:r w:rsidRPr="0082339B">
        <w:t>In contract law, capacity is a fundamental requirement to ensure that all parties are fully aware of their rights and obligations under the agreement. Adults, typically defined as individuals over the age of 18, are presumed to have the capacity to contract unless there is evidence to the contrary, such as mental incapacity or intoxication.</w:t>
      </w:r>
      <w:r w:rsidR="006B7E9F">
        <w:t xml:space="preserve"> I am a student over the age of 18 </w:t>
      </w:r>
      <w:proofErr w:type="gramStart"/>
      <w:r w:rsidR="006B7E9F">
        <w:t>years</w:t>
      </w:r>
      <w:proofErr w:type="gramEnd"/>
      <w:r w:rsidR="006B7E9F">
        <w:t xml:space="preserve"> and you are the owner of a property that is being rented out so by definition you are a landlord.</w:t>
      </w:r>
    </w:p>
    <w:p w14:paraId="0E82C296" w14:textId="77777777" w:rsidR="0082339B" w:rsidRPr="0082339B" w:rsidRDefault="0082339B" w:rsidP="0082339B">
      <w:pPr>
        <w:jc w:val="both"/>
      </w:pPr>
      <w:r w:rsidRPr="0082339B">
        <w:t xml:space="preserve">In our case, there is no evidence or reason to believe that either of us lacks the necessary capacity to </w:t>
      </w:r>
      <w:proofErr w:type="gramStart"/>
      <w:r w:rsidRPr="0082339B">
        <w:t>enter into</w:t>
      </w:r>
      <w:proofErr w:type="gramEnd"/>
      <w:r w:rsidRPr="0082339B">
        <w:t xml:space="preserve"> this contract. We are both adults, and there are no indications of any mental impairment or other factors that would affect our ability to understand and agree to the terms of the contract. This ensures that our agreement is legally valid and enforceable.</w:t>
      </w:r>
    </w:p>
    <w:p w14:paraId="3BFD3616" w14:textId="30845F1D" w:rsidR="000E4A08" w:rsidRDefault="00404C2D" w:rsidP="00FA2B30">
      <w:pPr>
        <w:jc w:val="both"/>
      </w:pPr>
      <w:r w:rsidRPr="00404C2D">
        <w:t xml:space="preserve">The principle of capacity is a fundamental aspect of contract law, serving to protect individuals from being bound by agreements they do not fully comprehend or are unable to consent to. This principle ensures that only those who have the mental and legal ability to understand the terms and implications of a contract can be held accountable to it. By verifying that both parties possess the legal capacity to </w:t>
      </w:r>
      <w:proofErr w:type="gramStart"/>
      <w:r w:rsidRPr="00404C2D">
        <w:t>enter into</w:t>
      </w:r>
      <w:proofErr w:type="gramEnd"/>
      <w:r w:rsidRPr="00404C2D">
        <w:t xml:space="preserve"> a contract, we can be assured that our agreement is both legitimate and binding. This confirmation provides a safeguard, ensuring that the contract is enforceable and that both parties are fully aware of their rights and obligations under the agreement. This protection is crucial in </w:t>
      </w:r>
      <w:r w:rsidRPr="00404C2D">
        <w:lastRenderedPageBreak/>
        <w:t>maintaining fairness and integrity in contractual relationships, preventing exploitation and misunderstandings.</w:t>
      </w:r>
    </w:p>
    <w:p w14:paraId="13C3A98A" w14:textId="77777777" w:rsidR="00CA5D7A" w:rsidRDefault="00CA5D7A" w:rsidP="00CA5D7A">
      <w:pPr>
        <w:jc w:val="both"/>
      </w:pPr>
      <w:r w:rsidRPr="00CA5D7A">
        <w:t>Based on our interactions, I believe a legally binding contract has been formed. In Taylor v Laird (1856), the court established that clear communication of offer and acceptance is essential for a binding contract. In that case, Taylor's failure to inform Laird of his new role meant no contract was formed. Unlike in Taylor v Laird</w:t>
      </w:r>
      <w:r>
        <w:t xml:space="preserve"> (1856)</w:t>
      </w:r>
      <w:r w:rsidRPr="00CA5D7A">
        <w:t>, our interactions have involved clear communication and mutual agreement, fulfilling the requirements for a binding contract. Therefore, I conclude that a binding contract exists between us.</w:t>
      </w:r>
    </w:p>
    <w:p w14:paraId="287DB02E" w14:textId="77777777" w:rsidR="00494ACA" w:rsidRDefault="00494ACA" w:rsidP="00FA2B30">
      <w:pPr>
        <w:jc w:val="both"/>
      </w:pPr>
    </w:p>
    <w:p w14:paraId="7C9DC0F2" w14:textId="0794177F" w:rsidR="009B745C" w:rsidRPr="009B745C" w:rsidRDefault="0082640C" w:rsidP="009B745C">
      <w:pPr>
        <w:jc w:val="both"/>
        <w:rPr>
          <w:b/>
          <w:bCs/>
        </w:rPr>
      </w:pPr>
      <w:r>
        <w:t>In conclusion, g</w:t>
      </w:r>
      <w:r w:rsidR="00FA2B30" w:rsidRPr="00FA2B30">
        <w:t>iven the presence of all contractual elements and relevant case law</w:t>
      </w:r>
      <w:r>
        <w:t xml:space="preserve"> detailed in this letter</w:t>
      </w:r>
      <w:r w:rsidR="00FA2B30" w:rsidRPr="00FA2B30">
        <w:t xml:space="preserve">, </w:t>
      </w:r>
      <w:proofErr w:type="gramStart"/>
      <w:r w:rsidR="00FA2B30" w:rsidRPr="00FA2B30">
        <w:t>it is clear that a</w:t>
      </w:r>
      <w:proofErr w:type="gramEnd"/>
      <w:r w:rsidR="00FA2B30" w:rsidRPr="00FA2B30">
        <w:t xml:space="preserve"> legally binding contract was formed between us. Your decision to rent the flat to someone else who offered a higher rent constitutes a breach of this contract. A breach of contract occurs when one party fails to fulfil their obligations under the agreement. In this case, your decision to rent the flat to another party despite our agreement represents a failure to hono</w:t>
      </w:r>
      <w:r w:rsidR="00FA2B30">
        <w:t>u</w:t>
      </w:r>
      <w:r w:rsidR="00FA2B30" w:rsidRPr="00FA2B30">
        <w:t>r the terms of our contract.</w:t>
      </w:r>
      <w:r w:rsidR="009B745C">
        <w:t xml:space="preserve"> As in the case of </w:t>
      </w:r>
      <w:r w:rsidR="009B745C" w:rsidRPr="00A45A22">
        <w:t xml:space="preserve">Ritchie v Atkinson (1808), </w:t>
      </w:r>
      <w:r w:rsidR="00A45A22" w:rsidRPr="00A45A22">
        <w:t>The court held that the contract could be divided into separate parts, as the parties had agreed on a price per ton. The claimant was entitled to payment for the amount carried, although the defendant was entitled to damages for non-performance of the remaining quantity</w:t>
      </w:r>
      <w:r w:rsidR="00A45A22">
        <w:t xml:space="preserve">. In our case, a sum of £500 was agreed to be the rental price to me of the flat. </w:t>
      </w:r>
    </w:p>
    <w:p w14:paraId="48FE27D2" w14:textId="4AFFED43" w:rsidR="00FA2B30" w:rsidRPr="00FA2B30" w:rsidRDefault="00FA2B30" w:rsidP="00FA2B30">
      <w:pPr>
        <w:jc w:val="both"/>
      </w:pPr>
    </w:p>
    <w:p w14:paraId="594A89F1" w14:textId="72E99CF8" w:rsidR="00FA2B30" w:rsidRPr="00FA2B30" w:rsidRDefault="00FA2B30" w:rsidP="00FA2B30">
      <w:pPr>
        <w:jc w:val="both"/>
      </w:pPr>
      <w:r w:rsidRPr="00FA2B30">
        <w:t xml:space="preserve">The legal implications of this breach could include potential claims for damages or specific performance. Damages refer to monetary compensation for any losses incurred due to the breach, while specific performance is a legal remedy that compels the breaching party to fulfil their contractual </w:t>
      </w:r>
      <w:r w:rsidR="00985A7A" w:rsidRPr="00FA2B30">
        <w:t>obligation</w:t>
      </w:r>
      <w:r w:rsidR="006167ED">
        <w:t xml:space="preserve"> as in the case of</w:t>
      </w:r>
      <w:r w:rsidR="00985A7A">
        <w:t xml:space="preserve"> </w:t>
      </w:r>
      <w:r w:rsidR="006C2D54" w:rsidRPr="00985A7A">
        <w:t xml:space="preserve">Beswick v Beswick </w:t>
      </w:r>
      <w:r w:rsidR="006167ED">
        <w:t>(</w:t>
      </w:r>
      <w:r w:rsidR="006C2D54" w:rsidRPr="00985A7A">
        <w:t>1968</w:t>
      </w:r>
      <w:r w:rsidR="006167ED">
        <w:t>)</w:t>
      </w:r>
      <w:r w:rsidR="00985A7A" w:rsidRPr="00985A7A">
        <w:t>.</w:t>
      </w:r>
      <w:r w:rsidRPr="00FA2B30">
        <w:t xml:space="preserve"> Given the circumstances, I kindly request that you hono</w:t>
      </w:r>
      <w:r>
        <w:t>u</w:t>
      </w:r>
      <w:r w:rsidRPr="00FA2B30">
        <w:t>r our agreement and proceed with the rental as initially agreed.</w:t>
      </w:r>
    </w:p>
    <w:p w14:paraId="5DA5925C" w14:textId="77777777" w:rsidR="000F31E2" w:rsidRPr="000F31E2" w:rsidRDefault="000F31E2" w:rsidP="000F31E2">
      <w:pPr>
        <w:jc w:val="both"/>
      </w:pPr>
      <w:r w:rsidRPr="000F31E2">
        <w:t>I look forward to your prompt response to resolve this matter amicably. It is in both our interests to settle this issue without resorting to legal action, and I am hopeful that we can reach a mutually satisfactory resolution.</w:t>
      </w:r>
    </w:p>
    <w:p w14:paraId="33ECCD55" w14:textId="77777777" w:rsidR="000F31E2" w:rsidRPr="000F31E2" w:rsidRDefault="000F31E2" w:rsidP="000F31E2">
      <w:pPr>
        <w:jc w:val="both"/>
      </w:pPr>
      <w:r w:rsidRPr="000F31E2">
        <w:t xml:space="preserve">Expanding on this, I am confident that through open communication and cooperation, we can address and resolve the concerns at hand in a manner that is fair and beneficial for both parties. By working together, we can avoid the complexities and costs associated with legal proceedings, and instead, focus on finding a solution that meets our mutual needs and expectations. I trust that you share my commitment to resolving this matter swiftly and amicably, and I am eager to engage in a constructive dialogue to achieve this </w:t>
      </w:r>
      <w:r w:rsidRPr="000F31E2">
        <w:lastRenderedPageBreak/>
        <w:t>goal. Thank you for your attention to this important issue, and I look forward to your timely response.</w:t>
      </w:r>
    </w:p>
    <w:p w14:paraId="46647B80" w14:textId="77777777" w:rsidR="002C3537" w:rsidRDefault="002C3537" w:rsidP="00FA2B30">
      <w:pPr>
        <w:jc w:val="both"/>
      </w:pPr>
    </w:p>
    <w:p w14:paraId="70A8CA60" w14:textId="5F074DB3" w:rsidR="002C3537" w:rsidRDefault="002C3537" w:rsidP="00FA2B30">
      <w:pPr>
        <w:jc w:val="both"/>
      </w:pPr>
      <w:r>
        <w:t>Yours sincerely</w:t>
      </w:r>
    </w:p>
    <w:p w14:paraId="51BF2FC8" w14:textId="539A3709" w:rsidR="002C3537" w:rsidRPr="00FA2B30" w:rsidRDefault="002C3537" w:rsidP="00FA2B30">
      <w:pPr>
        <w:jc w:val="both"/>
      </w:pPr>
      <w:r>
        <w:t xml:space="preserve">Jane </w:t>
      </w:r>
    </w:p>
    <w:p w14:paraId="282F112F" w14:textId="65F32844" w:rsidR="00257742" w:rsidRDefault="00257742">
      <w:r>
        <w:br w:type="page"/>
      </w:r>
    </w:p>
    <w:p w14:paraId="3C5CA008" w14:textId="77777777" w:rsidR="00FA2B30" w:rsidRDefault="00FA2B30" w:rsidP="00FA2B30">
      <w:pPr>
        <w:jc w:val="both"/>
      </w:pPr>
    </w:p>
    <w:p w14:paraId="63BBC403" w14:textId="0BB7EF59" w:rsidR="00FA2B30" w:rsidRDefault="00FA2B30" w:rsidP="00FA2B30">
      <w:pPr>
        <w:pStyle w:val="Heading1"/>
      </w:pPr>
      <w:bookmarkStart w:id="1" w:name="_Toc190863984"/>
      <w:r>
        <w:t>Table of cases</w:t>
      </w:r>
      <w:bookmarkEnd w:id="1"/>
      <w:r>
        <w:t xml:space="preserve"> </w:t>
      </w:r>
    </w:p>
    <w:p w14:paraId="61AD274B" w14:textId="77777777" w:rsidR="00434BC2" w:rsidRPr="003B2B83" w:rsidRDefault="00434BC2" w:rsidP="00434BC2">
      <w:pPr>
        <w:jc w:val="both"/>
      </w:pPr>
      <w:r w:rsidRPr="003B2B83">
        <w:t>Apple Corps Ltd v Apple Computers Inc [2004]</w:t>
      </w:r>
    </w:p>
    <w:p w14:paraId="6DFF0844" w14:textId="30278097" w:rsidR="00434BC2" w:rsidRPr="003B2B83" w:rsidRDefault="00985A7A" w:rsidP="00434BC2">
      <w:pPr>
        <w:jc w:val="both"/>
      </w:pPr>
      <w:r w:rsidRPr="003B2B83">
        <w:t>Beswick v Beswick [1968]</w:t>
      </w:r>
    </w:p>
    <w:p w14:paraId="469FBB82" w14:textId="140D9D21" w:rsidR="00C86716" w:rsidRPr="00C86716" w:rsidRDefault="00C86716" w:rsidP="00C86716">
      <w:pPr>
        <w:jc w:val="both"/>
      </w:pPr>
      <w:proofErr w:type="spellStart"/>
      <w:r w:rsidRPr="00C86716">
        <w:t>Brinkibon</w:t>
      </w:r>
      <w:proofErr w:type="spellEnd"/>
      <w:r w:rsidRPr="00C86716">
        <w:t xml:space="preserve"> Ltd v </w:t>
      </w:r>
      <w:proofErr w:type="spellStart"/>
      <w:r w:rsidRPr="00C86716">
        <w:t>Stahag</w:t>
      </w:r>
      <w:proofErr w:type="spellEnd"/>
      <w:r w:rsidRPr="00C86716">
        <w:t xml:space="preserve"> Stahl und </w:t>
      </w:r>
      <w:proofErr w:type="spellStart"/>
      <w:r w:rsidRPr="00C86716">
        <w:t>Stahlwarenhandelsgesellschaft</w:t>
      </w:r>
      <w:proofErr w:type="spellEnd"/>
      <w:r w:rsidRPr="00C86716">
        <w:t xml:space="preserve"> </w:t>
      </w:r>
      <w:proofErr w:type="spellStart"/>
      <w:r w:rsidRPr="00C86716">
        <w:t>mbH</w:t>
      </w:r>
      <w:proofErr w:type="spellEnd"/>
      <w:r w:rsidRPr="003B2B83">
        <w:t xml:space="preserve"> (</w:t>
      </w:r>
      <w:r w:rsidRPr="00C86716">
        <w:t>1983</w:t>
      </w:r>
      <w:r w:rsidRPr="003B2B83">
        <w:t>)</w:t>
      </w:r>
      <w:r w:rsidRPr="00C86716">
        <w:t xml:space="preserve"> 2 AC 34</w:t>
      </w:r>
    </w:p>
    <w:p w14:paraId="672F416B" w14:textId="3DA28FE1" w:rsidR="00402132" w:rsidRDefault="00402132" w:rsidP="00434BC2">
      <w:pPr>
        <w:jc w:val="both"/>
      </w:pPr>
      <w:r>
        <w:t>Baird Textile Holdings Ltd v Marks &amp; Spencer plc [2001]</w:t>
      </w:r>
    </w:p>
    <w:p w14:paraId="2A961945" w14:textId="68C39804" w:rsidR="009C0571" w:rsidRPr="00AE5CBC" w:rsidRDefault="009C0571" w:rsidP="00434BC2">
      <w:pPr>
        <w:jc w:val="both"/>
      </w:pPr>
      <w:r>
        <w:t xml:space="preserve">Brogden v Metropolitan Railway </w:t>
      </w:r>
      <w:r w:rsidR="00DD2853">
        <w:t>co [1877]</w:t>
      </w:r>
    </w:p>
    <w:p w14:paraId="284EFCC4" w14:textId="77777777" w:rsidR="003F7E4C" w:rsidRDefault="003F7E4C" w:rsidP="00FA2B30">
      <w:pPr>
        <w:jc w:val="both"/>
      </w:pPr>
      <w:r w:rsidRPr="00FA2B30">
        <w:t>Carlill v Carbolic Smoke Ball Co [1893]</w:t>
      </w:r>
    </w:p>
    <w:p w14:paraId="2304BF85" w14:textId="5CAFB71D" w:rsidR="00321B39" w:rsidRDefault="00321B39" w:rsidP="00FA2B30">
      <w:pPr>
        <w:jc w:val="both"/>
      </w:pPr>
      <w:r>
        <w:t>Clarke v Dunraven [1897]</w:t>
      </w:r>
    </w:p>
    <w:p w14:paraId="1DE6210A" w14:textId="58BE36D3" w:rsidR="00CF338D" w:rsidRDefault="00CF338D" w:rsidP="00FA2B30">
      <w:pPr>
        <w:jc w:val="both"/>
      </w:pPr>
      <w:r>
        <w:t>Combe v Combe [1951]</w:t>
      </w:r>
    </w:p>
    <w:p w14:paraId="353FEAB4" w14:textId="572CEF11" w:rsidR="004F7C72" w:rsidRPr="00AE5CBC" w:rsidRDefault="004F7C72" w:rsidP="00FA2B30">
      <w:pPr>
        <w:jc w:val="both"/>
      </w:pPr>
      <w:proofErr w:type="spellStart"/>
      <w:r>
        <w:t>Cowern</w:t>
      </w:r>
      <w:proofErr w:type="spellEnd"/>
      <w:r>
        <w:t xml:space="preserve"> v Nield [1912]</w:t>
      </w:r>
    </w:p>
    <w:p w14:paraId="1A6C861F" w14:textId="2E572863" w:rsidR="00057B64" w:rsidRDefault="00057B64" w:rsidP="00FA2B30">
      <w:pPr>
        <w:jc w:val="both"/>
      </w:pPr>
      <w:r w:rsidRPr="00AE5CBC">
        <w:t>Currie v Misa [1875)]</w:t>
      </w:r>
    </w:p>
    <w:p w14:paraId="5ECCB281" w14:textId="2A4FC242" w:rsidR="002E0CD8" w:rsidRDefault="002E0CD8" w:rsidP="00FA2B30">
      <w:pPr>
        <w:jc w:val="both"/>
      </w:pPr>
      <w:r>
        <w:t>Doyle v white City Stadium Ltd [1935]</w:t>
      </w:r>
    </w:p>
    <w:p w14:paraId="6349C6AB" w14:textId="5A5A2F61" w:rsidR="00461712" w:rsidRPr="00AE5CBC" w:rsidRDefault="00461712" w:rsidP="00FA2B30">
      <w:pPr>
        <w:jc w:val="both"/>
      </w:pPr>
      <w:r>
        <w:t xml:space="preserve">Electronic Commerce (EC Directive) Regulations </w:t>
      </w:r>
      <w:r w:rsidR="00840B42">
        <w:t>[2002]</w:t>
      </w:r>
    </w:p>
    <w:p w14:paraId="7943B767" w14:textId="59E4E797" w:rsidR="00434BC2" w:rsidRPr="00434BC2" w:rsidRDefault="00434BC2" w:rsidP="00434BC2">
      <w:pPr>
        <w:jc w:val="both"/>
      </w:pPr>
      <w:r w:rsidRPr="00434BC2">
        <w:t xml:space="preserve">Entores v Miles Far East Corporation [1955] </w:t>
      </w:r>
    </w:p>
    <w:p w14:paraId="35DFE035" w14:textId="77777777" w:rsidR="003F7E4C" w:rsidRDefault="003F7E4C" w:rsidP="007C049C">
      <w:pPr>
        <w:jc w:val="both"/>
      </w:pPr>
      <w:proofErr w:type="spellStart"/>
      <w:r w:rsidRPr="00AE5CBC">
        <w:t>Felthouse</w:t>
      </w:r>
      <w:proofErr w:type="spellEnd"/>
      <w:r w:rsidRPr="00AE5CBC">
        <w:t xml:space="preserve"> v Bindley [1862]</w:t>
      </w:r>
    </w:p>
    <w:p w14:paraId="68A91968" w14:textId="77777777" w:rsidR="003F7E4C" w:rsidRDefault="003F7E4C" w:rsidP="00FA2B30">
      <w:pPr>
        <w:jc w:val="both"/>
      </w:pPr>
      <w:r w:rsidRPr="00AE5CBC">
        <w:t>Gibson v Manchester City Council [1979]</w:t>
      </w:r>
    </w:p>
    <w:p w14:paraId="245152BF" w14:textId="662636DC" w:rsidR="00451C7A" w:rsidRDefault="00451C7A" w:rsidP="00FA2B30">
      <w:pPr>
        <w:jc w:val="both"/>
      </w:pPr>
      <w:r>
        <w:t xml:space="preserve">Golden Ocean Group Ltd v Salgaocar Mining Industries [2012] </w:t>
      </w:r>
    </w:p>
    <w:p w14:paraId="7E071734" w14:textId="77777777" w:rsidR="00A76DAA" w:rsidRPr="00A76DAA" w:rsidRDefault="00A76DAA" w:rsidP="00A76DAA">
      <w:pPr>
        <w:jc w:val="both"/>
      </w:pPr>
      <w:proofErr w:type="spellStart"/>
      <w:r w:rsidRPr="00A76DAA">
        <w:t>Greenclose</w:t>
      </w:r>
      <w:proofErr w:type="spellEnd"/>
      <w:r w:rsidRPr="00A76DAA">
        <w:t xml:space="preserve"> Ltd v National Westminster Bank plc [2014] </w:t>
      </w:r>
    </w:p>
    <w:p w14:paraId="3A40A7EA" w14:textId="77777777" w:rsidR="003F7E4C" w:rsidRDefault="003F7E4C" w:rsidP="00FA2B30">
      <w:pPr>
        <w:jc w:val="both"/>
      </w:pPr>
      <w:proofErr w:type="spellStart"/>
      <w:r w:rsidRPr="00AE5CBC">
        <w:t>Harvela</w:t>
      </w:r>
      <w:proofErr w:type="spellEnd"/>
      <w:r w:rsidRPr="00AE5CBC">
        <w:t xml:space="preserve"> Investments Ltd v Royal Trust Co of Canada [1986]</w:t>
      </w:r>
    </w:p>
    <w:p w14:paraId="7FEB7792" w14:textId="1229BEAA" w:rsidR="00604FED" w:rsidRPr="00AE5CBC" w:rsidRDefault="00604FED" w:rsidP="00FA2B30">
      <w:pPr>
        <w:jc w:val="both"/>
      </w:pPr>
      <w:proofErr w:type="spellStart"/>
      <w:r>
        <w:t>Howlwell</w:t>
      </w:r>
      <w:proofErr w:type="spellEnd"/>
      <w:r>
        <w:t xml:space="preserve"> Securities Ltd v Hughes [1974]</w:t>
      </w:r>
    </w:p>
    <w:p w14:paraId="5D767C85" w14:textId="77777777" w:rsidR="003F7E4C" w:rsidRDefault="003F7E4C" w:rsidP="00135FCD">
      <w:pPr>
        <w:jc w:val="both"/>
      </w:pPr>
      <w:r w:rsidRPr="00135FCD">
        <w:t>Hyde v Wrench [1840]</w:t>
      </w:r>
    </w:p>
    <w:p w14:paraId="6E4A8251" w14:textId="00EEE584" w:rsidR="000F576F" w:rsidRPr="00135FCD" w:rsidRDefault="000F576F" w:rsidP="00135FCD">
      <w:pPr>
        <w:jc w:val="both"/>
      </w:pPr>
      <w:r>
        <w:t xml:space="preserve">Leslie Ltd v </w:t>
      </w:r>
      <w:proofErr w:type="spellStart"/>
      <w:r>
        <w:t>Sheill</w:t>
      </w:r>
      <w:proofErr w:type="spellEnd"/>
      <w:r>
        <w:t xml:space="preserve"> [1914]</w:t>
      </w:r>
    </w:p>
    <w:p w14:paraId="2593E338" w14:textId="77777777" w:rsidR="003F7E4C" w:rsidRDefault="003F7E4C" w:rsidP="00FA2B30">
      <w:pPr>
        <w:jc w:val="both"/>
      </w:pPr>
      <w:r w:rsidRPr="00AE5CBC">
        <w:t xml:space="preserve">MacInnes v Gross [2017] </w:t>
      </w:r>
    </w:p>
    <w:p w14:paraId="0F5D17CF" w14:textId="147DA58F" w:rsidR="00743E0E" w:rsidRPr="00AE5CBC" w:rsidRDefault="005866E0" w:rsidP="00FA2B30">
      <w:pPr>
        <w:jc w:val="both"/>
      </w:pPr>
      <w:r>
        <w:t>Nah v Inman [1908]</w:t>
      </w:r>
    </w:p>
    <w:p w14:paraId="35809A36" w14:textId="77777777" w:rsidR="003F7E4C" w:rsidRDefault="003F7E4C" w:rsidP="00FA2B30">
      <w:pPr>
        <w:jc w:val="both"/>
      </w:pPr>
      <w:r w:rsidRPr="00FA2B30">
        <w:t xml:space="preserve">Payne v Cave </w:t>
      </w:r>
      <w:r w:rsidRPr="00AE5CBC">
        <w:t>[</w:t>
      </w:r>
      <w:r w:rsidRPr="00FA2B30">
        <w:t>1789</w:t>
      </w:r>
      <w:r w:rsidRPr="00AE5CBC">
        <w:t>]</w:t>
      </w:r>
    </w:p>
    <w:p w14:paraId="18FB344D" w14:textId="0D8D2C14" w:rsidR="00CE20CB" w:rsidRDefault="00CE20CB" w:rsidP="00FA2B30">
      <w:pPr>
        <w:jc w:val="both"/>
      </w:pPr>
      <w:r>
        <w:t>Pereira Fernandes v Metha [2006]</w:t>
      </w:r>
    </w:p>
    <w:p w14:paraId="0D2F1BA6" w14:textId="5774FAD4" w:rsidR="00E00E5D" w:rsidRPr="00AE5CBC" w:rsidRDefault="00E00E5D" w:rsidP="00FA2B30">
      <w:pPr>
        <w:jc w:val="both"/>
      </w:pPr>
      <w:r>
        <w:lastRenderedPageBreak/>
        <w:t>Pretty Pictures</w:t>
      </w:r>
      <w:r w:rsidR="00AC2ACF">
        <w:t xml:space="preserve"> v Quixote Films Ltd [2003]</w:t>
      </w:r>
    </w:p>
    <w:p w14:paraId="21A8CC4E" w14:textId="77777777" w:rsidR="003F7E4C" w:rsidRDefault="003F7E4C" w:rsidP="00554C04">
      <w:pPr>
        <w:jc w:val="both"/>
      </w:pPr>
      <w:r w:rsidRPr="00554C04">
        <w:t>Ramsgate Victoria hotel v Montefiore [1866]</w:t>
      </w:r>
    </w:p>
    <w:p w14:paraId="769E3C3D" w14:textId="6DF86EB5" w:rsidR="009B085D" w:rsidRPr="00554C04" w:rsidRDefault="009B085D" w:rsidP="00554C04">
      <w:pPr>
        <w:jc w:val="both"/>
      </w:pPr>
      <w:r w:rsidRPr="009B085D">
        <w:t>Ritchie v Atkinson (1808)</w:t>
      </w:r>
    </w:p>
    <w:p w14:paraId="63B29923" w14:textId="77777777" w:rsidR="003F7E4C" w:rsidRPr="00AE5CBC" w:rsidRDefault="003F7E4C" w:rsidP="007C049C">
      <w:pPr>
        <w:jc w:val="both"/>
      </w:pPr>
      <w:r w:rsidRPr="007C049C">
        <w:t xml:space="preserve">RTS Flexible Systems Ltd v </w:t>
      </w:r>
      <w:proofErr w:type="spellStart"/>
      <w:r w:rsidRPr="007C049C">
        <w:t>Molkerei</w:t>
      </w:r>
      <w:proofErr w:type="spellEnd"/>
      <w:r w:rsidRPr="007C049C">
        <w:t xml:space="preserve"> Alois Muller GmbH &amp; Co KG [2010]</w:t>
      </w:r>
    </w:p>
    <w:p w14:paraId="55A9B485" w14:textId="77777777" w:rsidR="003F7E4C" w:rsidRDefault="003F7E4C" w:rsidP="00FA2B30">
      <w:pPr>
        <w:jc w:val="both"/>
      </w:pPr>
      <w:r w:rsidRPr="00AE5CBC">
        <w:t>Taylor v Laird [1856]</w:t>
      </w:r>
    </w:p>
    <w:p w14:paraId="7579047A" w14:textId="491CFFFE" w:rsidR="00B71F03" w:rsidRPr="00AE5CBC" w:rsidRDefault="00B71F03" w:rsidP="00FA2B30">
      <w:pPr>
        <w:jc w:val="both"/>
      </w:pPr>
      <w:r>
        <w:t>Tinn v Hoffman [1873]</w:t>
      </w:r>
    </w:p>
    <w:p w14:paraId="6A7F463A" w14:textId="77777777" w:rsidR="003F7E4C" w:rsidRDefault="003F7E4C" w:rsidP="00FA2B30">
      <w:pPr>
        <w:jc w:val="both"/>
      </w:pPr>
      <w:r w:rsidRPr="00AE5CBC">
        <w:t>Tweddle v Atkinson [1861]</w:t>
      </w:r>
    </w:p>
    <w:p w14:paraId="24F1997C" w14:textId="77777777" w:rsidR="002D22D1" w:rsidRDefault="002D22D1">
      <w:pPr>
        <w:rPr>
          <w:rFonts w:asciiTheme="majorHAnsi" w:eastAsiaTheme="majorEastAsia" w:hAnsiTheme="majorHAnsi" w:cstheme="majorBidi"/>
          <w:color w:val="0F4761" w:themeColor="accent1" w:themeShade="BF"/>
          <w:sz w:val="40"/>
          <w:szCs w:val="40"/>
        </w:rPr>
      </w:pPr>
      <w:bookmarkStart w:id="2" w:name="_Toc190863985"/>
      <w:r>
        <w:br w:type="page"/>
      </w:r>
    </w:p>
    <w:p w14:paraId="0D5BD4A2" w14:textId="7474190A" w:rsidR="00745EE0" w:rsidRPr="00745EE0" w:rsidRDefault="00745EE0" w:rsidP="00745EE0">
      <w:pPr>
        <w:pStyle w:val="Heading1"/>
      </w:pPr>
      <w:r>
        <w:lastRenderedPageBreak/>
        <w:t>Table of legislation</w:t>
      </w:r>
      <w:bookmarkEnd w:id="2"/>
      <w:r>
        <w:t xml:space="preserve"> </w:t>
      </w:r>
    </w:p>
    <w:p w14:paraId="1BE13341" w14:textId="77777777" w:rsidR="00434BC2" w:rsidRDefault="00434BC2">
      <w:r>
        <w:t>Contracts (Rights of Third Parties) Act 1999</w:t>
      </w:r>
    </w:p>
    <w:p w14:paraId="29781769" w14:textId="77777777" w:rsidR="00434BC2" w:rsidRDefault="00434BC2">
      <w:r>
        <w:t>Fraud Act 2006</w:t>
      </w:r>
    </w:p>
    <w:p w14:paraId="7F26E5F7" w14:textId="77777777" w:rsidR="00434BC2" w:rsidRDefault="00434BC2">
      <w:r>
        <w:t>Landlord and Tenant Act 1954</w:t>
      </w:r>
    </w:p>
    <w:p w14:paraId="1251383C" w14:textId="77777777" w:rsidR="00434BC2" w:rsidRDefault="00434BC2">
      <w:r>
        <w:t>Law of Property Act 1925</w:t>
      </w:r>
    </w:p>
    <w:p w14:paraId="7A8C94B8" w14:textId="3FA36440" w:rsidR="008205CF" w:rsidRDefault="008205CF">
      <w:r>
        <w:t>Law of Property (Miscellaneous Provisions) Act 1989</w:t>
      </w:r>
    </w:p>
    <w:p w14:paraId="40AB4807" w14:textId="17B73953" w:rsidR="000653ED" w:rsidRDefault="000653ED">
      <w:r>
        <w:t>Sale of Goods Act 1979</w:t>
      </w:r>
    </w:p>
    <w:p w14:paraId="50E700E1" w14:textId="77777777" w:rsidR="00434BC2" w:rsidRPr="00745EE0" w:rsidRDefault="00434BC2" w:rsidP="00745EE0">
      <w:r>
        <w:t>Mental Capacity Act 2005</w:t>
      </w:r>
    </w:p>
    <w:p w14:paraId="4919A296" w14:textId="77777777" w:rsidR="00434BC2" w:rsidRDefault="00434BC2">
      <w:r>
        <w:t>Misrepresentation Act 1967</w:t>
      </w:r>
    </w:p>
    <w:p w14:paraId="0F3D7640" w14:textId="1B79FCE8" w:rsidR="00745EE0" w:rsidRDefault="00745EE0">
      <w:pPr>
        <w:rPr>
          <w:rFonts w:asciiTheme="majorHAnsi" w:eastAsiaTheme="majorEastAsia" w:hAnsiTheme="majorHAnsi" w:cstheme="majorBidi"/>
          <w:color w:val="0F4761" w:themeColor="accent1" w:themeShade="BF"/>
          <w:sz w:val="40"/>
          <w:szCs w:val="40"/>
        </w:rPr>
      </w:pPr>
      <w:r>
        <w:br w:type="page"/>
      </w:r>
    </w:p>
    <w:p w14:paraId="60988E74" w14:textId="69C39524" w:rsidR="00FA2B30" w:rsidRDefault="00FA2B30" w:rsidP="00FA2B30">
      <w:pPr>
        <w:pStyle w:val="Heading1"/>
      </w:pPr>
      <w:bookmarkStart w:id="3" w:name="_Toc190863986"/>
      <w:r>
        <w:lastRenderedPageBreak/>
        <w:t>References</w:t>
      </w:r>
      <w:bookmarkEnd w:id="3"/>
      <w:r>
        <w:t xml:space="preserve"> </w:t>
      </w:r>
    </w:p>
    <w:p w14:paraId="16E644E6" w14:textId="77777777" w:rsidR="00476F5B" w:rsidRDefault="00476F5B" w:rsidP="00A20E47">
      <w:pPr>
        <w:spacing w:line="480" w:lineRule="auto"/>
      </w:pPr>
    </w:p>
    <w:p w14:paraId="1E6ACAED" w14:textId="55180E37" w:rsidR="00A20E47" w:rsidRDefault="00A20E47" w:rsidP="00A20E47">
      <w:pPr>
        <w:spacing w:line="480" w:lineRule="auto"/>
      </w:pPr>
      <w:r w:rsidRPr="00123E29">
        <w:t>Brennan, G. ed., 2014. </w:t>
      </w:r>
      <w:r w:rsidRPr="00123E29">
        <w:rPr>
          <w:i/>
          <w:iCs/>
        </w:rPr>
        <w:t>Landlord and tenant law</w:t>
      </w:r>
      <w:r w:rsidRPr="00123E29">
        <w:t>. Oxford University Press, USA.</w:t>
      </w:r>
    </w:p>
    <w:p w14:paraId="51F0DECD" w14:textId="77777777" w:rsidR="00781E71" w:rsidRDefault="00781E71" w:rsidP="00A20E47">
      <w:pPr>
        <w:spacing w:line="480" w:lineRule="auto"/>
      </w:pPr>
    </w:p>
    <w:p w14:paraId="60D8D4B7" w14:textId="7608FD78" w:rsidR="00230E32" w:rsidRDefault="00781E71" w:rsidP="00A20E47">
      <w:pPr>
        <w:spacing w:line="480" w:lineRule="auto"/>
      </w:pPr>
      <w:r w:rsidRPr="00781E71">
        <w:t>Burrows, A. and Peel, E. eds., 2010. </w:t>
      </w:r>
      <w:r w:rsidRPr="00781E71">
        <w:rPr>
          <w:i/>
          <w:iCs/>
        </w:rPr>
        <w:t>Contract Formation and Parties</w:t>
      </w:r>
      <w:r w:rsidRPr="00781E71">
        <w:t>. Oxford University Press.</w:t>
      </w:r>
    </w:p>
    <w:p w14:paraId="74BD0781" w14:textId="77777777" w:rsidR="00781E71" w:rsidRDefault="00781E71" w:rsidP="00A20E47">
      <w:pPr>
        <w:spacing w:line="480" w:lineRule="auto"/>
      </w:pPr>
    </w:p>
    <w:p w14:paraId="01F7A0B2" w14:textId="64BDCFC6" w:rsidR="00A20E47" w:rsidRDefault="00A20E47" w:rsidP="00A20E47">
      <w:pPr>
        <w:spacing w:line="480" w:lineRule="auto"/>
      </w:pPr>
      <w:r w:rsidRPr="00384FCD">
        <w:t>Chen-Wishart, M., 2012. </w:t>
      </w:r>
      <w:r w:rsidRPr="00384FCD">
        <w:rPr>
          <w:i/>
          <w:iCs/>
        </w:rPr>
        <w:t>Contract law</w:t>
      </w:r>
      <w:r w:rsidRPr="00384FCD">
        <w:t>. Oxford University Press, USA.</w:t>
      </w:r>
    </w:p>
    <w:p w14:paraId="40FA59C4" w14:textId="77777777" w:rsidR="00230E32" w:rsidRDefault="00230E32" w:rsidP="00A20E47">
      <w:pPr>
        <w:spacing w:line="480" w:lineRule="auto"/>
      </w:pPr>
    </w:p>
    <w:p w14:paraId="13DC81CB" w14:textId="79655EFF" w:rsidR="00A20E47" w:rsidRDefault="00A20E47" w:rsidP="00A20E47">
      <w:pPr>
        <w:spacing w:line="480" w:lineRule="auto"/>
      </w:pPr>
      <w:r w:rsidRPr="00A20E47">
        <w:t>Eisenberg, M.A., 2018. </w:t>
      </w:r>
      <w:r w:rsidRPr="00A20E47">
        <w:rPr>
          <w:i/>
          <w:iCs/>
        </w:rPr>
        <w:t>Foundational principles of contract law</w:t>
      </w:r>
      <w:r w:rsidRPr="00A20E47">
        <w:t>. Oxford University Press.</w:t>
      </w:r>
    </w:p>
    <w:p w14:paraId="7F19F6E7" w14:textId="77777777" w:rsidR="00230E32" w:rsidRDefault="00230E32" w:rsidP="00A20E47">
      <w:pPr>
        <w:spacing w:line="480" w:lineRule="auto"/>
      </w:pPr>
    </w:p>
    <w:p w14:paraId="06C3EBEA" w14:textId="5F529B3A" w:rsidR="00645128" w:rsidRDefault="00645128" w:rsidP="00A20E47">
      <w:pPr>
        <w:spacing w:line="480" w:lineRule="auto"/>
      </w:pPr>
      <w:r w:rsidRPr="00645128">
        <w:t xml:space="preserve">Eisenberg, M.A., 1994. </w:t>
      </w:r>
      <w:r w:rsidRPr="00E43817">
        <w:rPr>
          <w:i/>
          <w:iCs/>
        </w:rPr>
        <w:t>Expression rules in contract law and problems of offer and acceptance</w:t>
      </w:r>
      <w:r w:rsidRPr="00645128">
        <w:t>. </w:t>
      </w:r>
      <w:r w:rsidR="00E43817" w:rsidRPr="00E43817">
        <w:t>Oxford University Press.</w:t>
      </w:r>
    </w:p>
    <w:p w14:paraId="75D54922" w14:textId="77777777" w:rsidR="00E43817" w:rsidRPr="00E4534F" w:rsidRDefault="00E43817" w:rsidP="00A20E47">
      <w:pPr>
        <w:spacing w:line="480" w:lineRule="auto"/>
      </w:pPr>
    </w:p>
    <w:p w14:paraId="0D6BF3E9" w14:textId="77777777" w:rsidR="00A20E47" w:rsidRDefault="00A20E47" w:rsidP="00A20E47">
      <w:pPr>
        <w:spacing w:line="480" w:lineRule="auto"/>
      </w:pPr>
      <w:r w:rsidRPr="00B70D7E">
        <w:t>Elliott, C. and Quinn, F., 2007. </w:t>
      </w:r>
      <w:r w:rsidRPr="00B70D7E">
        <w:rPr>
          <w:i/>
          <w:iCs/>
        </w:rPr>
        <w:t>Contract law</w:t>
      </w:r>
      <w:r w:rsidRPr="00B70D7E">
        <w:t>. Pearson Education.</w:t>
      </w:r>
    </w:p>
    <w:p w14:paraId="0D4ABD95" w14:textId="77777777" w:rsidR="00230E32" w:rsidRDefault="00230E32" w:rsidP="00A20E47">
      <w:pPr>
        <w:spacing w:line="480" w:lineRule="auto"/>
      </w:pPr>
    </w:p>
    <w:p w14:paraId="02F4CF1F" w14:textId="270F6968" w:rsidR="00EF3C7E" w:rsidRDefault="00EF3C7E" w:rsidP="00A20E47">
      <w:pPr>
        <w:spacing w:line="480" w:lineRule="auto"/>
      </w:pPr>
      <w:proofErr w:type="spellStart"/>
      <w:r w:rsidRPr="00EF3C7E">
        <w:t>Gangwar</w:t>
      </w:r>
      <w:proofErr w:type="spellEnd"/>
      <w:r w:rsidRPr="00EF3C7E">
        <w:t>, S., 2022. Minors’ contracts in the digital age. </w:t>
      </w:r>
      <w:r w:rsidRPr="00EF3C7E">
        <w:rPr>
          <w:i/>
          <w:iCs/>
        </w:rPr>
        <w:t>Liverpool Law Review</w:t>
      </w:r>
      <w:r w:rsidRPr="00EF3C7E">
        <w:t>, </w:t>
      </w:r>
      <w:r w:rsidRPr="00EF3C7E">
        <w:rPr>
          <w:i/>
          <w:iCs/>
        </w:rPr>
        <w:t>43</w:t>
      </w:r>
      <w:r w:rsidRPr="00EF3C7E">
        <w:t>(2), pp.237-261.</w:t>
      </w:r>
    </w:p>
    <w:p w14:paraId="6BF2406C" w14:textId="2221FF45" w:rsidR="000603A8" w:rsidRDefault="000603A8" w:rsidP="00A20E47">
      <w:pPr>
        <w:spacing w:line="480" w:lineRule="auto"/>
      </w:pPr>
      <w:r w:rsidRPr="000603A8">
        <w:t>Katz, A., 1990. The strategic structure of offer and acceptance: game theory and the law of contract formation. </w:t>
      </w:r>
      <w:r w:rsidRPr="000603A8">
        <w:rPr>
          <w:i/>
          <w:iCs/>
        </w:rPr>
        <w:t>Mich. L. Rev.</w:t>
      </w:r>
      <w:r w:rsidRPr="000603A8">
        <w:t>, </w:t>
      </w:r>
      <w:r w:rsidRPr="000603A8">
        <w:rPr>
          <w:i/>
          <w:iCs/>
        </w:rPr>
        <w:t>89</w:t>
      </w:r>
      <w:r w:rsidRPr="000603A8">
        <w:t>, p.215.</w:t>
      </w:r>
    </w:p>
    <w:p w14:paraId="546A49BA" w14:textId="77777777" w:rsidR="00230E32" w:rsidRDefault="00230E32" w:rsidP="00230E32">
      <w:pPr>
        <w:spacing w:line="480" w:lineRule="auto"/>
      </w:pPr>
    </w:p>
    <w:p w14:paraId="47E6A0AB" w14:textId="4438DC5A" w:rsidR="00230E32" w:rsidRDefault="00230E32" w:rsidP="00230E32">
      <w:pPr>
        <w:spacing w:line="480" w:lineRule="auto"/>
      </w:pPr>
      <w:r w:rsidRPr="002A59D6">
        <w:t>Peel, E. and Treitel, G.H., 2007. </w:t>
      </w:r>
      <w:r w:rsidRPr="002A59D6">
        <w:rPr>
          <w:i/>
          <w:iCs/>
        </w:rPr>
        <w:t>The law of contract</w:t>
      </w:r>
      <w:r w:rsidRPr="002A59D6">
        <w:t> (Vol. 567). London: Sweet &amp; Maxwell.</w:t>
      </w:r>
    </w:p>
    <w:p w14:paraId="6FED393D" w14:textId="77777777" w:rsidR="002C3537" w:rsidRDefault="002C3537" w:rsidP="00A20E47">
      <w:pPr>
        <w:spacing w:line="480" w:lineRule="auto"/>
      </w:pPr>
    </w:p>
    <w:p w14:paraId="0178EDBE" w14:textId="77777777" w:rsidR="00A20E47" w:rsidRDefault="00A20E47" w:rsidP="00A20E47">
      <w:pPr>
        <w:spacing w:line="480" w:lineRule="auto"/>
      </w:pPr>
      <w:r w:rsidRPr="0080203A">
        <w:t>Poole, J., 2016. </w:t>
      </w:r>
      <w:r w:rsidRPr="0080203A">
        <w:rPr>
          <w:i/>
          <w:iCs/>
        </w:rPr>
        <w:t>Textbook on contract law</w:t>
      </w:r>
      <w:r w:rsidRPr="0080203A">
        <w:t>. Oxford University Press.</w:t>
      </w:r>
    </w:p>
    <w:p w14:paraId="645E4B37" w14:textId="77777777" w:rsidR="003C5728" w:rsidRDefault="003C5728" w:rsidP="00A20E47">
      <w:pPr>
        <w:spacing w:line="480" w:lineRule="auto"/>
      </w:pPr>
    </w:p>
    <w:p w14:paraId="0246BA27" w14:textId="263A39E7" w:rsidR="003C5728" w:rsidRDefault="003C5728" w:rsidP="00A20E47">
      <w:pPr>
        <w:spacing w:line="480" w:lineRule="auto"/>
      </w:pPr>
      <w:r w:rsidRPr="003C5728">
        <w:t>Rose, F., 2021. </w:t>
      </w:r>
      <w:r w:rsidRPr="003C5728">
        <w:rPr>
          <w:i/>
          <w:iCs/>
        </w:rPr>
        <w:t>Blackstone's Statutes on Contract, Tort and Restitution 2021-2022</w:t>
      </w:r>
      <w:r w:rsidRPr="003C5728">
        <w:t>. Oxford University Press.</w:t>
      </w:r>
    </w:p>
    <w:p w14:paraId="5AA08349" w14:textId="77777777" w:rsidR="003C5728" w:rsidRDefault="003C5728" w:rsidP="00A20E47">
      <w:pPr>
        <w:spacing w:line="480" w:lineRule="auto"/>
      </w:pPr>
    </w:p>
    <w:p w14:paraId="17453910" w14:textId="77777777" w:rsidR="00A20E47" w:rsidRDefault="00A20E47" w:rsidP="00A20E47">
      <w:pPr>
        <w:spacing w:line="480" w:lineRule="auto"/>
      </w:pPr>
      <w:r w:rsidRPr="002C2A9C">
        <w:t xml:space="preserve">QC, R.M., Merkin, R.M. and </w:t>
      </w:r>
      <w:proofErr w:type="spellStart"/>
      <w:r w:rsidRPr="002C2A9C">
        <w:t>Saintier</w:t>
      </w:r>
      <w:proofErr w:type="spellEnd"/>
      <w:r w:rsidRPr="002C2A9C">
        <w:t>, S., 2021. </w:t>
      </w:r>
      <w:r w:rsidRPr="002C2A9C">
        <w:rPr>
          <w:i/>
          <w:iCs/>
        </w:rPr>
        <w:t>Poole's Textbook on Contract Law</w:t>
      </w:r>
      <w:r w:rsidRPr="002C2A9C">
        <w:t>. Oxford University Press.</w:t>
      </w:r>
    </w:p>
    <w:p w14:paraId="35CA82F8" w14:textId="77777777" w:rsidR="00230E32" w:rsidRDefault="00230E32" w:rsidP="00A20E47">
      <w:pPr>
        <w:spacing w:line="480" w:lineRule="auto"/>
      </w:pPr>
    </w:p>
    <w:p w14:paraId="55AAE6A4" w14:textId="7FC4A3BD" w:rsidR="00A20E47" w:rsidRDefault="00A20E47" w:rsidP="00A20E47">
      <w:pPr>
        <w:spacing w:line="480" w:lineRule="auto"/>
      </w:pPr>
      <w:r w:rsidRPr="008704FF">
        <w:t>Sparkes, P., 2001. </w:t>
      </w:r>
      <w:r w:rsidRPr="008704FF">
        <w:rPr>
          <w:i/>
          <w:iCs/>
        </w:rPr>
        <w:t>A new landlord and tenant</w:t>
      </w:r>
      <w:r w:rsidRPr="008704FF">
        <w:t>. Bloomsbury Publishing.</w:t>
      </w:r>
    </w:p>
    <w:p w14:paraId="253AC653" w14:textId="77777777" w:rsidR="00230E32" w:rsidRDefault="00230E32" w:rsidP="00A20E47">
      <w:pPr>
        <w:spacing w:line="480" w:lineRule="auto"/>
      </w:pPr>
    </w:p>
    <w:p w14:paraId="185F0007" w14:textId="350F40EE" w:rsidR="00A20E47" w:rsidRDefault="00A20E47" w:rsidP="00A20E47">
      <w:pPr>
        <w:spacing w:line="480" w:lineRule="auto"/>
      </w:pPr>
      <w:r w:rsidRPr="00B774C0">
        <w:t>Stone, R. and Devenney, J., 2019. </w:t>
      </w:r>
      <w:r w:rsidRPr="00B774C0">
        <w:rPr>
          <w:i/>
          <w:iCs/>
        </w:rPr>
        <w:t>The modern law of contract</w:t>
      </w:r>
      <w:r w:rsidRPr="00B774C0">
        <w:t>. Routledge.</w:t>
      </w:r>
    </w:p>
    <w:p w14:paraId="0BC5B162" w14:textId="77777777" w:rsidR="00230E32" w:rsidRDefault="00230E32" w:rsidP="00A20E47">
      <w:pPr>
        <w:spacing w:line="480" w:lineRule="auto"/>
      </w:pPr>
    </w:p>
    <w:p w14:paraId="0F90D1A1" w14:textId="5AD72C27" w:rsidR="00A20E47" w:rsidRDefault="00A20E47" w:rsidP="00A20E47">
      <w:pPr>
        <w:spacing w:line="480" w:lineRule="auto"/>
      </w:pPr>
      <w:r w:rsidRPr="008704FF">
        <w:t>Walsh, E., 2018. </w:t>
      </w:r>
      <w:r w:rsidRPr="008704FF">
        <w:rPr>
          <w:i/>
          <w:iCs/>
        </w:rPr>
        <w:t>A guide to landlord and tenant law</w:t>
      </w:r>
      <w:r w:rsidRPr="008704FF">
        <w:t>. Routledge.</w:t>
      </w:r>
      <w:r>
        <w:t>4</w:t>
      </w:r>
    </w:p>
    <w:sectPr w:rsidR="00A20E4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E7243"/>
    <w:multiLevelType w:val="multilevel"/>
    <w:tmpl w:val="80E44F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8330337"/>
    <w:multiLevelType w:val="multilevel"/>
    <w:tmpl w:val="2A2C33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48E3DD5"/>
    <w:multiLevelType w:val="multilevel"/>
    <w:tmpl w:val="B64AE8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6D80710"/>
    <w:multiLevelType w:val="multilevel"/>
    <w:tmpl w:val="6194DD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1684C0A"/>
    <w:multiLevelType w:val="hybridMultilevel"/>
    <w:tmpl w:val="A9CC6348"/>
    <w:lvl w:ilvl="0" w:tplc="2CC867C2">
      <w:start w:val="1"/>
      <w:numFmt w:val="bullet"/>
      <w:lvlText w:val=""/>
      <w:lvlJc w:val="left"/>
      <w:pPr>
        <w:tabs>
          <w:tab w:val="num" w:pos="720"/>
        </w:tabs>
        <w:ind w:left="720" w:hanging="360"/>
      </w:pPr>
      <w:rPr>
        <w:rFonts w:ascii="Wingdings 3" w:hAnsi="Wingdings 3" w:hint="default"/>
      </w:rPr>
    </w:lvl>
    <w:lvl w:ilvl="1" w:tplc="05CA94C0" w:tentative="1">
      <w:start w:val="1"/>
      <w:numFmt w:val="bullet"/>
      <w:lvlText w:val=""/>
      <w:lvlJc w:val="left"/>
      <w:pPr>
        <w:tabs>
          <w:tab w:val="num" w:pos="1440"/>
        </w:tabs>
        <w:ind w:left="1440" w:hanging="360"/>
      </w:pPr>
      <w:rPr>
        <w:rFonts w:ascii="Wingdings 3" w:hAnsi="Wingdings 3" w:hint="default"/>
      </w:rPr>
    </w:lvl>
    <w:lvl w:ilvl="2" w:tplc="F6942F30" w:tentative="1">
      <w:start w:val="1"/>
      <w:numFmt w:val="bullet"/>
      <w:lvlText w:val=""/>
      <w:lvlJc w:val="left"/>
      <w:pPr>
        <w:tabs>
          <w:tab w:val="num" w:pos="2160"/>
        </w:tabs>
        <w:ind w:left="2160" w:hanging="360"/>
      </w:pPr>
      <w:rPr>
        <w:rFonts w:ascii="Wingdings 3" w:hAnsi="Wingdings 3" w:hint="default"/>
      </w:rPr>
    </w:lvl>
    <w:lvl w:ilvl="3" w:tplc="B5B45490" w:tentative="1">
      <w:start w:val="1"/>
      <w:numFmt w:val="bullet"/>
      <w:lvlText w:val=""/>
      <w:lvlJc w:val="left"/>
      <w:pPr>
        <w:tabs>
          <w:tab w:val="num" w:pos="2880"/>
        </w:tabs>
        <w:ind w:left="2880" w:hanging="360"/>
      </w:pPr>
      <w:rPr>
        <w:rFonts w:ascii="Wingdings 3" w:hAnsi="Wingdings 3" w:hint="default"/>
      </w:rPr>
    </w:lvl>
    <w:lvl w:ilvl="4" w:tplc="6D0863D2" w:tentative="1">
      <w:start w:val="1"/>
      <w:numFmt w:val="bullet"/>
      <w:lvlText w:val=""/>
      <w:lvlJc w:val="left"/>
      <w:pPr>
        <w:tabs>
          <w:tab w:val="num" w:pos="3600"/>
        </w:tabs>
        <w:ind w:left="3600" w:hanging="360"/>
      </w:pPr>
      <w:rPr>
        <w:rFonts w:ascii="Wingdings 3" w:hAnsi="Wingdings 3" w:hint="default"/>
      </w:rPr>
    </w:lvl>
    <w:lvl w:ilvl="5" w:tplc="F1169AFE" w:tentative="1">
      <w:start w:val="1"/>
      <w:numFmt w:val="bullet"/>
      <w:lvlText w:val=""/>
      <w:lvlJc w:val="left"/>
      <w:pPr>
        <w:tabs>
          <w:tab w:val="num" w:pos="4320"/>
        </w:tabs>
        <w:ind w:left="4320" w:hanging="360"/>
      </w:pPr>
      <w:rPr>
        <w:rFonts w:ascii="Wingdings 3" w:hAnsi="Wingdings 3" w:hint="default"/>
      </w:rPr>
    </w:lvl>
    <w:lvl w:ilvl="6" w:tplc="758615CA" w:tentative="1">
      <w:start w:val="1"/>
      <w:numFmt w:val="bullet"/>
      <w:lvlText w:val=""/>
      <w:lvlJc w:val="left"/>
      <w:pPr>
        <w:tabs>
          <w:tab w:val="num" w:pos="5040"/>
        </w:tabs>
        <w:ind w:left="5040" w:hanging="360"/>
      </w:pPr>
      <w:rPr>
        <w:rFonts w:ascii="Wingdings 3" w:hAnsi="Wingdings 3" w:hint="default"/>
      </w:rPr>
    </w:lvl>
    <w:lvl w:ilvl="7" w:tplc="492EE338" w:tentative="1">
      <w:start w:val="1"/>
      <w:numFmt w:val="bullet"/>
      <w:lvlText w:val=""/>
      <w:lvlJc w:val="left"/>
      <w:pPr>
        <w:tabs>
          <w:tab w:val="num" w:pos="5760"/>
        </w:tabs>
        <w:ind w:left="5760" w:hanging="360"/>
      </w:pPr>
      <w:rPr>
        <w:rFonts w:ascii="Wingdings 3" w:hAnsi="Wingdings 3" w:hint="default"/>
      </w:rPr>
    </w:lvl>
    <w:lvl w:ilvl="8" w:tplc="7EF0242C" w:tentative="1">
      <w:start w:val="1"/>
      <w:numFmt w:val="bullet"/>
      <w:lvlText w:val=""/>
      <w:lvlJc w:val="left"/>
      <w:pPr>
        <w:tabs>
          <w:tab w:val="num" w:pos="6480"/>
        </w:tabs>
        <w:ind w:left="6480" w:hanging="360"/>
      </w:pPr>
      <w:rPr>
        <w:rFonts w:ascii="Wingdings 3" w:hAnsi="Wingdings 3" w:hint="default"/>
      </w:rPr>
    </w:lvl>
  </w:abstractNum>
  <w:abstractNum w:abstractNumId="5" w15:restartNumberingAfterBreak="0">
    <w:nsid w:val="646B2ACD"/>
    <w:multiLevelType w:val="multilevel"/>
    <w:tmpl w:val="49129B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43903870">
    <w:abstractNumId w:val="0"/>
  </w:num>
  <w:num w:numId="2" w16cid:durableId="1650280474">
    <w:abstractNumId w:val="3"/>
  </w:num>
  <w:num w:numId="3" w16cid:durableId="1414661916">
    <w:abstractNumId w:val="2"/>
  </w:num>
  <w:num w:numId="4" w16cid:durableId="1688023102">
    <w:abstractNumId w:val="5"/>
  </w:num>
  <w:num w:numId="5" w16cid:durableId="2018194126">
    <w:abstractNumId w:val="4"/>
  </w:num>
  <w:num w:numId="6" w16cid:durableId="10950550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2B30"/>
    <w:rsid w:val="000357A3"/>
    <w:rsid w:val="00057B64"/>
    <w:rsid w:val="000603A8"/>
    <w:rsid w:val="000653ED"/>
    <w:rsid w:val="0007020F"/>
    <w:rsid w:val="0007145A"/>
    <w:rsid w:val="000D03BA"/>
    <w:rsid w:val="000E4A08"/>
    <w:rsid w:val="000F31E2"/>
    <w:rsid w:val="000F576F"/>
    <w:rsid w:val="001045E9"/>
    <w:rsid w:val="00113ED1"/>
    <w:rsid w:val="00123E29"/>
    <w:rsid w:val="0013339C"/>
    <w:rsid w:val="00135FCD"/>
    <w:rsid w:val="00152E46"/>
    <w:rsid w:val="00182D4D"/>
    <w:rsid w:val="00201FEC"/>
    <w:rsid w:val="00230E32"/>
    <w:rsid w:val="00233675"/>
    <w:rsid w:val="00244D7F"/>
    <w:rsid w:val="00257742"/>
    <w:rsid w:val="002607BC"/>
    <w:rsid w:val="002A5247"/>
    <w:rsid w:val="002A59D6"/>
    <w:rsid w:val="002C2A9C"/>
    <w:rsid w:val="002C3537"/>
    <w:rsid w:val="002C4312"/>
    <w:rsid w:val="002D22D1"/>
    <w:rsid w:val="002E0CD8"/>
    <w:rsid w:val="00321B39"/>
    <w:rsid w:val="003233F1"/>
    <w:rsid w:val="00340FE6"/>
    <w:rsid w:val="0036448B"/>
    <w:rsid w:val="00384FCD"/>
    <w:rsid w:val="003B2B83"/>
    <w:rsid w:val="003C5728"/>
    <w:rsid w:val="003F7E4C"/>
    <w:rsid w:val="004011FF"/>
    <w:rsid w:val="00402132"/>
    <w:rsid w:val="00404C2D"/>
    <w:rsid w:val="00434BC2"/>
    <w:rsid w:val="00451C7A"/>
    <w:rsid w:val="00461712"/>
    <w:rsid w:val="00472ED2"/>
    <w:rsid w:val="00476F5B"/>
    <w:rsid w:val="004870AA"/>
    <w:rsid w:val="00494ACA"/>
    <w:rsid w:val="004A4AE5"/>
    <w:rsid w:val="004A52DE"/>
    <w:rsid w:val="004C5B1C"/>
    <w:rsid w:val="004F1CE7"/>
    <w:rsid w:val="004F7C72"/>
    <w:rsid w:val="00510E50"/>
    <w:rsid w:val="005424B9"/>
    <w:rsid w:val="00554C04"/>
    <w:rsid w:val="0057277C"/>
    <w:rsid w:val="005866E0"/>
    <w:rsid w:val="0059151E"/>
    <w:rsid w:val="0060290C"/>
    <w:rsid w:val="00604FED"/>
    <w:rsid w:val="006167ED"/>
    <w:rsid w:val="00645128"/>
    <w:rsid w:val="006A1BF9"/>
    <w:rsid w:val="006B7E9F"/>
    <w:rsid w:val="006C2D54"/>
    <w:rsid w:val="006E7002"/>
    <w:rsid w:val="00703B45"/>
    <w:rsid w:val="007378F9"/>
    <w:rsid w:val="00743E0E"/>
    <w:rsid w:val="00745EE0"/>
    <w:rsid w:val="00781E71"/>
    <w:rsid w:val="007A4867"/>
    <w:rsid w:val="007B2D47"/>
    <w:rsid w:val="007C049C"/>
    <w:rsid w:val="007D79BD"/>
    <w:rsid w:val="007E0E36"/>
    <w:rsid w:val="007E62EF"/>
    <w:rsid w:val="007F11C0"/>
    <w:rsid w:val="007F68EA"/>
    <w:rsid w:val="0080203A"/>
    <w:rsid w:val="00813999"/>
    <w:rsid w:val="008205CF"/>
    <w:rsid w:val="00821AC1"/>
    <w:rsid w:val="0082339B"/>
    <w:rsid w:val="0082640C"/>
    <w:rsid w:val="00840B42"/>
    <w:rsid w:val="008704FF"/>
    <w:rsid w:val="008F3973"/>
    <w:rsid w:val="00934839"/>
    <w:rsid w:val="00985A7A"/>
    <w:rsid w:val="009B085D"/>
    <w:rsid w:val="009B745C"/>
    <w:rsid w:val="009C0571"/>
    <w:rsid w:val="009C6E2D"/>
    <w:rsid w:val="009E35A3"/>
    <w:rsid w:val="00A011D2"/>
    <w:rsid w:val="00A20E47"/>
    <w:rsid w:val="00A24B33"/>
    <w:rsid w:val="00A30892"/>
    <w:rsid w:val="00A31838"/>
    <w:rsid w:val="00A45A22"/>
    <w:rsid w:val="00A47B3C"/>
    <w:rsid w:val="00A51C67"/>
    <w:rsid w:val="00A76DAA"/>
    <w:rsid w:val="00AA3767"/>
    <w:rsid w:val="00AC2ACF"/>
    <w:rsid w:val="00AE5CBC"/>
    <w:rsid w:val="00B0790C"/>
    <w:rsid w:val="00B47358"/>
    <w:rsid w:val="00B70D7E"/>
    <w:rsid w:val="00B70E4C"/>
    <w:rsid w:val="00B71F03"/>
    <w:rsid w:val="00B774C0"/>
    <w:rsid w:val="00BC21BD"/>
    <w:rsid w:val="00BE5DDE"/>
    <w:rsid w:val="00BF5A5D"/>
    <w:rsid w:val="00C83AC7"/>
    <w:rsid w:val="00C84E7A"/>
    <w:rsid w:val="00C85956"/>
    <w:rsid w:val="00C86716"/>
    <w:rsid w:val="00CA5D7A"/>
    <w:rsid w:val="00CD2265"/>
    <w:rsid w:val="00CE20CB"/>
    <w:rsid w:val="00CF338D"/>
    <w:rsid w:val="00D33FA2"/>
    <w:rsid w:val="00D72812"/>
    <w:rsid w:val="00D75F4A"/>
    <w:rsid w:val="00D82C40"/>
    <w:rsid w:val="00DB55B7"/>
    <w:rsid w:val="00DB6E0C"/>
    <w:rsid w:val="00DC248A"/>
    <w:rsid w:val="00DD2853"/>
    <w:rsid w:val="00DD36FD"/>
    <w:rsid w:val="00DE4808"/>
    <w:rsid w:val="00E00E5D"/>
    <w:rsid w:val="00E10F9C"/>
    <w:rsid w:val="00E43817"/>
    <w:rsid w:val="00E4534F"/>
    <w:rsid w:val="00E84CE0"/>
    <w:rsid w:val="00EC6185"/>
    <w:rsid w:val="00ED2C09"/>
    <w:rsid w:val="00EF3C7E"/>
    <w:rsid w:val="00F11F52"/>
    <w:rsid w:val="00F321F9"/>
    <w:rsid w:val="00F35F0C"/>
    <w:rsid w:val="00F407AD"/>
    <w:rsid w:val="00FA2B30"/>
    <w:rsid w:val="00FA3637"/>
    <w:rsid w:val="00FB7554"/>
    <w:rsid w:val="00FF5C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5BCCC1"/>
  <w15:chartTrackingRefBased/>
  <w15:docId w15:val="{1DB61E17-9B08-4261-9FCD-B8CFD7A766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2B3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A2B3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A2B3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A2B3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2B3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2B3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2B3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2B3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2B3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2B3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A2B3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A2B3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A2B3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2B3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2B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2B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2B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2B30"/>
    <w:rPr>
      <w:rFonts w:eastAsiaTheme="majorEastAsia" w:cstheme="majorBidi"/>
      <w:color w:val="272727" w:themeColor="text1" w:themeTint="D8"/>
    </w:rPr>
  </w:style>
  <w:style w:type="paragraph" w:styleId="Title">
    <w:name w:val="Title"/>
    <w:basedOn w:val="Normal"/>
    <w:next w:val="Normal"/>
    <w:link w:val="TitleChar"/>
    <w:uiPriority w:val="10"/>
    <w:qFormat/>
    <w:rsid w:val="00FA2B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2B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2B3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2B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2B30"/>
    <w:pPr>
      <w:spacing w:before="160"/>
      <w:jc w:val="center"/>
    </w:pPr>
    <w:rPr>
      <w:i/>
      <w:iCs/>
      <w:color w:val="404040" w:themeColor="text1" w:themeTint="BF"/>
    </w:rPr>
  </w:style>
  <w:style w:type="character" w:customStyle="1" w:styleId="QuoteChar">
    <w:name w:val="Quote Char"/>
    <w:basedOn w:val="DefaultParagraphFont"/>
    <w:link w:val="Quote"/>
    <w:uiPriority w:val="29"/>
    <w:rsid w:val="00FA2B30"/>
    <w:rPr>
      <w:i/>
      <w:iCs/>
      <w:color w:val="404040" w:themeColor="text1" w:themeTint="BF"/>
    </w:rPr>
  </w:style>
  <w:style w:type="paragraph" w:styleId="ListParagraph">
    <w:name w:val="List Paragraph"/>
    <w:basedOn w:val="Normal"/>
    <w:uiPriority w:val="34"/>
    <w:qFormat/>
    <w:rsid w:val="00FA2B30"/>
    <w:pPr>
      <w:ind w:left="720"/>
      <w:contextualSpacing/>
    </w:pPr>
  </w:style>
  <w:style w:type="character" w:styleId="IntenseEmphasis">
    <w:name w:val="Intense Emphasis"/>
    <w:basedOn w:val="DefaultParagraphFont"/>
    <w:uiPriority w:val="21"/>
    <w:qFormat/>
    <w:rsid w:val="00FA2B30"/>
    <w:rPr>
      <w:i/>
      <w:iCs/>
      <w:color w:val="0F4761" w:themeColor="accent1" w:themeShade="BF"/>
    </w:rPr>
  </w:style>
  <w:style w:type="paragraph" w:styleId="IntenseQuote">
    <w:name w:val="Intense Quote"/>
    <w:basedOn w:val="Normal"/>
    <w:next w:val="Normal"/>
    <w:link w:val="IntenseQuoteChar"/>
    <w:uiPriority w:val="30"/>
    <w:qFormat/>
    <w:rsid w:val="00FA2B3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2B30"/>
    <w:rPr>
      <w:i/>
      <w:iCs/>
      <w:color w:val="0F4761" w:themeColor="accent1" w:themeShade="BF"/>
    </w:rPr>
  </w:style>
  <w:style w:type="character" w:styleId="IntenseReference">
    <w:name w:val="Intense Reference"/>
    <w:basedOn w:val="DefaultParagraphFont"/>
    <w:uiPriority w:val="32"/>
    <w:qFormat/>
    <w:rsid w:val="00FA2B30"/>
    <w:rPr>
      <w:b/>
      <w:bCs/>
      <w:smallCaps/>
      <w:color w:val="0F4761" w:themeColor="accent1" w:themeShade="BF"/>
      <w:spacing w:val="5"/>
    </w:rPr>
  </w:style>
  <w:style w:type="paragraph" w:styleId="TOCHeading">
    <w:name w:val="TOC Heading"/>
    <w:basedOn w:val="Heading1"/>
    <w:next w:val="Normal"/>
    <w:uiPriority w:val="39"/>
    <w:unhideWhenUsed/>
    <w:qFormat/>
    <w:rsid w:val="00FA2B30"/>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FA2B30"/>
    <w:pPr>
      <w:spacing w:after="100"/>
    </w:pPr>
  </w:style>
  <w:style w:type="character" w:styleId="Hyperlink">
    <w:name w:val="Hyperlink"/>
    <w:basedOn w:val="DefaultParagraphFont"/>
    <w:uiPriority w:val="99"/>
    <w:unhideWhenUsed/>
    <w:rsid w:val="00FA2B30"/>
    <w:rPr>
      <w:color w:val="467886" w:themeColor="hyperlink"/>
      <w:u w:val="single"/>
    </w:rPr>
  </w:style>
  <w:style w:type="character" w:styleId="UnresolvedMention">
    <w:name w:val="Unresolved Mention"/>
    <w:basedOn w:val="DefaultParagraphFont"/>
    <w:uiPriority w:val="99"/>
    <w:semiHidden/>
    <w:unhideWhenUsed/>
    <w:rsid w:val="00C867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45087">
      <w:bodyDiv w:val="1"/>
      <w:marLeft w:val="0"/>
      <w:marRight w:val="0"/>
      <w:marTop w:val="0"/>
      <w:marBottom w:val="0"/>
      <w:divBdr>
        <w:top w:val="none" w:sz="0" w:space="0" w:color="auto"/>
        <w:left w:val="none" w:sz="0" w:space="0" w:color="auto"/>
        <w:bottom w:val="none" w:sz="0" w:space="0" w:color="auto"/>
        <w:right w:val="none" w:sz="0" w:space="0" w:color="auto"/>
      </w:divBdr>
    </w:div>
    <w:div w:id="54745304">
      <w:bodyDiv w:val="1"/>
      <w:marLeft w:val="0"/>
      <w:marRight w:val="0"/>
      <w:marTop w:val="0"/>
      <w:marBottom w:val="0"/>
      <w:divBdr>
        <w:top w:val="none" w:sz="0" w:space="0" w:color="auto"/>
        <w:left w:val="none" w:sz="0" w:space="0" w:color="auto"/>
        <w:bottom w:val="none" w:sz="0" w:space="0" w:color="auto"/>
        <w:right w:val="none" w:sz="0" w:space="0" w:color="auto"/>
      </w:divBdr>
      <w:divsChild>
        <w:div w:id="1845970767">
          <w:marLeft w:val="547"/>
          <w:marRight w:val="0"/>
          <w:marTop w:val="200"/>
          <w:marBottom w:val="0"/>
          <w:divBdr>
            <w:top w:val="none" w:sz="0" w:space="0" w:color="auto"/>
            <w:left w:val="none" w:sz="0" w:space="0" w:color="auto"/>
            <w:bottom w:val="none" w:sz="0" w:space="0" w:color="auto"/>
            <w:right w:val="none" w:sz="0" w:space="0" w:color="auto"/>
          </w:divBdr>
        </w:div>
        <w:div w:id="427701465">
          <w:marLeft w:val="547"/>
          <w:marRight w:val="0"/>
          <w:marTop w:val="200"/>
          <w:marBottom w:val="0"/>
          <w:divBdr>
            <w:top w:val="none" w:sz="0" w:space="0" w:color="auto"/>
            <w:left w:val="none" w:sz="0" w:space="0" w:color="auto"/>
            <w:bottom w:val="none" w:sz="0" w:space="0" w:color="auto"/>
            <w:right w:val="none" w:sz="0" w:space="0" w:color="auto"/>
          </w:divBdr>
        </w:div>
      </w:divsChild>
    </w:div>
    <w:div w:id="65954706">
      <w:bodyDiv w:val="1"/>
      <w:marLeft w:val="0"/>
      <w:marRight w:val="0"/>
      <w:marTop w:val="0"/>
      <w:marBottom w:val="0"/>
      <w:divBdr>
        <w:top w:val="none" w:sz="0" w:space="0" w:color="auto"/>
        <w:left w:val="none" w:sz="0" w:space="0" w:color="auto"/>
        <w:bottom w:val="none" w:sz="0" w:space="0" w:color="auto"/>
        <w:right w:val="none" w:sz="0" w:space="0" w:color="auto"/>
      </w:divBdr>
    </w:div>
    <w:div w:id="85855529">
      <w:bodyDiv w:val="1"/>
      <w:marLeft w:val="0"/>
      <w:marRight w:val="0"/>
      <w:marTop w:val="0"/>
      <w:marBottom w:val="0"/>
      <w:divBdr>
        <w:top w:val="none" w:sz="0" w:space="0" w:color="auto"/>
        <w:left w:val="none" w:sz="0" w:space="0" w:color="auto"/>
        <w:bottom w:val="none" w:sz="0" w:space="0" w:color="auto"/>
        <w:right w:val="none" w:sz="0" w:space="0" w:color="auto"/>
      </w:divBdr>
      <w:divsChild>
        <w:div w:id="431165815">
          <w:marLeft w:val="0"/>
          <w:marRight w:val="0"/>
          <w:marTop w:val="60"/>
          <w:marBottom w:val="0"/>
          <w:divBdr>
            <w:top w:val="none" w:sz="0" w:space="0" w:color="auto"/>
            <w:left w:val="none" w:sz="0" w:space="0" w:color="auto"/>
            <w:bottom w:val="none" w:sz="0" w:space="0" w:color="auto"/>
            <w:right w:val="none" w:sz="0" w:space="0" w:color="auto"/>
          </w:divBdr>
          <w:divsChild>
            <w:div w:id="1512992029">
              <w:marLeft w:val="0"/>
              <w:marRight w:val="0"/>
              <w:marTop w:val="0"/>
              <w:marBottom w:val="0"/>
              <w:divBdr>
                <w:top w:val="none" w:sz="0" w:space="0" w:color="auto"/>
                <w:left w:val="none" w:sz="0" w:space="0" w:color="auto"/>
                <w:bottom w:val="none" w:sz="0" w:space="0" w:color="auto"/>
                <w:right w:val="none" w:sz="0" w:space="0" w:color="auto"/>
              </w:divBdr>
              <w:divsChild>
                <w:div w:id="270481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360211">
          <w:marLeft w:val="0"/>
          <w:marRight w:val="0"/>
          <w:marTop w:val="60"/>
          <w:marBottom w:val="0"/>
          <w:divBdr>
            <w:top w:val="none" w:sz="0" w:space="0" w:color="auto"/>
            <w:left w:val="none" w:sz="0" w:space="0" w:color="auto"/>
            <w:bottom w:val="none" w:sz="0" w:space="0" w:color="auto"/>
            <w:right w:val="none" w:sz="0" w:space="0" w:color="auto"/>
          </w:divBdr>
          <w:divsChild>
            <w:div w:id="1855264842">
              <w:marLeft w:val="0"/>
              <w:marRight w:val="0"/>
              <w:marTop w:val="0"/>
              <w:marBottom w:val="0"/>
              <w:divBdr>
                <w:top w:val="none" w:sz="0" w:space="0" w:color="auto"/>
                <w:left w:val="none" w:sz="0" w:space="0" w:color="auto"/>
                <w:bottom w:val="none" w:sz="0" w:space="0" w:color="auto"/>
                <w:right w:val="none" w:sz="0" w:space="0" w:color="auto"/>
              </w:divBdr>
              <w:divsChild>
                <w:div w:id="523205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796720">
      <w:bodyDiv w:val="1"/>
      <w:marLeft w:val="0"/>
      <w:marRight w:val="0"/>
      <w:marTop w:val="0"/>
      <w:marBottom w:val="0"/>
      <w:divBdr>
        <w:top w:val="none" w:sz="0" w:space="0" w:color="auto"/>
        <w:left w:val="none" w:sz="0" w:space="0" w:color="auto"/>
        <w:bottom w:val="none" w:sz="0" w:space="0" w:color="auto"/>
        <w:right w:val="none" w:sz="0" w:space="0" w:color="auto"/>
      </w:divBdr>
    </w:div>
    <w:div w:id="193350842">
      <w:bodyDiv w:val="1"/>
      <w:marLeft w:val="0"/>
      <w:marRight w:val="0"/>
      <w:marTop w:val="0"/>
      <w:marBottom w:val="0"/>
      <w:divBdr>
        <w:top w:val="none" w:sz="0" w:space="0" w:color="auto"/>
        <w:left w:val="none" w:sz="0" w:space="0" w:color="auto"/>
        <w:bottom w:val="none" w:sz="0" w:space="0" w:color="auto"/>
        <w:right w:val="none" w:sz="0" w:space="0" w:color="auto"/>
      </w:divBdr>
    </w:div>
    <w:div w:id="316616359">
      <w:bodyDiv w:val="1"/>
      <w:marLeft w:val="0"/>
      <w:marRight w:val="0"/>
      <w:marTop w:val="0"/>
      <w:marBottom w:val="0"/>
      <w:divBdr>
        <w:top w:val="none" w:sz="0" w:space="0" w:color="auto"/>
        <w:left w:val="none" w:sz="0" w:space="0" w:color="auto"/>
        <w:bottom w:val="none" w:sz="0" w:space="0" w:color="auto"/>
        <w:right w:val="none" w:sz="0" w:space="0" w:color="auto"/>
      </w:divBdr>
    </w:div>
    <w:div w:id="338847348">
      <w:bodyDiv w:val="1"/>
      <w:marLeft w:val="0"/>
      <w:marRight w:val="0"/>
      <w:marTop w:val="0"/>
      <w:marBottom w:val="0"/>
      <w:divBdr>
        <w:top w:val="none" w:sz="0" w:space="0" w:color="auto"/>
        <w:left w:val="none" w:sz="0" w:space="0" w:color="auto"/>
        <w:bottom w:val="none" w:sz="0" w:space="0" w:color="auto"/>
        <w:right w:val="none" w:sz="0" w:space="0" w:color="auto"/>
      </w:divBdr>
      <w:divsChild>
        <w:div w:id="1910143115">
          <w:marLeft w:val="0"/>
          <w:marRight w:val="0"/>
          <w:marTop w:val="0"/>
          <w:marBottom w:val="0"/>
          <w:divBdr>
            <w:top w:val="none" w:sz="0" w:space="0" w:color="auto"/>
            <w:left w:val="none" w:sz="0" w:space="0" w:color="auto"/>
            <w:bottom w:val="none" w:sz="0" w:space="0" w:color="auto"/>
            <w:right w:val="none" w:sz="0" w:space="0" w:color="auto"/>
          </w:divBdr>
        </w:div>
      </w:divsChild>
    </w:div>
    <w:div w:id="377246550">
      <w:bodyDiv w:val="1"/>
      <w:marLeft w:val="0"/>
      <w:marRight w:val="0"/>
      <w:marTop w:val="0"/>
      <w:marBottom w:val="0"/>
      <w:divBdr>
        <w:top w:val="none" w:sz="0" w:space="0" w:color="auto"/>
        <w:left w:val="none" w:sz="0" w:space="0" w:color="auto"/>
        <w:bottom w:val="none" w:sz="0" w:space="0" w:color="auto"/>
        <w:right w:val="none" w:sz="0" w:space="0" w:color="auto"/>
      </w:divBdr>
    </w:div>
    <w:div w:id="571427854">
      <w:bodyDiv w:val="1"/>
      <w:marLeft w:val="0"/>
      <w:marRight w:val="0"/>
      <w:marTop w:val="0"/>
      <w:marBottom w:val="0"/>
      <w:divBdr>
        <w:top w:val="none" w:sz="0" w:space="0" w:color="auto"/>
        <w:left w:val="none" w:sz="0" w:space="0" w:color="auto"/>
        <w:bottom w:val="none" w:sz="0" w:space="0" w:color="auto"/>
        <w:right w:val="none" w:sz="0" w:space="0" w:color="auto"/>
      </w:divBdr>
    </w:div>
    <w:div w:id="598415194">
      <w:bodyDiv w:val="1"/>
      <w:marLeft w:val="0"/>
      <w:marRight w:val="0"/>
      <w:marTop w:val="0"/>
      <w:marBottom w:val="0"/>
      <w:divBdr>
        <w:top w:val="none" w:sz="0" w:space="0" w:color="auto"/>
        <w:left w:val="none" w:sz="0" w:space="0" w:color="auto"/>
        <w:bottom w:val="none" w:sz="0" w:space="0" w:color="auto"/>
        <w:right w:val="none" w:sz="0" w:space="0" w:color="auto"/>
      </w:divBdr>
    </w:div>
    <w:div w:id="622421733">
      <w:bodyDiv w:val="1"/>
      <w:marLeft w:val="0"/>
      <w:marRight w:val="0"/>
      <w:marTop w:val="0"/>
      <w:marBottom w:val="0"/>
      <w:divBdr>
        <w:top w:val="none" w:sz="0" w:space="0" w:color="auto"/>
        <w:left w:val="none" w:sz="0" w:space="0" w:color="auto"/>
        <w:bottom w:val="none" w:sz="0" w:space="0" w:color="auto"/>
        <w:right w:val="none" w:sz="0" w:space="0" w:color="auto"/>
      </w:divBdr>
    </w:div>
    <w:div w:id="645399412">
      <w:bodyDiv w:val="1"/>
      <w:marLeft w:val="0"/>
      <w:marRight w:val="0"/>
      <w:marTop w:val="0"/>
      <w:marBottom w:val="0"/>
      <w:divBdr>
        <w:top w:val="none" w:sz="0" w:space="0" w:color="auto"/>
        <w:left w:val="none" w:sz="0" w:space="0" w:color="auto"/>
        <w:bottom w:val="none" w:sz="0" w:space="0" w:color="auto"/>
        <w:right w:val="none" w:sz="0" w:space="0" w:color="auto"/>
      </w:divBdr>
      <w:divsChild>
        <w:div w:id="1188759642">
          <w:marLeft w:val="0"/>
          <w:marRight w:val="0"/>
          <w:marTop w:val="0"/>
          <w:marBottom w:val="0"/>
          <w:divBdr>
            <w:top w:val="none" w:sz="0" w:space="0" w:color="auto"/>
            <w:left w:val="none" w:sz="0" w:space="0" w:color="auto"/>
            <w:bottom w:val="none" w:sz="0" w:space="0" w:color="auto"/>
            <w:right w:val="none" w:sz="0" w:space="0" w:color="auto"/>
          </w:divBdr>
        </w:div>
        <w:div w:id="1559315015">
          <w:marLeft w:val="0"/>
          <w:marRight w:val="0"/>
          <w:marTop w:val="0"/>
          <w:marBottom w:val="0"/>
          <w:divBdr>
            <w:top w:val="none" w:sz="0" w:space="0" w:color="auto"/>
            <w:left w:val="none" w:sz="0" w:space="0" w:color="auto"/>
            <w:bottom w:val="none" w:sz="0" w:space="0" w:color="auto"/>
            <w:right w:val="none" w:sz="0" w:space="0" w:color="auto"/>
          </w:divBdr>
        </w:div>
      </w:divsChild>
    </w:div>
    <w:div w:id="803082019">
      <w:bodyDiv w:val="1"/>
      <w:marLeft w:val="0"/>
      <w:marRight w:val="0"/>
      <w:marTop w:val="0"/>
      <w:marBottom w:val="0"/>
      <w:divBdr>
        <w:top w:val="none" w:sz="0" w:space="0" w:color="auto"/>
        <w:left w:val="none" w:sz="0" w:space="0" w:color="auto"/>
        <w:bottom w:val="none" w:sz="0" w:space="0" w:color="auto"/>
        <w:right w:val="none" w:sz="0" w:space="0" w:color="auto"/>
      </w:divBdr>
    </w:div>
    <w:div w:id="807477556">
      <w:bodyDiv w:val="1"/>
      <w:marLeft w:val="0"/>
      <w:marRight w:val="0"/>
      <w:marTop w:val="0"/>
      <w:marBottom w:val="0"/>
      <w:divBdr>
        <w:top w:val="none" w:sz="0" w:space="0" w:color="auto"/>
        <w:left w:val="none" w:sz="0" w:space="0" w:color="auto"/>
        <w:bottom w:val="none" w:sz="0" w:space="0" w:color="auto"/>
        <w:right w:val="none" w:sz="0" w:space="0" w:color="auto"/>
      </w:divBdr>
      <w:divsChild>
        <w:div w:id="133984564">
          <w:marLeft w:val="0"/>
          <w:marRight w:val="0"/>
          <w:marTop w:val="60"/>
          <w:marBottom w:val="0"/>
          <w:divBdr>
            <w:top w:val="none" w:sz="0" w:space="0" w:color="auto"/>
            <w:left w:val="none" w:sz="0" w:space="0" w:color="auto"/>
            <w:bottom w:val="none" w:sz="0" w:space="0" w:color="auto"/>
            <w:right w:val="none" w:sz="0" w:space="0" w:color="auto"/>
          </w:divBdr>
          <w:divsChild>
            <w:div w:id="341933835">
              <w:marLeft w:val="0"/>
              <w:marRight w:val="0"/>
              <w:marTop w:val="0"/>
              <w:marBottom w:val="0"/>
              <w:divBdr>
                <w:top w:val="none" w:sz="0" w:space="0" w:color="auto"/>
                <w:left w:val="none" w:sz="0" w:space="0" w:color="auto"/>
                <w:bottom w:val="none" w:sz="0" w:space="0" w:color="auto"/>
                <w:right w:val="none" w:sz="0" w:space="0" w:color="auto"/>
              </w:divBdr>
              <w:divsChild>
                <w:div w:id="548687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9373923">
          <w:marLeft w:val="0"/>
          <w:marRight w:val="0"/>
          <w:marTop w:val="60"/>
          <w:marBottom w:val="0"/>
          <w:divBdr>
            <w:top w:val="none" w:sz="0" w:space="0" w:color="auto"/>
            <w:left w:val="none" w:sz="0" w:space="0" w:color="auto"/>
            <w:bottom w:val="none" w:sz="0" w:space="0" w:color="auto"/>
            <w:right w:val="none" w:sz="0" w:space="0" w:color="auto"/>
          </w:divBdr>
          <w:divsChild>
            <w:div w:id="509872593">
              <w:marLeft w:val="0"/>
              <w:marRight w:val="0"/>
              <w:marTop w:val="0"/>
              <w:marBottom w:val="0"/>
              <w:divBdr>
                <w:top w:val="none" w:sz="0" w:space="0" w:color="auto"/>
                <w:left w:val="none" w:sz="0" w:space="0" w:color="auto"/>
                <w:bottom w:val="none" w:sz="0" w:space="0" w:color="auto"/>
                <w:right w:val="none" w:sz="0" w:space="0" w:color="auto"/>
              </w:divBdr>
              <w:divsChild>
                <w:div w:id="15230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8874293">
      <w:bodyDiv w:val="1"/>
      <w:marLeft w:val="0"/>
      <w:marRight w:val="0"/>
      <w:marTop w:val="0"/>
      <w:marBottom w:val="0"/>
      <w:divBdr>
        <w:top w:val="none" w:sz="0" w:space="0" w:color="auto"/>
        <w:left w:val="none" w:sz="0" w:space="0" w:color="auto"/>
        <w:bottom w:val="none" w:sz="0" w:space="0" w:color="auto"/>
        <w:right w:val="none" w:sz="0" w:space="0" w:color="auto"/>
      </w:divBdr>
    </w:div>
    <w:div w:id="1008947230">
      <w:bodyDiv w:val="1"/>
      <w:marLeft w:val="0"/>
      <w:marRight w:val="0"/>
      <w:marTop w:val="0"/>
      <w:marBottom w:val="0"/>
      <w:divBdr>
        <w:top w:val="none" w:sz="0" w:space="0" w:color="auto"/>
        <w:left w:val="none" w:sz="0" w:space="0" w:color="auto"/>
        <w:bottom w:val="none" w:sz="0" w:space="0" w:color="auto"/>
        <w:right w:val="none" w:sz="0" w:space="0" w:color="auto"/>
      </w:divBdr>
    </w:div>
    <w:div w:id="1075666325">
      <w:bodyDiv w:val="1"/>
      <w:marLeft w:val="0"/>
      <w:marRight w:val="0"/>
      <w:marTop w:val="0"/>
      <w:marBottom w:val="0"/>
      <w:divBdr>
        <w:top w:val="none" w:sz="0" w:space="0" w:color="auto"/>
        <w:left w:val="none" w:sz="0" w:space="0" w:color="auto"/>
        <w:bottom w:val="none" w:sz="0" w:space="0" w:color="auto"/>
        <w:right w:val="none" w:sz="0" w:space="0" w:color="auto"/>
      </w:divBdr>
    </w:div>
    <w:div w:id="1190996066">
      <w:bodyDiv w:val="1"/>
      <w:marLeft w:val="0"/>
      <w:marRight w:val="0"/>
      <w:marTop w:val="0"/>
      <w:marBottom w:val="0"/>
      <w:divBdr>
        <w:top w:val="none" w:sz="0" w:space="0" w:color="auto"/>
        <w:left w:val="none" w:sz="0" w:space="0" w:color="auto"/>
        <w:bottom w:val="none" w:sz="0" w:space="0" w:color="auto"/>
        <w:right w:val="none" w:sz="0" w:space="0" w:color="auto"/>
      </w:divBdr>
    </w:div>
    <w:div w:id="1272325756">
      <w:bodyDiv w:val="1"/>
      <w:marLeft w:val="0"/>
      <w:marRight w:val="0"/>
      <w:marTop w:val="0"/>
      <w:marBottom w:val="0"/>
      <w:divBdr>
        <w:top w:val="none" w:sz="0" w:space="0" w:color="auto"/>
        <w:left w:val="none" w:sz="0" w:space="0" w:color="auto"/>
        <w:bottom w:val="none" w:sz="0" w:space="0" w:color="auto"/>
        <w:right w:val="none" w:sz="0" w:space="0" w:color="auto"/>
      </w:divBdr>
      <w:divsChild>
        <w:div w:id="265696838">
          <w:marLeft w:val="0"/>
          <w:marRight w:val="0"/>
          <w:marTop w:val="0"/>
          <w:marBottom w:val="0"/>
          <w:divBdr>
            <w:top w:val="none" w:sz="0" w:space="0" w:color="auto"/>
            <w:left w:val="none" w:sz="0" w:space="0" w:color="auto"/>
            <w:bottom w:val="none" w:sz="0" w:space="0" w:color="auto"/>
            <w:right w:val="none" w:sz="0" w:space="0" w:color="auto"/>
          </w:divBdr>
        </w:div>
        <w:div w:id="889614406">
          <w:marLeft w:val="0"/>
          <w:marRight w:val="0"/>
          <w:marTop w:val="0"/>
          <w:marBottom w:val="0"/>
          <w:divBdr>
            <w:top w:val="none" w:sz="0" w:space="0" w:color="auto"/>
            <w:left w:val="none" w:sz="0" w:space="0" w:color="auto"/>
            <w:bottom w:val="none" w:sz="0" w:space="0" w:color="auto"/>
            <w:right w:val="none" w:sz="0" w:space="0" w:color="auto"/>
          </w:divBdr>
        </w:div>
      </w:divsChild>
    </w:div>
    <w:div w:id="1290207894">
      <w:bodyDiv w:val="1"/>
      <w:marLeft w:val="0"/>
      <w:marRight w:val="0"/>
      <w:marTop w:val="0"/>
      <w:marBottom w:val="0"/>
      <w:divBdr>
        <w:top w:val="none" w:sz="0" w:space="0" w:color="auto"/>
        <w:left w:val="none" w:sz="0" w:space="0" w:color="auto"/>
        <w:bottom w:val="none" w:sz="0" w:space="0" w:color="auto"/>
        <w:right w:val="none" w:sz="0" w:space="0" w:color="auto"/>
      </w:divBdr>
    </w:div>
    <w:div w:id="1328094978">
      <w:bodyDiv w:val="1"/>
      <w:marLeft w:val="0"/>
      <w:marRight w:val="0"/>
      <w:marTop w:val="0"/>
      <w:marBottom w:val="0"/>
      <w:divBdr>
        <w:top w:val="none" w:sz="0" w:space="0" w:color="auto"/>
        <w:left w:val="none" w:sz="0" w:space="0" w:color="auto"/>
        <w:bottom w:val="none" w:sz="0" w:space="0" w:color="auto"/>
        <w:right w:val="none" w:sz="0" w:space="0" w:color="auto"/>
      </w:divBdr>
    </w:div>
    <w:div w:id="1365331089">
      <w:bodyDiv w:val="1"/>
      <w:marLeft w:val="0"/>
      <w:marRight w:val="0"/>
      <w:marTop w:val="0"/>
      <w:marBottom w:val="0"/>
      <w:divBdr>
        <w:top w:val="none" w:sz="0" w:space="0" w:color="auto"/>
        <w:left w:val="none" w:sz="0" w:space="0" w:color="auto"/>
        <w:bottom w:val="none" w:sz="0" w:space="0" w:color="auto"/>
        <w:right w:val="none" w:sz="0" w:space="0" w:color="auto"/>
      </w:divBdr>
    </w:div>
    <w:div w:id="1389645101">
      <w:bodyDiv w:val="1"/>
      <w:marLeft w:val="0"/>
      <w:marRight w:val="0"/>
      <w:marTop w:val="0"/>
      <w:marBottom w:val="0"/>
      <w:divBdr>
        <w:top w:val="none" w:sz="0" w:space="0" w:color="auto"/>
        <w:left w:val="none" w:sz="0" w:space="0" w:color="auto"/>
        <w:bottom w:val="none" w:sz="0" w:space="0" w:color="auto"/>
        <w:right w:val="none" w:sz="0" w:space="0" w:color="auto"/>
      </w:divBdr>
      <w:divsChild>
        <w:div w:id="800422906">
          <w:marLeft w:val="0"/>
          <w:marRight w:val="0"/>
          <w:marTop w:val="0"/>
          <w:marBottom w:val="0"/>
          <w:divBdr>
            <w:top w:val="none" w:sz="0" w:space="0" w:color="auto"/>
            <w:left w:val="none" w:sz="0" w:space="0" w:color="auto"/>
            <w:bottom w:val="none" w:sz="0" w:space="0" w:color="auto"/>
            <w:right w:val="none" w:sz="0" w:space="0" w:color="auto"/>
          </w:divBdr>
        </w:div>
      </w:divsChild>
    </w:div>
    <w:div w:id="1496535325">
      <w:bodyDiv w:val="1"/>
      <w:marLeft w:val="0"/>
      <w:marRight w:val="0"/>
      <w:marTop w:val="0"/>
      <w:marBottom w:val="0"/>
      <w:divBdr>
        <w:top w:val="none" w:sz="0" w:space="0" w:color="auto"/>
        <w:left w:val="none" w:sz="0" w:space="0" w:color="auto"/>
        <w:bottom w:val="none" w:sz="0" w:space="0" w:color="auto"/>
        <w:right w:val="none" w:sz="0" w:space="0" w:color="auto"/>
      </w:divBdr>
    </w:div>
    <w:div w:id="1605765062">
      <w:bodyDiv w:val="1"/>
      <w:marLeft w:val="0"/>
      <w:marRight w:val="0"/>
      <w:marTop w:val="0"/>
      <w:marBottom w:val="0"/>
      <w:divBdr>
        <w:top w:val="none" w:sz="0" w:space="0" w:color="auto"/>
        <w:left w:val="none" w:sz="0" w:space="0" w:color="auto"/>
        <w:bottom w:val="none" w:sz="0" w:space="0" w:color="auto"/>
        <w:right w:val="none" w:sz="0" w:space="0" w:color="auto"/>
      </w:divBdr>
    </w:div>
    <w:div w:id="1706786042">
      <w:bodyDiv w:val="1"/>
      <w:marLeft w:val="0"/>
      <w:marRight w:val="0"/>
      <w:marTop w:val="0"/>
      <w:marBottom w:val="0"/>
      <w:divBdr>
        <w:top w:val="none" w:sz="0" w:space="0" w:color="auto"/>
        <w:left w:val="none" w:sz="0" w:space="0" w:color="auto"/>
        <w:bottom w:val="none" w:sz="0" w:space="0" w:color="auto"/>
        <w:right w:val="none" w:sz="0" w:space="0" w:color="auto"/>
      </w:divBdr>
    </w:div>
    <w:div w:id="1838765087">
      <w:bodyDiv w:val="1"/>
      <w:marLeft w:val="0"/>
      <w:marRight w:val="0"/>
      <w:marTop w:val="0"/>
      <w:marBottom w:val="0"/>
      <w:divBdr>
        <w:top w:val="none" w:sz="0" w:space="0" w:color="auto"/>
        <w:left w:val="none" w:sz="0" w:space="0" w:color="auto"/>
        <w:bottom w:val="none" w:sz="0" w:space="0" w:color="auto"/>
        <w:right w:val="none" w:sz="0" w:space="0" w:color="auto"/>
      </w:divBdr>
    </w:div>
    <w:div w:id="1939213336">
      <w:bodyDiv w:val="1"/>
      <w:marLeft w:val="0"/>
      <w:marRight w:val="0"/>
      <w:marTop w:val="0"/>
      <w:marBottom w:val="0"/>
      <w:divBdr>
        <w:top w:val="none" w:sz="0" w:space="0" w:color="auto"/>
        <w:left w:val="none" w:sz="0" w:space="0" w:color="auto"/>
        <w:bottom w:val="none" w:sz="0" w:space="0" w:color="auto"/>
        <w:right w:val="none" w:sz="0" w:space="0" w:color="auto"/>
      </w:divBdr>
    </w:div>
    <w:div w:id="2108622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cid:image001.png@01D0EA4A.2BD679A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597E3B-E43C-42D6-BE06-692F901E91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2307</Words>
  <Characters>13155</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Hoffmann</dc:creator>
  <cp:keywords/>
  <dc:description/>
  <cp:lastModifiedBy>Sarah Hoffmann</cp:lastModifiedBy>
  <cp:revision>2</cp:revision>
  <dcterms:created xsi:type="dcterms:W3CDTF">2025-03-06T13:59:00Z</dcterms:created>
  <dcterms:modified xsi:type="dcterms:W3CDTF">2025-03-06T13:59:00Z</dcterms:modified>
</cp:coreProperties>
</file>