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B4C7E" w14:textId="77777777" w:rsidR="00DF7CCB" w:rsidRPr="003319BC" w:rsidRDefault="00DF7CCB" w:rsidP="00A51F6B">
      <w:pPr>
        <w:spacing w:line="360" w:lineRule="auto"/>
        <w:jc w:val="both"/>
        <w:rPr>
          <w:rFonts w:ascii="Arial" w:hAnsi="Arial" w:cs="Arial"/>
          <w:noProof/>
          <w:color w:val="000000" w:themeColor="text1"/>
          <w:sz w:val="24"/>
          <w:szCs w:val="24"/>
          <w:lang w:val="en-GB"/>
        </w:rPr>
      </w:pPr>
    </w:p>
    <w:p w14:paraId="200266FA" w14:textId="77777777" w:rsidR="00693E9C" w:rsidRPr="003319BC" w:rsidRDefault="00693E9C" w:rsidP="00A51F6B">
      <w:pPr>
        <w:spacing w:line="360" w:lineRule="auto"/>
        <w:jc w:val="both"/>
        <w:rPr>
          <w:rFonts w:ascii="Arial" w:hAnsi="Arial" w:cs="Arial"/>
          <w:color w:val="000000" w:themeColor="text1"/>
          <w:sz w:val="24"/>
          <w:szCs w:val="24"/>
          <w:lang w:val="en-GB"/>
        </w:rPr>
      </w:pPr>
    </w:p>
    <w:p w14:paraId="17353933" w14:textId="77777777" w:rsidR="00693E9C" w:rsidRPr="003319BC" w:rsidRDefault="00693E9C" w:rsidP="00A51F6B">
      <w:pPr>
        <w:spacing w:line="360" w:lineRule="auto"/>
        <w:jc w:val="both"/>
        <w:rPr>
          <w:rFonts w:ascii="Arial" w:hAnsi="Arial" w:cs="Arial"/>
          <w:color w:val="000000" w:themeColor="text1"/>
          <w:sz w:val="24"/>
          <w:szCs w:val="24"/>
          <w:lang w:val="en-GB"/>
        </w:rPr>
      </w:pPr>
    </w:p>
    <w:p w14:paraId="6FE00BBA" w14:textId="77777777" w:rsidR="00693E9C" w:rsidRPr="003319BC" w:rsidRDefault="00693E9C" w:rsidP="00A51F6B">
      <w:pPr>
        <w:spacing w:line="360" w:lineRule="auto"/>
        <w:jc w:val="both"/>
        <w:rPr>
          <w:rFonts w:ascii="Arial" w:hAnsi="Arial" w:cs="Arial"/>
          <w:color w:val="000000" w:themeColor="text1"/>
          <w:sz w:val="24"/>
          <w:szCs w:val="24"/>
          <w:lang w:val="en-GB"/>
        </w:rPr>
      </w:pPr>
    </w:p>
    <w:p w14:paraId="012ED33D" w14:textId="77777777" w:rsidR="00693E9C" w:rsidRPr="003319BC" w:rsidRDefault="00693E9C" w:rsidP="00A51F6B">
      <w:pPr>
        <w:spacing w:line="360" w:lineRule="auto"/>
        <w:jc w:val="both"/>
        <w:rPr>
          <w:rFonts w:ascii="Arial" w:hAnsi="Arial" w:cs="Arial"/>
          <w:b/>
          <w:color w:val="000000" w:themeColor="text1"/>
          <w:sz w:val="24"/>
          <w:szCs w:val="24"/>
          <w:lang w:val="en-GB"/>
        </w:rPr>
      </w:pPr>
    </w:p>
    <w:p w14:paraId="7C6A7797" w14:textId="77777777" w:rsidR="00693E9C" w:rsidRPr="003319BC" w:rsidRDefault="00A76728" w:rsidP="00A76728">
      <w:pPr>
        <w:spacing w:line="360" w:lineRule="auto"/>
        <w:jc w:val="center"/>
        <w:rPr>
          <w:rFonts w:ascii="Arial" w:hAnsi="Arial" w:cs="Arial"/>
          <w:b/>
          <w:color w:val="000000" w:themeColor="text1"/>
          <w:sz w:val="32"/>
          <w:szCs w:val="32"/>
          <w:lang w:val="en-GB"/>
        </w:rPr>
      </w:pPr>
      <w:r w:rsidRPr="003319BC">
        <w:rPr>
          <w:rFonts w:ascii="Arial" w:hAnsi="Arial" w:cs="Arial"/>
          <w:b/>
          <w:color w:val="000000" w:themeColor="text1"/>
          <w:sz w:val="32"/>
          <w:szCs w:val="32"/>
          <w:lang w:val="en-GB"/>
        </w:rPr>
        <w:t>INTERNATIONAL MARKETING (LCMB7006)</w:t>
      </w:r>
    </w:p>
    <w:p w14:paraId="1B7AD10C" w14:textId="77777777" w:rsidR="00693E9C" w:rsidRPr="003319BC" w:rsidRDefault="00693E9C" w:rsidP="00A76728">
      <w:pPr>
        <w:spacing w:line="360" w:lineRule="auto"/>
        <w:jc w:val="center"/>
        <w:rPr>
          <w:rFonts w:ascii="Arial" w:hAnsi="Arial" w:cs="Arial"/>
          <w:color w:val="000000" w:themeColor="text1"/>
          <w:sz w:val="32"/>
          <w:szCs w:val="32"/>
          <w:lang w:val="en-GB"/>
        </w:rPr>
      </w:pPr>
    </w:p>
    <w:p w14:paraId="51B27BAC" w14:textId="77777777" w:rsidR="00851881" w:rsidRPr="003319BC" w:rsidRDefault="00A76728" w:rsidP="00A76728">
      <w:pPr>
        <w:spacing w:line="360" w:lineRule="auto"/>
        <w:jc w:val="center"/>
        <w:rPr>
          <w:rFonts w:ascii="Arial" w:hAnsi="Arial" w:cs="Arial"/>
          <w:b/>
          <w:bCs/>
          <w:color w:val="000000" w:themeColor="text1"/>
          <w:sz w:val="32"/>
          <w:szCs w:val="32"/>
          <w:lang w:val="en-GB"/>
        </w:rPr>
      </w:pPr>
      <w:r w:rsidRPr="003319BC">
        <w:rPr>
          <w:rFonts w:ascii="Arial" w:hAnsi="Arial" w:cs="Arial"/>
          <w:b/>
          <w:bCs/>
          <w:color w:val="000000" w:themeColor="text1"/>
          <w:sz w:val="32"/>
          <w:szCs w:val="32"/>
          <w:lang w:val="en-GB"/>
        </w:rPr>
        <w:t>MARKET STRATEGY COMPARISON OF</w:t>
      </w:r>
    </w:p>
    <w:p w14:paraId="473F45CF" w14:textId="77777777" w:rsidR="00693E9C" w:rsidRPr="003319BC" w:rsidRDefault="00A76728" w:rsidP="00A76728">
      <w:pPr>
        <w:spacing w:line="360" w:lineRule="auto"/>
        <w:jc w:val="center"/>
        <w:rPr>
          <w:rFonts w:ascii="Arial" w:hAnsi="Arial" w:cs="Arial"/>
          <w:b/>
          <w:bCs/>
          <w:color w:val="000000" w:themeColor="text1"/>
          <w:sz w:val="32"/>
          <w:szCs w:val="32"/>
          <w:lang w:val="en-GB"/>
        </w:rPr>
      </w:pPr>
      <w:r w:rsidRPr="003319BC">
        <w:rPr>
          <w:rFonts w:ascii="Arial" w:hAnsi="Arial" w:cs="Arial"/>
          <w:b/>
          <w:bCs/>
          <w:color w:val="000000" w:themeColor="text1"/>
          <w:sz w:val="32"/>
          <w:szCs w:val="32"/>
          <w:lang w:val="en-GB"/>
        </w:rPr>
        <w:t>DIAGEOIN UK AND INDIA</w:t>
      </w:r>
    </w:p>
    <w:p w14:paraId="6165E53F" w14:textId="77777777" w:rsidR="00693E9C" w:rsidRPr="003319BC" w:rsidRDefault="00693E9C" w:rsidP="00A76728">
      <w:pPr>
        <w:spacing w:line="360" w:lineRule="auto"/>
        <w:jc w:val="center"/>
        <w:rPr>
          <w:rFonts w:ascii="Arial" w:hAnsi="Arial" w:cs="Arial"/>
          <w:color w:val="000000" w:themeColor="text1"/>
          <w:sz w:val="24"/>
          <w:szCs w:val="24"/>
          <w:lang w:val="en-GB"/>
        </w:rPr>
      </w:pPr>
    </w:p>
    <w:p w14:paraId="1D1893EE" w14:textId="77777777" w:rsidR="00D948CE" w:rsidRPr="003319BC" w:rsidRDefault="00D948CE" w:rsidP="00A76728">
      <w:pPr>
        <w:spacing w:line="360" w:lineRule="auto"/>
        <w:jc w:val="center"/>
        <w:rPr>
          <w:rFonts w:ascii="Arial" w:hAnsi="Arial" w:cs="Arial"/>
          <w:color w:val="000000" w:themeColor="text1"/>
          <w:sz w:val="24"/>
          <w:szCs w:val="24"/>
          <w:lang w:val="en-GB"/>
        </w:rPr>
      </w:pPr>
      <w:r w:rsidRPr="003319BC">
        <w:rPr>
          <w:rFonts w:ascii="Arial" w:hAnsi="Arial" w:cs="Arial"/>
          <w:noProof/>
          <w:color w:val="000000" w:themeColor="text1"/>
          <w:sz w:val="24"/>
          <w:szCs w:val="24"/>
          <w:lang w:val="en-GB" w:bidi="ar-SA"/>
        </w:rPr>
        <w:drawing>
          <wp:inline distT="0" distB="0" distL="0" distR="0" wp14:anchorId="6C9C26CD" wp14:editId="3D89687B">
            <wp:extent cx="2857500" cy="1600200"/>
            <wp:effectExtent l="0" t="0" r="0" b="0"/>
            <wp:docPr id="1400190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p w14:paraId="52EFD678" w14:textId="77777777" w:rsidR="00D948CE" w:rsidRPr="003319BC" w:rsidRDefault="00D948CE" w:rsidP="00A76206">
      <w:pPr>
        <w:pStyle w:val="Heading2"/>
        <w:rPr>
          <w:rFonts w:ascii="Arial" w:hAnsi="Arial" w:cs="Arial"/>
          <w:lang w:val="en-GB"/>
        </w:rPr>
      </w:pPr>
    </w:p>
    <w:p w14:paraId="329B0087" w14:textId="77777777" w:rsidR="00FB7332" w:rsidRDefault="00FB7332" w:rsidP="003319BC">
      <w:pPr>
        <w:pStyle w:val="Heading3"/>
        <w:rPr>
          <w:bCs w:val="0"/>
          <w:lang w:val="en-GB"/>
        </w:rPr>
      </w:pPr>
    </w:p>
    <w:p w14:paraId="5F7C50B4" w14:textId="77777777" w:rsidR="00ED142C" w:rsidRDefault="00ED142C" w:rsidP="003319BC">
      <w:pPr>
        <w:pStyle w:val="Heading3"/>
        <w:rPr>
          <w:bCs w:val="0"/>
          <w:lang w:val="en-GB"/>
        </w:rPr>
      </w:pPr>
    </w:p>
    <w:p w14:paraId="5527B676" w14:textId="77777777" w:rsidR="00ED142C" w:rsidRDefault="00ED142C" w:rsidP="003319BC">
      <w:pPr>
        <w:pStyle w:val="Heading3"/>
        <w:rPr>
          <w:bCs w:val="0"/>
          <w:lang w:val="en-GB"/>
        </w:rPr>
      </w:pPr>
    </w:p>
    <w:p w14:paraId="56039E99" w14:textId="6F8FB5FD" w:rsidR="00693E9C" w:rsidRPr="003319BC" w:rsidRDefault="00693E9C" w:rsidP="003319BC">
      <w:pPr>
        <w:pStyle w:val="Heading3"/>
        <w:rPr>
          <w:bCs w:val="0"/>
          <w:lang w:val="en-GB"/>
        </w:rPr>
      </w:pPr>
      <w:r w:rsidRPr="003319BC">
        <w:rPr>
          <w:bCs w:val="0"/>
          <w:lang w:val="en-GB"/>
        </w:rPr>
        <w:t>Student name:</w:t>
      </w:r>
      <w:r w:rsidR="003319BC" w:rsidRPr="003319BC">
        <w:rPr>
          <w:bCs w:val="0"/>
          <w:lang w:val="en-GB"/>
        </w:rPr>
        <w:t xml:space="preserve"> </w:t>
      </w:r>
      <w:r w:rsidR="003319BC" w:rsidRPr="003319BC">
        <w:rPr>
          <w:b w:val="0"/>
          <w:lang w:val="en-GB"/>
        </w:rPr>
        <w:t>Simranpreet Kaur</w:t>
      </w:r>
    </w:p>
    <w:p w14:paraId="63E827BA" w14:textId="220BA703" w:rsidR="00693E9C" w:rsidRPr="003319BC" w:rsidRDefault="00693E9C" w:rsidP="003319BC">
      <w:pPr>
        <w:spacing w:line="360" w:lineRule="auto"/>
        <w:rPr>
          <w:rFonts w:ascii="Arial" w:hAnsi="Arial" w:cs="Arial"/>
          <w:bCs/>
          <w:color w:val="000000" w:themeColor="text1"/>
          <w:sz w:val="24"/>
          <w:szCs w:val="24"/>
          <w:lang w:val="en-GB"/>
        </w:rPr>
      </w:pPr>
      <w:r w:rsidRPr="003319BC">
        <w:rPr>
          <w:rFonts w:ascii="Arial" w:hAnsi="Arial" w:cs="Arial"/>
          <w:b/>
          <w:color w:val="000000" w:themeColor="text1"/>
          <w:sz w:val="24"/>
          <w:szCs w:val="24"/>
          <w:lang w:val="en-GB"/>
        </w:rPr>
        <w:t>Student Number:</w:t>
      </w:r>
      <w:r w:rsidR="003319BC" w:rsidRPr="003319BC">
        <w:rPr>
          <w:rFonts w:ascii="Arial" w:hAnsi="Arial" w:cs="Arial"/>
          <w:b/>
          <w:color w:val="000000" w:themeColor="text1"/>
          <w:sz w:val="24"/>
          <w:szCs w:val="24"/>
          <w:lang w:val="en-GB"/>
        </w:rPr>
        <w:t xml:space="preserve"> </w:t>
      </w:r>
      <w:r w:rsidR="003319BC" w:rsidRPr="003319BC">
        <w:rPr>
          <w:rFonts w:ascii="Arial" w:hAnsi="Arial" w:cs="Arial"/>
          <w:bCs/>
          <w:color w:val="000000" w:themeColor="text1"/>
          <w:sz w:val="24"/>
          <w:szCs w:val="24"/>
          <w:lang w:val="en-GB"/>
        </w:rPr>
        <w:t>2226227</w:t>
      </w:r>
    </w:p>
    <w:p w14:paraId="5C48E3BC" w14:textId="6540BFE0" w:rsidR="00693E9C" w:rsidRPr="003319BC" w:rsidRDefault="00693E9C" w:rsidP="003319BC">
      <w:pPr>
        <w:spacing w:line="360" w:lineRule="auto"/>
        <w:rPr>
          <w:rFonts w:ascii="Arial" w:hAnsi="Arial" w:cs="Arial"/>
          <w:b/>
          <w:color w:val="000000" w:themeColor="text1"/>
          <w:sz w:val="24"/>
          <w:szCs w:val="24"/>
          <w:lang w:val="en-GB"/>
        </w:rPr>
      </w:pPr>
      <w:r w:rsidRPr="003319BC">
        <w:rPr>
          <w:rFonts w:ascii="Arial" w:hAnsi="Arial" w:cs="Arial"/>
          <w:b/>
          <w:color w:val="000000" w:themeColor="text1"/>
          <w:sz w:val="24"/>
          <w:szCs w:val="24"/>
          <w:lang w:val="en-GB"/>
        </w:rPr>
        <w:t>Lecturer:</w:t>
      </w:r>
      <w:r w:rsidR="00ED142C">
        <w:rPr>
          <w:rFonts w:ascii="Arial" w:hAnsi="Arial" w:cs="Arial"/>
          <w:b/>
          <w:color w:val="000000" w:themeColor="text1"/>
          <w:sz w:val="24"/>
          <w:szCs w:val="24"/>
          <w:lang w:val="en-GB"/>
        </w:rPr>
        <w:t xml:space="preserve"> </w:t>
      </w:r>
      <w:r w:rsidR="00ED142C" w:rsidRPr="00ED142C">
        <w:rPr>
          <w:rFonts w:ascii="Arial" w:hAnsi="Arial" w:cs="Arial"/>
          <w:sz w:val="24"/>
          <w:szCs w:val="24"/>
        </w:rPr>
        <w:t>Tushara Balendran</w:t>
      </w:r>
    </w:p>
    <w:p w14:paraId="328EAF4D" w14:textId="73B8E024" w:rsidR="00693E9C" w:rsidRPr="003319BC" w:rsidRDefault="00693E9C" w:rsidP="003319BC">
      <w:pPr>
        <w:spacing w:line="360" w:lineRule="auto"/>
        <w:rPr>
          <w:rFonts w:ascii="Arial" w:hAnsi="Arial" w:cs="Arial"/>
          <w:bCs/>
          <w:color w:val="000000" w:themeColor="text1"/>
          <w:sz w:val="24"/>
          <w:szCs w:val="24"/>
          <w:lang w:val="en-GB"/>
        </w:rPr>
      </w:pPr>
      <w:r w:rsidRPr="003319BC">
        <w:rPr>
          <w:rFonts w:ascii="Arial" w:hAnsi="Arial" w:cs="Arial"/>
          <w:b/>
          <w:color w:val="000000" w:themeColor="text1"/>
          <w:sz w:val="24"/>
          <w:szCs w:val="24"/>
          <w:lang w:val="en-GB"/>
        </w:rPr>
        <w:t>Submission Date:</w:t>
      </w:r>
      <w:r w:rsidR="003319BC" w:rsidRPr="003319BC">
        <w:rPr>
          <w:rFonts w:ascii="Arial" w:hAnsi="Arial" w:cs="Arial"/>
          <w:b/>
          <w:color w:val="000000" w:themeColor="text1"/>
          <w:sz w:val="24"/>
          <w:szCs w:val="24"/>
          <w:lang w:val="en-GB"/>
        </w:rPr>
        <w:t xml:space="preserve"> </w:t>
      </w:r>
      <w:r w:rsidR="003319BC" w:rsidRPr="003319BC">
        <w:rPr>
          <w:rFonts w:ascii="Arial" w:hAnsi="Arial" w:cs="Arial"/>
          <w:bCs/>
          <w:color w:val="000000" w:themeColor="text1"/>
          <w:sz w:val="24"/>
          <w:szCs w:val="24"/>
          <w:lang w:val="en-GB"/>
        </w:rPr>
        <w:t>21 August 2023</w:t>
      </w:r>
    </w:p>
    <w:sdt>
      <w:sdtPr>
        <w:rPr>
          <w:rFonts w:ascii="Arial" w:eastAsiaTheme="minorHAnsi" w:hAnsi="Arial" w:cs="Arial"/>
          <w:color w:val="auto"/>
          <w:sz w:val="22"/>
          <w:szCs w:val="20"/>
          <w:lang w:val="en-US" w:bidi="hi-IN"/>
        </w:rPr>
        <w:id w:val="-1516920417"/>
        <w:docPartObj>
          <w:docPartGallery w:val="Table of Contents"/>
          <w:docPartUnique/>
        </w:docPartObj>
      </w:sdtPr>
      <w:sdtEndPr>
        <w:rPr>
          <w:b/>
          <w:bCs/>
          <w:color w:val="000000" w:themeColor="text1"/>
          <w:sz w:val="24"/>
          <w:szCs w:val="24"/>
        </w:rPr>
      </w:sdtEndPr>
      <w:sdtContent>
        <w:p w14:paraId="26E7E7D4" w14:textId="77777777" w:rsidR="00D948CE" w:rsidRPr="003319BC" w:rsidRDefault="00D948CE" w:rsidP="003319BC">
          <w:pPr>
            <w:pStyle w:val="TOCHeading"/>
            <w:rPr>
              <w:rFonts w:ascii="Arial" w:hAnsi="Arial" w:cs="Arial"/>
            </w:rPr>
          </w:pPr>
        </w:p>
        <w:p w14:paraId="29B5751A" w14:textId="77777777" w:rsidR="00693E9C" w:rsidRPr="003319BC" w:rsidRDefault="00693E9C" w:rsidP="003319BC">
          <w:pPr>
            <w:pStyle w:val="TOCHeading"/>
            <w:rPr>
              <w:rStyle w:val="Heading1Char"/>
              <w:rFonts w:ascii="Arial" w:hAnsi="Arial" w:cs="Arial"/>
              <w:bCs/>
              <w:color w:val="000000" w:themeColor="text1"/>
            </w:rPr>
          </w:pPr>
          <w:bookmarkStart w:id="0" w:name="_Toc143520692"/>
          <w:r w:rsidRPr="003319BC">
            <w:rPr>
              <w:rStyle w:val="Heading1Char"/>
              <w:rFonts w:ascii="Arial" w:hAnsi="Arial" w:cs="Arial"/>
              <w:color w:val="000000" w:themeColor="text1"/>
            </w:rPr>
            <w:t>Table of Contents</w:t>
          </w:r>
          <w:bookmarkEnd w:id="0"/>
        </w:p>
        <w:p w14:paraId="6B58E51B" w14:textId="222A30EA" w:rsidR="003160B2" w:rsidRPr="003319BC" w:rsidRDefault="00915DC2">
          <w:pPr>
            <w:pStyle w:val="TOC1"/>
            <w:tabs>
              <w:tab w:val="right" w:leader="dot" w:pos="9350"/>
            </w:tabs>
            <w:rPr>
              <w:rFonts w:ascii="Arial" w:eastAsiaTheme="minorEastAsia" w:hAnsi="Arial" w:cs="Arial"/>
              <w:noProof/>
              <w:color w:val="000000" w:themeColor="text1"/>
              <w:sz w:val="22"/>
              <w:lang w:val="en-US"/>
            </w:rPr>
          </w:pPr>
          <w:r w:rsidRPr="003319BC">
            <w:rPr>
              <w:rFonts w:ascii="Arial" w:hAnsi="Arial" w:cs="Arial"/>
              <w:color w:val="000000" w:themeColor="text1"/>
              <w:szCs w:val="24"/>
            </w:rPr>
            <w:fldChar w:fldCharType="begin"/>
          </w:r>
          <w:r w:rsidR="00693E9C" w:rsidRPr="003319BC">
            <w:rPr>
              <w:rFonts w:ascii="Arial" w:hAnsi="Arial" w:cs="Arial"/>
              <w:color w:val="000000" w:themeColor="text1"/>
              <w:szCs w:val="24"/>
            </w:rPr>
            <w:instrText xml:space="preserve"> TOC \o "1-4" \h \z \u </w:instrText>
          </w:r>
          <w:r w:rsidRPr="003319BC">
            <w:rPr>
              <w:rFonts w:ascii="Arial" w:hAnsi="Arial" w:cs="Arial"/>
              <w:color w:val="000000" w:themeColor="text1"/>
              <w:szCs w:val="24"/>
            </w:rPr>
            <w:fldChar w:fldCharType="separate"/>
          </w:r>
          <w:hyperlink w:anchor="_Toc143520693" w:history="1">
            <w:r w:rsidR="003160B2" w:rsidRPr="003319BC">
              <w:rPr>
                <w:rStyle w:val="Hyperlink"/>
                <w:rFonts w:ascii="Arial" w:hAnsi="Arial" w:cs="Arial"/>
                <w:noProof/>
                <w:color w:val="000000" w:themeColor="text1"/>
              </w:rPr>
              <w:t>Introduction</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_Toc143520693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2</w:t>
            </w:r>
            <w:r w:rsidR="003160B2" w:rsidRPr="003319BC">
              <w:rPr>
                <w:rFonts w:ascii="Arial" w:hAnsi="Arial" w:cs="Arial"/>
                <w:noProof/>
                <w:webHidden/>
                <w:color w:val="000000" w:themeColor="text1"/>
              </w:rPr>
              <w:fldChar w:fldCharType="end"/>
            </w:r>
          </w:hyperlink>
        </w:p>
        <w:p w14:paraId="4C5A3CB6" w14:textId="77777777"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694" w:history="1">
            <w:r w:rsidR="003160B2" w:rsidRPr="003319BC">
              <w:rPr>
                <w:rStyle w:val="Hyperlink"/>
                <w:rFonts w:ascii="Arial" w:hAnsi="Arial" w:cs="Arial"/>
                <w:noProof/>
                <w:color w:val="000000" w:themeColor="text1"/>
              </w:rPr>
              <w:t>DIAGEO Background</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_Toc143520694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2</w:t>
            </w:r>
            <w:r w:rsidR="003160B2" w:rsidRPr="003319BC">
              <w:rPr>
                <w:rFonts w:ascii="Arial" w:hAnsi="Arial" w:cs="Arial"/>
                <w:noProof/>
                <w:webHidden/>
                <w:color w:val="000000" w:themeColor="text1"/>
              </w:rPr>
              <w:fldChar w:fldCharType="end"/>
            </w:r>
          </w:hyperlink>
        </w:p>
        <w:p w14:paraId="3CD7EE5B" w14:textId="5A8D0465"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695" w:history="1">
            <w:r w:rsidR="003160B2" w:rsidRPr="003319BC">
              <w:rPr>
                <w:rStyle w:val="Hyperlink"/>
                <w:rFonts w:ascii="Arial" w:hAnsi="Arial" w:cs="Arial"/>
                <w:noProof/>
                <w:color w:val="000000" w:themeColor="text1"/>
              </w:rPr>
              <w:t>Macro Environmental analysis</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_Toc143520695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4</w:t>
            </w:r>
            <w:r w:rsidR="003160B2" w:rsidRPr="003319BC">
              <w:rPr>
                <w:rFonts w:ascii="Arial" w:hAnsi="Arial" w:cs="Arial"/>
                <w:noProof/>
                <w:webHidden/>
                <w:color w:val="000000" w:themeColor="text1"/>
              </w:rPr>
              <w:fldChar w:fldCharType="end"/>
            </w:r>
          </w:hyperlink>
        </w:p>
        <w:p w14:paraId="42DFE38A" w14:textId="77777777"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696" w:history="1">
            <w:r w:rsidR="003160B2" w:rsidRPr="003319BC">
              <w:rPr>
                <w:rStyle w:val="Hyperlink"/>
                <w:rFonts w:ascii="Arial" w:hAnsi="Arial" w:cs="Arial"/>
                <w:noProof/>
                <w:color w:val="000000" w:themeColor="text1"/>
                <w:lang w:bidi="hi-IN"/>
              </w:rPr>
              <w:t>PESTLE Analysis</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_Toc143520696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5</w:t>
            </w:r>
            <w:r w:rsidR="003160B2" w:rsidRPr="003319BC">
              <w:rPr>
                <w:rFonts w:ascii="Arial" w:hAnsi="Arial" w:cs="Arial"/>
                <w:noProof/>
                <w:webHidden/>
                <w:color w:val="000000" w:themeColor="text1"/>
              </w:rPr>
              <w:fldChar w:fldCharType="end"/>
            </w:r>
          </w:hyperlink>
        </w:p>
        <w:p w14:paraId="2228EDBE" w14:textId="77777777"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697" w:history="1">
            <w:r w:rsidR="003160B2" w:rsidRPr="003319BC">
              <w:rPr>
                <w:rStyle w:val="Hyperlink"/>
                <w:rFonts w:ascii="Arial" w:hAnsi="Arial" w:cs="Arial"/>
                <w:noProof/>
                <w:color w:val="000000" w:themeColor="text1"/>
                <w:lang w:bidi="hi-IN"/>
              </w:rPr>
              <w:t>Porters Five Forces Model:</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_Toc143520697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8</w:t>
            </w:r>
            <w:r w:rsidR="003160B2" w:rsidRPr="003319BC">
              <w:rPr>
                <w:rFonts w:ascii="Arial" w:hAnsi="Arial" w:cs="Arial"/>
                <w:noProof/>
                <w:webHidden/>
                <w:color w:val="000000" w:themeColor="text1"/>
              </w:rPr>
              <w:fldChar w:fldCharType="end"/>
            </w:r>
          </w:hyperlink>
        </w:p>
        <w:p w14:paraId="173545E0" w14:textId="77777777"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698" w:history="1">
            <w:r w:rsidR="003160B2" w:rsidRPr="003319BC">
              <w:rPr>
                <w:rStyle w:val="Hyperlink"/>
                <w:rFonts w:ascii="Arial" w:hAnsi="Arial" w:cs="Arial"/>
                <w:noProof/>
                <w:color w:val="000000" w:themeColor="text1"/>
                <w:lang w:bidi="hi-IN"/>
              </w:rPr>
              <w:t>SWOT Analysis:</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_Toc143520698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9</w:t>
            </w:r>
            <w:r w:rsidR="003160B2" w:rsidRPr="003319BC">
              <w:rPr>
                <w:rFonts w:ascii="Arial" w:hAnsi="Arial" w:cs="Arial"/>
                <w:noProof/>
                <w:webHidden/>
                <w:color w:val="000000" w:themeColor="text1"/>
              </w:rPr>
              <w:fldChar w:fldCharType="end"/>
            </w:r>
          </w:hyperlink>
        </w:p>
        <w:p w14:paraId="71C67086" w14:textId="27D09B84"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699" w:history="1">
            <w:r w:rsidR="003160B2" w:rsidRPr="003319BC">
              <w:rPr>
                <w:rStyle w:val="Hyperlink"/>
                <w:rFonts w:ascii="Arial" w:hAnsi="Arial" w:cs="Arial"/>
                <w:noProof/>
                <w:color w:val="000000" w:themeColor="text1"/>
              </w:rPr>
              <w:t>Segmentation, Targeting &amp; Positioning:</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_Toc143520699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1</w:t>
          </w:r>
        </w:p>
        <w:p w14:paraId="64D7AFD3" w14:textId="335EC462"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700" w:history="1">
            <w:r w:rsidR="003160B2" w:rsidRPr="003319BC">
              <w:rPr>
                <w:rStyle w:val="Hyperlink"/>
                <w:rFonts w:ascii="Arial" w:hAnsi="Arial" w:cs="Arial"/>
                <w:noProof/>
                <w:color w:val="000000" w:themeColor="text1"/>
                <w:lang w:bidi="hi-IN"/>
              </w:rPr>
              <w:t>Segmentation, targeting and positioning to DIAGEO</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_Toc143520700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2</w:t>
          </w:r>
        </w:p>
        <w:p w14:paraId="41812844" w14:textId="10826164"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701" w:history="1">
            <w:r w:rsidR="003160B2" w:rsidRPr="003319BC">
              <w:rPr>
                <w:rStyle w:val="Hyperlink"/>
                <w:rFonts w:ascii="Arial" w:hAnsi="Arial" w:cs="Arial"/>
                <w:noProof/>
                <w:color w:val="000000" w:themeColor="text1"/>
              </w:rPr>
              <w:t>Marketing mix (7Ps)</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_Toc143520701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6</w:t>
          </w:r>
        </w:p>
        <w:p w14:paraId="12F280CA" w14:textId="2AE6E1B4"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702" w:history="1">
            <w:r w:rsidR="003160B2" w:rsidRPr="003319BC">
              <w:rPr>
                <w:rStyle w:val="Hyperlink"/>
                <w:rFonts w:ascii="Arial" w:hAnsi="Arial" w:cs="Arial"/>
                <w:noProof/>
                <w:color w:val="000000" w:themeColor="text1"/>
                <w:lang w:bidi="hi-IN"/>
              </w:rPr>
              <w:t>Comparison of the market entry methods utilised in the different countries could be included in the ‘Place’ element of the marketing mix.</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_Toc143520702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6</w:t>
          </w:r>
        </w:p>
        <w:p w14:paraId="7C436ED1" w14:textId="61015E9C"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703" w:history="1">
            <w:r w:rsidR="003160B2" w:rsidRPr="003319BC">
              <w:rPr>
                <w:rStyle w:val="Hyperlink"/>
                <w:rFonts w:ascii="Arial" w:hAnsi="Arial" w:cs="Arial"/>
                <w:noProof/>
                <w:color w:val="000000" w:themeColor="text1"/>
              </w:rPr>
              <w:t>Marketing mix elements (7Ps)</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_Toc143520703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7</w:t>
          </w:r>
        </w:p>
        <w:p w14:paraId="41FF32EC" w14:textId="25BA599F"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704" w:history="1">
            <w:r w:rsidR="003160B2" w:rsidRPr="003319BC">
              <w:rPr>
                <w:rStyle w:val="Hyperlink"/>
                <w:rFonts w:ascii="Arial" w:hAnsi="Arial" w:cs="Arial"/>
                <w:noProof/>
                <w:color w:val="000000" w:themeColor="text1"/>
              </w:rPr>
              <w:t>Directional development strategy</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_Toc143520704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9</w:t>
          </w:r>
        </w:p>
        <w:p w14:paraId="76517042" w14:textId="132A41D5" w:rsidR="003160B2" w:rsidRPr="003319BC" w:rsidRDefault="00000000">
          <w:pPr>
            <w:pStyle w:val="TOC1"/>
            <w:tabs>
              <w:tab w:val="right" w:leader="dot" w:pos="9350"/>
            </w:tabs>
            <w:rPr>
              <w:rFonts w:ascii="Arial" w:eastAsiaTheme="minorEastAsia" w:hAnsi="Arial" w:cs="Arial"/>
              <w:noProof/>
              <w:color w:val="000000" w:themeColor="text1"/>
              <w:sz w:val="22"/>
              <w:lang w:val="en-US"/>
            </w:rPr>
          </w:pPr>
          <w:hyperlink w:anchor="_Toc143520705" w:history="1">
            <w:r w:rsidR="003160B2" w:rsidRPr="003319BC">
              <w:rPr>
                <w:rStyle w:val="Hyperlink"/>
                <w:rFonts w:ascii="Arial" w:hAnsi="Arial" w:cs="Arial"/>
                <w:noProof/>
                <w:color w:val="000000" w:themeColor="text1"/>
              </w:rPr>
              <w:t>Ansoff Matrix</w:t>
            </w:r>
            <w:r w:rsidR="003160B2" w:rsidRPr="003319BC">
              <w:rPr>
                <w:rFonts w:ascii="Arial" w:hAnsi="Arial" w:cs="Arial"/>
                <w:noProof/>
                <w:webHidden/>
                <w:color w:val="000000" w:themeColor="text1"/>
              </w:rPr>
              <w:tab/>
            </w:r>
          </w:hyperlink>
          <w:r w:rsidR="00FB7332">
            <w:rPr>
              <w:rFonts w:ascii="Arial" w:hAnsi="Arial" w:cs="Arial"/>
              <w:noProof/>
              <w:color w:val="000000" w:themeColor="text1"/>
            </w:rPr>
            <w:t>20</w:t>
          </w:r>
        </w:p>
        <w:p w14:paraId="2D4C7CBA" w14:textId="5968368E" w:rsidR="003160B2" w:rsidRPr="003319BC" w:rsidRDefault="00000000">
          <w:pPr>
            <w:pStyle w:val="TOC2"/>
            <w:tabs>
              <w:tab w:val="right" w:leader="dot" w:pos="9350"/>
            </w:tabs>
            <w:rPr>
              <w:rFonts w:ascii="Arial" w:eastAsiaTheme="minorEastAsia" w:hAnsi="Arial" w:cs="Arial"/>
              <w:noProof/>
              <w:color w:val="000000" w:themeColor="text1"/>
              <w:sz w:val="22"/>
              <w:lang w:val="en-US"/>
            </w:rPr>
          </w:pPr>
          <w:hyperlink w:anchor="_Toc143520706" w:history="1">
            <w:r w:rsidR="003160B2" w:rsidRPr="003319BC">
              <w:rPr>
                <w:rStyle w:val="Hyperlink"/>
                <w:rFonts w:ascii="Arial" w:hAnsi="Arial" w:cs="Arial"/>
                <w:noProof/>
                <w:color w:val="000000" w:themeColor="text1"/>
                <w:lang w:bidi="hi-IN"/>
              </w:rPr>
              <w:t>Market Penetration and Market Development for India and the UK</w:t>
            </w:r>
            <w:r w:rsidR="003160B2" w:rsidRPr="003319BC">
              <w:rPr>
                <w:rFonts w:ascii="Arial" w:hAnsi="Arial" w:cs="Arial"/>
                <w:noProof/>
                <w:webHidden/>
                <w:color w:val="000000" w:themeColor="text1"/>
              </w:rPr>
              <w:tab/>
            </w:r>
            <w:r w:rsidR="00FB7332">
              <w:rPr>
                <w:rFonts w:ascii="Arial" w:hAnsi="Arial" w:cs="Arial"/>
                <w:noProof/>
                <w:webHidden/>
                <w:color w:val="000000" w:themeColor="text1"/>
              </w:rPr>
              <w:t>2</w:t>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_Toc143520706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1</w:t>
            </w:r>
            <w:r w:rsidR="003160B2" w:rsidRPr="003319BC">
              <w:rPr>
                <w:rFonts w:ascii="Arial" w:hAnsi="Arial" w:cs="Arial"/>
                <w:noProof/>
                <w:webHidden/>
                <w:color w:val="000000" w:themeColor="text1"/>
              </w:rPr>
              <w:fldChar w:fldCharType="end"/>
            </w:r>
          </w:hyperlink>
        </w:p>
        <w:p w14:paraId="109B22F5" w14:textId="74198A44" w:rsidR="003160B2" w:rsidRDefault="00000000" w:rsidP="00FB7332">
          <w:pPr>
            <w:pStyle w:val="TOC1"/>
            <w:tabs>
              <w:tab w:val="right" w:leader="dot" w:pos="9350"/>
            </w:tabs>
            <w:rPr>
              <w:rFonts w:ascii="Arial" w:hAnsi="Arial" w:cs="Arial"/>
              <w:noProof/>
              <w:color w:val="000000" w:themeColor="text1"/>
            </w:rPr>
          </w:pPr>
          <w:hyperlink w:anchor="_Toc143520707" w:history="1">
            <w:r w:rsidR="003160B2" w:rsidRPr="003319BC">
              <w:rPr>
                <w:rStyle w:val="Hyperlink"/>
                <w:rFonts w:ascii="Arial" w:hAnsi="Arial" w:cs="Arial"/>
                <w:noProof/>
                <w:color w:val="000000" w:themeColor="text1"/>
              </w:rPr>
              <w:t>Conclusion</w:t>
            </w:r>
            <w:r w:rsidR="003160B2" w:rsidRPr="003319BC">
              <w:rPr>
                <w:rFonts w:ascii="Arial" w:hAnsi="Arial" w:cs="Arial"/>
                <w:noProof/>
                <w:webHidden/>
                <w:color w:val="000000" w:themeColor="text1"/>
              </w:rPr>
              <w:tab/>
            </w:r>
            <w:r w:rsidR="003160B2" w:rsidRPr="003319BC">
              <w:rPr>
                <w:rFonts w:ascii="Arial" w:hAnsi="Arial" w:cs="Arial"/>
                <w:noProof/>
                <w:webHidden/>
                <w:color w:val="000000" w:themeColor="text1"/>
              </w:rPr>
              <w:fldChar w:fldCharType="begin"/>
            </w:r>
            <w:r w:rsidR="003160B2" w:rsidRPr="003319BC">
              <w:rPr>
                <w:rFonts w:ascii="Arial" w:hAnsi="Arial" w:cs="Arial"/>
                <w:noProof/>
                <w:webHidden/>
                <w:color w:val="000000" w:themeColor="text1"/>
              </w:rPr>
              <w:instrText xml:space="preserve"> PAGEREF _Toc143520707 \h </w:instrText>
            </w:r>
            <w:r w:rsidR="003160B2" w:rsidRPr="003319BC">
              <w:rPr>
                <w:rFonts w:ascii="Arial" w:hAnsi="Arial" w:cs="Arial"/>
                <w:noProof/>
                <w:webHidden/>
                <w:color w:val="000000" w:themeColor="text1"/>
              </w:rPr>
            </w:r>
            <w:r w:rsidR="003160B2" w:rsidRPr="003319BC">
              <w:rPr>
                <w:rFonts w:ascii="Arial" w:hAnsi="Arial" w:cs="Arial"/>
                <w:noProof/>
                <w:webHidden/>
                <w:color w:val="000000" w:themeColor="text1"/>
              </w:rPr>
              <w:fldChar w:fldCharType="separate"/>
            </w:r>
            <w:r w:rsidR="003160B2" w:rsidRPr="003319BC">
              <w:rPr>
                <w:rFonts w:ascii="Arial" w:hAnsi="Arial" w:cs="Arial"/>
                <w:noProof/>
                <w:webHidden/>
                <w:color w:val="000000" w:themeColor="text1"/>
              </w:rPr>
              <w:t>2</w:t>
            </w:r>
            <w:r w:rsidR="003160B2" w:rsidRPr="003319BC">
              <w:rPr>
                <w:rFonts w:ascii="Arial" w:hAnsi="Arial" w:cs="Arial"/>
                <w:noProof/>
                <w:webHidden/>
                <w:color w:val="000000" w:themeColor="text1"/>
              </w:rPr>
              <w:fldChar w:fldCharType="end"/>
            </w:r>
          </w:hyperlink>
          <w:r w:rsidR="00FB7332">
            <w:rPr>
              <w:rFonts w:ascii="Arial" w:hAnsi="Arial" w:cs="Arial"/>
              <w:noProof/>
              <w:color w:val="000000" w:themeColor="text1"/>
            </w:rPr>
            <w:t>3</w:t>
          </w:r>
        </w:p>
        <w:p w14:paraId="5C9A20CD" w14:textId="536BE6AB" w:rsidR="00FB7332" w:rsidRPr="00FB7332" w:rsidRDefault="00FB7332" w:rsidP="00FB7332">
          <w:pPr>
            <w:pStyle w:val="TOC1"/>
            <w:spacing w:after="160" w:line="259" w:lineRule="auto"/>
            <w:rPr>
              <w:rFonts w:ascii="Arial" w:hAnsi="Arial" w:cs="Arial"/>
              <w:szCs w:val="24"/>
            </w:rPr>
          </w:pPr>
          <w:r w:rsidRPr="00FB7332">
            <w:rPr>
              <w:rFonts w:ascii="Arial" w:hAnsi="Arial" w:cs="Arial"/>
              <w:szCs w:val="24"/>
            </w:rPr>
            <w:t>Recommendation………………………………………………………………………………24</w:t>
          </w:r>
        </w:p>
        <w:p w14:paraId="4D93753D" w14:textId="03361C75" w:rsidR="00FB7332" w:rsidRPr="00FB7332" w:rsidRDefault="00FB7332" w:rsidP="00FB7332">
          <w:pPr>
            <w:pStyle w:val="NoSpacing"/>
            <w:spacing w:after="160" w:line="259" w:lineRule="auto"/>
            <w:rPr>
              <w:rFonts w:ascii="Arial" w:hAnsi="Arial" w:cs="Arial"/>
              <w:lang w:val="en-GB" w:bidi="ar-SA"/>
            </w:rPr>
          </w:pPr>
          <w:r w:rsidRPr="00FB7332">
            <w:rPr>
              <w:rFonts w:ascii="Arial" w:hAnsi="Arial" w:cs="Arial"/>
              <w:sz w:val="24"/>
              <w:szCs w:val="24"/>
              <w:lang w:val="en-GB" w:bidi="ar-SA"/>
            </w:rPr>
            <w:t>References</w:t>
          </w:r>
          <w:r>
            <w:rPr>
              <w:rFonts w:ascii="Arial" w:hAnsi="Arial" w:cs="Arial"/>
              <w:lang w:val="en-GB" w:bidi="ar-SA"/>
            </w:rPr>
            <w:t>………………………………………………………………………………………….….26</w:t>
          </w:r>
        </w:p>
        <w:p w14:paraId="7790CC9C" w14:textId="77777777" w:rsidR="00693E9C" w:rsidRPr="003319BC" w:rsidRDefault="00915DC2" w:rsidP="00A51F6B">
          <w:pPr>
            <w:spacing w:line="360" w:lineRule="auto"/>
            <w:jc w:val="both"/>
            <w:rPr>
              <w:rFonts w:ascii="Arial" w:hAnsi="Arial" w:cs="Arial"/>
              <w:b/>
              <w:bCs/>
              <w:color w:val="000000" w:themeColor="text1"/>
              <w:sz w:val="24"/>
              <w:szCs w:val="24"/>
              <w:lang w:val="en-GB"/>
            </w:rPr>
          </w:pPr>
          <w:r w:rsidRPr="003319BC">
            <w:rPr>
              <w:rFonts w:ascii="Arial" w:hAnsi="Arial" w:cs="Arial"/>
              <w:color w:val="000000" w:themeColor="text1"/>
              <w:sz w:val="24"/>
              <w:szCs w:val="24"/>
              <w:lang w:val="en-GB"/>
            </w:rPr>
            <w:fldChar w:fldCharType="end"/>
          </w:r>
        </w:p>
      </w:sdtContent>
    </w:sdt>
    <w:p w14:paraId="09067636" w14:textId="77777777" w:rsidR="00693E9C" w:rsidRPr="003319BC" w:rsidRDefault="00693E9C" w:rsidP="00A51F6B">
      <w:pPr>
        <w:spacing w:line="360" w:lineRule="auto"/>
        <w:jc w:val="both"/>
        <w:rPr>
          <w:rFonts w:ascii="Arial" w:hAnsi="Arial" w:cs="Arial"/>
          <w:color w:val="000000" w:themeColor="text1"/>
          <w:sz w:val="24"/>
          <w:szCs w:val="24"/>
          <w:lang w:val="en-GB"/>
        </w:rPr>
      </w:pPr>
      <w:r w:rsidRPr="003319BC">
        <w:rPr>
          <w:rFonts w:ascii="Arial" w:hAnsi="Arial" w:cs="Arial"/>
          <w:color w:val="000000" w:themeColor="text1"/>
          <w:sz w:val="24"/>
          <w:szCs w:val="24"/>
          <w:lang w:val="en-GB"/>
        </w:rPr>
        <w:br w:type="page"/>
      </w:r>
    </w:p>
    <w:p w14:paraId="57F19AB5" w14:textId="77777777" w:rsidR="008C42EE" w:rsidRPr="003319BC" w:rsidRDefault="008C42EE" w:rsidP="003319BC">
      <w:pPr>
        <w:pStyle w:val="Heading1"/>
        <w:rPr>
          <w:rFonts w:ascii="Arial" w:hAnsi="Arial" w:cs="Arial"/>
        </w:rPr>
      </w:pPr>
      <w:bookmarkStart w:id="1" w:name="_Toc143520693"/>
      <w:r w:rsidRPr="003319BC">
        <w:rPr>
          <w:rFonts w:ascii="Arial" w:hAnsi="Arial" w:cs="Arial"/>
        </w:rPr>
        <w:lastRenderedPageBreak/>
        <w:t>Introduction</w:t>
      </w:r>
      <w:bookmarkEnd w:id="1"/>
    </w:p>
    <w:p w14:paraId="6AC8E838" w14:textId="4152B357" w:rsidR="008C42EE" w:rsidRPr="003319BC" w:rsidRDefault="008C42EE" w:rsidP="008C42EE">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International marketing indicates the process and techniques for promoting the products and services outside of the brand. A business organisation gets the chance of </w:t>
      </w:r>
      <w:r w:rsidR="003E73B5" w:rsidRPr="003319BC">
        <w:rPr>
          <w:color w:val="000000" w:themeColor="text1"/>
          <w:sz w:val="24"/>
          <w:szCs w:val="24"/>
          <w:lang w:val="en-GB"/>
        </w:rPr>
        <w:t>entering</w:t>
      </w:r>
      <w:r w:rsidRPr="003319BC">
        <w:rPr>
          <w:color w:val="000000" w:themeColor="text1"/>
          <w:sz w:val="24"/>
          <w:szCs w:val="24"/>
          <w:lang w:val="en-GB"/>
        </w:rPr>
        <w:t xml:space="preserve"> global markets by international marketing. In this study, </w:t>
      </w:r>
      <w:r w:rsidRPr="003319BC">
        <w:rPr>
          <w:b/>
          <w:i/>
          <w:color w:val="000000" w:themeColor="text1"/>
          <w:sz w:val="24"/>
          <w:szCs w:val="24"/>
          <w:lang w:val="en-GB"/>
        </w:rPr>
        <w:t>the overall discussion is on the international marketing</w:t>
      </w:r>
      <w:r w:rsidR="00AC3D80">
        <w:rPr>
          <w:b/>
          <w:i/>
          <w:color w:val="000000" w:themeColor="text1"/>
          <w:sz w:val="24"/>
          <w:szCs w:val="24"/>
          <w:lang w:val="en-GB"/>
        </w:rPr>
        <w:t xml:space="preserve"> strategy</w:t>
      </w:r>
      <w:r w:rsidRPr="003319BC">
        <w:rPr>
          <w:b/>
          <w:i/>
          <w:color w:val="000000" w:themeColor="text1"/>
          <w:sz w:val="24"/>
          <w:szCs w:val="24"/>
          <w:lang w:val="en-GB"/>
        </w:rPr>
        <w:t xml:space="preserve"> of Diageo, the famous alcoholic beverage brand within the UK and India.</w:t>
      </w:r>
      <w:r w:rsidRPr="003319BC">
        <w:rPr>
          <w:color w:val="000000" w:themeColor="text1"/>
          <w:sz w:val="24"/>
          <w:szCs w:val="24"/>
          <w:lang w:val="en-GB"/>
        </w:rPr>
        <w:t xml:space="preserve"> This report has provided the brief background of this brand to identify its current global position. Both the context of macro and </w:t>
      </w:r>
      <w:r w:rsidR="00AC3D80" w:rsidRPr="003319BC">
        <w:rPr>
          <w:color w:val="000000" w:themeColor="text1"/>
          <w:sz w:val="24"/>
          <w:szCs w:val="24"/>
          <w:lang w:val="en-GB"/>
        </w:rPr>
        <w:t>microenvironments</w:t>
      </w:r>
      <w:r w:rsidRPr="003319BC">
        <w:rPr>
          <w:color w:val="000000" w:themeColor="text1"/>
          <w:sz w:val="24"/>
          <w:szCs w:val="24"/>
          <w:lang w:val="en-GB"/>
        </w:rPr>
        <w:t xml:space="preserve"> are used in this study to identify the favourable and unfavourable factors of Diageo in the UK and India. Therefore, the theoretical context of 7Ps marketing, STP analysis and directional development strategy of Diageo within these selected countries has been highlighted here. Moreover, the Ansoff matrix of this popular beverage brand has been analysed to explore the strategic similarities and dissimilarities between the UK and India.  </w:t>
      </w:r>
    </w:p>
    <w:p w14:paraId="5AE4ED6F" w14:textId="77777777" w:rsidR="003319BC" w:rsidRPr="003319BC" w:rsidRDefault="003319BC" w:rsidP="003319BC">
      <w:pPr>
        <w:pStyle w:val="Heading1"/>
        <w:rPr>
          <w:rFonts w:ascii="Arial" w:hAnsi="Arial" w:cs="Arial"/>
        </w:rPr>
      </w:pPr>
      <w:bookmarkStart w:id="2" w:name="_Toc143520694"/>
    </w:p>
    <w:p w14:paraId="38819DB6" w14:textId="47A332E9" w:rsidR="001B1274" w:rsidRPr="003319BC" w:rsidRDefault="00D948CE" w:rsidP="003319BC">
      <w:pPr>
        <w:pStyle w:val="Heading1"/>
        <w:rPr>
          <w:rFonts w:ascii="Arial" w:hAnsi="Arial" w:cs="Arial"/>
        </w:rPr>
      </w:pPr>
      <w:r w:rsidRPr="003319BC">
        <w:rPr>
          <w:rFonts w:ascii="Arial" w:hAnsi="Arial" w:cs="Arial"/>
        </w:rPr>
        <w:t>DIAGEO</w:t>
      </w:r>
      <w:r w:rsidR="00A76206" w:rsidRPr="003319BC">
        <w:rPr>
          <w:rFonts w:ascii="Arial" w:hAnsi="Arial" w:cs="Arial"/>
        </w:rPr>
        <w:t xml:space="preserve"> Background</w:t>
      </w:r>
      <w:bookmarkEnd w:id="2"/>
    </w:p>
    <w:p w14:paraId="5F8C2236" w14:textId="77777777" w:rsidR="00D948CE" w:rsidRPr="003319BC" w:rsidRDefault="001B1274" w:rsidP="00A51F6B">
      <w:pPr>
        <w:pStyle w:val="BodyText"/>
        <w:spacing w:line="360" w:lineRule="auto"/>
        <w:jc w:val="both"/>
        <w:rPr>
          <w:lang w:val="en-GB"/>
        </w:rPr>
      </w:pPr>
      <w:r w:rsidRPr="003319BC">
        <w:rPr>
          <w:lang w:val="en-GB"/>
        </w:rPr>
        <w:t>Diageo was formed in 1997 by the merging of Grand Metropolitan and Guinness,</w:t>
      </w:r>
      <w:r w:rsidR="00333BC8" w:rsidRPr="003319BC">
        <w:rPr>
          <w:lang w:val="en-GB"/>
        </w:rPr>
        <w:t xml:space="preserve"> headquartered in London, UK.</w:t>
      </w:r>
      <w:r w:rsidR="00A76206" w:rsidRPr="003319BC">
        <w:rPr>
          <w:lang w:val="en-GB"/>
        </w:rPr>
        <w:t xml:space="preserve"> </w:t>
      </w:r>
      <w:r w:rsidR="00333BC8" w:rsidRPr="003319BC">
        <w:rPr>
          <w:lang w:val="en-GB"/>
        </w:rPr>
        <w:t>A</w:t>
      </w:r>
      <w:r w:rsidRPr="003319BC">
        <w:rPr>
          <w:lang w:val="en-GB"/>
        </w:rPr>
        <w:t>lthough their brands went back far further, with some dating back to the 17th century. DIAGEO is a worldwide alcoholic beverage leader with an impressive portfolio of spirits and beer brands</w:t>
      </w:r>
      <w:r w:rsidR="00333BC8" w:rsidRPr="003319BC">
        <w:rPr>
          <w:lang w:val="en-GB"/>
        </w:rPr>
        <w:t>, Brandy, vodka, scotch, rum, whisky, gin, tequila, and ready-to-drink (RTD) alcoholic beverages are among the items sold by the corporation.</w:t>
      </w:r>
      <w:r w:rsidRPr="003319BC">
        <w:rPr>
          <w:lang w:val="en-GB"/>
        </w:rPr>
        <w:t xml:space="preserve"> To focus on premium drinks, Diageo divested culinary assets such as Burger King (in 2002) and Pillsbury (in 2000). Diageo owns 132 production facilities worldwide, </w:t>
      </w:r>
      <w:r w:rsidR="0044554E" w:rsidRPr="003319BC">
        <w:rPr>
          <w:lang w:val="en-GB"/>
        </w:rPr>
        <w:t>it</w:t>
      </w:r>
      <w:r w:rsidRPr="003319BC">
        <w:rPr>
          <w:lang w:val="en-GB"/>
        </w:rPr>
        <w:t xml:space="preserve"> is driven to be the world's best brand builder, leading the way in premium drinks, with over 200 brands and sales in more than 180 countries.</w:t>
      </w:r>
      <w:r w:rsidR="00A76206" w:rsidRPr="003319BC">
        <w:rPr>
          <w:lang w:val="en-GB"/>
        </w:rPr>
        <w:t xml:space="preserve"> </w:t>
      </w:r>
      <w:r w:rsidRPr="003319BC">
        <w:rPr>
          <w:lang w:val="en-GB"/>
        </w:rPr>
        <w:t>Diageo has acquired numerous brands since 1997, including Johnnie Walker, Chase Distillery Aviation Gin LLC &amp; Davos Brand LLC (2020), Casamigos; the fastest growing super premium Tequilla in the United States (2017), and many more</w:t>
      </w:r>
      <w:r w:rsidR="006A6B19" w:rsidRPr="003319BC">
        <w:rPr>
          <w:lang w:val="en-GB"/>
        </w:rPr>
        <w:t xml:space="preserve">. As of august 2023, Diageo employed more than 30,000 </w:t>
      </w:r>
      <w:r w:rsidR="00A76206" w:rsidRPr="003319BC">
        <w:rPr>
          <w:lang w:val="en-GB"/>
        </w:rPr>
        <w:t>people (</w:t>
      </w:r>
      <w:r w:rsidR="00A76206" w:rsidRPr="003319BC">
        <w:rPr>
          <w:noProof/>
          <w:lang w:val="en-GB"/>
        </w:rPr>
        <w:t>DIAGEO, 2023</w:t>
      </w:r>
      <w:r w:rsidR="00A76206" w:rsidRPr="003319BC">
        <w:rPr>
          <w:lang w:val="en-GB"/>
        </w:rPr>
        <w:t>)</w:t>
      </w:r>
      <w:r w:rsidRPr="003319BC">
        <w:rPr>
          <w:lang w:val="en-GB"/>
        </w:rPr>
        <w:t>.</w:t>
      </w:r>
    </w:p>
    <w:p w14:paraId="1E095C51" w14:textId="77777777" w:rsidR="00D948CE" w:rsidRPr="003319BC" w:rsidRDefault="001724F6" w:rsidP="00A51F6B">
      <w:pPr>
        <w:spacing w:line="360" w:lineRule="auto"/>
        <w:jc w:val="center"/>
        <w:rPr>
          <w:rFonts w:ascii="Arial" w:hAnsi="Arial" w:cs="Arial"/>
          <w:b/>
          <w:bCs/>
          <w:color w:val="000000" w:themeColor="text1"/>
          <w:sz w:val="24"/>
          <w:szCs w:val="24"/>
          <w:lang w:val="en-GB"/>
        </w:rPr>
      </w:pPr>
      <w:r w:rsidRPr="003319BC">
        <w:rPr>
          <w:rFonts w:ascii="Arial" w:hAnsi="Arial" w:cs="Arial"/>
          <w:noProof/>
          <w:color w:val="000000" w:themeColor="text1"/>
          <w:sz w:val="24"/>
          <w:szCs w:val="24"/>
          <w:lang w:val="en-GB" w:bidi="ar-SA"/>
        </w:rPr>
        <w:lastRenderedPageBreak/>
        <w:drawing>
          <wp:inline distT="0" distB="0" distL="0" distR="0" wp14:anchorId="5B7A00A3" wp14:editId="727751C4">
            <wp:extent cx="4019550" cy="2667000"/>
            <wp:effectExtent l="0" t="0" r="0" b="0"/>
            <wp:docPr id="64415806" name="Picture 6" descr="SWOT analysis of Diageo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WOT analysis of Diageo -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2667000"/>
                    </a:xfrm>
                    <a:prstGeom prst="rect">
                      <a:avLst/>
                    </a:prstGeom>
                    <a:noFill/>
                    <a:ln>
                      <a:noFill/>
                    </a:ln>
                  </pic:spPr>
                </pic:pic>
              </a:graphicData>
            </a:graphic>
          </wp:inline>
        </w:drawing>
      </w:r>
    </w:p>
    <w:p w14:paraId="68275C13" w14:textId="77777777" w:rsidR="0002024D" w:rsidRPr="003319BC" w:rsidRDefault="0002024D" w:rsidP="00A51F6B">
      <w:pPr>
        <w:pStyle w:val="Heading9"/>
        <w:spacing w:line="360" w:lineRule="auto"/>
        <w:jc w:val="both"/>
        <w:rPr>
          <w:sz w:val="24"/>
          <w:szCs w:val="24"/>
          <w:lang w:val="en-GB"/>
        </w:rPr>
      </w:pPr>
    </w:p>
    <w:p w14:paraId="49043E23" w14:textId="77777777" w:rsidR="0002024D" w:rsidRPr="003319BC" w:rsidRDefault="0002024D" w:rsidP="00A51F6B">
      <w:pPr>
        <w:pStyle w:val="BodyText2"/>
        <w:spacing w:line="360" w:lineRule="auto"/>
        <w:jc w:val="both"/>
        <w:rPr>
          <w:color w:val="000000" w:themeColor="text1"/>
          <w:lang w:val="en-GB"/>
        </w:rPr>
      </w:pPr>
      <w:r w:rsidRPr="003319BC">
        <w:rPr>
          <w:color w:val="000000" w:themeColor="text1"/>
          <w:lang w:val="en-GB"/>
        </w:rPr>
        <w:t>The following chart shows Diageo's annual revenue history, net income history, and growth rate from 2020 to 2023.</w:t>
      </w:r>
    </w:p>
    <w:p w14:paraId="42D09A82" w14:textId="77777777" w:rsidR="006A6B19" w:rsidRPr="003319BC" w:rsidRDefault="006A6B19" w:rsidP="00A51F6B">
      <w:pPr>
        <w:spacing w:line="360" w:lineRule="auto"/>
        <w:jc w:val="both"/>
        <w:rPr>
          <w:rFonts w:ascii="Arial" w:hAnsi="Arial" w:cs="Arial"/>
          <w:color w:val="000000" w:themeColor="text1"/>
          <w:sz w:val="24"/>
          <w:szCs w:val="24"/>
          <w:lang w:val="en-GB"/>
        </w:rPr>
      </w:pPr>
    </w:p>
    <w:p w14:paraId="57C4463E" w14:textId="77777777" w:rsidR="006A6B19" w:rsidRPr="003319BC" w:rsidRDefault="006A6B19" w:rsidP="00A76206">
      <w:pPr>
        <w:spacing w:line="360" w:lineRule="auto"/>
        <w:jc w:val="center"/>
        <w:rPr>
          <w:rFonts w:ascii="Arial" w:hAnsi="Arial" w:cs="Arial"/>
          <w:color w:val="000000" w:themeColor="text1"/>
          <w:sz w:val="24"/>
          <w:szCs w:val="24"/>
          <w:lang w:val="en-GB"/>
        </w:rPr>
      </w:pPr>
      <w:r w:rsidRPr="003319BC">
        <w:rPr>
          <w:rFonts w:ascii="Arial" w:hAnsi="Arial" w:cs="Arial"/>
          <w:noProof/>
          <w:color w:val="000000" w:themeColor="text1"/>
          <w:sz w:val="24"/>
          <w:szCs w:val="24"/>
          <w:lang w:val="en-GB" w:bidi="ar-SA"/>
        </w:rPr>
        <w:drawing>
          <wp:inline distT="0" distB="0" distL="0" distR="0" wp14:anchorId="6688C343" wp14:editId="27B7D34F">
            <wp:extent cx="5848350" cy="3200400"/>
            <wp:effectExtent l="0" t="0" r="0" b="0"/>
            <wp:docPr id="82965117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C78A46" w14:textId="1CB6E13B" w:rsidR="00966BFF" w:rsidRPr="003319BC" w:rsidRDefault="00A76206" w:rsidP="00A76206">
      <w:pPr>
        <w:pStyle w:val="Heading9"/>
        <w:spacing w:line="360" w:lineRule="auto"/>
        <w:jc w:val="center"/>
        <w:rPr>
          <w:bCs w:val="0"/>
          <w:sz w:val="24"/>
          <w:szCs w:val="24"/>
          <w:lang w:val="en-GB"/>
        </w:rPr>
      </w:pPr>
      <w:r w:rsidRPr="003319BC">
        <w:rPr>
          <w:sz w:val="24"/>
          <w:szCs w:val="24"/>
          <w:lang w:val="en-GB"/>
        </w:rPr>
        <w:t xml:space="preserve">Figure </w:t>
      </w:r>
      <w:r w:rsidR="00966BFF" w:rsidRPr="003319BC">
        <w:rPr>
          <w:sz w:val="24"/>
          <w:szCs w:val="24"/>
          <w:lang w:val="en-GB"/>
        </w:rPr>
        <w:t>1:</w:t>
      </w:r>
      <w:r w:rsidR="003E73B5">
        <w:rPr>
          <w:sz w:val="24"/>
          <w:szCs w:val="24"/>
          <w:lang w:val="en-GB"/>
        </w:rPr>
        <w:t xml:space="preserve"> </w:t>
      </w:r>
      <w:r w:rsidR="00966BFF" w:rsidRPr="003319BC">
        <w:rPr>
          <w:bCs w:val="0"/>
          <w:sz w:val="24"/>
          <w:szCs w:val="24"/>
          <w:lang w:val="en-GB"/>
        </w:rPr>
        <w:t>Diageo’s</w:t>
      </w:r>
      <w:r w:rsidR="00AC3D80">
        <w:rPr>
          <w:bCs w:val="0"/>
          <w:sz w:val="24"/>
          <w:szCs w:val="24"/>
          <w:lang w:val="en-GB"/>
        </w:rPr>
        <w:t xml:space="preserve"> </w:t>
      </w:r>
      <w:r w:rsidR="00966BFF" w:rsidRPr="003319BC">
        <w:rPr>
          <w:bCs w:val="0"/>
          <w:sz w:val="24"/>
          <w:szCs w:val="24"/>
          <w:lang w:val="en-GB"/>
        </w:rPr>
        <w:t>Annual Total Revenue and Net Income of DIAGEO since 2020</w:t>
      </w:r>
    </w:p>
    <w:p w14:paraId="4510596D" w14:textId="77777777" w:rsidR="00A76206" w:rsidRPr="00501AD0" w:rsidRDefault="00A76206" w:rsidP="00A76206">
      <w:pPr>
        <w:jc w:val="center"/>
        <w:rPr>
          <w:rFonts w:ascii="Arial" w:hAnsi="Arial" w:cs="Arial"/>
          <w:i/>
          <w:iCs/>
          <w:color w:val="000000" w:themeColor="text1"/>
          <w:sz w:val="20"/>
          <w:lang w:val="en-GB"/>
        </w:rPr>
      </w:pPr>
      <w:r w:rsidRPr="00501AD0">
        <w:rPr>
          <w:rFonts w:ascii="Arial" w:hAnsi="Arial" w:cs="Arial"/>
          <w:i/>
          <w:iCs/>
          <w:color w:val="000000" w:themeColor="text1"/>
          <w:sz w:val="20"/>
          <w:lang w:val="en-GB"/>
        </w:rPr>
        <w:t xml:space="preserve">(Source: </w:t>
      </w:r>
      <w:r w:rsidRPr="00501AD0">
        <w:rPr>
          <w:rFonts w:ascii="Arial" w:hAnsi="Arial" w:cs="Arial"/>
          <w:i/>
          <w:iCs/>
          <w:noProof/>
          <w:color w:val="000000" w:themeColor="text1"/>
          <w:sz w:val="20"/>
          <w:lang w:val="en-GB"/>
        </w:rPr>
        <w:t>macrotrends, 2023</w:t>
      </w:r>
      <w:r w:rsidRPr="00501AD0">
        <w:rPr>
          <w:rFonts w:ascii="Arial" w:hAnsi="Arial" w:cs="Arial"/>
          <w:i/>
          <w:iCs/>
          <w:color w:val="000000" w:themeColor="text1"/>
          <w:sz w:val="20"/>
          <w:lang w:val="en-GB"/>
        </w:rPr>
        <w:t>)</w:t>
      </w:r>
    </w:p>
    <w:p w14:paraId="1F4374B4" w14:textId="77777777" w:rsidR="00966BFF" w:rsidRPr="003319BC" w:rsidRDefault="00966BFF" w:rsidP="00A51F6B">
      <w:pPr>
        <w:spacing w:line="360" w:lineRule="auto"/>
        <w:jc w:val="both"/>
        <w:rPr>
          <w:rFonts w:ascii="Arial" w:hAnsi="Arial" w:cs="Arial"/>
          <w:color w:val="000000" w:themeColor="text1"/>
          <w:sz w:val="24"/>
          <w:szCs w:val="24"/>
          <w:lang w:val="en-GB"/>
        </w:rPr>
      </w:pPr>
    </w:p>
    <w:p w14:paraId="79E0E984" w14:textId="77777777" w:rsidR="001F5C8C" w:rsidRPr="003319BC" w:rsidRDefault="00966BFF" w:rsidP="00A51F6B">
      <w:pPr>
        <w:pStyle w:val="BodyText2"/>
        <w:spacing w:line="360" w:lineRule="auto"/>
        <w:jc w:val="both"/>
        <w:rPr>
          <w:color w:val="000000" w:themeColor="text1"/>
          <w:lang w:val="en-GB"/>
        </w:rPr>
      </w:pPr>
      <w:r w:rsidRPr="003319BC">
        <w:rPr>
          <w:color w:val="000000" w:themeColor="text1"/>
          <w:lang w:val="en-GB"/>
        </w:rPr>
        <w:t>Diageo's annual revenue for 2023 increased by 0.22% from 2022, with a 20.02% increase from 2021. The company's annual net income for 2023 increased by 4%, 20.8%, and 101.53% from 2020, reaching $3.58B, a 101.53% increase from 2020</w:t>
      </w:r>
      <w:r w:rsidR="00A76206" w:rsidRPr="003319BC">
        <w:rPr>
          <w:color w:val="000000" w:themeColor="text1"/>
          <w:lang w:val="en-GB"/>
        </w:rPr>
        <w:t xml:space="preserve"> (</w:t>
      </w:r>
      <w:r w:rsidR="00A76206" w:rsidRPr="003319BC">
        <w:rPr>
          <w:noProof/>
          <w:color w:val="000000" w:themeColor="text1"/>
          <w:lang w:val="en-GB"/>
        </w:rPr>
        <w:t>macrotrends, 2023</w:t>
      </w:r>
      <w:r w:rsidR="00A76206" w:rsidRPr="003319BC">
        <w:rPr>
          <w:color w:val="000000" w:themeColor="text1"/>
          <w:lang w:val="en-GB"/>
        </w:rPr>
        <w:t>)</w:t>
      </w:r>
      <w:r w:rsidRPr="003319BC">
        <w:rPr>
          <w:color w:val="000000" w:themeColor="text1"/>
          <w:lang w:val="en-GB"/>
        </w:rPr>
        <w:t>.</w:t>
      </w:r>
    </w:p>
    <w:p w14:paraId="65AC8748" w14:textId="28FE612F" w:rsidR="00EE761C" w:rsidRPr="003319BC" w:rsidRDefault="00EE761C" w:rsidP="004D2D72">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The current worldwide market capital of this company is GBP 94.68 billion (Macrotrends.net, 2023). However, Diageo has faced a 1.63% fall in employee retention in 2021 and works with 28025 employees. The reason behind this decline was the negative impact of Covid-19, changing labour market and wage issues. </w:t>
      </w:r>
    </w:p>
    <w:p w14:paraId="4120251D" w14:textId="77777777" w:rsidR="003319BC" w:rsidRPr="003319BC" w:rsidRDefault="003319BC" w:rsidP="003319BC">
      <w:pPr>
        <w:pStyle w:val="Heading1"/>
        <w:rPr>
          <w:rFonts w:ascii="Arial" w:hAnsi="Arial" w:cs="Arial"/>
        </w:rPr>
      </w:pPr>
      <w:bookmarkStart w:id="3" w:name="_Toc143520695"/>
    </w:p>
    <w:p w14:paraId="26CEB285" w14:textId="093C9032" w:rsidR="00693E9C" w:rsidRPr="003319BC" w:rsidRDefault="00693E9C" w:rsidP="003319BC">
      <w:pPr>
        <w:pStyle w:val="Heading1"/>
        <w:rPr>
          <w:rFonts w:ascii="Arial" w:hAnsi="Arial" w:cs="Arial"/>
        </w:rPr>
      </w:pPr>
      <w:r w:rsidRPr="003319BC">
        <w:rPr>
          <w:rFonts w:ascii="Arial" w:hAnsi="Arial" w:cs="Arial"/>
        </w:rPr>
        <w:t xml:space="preserve">Macro </w:t>
      </w:r>
      <w:r w:rsidRPr="00501AD0">
        <w:rPr>
          <w:rStyle w:val="Heading1Char"/>
          <w:rFonts w:ascii="Arial" w:hAnsi="Arial" w:cs="Arial"/>
          <w:b/>
          <w:bCs/>
        </w:rPr>
        <w:t>E</w:t>
      </w:r>
      <w:r w:rsidR="00A76206" w:rsidRPr="003319BC">
        <w:rPr>
          <w:rFonts w:ascii="Arial" w:hAnsi="Arial" w:cs="Arial"/>
        </w:rPr>
        <w:t>nvironmental analysis</w:t>
      </w:r>
      <w:bookmarkEnd w:id="3"/>
      <w:r w:rsidR="00A76206" w:rsidRPr="003319BC">
        <w:rPr>
          <w:rFonts w:ascii="Arial" w:hAnsi="Arial" w:cs="Arial"/>
        </w:rPr>
        <w:t xml:space="preserve"> </w:t>
      </w:r>
    </w:p>
    <w:p w14:paraId="2F7CA6F4" w14:textId="55B703A5" w:rsidR="006579BF" w:rsidRPr="003319BC" w:rsidRDefault="00CF0F50" w:rsidP="00381A6E">
      <w:pPr>
        <w:pStyle w:val="BodyText"/>
        <w:spacing w:line="360" w:lineRule="auto"/>
        <w:jc w:val="both"/>
        <w:rPr>
          <w:lang w:val="en-GB"/>
        </w:rPr>
      </w:pPr>
      <w:r w:rsidRPr="003319BC">
        <w:rPr>
          <w:lang w:val="en-GB"/>
        </w:rPr>
        <w:t>The macro-environment, the uppermost layer, comprises of broad environmental elements that affect many organizations, businesses, and sectors. The second tier is the industry or sector, which consists of organizations that produce the same products or services, and the third layer is the specific competitors and marketplaces that surround organizations. Organizations rely on their surroundings to survive, which include political, economic, social, technological, legal, and environmental elements. These issues, such as the impact of the Internet, economic growth rates, climate change, and ageing populations on various activities, give both opportunities and challenges</w:t>
      </w:r>
      <w:r w:rsidR="00BD4AB5" w:rsidRPr="003319BC">
        <w:rPr>
          <w:lang w:val="en-GB"/>
        </w:rPr>
        <w:t xml:space="preserve"> (Whittington, Richard, et al, 2020)</w:t>
      </w:r>
      <w:r w:rsidRPr="003319BC">
        <w:rPr>
          <w:lang w:val="en-GB"/>
        </w:rPr>
        <w:t xml:space="preserve">. </w:t>
      </w:r>
      <w:r w:rsidR="006579BF" w:rsidRPr="003319BC">
        <w:rPr>
          <w:lang w:val="en-GB"/>
        </w:rPr>
        <w:t xml:space="preserve">It is very important </w:t>
      </w:r>
      <w:r w:rsidRPr="003319BC">
        <w:rPr>
          <w:lang w:val="en-GB"/>
        </w:rPr>
        <w:t>to understand</w:t>
      </w:r>
      <w:r w:rsidR="006579BF" w:rsidRPr="003319BC">
        <w:rPr>
          <w:lang w:val="en-GB"/>
        </w:rPr>
        <w:t xml:space="preserve"> the macro-environment to respond to marketing changes and to be aware of the changing nature of change itself. </w:t>
      </w:r>
    </w:p>
    <w:p w14:paraId="5C1D981C" w14:textId="77777777" w:rsidR="00D948CE" w:rsidRPr="003319BC" w:rsidRDefault="00000000" w:rsidP="00A51F6B">
      <w:pPr>
        <w:pStyle w:val="NoSpacing"/>
        <w:spacing w:after="160" w:line="360" w:lineRule="auto"/>
        <w:jc w:val="center"/>
        <w:rPr>
          <w:rFonts w:ascii="Arial" w:hAnsi="Arial" w:cs="Arial"/>
          <w:noProof/>
          <w:color w:val="000000" w:themeColor="text1"/>
          <w:sz w:val="24"/>
          <w:szCs w:val="24"/>
          <w:lang w:val="en-GB"/>
        </w:rPr>
      </w:pPr>
      <w:r>
        <w:rPr>
          <w:rFonts w:ascii="Arial" w:hAnsi="Arial" w:cs="Arial"/>
          <w:noProof/>
          <w:color w:val="000000" w:themeColor="text1"/>
          <w:sz w:val="24"/>
          <w:szCs w:val="24"/>
          <w:lang w:val="en-GB"/>
        </w:rPr>
        <w:lastRenderedPageBreak/>
        <w:pict w14:anchorId="52323BBD">
          <v:shapetype id="_x0000_t202" coordsize="21600,21600" o:spt="202" path="m,l,21600r21600,l21600,xe">
            <v:stroke joinstyle="miter"/>
            <v:path gradientshapeok="t" o:connecttype="rect"/>
          </v:shapetype>
          <v:shape id="Text Box 6" o:spid="_x0000_s1027" type="#_x0000_t202" style="position:absolute;left:0;text-align:left;margin-left:-57pt;margin-top:122.25pt;width:49.85pt;height:50.2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">
            <v:textbox>
              <w:txbxContent>
                <w:p w14:paraId="289B53D2" w14:textId="77777777" w:rsidR="00D948CE" w:rsidRDefault="00D948CE" w:rsidP="00D948CE">
                  <w:r>
                    <w:t xml:space="preserve"> Micro-environment</w:t>
                  </w:r>
                </w:p>
              </w:txbxContent>
            </v:textbox>
            <w10:wrap type="square"/>
          </v:shape>
        </w:pict>
      </w:r>
      <w:r>
        <w:rPr>
          <w:rFonts w:ascii="Arial" w:hAnsi="Arial" w:cs="Arial"/>
          <w:noProof/>
          <w:color w:val="000000" w:themeColor="text1"/>
          <w:sz w:val="24"/>
          <w:szCs w:val="24"/>
          <w:lang w:val="en-GB"/>
        </w:rPr>
        <w:pict w14:anchorId="6C2AAAC8">
          <v:line id="Straight Connector 5" o:spid="_x0000_s1029" style="position:absolute;left:0;text-align:left;flip:y;z-index:251660288;visibility:visible;mso-width-relative:margin;mso-height-relative:margin" from="-8.25pt,131.25pt" to="186pt,1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" strokecolor="#4472c4 [3204]" strokeweight=".5pt">
            <v:stroke joinstyle="miter"/>
          </v:line>
        </w:pict>
      </w:r>
      <w:r>
        <w:rPr>
          <w:rFonts w:ascii="Arial" w:hAnsi="Arial" w:cs="Arial"/>
          <w:noProof/>
          <w:color w:val="000000" w:themeColor="text1"/>
          <w:sz w:val="24"/>
          <w:szCs w:val="24"/>
          <w:lang w:val="en-GB"/>
        </w:rPr>
        <w:pict w14:anchorId="3BE6B4CA">
          <v:line id="Straight Connector 4" o:spid="_x0000_s1028" style="position:absolute;left:0;text-align:left;flip:x;z-index:251659264;visibility:visible;mso-width-relative:margin;mso-height-relative:margin" from="-9pt,91.5pt" to="160.5pt,1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" strokecolor="#4472c4 [3204]" strokeweight=".5pt">
            <v:stroke joinstyle="miter"/>
          </v:line>
        </w:pict>
      </w:r>
      <w:r w:rsidR="00D948CE" w:rsidRPr="003319BC">
        <w:rPr>
          <w:rFonts w:ascii="Arial" w:hAnsi="Arial" w:cs="Arial"/>
          <w:noProof/>
          <w:color w:val="000000" w:themeColor="text1"/>
          <w:sz w:val="24"/>
          <w:szCs w:val="24"/>
          <w:lang w:val="en-GB" w:bidi="ar-SA"/>
        </w:rPr>
        <w:drawing>
          <wp:inline distT="0" distB="0" distL="0" distR="0" wp14:anchorId="1CB28639" wp14:editId="0DE20504">
            <wp:extent cx="5505450" cy="3001645"/>
            <wp:effectExtent l="0" t="0" r="0" b="8255"/>
            <wp:docPr id="9680207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6615039" w14:textId="77777777" w:rsidR="00A76206" w:rsidRPr="003319BC" w:rsidRDefault="00A76206" w:rsidP="00A51F6B">
      <w:pPr>
        <w:pStyle w:val="NoSpacing"/>
        <w:spacing w:after="160" w:line="360" w:lineRule="auto"/>
        <w:jc w:val="center"/>
        <w:rPr>
          <w:rFonts w:ascii="Arial" w:hAnsi="Arial" w:cs="Arial"/>
          <w:b/>
          <w:noProof/>
          <w:color w:val="000000" w:themeColor="text1"/>
          <w:sz w:val="24"/>
          <w:szCs w:val="24"/>
          <w:lang w:val="en-GB"/>
        </w:rPr>
      </w:pPr>
      <w:r w:rsidRPr="003319BC">
        <w:rPr>
          <w:rFonts w:ascii="Arial" w:hAnsi="Arial" w:cs="Arial"/>
          <w:b/>
          <w:noProof/>
          <w:color w:val="000000" w:themeColor="text1"/>
          <w:sz w:val="24"/>
          <w:szCs w:val="24"/>
          <w:lang w:val="en-GB"/>
        </w:rPr>
        <w:t>Figure 2: Organisational Enviornmnet</w:t>
      </w:r>
    </w:p>
    <w:p w14:paraId="0E4F83AF" w14:textId="77777777" w:rsidR="00D41DC9" w:rsidRPr="003319BC" w:rsidRDefault="00A76206" w:rsidP="003319BC">
      <w:pPr>
        <w:pStyle w:val="NoSpacing"/>
        <w:spacing w:line="360" w:lineRule="auto"/>
        <w:jc w:val="center"/>
        <w:rPr>
          <w:rFonts w:ascii="Arial" w:hAnsi="Arial" w:cs="Arial"/>
          <w:color w:val="000000" w:themeColor="text1"/>
          <w:sz w:val="24"/>
          <w:szCs w:val="24"/>
          <w:lang w:val="en-GB"/>
        </w:rPr>
      </w:pPr>
      <w:r w:rsidRPr="003319BC">
        <w:rPr>
          <w:rFonts w:ascii="Arial" w:hAnsi="Arial" w:cs="Arial"/>
          <w:bCs/>
          <w:color w:val="000000" w:themeColor="text1"/>
          <w:sz w:val="24"/>
          <w:szCs w:val="24"/>
          <w:lang w:val="en-GB"/>
        </w:rPr>
        <w:t>(</w:t>
      </w:r>
      <w:r w:rsidR="00D41DC9" w:rsidRPr="003319BC">
        <w:rPr>
          <w:rFonts w:ascii="Arial" w:hAnsi="Arial" w:cs="Arial"/>
          <w:bCs/>
          <w:color w:val="000000" w:themeColor="text1"/>
          <w:sz w:val="24"/>
          <w:szCs w:val="24"/>
          <w:lang w:val="en-GB"/>
        </w:rPr>
        <w:t>Source</w:t>
      </w:r>
      <w:r w:rsidRPr="003319BC">
        <w:rPr>
          <w:rFonts w:ascii="Arial" w:hAnsi="Arial" w:cs="Arial"/>
          <w:bCs/>
          <w:color w:val="000000" w:themeColor="text1"/>
          <w:sz w:val="24"/>
          <w:szCs w:val="24"/>
          <w:lang w:val="en-GB"/>
        </w:rPr>
        <w:t xml:space="preserve">: </w:t>
      </w:r>
      <w:r w:rsidRPr="003319BC">
        <w:rPr>
          <w:rFonts w:ascii="Arial" w:hAnsi="Arial" w:cs="Arial"/>
          <w:noProof/>
          <w:color w:val="000000" w:themeColor="text1"/>
          <w:sz w:val="24"/>
          <w:szCs w:val="24"/>
          <w:lang w:val="en-GB"/>
        </w:rPr>
        <w:t>Whittington, et al., 2019)</w:t>
      </w:r>
    </w:p>
    <w:p w14:paraId="5944CF3D" w14:textId="77777777" w:rsidR="003319BC" w:rsidRPr="003319BC" w:rsidRDefault="003319BC" w:rsidP="00A76206">
      <w:pPr>
        <w:pStyle w:val="Heading2"/>
        <w:rPr>
          <w:rFonts w:ascii="Arial" w:hAnsi="Arial" w:cs="Arial"/>
          <w:lang w:val="en-GB"/>
        </w:rPr>
      </w:pPr>
      <w:bookmarkStart w:id="4" w:name="_Toc143520696"/>
    </w:p>
    <w:p w14:paraId="1B7B967C" w14:textId="73748CA7" w:rsidR="00E3068E" w:rsidRPr="003319BC" w:rsidRDefault="00E3068E" w:rsidP="00A76206">
      <w:pPr>
        <w:pStyle w:val="Heading2"/>
        <w:rPr>
          <w:rFonts w:ascii="Arial" w:hAnsi="Arial" w:cs="Arial"/>
          <w:color w:val="2F5496" w:themeColor="accent1" w:themeShade="BF"/>
          <w:sz w:val="32"/>
          <w:szCs w:val="32"/>
          <w:lang w:val="en-GB"/>
        </w:rPr>
      </w:pPr>
      <w:r w:rsidRPr="003319BC">
        <w:rPr>
          <w:rFonts w:ascii="Arial" w:hAnsi="Arial" w:cs="Arial"/>
          <w:color w:val="2F5496" w:themeColor="accent1" w:themeShade="BF"/>
          <w:sz w:val="32"/>
          <w:szCs w:val="32"/>
          <w:lang w:val="en-GB"/>
        </w:rPr>
        <w:t xml:space="preserve">PESTLE </w:t>
      </w:r>
      <w:r w:rsidR="00FD625B" w:rsidRPr="003319BC">
        <w:rPr>
          <w:rFonts w:ascii="Arial" w:hAnsi="Arial" w:cs="Arial"/>
          <w:color w:val="2F5496" w:themeColor="accent1" w:themeShade="BF"/>
          <w:sz w:val="32"/>
          <w:szCs w:val="32"/>
          <w:lang w:val="en-GB"/>
        </w:rPr>
        <w:t>A</w:t>
      </w:r>
      <w:r w:rsidRPr="003319BC">
        <w:rPr>
          <w:rFonts w:ascii="Arial" w:hAnsi="Arial" w:cs="Arial"/>
          <w:color w:val="2F5496" w:themeColor="accent1" w:themeShade="BF"/>
          <w:sz w:val="32"/>
          <w:szCs w:val="32"/>
          <w:lang w:val="en-GB"/>
        </w:rPr>
        <w:t>nalysis</w:t>
      </w:r>
      <w:bookmarkEnd w:id="4"/>
      <w:r w:rsidRPr="003319BC">
        <w:rPr>
          <w:rFonts w:ascii="Arial" w:hAnsi="Arial" w:cs="Arial"/>
          <w:color w:val="2F5496" w:themeColor="accent1" w:themeShade="BF"/>
          <w:sz w:val="32"/>
          <w:szCs w:val="32"/>
          <w:lang w:val="en-GB"/>
        </w:rPr>
        <w:t xml:space="preserve"> </w:t>
      </w:r>
    </w:p>
    <w:p w14:paraId="6F48D894" w14:textId="77777777" w:rsidR="001F5C8C" w:rsidRPr="003319BC" w:rsidRDefault="00FD625B" w:rsidP="00A51F6B">
      <w:pPr>
        <w:spacing w:line="360" w:lineRule="auto"/>
        <w:jc w:val="both"/>
        <w:rPr>
          <w:rFonts w:ascii="Arial" w:hAnsi="Arial" w:cs="Arial"/>
          <w:color w:val="000000" w:themeColor="text1"/>
          <w:sz w:val="24"/>
          <w:szCs w:val="24"/>
          <w:lang w:val="en-GB"/>
        </w:rPr>
      </w:pPr>
      <w:r w:rsidRPr="003319BC">
        <w:rPr>
          <w:rFonts w:ascii="Arial" w:hAnsi="Arial" w:cs="Arial"/>
          <w:color w:val="000000" w:themeColor="text1"/>
          <w:sz w:val="24"/>
          <w:szCs w:val="24"/>
          <w:lang w:val="en-GB"/>
        </w:rPr>
        <w:t xml:space="preserve">PESTLE analysis is going to be used to assess external effects on the Alcohol business. It is based on analysis of marketing, but these outside forces on the sector will be utilised to evaluate the elements influencing the industry's long-term viability. PESTLE is an acronym that implies Political, Economic, Social, Technological, Legal, and Environmental considerations. It provides a comprehensive overview of the alcohol industry's overall environment. The criteria for economic, environmental, socioecological, and global sustainability will be determined by the investigation. It provides a framework for connection with production technologies to assess the strengths and weaknesses of various production </w:t>
      </w:r>
      <w:r w:rsidR="00BA592F" w:rsidRPr="003319BC">
        <w:rPr>
          <w:rFonts w:ascii="Arial" w:hAnsi="Arial" w:cs="Arial"/>
          <w:color w:val="000000" w:themeColor="text1"/>
          <w:sz w:val="24"/>
          <w:szCs w:val="24"/>
          <w:lang w:val="en-GB"/>
        </w:rPr>
        <w:t xml:space="preserve">pathways </w:t>
      </w:r>
      <w:sdt>
        <w:sdtPr>
          <w:rPr>
            <w:rFonts w:ascii="Arial" w:hAnsi="Arial" w:cs="Arial"/>
            <w:color w:val="000000" w:themeColor="text1"/>
            <w:sz w:val="24"/>
            <w:szCs w:val="24"/>
            <w:lang w:val="en-GB"/>
          </w:rPr>
          <w:id w:val="-818189097"/>
          <w:citation/>
        </w:sdtPr>
        <w:sdtContent>
          <w:r w:rsidR="00915DC2" w:rsidRPr="003319BC">
            <w:rPr>
              <w:rFonts w:ascii="Arial" w:hAnsi="Arial" w:cs="Arial"/>
              <w:color w:val="000000" w:themeColor="text1"/>
              <w:sz w:val="24"/>
              <w:szCs w:val="24"/>
              <w:lang w:val="en-GB"/>
            </w:rPr>
            <w:fldChar w:fldCharType="begin"/>
          </w:r>
          <w:r w:rsidRPr="003319BC">
            <w:rPr>
              <w:rFonts w:ascii="Arial" w:hAnsi="Arial" w:cs="Arial"/>
              <w:color w:val="000000" w:themeColor="text1"/>
              <w:sz w:val="24"/>
              <w:szCs w:val="24"/>
              <w:lang w:val="en-GB"/>
            </w:rPr>
            <w:instrText xml:space="preserve"> CITATION Ach19 \l 1033 </w:instrText>
          </w:r>
          <w:r w:rsidR="00915DC2" w:rsidRPr="003319BC">
            <w:rPr>
              <w:rFonts w:ascii="Arial" w:hAnsi="Arial" w:cs="Arial"/>
              <w:color w:val="000000" w:themeColor="text1"/>
              <w:sz w:val="24"/>
              <w:szCs w:val="24"/>
              <w:lang w:val="en-GB"/>
            </w:rPr>
            <w:fldChar w:fldCharType="separate"/>
          </w:r>
          <w:r w:rsidRPr="003319BC">
            <w:rPr>
              <w:rFonts w:ascii="Arial" w:hAnsi="Arial" w:cs="Arial"/>
              <w:noProof/>
              <w:color w:val="000000" w:themeColor="text1"/>
              <w:sz w:val="24"/>
              <w:szCs w:val="24"/>
              <w:lang w:val="en-GB"/>
            </w:rPr>
            <w:t>(Achinas et al., 2019)</w:t>
          </w:r>
          <w:r w:rsidR="00915DC2" w:rsidRPr="003319BC">
            <w:rPr>
              <w:rFonts w:ascii="Arial" w:hAnsi="Arial" w:cs="Arial"/>
              <w:color w:val="000000" w:themeColor="text1"/>
              <w:sz w:val="24"/>
              <w:szCs w:val="24"/>
              <w:lang w:val="en-GB"/>
            </w:rPr>
            <w:fldChar w:fldCharType="end"/>
          </w:r>
        </w:sdtContent>
      </w:sdt>
      <w:r w:rsidRPr="003319BC">
        <w:rPr>
          <w:rFonts w:ascii="Arial" w:hAnsi="Arial" w:cs="Arial"/>
          <w:color w:val="000000" w:themeColor="text1"/>
          <w:sz w:val="24"/>
          <w:szCs w:val="24"/>
          <w:lang w:val="en-GB"/>
        </w:rPr>
        <w:t>.</w:t>
      </w:r>
    </w:p>
    <w:p w14:paraId="58A9952F" w14:textId="77777777"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Political and Legal</w:t>
      </w:r>
    </w:p>
    <w:p w14:paraId="7CCD09CE"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The political stability of this country in the year 2021 was marketed by a score of -0.62 (Theglobaleconomy.com, 2023). Therefore, Diageo experiences several political </w:t>
      </w:r>
      <w:r w:rsidRPr="003319BC">
        <w:rPr>
          <w:color w:val="000000" w:themeColor="text1"/>
          <w:sz w:val="24"/>
          <w:szCs w:val="24"/>
          <w:lang w:val="en-GB"/>
        </w:rPr>
        <w:lastRenderedPageBreak/>
        <w:t xml:space="preserve">barriers in India while processing operational activities such as marketing and entering a new market. </w:t>
      </w:r>
    </w:p>
    <w:p w14:paraId="60FE2CF4" w14:textId="77777777" w:rsidR="007D7A33" w:rsidRPr="003319BC" w:rsidRDefault="007D7A33" w:rsidP="007D7A33">
      <w:pPr>
        <w:pStyle w:val="Normal1"/>
        <w:spacing w:line="360" w:lineRule="auto"/>
        <w:jc w:val="center"/>
        <w:rPr>
          <w:rFonts w:eastAsia="Times New Roman"/>
          <w:b/>
          <w:color w:val="000000" w:themeColor="text1"/>
          <w:sz w:val="24"/>
          <w:szCs w:val="24"/>
          <w:lang w:val="en-GB"/>
        </w:rPr>
      </w:pPr>
      <w:r w:rsidRPr="003319BC">
        <w:rPr>
          <w:rFonts w:eastAsia="Times New Roman"/>
          <w:b/>
          <w:noProof/>
          <w:color w:val="000000" w:themeColor="text1"/>
          <w:sz w:val="24"/>
          <w:szCs w:val="24"/>
          <w:lang w:val="en-GB"/>
        </w:rPr>
        <w:drawing>
          <wp:inline distT="114300" distB="114300" distL="114300" distR="114300" wp14:anchorId="68663541" wp14:editId="3415DBD3">
            <wp:extent cx="5731200" cy="22733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120F7611" w14:textId="77777777" w:rsidR="007D7A33" w:rsidRPr="003319BC" w:rsidRDefault="007D7A33" w:rsidP="007D7A33">
      <w:pPr>
        <w:pStyle w:val="Normal1"/>
        <w:spacing w:line="36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 xml:space="preserve">Figure </w:t>
      </w:r>
      <w:r w:rsidR="00A76206" w:rsidRPr="003319BC">
        <w:rPr>
          <w:rFonts w:eastAsia="Times New Roman"/>
          <w:b/>
          <w:color w:val="000000" w:themeColor="text1"/>
          <w:sz w:val="24"/>
          <w:szCs w:val="24"/>
          <w:lang w:val="en-GB"/>
        </w:rPr>
        <w:t>3</w:t>
      </w:r>
      <w:r w:rsidRPr="003319BC">
        <w:rPr>
          <w:rFonts w:eastAsia="Times New Roman"/>
          <w:b/>
          <w:color w:val="000000" w:themeColor="text1"/>
          <w:sz w:val="24"/>
          <w:szCs w:val="24"/>
          <w:lang w:val="en-GB"/>
        </w:rPr>
        <w:t>: Political Index of the UK</w:t>
      </w:r>
    </w:p>
    <w:p w14:paraId="76313374" w14:textId="77777777" w:rsidR="007D7A33" w:rsidRPr="003319BC" w:rsidRDefault="007D7A33" w:rsidP="007D7A33">
      <w:pPr>
        <w:pStyle w:val="Normal1"/>
        <w:spacing w:line="360" w:lineRule="auto"/>
        <w:jc w:val="center"/>
        <w:rPr>
          <w:color w:val="000000" w:themeColor="text1"/>
          <w:sz w:val="24"/>
          <w:szCs w:val="24"/>
          <w:lang w:val="en-GB"/>
        </w:rPr>
      </w:pPr>
      <w:r w:rsidRPr="003319BC">
        <w:rPr>
          <w:rFonts w:eastAsia="Times New Roman"/>
          <w:color w:val="000000" w:themeColor="text1"/>
          <w:sz w:val="24"/>
          <w:szCs w:val="24"/>
          <w:lang w:val="en-GB"/>
        </w:rPr>
        <w:t>(Source: Theglobaleconomy.com, 2023)</w:t>
      </w:r>
    </w:p>
    <w:p w14:paraId="588FDBB4"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On the other hand, with a score of 0.54, the stable and peaceful political environment of the UK was measured in 2021 (Theglobaleconomy.com, 2023). In international marketing, Diageo can adopt new marketing or management strategies with minimal political barriers. </w:t>
      </w:r>
    </w:p>
    <w:p w14:paraId="21EC7E41" w14:textId="77777777"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Economical</w:t>
      </w:r>
    </w:p>
    <w:p w14:paraId="08B452BE"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In 2023, the total revenue of the alcohol drinks market of India is GBP 49580 million and it is expected that this market will grow by 6.53% within 2017 (Satista.com, 2023). Hence, Diageo can use the opportunity of this favourable economic factor in growing business in India through international marketing.  </w:t>
      </w:r>
    </w:p>
    <w:p w14:paraId="08D6EF4F" w14:textId="77777777"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It has been assumed that the alcohol market growth of the UK can increase by 4% within 2024 (Statista.com, 2023). Thus, the UK economic force is also favourable to Diageo in the case of business expansion.  </w:t>
      </w:r>
    </w:p>
    <w:p w14:paraId="09B0E1E0" w14:textId="77777777" w:rsidR="007D7A33" w:rsidRPr="003319BC" w:rsidRDefault="007D7A33" w:rsidP="007D7A33">
      <w:pPr>
        <w:pStyle w:val="Normal1"/>
        <w:spacing w:line="360" w:lineRule="auto"/>
        <w:jc w:val="center"/>
        <w:rPr>
          <w:rFonts w:eastAsia="Times New Roman"/>
          <w:b/>
          <w:color w:val="000000" w:themeColor="text1"/>
          <w:sz w:val="24"/>
          <w:szCs w:val="24"/>
          <w:lang w:val="en-GB"/>
        </w:rPr>
      </w:pPr>
      <w:r w:rsidRPr="003319BC">
        <w:rPr>
          <w:rFonts w:eastAsia="Times New Roman"/>
          <w:b/>
          <w:noProof/>
          <w:color w:val="000000" w:themeColor="text1"/>
          <w:sz w:val="24"/>
          <w:szCs w:val="24"/>
          <w:lang w:val="en-GB"/>
        </w:rPr>
        <w:lastRenderedPageBreak/>
        <w:drawing>
          <wp:inline distT="114300" distB="114300" distL="114300" distR="114300" wp14:anchorId="459F05FE" wp14:editId="00B5C109">
            <wp:extent cx="5731200" cy="28575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61D5F8A2" w14:textId="77777777" w:rsidR="007D7A33" w:rsidRPr="003319BC" w:rsidRDefault="00DF3792" w:rsidP="00DF3792">
      <w:pPr>
        <w:pStyle w:val="Normal1"/>
        <w:spacing w:line="360" w:lineRule="auto"/>
        <w:jc w:val="center"/>
        <w:rPr>
          <w:b/>
          <w:color w:val="000000" w:themeColor="text1"/>
          <w:sz w:val="24"/>
          <w:szCs w:val="24"/>
          <w:lang w:val="en-GB"/>
        </w:rPr>
      </w:pPr>
      <w:r w:rsidRPr="003319BC">
        <w:rPr>
          <w:b/>
          <w:color w:val="000000" w:themeColor="text1"/>
          <w:sz w:val="24"/>
          <w:szCs w:val="24"/>
          <w:lang w:val="en-GB"/>
        </w:rPr>
        <w:t>Figure</w:t>
      </w:r>
      <w:r w:rsidR="00A76206" w:rsidRPr="003319BC">
        <w:rPr>
          <w:b/>
          <w:color w:val="000000" w:themeColor="text1"/>
          <w:sz w:val="24"/>
          <w:szCs w:val="24"/>
          <w:lang w:val="en-GB"/>
        </w:rPr>
        <w:t xml:space="preserve"> 4</w:t>
      </w:r>
      <w:r w:rsidRPr="003319BC">
        <w:rPr>
          <w:b/>
          <w:color w:val="000000" w:themeColor="text1"/>
          <w:sz w:val="24"/>
          <w:szCs w:val="24"/>
          <w:lang w:val="en-GB"/>
        </w:rPr>
        <w:t>:</w:t>
      </w:r>
      <w:r w:rsidR="007D7A33" w:rsidRPr="003319BC">
        <w:rPr>
          <w:b/>
          <w:color w:val="000000" w:themeColor="text1"/>
          <w:sz w:val="24"/>
          <w:szCs w:val="24"/>
          <w:lang w:val="en-GB"/>
        </w:rPr>
        <w:t xml:space="preserve">  Hofstede Cultural Dimensions between the UK and India</w:t>
      </w:r>
    </w:p>
    <w:p w14:paraId="68B049C6" w14:textId="77777777" w:rsidR="007D7A33" w:rsidRPr="003319BC" w:rsidRDefault="007D7A33" w:rsidP="00DF3792">
      <w:pPr>
        <w:pStyle w:val="Normal1"/>
        <w:spacing w:line="360" w:lineRule="auto"/>
        <w:jc w:val="center"/>
        <w:rPr>
          <w:b/>
          <w:color w:val="000000" w:themeColor="text1"/>
          <w:sz w:val="24"/>
          <w:szCs w:val="24"/>
          <w:lang w:val="en-GB"/>
        </w:rPr>
      </w:pPr>
      <w:r w:rsidRPr="003319BC">
        <w:rPr>
          <w:color w:val="000000" w:themeColor="text1"/>
          <w:sz w:val="24"/>
          <w:szCs w:val="24"/>
          <w:lang w:val="en-GB"/>
        </w:rPr>
        <w:t>(Source: Hofstede-insights.com, 2023)</w:t>
      </w:r>
    </w:p>
    <w:p w14:paraId="4E0B127C" w14:textId="4E705D54" w:rsidR="007D7A33" w:rsidRPr="003319BC" w:rsidRDefault="007D7A33" w:rsidP="007D7A33">
      <w:pPr>
        <w:pStyle w:val="Normal1"/>
        <w:spacing w:line="360" w:lineRule="auto"/>
        <w:jc w:val="both"/>
        <w:rPr>
          <w:b/>
          <w:color w:val="000000" w:themeColor="text1"/>
          <w:sz w:val="24"/>
          <w:szCs w:val="24"/>
          <w:lang w:val="en-GB"/>
        </w:rPr>
      </w:pPr>
      <w:r w:rsidRPr="003319BC">
        <w:rPr>
          <w:b/>
          <w:bCs/>
          <w:color w:val="2F5496" w:themeColor="accent1" w:themeShade="BF"/>
          <w:sz w:val="24"/>
          <w:szCs w:val="24"/>
          <w:lang w:val="en-GB"/>
        </w:rPr>
        <w:t>Hofstede's Cultural Dimensions model</w:t>
      </w:r>
      <w:r w:rsidRPr="003319BC">
        <w:rPr>
          <w:color w:val="000000" w:themeColor="text1"/>
          <w:sz w:val="24"/>
          <w:szCs w:val="24"/>
          <w:lang w:val="en-GB"/>
        </w:rPr>
        <w:t xml:space="preserve"> has been used for identifying the favourable and unfavourable social and cultural factors of Diageo UK and India in terms of power distance, individualism, masculinity, uncertainty avoidance, long-term orientation, and indulgence. The above figure has highlighted the social and cultural scores of both the UK and India. </w:t>
      </w:r>
    </w:p>
    <w:p w14:paraId="19D10BEC"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In terms of individualism and indulgence, India has a low score of 48 and 28 (Hofstede-insights.com, 2023). It indicates that Diageo faces issues with controlling the Indian employees as they are impacted by families, friends and others. On the other hand, with a score of 77 in power distance, the dependence of the Indian employees in Diageo has been represented. These unfavourable factors create barriers to this company while expanding its business in the UK. </w:t>
      </w:r>
    </w:p>
    <w:p w14:paraId="0056E65D" w14:textId="77777777" w:rsidR="00381A6E"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Most of the social and cultural components such as power distance, individualism and masculinity are favourable to Diageo in the UK (Hofstede-insights.com, 2023). It can process the activities of business growth and expansion with supportive and productive employees. </w:t>
      </w:r>
    </w:p>
    <w:p w14:paraId="703D8F25" w14:textId="77777777" w:rsidR="00381A6E" w:rsidRDefault="00381A6E" w:rsidP="007D7A33">
      <w:pPr>
        <w:pStyle w:val="Normal1"/>
        <w:spacing w:line="360" w:lineRule="auto"/>
        <w:jc w:val="both"/>
        <w:rPr>
          <w:b/>
          <w:color w:val="000000" w:themeColor="text1"/>
          <w:sz w:val="24"/>
          <w:szCs w:val="24"/>
          <w:lang w:val="en-GB"/>
        </w:rPr>
      </w:pPr>
    </w:p>
    <w:p w14:paraId="74BA19B4" w14:textId="77777777" w:rsidR="00381A6E" w:rsidRDefault="00381A6E" w:rsidP="007D7A33">
      <w:pPr>
        <w:pStyle w:val="Normal1"/>
        <w:spacing w:line="360" w:lineRule="auto"/>
        <w:jc w:val="both"/>
        <w:rPr>
          <w:b/>
          <w:color w:val="000000" w:themeColor="text1"/>
          <w:sz w:val="24"/>
          <w:szCs w:val="24"/>
          <w:lang w:val="en-GB"/>
        </w:rPr>
      </w:pPr>
    </w:p>
    <w:p w14:paraId="18379A25" w14:textId="77777777" w:rsidR="00381A6E" w:rsidRDefault="00381A6E" w:rsidP="007D7A33">
      <w:pPr>
        <w:pStyle w:val="Normal1"/>
        <w:spacing w:line="360" w:lineRule="auto"/>
        <w:jc w:val="both"/>
        <w:rPr>
          <w:b/>
          <w:color w:val="000000" w:themeColor="text1"/>
          <w:sz w:val="24"/>
          <w:szCs w:val="24"/>
          <w:lang w:val="en-GB"/>
        </w:rPr>
      </w:pPr>
    </w:p>
    <w:p w14:paraId="6CE19E55" w14:textId="22790814"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lastRenderedPageBreak/>
        <w:t>Technological</w:t>
      </w:r>
    </w:p>
    <w:p w14:paraId="2684038A"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The average R&amp;D ratio in India is 0.7% and the large alcoholic drinks brand (Thehindu.com, 2023). Diageo cannot find investors in this country for technological development in marketing or manufacturing. </w:t>
      </w:r>
    </w:p>
    <w:p w14:paraId="318884E6" w14:textId="77777777"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In the UK, online alcohol retailing is increased by 7.3% in 2023 and every wine shop in this country depends on digital technology for marketing (Jernigan and Ross, 2020). This favourable factor regarding technological growth score in the UK assists Diageo in making the international marketing automated.  </w:t>
      </w:r>
    </w:p>
    <w:p w14:paraId="5D5F3522" w14:textId="77777777" w:rsidR="007D7A33" w:rsidRPr="003319BC" w:rsidRDefault="007D7A33" w:rsidP="007D7A33">
      <w:pPr>
        <w:pStyle w:val="Normal1"/>
        <w:spacing w:line="360" w:lineRule="auto"/>
        <w:jc w:val="both"/>
        <w:rPr>
          <w:b/>
          <w:color w:val="000000" w:themeColor="text1"/>
          <w:sz w:val="24"/>
          <w:szCs w:val="24"/>
          <w:lang w:val="en-GB"/>
        </w:rPr>
      </w:pPr>
      <w:r w:rsidRPr="003319BC">
        <w:rPr>
          <w:b/>
          <w:color w:val="000000" w:themeColor="text1"/>
          <w:sz w:val="24"/>
          <w:szCs w:val="24"/>
          <w:lang w:val="en-GB"/>
        </w:rPr>
        <w:t>Environmental</w:t>
      </w:r>
    </w:p>
    <w:p w14:paraId="2886416E" w14:textId="77777777" w:rsidR="007D7A33" w:rsidRPr="003319BC" w:rsidRDefault="007D7A33" w:rsidP="007D7A33">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Less opportunity for waste management and air and water pollution in India make the environmental factor unfavourable to Diageo (Timesofindia.indiatimes.com, 2023). </w:t>
      </w:r>
    </w:p>
    <w:p w14:paraId="4188D7E7" w14:textId="77777777" w:rsidR="00693E9C" w:rsidRPr="003319BC" w:rsidRDefault="007D7A33" w:rsidP="00DF3792">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The issues of temperature change, and high levels of social and air pollution can affect the quality of beverage products negatively. Diageo has to issue of this unfavourable factor while processing business activities in the UK.</w:t>
      </w:r>
    </w:p>
    <w:p w14:paraId="0BBCD17C" w14:textId="77777777" w:rsidR="003319BC" w:rsidRPr="003319BC" w:rsidRDefault="003319BC" w:rsidP="00A76206">
      <w:pPr>
        <w:pStyle w:val="Heading2"/>
        <w:rPr>
          <w:rFonts w:ascii="Arial" w:hAnsi="Arial" w:cs="Arial"/>
          <w:lang w:val="en-GB"/>
        </w:rPr>
      </w:pPr>
      <w:bookmarkStart w:id="5" w:name="_Toc143520697"/>
    </w:p>
    <w:p w14:paraId="39CF8293" w14:textId="3FCF38A4" w:rsidR="00693E9C" w:rsidRPr="003319BC" w:rsidRDefault="00693E9C" w:rsidP="00A76206">
      <w:pPr>
        <w:pStyle w:val="Heading2"/>
        <w:rPr>
          <w:rFonts w:ascii="Arial" w:hAnsi="Arial" w:cs="Arial"/>
          <w:color w:val="2F5496" w:themeColor="accent1" w:themeShade="BF"/>
          <w:sz w:val="32"/>
          <w:szCs w:val="32"/>
          <w:lang w:val="en-GB"/>
        </w:rPr>
      </w:pPr>
      <w:r w:rsidRPr="003319BC">
        <w:rPr>
          <w:rFonts w:ascii="Arial" w:hAnsi="Arial" w:cs="Arial"/>
          <w:color w:val="2F5496" w:themeColor="accent1" w:themeShade="BF"/>
          <w:sz w:val="32"/>
          <w:szCs w:val="32"/>
          <w:lang w:val="en-GB"/>
        </w:rPr>
        <w:t>Porters Five Forces Model:</w:t>
      </w:r>
      <w:bookmarkEnd w:id="5"/>
    </w:p>
    <w:p w14:paraId="68D10A15" w14:textId="77777777" w:rsidR="005E0360" w:rsidRPr="003319BC" w:rsidRDefault="005E0360" w:rsidP="00A51F6B">
      <w:pPr>
        <w:spacing w:line="360" w:lineRule="auto"/>
        <w:jc w:val="both"/>
        <w:rPr>
          <w:rFonts w:ascii="Arial" w:hAnsi="Arial" w:cs="Arial"/>
          <w:color w:val="000000" w:themeColor="text1"/>
          <w:sz w:val="24"/>
          <w:szCs w:val="24"/>
          <w:lang w:val="en-GB"/>
        </w:rPr>
      </w:pPr>
      <w:r w:rsidRPr="003319BC">
        <w:rPr>
          <w:rFonts w:ascii="Arial" w:hAnsi="Arial" w:cs="Arial"/>
          <w:color w:val="000000" w:themeColor="text1"/>
          <w:sz w:val="24"/>
          <w:szCs w:val="24"/>
          <w:lang w:val="en-GB"/>
        </w:rPr>
        <w:t>Dr. Michael Porter's Five Forces Model, established at Harvard Business School, is a strategic management tool for analysing competitive advantage in specific industries. It focuses on the competitive intensity of industry competitors as well as external forces such as new entrants, bargaining power, and substitutes. The approach assists managers in developing threat-mitigation measures</w:t>
      </w:r>
      <w:r w:rsidR="00A76206" w:rsidRPr="003319BC">
        <w:rPr>
          <w:rFonts w:ascii="Arial" w:hAnsi="Arial" w:cs="Arial"/>
          <w:color w:val="000000" w:themeColor="text1"/>
          <w:sz w:val="24"/>
          <w:szCs w:val="24"/>
          <w:lang w:val="en-GB"/>
        </w:rPr>
        <w:t xml:space="preserve"> (</w:t>
      </w:r>
      <w:r w:rsidR="00A76206" w:rsidRPr="003319BC">
        <w:rPr>
          <w:rFonts w:ascii="Arial" w:hAnsi="Arial" w:cs="Arial"/>
          <w:noProof/>
          <w:color w:val="000000" w:themeColor="text1"/>
          <w:sz w:val="24"/>
          <w:szCs w:val="24"/>
          <w:lang w:val="en-GB"/>
        </w:rPr>
        <w:t>Rice &amp; John, 2022</w:t>
      </w:r>
      <w:r w:rsidR="00A76206" w:rsidRPr="003319BC">
        <w:rPr>
          <w:rFonts w:ascii="Arial" w:hAnsi="Arial" w:cs="Arial"/>
          <w:color w:val="000000" w:themeColor="text1"/>
          <w:sz w:val="24"/>
          <w:szCs w:val="24"/>
          <w:lang w:val="en-GB"/>
        </w:rPr>
        <w:t>).</w:t>
      </w:r>
    </w:p>
    <w:p w14:paraId="367CA8D0"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Threat of new entrant in Industry</w:t>
      </w:r>
    </w:p>
    <w:p w14:paraId="6764FD97" w14:textId="139BCD2E" w:rsidR="00285976"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“Threat of new entrants” to Diageom India is moderate to low as any new start-up has to create a market presence by handling the political issues and inflation problem. On the other hand, Diageo has developed a leading presence in the Indian alcoholic drink market using a joint venture strategy (Diageo.com, 2023). In addition, handling such market issues together can be difficult for any company. </w:t>
      </w:r>
    </w:p>
    <w:p w14:paraId="28617561"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The UK provides a positive environment for business growth. Any new entrants regarding beverage companies can use the same strategies for </w:t>
      </w:r>
      <w:r w:rsidRPr="003319BC">
        <w:rPr>
          <w:color w:val="000000" w:themeColor="text1"/>
          <w:sz w:val="24"/>
          <w:szCs w:val="24"/>
          <w:lang w:val="en-GB"/>
        </w:rPr>
        <w:lastRenderedPageBreak/>
        <w:t xml:space="preserve">sustainable growth as Diageo (Diageo.com, 2023). Hence, the “Threat of new entrants” of this company is high. </w:t>
      </w:r>
    </w:p>
    <w:p w14:paraId="3DE0D6D1"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Competition in the Industry</w:t>
      </w:r>
    </w:p>
    <w:p w14:paraId="759DDBD3" w14:textId="77777777" w:rsidR="00285976"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In this country, Diageo has a strong competitor “Eastroc Beverage (Group)”</w:t>
      </w:r>
    </w:p>
    <w:p w14:paraId="44072DEE" w14:textId="77777777" w:rsidR="00285976" w:rsidRPr="003319BC" w:rsidRDefault="00285976" w:rsidP="0061304E">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Yakult, and “Calidad Pascual”. Thus, the competitive rivalry is high to this company. </w:t>
      </w:r>
    </w:p>
    <w:p w14:paraId="6279DC19"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United Kingdom: “</w:t>
      </w:r>
      <w:r w:rsidRPr="003319BC">
        <w:rPr>
          <w:color w:val="000000" w:themeColor="text1"/>
          <w:sz w:val="24"/>
          <w:szCs w:val="24"/>
          <w:lang w:val="en-GB"/>
        </w:rPr>
        <w:t xml:space="preserve">Pernod Ricard”, “Heineken”, “Brown-Forman” and “Constellation Brands” are some strong competitors of Diageo which uses to sell luxury and premium alcoholic drinks in the UK. This high competitive rivalry brings threats to Diageo.  </w:t>
      </w:r>
    </w:p>
    <w:p w14:paraId="77FDA6B6"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Power of suppliers</w:t>
      </w:r>
    </w:p>
    <w:p w14:paraId="58F18914" w14:textId="77777777" w:rsidR="00285976"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The power of suppliers of India is moderate to Diageo as this company does not capture the alcohol drinks market totally yet. </w:t>
      </w:r>
    </w:p>
    <w:p w14:paraId="4524B2EF"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Considering the factors of competition and the opportunity of new entrants increases the power of the suppliers high to Diageo UK. </w:t>
      </w:r>
    </w:p>
    <w:p w14:paraId="2BF15F88"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Power of buyers</w:t>
      </w:r>
    </w:p>
    <w:p w14:paraId="65EA9CAD" w14:textId="77777777" w:rsidR="00285976"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Companies like Heineken and Bacardi sell alcoholic drinks at a low range than Diageo and it makes the power of the buyers high. </w:t>
      </w:r>
    </w:p>
    <w:p w14:paraId="7489827E" w14:textId="77777777" w:rsidR="00285976"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Power of buyers is moderate in the UK to Diageo because of the strong competition. </w:t>
      </w:r>
    </w:p>
    <w:p w14:paraId="5A602052" w14:textId="77777777" w:rsidR="00285976" w:rsidRPr="003319BC" w:rsidRDefault="00285976" w:rsidP="0061304E">
      <w:pPr>
        <w:pStyle w:val="Normal1"/>
        <w:spacing w:line="360" w:lineRule="auto"/>
        <w:jc w:val="both"/>
        <w:rPr>
          <w:b/>
          <w:color w:val="000000" w:themeColor="text1"/>
          <w:sz w:val="24"/>
          <w:szCs w:val="24"/>
          <w:lang w:val="en-GB"/>
        </w:rPr>
      </w:pPr>
      <w:r w:rsidRPr="003319BC">
        <w:rPr>
          <w:b/>
          <w:color w:val="000000" w:themeColor="text1"/>
          <w:sz w:val="24"/>
          <w:szCs w:val="24"/>
          <w:lang w:val="en-GB"/>
        </w:rPr>
        <w:t>Threats of existing substitutes</w:t>
      </w:r>
    </w:p>
    <w:p w14:paraId="34C4D011" w14:textId="77777777" w:rsidR="00693E9C" w:rsidRPr="003319BC" w:rsidRDefault="00285976" w:rsidP="0061304E">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and United Kingdom: </w:t>
      </w:r>
      <w:r w:rsidRPr="003319BC">
        <w:rPr>
          <w:color w:val="000000" w:themeColor="text1"/>
          <w:sz w:val="24"/>
          <w:szCs w:val="24"/>
          <w:lang w:val="en-GB"/>
        </w:rPr>
        <w:t xml:space="preserve">The threat of existing substitutes to Diageo is low in both in the UK and India as they sell more than 200 premium alcohol drinks. </w:t>
      </w:r>
    </w:p>
    <w:p w14:paraId="1A7B882A" w14:textId="77777777" w:rsidR="003319BC" w:rsidRPr="003319BC" w:rsidRDefault="003319BC" w:rsidP="00A76206">
      <w:pPr>
        <w:pStyle w:val="Heading2"/>
        <w:rPr>
          <w:rFonts w:ascii="Arial" w:hAnsi="Arial" w:cs="Arial"/>
          <w:lang w:val="en-GB"/>
        </w:rPr>
      </w:pPr>
      <w:bookmarkStart w:id="6" w:name="_Toc143520698"/>
    </w:p>
    <w:p w14:paraId="7D6EF3B0" w14:textId="14E46ECE" w:rsidR="00693E9C" w:rsidRPr="003319BC" w:rsidRDefault="00693E9C" w:rsidP="00A76206">
      <w:pPr>
        <w:pStyle w:val="Heading2"/>
        <w:rPr>
          <w:rFonts w:ascii="Arial" w:hAnsi="Arial" w:cs="Arial"/>
          <w:color w:val="2F5496" w:themeColor="accent1" w:themeShade="BF"/>
          <w:sz w:val="32"/>
          <w:szCs w:val="32"/>
          <w:lang w:val="en-GB"/>
        </w:rPr>
      </w:pPr>
      <w:r w:rsidRPr="003319BC">
        <w:rPr>
          <w:rFonts w:ascii="Arial" w:hAnsi="Arial" w:cs="Arial"/>
          <w:color w:val="2F5496" w:themeColor="accent1" w:themeShade="BF"/>
          <w:sz w:val="32"/>
          <w:szCs w:val="32"/>
          <w:lang w:val="en-GB"/>
        </w:rPr>
        <w:t>SWOT Analysis:</w:t>
      </w:r>
      <w:bookmarkEnd w:id="6"/>
    </w:p>
    <w:p w14:paraId="2487AD23" w14:textId="77777777" w:rsidR="00844302" w:rsidRPr="003319BC" w:rsidRDefault="00844302" w:rsidP="00A51F6B">
      <w:pPr>
        <w:spacing w:line="360" w:lineRule="auto"/>
        <w:jc w:val="both"/>
        <w:rPr>
          <w:rFonts w:ascii="Arial" w:hAnsi="Arial" w:cs="Arial"/>
          <w:color w:val="000000" w:themeColor="text1"/>
          <w:sz w:val="24"/>
          <w:szCs w:val="24"/>
          <w:lang w:val="en-GB"/>
        </w:rPr>
      </w:pPr>
      <w:r w:rsidRPr="003319BC">
        <w:rPr>
          <w:rFonts w:ascii="Arial" w:hAnsi="Arial" w:cs="Arial"/>
          <w:color w:val="000000" w:themeColor="text1"/>
          <w:sz w:val="24"/>
          <w:szCs w:val="24"/>
          <w:lang w:val="en-GB"/>
        </w:rPr>
        <w:t>SWOT analysis is a technique for categorising an organization's resources and environment into four categories: strengths, weaknesses, opportunities, and threats. It assists organisations in determining their key capabilities for making choices, organising, and strategy development. The ease of use has made it widely adopted in major business and educational institutions since it was developed in the 1960s</w:t>
      </w:r>
      <w:r w:rsidR="00A76206" w:rsidRPr="003319BC">
        <w:rPr>
          <w:rFonts w:ascii="Arial" w:hAnsi="Arial" w:cs="Arial"/>
          <w:color w:val="000000" w:themeColor="text1"/>
          <w:sz w:val="24"/>
          <w:szCs w:val="24"/>
          <w:lang w:val="en-GB"/>
        </w:rPr>
        <w:t xml:space="preserve"> (</w:t>
      </w:r>
      <w:r w:rsidR="00A76206" w:rsidRPr="003319BC">
        <w:rPr>
          <w:rFonts w:ascii="Arial" w:hAnsi="Arial" w:cs="Arial"/>
          <w:noProof/>
          <w:color w:val="000000" w:themeColor="text1"/>
          <w:sz w:val="24"/>
          <w:szCs w:val="24"/>
          <w:lang w:val="en-GB"/>
        </w:rPr>
        <w:t>Phadermrod, et al., 2019</w:t>
      </w:r>
      <w:r w:rsidR="00A76206" w:rsidRPr="003319BC">
        <w:rPr>
          <w:rFonts w:ascii="Arial" w:hAnsi="Arial" w:cs="Arial"/>
          <w:color w:val="000000" w:themeColor="text1"/>
          <w:sz w:val="24"/>
          <w:szCs w:val="24"/>
          <w:lang w:val="en-GB"/>
        </w:rPr>
        <w:t>)</w:t>
      </w:r>
    </w:p>
    <w:p w14:paraId="0409D77C" w14:textId="77777777" w:rsidR="0099646A" w:rsidRPr="003319BC" w:rsidRDefault="0099646A" w:rsidP="0099646A">
      <w:pPr>
        <w:pStyle w:val="Normal1"/>
        <w:spacing w:line="360" w:lineRule="auto"/>
        <w:jc w:val="both"/>
        <w:rPr>
          <w:b/>
          <w:color w:val="000000" w:themeColor="text1"/>
          <w:sz w:val="24"/>
          <w:szCs w:val="24"/>
          <w:lang w:val="en-GB"/>
        </w:rPr>
      </w:pPr>
      <w:r w:rsidRPr="003319BC">
        <w:rPr>
          <w:b/>
          <w:color w:val="000000" w:themeColor="text1"/>
          <w:sz w:val="24"/>
          <w:szCs w:val="24"/>
          <w:lang w:val="en-GB"/>
        </w:rPr>
        <w:t>Strengths</w:t>
      </w:r>
    </w:p>
    <w:p w14:paraId="089C5344"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lastRenderedPageBreak/>
        <w:t xml:space="preserve">India: </w:t>
      </w:r>
      <w:r w:rsidRPr="003319BC">
        <w:rPr>
          <w:color w:val="000000" w:themeColor="text1"/>
          <w:sz w:val="24"/>
          <w:szCs w:val="24"/>
          <w:lang w:val="en-GB"/>
        </w:rPr>
        <w:t xml:space="preserve">In India, Diageo is one of the best-performing companies within the alcohol drinks market (Media.Diageo.com, 2023). This company uses the process of making partnerships with the hotels and restaurants of this country and reach to the customers in an effective manner. </w:t>
      </w:r>
    </w:p>
    <w:p w14:paraId="7033196A"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Diageo has 4% of the total market share of the alcohol drinks market of the UK (Diageo.com, 2023). This company sells premium brands of alcohol in this country and targets both male and female customers. </w:t>
      </w:r>
    </w:p>
    <w:p w14:paraId="7362DCCF" w14:textId="77777777" w:rsidR="0099646A" w:rsidRPr="003319BC" w:rsidRDefault="0099646A" w:rsidP="0099646A">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Hence, Diageo has a leading market power in both of these countries. </w:t>
      </w:r>
    </w:p>
    <w:p w14:paraId="32BDE138" w14:textId="77777777" w:rsidR="0099646A" w:rsidRPr="003319BC" w:rsidRDefault="0099646A" w:rsidP="0099646A">
      <w:pPr>
        <w:pStyle w:val="Normal1"/>
        <w:spacing w:line="360" w:lineRule="auto"/>
        <w:jc w:val="both"/>
        <w:rPr>
          <w:b/>
          <w:color w:val="000000" w:themeColor="text1"/>
          <w:sz w:val="24"/>
          <w:szCs w:val="24"/>
          <w:lang w:val="en-GB"/>
        </w:rPr>
      </w:pPr>
      <w:r w:rsidRPr="003319BC">
        <w:rPr>
          <w:b/>
          <w:color w:val="000000" w:themeColor="text1"/>
          <w:sz w:val="24"/>
          <w:szCs w:val="24"/>
          <w:lang w:val="en-GB"/>
        </w:rPr>
        <w:t>Weaknesses</w:t>
      </w:r>
    </w:p>
    <w:p w14:paraId="3975EA1A" w14:textId="77777777" w:rsidR="0099646A" w:rsidRPr="003319BC" w:rsidRDefault="00C570E1" w:rsidP="00C570E1">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United Kingdom: Diageo got into a lot of financial trouble from Brexit and related trade restrictions since most of the Scotch whiskey which makes up more than 25 % of their global business is manufactured in the United Kingdom. </w:t>
      </w:r>
    </w:p>
    <w:p w14:paraId="7BA2A93B"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Diageo faces the issue related to the volatile global macroeconomic environment in India. In addition, this brand led to an accumulated loss in 2021 due to the economic downfall of this country (Diageo.com, 2023). </w:t>
      </w:r>
    </w:p>
    <w:p w14:paraId="2A4328B5" w14:textId="77777777" w:rsidR="0099646A" w:rsidRPr="003319BC" w:rsidRDefault="0099646A" w:rsidP="0099646A">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Hence, Diageo faced the issues of the negative impact of the covid-19 both in the countries. </w:t>
      </w:r>
    </w:p>
    <w:p w14:paraId="6D7D6D5C" w14:textId="77777777" w:rsidR="0099646A" w:rsidRPr="003319BC" w:rsidRDefault="0099646A" w:rsidP="0099646A">
      <w:pPr>
        <w:pStyle w:val="Normal1"/>
        <w:spacing w:line="360" w:lineRule="auto"/>
        <w:jc w:val="both"/>
        <w:rPr>
          <w:b/>
          <w:color w:val="000000" w:themeColor="text1"/>
          <w:sz w:val="24"/>
          <w:szCs w:val="24"/>
          <w:lang w:val="en-GB"/>
        </w:rPr>
      </w:pPr>
      <w:r w:rsidRPr="003319BC">
        <w:rPr>
          <w:b/>
          <w:color w:val="000000" w:themeColor="text1"/>
          <w:sz w:val="24"/>
          <w:szCs w:val="24"/>
          <w:lang w:val="en-GB"/>
        </w:rPr>
        <w:t>Opportunities</w:t>
      </w:r>
    </w:p>
    <w:p w14:paraId="7FD958CE"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In this country, Diageo has designed a multilayer SCM program for improving business agility (Diageo.com, 2023). In the Indian market, this type of SCM program can be helpful in attracting more investors. On the other hand, the investment in the “Women’s Premier League” in India promotes the presence of this company. </w:t>
      </w:r>
    </w:p>
    <w:p w14:paraId="5030D6BD"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In the UK, Diageo has mainly started to invest in the sustainability and quality growth of alcoholic drinks. In addition, keeping the average marginal revenue and return to shareholders are another two focused areas of this company while operating business in the UK (Diageo.com, 2023). In future, these approaches help this company to improve its market power and presence. </w:t>
      </w:r>
    </w:p>
    <w:p w14:paraId="7CAAECE5" w14:textId="77777777" w:rsidR="0099646A" w:rsidRPr="003319BC" w:rsidRDefault="0099646A" w:rsidP="0099646A">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It has been identified that Diageo has different areas for creating marketing opportunities and improvement in the UK and India. </w:t>
      </w:r>
    </w:p>
    <w:p w14:paraId="1E4A02EE" w14:textId="77777777" w:rsidR="00381A6E" w:rsidRDefault="00381A6E" w:rsidP="0099646A">
      <w:pPr>
        <w:pStyle w:val="Normal1"/>
        <w:spacing w:line="360" w:lineRule="auto"/>
        <w:jc w:val="both"/>
        <w:rPr>
          <w:b/>
          <w:color w:val="000000" w:themeColor="text1"/>
          <w:sz w:val="24"/>
          <w:szCs w:val="24"/>
          <w:lang w:val="en-GB"/>
        </w:rPr>
      </w:pPr>
    </w:p>
    <w:p w14:paraId="16B55ADE" w14:textId="77777777" w:rsidR="00381A6E" w:rsidRDefault="00381A6E" w:rsidP="0099646A">
      <w:pPr>
        <w:pStyle w:val="Normal1"/>
        <w:spacing w:line="360" w:lineRule="auto"/>
        <w:jc w:val="both"/>
        <w:rPr>
          <w:b/>
          <w:color w:val="000000" w:themeColor="text1"/>
          <w:sz w:val="24"/>
          <w:szCs w:val="24"/>
          <w:lang w:val="en-GB"/>
        </w:rPr>
      </w:pPr>
    </w:p>
    <w:p w14:paraId="444EFE09" w14:textId="185F2FB1" w:rsidR="0099646A" w:rsidRPr="003319BC" w:rsidRDefault="0099646A" w:rsidP="0099646A">
      <w:pPr>
        <w:pStyle w:val="Normal1"/>
        <w:spacing w:line="360" w:lineRule="auto"/>
        <w:jc w:val="both"/>
        <w:rPr>
          <w:b/>
          <w:color w:val="000000" w:themeColor="text1"/>
          <w:sz w:val="24"/>
          <w:szCs w:val="24"/>
          <w:lang w:val="en-GB"/>
        </w:rPr>
      </w:pPr>
      <w:r w:rsidRPr="003319BC">
        <w:rPr>
          <w:b/>
          <w:color w:val="000000" w:themeColor="text1"/>
          <w:sz w:val="24"/>
          <w:szCs w:val="24"/>
          <w:lang w:val="en-GB"/>
        </w:rPr>
        <w:lastRenderedPageBreak/>
        <w:t>Threats</w:t>
      </w:r>
    </w:p>
    <w:p w14:paraId="25746807"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India: </w:t>
      </w:r>
      <w:r w:rsidRPr="003319BC">
        <w:rPr>
          <w:color w:val="000000" w:themeColor="text1"/>
          <w:sz w:val="24"/>
          <w:szCs w:val="24"/>
          <w:lang w:val="en-GB"/>
        </w:rPr>
        <w:t xml:space="preserve">The harmonised cost structure after the positive inflation issues of India has brought marketing barriers to this company (Economictimes.indiatimes.com, 2023). This company has to change their internal business policy under the GST regime of India which disrupts its manufacturing and marketing flow. </w:t>
      </w:r>
    </w:p>
    <w:p w14:paraId="7DC79654" w14:textId="77777777" w:rsidR="0099646A" w:rsidRPr="003319BC" w:rsidRDefault="0099646A" w:rsidP="0099646A">
      <w:pPr>
        <w:pStyle w:val="Normal1"/>
        <w:spacing w:line="360" w:lineRule="auto"/>
        <w:jc w:val="both"/>
        <w:rPr>
          <w:color w:val="000000" w:themeColor="text1"/>
          <w:sz w:val="24"/>
          <w:szCs w:val="24"/>
          <w:lang w:val="en-GB"/>
        </w:rPr>
      </w:pPr>
      <w:r w:rsidRPr="003319BC">
        <w:rPr>
          <w:b/>
          <w:color w:val="000000" w:themeColor="text1"/>
          <w:sz w:val="24"/>
          <w:szCs w:val="24"/>
          <w:lang w:val="en-GB"/>
        </w:rPr>
        <w:t xml:space="preserve">United Kingdom: </w:t>
      </w:r>
      <w:r w:rsidRPr="003319BC">
        <w:rPr>
          <w:color w:val="000000" w:themeColor="text1"/>
          <w:sz w:val="24"/>
          <w:szCs w:val="24"/>
          <w:lang w:val="en-GB"/>
        </w:rPr>
        <w:t xml:space="preserve">In the UK, Diageo has strong competitors such as Bacardi, Pernod Ricard, Brown-Forman, and others. This company faces strong competition in international marketing while creating a global competitive advantage. </w:t>
      </w:r>
    </w:p>
    <w:p w14:paraId="6CDF00C9" w14:textId="77777777" w:rsidR="0099646A" w:rsidRPr="003319BC" w:rsidRDefault="0099646A" w:rsidP="0099646A">
      <w:pPr>
        <w:pStyle w:val="Normal1"/>
        <w:spacing w:line="360" w:lineRule="auto"/>
        <w:jc w:val="both"/>
        <w:rPr>
          <w:color w:val="000000" w:themeColor="text1"/>
          <w:sz w:val="24"/>
          <w:szCs w:val="24"/>
          <w:lang w:val="en-GB"/>
        </w:rPr>
      </w:pPr>
      <w:r w:rsidRPr="003319BC">
        <w:rPr>
          <w:color w:val="000000" w:themeColor="text1"/>
          <w:sz w:val="24"/>
          <w:szCs w:val="24"/>
          <w:lang w:val="en-GB"/>
        </w:rPr>
        <w:t xml:space="preserve">Diageo is experiencing different types of threats in operating business in the UK and India. </w:t>
      </w:r>
    </w:p>
    <w:p w14:paraId="082FB003" w14:textId="77777777" w:rsidR="003319BC" w:rsidRPr="003319BC" w:rsidRDefault="003319BC" w:rsidP="003319BC">
      <w:pPr>
        <w:pStyle w:val="Heading1"/>
        <w:rPr>
          <w:rFonts w:ascii="Arial" w:hAnsi="Arial" w:cs="Arial"/>
        </w:rPr>
      </w:pPr>
      <w:bookmarkStart w:id="7" w:name="_Toc143520699"/>
    </w:p>
    <w:p w14:paraId="422E0AFE" w14:textId="002AE213" w:rsidR="00693E9C" w:rsidRPr="003319BC" w:rsidRDefault="00693E9C" w:rsidP="003319BC">
      <w:pPr>
        <w:pStyle w:val="Heading1"/>
        <w:rPr>
          <w:rFonts w:ascii="Arial" w:hAnsi="Arial" w:cs="Arial"/>
        </w:rPr>
      </w:pPr>
      <w:r w:rsidRPr="003319BC">
        <w:rPr>
          <w:rFonts w:ascii="Arial" w:hAnsi="Arial" w:cs="Arial"/>
        </w:rPr>
        <w:t>Segmentation, Targeting &amp; Positioning:</w:t>
      </w:r>
      <w:bookmarkEnd w:id="7"/>
    </w:p>
    <w:p w14:paraId="7B68825E" w14:textId="77777777" w:rsidR="00693E9C" w:rsidRPr="003319BC" w:rsidRDefault="00693E9C" w:rsidP="00A51F6B">
      <w:pPr>
        <w:spacing w:line="360" w:lineRule="auto"/>
        <w:jc w:val="both"/>
        <w:rPr>
          <w:rFonts w:ascii="Arial" w:hAnsi="Arial" w:cs="Arial"/>
          <w:b/>
          <w:bCs/>
          <w:color w:val="000000" w:themeColor="text1"/>
          <w:sz w:val="24"/>
          <w:szCs w:val="24"/>
          <w:lang w:val="en-GB"/>
        </w:rPr>
      </w:pPr>
    </w:p>
    <w:p w14:paraId="735E5704" w14:textId="77777777" w:rsidR="0019187A" w:rsidRPr="003319BC" w:rsidRDefault="0019187A" w:rsidP="00A51F6B">
      <w:pPr>
        <w:spacing w:line="360" w:lineRule="auto"/>
        <w:jc w:val="both"/>
        <w:rPr>
          <w:rFonts w:ascii="Arial" w:hAnsi="Arial" w:cs="Arial"/>
          <w:color w:val="000000" w:themeColor="text1"/>
          <w:sz w:val="24"/>
          <w:szCs w:val="24"/>
          <w:lang w:val="en-GB"/>
        </w:rPr>
      </w:pPr>
      <w:r w:rsidRPr="003319BC">
        <w:rPr>
          <w:rFonts w:ascii="Arial" w:hAnsi="Arial" w:cs="Arial"/>
          <w:color w:val="000000" w:themeColor="text1"/>
          <w:sz w:val="24"/>
          <w:szCs w:val="24"/>
          <w:lang w:val="en-GB"/>
        </w:rPr>
        <w:t xml:space="preserve">Smith established </w:t>
      </w:r>
      <w:r w:rsidRPr="003319BC">
        <w:rPr>
          <w:rFonts w:ascii="Arial" w:hAnsi="Arial" w:cs="Arial"/>
          <w:b/>
          <w:bCs/>
          <w:color w:val="000000" w:themeColor="text1"/>
          <w:sz w:val="24"/>
          <w:szCs w:val="24"/>
          <w:lang w:val="en-GB"/>
        </w:rPr>
        <w:t>segmentation</w:t>
      </w:r>
      <w:r w:rsidRPr="003319BC">
        <w:rPr>
          <w:rFonts w:ascii="Arial" w:hAnsi="Arial" w:cs="Arial"/>
          <w:color w:val="000000" w:themeColor="text1"/>
          <w:sz w:val="24"/>
          <w:szCs w:val="24"/>
          <w:lang w:val="en-GB"/>
        </w:rPr>
        <w:t xml:space="preserve"> in 1957 to categorize consumers based on their needs. It seeks to identify smaller and more homogeneous sub-groups with comparable behavior, backgrounds, values, and demands than the </w:t>
      </w:r>
      <w:r w:rsidR="009B3EBC" w:rsidRPr="003319BC">
        <w:rPr>
          <w:rFonts w:ascii="Arial" w:hAnsi="Arial" w:cs="Arial"/>
          <w:color w:val="000000" w:themeColor="text1"/>
          <w:sz w:val="24"/>
          <w:szCs w:val="24"/>
          <w:lang w:val="en-GB"/>
        </w:rPr>
        <w:t xml:space="preserve">market </w:t>
      </w:r>
      <w:sdt>
        <w:sdtPr>
          <w:rPr>
            <w:rFonts w:ascii="Arial" w:hAnsi="Arial" w:cs="Arial"/>
            <w:color w:val="000000" w:themeColor="text1"/>
            <w:sz w:val="24"/>
            <w:szCs w:val="24"/>
            <w:lang w:val="en-GB"/>
          </w:rPr>
          <w:id w:val="-930041146"/>
          <w:citation/>
        </w:sdtPr>
        <w:sdtContent>
          <w:r w:rsidR="009B3EBC" w:rsidRPr="003319BC">
            <w:rPr>
              <w:rFonts w:ascii="Arial" w:hAnsi="Arial" w:cs="Arial"/>
              <w:color w:val="000000" w:themeColor="text1"/>
              <w:sz w:val="24"/>
              <w:szCs w:val="24"/>
              <w:lang w:val="en-GB"/>
            </w:rPr>
            <w:fldChar w:fldCharType="begin"/>
          </w:r>
          <w:r w:rsidR="009B3EBC" w:rsidRPr="003319BC">
            <w:rPr>
              <w:rFonts w:ascii="Arial" w:hAnsi="Arial" w:cs="Arial"/>
              <w:color w:val="000000" w:themeColor="text1"/>
              <w:sz w:val="24"/>
              <w:szCs w:val="24"/>
              <w:lang w:val="en-GB"/>
            </w:rPr>
            <w:instrText xml:space="preserve">CITATION Bly19 \p 75 \l 1033 </w:instrText>
          </w:r>
          <w:r w:rsidR="009B3EBC" w:rsidRPr="003319BC">
            <w:rPr>
              <w:rFonts w:ascii="Arial" w:hAnsi="Arial" w:cs="Arial"/>
              <w:color w:val="000000" w:themeColor="text1"/>
              <w:sz w:val="24"/>
              <w:szCs w:val="24"/>
              <w:lang w:val="en-GB"/>
            </w:rPr>
            <w:fldChar w:fldCharType="separate"/>
          </w:r>
          <w:r w:rsidR="009B3EBC" w:rsidRPr="003319BC">
            <w:rPr>
              <w:rFonts w:ascii="Arial" w:hAnsi="Arial" w:cs="Arial"/>
              <w:noProof/>
              <w:color w:val="000000" w:themeColor="text1"/>
              <w:sz w:val="24"/>
              <w:szCs w:val="24"/>
              <w:lang w:val="en-GB"/>
            </w:rPr>
            <w:t>(Blythe &amp; Martin, 2019, p. 75)</w:t>
          </w:r>
          <w:r w:rsidR="009B3EBC" w:rsidRPr="003319BC">
            <w:rPr>
              <w:rFonts w:ascii="Arial" w:hAnsi="Arial" w:cs="Arial"/>
              <w:color w:val="000000" w:themeColor="text1"/>
              <w:sz w:val="24"/>
              <w:szCs w:val="24"/>
              <w:lang w:val="en-GB"/>
            </w:rPr>
            <w:fldChar w:fldCharType="end"/>
          </w:r>
        </w:sdtContent>
      </w:sdt>
      <w:r w:rsidR="009B3EBC" w:rsidRPr="003319BC">
        <w:rPr>
          <w:rFonts w:ascii="Arial" w:hAnsi="Arial" w:cs="Arial"/>
          <w:color w:val="000000" w:themeColor="text1"/>
          <w:sz w:val="24"/>
          <w:szCs w:val="24"/>
          <w:lang w:val="en-GB"/>
        </w:rPr>
        <w:t>.</w:t>
      </w:r>
    </w:p>
    <w:p w14:paraId="053D32DC" w14:textId="77777777" w:rsidR="0019187A" w:rsidRPr="003319BC" w:rsidRDefault="0019187A" w:rsidP="00A51F6B">
      <w:pPr>
        <w:spacing w:line="360" w:lineRule="auto"/>
        <w:jc w:val="both"/>
        <w:rPr>
          <w:rFonts w:ascii="Arial" w:hAnsi="Arial" w:cs="Arial"/>
          <w:color w:val="000000" w:themeColor="text1"/>
          <w:sz w:val="24"/>
          <w:szCs w:val="24"/>
          <w:lang w:val="en-GB"/>
        </w:rPr>
      </w:pPr>
      <w:r w:rsidRPr="003319BC">
        <w:rPr>
          <w:rFonts w:ascii="Arial" w:hAnsi="Arial" w:cs="Arial"/>
          <w:b/>
          <w:bCs/>
          <w:color w:val="000000" w:themeColor="text1"/>
          <w:sz w:val="24"/>
          <w:szCs w:val="24"/>
          <w:lang w:val="en-GB"/>
        </w:rPr>
        <w:t>Targeting</w:t>
      </w:r>
      <w:r w:rsidRPr="003319BC">
        <w:rPr>
          <w:rFonts w:ascii="Arial" w:hAnsi="Arial" w:cs="Arial"/>
          <w:color w:val="000000" w:themeColor="text1"/>
          <w:sz w:val="24"/>
          <w:szCs w:val="24"/>
          <w:lang w:val="en-GB"/>
        </w:rPr>
        <w:t xml:space="preserve"> is the process of determining which segments marketers should target to fulfil marketing objectives. Segmentation gives information on profitable segments and assists organizations in achieving strategic goals</w:t>
      </w:r>
      <w:r w:rsidR="009B3EBC" w:rsidRPr="003319BC">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43645479"/>
          <w:citation/>
        </w:sdtPr>
        <w:sdtContent>
          <w:r w:rsidR="009B3EBC" w:rsidRPr="003319BC">
            <w:rPr>
              <w:rFonts w:ascii="Arial" w:hAnsi="Arial" w:cs="Arial"/>
              <w:color w:val="000000" w:themeColor="text1"/>
              <w:sz w:val="24"/>
              <w:szCs w:val="24"/>
              <w:lang w:val="en-GB"/>
            </w:rPr>
            <w:fldChar w:fldCharType="begin"/>
          </w:r>
          <w:r w:rsidR="009B3EBC" w:rsidRPr="003319BC">
            <w:rPr>
              <w:rFonts w:ascii="Arial" w:hAnsi="Arial" w:cs="Arial"/>
              <w:color w:val="000000" w:themeColor="text1"/>
              <w:sz w:val="24"/>
              <w:szCs w:val="24"/>
              <w:lang w:val="en-GB"/>
            </w:rPr>
            <w:instrText xml:space="preserve">CITATION Bly19 \p 76 \l 1033 </w:instrText>
          </w:r>
          <w:r w:rsidR="009B3EBC" w:rsidRPr="003319BC">
            <w:rPr>
              <w:rFonts w:ascii="Arial" w:hAnsi="Arial" w:cs="Arial"/>
              <w:color w:val="000000" w:themeColor="text1"/>
              <w:sz w:val="24"/>
              <w:szCs w:val="24"/>
              <w:lang w:val="en-GB"/>
            </w:rPr>
            <w:fldChar w:fldCharType="separate"/>
          </w:r>
          <w:r w:rsidR="009B3EBC" w:rsidRPr="003319BC">
            <w:rPr>
              <w:rFonts w:ascii="Arial" w:hAnsi="Arial" w:cs="Arial"/>
              <w:noProof/>
              <w:color w:val="000000" w:themeColor="text1"/>
              <w:sz w:val="24"/>
              <w:szCs w:val="24"/>
              <w:lang w:val="en-GB"/>
            </w:rPr>
            <w:t>(Blythe &amp; Martin, 2019, p. 76)</w:t>
          </w:r>
          <w:r w:rsidR="009B3EBC" w:rsidRPr="003319BC">
            <w:rPr>
              <w:rFonts w:ascii="Arial" w:hAnsi="Arial" w:cs="Arial"/>
              <w:color w:val="000000" w:themeColor="text1"/>
              <w:sz w:val="24"/>
              <w:szCs w:val="24"/>
              <w:lang w:val="en-GB"/>
            </w:rPr>
            <w:fldChar w:fldCharType="end"/>
          </w:r>
        </w:sdtContent>
      </w:sdt>
    </w:p>
    <w:p w14:paraId="17D4E5E2" w14:textId="77777777" w:rsidR="0019187A" w:rsidRPr="003319BC" w:rsidRDefault="0019187A" w:rsidP="00A51F6B">
      <w:pPr>
        <w:pStyle w:val="BodyText3"/>
        <w:spacing w:line="360" w:lineRule="auto"/>
        <w:jc w:val="both"/>
        <w:rPr>
          <w:color w:val="000000" w:themeColor="text1"/>
          <w:lang w:val="en-GB"/>
        </w:rPr>
      </w:pPr>
      <w:r w:rsidRPr="003319BC">
        <w:rPr>
          <w:color w:val="000000" w:themeColor="text1"/>
          <w:lang w:val="en-GB"/>
        </w:rPr>
        <w:t>Positioning</w:t>
      </w:r>
      <w:r w:rsidRPr="003319BC">
        <w:rPr>
          <w:b w:val="0"/>
          <w:bCs w:val="0"/>
          <w:color w:val="000000" w:themeColor="text1"/>
          <w:lang w:val="en-GB"/>
        </w:rPr>
        <w:t xml:space="preserve"> refers to a brand's relationship with other brands aimed at the same category, with a focus on perceptions and market position compared to other brands</w:t>
      </w:r>
      <w:sdt>
        <w:sdtPr>
          <w:rPr>
            <w:b w:val="0"/>
            <w:bCs w:val="0"/>
            <w:color w:val="000000" w:themeColor="text1"/>
            <w:lang w:val="en-GB"/>
          </w:rPr>
          <w:id w:val="-356351808"/>
          <w:citation/>
        </w:sdtPr>
        <w:sdtContent>
          <w:r w:rsidR="00915DC2" w:rsidRPr="003319BC">
            <w:rPr>
              <w:b w:val="0"/>
              <w:bCs w:val="0"/>
              <w:color w:val="000000" w:themeColor="text1"/>
              <w:lang w:val="en-GB"/>
            </w:rPr>
            <w:fldChar w:fldCharType="begin"/>
          </w:r>
          <w:r w:rsidR="00340CB2" w:rsidRPr="003319BC">
            <w:rPr>
              <w:b w:val="0"/>
              <w:bCs w:val="0"/>
              <w:color w:val="000000" w:themeColor="text1"/>
              <w:lang w:val="en-GB"/>
            </w:rPr>
            <w:instrText xml:space="preserve">CITATION Bly19 \p 76 \l 1033 </w:instrText>
          </w:r>
          <w:r w:rsidR="00915DC2" w:rsidRPr="003319BC">
            <w:rPr>
              <w:b w:val="0"/>
              <w:bCs w:val="0"/>
              <w:color w:val="000000" w:themeColor="text1"/>
              <w:lang w:val="en-GB"/>
            </w:rPr>
            <w:fldChar w:fldCharType="separate"/>
          </w:r>
          <w:r w:rsidR="00340CB2" w:rsidRPr="003319BC">
            <w:rPr>
              <w:b w:val="0"/>
              <w:bCs w:val="0"/>
              <w:noProof/>
              <w:color w:val="000000" w:themeColor="text1"/>
              <w:lang w:val="en-GB"/>
            </w:rPr>
            <w:t xml:space="preserve"> (Blythe &amp; Martin, 2019, p. 76)</w:t>
          </w:r>
          <w:r w:rsidR="00915DC2" w:rsidRPr="003319BC">
            <w:rPr>
              <w:b w:val="0"/>
              <w:bCs w:val="0"/>
              <w:color w:val="000000" w:themeColor="text1"/>
              <w:lang w:val="en-GB"/>
            </w:rPr>
            <w:fldChar w:fldCharType="end"/>
          </w:r>
        </w:sdtContent>
      </w:sdt>
      <w:r w:rsidRPr="003319BC">
        <w:rPr>
          <w:b w:val="0"/>
          <w:bCs w:val="0"/>
          <w:color w:val="000000" w:themeColor="text1"/>
          <w:lang w:val="en-GB"/>
        </w:rPr>
        <w:t>.</w:t>
      </w:r>
    </w:p>
    <w:p w14:paraId="5D83DF46" w14:textId="77777777" w:rsidR="00693E9C" w:rsidRPr="003319BC" w:rsidRDefault="00693E9C" w:rsidP="00A51F6B">
      <w:pPr>
        <w:pStyle w:val="BodyText"/>
        <w:spacing w:line="360" w:lineRule="auto"/>
        <w:jc w:val="both"/>
        <w:rPr>
          <w:lang w:val="en-GB"/>
        </w:rPr>
      </w:pPr>
      <w:r w:rsidRPr="003319BC">
        <w:rPr>
          <w:lang w:val="en-GB"/>
        </w:rPr>
        <w:t xml:space="preserve">Discuss any similarities and differences with the </w:t>
      </w:r>
      <w:r w:rsidR="0019187A" w:rsidRPr="003319BC">
        <w:rPr>
          <w:lang w:val="en-GB"/>
        </w:rPr>
        <w:t>India and UK</w:t>
      </w:r>
      <w:r w:rsidRPr="003319BC">
        <w:rPr>
          <w:lang w:val="en-GB"/>
        </w:rPr>
        <w:t xml:space="preserve"> in relation to STP.</w:t>
      </w:r>
    </w:p>
    <w:p w14:paraId="2B0B8391" w14:textId="77777777" w:rsidR="00381A6E" w:rsidRDefault="00381A6E" w:rsidP="00A76206">
      <w:pPr>
        <w:pStyle w:val="Heading2"/>
        <w:rPr>
          <w:rFonts w:ascii="Arial" w:hAnsi="Arial" w:cs="Arial"/>
        </w:rPr>
      </w:pPr>
      <w:bookmarkStart w:id="8" w:name="_Toc143520700"/>
    </w:p>
    <w:p w14:paraId="1EBA3789" w14:textId="77777777" w:rsidR="00381A6E" w:rsidRDefault="00381A6E" w:rsidP="00A76206">
      <w:pPr>
        <w:pStyle w:val="Heading2"/>
        <w:rPr>
          <w:rFonts w:ascii="Arial" w:hAnsi="Arial" w:cs="Arial"/>
        </w:rPr>
      </w:pPr>
    </w:p>
    <w:p w14:paraId="271967E8" w14:textId="73C3199B" w:rsidR="00A737F9" w:rsidRDefault="00A737F9" w:rsidP="00A76206">
      <w:pPr>
        <w:pStyle w:val="Heading2"/>
        <w:rPr>
          <w:rFonts w:ascii="Arial" w:hAnsi="Arial" w:cs="Arial"/>
        </w:rPr>
      </w:pPr>
      <w:r w:rsidRPr="003319BC">
        <w:rPr>
          <w:rFonts w:ascii="Arial" w:hAnsi="Arial" w:cs="Arial"/>
        </w:rPr>
        <w:t>Segmentation, targeting and positioning to DIAGEO</w:t>
      </w:r>
      <w:bookmarkEnd w:id="8"/>
    </w:p>
    <w:p w14:paraId="14649E0B" w14:textId="77777777" w:rsidR="00381A6E" w:rsidRPr="00381A6E" w:rsidRDefault="00381A6E" w:rsidP="00381A6E"/>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75"/>
        <w:gridCol w:w="4725"/>
      </w:tblGrid>
      <w:tr w:rsidR="00C974B2" w:rsidRPr="003319BC" w14:paraId="6351EBD9" w14:textId="77777777" w:rsidTr="00537F6F">
        <w:trPr>
          <w:cantSplit/>
          <w:tblHeader/>
          <w:jc w:val="center"/>
        </w:trPr>
        <w:tc>
          <w:tcPr>
            <w:tcW w:w="4275" w:type="dxa"/>
            <w:shd w:val="clear" w:color="auto" w:fill="auto"/>
            <w:tcMar>
              <w:top w:w="100" w:type="dxa"/>
              <w:left w:w="100" w:type="dxa"/>
              <w:bottom w:w="100" w:type="dxa"/>
              <w:right w:w="100" w:type="dxa"/>
            </w:tcMar>
          </w:tcPr>
          <w:p w14:paraId="14B40334" w14:textId="77777777" w:rsidR="00A737F9" w:rsidRPr="003319BC" w:rsidRDefault="00A737F9" w:rsidP="00537F6F">
            <w:pPr>
              <w:pStyle w:val="Normal1"/>
              <w:widowControl w:val="0"/>
              <w:spacing w:line="24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“Segmentation Similarities of the UK and India”</w:t>
            </w:r>
          </w:p>
        </w:tc>
        <w:tc>
          <w:tcPr>
            <w:tcW w:w="4725" w:type="dxa"/>
            <w:shd w:val="clear" w:color="auto" w:fill="auto"/>
            <w:tcMar>
              <w:top w:w="100" w:type="dxa"/>
              <w:left w:w="100" w:type="dxa"/>
              <w:bottom w:w="100" w:type="dxa"/>
              <w:right w:w="100" w:type="dxa"/>
            </w:tcMar>
          </w:tcPr>
          <w:p w14:paraId="58EBA626" w14:textId="77777777" w:rsidR="00A737F9" w:rsidRPr="003319BC" w:rsidRDefault="00A737F9" w:rsidP="00537F6F">
            <w:pPr>
              <w:pStyle w:val="Normal1"/>
              <w:widowControl w:val="0"/>
              <w:spacing w:line="24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“Segmentation differences between the UK and India”</w:t>
            </w:r>
          </w:p>
        </w:tc>
      </w:tr>
      <w:tr w:rsidR="00C974B2" w:rsidRPr="003319BC" w14:paraId="43187EB5" w14:textId="77777777" w:rsidTr="00537F6F">
        <w:trPr>
          <w:cantSplit/>
          <w:tblHeader/>
          <w:jc w:val="center"/>
        </w:trPr>
        <w:tc>
          <w:tcPr>
            <w:tcW w:w="4275" w:type="dxa"/>
            <w:shd w:val="clear" w:color="auto" w:fill="auto"/>
            <w:tcMar>
              <w:top w:w="100" w:type="dxa"/>
              <w:left w:w="100" w:type="dxa"/>
              <w:bottom w:w="100" w:type="dxa"/>
              <w:right w:w="100" w:type="dxa"/>
            </w:tcMar>
          </w:tcPr>
          <w:p w14:paraId="58D1E130" w14:textId="77777777" w:rsidR="00A737F9" w:rsidRPr="003319BC" w:rsidRDefault="00A737F9" w:rsidP="00537F6F">
            <w:pPr>
              <w:pStyle w:val="Normal1"/>
              <w:widowControl w:val="0"/>
              <w:spacing w:line="360" w:lineRule="auto"/>
              <w:jc w:val="both"/>
              <w:rPr>
                <w:rFonts w:eastAsia="Times New Roman"/>
                <w:color w:val="000000" w:themeColor="text1"/>
                <w:sz w:val="24"/>
                <w:szCs w:val="24"/>
                <w:lang w:val="en-GB"/>
              </w:rPr>
            </w:pPr>
          </w:p>
          <w:p w14:paraId="09973DD7" w14:textId="77777777" w:rsidR="009371B2" w:rsidRDefault="009371B2" w:rsidP="00537F6F">
            <w:pPr>
              <w:pStyle w:val="Normal1"/>
              <w:widowControl w:val="0"/>
              <w:spacing w:line="360" w:lineRule="auto"/>
              <w:jc w:val="both"/>
              <w:rPr>
                <w:rFonts w:eastAsia="Times New Roman"/>
                <w:color w:val="000000" w:themeColor="text1"/>
                <w:sz w:val="24"/>
                <w:szCs w:val="24"/>
                <w:lang w:val="en-GB"/>
              </w:rPr>
            </w:pPr>
          </w:p>
          <w:p w14:paraId="583288E5" w14:textId="77777777" w:rsidR="009371B2" w:rsidRDefault="009371B2" w:rsidP="00537F6F">
            <w:pPr>
              <w:pStyle w:val="Normal1"/>
              <w:widowControl w:val="0"/>
              <w:spacing w:line="360" w:lineRule="auto"/>
              <w:jc w:val="both"/>
              <w:rPr>
                <w:rFonts w:eastAsia="Times New Roman"/>
                <w:color w:val="000000" w:themeColor="text1"/>
                <w:sz w:val="24"/>
                <w:szCs w:val="24"/>
                <w:lang w:val="en-GB"/>
              </w:rPr>
            </w:pPr>
          </w:p>
          <w:p w14:paraId="06B8C3DC" w14:textId="0A2C151C" w:rsidR="00A737F9" w:rsidRPr="003319BC" w:rsidRDefault="00A737F9" w:rsidP="00537F6F">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The UK and India both have language diversity, cultural diversity and political diversity. Both countries have social norms that bound the different cultural people in a single module.</w:t>
            </w:r>
          </w:p>
        </w:tc>
        <w:tc>
          <w:tcPr>
            <w:tcW w:w="4725" w:type="dxa"/>
            <w:shd w:val="clear" w:color="auto" w:fill="auto"/>
            <w:tcMar>
              <w:top w:w="100" w:type="dxa"/>
              <w:left w:w="100" w:type="dxa"/>
              <w:bottom w:w="100" w:type="dxa"/>
              <w:right w:w="100" w:type="dxa"/>
            </w:tcMar>
          </w:tcPr>
          <w:p w14:paraId="793E8518" w14:textId="77777777" w:rsidR="00A737F9" w:rsidRPr="003319BC" w:rsidRDefault="00A737F9" w:rsidP="00A737F9">
            <w:pPr>
              <w:pStyle w:val="Normal1"/>
              <w:widowControl w:val="0"/>
              <w:numPr>
                <w:ilvl w:val="0"/>
                <w:numId w:val="10"/>
              </w:numPr>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The UK has a less diverse culture and people diversity based on religion and ethnicity than India. </w:t>
            </w:r>
          </w:p>
          <w:p w14:paraId="6E84D011" w14:textId="77777777" w:rsidR="00A737F9" w:rsidRPr="003319BC" w:rsidRDefault="00A737F9" w:rsidP="00A737F9">
            <w:pPr>
              <w:pStyle w:val="Normal1"/>
              <w:widowControl w:val="0"/>
              <w:numPr>
                <w:ilvl w:val="0"/>
                <w:numId w:val="10"/>
              </w:numPr>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The UK has a uniform economic structure that distributes power equally among the states, on the other hand, India experiences economic inequality among states. </w:t>
            </w:r>
          </w:p>
          <w:p w14:paraId="782F212C" w14:textId="77777777" w:rsidR="00A737F9" w:rsidRPr="003319BC" w:rsidRDefault="00A737F9" w:rsidP="009371B2">
            <w:pPr>
              <w:pStyle w:val="Normal1"/>
              <w:widowControl w:val="0"/>
              <w:numPr>
                <w:ilvl w:val="0"/>
                <w:numId w:val="10"/>
              </w:numPr>
              <w:spacing w:line="360" w:lineRule="auto"/>
              <w:rPr>
                <w:rFonts w:eastAsia="Times New Roman"/>
                <w:color w:val="000000" w:themeColor="text1"/>
                <w:sz w:val="24"/>
                <w:szCs w:val="24"/>
                <w:lang w:val="en-GB"/>
              </w:rPr>
            </w:pPr>
            <w:r w:rsidRPr="003319BC">
              <w:rPr>
                <w:rFonts w:eastAsia="Times New Roman"/>
                <w:color w:val="000000" w:themeColor="text1"/>
                <w:sz w:val="24"/>
                <w:szCs w:val="24"/>
                <w:lang w:val="en-GB"/>
              </w:rPr>
              <w:t xml:space="preserve">The caste system is present in India but not in the UK. India has a federal parliamentary democratic republic system and the UK has a parliamentary constitutional monarchy. </w:t>
            </w:r>
          </w:p>
        </w:tc>
      </w:tr>
    </w:tbl>
    <w:p w14:paraId="1DC1CAFC" w14:textId="77777777" w:rsidR="00A737F9" w:rsidRPr="003319BC" w:rsidRDefault="00A737F9" w:rsidP="00A737F9">
      <w:pPr>
        <w:pStyle w:val="Heading5"/>
        <w:keepNext w:val="0"/>
        <w:spacing w:after="0" w:line="360" w:lineRule="auto"/>
        <w:jc w:val="center"/>
        <w:rPr>
          <w:rFonts w:eastAsia="Times New Roman"/>
          <w:b w:val="0"/>
          <w:lang w:val="en-GB"/>
        </w:rPr>
      </w:pPr>
      <w:bookmarkStart w:id="9" w:name="_35nkun2" w:colFirst="0" w:colLast="0"/>
      <w:bookmarkEnd w:id="9"/>
      <w:r w:rsidRPr="003319BC">
        <w:rPr>
          <w:rFonts w:eastAsia="Times New Roman"/>
          <w:lang w:val="en-GB"/>
        </w:rPr>
        <w:t>Table: “ Segmentation Similarities and Differences between the UK and India”</w:t>
      </w:r>
    </w:p>
    <w:p w14:paraId="2E94E83C" w14:textId="77777777" w:rsidR="00A737F9" w:rsidRPr="003319BC" w:rsidRDefault="00A737F9" w:rsidP="00A737F9">
      <w:pPr>
        <w:pStyle w:val="Normal1"/>
        <w:spacing w:line="360" w:lineRule="auto"/>
        <w:jc w:val="center"/>
        <w:rPr>
          <w:rFonts w:eastAsia="Times New Roman"/>
          <w:color w:val="000000" w:themeColor="text1"/>
          <w:sz w:val="24"/>
          <w:szCs w:val="24"/>
          <w:lang w:val="en-GB"/>
        </w:rPr>
      </w:pPr>
      <w:r w:rsidRPr="003319BC">
        <w:rPr>
          <w:rFonts w:eastAsia="Times New Roman"/>
          <w:color w:val="000000" w:themeColor="text1"/>
          <w:sz w:val="24"/>
          <w:szCs w:val="24"/>
          <w:lang w:val="en-GB"/>
        </w:rPr>
        <w:t>(Source: Self-developed)</w:t>
      </w:r>
    </w:p>
    <w:p w14:paraId="219E129A" w14:textId="77777777" w:rsidR="00A737F9" w:rsidRPr="003319BC" w:rsidRDefault="00A737F9" w:rsidP="00A737F9">
      <w:pPr>
        <w:pStyle w:val="Normal1"/>
        <w:spacing w:line="360" w:lineRule="auto"/>
        <w:jc w:val="both"/>
        <w:rPr>
          <w:rFonts w:eastAsia="Times New Roman"/>
          <w:b/>
          <w:color w:val="000000" w:themeColor="text1"/>
          <w:sz w:val="24"/>
          <w:szCs w:val="24"/>
          <w:lang w:val="en-GB"/>
        </w:rPr>
      </w:pPr>
    </w:p>
    <w:p w14:paraId="483C5864" w14:textId="77777777" w:rsidR="00A737F9" w:rsidRDefault="00A737F9" w:rsidP="00A737F9">
      <w:pPr>
        <w:pStyle w:val="Normal1"/>
        <w:spacing w:line="360" w:lineRule="auto"/>
        <w:jc w:val="both"/>
        <w:rPr>
          <w:rFonts w:eastAsia="Times New Roman"/>
          <w:b/>
          <w:color w:val="000000" w:themeColor="text1"/>
          <w:sz w:val="24"/>
          <w:szCs w:val="24"/>
          <w:lang w:val="en-GB"/>
        </w:rPr>
      </w:pPr>
    </w:p>
    <w:p w14:paraId="462AC562" w14:textId="77777777" w:rsidR="003E73B5" w:rsidRDefault="003E73B5" w:rsidP="00A737F9">
      <w:pPr>
        <w:pStyle w:val="Normal1"/>
        <w:spacing w:line="360" w:lineRule="auto"/>
        <w:jc w:val="both"/>
        <w:rPr>
          <w:rFonts w:eastAsia="Times New Roman"/>
          <w:b/>
          <w:color w:val="000000" w:themeColor="text1"/>
          <w:sz w:val="24"/>
          <w:szCs w:val="24"/>
          <w:lang w:val="en-GB"/>
        </w:rPr>
      </w:pPr>
    </w:p>
    <w:p w14:paraId="30F5CD2A" w14:textId="77777777" w:rsidR="003E73B5" w:rsidRDefault="003E73B5" w:rsidP="00A737F9">
      <w:pPr>
        <w:pStyle w:val="Normal1"/>
        <w:spacing w:line="360" w:lineRule="auto"/>
        <w:jc w:val="both"/>
        <w:rPr>
          <w:rFonts w:eastAsia="Times New Roman"/>
          <w:b/>
          <w:color w:val="000000" w:themeColor="text1"/>
          <w:sz w:val="24"/>
          <w:szCs w:val="24"/>
          <w:lang w:val="en-GB"/>
        </w:rPr>
      </w:pPr>
    </w:p>
    <w:p w14:paraId="213C6066" w14:textId="77777777" w:rsidR="003E73B5" w:rsidRDefault="003E73B5" w:rsidP="00A737F9">
      <w:pPr>
        <w:pStyle w:val="Normal1"/>
        <w:spacing w:line="360" w:lineRule="auto"/>
        <w:jc w:val="both"/>
        <w:rPr>
          <w:rFonts w:eastAsia="Times New Roman"/>
          <w:b/>
          <w:color w:val="000000" w:themeColor="text1"/>
          <w:sz w:val="24"/>
          <w:szCs w:val="24"/>
          <w:lang w:val="en-GB"/>
        </w:rPr>
      </w:pPr>
    </w:p>
    <w:p w14:paraId="6A4DF8CC" w14:textId="77777777" w:rsidR="003E73B5" w:rsidRDefault="003E73B5" w:rsidP="00A737F9">
      <w:pPr>
        <w:pStyle w:val="Normal1"/>
        <w:spacing w:line="360" w:lineRule="auto"/>
        <w:jc w:val="both"/>
        <w:rPr>
          <w:rFonts w:eastAsia="Times New Roman"/>
          <w:b/>
          <w:color w:val="000000" w:themeColor="text1"/>
          <w:sz w:val="24"/>
          <w:szCs w:val="24"/>
          <w:lang w:val="en-GB"/>
        </w:rPr>
      </w:pPr>
    </w:p>
    <w:p w14:paraId="6C73A017" w14:textId="77777777" w:rsidR="003E73B5" w:rsidRPr="003319BC" w:rsidRDefault="003E73B5" w:rsidP="00A737F9">
      <w:pPr>
        <w:pStyle w:val="Normal1"/>
        <w:spacing w:line="360" w:lineRule="auto"/>
        <w:jc w:val="both"/>
        <w:rPr>
          <w:rFonts w:eastAsia="Times New Roman"/>
          <w:b/>
          <w:color w:val="000000" w:themeColor="text1"/>
          <w:sz w:val="24"/>
          <w:szCs w:val="24"/>
          <w:lang w:val="en-GB"/>
        </w:rPr>
      </w:pPr>
    </w:p>
    <w:tbl>
      <w:tblPr>
        <w:tblW w:w="96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295"/>
        <w:gridCol w:w="2220"/>
        <w:gridCol w:w="1560"/>
        <w:gridCol w:w="1755"/>
      </w:tblGrid>
      <w:tr w:rsidR="00C974B2" w:rsidRPr="003319BC" w14:paraId="513C565F" w14:textId="77777777" w:rsidTr="00537F6F">
        <w:trPr>
          <w:cantSplit/>
          <w:tblHeader/>
          <w:jc w:val="center"/>
        </w:trPr>
        <w:tc>
          <w:tcPr>
            <w:tcW w:w="1800" w:type="dxa"/>
            <w:shd w:val="clear" w:color="auto" w:fill="8DB3E2"/>
            <w:tcMar>
              <w:top w:w="100" w:type="dxa"/>
              <w:left w:w="100" w:type="dxa"/>
              <w:bottom w:w="100" w:type="dxa"/>
              <w:right w:w="100" w:type="dxa"/>
            </w:tcMar>
          </w:tcPr>
          <w:p w14:paraId="4E17C1E1" w14:textId="61EADE0F"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lastRenderedPageBreak/>
              <w:t>Brand</w:t>
            </w:r>
            <w:r w:rsidR="003319BC" w:rsidRPr="003319BC">
              <w:rPr>
                <w:rFonts w:eastAsia="Times New Roman"/>
                <w:b/>
                <w:color w:val="000000" w:themeColor="text1"/>
                <w:sz w:val="24"/>
                <w:szCs w:val="24"/>
                <w:lang w:val="en-GB"/>
              </w:rPr>
              <w:t xml:space="preserve"> - DIAGEO</w:t>
            </w:r>
          </w:p>
        </w:tc>
        <w:tc>
          <w:tcPr>
            <w:tcW w:w="2295" w:type="dxa"/>
            <w:shd w:val="clear" w:color="auto" w:fill="8DB3E2"/>
            <w:tcMar>
              <w:top w:w="100" w:type="dxa"/>
              <w:left w:w="100" w:type="dxa"/>
              <w:bottom w:w="100" w:type="dxa"/>
              <w:right w:w="100" w:type="dxa"/>
            </w:tcMar>
          </w:tcPr>
          <w:p w14:paraId="0075AE82" w14:textId="77777777"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t>The UK</w:t>
            </w:r>
          </w:p>
        </w:tc>
        <w:tc>
          <w:tcPr>
            <w:tcW w:w="2220" w:type="dxa"/>
            <w:shd w:val="clear" w:color="auto" w:fill="8DB3E2"/>
            <w:tcMar>
              <w:top w:w="100" w:type="dxa"/>
              <w:left w:w="100" w:type="dxa"/>
              <w:bottom w:w="100" w:type="dxa"/>
              <w:right w:w="100" w:type="dxa"/>
            </w:tcMar>
          </w:tcPr>
          <w:p w14:paraId="3DB45591" w14:textId="77777777"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t>India</w:t>
            </w:r>
          </w:p>
        </w:tc>
        <w:tc>
          <w:tcPr>
            <w:tcW w:w="1560" w:type="dxa"/>
            <w:shd w:val="clear" w:color="auto" w:fill="8DB3E2"/>
            <w:tcMar>
              <w:top w:w="100" w:type="dxa"/>
              <w:left w:w="100" w:type="dxa"/>
              <w:bottom w:w="100" w:type="dxa"/>
              <w:right w:w="100" w:type="dxa"/>
            </w:tcMar>
          </w:tcPr>
          <w:p w14:paraId="4A437930" w14:textId="77777777"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t>Similarities</w:t>
            </w:r>
          </w:p>
        </w:tc>
        <w:tc>
          <w:tcPr>
            <w:tcW w:w="1755" w:type="dxa"/>
            <w:shd w:val="clear" w:color="auto" w:fill="8DB3E2"/>
            <w:tcMar>
              <w:top w:w="100" w:type="dxa"/>
              <w:left w:w="100" w:type="dxa"/>
              <w:bottom w:w="100" w:type="dxa"/>
              <w:right w:w="100" w:type="dxa"/>
            </w:tcMar>
          </w:tcPr>
          <w:p w14:paraId="198CFFC1" w14:textId="77777777"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t>Differences</w:t>
            </w:r>
          </w:p>
        </w:tc>
      </w:tr>
      <w:tr w:rsidR="00C974B2" w:rsidRPr="003319BC" w14:paraId="6AA961C4" w14:textId="77777777" w:rsidTr="00537F6F">
        <w:trPr>
          <w:cantSplit/>
          <w:tblHeader/>
          <w:jc w:val="center"/>
        </w:trPr>
        <w:tc>
          <w:tcPr>
            <w:tcW w:w="1800" w:type="dxa"/>
            <w:shd w:val="clear" w:color="auto" w:fill="auto"/>
            <w:tcMar>
              <w:top w:w="100" w:type="dxa"/>
              <w:left w:w="100" w:type="dxa"/>
              <w:bottom w:w="100" w:type="dxa"/>
              <w:right w:w="100" w:type="dxa"/>
            </w:tcMar>
          </w:tcPr>
          <w:p w14:paraId="5F40A253"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167177D7"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55169378"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2FF2B734"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5FDB6F8E"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1EE53168"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303960AB"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274D05ED" w14:textId="77777777" w:rsidR="009371B2" w:rsidRDefault="009371B2" w:rsidP="00A76206">
            <w:pPr>
              <w:pStyle w:val="Normal1"/>
              <w:widowControl w:val="0"/>
              <w:spacing w:line="360" w:lineRule="auto"/>
              <w:jc w:val="both"/>
              <w:rPr>
                <w:rFonts w:eastAsia="Times New Roman"/>
                <w:b/>
                <w:color w:val="000000" w:themeColor="text1"/>
                <w:sz w:val="24"/>
                <w:szCs w:val="24"/>
                <w:lang w:val="en-GB"/>
              </w:rPr>
            </w:pPr>
          </w:p>
          <w:p w14:paraId="12CA4A63" w14:textId="214320C6"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color w:val="000000" w:themeColor="text1"/>
                <w:sz w:val="24"/>
                <w:szCs w:val="24"/>
                <w:lang w:val="en-GB"/>
              </w:rPr>
              <w:t xml:space="preserve">Segmentation </w:t>
            </w:r>
          </w:p>
        </w:tc>
        <w:tc>
          <w:tcPr>
            <w:tcW w:w="2295" w:type="dxa"/>
            <w:shd w:val="clear" w:color="auto" w:fill="auto"/>
            <w:tcMar>
              <w:top w:w="100" w:type="dxa"/>
              <w:left w:w="100" w:type="dxa"/>
              <w:bottom w:w="100" w:type="dxa"/>
              <w:right w:w="100" w:type="dxa"/>
            </w:tcMar>
          </w:tcPr>
          <w:p w14:paraId="07E87A37"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6A16FCD0"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EB5C2A3"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3A77CEBE"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75948391" w14:textId="2DF8BD02"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color w:val="000000" w:themeColor="text1"/>
                <w:sz w:val="24"/>
                <w:szCs w:val="24"/>
                <w:lang w:val="en-GB"/>
              </w:rPr>
              <w:t>DIAGEO has strong market segmentation in the UK. Currently, this company holds a 4</w:t>
            </w:r>
            <w:r w:rsidR="003E73B5" w:rsidRPr="003319BC">
              <w:rPr>
                <w:rFonts w:eastAsia="Times New Roman"/>
                <w:color w:val="000000" w:themeColor="text1"/>
                <w:sz w:val="24"/>
                <w:szCs w:val="24"/>
                <w:lang w:val="en-GB"/>
              </w:rPr>
              <w:t>% value</w:t>
            </w:r>
            <w:r w:rsidRPr="003319BC">
              <w:rPr>
                <w:rFonts w:eastAsia="Times New Roman"/>
                <w:color w:val="000000" w:themeColor="text1"/>
                <w:sz w:val="24"/>
                <w:szCs w:val="24"/>
                <w:lang w:val="en-GB"/>
              </w:rPr>
              <w:t xml:space="preserve"> share in the UK (Diageo.com, 2023). Increasing its vodka market proposition by up to 17% across the world including the UK.</w:t>
            </w:r>
          </w:p>
        </w:tc>
        <w:tc>
          <w:tcPr>
            <w:tcW w:w="2220" w:type="dxa"/>
            <w:shd w:val="clear" w:color="auto" w:fill="auto"/>
            <w:tcMar>
              <w:top w:w="100" w:type="dxa"/>
              <w:left w:w="100" w:type="dxa"/>
              <w:bottom w:w="100" w:type="dxa"/>
              <w:right w:w="100" w:type="dxa"/>
            </w:tcMar>
          </w:tcPr>
          <w:p w14:paraId="1A5EDA05"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29CDBB5"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D883614" w14:textId="43DEBA46"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People of India who are fond of alcohol are the audience of DIAGEO in India. The company holds USD 35 billion market share in the alcoholic beverage market in India (Diageoindia.com, 2023). This company increased its market share by up to 17% and improved its market </w:t>
            </w:r>
            <w:r w:rsidR="003E73B5" w:rsidRPr="003319BC">
              <w:rPr>
                <w:rFonts w:eastAsia="Times New Roman"/>
                <w:color w:val="000000" w:themeColor="text1"/>
                <w:sz w:val="24"/>
                <w:szCs w:val="24"/>
                <w:lang w:val="en-GB"/>
              </w:rPr>
              <w:t>in India</w:t>
            </w:r>
            <w:r w:rsidRPr="003319BC">
              <w:rPr>
                <w:rFonts w:eastAsia="Times New Roman"/>
                <w:color w:val="000000" w:themeColor="text1"/>
                <w:sz w:val="24"/>
                <w:szCs w:val="24"/>
                <w:lang w:val="en-GB"/>
              </w:rPr>
              <w:t>.</w:t>
            </w:r>
          </w:p>
        </w:tc>
        <w:tc>
          <w:tcPr>
            <w:tcW w:w="1560" w:type="dxa"/>
            <w:shd w:val="clear" w:color="auto" w:fill="auto"/>
            <w:tcMar>
              <w:top w:w="100" w:type="dxa"/>
              <w:left w:w="100" w:type="dxa"/>
              <w:bottom w:w="100" w:type="dxa"/>
              <w:right w:w="100" w:type="dxa"/>
            </w:tcMar>
          </w:tcPr>
          <w:p w14:paraId="76F1C6D6"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7B13D51"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0216DEB"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87DEEA8"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B769962"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0A4656F"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D8F8664" w14:textId="1FE71F31"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The UK and India have offered significant audiences to DIAGEO who have a wide choice of alcoholic drinks.   </w:t>
            </w:r>
          </w:p>
        </w:tc>
        <w:tc>
          <w:tcPr>
            <w:tcW w:w="1755" w:type="dxa"/>
            <w:shd w:val="clear" w:color="auto" w:fill="auto"/>
            <w:tcMar>
              <w:top w:w="100" w:type="dxa"/>
              <w:left w:w="100" w:type="dxa"/>
              <w:bottom w:w="100" w:type="dxa"/>
              <w:right w:w="100" w:type="dxa"/>
            </w:tcMar>
          </w:tcPr>
          <w:p w14:paraId="0C8C3497" w14:textId="77777777" w:rsidR="00A737F9"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India is a culturally and religiously more diverse country than the UK, hence the preference of drinking and consumption capacity is different in states of India. Therefore, The UK has more specific customers who have a specific choice of DIAGEO products.  </w:t>
            </w:r>
          </w:p>
          <w:p w14:paraId="608C07C5" w14:textId="77777777" w:rsidR="00381A6E" w:rsidRDefault="00381A6E" w:rsidP="00A76206">
            <w:pPr>
              <w:pStyle w:val="Normal1"/>
              <w:widowControl w:val="0"/>
              <w:spacing w:line="360" w:lineRule="auto"/>
              <w:jc w:val="both"/>
              <w:rPr>
                <w:rFonts w:eastAsia="Times New Roman"/>
                <w:color w:val="000000" w:themeColor="text1"/>
                <w:sz w:val="24"/>
                <w:szCs w:val="24"/>
                <w:lang w:val="en-GB"/>
              </w:rPr>
            </w:pPr>
          </w:p>
          <w:p w14:paraId="16237E1A" w14:textId="2EB4DFB5" w:rsidR="00381A6E" w:rsidRPr="00381A6E" w:rsidRDefault="00381A6E" w:rsidP="00381A6E">
            <w:pPr>
              <w:pStyle w:val="Normal1"/>
              <w:widowControl w:val="0"/>
              <w:spacing w:line="360" w:lineRule="auto"/>
              <w:jc w:val="right"/>
              <w:rPr>
                <w:rFonts w:eastAsia="Times New Roman"/>
                <w:i/>
                <w:iCs/>
                <w:color w:val="000000" w:themeColor="text1"/>
                <w:sz w:val="24"/>
                <w:szCs w:val="24"/>
                <w:lang w:val="en-GB"/>
              </w:rPr>
            </w:pPr>
            <w:r>
              <w:rPr>
                <w:rFonts w:eastAsia="Times New Roman"/>
                <w:i/>
                <w:iCs/>
                <w:color w:val="000000" w:themeColor="text1"/>
                <w:sz w:val="24"/>
                <w:szCs w:val="24"/>
                <w:lang w:val="en-GB"/>
              </w:rPr>
              <w:t>Conti</w:t>
            </w:r>
            <w:r w:rsidR="009371B2">
              <w:rPr>
                <w:rFonts w:eastAsia="Times New Roman"/>
                <w:i/>
                <w:iCs/>
                <w:color w:val="000000" w:themeColor="text1"/>
                <w:sz w:val="24"/>
                <w:szCs w:val="24"/>
                <w:lang w:val="en-GB"/>
              </w:rPr>
              <w:t>nued….</w:t>
            </w:r>
          </w:p>
        </w:tc>
      </w:tr>
      <w:tr w:rsidR="00C974B2" w:rsidRPr="003319BC" w14:paraId="4AC04D41" w14:textId="77777777" w:rsidTr="00537F6F">
        <w:trPr>
          <w:cantSplit/>
          <w:tblHeader/>
          <w:jc w:val="center"/>
        </w:trPr>
        <w:tc>
          <w:tcPr>
            <w:tcW w:w="1800" w:type="dxa"/>
            <w:shd w:val="clear" w:color="auto" w:fill="auto"/>
            <w:tcMar>
              <w:top w:w="100" w:type="dxa"/>
              <w:left w:w="100" w:type="dxa"/>
              <w:bottom w:w="100" w:type="dxa"/>
              <w:right w:w="100" w:type="dxa"/>
            </w:tcMar>
          </w:tcPr>
          <w:p w14:paraId="5ACEE7DC"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30379AF7"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3205FE99"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7C56949A"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46FFB72C"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673A3CEF"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35B95769"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1C81E71B"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7F18907D" w14:textId="225B1D5B" w:rsidR="00A737F9" w:rsidRPr="003319BC" w:rsidRDefault="00A737F9" w:rsidP="009371B2">
            <w:pPr>
              <w:pStyle w:val="Normal1"/>
              <w:widowControl w:val="0"/>
              <w:spacing w:line="36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Targeting</w:t>
            </w:r>
          </w:p>
        </w:tc>
        <w:tc>
          <w:tcPr>
            <w:tcW w:w="2295" w:type="dxa"/>
            <w:shd w:val="clear" w:color="auto" w:fill="auto"/>
            <w:tcMar>
              <w:top w:w="100" w:type="dxa"/>
              <w:left w:w="100" w:type="dxa"/>
              <w:bottom w:w="100" w:type="dxa"/>
              <w:right w:w="100" w:type="dxa"/>
            </w:tcMar>
          </w:tcPr>
          <w:p w14:paraId="2DADE112"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8D2EF6E"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17CFF12B"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112BF77"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4C458E0"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6C6C0803" w14:textId="57481E6E"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Primary target groups are luxury customers, Middle-class people who love quality alcohol and female customers who love Vodka and Tequila.</w:t>
            </w:r>
          </w:p>
        </w:tc>
        <w:tc>
          <w:tcPr>
            <w:tcW w:w="2220" w:type="dxa"/>
            <w:shd w:val="clear" w:color="auto" w:fill="auto"/>
            <w:tcMar>
              <w:top w:w="100" w:type="dxa"/>
              <w:left w:w="100" w:type="dxa"/>
              <w:bottom w:w="100" w:type="dxa"/>
              <w:right w:w="100" w:type="dxa"/>
            </w:tcMar>
          </w:tcPr>
          <w:p w14:paraId="0FD3FB67"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260E4D0"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77DFC39"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A9B9B2A"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74B122A5"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77C5DFE" w14:textId="1E9C7E97"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The Target Audience of the company belongs to most of the age group of 30-50 who have a selective choice of alcohol.</w:t>
            </w:r>
          </w:p>
        </w:tc>
        <w:tc>
          <w:tcPr>
            <w:tcW w:w="1560" w:type="dxa"/>
            <w:shd w:val="clear" w:color="auto" w:fill="auto"/>
            <w:tcMar>
              <w:top w:w="100" w:type="dxa"/>
              <w:left w:w="100" w:type="dxa"/>
              <w:bottom w:w="100" w:type="dxa"/>
              <w:right w:w="100" w:type="dxa"/>
            </w:tcMar>
          </w:tcPr>
          <w:p w14:paraId="5445E48D"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61A6CCF1"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54CD30F"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3D8D6F98"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525E442E"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92E9956" w14:textId="75FEFDDF"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Middle-aged people, Luxury and middle-income group people have a significant choice of DIAGEO’s products.</w:t>
            </w:r>
          </w:p>
        </w:tc>
        <w:tc>
          <w:tcPr>
            <w:tcW w:w="1755" w:type="dxa"/>
            <w:shd w:val="clear" w:color="auto" w:fill="auto"/>
            <w:tcMar>
              <w:top w:w="100" w:type="dxa"/>
              <w:left w:w="100" w:type="dxa"/>
              <w:bottom w:w="100" w:type="dxa"/>
              <w:right w:w="100" w:type="dxa"/>
            </w:tcMar>
          </w:tcPr>
          <w:p w14:paraId="1BBD5DB3" w14:textId="77777777"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The UK has more luxurious female customers than India. whiskey is preferable in India, On the other hand, UK customers offer more propositions of other products of DIAGEO along with whiskey. </w:t>
            </w:r>
          </w:p>
        </w:tc>
      </w:tr>
      <w:tr w:rsidR="00C974B2" w:rsidRPr="003319BC" w14:paraId="4356EAFE" w14:textId="77777777" w:rsidTr="00537F6F">
        <w:trPr>
          <w:cantSplit/>
          <w:tblHeader/>
          <w:jc w:val="center"/>
        </w:trPr>
        <w:tc>
          <w:tcPr>
            <w:tcW w:w="1800" w:type="dxa"/>
            <w:shd w:val="clear" w:color="auto" w:fill="auto"/>
            <w:tcMar>
              <w:top w:w="100" w:type="dxa"/>
              <w:left w:w="100" w:type="dxa"/>
              <w:bottom w:w="100" w:type="dxa"/>
              <w:right w:w="100" w:type="dxa"/>
            </w:tcMar>
          </w:tcPr>
          <w:p w14:paraId="0542FBDB"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148F4237"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33AEF96F"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5F929C7A"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44685682"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2A543F29"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2E32EB99"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759377C5" w14:textId="77777777" w:rsidR="009371B2" w:rsidRDefault="009371B2" w:rsidP="009371B2">
            <w:pPr>
              <w:pStyle w:val="Normal1"/>
              <w:widowControl w:val="0"/>
              <w:spacing w:line="360" w:lineRule="auto"/>
              <w:jc w:val="center"/>
              <w:rPr>
                <w:rFonts w:eastAsia="Times New Roman"/>
                <w:b/>
                <w:color w:val="000000" w:themeColor="text1"/>
                <w:sz w:val="24"/>
                <w:szCs w:val="24"/>
                <w:lang w:val="en-GB"/>
              </w:rPr>
            </w:pPr>
          </w:p>
          <w:p w14:paraId="4E609D6A" w14:textId="72850EBE" w:rsidR="00A737F9" w:rsidRPr="003319BC" w:rsidRDefault="00A737F9" w:rsidP="009371B2">
            <w:pPr>
              <w:pStyle w:val="Normal1"/>
              <w:widowControl w:val="0"/>
              <w:spacing w:line="36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Positioning</w:t>
            </w:r>
          </w:p>
        </w:tc>
        <w:tc>
          <w:tcPr>
            <w:tcW w:w="2295" w:type="dxa"/>
            <w:shd w:val="clear" w:color="auto" w:fill="auto"/>
            <w:tcMar>
              <w:top w:w="100" w:type="dxa"/>
              <w:left w:w="100" w:type="dxa"/>
              <w:bottom w:w="100" w:type="dxa"/>
              <w:right w:w="100" w:type="dxa"/>
            </w:tcMar>
          </w:tcPr>
          <w:p w14:paraId="41A21B74"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4AE44AD9"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47CBA8C0"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37EAE79E"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0CBC09BD"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17F49D19"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6D27D5CA"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6B83CD70" w14:textId="1E3B89F2"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noProof/>
                <w:color w:val="000000" w:themeColor="text1"/>
                <w:sz w:val="24"/>
                <w:szCs w:val="24"/>
                <w:lang w:val="en-GB"/>
              </w:rPr>
              <w:drawing>
                <wp:inline distT="114300" distB="114300" distL="114300" distR="114300" wp14:anchorId="57BB2EFD" wp14:editId="43068D02">
                  <wp:extent cx="1325559" cy="105854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cstate="print"/>
                          <a:srcRect/>
                          <a:stretch>
                            <a:fillRect/>
                          </a:stretch>
                        </pic:blipFill>
                        <pic:spPr>
                          <a:xfrm>
                            <a:off x="0" y="0"/>
                            <a:ext cx="1325559" cy="1058540"/>
                          </a:xfrm>
                          <a:prstGeom prst="rect">
                            <a:avLst/>
                          </a:prstGeom>
                          <a:ln/>
                        </pic:spPr>
                      </pic:pic>
                    </a:graphicData>
                  </a:graphic>
                </wp:inline>
              </w:drawing>
            </w:r>
          </w:p>
        </w:tc>
        <w:tc>
          <w:tcPr>
            <w:tcW w:w="2220" w:type="dxa"/>
            <w:shd w:val="clear" w:color="auto" w:fill="auto"/>
            <w:tcMar>
              <w:top w:w="100" w:type="dxa"/>
              <w:left w:w="100" w:type="dxa"/>
              <w:bottom w:w="100" w:type="dxa"/>
              <w:right w:w="100" w:type="dxa"/>
            </w:tcMar>
          </w:tcPr>
          <w:p w14:paraId="69F78466"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0E54F452"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30D4F9BE"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73DC8CCD"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35CA8F03"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5DF38146"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34E8B5B8" w14:textId="77777777" w:rsidR="009371B2" w:rsidRDefault="009371B2" w:rsidP="00A76206">
            <w:pPr>
              <w:pStyle w:val="Normal1"/>
              <w:widowControl w:val="0"/>
              <w:spacing w:line="360" w:lineRule="auto"/>
              <w:jc w:val="both"/>
              <w:rPr>
                <w:rFonts w:eastAsia="Times New Roman"/>
                <w:b/>
                <w:noProof/>
                <w:color w:val="000000" w:themeColor="text1"/>
                <w:sz w:val="24"/>
                <w:szCs w:val="24"/>
                <w:lang w:val="en-GB"/>
              </w:rPr>
            </w:pPr>
          </w:p>
          <w:p w14:paraId="3A6D2B0A" w14:textId="61B3419B" w:rsidR="00A737F9" w:rsidRPr="003319BC" w:rsidRDefault="00A737F9" w:rsidP="00A76206">
            <w:pPr>
              <w:pStyle w:val="Normal1"/>
              <w:widowControl w:val="0"/>
              <w:spacing w:line="360" w:lineRule="auto"/>
              <w:jc w:val="both"/>
              <w:rPr>
                <w:rFonts w:eastAsia="Times New Roman"/>
                <w:b/>
                <w:color w:val="000000" w:themeColor="text1"/>
                <w:sz w:val="24"/>
                <w:szCs w:val="24"/>
                <w:lang w:val="en-GB"/>
              </w:rPr>
            </w:pPr>
            <w:r w:rsidRPr="003319BC">
              <w:rPr>
                <w:rFonts w:eastAsia="Times New Roman"/>
                <w:b/>
                <w:noProof/>
                <w:color w:val="000000" w:themeColor="text1"/>
                <w:sz w:val="24"/>
                <w:szCs w:val="24"/>
                <w:lang w:val="en-GB"/>
              </w:rPr>
              <w:drawing>
                <wp:inline distT="114300" distB="114300" distL="114300" distR="114300" wp14:anchorId="6D5C56A6" wp14:editId="0A74FEBE">
                  <wp:extent cx="1266825" cy="977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cstate="print"/>
                          <a:srcRect/>
                          <a:stretch>
                            <a:fillRect/>
                          </a:stretch>
                        </pic:blipFill>
                        <pic:spPr>
                          <a:xfrm>
                            <a:off x="0" y="0"/>
                            <a:ext cx="1266825" cy="977900"/>
                          </a:xfrm>
                          <a:prstGeom prst="rect">
                            <a:avLst/>
                          </a:prstGeom>
                          <a:ln/>
                        </pic:spPr>
                      </pic:pic>
                    </a:graphicData>
                  </a:graphic>
                </wp:inline>
              </w:drawing>
            </w:r>
          </w:p>
        </w:tc>
        <w:tc>
          <w:tcPr>
            <w:tcW w:w="1560" w:type="dxa"/>
            <w:shd w:val="clear" w:color="auto" w:fill="auto"/>
            <w:tcMar>
              <w:top w:w="100" w:type="dxa"/>
              <w:left w:w="100" w:type="dxa"/>
              <w:bottom w:w="100" w:type="dxa"/>
              <w:right w:w="100" w:type="dxa"/>
            </w:tcMar>
          </w:tcPr>
          <w:p w14:paraId="5B71ED0A"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4DA68A3B"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B2AFE62"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832FEFE"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20073ACD" w14:textId="77777777" w:rsidR="009371B2" w:rsidRDefault="009371B2" w:rsidP="00A76206">
            <w:pPr>
              <w:pStyle w:val="Normal1"/>
              <w:widowControl w:val="0"/>
              <w:spacing w:line="360" w:lineRule="auto"/>
              <w:jc w:val="both"/>
              <w:rPr>
                <w:rFonts w:eastAsia="Times New Roman"/>
                <w:color w:val="000000" w:themeColor="text1"/>
                <w:sz w:val="24"/>
                <w:szCs w:val="24"/>
                <w:lang w:val="en-GB"/>
              </w:rPr>
            </w:pPr>
          </w:p>
          <w:p w14:paraId="0918E119" w14:textId="276D1D3B"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Bacardi and Heineken are the biggest competitors </w:t>
            </w:r>
            <w:r w:rsidR="003E73B5" w:rsidRPr="003319BC">
              <w:rPr>
                <w:rFonts w:eastAsia="Times New Roman"/>
                <w:color w:val="000000" w:themeColor="text1"/>
                <w:sz w:val="24"/>
                <w:szCs w:val="24"/>
                <w:lang w:val="en-GB"/>
              </w:rPr>
              <w:t>of DIAGEO</w:t>
            </w:r>
            <w:r w:rsidRPr="003319BC">
              <w:rPr>
                <w:rFonts w:eastAsia="Times New Roman"/>
                <w:color w:val="000000" w:themeColor="text1"/>
                <w:sz w:val="24"/>
                <w:szCs w:val="24"/>
                <w:lang w:val="en-GB"/>
              </w:rPr>
              <w:t xml:space="preserve"> in India and the UK.</w:t>
            </w:r>
          </w:p>
        </w:tc>
        <w:tc>
          <w:tcPr>
            <w:tcW w:w="1755" w:type="dxa"/>
            <w:shd w:val="clear" w:color="auto" w:fill="auto"/>
            <w:tcMar>
              <w:top w:w="100" w:type="dxa"/>
              <w:left w:w="100" w:type="dxa"/>
              <w:bottom w:w="100" w:type="dxa"/>
              <w:right w:w="100" w:type="dxa"/>
            </w:tcMar>
          </w:tcPr>
          <w:p w14:paraId="1A8033FB" w14:textId="4680FF5D" w:rsidR="00A737F9" w:rsidRPr="003319BC" w:rsidRDefault="00A737F9" w:rsidP="00A76206">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Eastroc</w:t>
            </w:r>
            <w:r w:rsidR="003E73B5">
              <w:rPr>
                <w:rFonts w:eastAsia="Times New Roman"/>
                <w:color w:val="000000" w:themeColor="text1"/>
                <w:sz w:val="24"/>
                <w:szCs w:val="24"/>
                <w:lang w:val="en-GB"/>
              </w:rPr>
              <w:t xml:space="preserve"> </w:t>
            </w:r>
            <w:r w:rsidRPr="003319BC">
              <w:rPr>
                <w:rFonts w:eastAsia="Times New Roman"/>
                <w:color w:val="000000" w:themeColor="text1"/>
                <w:sz w:val="24"/>
                <w:szCs w:val="24"/>
                <w:lang w:val="en-GB"/>
              </w:rPr>
              <w:t>Beverage Group along with Heineken and Bacardi are the competitors of the company in India. On the other hand, Pernod Richard, Brown-Forman including Heineken are the competitors of the UK market.</w:t>
            </w:r>
          </w:p>
        </w:tc>
      </w:tr>
    </w:tbl>
    <w:p w14:paraId="7881DEB2" w14:textId="16326F7F" w:rsidR="00A737F9" w:rsidRPr="003319BC" w:rsidRDefault="00A737F9" w:rsidP="00A737F9">
      <w:pPr>
        <w:pStyle w:val="Heading5"/>
        <w:keepNext w:val="0"/>
        <w:spacing w:after="0" w:line="360" w:lineRule="auto"/>
        <w:jc w:val="center"/>
        <w:rPr>
          <w:rFonts w:eastAsia="Times New Roman"/>
          <w:b w:val="0"/>
          <w:lang w:val="en-GB"/>
        </w:rPr>
      </w:pPr>
      <w:bookmarkStart w:id="10" w:name="_1ksv4uv" w:colFirst="0" w:colLast="0"/>
      <w:bookmarkEnd w:id="10"/>
      <w:r w:rsidRPr="003319BC">
        <w:rPr>
          <w:rFonts w:eastAsia="Times New Roman"/>
          <w:lang w:val="en-GB"/>
        </w:rPr>
        <w:t xml:space="preserve">Table 3: STP strategy for </w:t>
      </w:r>
      <w:r w:rsidR="003319BC" w:rsidRPr="003319BC">
        <w:rPr>
          <w:rFonts w:eastAsia="Times New Roman"/>
          <w:lang w:val="en-GB"/>
        </w:rPr>
        <w:t>DIAGEO</w:t>
      </w:r>
    </w:p>
    <w:p w14:paraId="29495D5C" w14:textId="77777777" w:rsidR="00A737F9" w:rsidRPr="009371B2" w:rsidRDefault="00A737F9" w:rsidP="00A737F9">
      <w:pPr>
        <w:pStyle w:val="Normal1"/>
        <w:spacing w:line="360" w:lineRule="auto"/>
        <w:jc w:val="center"/>
        <w:rPr>
          <w:rFonts w:eastAsia="Times New Roman"/>
          <w:i/>
          <w:iCs/>
          <w:color w:val="000000" w:themeColor="text1"/>
          <w:sz w:val="20"/>
          <w:szCs w:val="20"/>
          <w:lang w:val="en-GB"/>
        </w:rPr>
      </w:pPr>
      <w:r w:rsidRPr="009371B2">
        <w:rPr>
          <w:rFonts w:eastAsia="Times New Roman"/>
          <w:i/>
          <w:iCs/>
          <w:color w:val="000000" w:themeColor="text1"/>
          <w:sz w:val="20"/>
          <w:szCs w:val="20"/>
          <w:lang w:val="en-GB"/>
        </w:rPr>
        <w:t>(Source: Self-developed)</w:t>
      </w:r>
    </w:p>
    <w:p w14:paraId="7E8F4E49" w14:textId="77777777" w:rsidR="00A737F9" w:rsidRPr="003319BC" w:rsidRDefault="00A737F9" w:rsidP="00A737F9">
      <w:pPr>
        <w:pStyle w:val="Normal1"/>
        <w:spacing w:line="360"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Analysis</w:t>
      </w:r>
    </w:p>
    <w:p w14:paraId="5ABB4BBE" w14:textId="737D0219" w:rsidR="00AF0867" w:rsidRPr="003319BC" w:rsidRDefault="00A737F9" w:rsidP="00A737F9">
      <w:pPr>
        <w:spacing w:line="360" w:lineRule="auto"/>
        <w:jc w:val="both"/>
        <w:rPr>
          <w:rFonts w:ascii="Arial" w:hAnsi="Arial" w:cs="Arial"/>
          <w:b/>
          <w:bCs/>
          <w:color w:val="000000" w:themeColor="text1"/>
          <w:sz w:val="24"/>
          <w:szCs w:val="24"/>
          <w:lang w:val="en-GB"/>
        </w:rPr>
      </w:pPr>
      <w:r w:rsidRPr="003319BC">
        <w:rPr>
          <w:rFonts w:ascii="Arial" w:eastAsia="Times New Roman" w:hAnsi="Arial" w:cs="Arial"/>
          <w:color w:val="000000" w:themeColor="text1"/>
          <w:sz w:val="24"/>
          <w:szCs w:val="24"/>
          <w:lang w:val="en-GB"/>
        </w:rPr>
        <w:t>DIAGEO India has 50 manufacturing plants and facilities across the states and territories of India. This company set strong distribution channels and networks across the country. “</w:t>
      </w:r>
      <w:r w:rsidRPr="003319BC">
        <w:rPr>
          <w:rFonts w:ascii="Arial" w:eastAsia="Times New Roman" w:hAnsi="Arial" w:cs="Arial"/>
          <w:color w:val="000000" w:themeColor="text1"/>
          <w:sz w:val="24"/>
          <w:szCs w:val="24"/>
          <w:highlight w:val="white"/>
          <w:lang w:val="en-GB"/>
        </w:rPr>
        <w:t xml:space="preserve">Johnnie Walker'', “Black Dog”, “Black &amp; White”, “Vat 69”, “Antiquity, Signature”, “Singleton”, “Royal Challenge”, “McDowell’s No 1”, “Smirnoff, Ketel One”, “Tanqueray and Captain Morgan” are the various product of </w:t>
      </w:r>
      <w:r w:rsidRPr="003319BC">
        <w:rPr>
          <w:rFonts w:ascii="Arial" w:eastAsia="Times New Roman" w:hAnsi="Arial" w:cs="Arial"/>
          <w:color w:val="000000" w:themeColor="text1"/>
          <w:sz w:val="24"/>
          <w:szCs w:val="24"/>
          <w:lang w:val="en-GB"/>
        </w:rPr>
        <w:t>DIAGEO in the Indian market</w:t>
      </w:r>
      <w:r w:rsidR="003E73B5">
        <w:rPr>
          <w:rFonts w:ascii="Arial" w:eastAsia="Times New Roman" w:hAnsi="Arial" w:cs="Arial"/>
          <w:color w:val="000000" w:themeColor="text1"/>
          <w:sz w:val="24"/>
          <w:szCs w:val="24"/>
          <w:lang w:val="en-GB"/>
        </w:rPr>
        <w:t xml:space="preserve"> </w:t>
      </w:r>
      <w:r w:rsidRPr="003319BC">
        <w:rPr>
          <w:rFonts w:ascii="Arial" w:eastAsia="Times New Roman" w:hAnsi="Arial" w:cs="Arial"/>
          <w:color w:val="000000" w:themeColor="text1"/>
          <w:sz w:val="24"/>
          <w:szCs w:val="24"/>
          <w:lang w:val="en-GB"/>
        </w:rPr>
        <w:t xml:space="preserve">(Diageoindia.com, 2023). With a market share </w:t>
      </w:r>
      <w:r w:rsidR="00012B70" w:rsidRPr="003319BC">
        <w:rPr>
          <w:rFonts w:ascii="Arial" w:eastAsia="Times New Roman" w:hAnsi="Arial" w:cs="Arial"/>
          <w:color w:val="000000" w:themeColor="text1"/>
          <w:sz w:val="24"/>
          <w:szCs w:val="24"/>
          <w:lang w:val="en-GB"/>
        </w:rPr>
        <w:t>of USD</w:t>
      </w:r>
      <w:r w:rsidRPr="003319BC">
        <w:rPr>
          <w:rFonts w:ascii="Arial" w:eastAsia="Times New Roman" w:hAnsi="Arial" w:cs="Arial"/>
          <w:color w:val="000000" w:themeColor="text1"/>
          <w:sz w:val="24"/>
          <w:szCs w:val="24"/>
          <w:lang w:val="en-GB"/>
        </w:rPr>
        <w:t xml:space="preserve"> 35 billion, the Indian market shows a great market position for the company. DIAGEO’s market share increased to </w:t>
      </w:r>
      <w:r w:rsidRPr="003319BC">
        <w:rPr>
          <w:rFonts w:ascii="Arial" w:eastAsia="Times New Roman" w:hAnsi="Arial" w:cs="Arial"/>
          <w:color w:val="000000" w:themeColor="text1"/>
          <w:sz w:val="24"/>
          <w:szCs w:val="24"/>
          <w:highlight w:val="white"/>
          <w:lang w:val="en-GB"/>
        </w:rPr>
        <w:t xml:space="preserve">17% which improved the sales network of United Spirit </w:t>
      </w:r>
      <w:r w:rsidRPr="003319BC">
        <w:rPr>
          <w:rFonts w:ascii="Arial" w:eastAsia="Times New Roman" w:hAnsi="Arial" w:cs="Arial"/>
          <w:color w:val="000000" w:themeColor="text1"/>
          <w:sz w:val="24"/>
          <w:szCs w:val="24"/>
          <w:highlight w:val="white"/>
          <w:lang w:val="en-GB"/>
        </w:rPr>
        <w:lastRenderedPageBreak/>
        <w:t>(</w:t>
      </w:r>
      <w:r w:rsidRPr="003319BC">
        <w:rPr>
          <w:rFonts w:ascii="Arial" w:eastAsia="Times New Roman" w:hAnsi="Arial" w:cs="Arial"/>
          <w:color w:val="000000" w:themeColor="text1"/>
          <w:sz w:val="24"/>
          <w:szCs w:val="24"/>
          <w:lang w:val="en-GB"/>
        </w:rPr>
        <w:t>Economictimes.indiatimes.com, 2023</w:t>
      </w:r>
      <w:r w:rsidRPr="003319BC">
        <w:rPr>
          <w:rFonts w:ascii="Arial" w:eastAsia="Times New Roman" w:hAnsi="Arial" w:cs="Arial"/>
          <w:color w:val="000000" w:themeColor="text1"/>
          <w:sz w:val="24"/>
          <w:szCs w:val="24"/>
          <w:highlight w:val="white"/>
          <w:lang w:val="en-GB"/>
        </w:rPr>
        <w:t xml:space="preserve">). “Johnnie Walker'' is the most popular product of </w:t>
      </w:r>
      <w:r w:rsidRPr="003319BC">
        <w:rPr>
          <w:rFonts w:ascii="Arial" w:eastAsia="Times New Roman" w:hAnsi="Arial" w:cs="Arial"/>
          <w:color w:val="000000" w:themeColor="text1"/>
          <w:sz w:val="24"/>
          <w:szCs w:val="24"/>
          <w:lang w:val="en-GB"/>
        </w:rPr>
        <w:t>DIAGEO in the UK market followed by “</w:t>
      </w:r>
      <w:r w:rsidRPr="003319BC">
        <w:rPr>
          <w:rFonts w:ascii="Arial" w:eastAsia="Times New Roman" w:hAnsi="Arial" w:cs="Arial"/>
          <w:color w:val="000000" w:themeColor="text1"/>
          <w:sz w:val="24"/>
          <w:szCs w:val="24"/>
          <w:highlight w:val="white"/>
          <w:lang w:val="en-GB"/>
        </w:rPr>
        <w:t>Tanqueray(gin)""</w:t>
      </w:r>
      <w:r w:rsidR="003E73B5" w:rsidRPr="003319BC">
        <w:rPr>
          <w:rFonts w:ascii="Arial" w:eastAsia="Times New Roman" w:hAnsi="Arial" w:cs="Arial"/>
          <w:color w:val="000000" w:themeColor="text1"/>
          <w:sz w:val="24"/>
          <w:szCs w:val="24"/>
          <w:highlight w:val="white"/>
          <w:lang w:val="en-GB"/>
        </w:rPr>
        <w:t>Smirnoff (</w:t>
      </w:r>
      <w:r w:rsidRPr="003319BC">
        <w:rPr>
          <w:rFonts w:ascii="Arial" w:eastAsia="Times New Roman" w:hAnsi="Arial" w:cs="Arial"/>
          <w:color w:val="000000" w:themeColor="text1"/>
          <w:sz w:val="24"/>
          <w:szCs w:val="24"/>
          <w:highlight w:val="white"/>
          <w:lang w:val="en-GB"/>
        </w:rPr>
        <w:t>Vodka)” and  “Guinness(stout)” (</w:t>
      </w:r>
      <w:r w:rsidRPr="003319BC">
        <w:rPr>
          <w:rFonts w:ascii="Arial" w:eastAsia="Times New Roman" w:hAnsi="Arial" w:cs="Arial"/>
          <w:color w:val="000000" w:themeColor="text1"/>
          <w:sz w:val="24"/>
          <w:szCs w:val="24"/>
          <w:lang w:val="en-GB"/>
        </w:rPr>
        <w:t>Diageo.com, 2023</w:t>
      </w:r>
      <w:r w:rsidRPr="003319BC">
        <w:rPr>
          <w:rFonts w:ascii="Arial" w:eastAsia="Times New Roman" w:hAnsi="Arial" w:cs="Arial"/>
          <w:color w:val="000000" w:themeColor="text1"/>
          <w:sz w:val="24"/>
          <w:szCs w:val="24"/>
          <w:highlight w:val="white"/>
          <w:lang w:val="en-GB"/>
        </w:rPr>
        <w:t xml:space="preserve">). Hence segmentation, positioning and target audience proposition for both the UK and India shows a strong business sustainability </w:t>
      </w:r>
      <w:r w:rsidR="00B31B08" w:rsidRPr="003319BC">
        <w:rPr>
          <w:rFonts w:ascii="Arial" w:eastAsia="Times New Roman" w:hAnsi="Arial" w:cs="Arial"/>
          <w:color w:val="000000" w:themeColor="text1"/>
          <w:sz w:val="24"/>
          <w:szCs w:val="24"/>
          <w:highlight w:val="white"/>
          <w:lang w:val="en-GB"/>
        </w:rPr>
        <w:t>of DIAGEO</w:t>
      </w:r>
      <w:r w:rsidRPr="003319BC">
        <w:rPr>
          <w:rFonts w:ascii="Arial" w:eastAsia="Times New Roman" w:hAnsi="Arial" w:cs="Arial"/>
          <w:color w:val="000000" w:themeColor="text1"/>
          <w:sz w:val="24"/>
          <w:szCs w:val="24"/>
          <w:lang w:val="en-GB"/>
        </w:rPr>
        <w:t>.</w:t>
      </w:r>
    </w:p>
    <w:p w14:paraId="5E55905D" w14:textId="77777777" w:rsidR="00693E9C" w:rsidRPr="003319BC" w:rsidRDefault="00693E9C" w:rsidP="00A51F6B">
      <w:pPr>
        <w:spacing w:line="360" w:lineRule="auto"/>
        <w:jc w:val="both"/>
        <w:rPr>
          <w:rFonts w:ascii="Arial" w:hAnsi="Arial" w:cs="Arial"/>
          <w:b/>
          <w:bCs/>
          <w:color w:val="000000" w:themeColor="text1"/>
          <w:sz w:val="24"/>
          <w:szCs w:val="24"/>
          <w:lang w:val="en-GB"/>
        </w:rPr>
      </w:pPr>
    </w:p>
    <w:p w14:paraId="13901F8C" w14:textId="77777777" w:rsidR="00693E9C" w:rsidRPr="003319BC" w:rsidRDefault="00693E9C" w:rsidP="003319BC">
      <w:pPr>
        <w:pStyle w:val="Heading1"/>
        <w:rPr>
          <w:rFonts w:ascii="Arial" w:hAnsi="Arial" w:cs="Arial"/>
        </w:rPr>
      </w:pPr>
      <w:bookmarkStart w:id="11" w:name="_Toc143520701"/>
      <w:r w:rsidRPr="003319BC">
        <w:rPr>
          <w:rFonts w:ascii="Arial" w:hAnsi="Arial" w:cs="Arial"/>
        </w:rPr>
        <w:t>Marketi</w:t>
      </w:r>
      <w:r w:rsidR="00A76206" w:rsidRPr="003319BC">
        <w:rPr>
          <w:rFonts w:ascii="Arial" w:hAnsi="Arial" w:cs="Arial"/>
        </w:rPr>
        <w:t>ng mix (7Ps)</w:t>
      </w:r>
      <w:bookmarkEnd w:id="11"/>
    </w:p>
    <w:p w14:paraId="1B16F695" w14:textId="77777777" w:rsidR="00C126B2" w:rsidRPr="003319BC" w:rsidRDefault="00B31B08" w:rsidP="00A51F6B">
      <w:pPr>
        <w:pStyle w:val="BodyTextIndent"/>
        <w:spacing w:line="360" w:lineRule="auto"/>
        <w:ind w:left="0"/>
        <w:jc w:val="both"/>
        <w:rPr>
          <w:rFonts w:ascii="Arial" w:hAnsi="Arial" w:cs="Arial"/>
        </w:rPr>
      </w:pPr>
      <w:r w:rsidRPr="003319BC">
        <w:rPr>
          <w:rFonts w:ascii="Arial" w:hAnsi="Arial" w:cs="Arial"/>
        </w:rPr>
        <w:t>The marketing</w:t>
      </w:r>
      <w:r w:rsidR="00C126B2" w:rsidRPr="003319BC">
        <w:rPr>
          <w:rFonts w:ascii="Arial" w:hAnsi="Arial" w:cs="Arial"/>
        </w:rPr>
        <w:t xml:space="preserve"> mix is a set of marketing tools used by organizations to influence demand for their services. In the manufacturing industry, the 4Ps model is used, which includes tangible products. In the service industry, the 7Ps approach is used, which includes product, price, place, promotion, people, physical facilities, and processes. The 4Ps model focuses on product quality, pricing, promotion, and place, while the 7Ps model includes personnel, physical assets, and procedures. The quality, skills, and attitude of employees play a significant role in shaping customers' decisions. The service process, including the behaviour of those delivering the product, is crucial for customer satisfaction. The 7Ps model can be applied to RT services due to similarities in their characteristics. Overall, the marketing mix plays a crucial role in determining an organization's response to its target markets</w:t>
      </w:r>
      <w:r w:rsidR="009B3EBC" w:rsidRPr="003319BC">
        <w:rPr>
          <w:rFonts w:ascii="Arial" w:hAnsi="Arial" w:cs="Arial"/>
        </w:rPr>
        <w:t xml:space="preserve"> </w:t>
      </w:r>
      <w:sdt>
        <w:sdtPr>
          <w:rPr>
            <w:rFonts w:ascii="Arial" w:hAnsi="Arial" w:cs="Arial"/>
          </w:rPr>
          <w:id w:val="1551954472"/>
          <w:citation/>
        </w:sdtPr>
        <w:sdtContent>
          <w:r w:rsidR="00915DC2" w:rsidRPr="003319BC">
            <w:rPr>
              <w:rFonts w:ascii="Arial" w:hAnsi="Arial" w:cs="Arial"/>
            </w:rPr>
            <w:fldChar w:fldCharType="begin"/>
          </w:r>
          <w:r w:rsidR="00C126B2" w:rsidRPr="003319BC">
            <w:rPr>
              <w:rFonts w:ascii="Arial" w:hAnsi="Arial" w:cs="Arial"/>
            </w:rPr>
            <w:instrText xml:space="preserve"> CITATION DoQ20 \l 1033 </w:instrText>
          </w:r>
          <w:r w:rsidR="00915DC2" w:rsidRPr="003319BC">
            <w:rPr>
              <w:rFonts w:ascii="Arial" w:hAnsi="Arial" w:cs="Arial"/>
            </w:rPr>
            <w:fldChar w:fldCharType="separate"/>
          </w:r>
          <w:r w:rsidR="00C126B2" w:rsidRPr="003319BC">
            <w:rPr>
              <w:rFonts w:ascii="Arial" w:hAnsi="Arial" w:cs="Arial"/>
              <w:noProof/>
            </w:rPr>
            <w:t>(Do &amp; Vu, 2020)</w:t>
          </w:r>
          <w:r w:rsidR="00915DC2" w:rsidRPr="003319BC">
            <w:rPr>
              <w:rFonts w:ascii="Arial" w:hAnsi="Arial" w:cs="Arial"/>
            </w:rPr>
            <w:fldChar w:fldCharType="end"/>
          </w:r>
        </w:sdtContent>
      </w:sdt>
      <w:r w:rsidR="00C126B2" w:rsidRPr="003319BC">
        <w:rPr>
          <w:rFonts w:ascii="Arial" w:hAnsi="Arial" w:cs="Arial"/>
        </w:rPr>
        <w:t>.</w:t>
      </w:r>
    </w:p>
    <w:p w14:paraId="5AFE78DC" w14:textId="77777777" w:rsidR="00C126B2" w:rsidRPr="003319BC" w:rsidRDefault="00C126B2" w:rsidP="00A51F6B">
      <w:pPr>
        <w:pStyle w:val="BodyTextIndent"/>
        <w:spacing w:line="360" w:lineRule="auto"/>
        <w:ind w:left="0"/>
        <w:jc w:val="center"/>
        <w:rPr>
          <w:rFonts w:ascii="Arial" w:hAnsi="Arial" w:cs="Arial"/>
        </w:rPr>
      </w:pPr>
      <w:r w:rsidRPr="003319BC">
        <w:rPr>
          <w:rFonts w:ascii="Arial" w:hAnsi="Arial" w:cs="Arial"/>
          <w:noProof/>
          <w:lang w:bidi="ar-SA"/>
        </w:rPr>
        <w:drawing>
          <wp:inline distT="0" distB="0" distL="0" distR="0" wp14:anchorId="455D69CF" wp14:editId="09C7FE4E">
            <wp:extent cx="6715125" cy="2943225"/>
            <wp:effectExtent l="0" t="0" r="0" b="0"/>
            <wp:docPr id="140121146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F6F7BBE" w14:textId="77777777" w:rsidR="00A76206" w:rsidRPr="003319BC" w:rsidRDefault="00A76206" w:rsidP="00A51F6B">
      <w:pPr>
        <w:pStyle w:val="BodyTextIndent"/>
        <w:spacing w:line="360" w:lineRule="auto"/>
        <w:jc w:val="center"/>
        <w:rPr>
          <w:rFonts w:ascii="Arial" w:hAnsi="Arial" w:cs="Arial"/>
          <w:b/>
          <w:bCs/>
        </w:rPr>
      </w:pPr>
      <w:r w:rsidRPr="003319BC">
        <w:rPr>
          <w:rFonts w:ascii="Arial" w:hAnsi="Arial" w:cs="Arial"/>
          <w:b/>
          <w:bCs/>
        </w:rPr>
        <w:lastRenderedPageBreak/>
        <w:t>Figure 5: Marketing Mix 7ps</w:t>
      </w:r>
    </w:p>
    <w:p w14:paraId="22EB107A" w14:textId="77777777" w:rsidR="00C126B2" w:rsidRPr="003319BC" w:rsidRDefault="00C126B2" w:rsidP="00A51F6B">
      <w:pPr>
        <w:pStyle w:val="BodyTextIndent"/>
        <w:spacing w:line="360" w:lineRule="auto"/>
        <w:jc w:val="center"/>
        <w:rPr>
          <w:rFonts w:ascii="Arial" w:hAnsi="Arial" w:cs="Arial"/>
          <w:b/>
          <w:bCs/>
        </w:rPr>
      </w:pPr>
      <w:r w:rsidRPr="003319BC">
        <w:rPr>
          <w:rFonts w:ascii="Arial" w:hAnsi="Arial" w:cs="Arial"/>
          <w:b/>
          <w:bCs/>
        </w:rPr>
        <w:t xml:space="preserve">Source: </w:t>
      </w:r>
      <w:sdt>
        <w:sdtPr>
          <w:rPr>
            <w:rFonts w:ascii="Arial" w:hAnsi="Arial" w:cs="Arial"/>
            <w:b/>
            <w:bCs/>
          </w:rPr>
          <w:id w:val="-1200930571"/>
          <w:citation/>
        </w:sdtPr>
        <w:sdtContent>
          <w:r w:rsidR="00915DC2" w:rsidRPr="003319BC">
            <w:rPr>
              <w:rFonts w:ascii="Arial" w:hAnsi="Arial" w:cs="Arial"/>
              <w:b/>
              <w:bCs/>
            </w:rPr>
            <w:fldChar w:fldCharType="begin"/>
          </w:r>
          <w:r w:rsidR="00F51086" w:rsidRPr="003319BC">
            <w:rPr>
              <w:rFonts w:ascii="Arial" w:hAnsi="Arial" w:cs="Arial"/>
              <w:b/>
              <w:bCs/>
            </w:rPr>
            <w:instrText xml:space="preserve"> CITATION DoQ20 \l 1033 </w:instrText>
          </w:r>
          <w:r w:rsidR="00915DC2" w:rsidRPr="003319BC">
            <w:rPr>
              <w:rFonts w:ascii="Arial" w:hAnsi="Arial" w:cs="Arial"/>
              <w:b/>
              <w:bCs/>
            </w:rPr>
            <w:fldChar w:fldCharType="separate"/>
          </w:r>
          <w:r w:rsidR="00F51086" w:rsidRPr="003319BC">
            <w:rPr>
              <w:rFonts w:ascii="Arial" w:hAnsi="Arial" w:cs="Arial"/>
              <w:noProof/>
            </w:rPr>
            <w:t>(Do &amp; Vu, 2020)</w:t>
          </w:r>
          <w:r w:rsidR="00915DC2" w:rsidRPr="003319BC">
            <w:rPr>
              <w:rFonts w:ascii="Arial" w:hAnsi="Arial" w:cs="Arial"/>
              <w:b/>
              <w:bCs/>
            </w:rPr>
            <w:fldChar w:fldCharType="end"/>
          </w:r>
        </w:sdtContent>
      </w:sdt>
    </w:p>
    <w:p w14:paraId="754494D0" w14:textId="77777777" w:rsidR="00AF0867" w:rsidRPr="003319BC" w:rsidRDefault="00AF0867" w:rsidP="00A51F6B">
      <w:pPr>
        <w:pStyle w:val="BodyTextIndent"/>
        <w:spacing w:line="360" w:lineRule="auto"/>
        <w:ind w:left="0"/>
        <w:jc w:val="both"/>
        <w:rPr>
          <w:rFonts w:ascii="Arial" w:hAnsi="Arial" w:cs="Arial"/>
          <w:b/>
          <w:bCs/>
        </w:rPr>
      </w:pPr>
    </w:p>
    <w:p w14:paraId="630DD83C" w14:textId="77777777" w:rsidR="00B31B08" w:rsidRPr="003319BC" w:rsidRDefault="00B31B08" w:rsidP="003319BC">
      <w:pPr>
        <w:pStyle w:val="Heading1"/>
        <w:rPr>
          <w:rFonts w:ascii="Arial" w:hAnsi="Arial" w:cs="Arial"/>
        </w:rPr>
      </w:pPr>
      <w:bookmarkStart w:id="12" w:name="_Toc143520703"/>
      <w:r w:rsidRPr="003319BC">
        <w:rPr>
          <w:rFonts w:ascii="Arial" w:hAnsi="Arial" w:cs="Arial"/>
        </w:rPr>
        <w:t>Marketing mix elements (7Ps)</w:t>
      </w:r>
      <w:bookmarkEnd w:id="12"/>
    </w:p>
    <w:tbl>
      <w:tblPr>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75"/>
        <w:gridCol w:w="4725"/>
      </w:tblGrid>
      <w:tr w:rsidR="00C974B2" w:rsidRPr="003319BC" w14:paraId="59FC14A6" w14:textId="77777777" w:rsidTr="00537F6F">
        <w:trPr>
          <w:cantSplit/>
          <w:tblHeader/>
          <w:jc w:val="center"/>
        </w:trPr>
        <w:tc>
          <w:tcPr>
            <w:tcW w:w="4275" w:type="dxa"/>
            <w:shd w:val="clear" w:color="auto" w:fill="auto"/>
            <w:tcMar>
              <w:top w:w="100" w:type="dxa"/>
              <w:left w:w="100" w:type="dxa"/>
              <w:bottom w:w="100" w:type="dxa"/>
              <w:right w:w="100" w:type="dxa"/>
            </w:tcMar>
          </w:tcPr>
          <w:p w14:paraId="252D6C8F" w14:textId="77777777" w:rsidR="00B31B08" w:rsidRPr="003319BC" w:rsidRDefault="00B31B08" w:rsidP="00537F6F">
            <w:pPr>
              <w:pStyle w:val="Normal1"/>
              <w:widowControl w:val="0"/>
              <w:spacing w:line="24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“Market Mix Similarities of the UK and India”</w:t>
            </w:r>
          </w:p>
        </w:tc>
        <w:tc>
          <w:tcPr>
            <w:tcW w:w="4725" w:type="dxa"/>
            <w:shd w:val="clear" w:color="auto" w:fill="auto"/>
            <w:tcMar>
              <w:top w:w="100" w:type="dxa"/>
              <w:left w:w="100" w:type="dxa"/>
              <w:bottom w:w="100" w:type="dxa"/>
              <w:right w:w="100" w:type="dxa"/>
            </w:tcMar>
          </w:tcPr>
          <w:p w14:paraId="5AAA7FF7" w14:textId="77777777" w:rsidR="00B31B08" w:rsidRPr="003319BC" w:rsidRDefault="00B31B08" w:rsidP="00537F6F">
            <w:pPr>
              <w:pStyle w:val="Normal1"/>
              <w:widowControl w:val="0"/>
              <w:spacing w:line="240"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“Market mix differences between the UK and India”</w:t>
            </w:r>
          </w:p>
        </w:tc>
      </w:tr>
      <w:tr w:rsidR="00C974B2" w:rsidRPr="003319BC" w14:paraId="3CC544CB" w14:textId="77777777" w:rsidTr="00537F6F">
        <w:trPr>
          <w:cantSplit/>
          <w:tblHeader/>
          <w:jc w:val="center"/>
        </w:trPr>
        <w:tc>
          <w:tcPr>
            <w:tcW w:w="4275" w:type="dxa"/>
            <w:shd w:val="clear" w:color="auto" w:fill="auto"/>
            <w:tcMar>
              <w:top w:w="100" w:type="dxa"/>
              <w:left w:w="100" w:type="dxa"/>
              <w:bottom w:w="100" w:type="dxa"/>
              <w:right w:w="100" w:type="dxa"/>
            </w:tcMar>
          </w:tcPr>
          <w:p w14:paraId="36B1100D" w14:textId="77777777" w:rsidR="00B31B08" w:rsidRPr="003319BC" w:rsidRDefault="00B31B08" w:rsidP="00537F6F">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The UK and India both have the same product base choice and target audience.</w:t>
            </w:r>
          </w:p>
        </w:tc>
        <w:tc>
          <w:tcPr>
            <w:tcW w:w="4725" w:type="dxa"/>
            <w:shd w:val="clear" w:color="auto" w:fill="auto"/>
            <w:tcMar>
              <w:top w:w="100" w:type="dxa"/>
              <w:left w:w="100" w:type="dxa"/>
              <w:bottom w:w="100" w:type="dxa"/>
              <w:right w:w="100" w:type="dxa"/>
            </w:tcMar>
          </w:tcPr>
          <w:p w14:paraId="41C1A434" w14:textId="77777777" w:rsidR="00B31B08" w:rsidRPr="003319BC" w:rsidRDefault="00B31B08" w:rsidP="00537F6F">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India has more diversity and cultural aspects than the UK. Hence, DIAGEO needs more marketing processes in India than in the UK. </w:t>
            </w:r>
          </w:p>
        </w:tc>
      </w:tr>
    </w:tbl>
    <w:p w14:paraId="76ECFAC8" w14:textId="77777777" w:rsidR="00B31B08" w:rsidRPr="003319BC" w:rsidRDefault="00B31B08" w:rsidP="00B31B08">
      <w:pPr>
        <w:pStyle w:val="Heading5"/>
        <w:keepNext w:val="0"/>
        <w:spacing w:after="0" w:line="360" w:lineRule="auto"/>
        <w:jc w:val="center"/>
        <w:rPr>
          <w:rFonts w:eastAsia="Times New Roman"/>
          <w:b w:val="0"/>
          <w:lang w:val="en-GB"/>
        </w:rPr>
      </w:pPr>
      <w:bookmarkStart w:id="13" w:name="_1y810tw" w:colFirst="0" w:colLast="0"/>
      <w:bookmarkEnd w:id="13"/>
      <w:r w:rsidRPr="003319BC">
        <w:rPr>
          <w:rFonts w:eastAsia="Times New Roman"/>
          <w:lang w:val="en-GB"/>
        </w:rPr>
        <w:t>Table: Marketing Mix Similarities and Differences of the UK and India</w:t>
      </w:r>
    </w:p>
    <w:p w14:paraId="7C5DBF17" w14:textId="77777777" w:rsidR="00B31B08" w:rsidRPr="003319BC" w:rsidRDefault="00B31B08" w:rsidP="00B31B08">
      <w:pPr>
        <w:pStyle w:val="Normal1"/>
        <w:spacing w:line="360" w:lineRule="auto"/>
        <w:jc w:val="center"/>
        <w:rPr>
          <w:rFonts w:eastAsia="Times New Roman"/>
          <w:color w:val="000000" w:themeColor="text1"/>
          <w:sz w:val="24"/>
          <w:szCs w:val="24"/>
          <w:lang w:val="en-GB"/>
        </w:rPr>
      </w:pPr>
      <w:r w:rsidRPr="003319BC">
        <w:rPr>
          <w:rFonts w:eastAsia="Times New Roman"/>
          <w:color w:val="000000" w:themeColor="text1"/>
          <w:sz w:val="24"/>
          <w:szCs w:val="24"/>
          <w:lang w:val="en-GB"/>
        </w:rPr>
        <w:t>(Source: Self-developed)</w:t>
      </w:r>
    </w:p>
    <w:p w14:paraId="3378E00D" w14:textId="77777777" w:rsidR="00B31B08" w:rsidRPr="003319BC" w:rsidRDefault="00B31B08" w:rsidP="00B31B08">
      <w:pPr>
        <w:pStyle w:val="Normal1"/>
        <w:spacing w:after="160" w:line="259" w:lineRule="auto"/>
        <w:rPr>
          <w:rFonts w:eastAsia="Times New Roman"/>
          <w:color w:val="000000" w:themeColor="text1"/>
          <w:sz w:val="24"/>
          <w:szCs w:val="24"/>
          <w:lang w:val="en-GB"/>
        </w:rPr>
      </w:pPr>
    </w:p>
    <w:p w14:paraId="3F380E97"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Product:</w:t>
      </w:r>
    </w:p>
    <w:p w14:paraId="0D1A62A3" w14:textId="77777777" w:rsidR="00765B4E" w:rsidRDefault="00B31B08" w:rsidP="00B31B08">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w:t>
      </w:r>
      <w:r w:rsidRPr="003319BC">
        <w:rPr>
          <w:rFonts w:eastAsia="Times New Roman"/>
          <w:color w:val="000000" w:themeColor="text1"/>
          <w:sz w:val="24"/>
          <w:szCs w:val="24"/>
          <w:highlight w:val="white"/>
          <w:lang w:val="en-GB"/>
        </w:rPr>
        <w:t xml:space="preserve">Johnnie Walker”, “Black Dog”, “Black &amp; White”, “Vat 69”, “Antiquity, Signature”, “Singleton”, “Royal Challenge”, “McDowell’s No 1”, “Smirnoff, Ketel One”, “Tanqueray and Captain Morgan” are the product of </w:t>
      </w:r>
      <w:r w:rsidRPr="003319BC">
        <w:rPr>
          <w:rFonts w:eastAsia="Times New Roman"/>
          <w:color w:val="000000" w:themeColor="text1"/>
          <w:sz w:val="24"/>
          <w:szCs w:val="24"/>
          <w:lang w:val="en-GB"/>
        </w:rPr>
        <w:t xml:space="preserve">DIAGEO in </w:t>
      </w:r>
      <w:r w:rsidRPr="00765B4E">
        <w:rPr>
          <w:rFonts w:eastAsia="Times New Roman"/>
          <w:b/>
          <w:bCs/>
          <w:color w:val="000000" w:themeColor="text1"/>
          <w:sz w:val="24"/>
          <w:szCs w:val="24"/>
          <w:lang w:val="en-GB"/>
        </w:rPr>
        <w:t>India</w:t>
      </w:r>
      <w:r w:rsidRPr="003319BC">
        <w:rPr>
          <w:rFonts w:eastAsia="Times New Roman"/>
          <w:color w:val="000000" w:themeColor="text1"/>
          <w:sz w:val="24"/>
          <w:szCs w:val="24"/>
          <w:lang w:val="en-GB"/>
        </w:rPr>
        <w:t xml:space="preserve">. </w:t>
      </w:r>
    </w:p>
    <w:p w14:paraId="649495B6" w14:textId="559DB00A" w:rsidR="00B31B08" w:rsidRPr="003319BC" w:rsidRDefault="00B31B08" w:rsidP="00B31B08">
      <w:pPr>
        <w:pStyle w:val="Normal1"/>
        <w:widowControl w:val="0"/>
        <w:spacing w:line="360" w:lineRule="auto"/>
        <w:jc w:val="both"/>
        <w:rPr>
          <w:rFonts w:eastAsia="Times New Roman"/>
          <w:b/>
          <w:color w:val="000000" w:themeColor="text1"/>
          <w:sz w:val="24"/>
          <w:szCs w:val="24"/>
          <w:lang w:val="en-GB"/>
        </w:rPr>
      </w:pPr>
      <w:r w:rsidRPr="003319BC">
        <w:rPr>
          <w:rFonts w:eastAsia="Times New Roman"/>
          <w:color w:val="000000" w:themeColor="text1"/>
          <w:sz w:val="24"/>
          <w:szCs w:val="24"/>
          <w:highlight w:val="white"/>
          <w:lang w:val="en-GB"/>
        </w:rPr>
        <w:t>“Johnnie Walker”,</w:t>
      </w:r>
      <w:r w:rsidRPr="003319BC">
        <w:rPr>
          <w:rFonts w:eastAsia="Times New Roman"/>
          <w:color w:val="000000" w:themeColor="text1"/>
          <w:sz w:val="24"/>
          <w:szCs w:val="24"/>
          <w:lang w:val="en-GB"/>
        </w:rPr>
        <w:t xml:space="preserve"> “</w:t>
      </w:r>
      <w:r w:rsidRPr="003319BC">
        <w:rPr>
          <w:rFonts w:eastAsia="Times New Roman"/>
          <w:color w:val="000000" w:themeColor="text1"/>
          <w:sz w:val="24"/>
          <w:szCs w:val="24"/>
          <w:highlight w:val="white"/>
          <w:lang w:val="en-GB"/>
        </w:rPr>
        <w:t>Tanqueray(gin)” “</w:t>
      </w:r>
      <w:r w:rsidR="003E73B5" w:rsidRPr="003319BC">
        <w:rPr>
          <w:rFonts w:eastAsia="Times New Roman"/>
          <w:color w:val="000000" w:themeColor="text1"/>
          <w:sz w:val="24"/>
          <w:szCs w:val="24"/>
          <w:highlight w:val="white"/>
          <w:lang w:val="en-GB"/>
        </w:rPr>
        <w:t>Smirnoff (</w:t>
      </w:r>
      <w:r w:rsidRPr="003319BC">
        <w:rPr>
          <w:rFonts w:eastAsia="Times New Roman"/>
          <w:color w:val="000000" w:themeColor="text1"/>
          <w:sz w:val="24"/>
          <w:szCs w:val="24"/>
          <w:highlight w:val="white"/>
          <w:lang w:val="en-GB"/>
        </w:rPr>
        <w:t>Vodka)” and  “Guinness(stout)”,  (</w:t>
      </w:r>
      <w:r w:rsidRPr="003319BC">
        <w:rPr>
          <w:rFonts w:eastAsia="Times New Roman"/>
          <w:color w:val="000000" w:themeColor="text1"/>
          <w:sz w:val="24"/>
          <w:szCs w:val="24"/>
          <w:lang w:val="en-GB"/>
        </w:rPr>
        <w:t>Diageo.com, 2023</w:t>
      </w:r>
      <w:r w:rsidRPr="003319BC">
        <w:rPr>
          <w:rFonts w:eastAsia="Times New Roman"/>
          <w:color w:val="000000" w:themeColor="text1"/>
          <w:sz w:val="24"/>
          <w:szCs w:val="24"/>
          <w:highlight w:val="white"/>
          <w:lang w:val="en-GB"/>
        </w:rPr>
        <w:t xml:space="preserve">). “Captain Morgan” and “Crown Royal” are the most popular products of </w:t>
      </w:r>
      <w:r w:rsidRPr="003319BC">
        <w:rPr>
          <w:rFonts w:eastAsia="Times New Roman"/>
          <w:color w:val="000000" w:themeColor="text1"/>
          <w:sz w:val="24"/>
          <w:szCs w:val="24"/>
          <w:lang w:val="en-GB"/>
        </w:rPr>
        <w:t xml:space="preserve">DIAGEO in </w:t>
      </w:r>
      <w:r w:rsidRPr="00765B4E">
        <w:rPr>
          <w:rFonts w:eastAsia="Times New Roman"/>
          <w:b/>
          <w:bCs/>
          <w:color w:val="000000" w:themeColor="text1"/>
          <w:sz w:val="24"/>
          <w:szCs w:val="24"/>
          <w:lang w:val="en-GB"/>
        </w:rPr>
        <w:t>the UK</w:t>
      </w:r>
      <w:r w:rsidRPr="003319BC">
        <w:rPr>
          <w:rFonts w:eastAsia="Times New Roman"/>
          <w:color w:val="000000" w:themeColor="text1"/>
          <w:sz w:val="24"/>
          <w:szCs w:val="24"/>
          <w:lang w:val="en-GB"/>
        </w:rPr>
        <w:t>.</w:t>
      </w:r>
    </w:p>
    <w:p w14:paraId="334065AC"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Promotion:</w:t>
      </w:r>
    </w:p>
    <w:p w14:paraId="141D215D" w14:textId="011F4B84" w:rsidR="00765B4E" w:rsidRDefault="00B31B08" w:rsidP="00765B4E">
      <w:pPr>
        <w:pStyle w:val="Normal1"/>
        <w:spacing w:after="160" w:line="360" w:lineRule="auto"/>
        <w:rPr>
          <w:rFonts w:eastAsia="Times New Roman"/>
          <w:color w:val="000000" w:themeColor="text1"/>
          <w:sz w:val="24"/>
          <w:szCs w:val="24"/>
          <w:lang w:val="en-GB"/>
        </w:rPr>
      </w:pPr>
      <w:r w:rsidRPr="003319BC">
        <w:rPr>
          <w:rFonts w:eastAsia="Times New Roman"/>
          <w:color w:val="000000" w:themeColor="text1"/>
          <w:sz w:val="24"/>
          <w:szCs w:val="24"/>
          <w:lang w:val="en-GB"/>
        </w:rPr>
        <w:t>Diago follows an intensive marketing strategy for both countries that maintains its sustainability and success. Various marketing channels such as advertising, influencer marketing and social media platforms are effectively used by the company to promote its</w:t>
      </w:r>
      <w:r w:rsidR="00765B4E">
        <w:rPr>
          <w:rFonts w:eastAsia="Times New Roman"/>
          <w:color w:val="000000" w:themeColor="text1"/>
          <w:sz w:val="24"/>
          <w:szCs w:val="24"/>
          <w:lang w:val="en-GB"/>
        </w:rPr>
        <w:t xml:space="preserve"> </w:t>
      </w:r>
      <w:r w:rsidRPr="003319BC">
        <w:rPr>
          <w:rFonts w:eastAsia="Times New Roman"/>
          <w:color w:val="000000" w:themeColor="text1"/>
          <w:sz w:val="24"/>
          <w:szCs w:val="24"/>
          <w:lang w:val="en-GB"/>
        </w:rPr>
        <w:t>product.</w:t>
      </w:r>
      <w:r w:rsidRPr="003319BC">
        <w:rPr>
          <w:rFonts w:eastAsia="Times New Roman"/>
          <w:color w:val="000000" w:themeColor="text1"/>
          <w:sz w:val="24"/>
          <w:szCs w:val="24"/>
          <w:lang w:val="en-GB"/>
        </w:rPr>
        <w:br/>
      </w:r>
      <w:r w:rsidRPr="00765B4E">
        <w:rPr>
          <w:rFonts w:eastAsia="Times New Roman"/>
          <w:b/>
          <w:bCs/>
          <w:color w:val="000000" w:themeColor="text1"/>
          <w:sz w:val="24"/>
          <w:szCs w:val="24"/>
          <w:lang w:val="en-GB"/>
        </w:rPr>
        <w:t>Diageo India</w:t>
      </w:r>
      <w:r w:rsidRPr="003319BC">
        <w:rPr>
          <w:rFonts w:eastAsia="Times New Roman"/>
          <w:color w:val="000000" w:themeColor="text1"/>
          <w:sz w:val="24"/>
          <w:szCs w:val="24"/>
          <w:lang w:val="en-GB"/>
        </w:rPr>
        <w:t xml:space="preserve"> MD&amp;CEO “Hina Nagarajan” states that the company follows a new marketing strategy that successfully meets the needs of the changing market condition of India (Thehindubusinessline.com, 2023). Authentic quality and massive consumer </w:t>
      </w:r>
      <w:r w:rsidRPr="003319BC">
        <w:rPr>
          <w:rFonts w:eastAsia="Times New Roman"/>
          <w:color w:val="000000" w:themeColor="text1"/>
          <w:sz w:val="24"/>
          <w:szCs w:val="24"/>
          <w:lang w:val="en-GB"/>
        </w:rPr>
        <w:lastRenderedPageBreak/>
        <w:t xml:space="preserve">loyalty to the product such as “signature” and “Royal challenges '' promote the brand value of Diageo in India. </w:t>
      </w:r>
    </w:p>
    <w:p w14:paraId="4889494E" w14:textId="211E2F9C" w:rsidR="00B31B08" w:rsidRPr="00765B4E" w:rsidRDefault="00B31B08" w:rsidP="00765B4E">
      <w:pPr>
        <w:pStyle w:val="Normal1"/>
        <w:spacing w:after="160" w:line="360" w:lineRule="auto"/>
        <w:rPr>
          <w:rFonts w:eastAsia="Times New Roman"/>
          <w:color w:val="000000" w:themeColor="text1"/>
          <w:sz w:val="24"/>
          <w:szCs w:val="24"/>
          <w:lang w:val="en-GB"/>
        </w:rPr>
      </w:pPr>
      <w:r w:rsidRPr="00765B4E">
        <w:rPr>
          <w:rFonts w:eastAsia="Times New Roman"/>
          <w:b/>
          <w:bCs/>
          <w:color w:val="000000" w:themeColor="text1"/>
          <w:sz w:val="24"/>
          <w:szCs w:val="24"/>
          <w:lang w:val="en-GB"/>
        </w:rPr>
        <w:t>In the UK market</w:t>
      </w:r>
      <w:r w:rsidR="00765B4E">
        <w:rPr>
          <w:rFonts w:eastAsia="Times New Roman"/>
          <w:b/>
          <w:bCs/>
          <w:color w:val="000000" w:themeColor="text1"/>
          <w:sz w:val="24"/>
          <w:szCs w:val="24"/>
          <w:lang w:val="en-GB"/>
        </w:rPr>
        <w:t>,</w:t>
      </w:r>
      <w:r w:rsidRPr="003319BC">
        <w:rPr>
          <w:rFonts w:eastAsia="Times New Roman"/>
          <w:color w:val="000000" w:themeColor="text1"/>
          <w:sz w:val="24"/>
          <w:szCs w:val="24"/>
          <w:lang w:val="en-GB"/>
        </w:rPr>
        <w:t xml:space="preserve"> Diago promotes a positive drinking culture, “DRINKiQ” is emerging as the promotional process of the company in the UK that is aware of positive drinking and harmful use of alcohol (Diageo.com, 2023). This process also tackles underage drinking and aims to </w:t>
      </w:r>
      <w:r w:rsidR="003E73B5" w:rsidRPr="003319BC">
        <w:rPr>
          <w:rFonts w:eastAsia="Times New Roman"/>
          <w:color w:val="000000" w:themeColor="text1"/>
          <w:sz w:val="24"/>
          <w:szCs w:val="24"/>
          <w:lang w:val="en-GB"/>
        </w:rPr>
        <w:t>educate 10</w:t>
      </w:r>
      <w:r w:rsidR="00BA592F" w:rsidRPr="003319BC">
        <w:rPr>
          <w:rFonts w:eastAsia="Times New Roman"/>
          <w:color w:val="000000" w:themeColor="text1"/>
          <w:sz w:val="24"/>
          <w:szCs w:val="24"/>
          <w:lang w:val="en-GB"/>
        </w:rPr>
        <w:t xml:space="preserve"> million young people by 2030 </w:t>
      </w:r>
      <w:r w:rsidRPr="003319BC">
        <w:rPr>
          <w:rFonts w:eastAsia="Times New Roman"/>
          <w:color w:val="000000" w:themeColor="text1"/>
          <w:sz w:val="24"/>
          <w:szCs w:val="24"/>
          <w:lang w:val="en-GB"/>
        </w:rPr>
        <w:t xml:space="preserve">are educated about the ethical process of alcohol drinking. </w:t>
      </w:r>
    </w:p>
    <w:p w14:paraId="55CE1CA9"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Price:</w:t>
      </w:r>
    </w:p>
    <w:p w14:paraId="5F2E6BBD" w14:textId="1AA8DA05" w:rsidR="00B31B08" w:rsidRPr="003319BC" w:rsidRDefault="00B31B08" w:rsidP="00B31B08">
      <w:pPr>
        <w:pStyle w:val="Normal1"/>
        <w:spacing w:after="160" w:line="360" w:lineRule="auto"/>
        <w:jc w:val="both"/>
        <w:rPr>
          <w:rFonts w:eastAsia="Times New Roman"/>
          <w:b/>
          <w:color w:val="000000" w:themeColor="text1"/>
          <w:sz w:val="24"/>
          <w:szCs w:val="24"/>
          <w:lang w:val="en-GB"/>
        </w:rPr>
      </w:pPr>
      <w:r w:rsidRPr="003319BC">
        <w:rPr>
          <w:rFonts w:eastAsia="Times New Roman"/>
          <w:color w:val="000000" w:themeColor="text1"/>
          <w:sz w:val="24"/>
          <w:szCs w:val="24"/>
          <w:lang w:val="en-GB"/>
        </w:rPr>
        <w:t xml:space="preserve">Diageo has a wide list of products that include </w:t>
      </w:r>
      <w:r w:rsidR="00BA592F" w:rsidRPr="003319BC">
        <w:rPr>
          <w:rFonts w:eastAsia="Times New Roman"/>
          <w:color w:val="000000" w:themeColor="text1"/>
          <w:sz w:val="24"/>
          <w:szCs w:val="24"/>
          <w:lang w:val="en-GB"/>
        </w:rPr>
        <w:t>whiskey;</w:t>
      </w:r>
      <w:r w:rsidRPr="003319BC">
        <w:rPr>
          <w:rFonts w:eastAsia="Times New Roman"/>
          <w:color w:val="000000" w:themeColor="text1"/>
          <w:sz w:val="24"/>
          <w:szCs w:val="24"/>
          <w:lang w:val="en-GB"/>
        </w:rPr>
        <w:t xml:space="preserve"> Gin, Scotch, Vodka, Soput and tequila are various segments. Following the people's choice of both country and market segmentation, Diago has a stronger market base in the Indian context than the UK. This company has quality products that hold different prices according to their quality and distillation process. “</w:t>
      </w:r>
      <w:r w:rsidRPr="003319BC">
        <w:rPr>
          <w:rFonts w:eastAsia="Times New Roman"/>
          <w:color w:val="000000" w:themeColor="text1"/>
          <w:sz w:val="24"/>
          <w:szCs w:val="24"/>
          <w:highlight w:val="white"/>
          <w:lang w:val="en-GB"/>
        </w:rPr>
        <w:t>Johnnie Walker</w:t>
      </w:r>
      <w:r w:rsidRPr="003319BC">
        <w:rPr>
          <w:rFonts w:eastAsia="Times New Roman"/>
          <w:color w:val="000000" w:themeColor="text1"/>
          <w:sz w:val="24"/>
          <w:szCs w:val="24"/>
          <w:lang w:val="en-GB"/>
        </w:rPr>
        <w:t xml:space="preserve">” is the most expensive product with red labelled scotch in both countries. </w:t>
      </w:r>
      <w:r w:rsidR="00765B4E">
        <w:rPr>
          <w:rFonts w:eastAsia="Times New Roman"/>
          <w:color w:val="000000" w:themeColor="text1"/>
          <w:sz w:val="24"/>
          <w:szCs w:val="24"/>
          <w:lang w:val="en-GB"/>
        </w:rPr>
        <w:t>But</w:t>
      </w:r>
      <w:r w:rsidRPr="003319BC">
        <w:rPr>
          <w:rFonts w:eastAsia="Times New Roman"/>
          <w:color w:val="000000" w:themeColor="text1"/>
          <w:sz w:val="24"/>
          <w:szCs w:val="24"/>
          <w:lang w:val="en-GB"/>
        </w:rPr>
        <w:t>, Diageo offers affordable and quality products to customers, especially in India such as “Signature”, “</w:t>
      </w:r>
      <w:r w:rsidRPr="003319BC">
        <w:rPr>
          <w:rFonts w:eastAsia="Times New Roman"/>
          <w:color w:val="000000" w:themeColor="text1"/>
          <w:sz w:val="24"/>
          <w:szCs w:val="24"/>
          <w:highlight w:val="white"/>
          <w:lang w:val="en-GB"/>
        </w:rPr>
        <w:t>Royal Challenge</w:t>
      </w:r>
      <w:r w:rsidRPr="003319BC">
        <w:rPr>
          <w:rFonts w:eastAsia="Times New Roman"/>
          <w:color w:val="000000" w:themeColor="text1"/>
          <w:sz w:val="24"/>
          <w:szCs w:val="24"/>
          <w:lang w:val="en-GB"/>
        </w:rPr>
        <w:t xml:space="preserve">” and  </w:t>
      </w:r>
      <w:r w:rsidRPr="003319BC">
        <w:rPr>
          <w:rFonts w:eastAsia="Times New Roman"/>
          <w:color w:val="000000" w:themeColor="text1"/>
          <w:sz w:val="24"/>
          <w:szCs w:val="24"/>
          <w:highlight w:val="white"/>
          <w:lang w:val="en-GB"/>
        </w:rPr>
        <w:t>“McDowell’s No 1” to satisfy middle-income group customers.</w:t>
      </w:r>
      <w:r w:rsidRPr="003319BC">
        <w:rPr>
          <w:rFonts w:eastAsia="Times New Roman"/>
          <w:color w:val="000000" w:themeColor="text1"/>
          <w:sz w:val="24"/>
          <w:szCs w:val="24"/>
          <w:lang w:val="en-GB"/>
        </w:rPr>
        <w:t xml:space="preserve"> </w:t>
      </w:r>
    </w:p>
    <w:p w14:paraId="12E82487"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Place:</w:t>
      </w:r>
    </w:p>
    <w:p w14:paraId="6ECE13F9" w14:textId="6E1663F3" w:rsidR="00B31B08" w:rsidRPr="00765B4E" w:rsidRDefault="00B31B08" w:rsidP="00B31B08">
      <w:pPr>
        <w:pStyle w:val="Normal1"/>
        <w:spacing w:after="160"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Diageo India has a significant distribution channel and business network that maintains its business sustainability in India. This company has a 260-million-strong spirit market that dominates “Indian-made foreign </w:t>
      </w:r>
      <w:r w:rsidR="003E73B5" w:rsidRPr="003319BC">
        <w:rPr>
          <w:rFonts w:eastAsia="Times New Roman"/>
          <w:color w:val="000000" w:themeColor="text1"/>
          <w:sz w:val="24"/>
          <w:szCs w:val="24"/>
          <w:lang w:val="en-GB"/>
        </w:rPr>
        <w:t>liquor (</w:t>
      </w:r>
      <w:r w:rsidRPr="003319BC">
        <w:rPr>
          <w:rFonts w:eastAsia="Times New Roman"/>
          <w:color w:val="000000" w:themeColor="text1"/>
          <w:sz w:val="24"/>
          <w:szCs w:val="24"/>
          <w:lang w:val="en-GB"/>
        </w:rPr>
        <w:t xml:space="preserve">IMFL)” brands led by United Spirits. This company holds 53.4% of the stake in the United Spirit in the Indian market. Diageo officials in India state that due to the </w:t>
      </w:r>
      <w:r w:rsidR="003E73B5" w:rsidRPr="003319BC">
        <w:rPr>
          <w:rFonts w:eastAsia="Times New Roman"/>
          <w:color w:val="000000" w:themeColor="text1"/>
          <w:sz w:val="24"/>
          <w:szCs w:val="24"/>
          <w:lang w:val="en-GB"/>
        </w:rPr>
        <w:t>excellence</w:t>
      </w:r>
      <w:r w:rsidRPr="003319BC">
        <w:rPr>
          <w:rFonts w:eastAsia="Times New Roman"/>
          <w:color w:val="000000" w:themeColor="text1"/>
          <w:sz w:val="24"/>
          <w:szCs w:val="24"/>
          <w:lang w:val="en-GB"/>
        </w:rPr>
        <w:t xml:space="preserve"> in quality and pricing, the company witnessed a 24% increase in sales of Vodka in the Indian market (Business-standard.com, 2023). On the other hand, the UK market of Diageo offers a significant distribution and market that maintains the company’s competitiveness (Diageo.com, 2023). The European market including the UK consists of 30 distilleries in Scotland and “Diageo GB” and “Justerini &amp; Brooks Fine Wine” are the most trusted product distribution wholesaler of the company in Europe including the UK. </w:t>
      </w:r>
    </w:p>
    <w:p w14:paraId="20F03C5A" w14:textId="77777777" w:rsidR="00C07087" w:rsidRDefault="00C07087" w:rsidP="00B31B08">
      <w:pPr>
        <w:pStyle w:val="Normal1"/>
        <w:spacing w:after="160" w:line="259" w:lineRule="auto"/>
        <w:rPr>
          <w:rFonts w:eastAsia="Times New Roman"/>
          <w:b/>
          <w:color w:val="000000" w:themeColor="text1"/>
          <w:sz w:val="24"/>
          <w:szCs w:val="24"/>
          <w:lang w:val="en-GB"/>
        </w:rPr>
      </w:pPr>
    </w:p>
    <w:p w14:paraId="72E13BDA" w14:textId="14EE9C56"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lastRenderedPageBreak/>
        <w:t>People:</w:t>
      </w:r>
    </w:p>
    <w:p w14:paraId="45C218E6" w14:textId="77777777" w:rsidR="00B31B08" w:rsidRPr="003319BC" w:rsidRDefault="00B31B08" w:rsidP="00B31B08">
      <w:pPr>
        <w:pStyle w:val="Normal1"/>
        <w:spacing w:after="160" w:line="360" w:lineRule="auto"/>
        <w:jc w:val="both"/>
        <w:rPr>
          <w:rFonts w:eastAsia="Times New Roman"/>
          <w:b/>
          <w:color w:val="000000" w:themeColor="text1"/>
          <w:sz w:val="24"/>
          <w:szCs w:val="24"/>
          <w:lang w:val="en-GB"/>
        </w:rPr>
      </w:pPr>
      <w:r w:rsidRPr="003319BC">
        <w:rPr>
          <w:rFonts w:eastAsia="Times New Roman"/>
          <w:color w:val="000000" w:themeColor="text1"/>
          <w:sz w:val="24"/>
          <w:szCs w:val="24"/>
          <w:lang w:val="en-GB"/>
        </w:rPr>
        <w:t>“Hina Nagarajan” is the Managing Director and CEO of Diageo India and the Board of Directors of Diageo has appointed “Debra Crew” as CEO and Executive director of the company’s operation in the UK.</w:t>
      </w:r>
    </w:p>
    <w:p w14:paraId="42420F63"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Process:</w:t>
      </w:r>
    </w:p>
    <w:p w14:paraId="7B552F04" w14:textId="10BECA07" w:rsidR="00B31B08" w:rsidRPr="003319BC" w:rsidRDefault="00B31B08" w:rsidP="00B31B08">
      <w:pPr>
        <w:pStyle w:val="Normal1"/>
        <w:spacing w:after="160" w:line="360" w:lineRule="auto"/>
        <w:jc w:val="both"/>
        <w:rPr>
          <w:rFonts w:eastAsia="Times New Roman"/>
          <w:b/>
          <w:color w:val="000000" w:themeColor="text1"/>
          <w:sz w:val="24"/>
          <w:szCs w:val="24"/>
          <w:lang w:val="en-GB"/>
        </w:rPr>
      </w:pPr>
      <w:r w:rsidRPr="003319BC">
        <w:rPr>
          <w:rFonts w:eastAsia="Times New Roman"/>
          <w:color w:val="000000" w:themeColor="text1"/>
          <w:sz w:val="24"/>
          <w:szCs w:val="24"/>
          <w:lang w:val="en-GB"/>
        </w:rPr>
        <w:t xml:space="preserve">Diageo has enhanced a significant process to develop strong competitiveness in the Indian market as this market offers the company huge and diverse customers. Marketing approach </w:t>
      </w:r>
      <w:r w:rsidR="003E73B5" w:rsidRPr="003319BC">
        <w:rPr>
          <w:rFonts w:eastAsia="Times New Roman"/>
          <w:color w:val="000000" w:themeColor="text1"/>
          <w:sz w:val="24"/>
          <w:szCs w:val="24"/>
          <w:lang w:val="en-GB"/>
        </w:rPr>
        <w:t>by</w:t>
      </w:r>
      <w:r w:rsidRPr="003319BC">
        <w:rPr>
          <w:rFonts w:eastAsia="Times New Roman"/>
          <w:color w:val="000000" w:themeColor="text1"/>
          <w:sz w:val="24"/>
          <w:szCs w:val="24"/>
          <w:lang w:val="en-GB"/>
        </w:rPr>
        <w:t xml:space="preserve"> using different digital and advertising channels, this company promotes its product to Indian as well as UK customers. Engaging in the road safety program, and advocating alcohol policies in the Indian states, </w:t>
      </w:r>
      <w:r w:rsidR="003A3EB2" w:rsidRPr="003319BC">
        <w:rPr>
          <w:rFonts w:eastAsia="Times New Roman"/>
          <w:color w:val="000000" w:themeColor="text1"/>
          <w:sz w:val="24"/>
          <w:szCs w:val="24"/>
          <w:lang w:val="en-GB"/>
        </w:rPr>
        <w:t>Diageo enhances</w:t>
      </w:r>
      <w:r w:rsidRPr="003319BC">
        <w:rPr>
          <w:rFonts w:eastAsia="Times New Roman"/>
          <w:color w:val="000000" w:themeColor="text1"/>
          <w:sz w:val="24"/>
          <w:szCs w:val="24"/>
          <w:lang w:val="en-GB"/>
        </w:rPr>
        <w:t xml:space="preserve"> its positive promotional process (Diageo.com, 2023). On the other hand, “DRINKiQ” is the positive drinking process awareness program of the company that reflects its ethical business process in the UK.</w:t>
      </w:r>
    </w:p>
    <w:p w14:paraId="0DF9956E" w14:textId="77777777" w:rsidR="00B31B08" w:rsidRPr="003319BC" w:rsidRDefault="00B31B08" w:rsidP="00B31B08">
      <w:pPr>
        <w:pStyle w:val="Normal1"/>
        <w:spacing w:after="160" w:line="259" w:lineRule="auto"/>
        <w:rPr>
          <w:rFonts w:eastAsia="Times New Roman"/>
          <w:b/>
          <w:color w:val="000000" w:themeColor="text1"/>
          <w:sz w:val="24"/>
          <w:szCs w:val="24"/>
          <w:lang w:val="en-GB"/>
        </w:rPr>
      </w:pPr>
      <w:r w:rsidRPr="003319BC">
        <w:rPr>
          <w:rFonts w:eastAsia="Times New Roman"/>
          <w:b/>
          <w:color w:val="000000" w:themeColor="text1"/>
          <w:sz w:val="24"/>
          <w:szCs w:val="24"/>
          <w:lang w:val="en-GB"/>
        </w:rPr>
        <w:t>Physical evidence:</w:t>
      </w:r>
    </w:p>
    <w:p w14:paraId="3AE662DF" w14:textId="77777777" w:rsidR="00B31B08" w:rsidRPr="003319BC" w:rsidRDefault="00B31B08" w:rsidP="00B31B08">
      <w:pPr>
        <w:pStyle w:val="Normal1"/>
        <w:spacing w:after="160"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The Indian market has a different consumption history of Diageo’s products in different states of the nation. Based on affordability, whisky products are the main physical product that has great demand in India. On the other hand, the UK market has a strong demand for Gin, Vodka and tequila along with Whiskey.</w:t>
      </w:r>
    </w:p>
    <w:p w14:paraId="336BCA8C" w14:textId="77777777" w:rsidR="00693E9C" w:rsidRPr="003319BC" w:rsidRDefault="00693E9C" w:rsidP="003319BC">
      <w:pPr>
        <w:pStyle w:val="Heading1"/>
        <w:rPr>
          <w:rFonts w:ascii="Arial" w:hAnsi="Arial" w:cs="Arial"/>
        </w:rPr>
      </w:pPr>
      <w:bookmarkStart w:id="14" w:name="_Toc143520704"/>
      <w:r w:rsidRPr="003319BC">
        <w:rPr>
          <w:rFonts w:ascii="Arial" w:hAnsi="Arial" w:cs="Arial"/>
        </w:rPr>
        <w:t>D</w:t>
      </w:r>
      <w:r w:rsidR="00A76206" w:rsidRPr="003319BC">
        <w:rPr>
          <w:rFonts w:ascii="Arial" w:hAnsi="Arial" w:cs="Arial"/>
        </w:rPr>
        <w:t>irectional development strategy</w:t>
      </w:r>
      <w:bookmarkEnd w:id="14"/>
    </w:p>
    <w:p w14:paraId="494625EA" w14:textId="7A71C495" w:rsidR="00693E9C" w:rsidRPr="003319BC" w:rsidRDefault="003F794A" w:rsidP="00A51F6B">
      <w:pPr>
        <w:pStyle w:val="BodyText"/>
        <w:spacing w:line="360" w:lineRule="auto"/>
        <w:jc w:val="both"/>
        <w:rPr>
          <w:lang w:val="en-GB"/>
        </w:rPr>
      </w:pPr>
      <w:r w:rsidRPr="003319BC">
        <w:rPr>
          <w:lang w:val="en-GB"/>
        </w:rPr>
        <w:t xml:space="preserve">A directional development strategy is an essential tool for firms to use in planning their growth journey and guiding them to new heights of success. It is a planned move that </w:t>
      </w:r>
      <w:r w:rsidR="003E73B5" w:rsidRPr="003319BC">
        <w:rPr>
          <w:lang w:val="en-GB"/>
        </w:rPr>
        <w:t>considers</w:t>
      </w:r>
      <w:r w:rsidRPr="003319BC">
        <w:rPr>
          <w:lang w:val="en-GB"/>
        </w:rPr>
        <w:t xml:space="preserve"> one's strengths, interests, and available resources. Companies create targets and timetables for achieving their growth goals, ensuring that every decision is deliberate and connected with the end aim. The Ansoff Matrix gives </w:t>
      </w:r>
      <w:r w:rsidR="003E73B5" w:rsidRPr="003319BC">
        <w:rPr>
          <w:lang w:val="en-GB"/>
        </w:rPr>
        <w:t>growth</w:t>
      </w:r>
      <w:r w:rsidRPr="003319BC">
        <w:rPr>
          <w:lang w:val="en-GB"/>
        </w:rPr>
        <w:t xml:space="preserve"> techniques that fit with the growth trajectories defined in the strategy. This comprehensive framework for strategic growth planning assists firms in navigating difficulties and opportunities on their way to success and </w:t>
      </w:r>
      <w:r w:rsidR="003E73B5" w:rsidRPr="003319BC">
        <w:rPr>
          <w:lang w:val="en-GB"/>
        </w:rPr>
        <w:t>growth (</w:t>
      </w:r>
      <w:r w:rsidRPr="003319BC">
        <w:rPr>
          <w:lang w:val="en-GB"/>
        </w:rPr>
        <w:t>Chron Contributor, 2021).</w:t>
      </w:r>
    </w:p>
    <w:p w14:paraId="360AF7AD" w14:textId="3C843EF3" w:rsidR="003F794A" w:rsidRDefault="00094761" w:rsidP="00765B4E">
      <w:pPr>
        <w:pStyle w:val="Normal1"/>
        <w:widowControl w:val="0"/>
        <w:spacing w:line="360" w:lineRule="auto"/>
        <w:jc w:val="both"/>
        <w:rPr>
          <w:rFonts w:eastAsia="Times New Roman"/>
          <w:color w:val="000000" w:themeColor="text1"/>
          <w:sz w:val="24"/>
          <w:szCs w:val="24"/>
          <w:lang w:val="en-GB"/>
        </w:rPr>
      </w:pPr>
      <w:r w:rsidRPr="003319BC">
        <w:rPr>
          <w:rFonts w:eastAsia="Times New Roman"/>
          <w:color w:val="000000" w:themeColor="text1"/>
          <w:sz w:val="24"/>
          <w:szCs w:val="24"/>
          <w:lang w:val="en-GB"/>
        </w:rPr>
        <w:t xml:space="preserve">Diageo has a strong market position in the Indian alcohol drinks market. Diago </w:t>
      </w:r>
      <w:r w:rsidR="003E73B5" w:rsidRPr="003319BC">
        <w:rPr>
          <w:rFonts w:eastAsia="Times New Roman"/>
          <w:color w:val="000000" w:themeColor="text1"/>
          <w:sz w:val="24"/>
          <w:szCs w:val="24"/>
          <w:lang w:val="en-GB"/>
        </w:rPr>
        <w:t>has USD</w:t>
      </w:r>
      <w:r w:rsidRPr="003319BC">
        <w:rPr>
          <w:rFonts w:eastAsia="Times New Roman"/>
          <w:color w:val="000000" w:themeColor="text1"/>
          <w:sz w:val="24"/>
          <w:szCs w:val="24"/>
          <w:lang w:val="en-GB"/>
        </w:rPr>
        <w:t xml:space="preserve"> 35 billion market share in the alcoholic beverage market in India (Diageoindia.com, </w:t>
      </w:r>
      <w:r w:rsidRPr="003319BC">
        <w:rPr>
          <w:rFonts w:eastAsia="Times New Roman"/>
          <w:color w:val="000000" w:themeColor="text1"/>
          <w:sz w:val="24"/>
          <w:szCs w:val="24"/>
          <w:lang w:val="en-GB"/>
        </w:rPr>
        <w:lastRenderedPageBreak/>
        <w:t>2023). The mission, vision and values of the company state that it follows the customers' need and provides a quality product at an affordable rate that maintains its sustainability in the Indian market. Diageo's premium offering surged by 23.6% year on year in the Indian market and accounts for 72 % of net shares worth USD 1.2 billion (Diageo.com, 2023). On the other hand, Diageo enhanced a directional and development strategy in the UK market to maintain its sustainability in the spirit industry. This company assigned “</w:t>
      </w:r>
      <w:r w:rsidRPr="003319BC">
        <w:rPr>
          <w:rFonts w:eastAsia="Times New Roman"/>
          <w:color w:val="000000" w:themeColor="text1"/>
          <w:sz w:val="24"/>
          <w:szCs w:val="24"/>
          <w:highlight w:val="white"/>
          <w:lang w:val="en-GB"/>
        </w:rPr>
        <w:t>€500 million of fixed rate euro-denominated bonds under its European Debt Issuance Programme” which shows its strong marketing and directional strategy to hold the spirit market in the UK (</w:t>
      </w:r>
      <w:r w:rsidRPr="003319BC">
        <w:rPr>
          <w:rFonts w:eastAsia="Times New Roman"/>
          <w:color w:val="000000" w:themeColor="text1"/>
          <w:sz w:val="24"/>
          <w:szCs w:val="24"/>
          <w:lang w:val="en-GB"/>
        </w:rPr>
        <w:t>Diageo.com</w:t>
      </w:r>
      <w:r w:rsidRPr="003319BC">
        <w:rPr>
          <w:rFonts w:eastAsia="Times New Roman"/>
          <w:color w:val="000000" w:themeColor="text1"/>
          <w:sz w:val="24"/>
          <w:szCs w:val="24"/>
          <w:highlight w:val="white"/>
          <w:lang w:val="en-GB"/>
        </w:rPr>
        <w:t xml:space="preserve">). Therefore, positive drinking and a 17% increase in the spout section of the United Spirit reflect the strong market hold of </w:t>
      </w:r>
      <w:r w:rsidRPr="003319BC">
        <w:rPr>
          <w:rFonts w:eastAsia="Times New Roman"/>
          <w:color w:val="000000" w:themeColor="text1"/>
          <w:sz w:val="24"/>
          <w:szCs w:val="24"/>
          <w:lang w:val="en-GB"/>
        </w:rPr>
        <w:t xml:space="preserve">Diageo. Hence strong market </w:t>
      </w:r>
      <w:r w:rsidR="003E73B5" w:rsidRPr="003319BC">
        <w:rPr>
          <w:rFonts w:eastAsia="Times New Roman"/>
          <w:color w:val="000000" w:themeColor="text1"/>
          <w:sz w:val="24"/>
          <w:szCs w:val="24"/>
          <w:lang w:val="en-GB"/>
        </w:rPr>
        <w:t>holds,</w:t>
      </w:r>
      <w:r w:rsidRPr="003319BC">
        <w:rPr>
          <w:rFonts w:eastAsia="Times New Roman"/>
          <w:color w:val="000000" w:themeColor="text1"/>
          <w:sz w:val="24"/>
          <w:szCs w:val="24"/>
          <w:lang w:val="en-GB"/>
        </w:rPr>
        <w:t xml:space="preserve"> and diverse customer specifications give more business opportunities and development plans for Diageo in the Indian market than in the UK market.</w:t>
      </w:r>
      <w:r w:rsidRPr="003319BC">
        <w:rPr>
          <w:rFonts w:eastAsia="Times New Roman"/>
          <w:color w:val="000000" w:themeColor="text1"/>
          <w:sz w:val="24"/>
          <w:szCs w:val="24"/>
          <w:highlight w:val="white"/>
          <w:lang w:val="en-GB"/>
        </w:rPr>
        <w:t xml:space="preserve">  </w:t>
      </w:r>
    </w:p>
    <w:p w14:paraId="6FE42534" w14:textId="77777777" w:rsidR="00765B4E" w:rsidRPr="00765B4E" w:rsidRDefault="00765B4E" w:rsidP="00765B4E">
      <w:pPr>
        <w:pStyle w:val="Normal1"/>
        <w:widowControl w:val="0"/>
        <w:spacing w:line="360" w:lineRule="auto"/>
        <w:jc w:val="both"/>
        <w:rPr>
          <w:rFonts w:eastAsia="Times New Roman"/>
          <w:b/>
          <w:color w:val="000000" w:themeColor="text1"/>
          <w:sz w:val="24"/>
          <w:szCs w:val="24"/>
          <w:lang w:val="en-GB"/>
        </w:rPr>
      </w:pPr>
    </w:p>
    <w:p w14:paraId="5DCC892E" w14:textId="77777777" w:rsidR="00693E9C" w:rsidRPr="003319BC" w:rsidRDefault="00A76206" w:rsidP="003319BC">
      <w:pPr>
        <w:pStyle w:val="Heading1"/>
        <w:rPr>
          <w:rFonts w:ascii="Arial" w:hAnsi="Arial" w:cs="Arial"/>
        </w:rPr>
      </w:pPr>
      <w:bookmarkStart w:id="15" w:name="_Toc143520705"/>
      <w:r w:rsidRPr="003319BC">
        <w:rPr>
          <w:rFonts w:ascii="Arial" w:hAnsi="Arial" w:cs="Arial"/>
        </w:rPr>
        <w:t>Ansoff Matrix</w:t>
      </w:r>
      <w:bookmarkEnd w:id="15"/>
    </w:p>
    <w:p w14:paraId="0AB781AE" w14:textId="77777777" w:rsidR="003310AD" w:rsidRPr="003319BC" w:rsidRDefault="003310AD" w:rsidP="00A51F6B">
      <w:pPr>
        <w:pStyle w:val="BodyText"/>
        <w:spacing w:line="360" w:lineRule="auto"/>
        <w:jc w:val="both"/>
        <w:rPr>
          <w:lang w:val="en-GB"/>
        </w:rPr>
      </w:pPr>
      <w:r w:rsidRPr="003319BC">
        <w:rPr>
          <w:lang w:val="en-GB"/>
        </w:rPr>
        <w:t>The Ansoff Matrix is a tool that helps publishing companies visualise their product offers and market, as well as plan for future growth. It provides four growth paths, each with its own set of hazards. Market penetration is the least risky approach, whereas product development brings new items. The market development plan is concerned with reaching new markets with existing products, whereas the diversification strategy is concerned with entering new markets</w:t>
      </w:r>
      <w:sdt>
        <w:sdtPr>
          <w:rPr>
            <w:lang w:val="en-GB"/>
          </w:rPr>
          <w:id w:val="-1949848205"/>
          <w:citation/>
        </w:sdtPr>
        <w:sdtContent>
          <w:r w:rsidR="00915DC2" w:rsidRPr="003319BC">
            <w:rPr>
              <w:lang w:val="en-GB"/>
            </w:rPr>
            <w:fldChar w:fldCharType="begin"/>
          </w:r>
          <w:r w:rsidRPr="003319BC">
            <w:rPr>
              <w:lang w:val="en-GB"/>
            </w:rPr>
            <w:instrText xml:space="preserve"> CITATION Bul19 \l 1033 </w:instrText>
          </w:r>
          <w:r w:rsidR="00915DC2" w:rsidRPr="003319BC">
            <w:rPr>
              <w:lang w:val="en-GB"/>
            </w:rPr>
            <w:fldChar w:fldCharType="separate"/>
          </w:r>
          <w:r w:rsidRPr="003319BC">
            <w:rPr>
              <w:noProof/>
              <w:lang w:val="en-GB"/>
            </w:rPr>
            <w:t>(Bullock, et al., 2019)</w:t>
          </w:r>
          <w:r w:rsidR="00915DC2" w:rsidRPr="003319BC">
            <w:rPr>
              <w:lang w:val="en-GB"/>
            </w:rPr>
            <w:fldChar w:fldCharType="end"/>
          </w:r>
        </w:sdtContent>
      </w:sdt>
      <w:r w:rsidRPr="003319BC">
        <w:rPr>
          <w:lang w:val="en-GB"/>
        </w:rPr>
        <w:t>.</w:t>
      </w:r>
    </w:p>
    <w:p w14:paraId="3CF6AD21" w14:textId="77777777" w:rsidR="003310AD" w:rsidRPr="003319BC" w:rsidRDefault="003310AD" w:rsidP="00A51F6B">
      <w:pPr>
        <w:spacing w:line="360" w:lineRule="auto"/>
        <w:jc w:val="both"/>
        <w:rPr>
          <w:rFonts w:ascii="Arial" w:hAnsi="Arial" w:cs="Arial"/>
          <w:color w:val="000000" w:themeColor="text1"/>
          <w:sz w:val="24"/>
          <w:szCs w:val="24"/>
          <w:lang w:val="en-GB"/>
        </w:rPr>
      </w:pPr>
    </w:p>
    <w:p w14:paraId="5E5C9850" w14:textId="77777777" w:rsidR="003310AD" w:rsidRPr="003319BC" w:rsidRDefault="003310AD" w:rsidP="00A51F6B">
      <w:pPr>
        <w:spacing w:line="360" w:lineRule="auto"/>
        <w:jc w:val="center"/>
        <w:rPr>
          <w:rFonts w:ascii="Arial" w:hAnsi="Arial" w:cs="Arial"/>
          <w:color w:val="000000" w:themeColor="text1"/>
          <w:sz w:val="24"/>
          <w:szCs w:val="24"/>
          <w:lang w:val="en-GB"/>
        </w:rPr>
      </w:pPr>
      <w:r w:rsidRPr="003319BC">
        <w:rPr>
          <w:rFonts w:ascii="Arial" w:hAnsi="Arial" w:cs="Arial"/>
          <w:noProof/>
          <w:color w:val="000000" w:themeColor="text1"/>
          <w:sz w:val="24"/>
          <w:szCs w:val="24"/>
          <w:lang w:val="en-GB" w:bidi="ar-SA"/>
        </w:rPr>
        <w:lastRenderedPageBreak/>
        <w:drawing>
          <wp:inline distT="0" distB="0" distL="0" distR="0" wp14:anchorId="3F53F80F" wp14:editId="13602095">
            <wp:extent cx="4048125" cy="2619375"/>
            <wp:effectExtent l="0" t="0" r="9525" b="9525"/>
            <wp:docPr id="289743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48125" cy="2619375"/>
                    </a:xfrm>
                    <a:prstGeom prst="rect">
                      <a:avLst/>
                    </a:prstGeom>
                    <a:noFill/>
                  </pic:spPr>
                </pic:pic>
              </a:graphicData>
            </a:graphic>
          </wp:inline>
        </w:drawing>
      </w:r>
    </w:p>
    <w:p w14:paraId="214C2049" w14:textId="77777777" w:rsidR="00610CBA" w:rsidRPr="003319BC" w:rsidRDefault="00610CBA" w:rsidP="00A51F6B">
      <w:pPr>
        <w:spacing w:line="360" w:lineRule="auto"/>
        <w:jc w:val="center"/>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Figure 6: Ansoff matrix</w:t>
      </w:r>
    </w:p>
    <w:p w14:paraId="007F6797" w14:textId="77777777" w:rsidR="003310AD" w:rsidRPr="003319BC" w:rsidRDefault="00610CBA" w:rsidP="00A51F6B">
      <w:pPr>
        <w:spacing w:line="360" w:lineRule="auto"/>
        <w:jc w:val="center"/>
        <w:rPr>
          <w:rFonts w:ascii="Arial" w:hAnsi="Arial" w:cs="Arial"/>
          <w:bCs/>
          <w:color w:val="000000" w:themeColor="text1"/>
          <w:sz w:val="24"/>
          <w:szCs w:val="24"/>
          <w:lang w:val="en-GB"/>
        </w:rPr>
      </w:pPr>
      <w:r w:rsidRPr="003319BC">
        <w:rPr>
          <w:rFonts w:ascii="Arial" w:hAnsi="Arial" w:cs="Arial"/>
          <w:bCs/>
          <w:color w:val="000000" w:themeColor="text1"/>
          <w:sz w:val="24"/>
          <w:szCs w:val="24"/>
          <w:lang w:val="en-GB"/>
        </w:rPr>
        <w:t>(</w:t>
      </w:r>
      <w:r w:rsidR="003310AD" w:rsidRPr="003319BC">
        <w:rPr>
          <w:rFonts w:ascii="Arial" w:hAnsi="Arial" w:cs="Arial"/>
          <w:bCs/>
          <w:color w:val="000000" w:themeColor="text1"/>
          <w:sz w:val="24"/>
          <w:szCs w:val="24"/>
          <w:lang w:val="en-GB"/>
        </w:rPr>
        <w:t xml:space="preserve">Source: </w:t>
      </w:r>
      <w:r w:rsidRPr="003319BC">
        <w:rPr>
          <w:rFonts w:ascii="Arial" w:hAnsi="Arial" w:cs="Arial"/>
          <w:noProof/>
          <w:color w:val="000000" w:themeColor="text1"/>
          <w:sz w:val="24"/>
          <w:szCs w:val="24"/>
          <w:lang w:val="en-GB"/>
        </w:rPr>
        <w:t>Bullock, et al., 2019)</w:t>
      </w:r>
    </w:p>
    <w:p w14:paraId="32B5C1E1" w14:textId="77777777" w:rsidR="00094761" w:rsidRPr="00FB7332" w:rsidRDefault="001B4422" w:rsidP="00610CBA">
      <w:pPr>
        <w:pStyle w:val="Heading2"/>
        <w:rPr>
          <w:rFonts w:ascii="Arial" w:hAnsi="Arial" w:cs="Arial"/>
          <w:i w:val="0"/>
          <w:iCs/>
          <w:color w:val="2F5496" w:themeColor="accent1" w:themeShade="BF"/>
          <w:sz w:val="32"/>
          <w:szCs w:val="32"/>
          <w:lang w:val="en-GB"/>
        </w:rPr>
      </w:pPr>
      <w:bookmarkStart w:id="16" w:name="_Toc143520706"/>
      <w:r w:rsidRPr="00FB7332">
        <w:rPr>
          <w:rFonts w:ascii="Arial" w:hAnsi="Arial" w:cs="Arial"/>
          <w:i w:val="0"/>
          <w:iCs/>
          <w:color w:val="2F5496" w:themeColor="accent1" w:themeShade="BF"/>
          <w:sz w:val="32"/>
          <w:szCs w:val="32"/>
          <w:lang w:val="en-GB"/>
        </w:rPr>
        <w:t>Market Penetration</w:t>
      </w:r>
      <w:r w:rsidR="00094761" w:rsidRPr="00FB7332">
        <w:rPr>
          <w:rFonts w:ascii="Arial" w:hAnsi="Arial" w:cs="Arial"/>
          <w:i w:val="0"/>
          <w:iCs/>
          <w:color w:val="2F5496" w:themeColor="accent1" w:themeShade="BF"/>
          <w:sz w:val="32"/>
          <w:szCs w:val="32"/>
          <w:lang w:val="en-GB"/>
        </w:rPr>
        <w:t xml:space="preserve"> and Market Development</w:t>
      </w:r>
      <w:r w:rsidR="00E96C1B" w:rsidRPr="00FB7332">
        <w:rPr>
          <w:rFonts w:ascii="Arial" w:hAnsi="Arial" w:cs="Arial"/>
          <w:i w:val="0"/>
          <w:iCs/>
          <w:color w:val="2F5496" w:themeColor="accent1" w:themeShade="BF"/>
          <w:sz w:val="32"/>
          <w:szCs w:val="32"/>
          <w:lang w:val="en-GB"/>
        </w:rPr>
        <w:t xml:space="preserve"> for India and the UK</w:t>
      </w:r>
      <w:bookmarkEnd w:id="16"/>
    </w:p>
    <w:p w14:paraId="01DBAD29" w14:textId="77777777" w:rsidR="001B4422" w:rsidRPr="003319BC" w:rsidRDefault="00094761" w:rsidP="00A51F6B">
      <w:pPr>
        <w:spacing w:line="360" w:lineRule="auto"/>
        <w:jc w:val="both"/>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In order to develop the marketing plan it is essential to identify the purpose of the business where the main variables are product and marketplace. Here products and the marketplace can be existing or new which plays a prime role in business development. Here, Diageo is one of the largest organisations that manufacture various alcohol products such as “</w:t>
      </w:r>
      <w:r w:rsidRPr="003319BC">
        <w:rPr>
          <w:rFonts w:ascii="Arial" w:eastAsia="Times New Roman" w:hAnsi="Arial" w:cs="Arial"/>
          <w:color w:val="000000" w:themeColor="text1"/>
          <w:sz w:val="24"/>
          <w:szCs w:val="24"/>
          <w:highlight w:val="white"/>
          <w:lang w:val="en-GB"/>
        </w:rPr>
        <w:t>Johnnie Walker”, “Black Dog”, “Black &amp; White”, “Vat 69”, “Antiquity, Signature”, “Singleton”, “Royal Challenge”, “McDowell’s No 1”, “Smirnoff, Ketel One”, “Tanqueray and Captain Morgan” and “Johnnie Walker”,</w:t>
      </w:r>
      <w:r w:rsidRPr="003319BC">
        <w:rPr>
          <w:rFonts w:ascii="Arial" w:eastAsia="Times New Roman" w:hAnsi="Arial" w:cs="Arial"/>
          <w:color w:val="000000" w:themeColor="text1"/>
          <w:sz w:val="24"/>
          <w:szCs w:val="24"/>
          <w:lang w:val="en-GB"/>
        </w:rPr>
        <w:t xml:space="preserve"> “</w:t>
      </w:r>
      <w:r w:rsidRPr="003319BC">
        <w:rPr>
          <w:rFonts w:ascii="Arial" w:eastAsia="Times New Roman" w:hAnsi="Arial" w:cs="Arial"/>
          <w:color w:val="000000" w:themeColor="text1"/>
          <w:sz w:val="24"/>
          <w:szCs w:val="24"/>
          <w:highlight w:val="white"/>
          <w:lang w:val="en-GB"/>
        </w:rPr>
        <w:t xml:space="preserve">Tanqueray(gin)” “Smirnoff(Vodka)” and  “Guinness(stout)” are emerging as the world best products according to customers choice </w:t>
      </w:r>
      <w:r w:rsidRPr="003319BC">
        <w:rPr>
          <w:rFonts w:ascii="Arial" w:eastAsia="Times New Roman" w:hAnsi="Arial" w:cs="Arial"/>
          <w:color w:val="000000" w:themeColor="text1"/>
          <w:sz w:val="24"/>
          <w:szCs w:val="24"/>
          <w:lang w:val="en-GB"/>
        </w:rPr>
        <w:t>. In the UK and India, this organisation has already set up its business. Hence, in the existing market, they need to take up any market penetration strategy to give a boost to the business.</w:t>
      </w:r>
    </w:p>
    <w:p w14:paraId="638EA365" w14:textId="77777777" w:rsidR="001558A2" w:rsidRPr="003319BC" w:rsidRDefault="001558A2" w:rsidP="001558A2">
      <w:pPr>
        <w:pStyle w:val="Normal1"/>
        <w:spacing w:after="160" w:line="259" w:lineRule="auto"/>
        <w:jc w:val="center"/>
        <w:rPr>
          <w:rFonts w:eastAsia="Times New Roman"/>
          <w:b/>
          <w:color w:val="000000" w:themeColor="text1"/>
          <w:sz w:val="24"/>
          <w:szCs w:val="24"/>
          <w:lang w:val="en-GB"/>
        </w:rPr>
      </w:pPr>
      <w:r w:rsidRPr="003319BC">
        <w:rPr>
          <w:rFonts w:eastAsia="Times New Roman"/>
          <w:b/>
          <w:noProof/>
          <w:color w:val="000000" w:themeColor="text1"/>
          <w:sz w:val="24"/>
          <w:szCs w:val="24"/>
          <w:lang w:val="en-GB"/>
        </w:rPr>
        <w:lastRenderedPageBreak/>
        <w:drawing>
          <wp:inline distT="114300" distB="114300" distL="114300" distR="114300" wp14:anchorId="69CEB264" wp14:editId="399EA45C">
            <wp:extent cx="3925850" cy="418623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3925850" cy="4186238"/>
                    </a:xfrm>
                    <a:prstGeom prst="rect">
                      <a:avLst/>
                    </a:prstGeom>
                    <a:ln/>
                  </pic:spPr>
                </pic:pic>
              </a:graphicData>
            </a:graphic>
          </wp:inline>
        </w:drawing>
      </w:r>
    </w:p>
    <w:p w14:paraId="721F434D" w14:textId="77777777" w:rsidR="001558A2" w:rsidRPr="003319BC" w:rsidRDefault="001558A2" w:rsidP="001558A2">
      <w:pPr>
        <w:pStyle w:val="Normal1"/>
        <w:spacing w:after="160" w:line="259" w:lineRule="auto"/>
        <w:jc w:val="center"/>
        <w:rPr>
          <w:rFonts w:eastAsia="Times New Roman"/>
          <w:b/>
          <w:color w:val="000000" w:themeColor="text1"/>
          <w:sz w:val="24"/>
          <w:szCs w:val="24"/>
          <w:lang w:val="en-GB"/>
        </w:rPr>
      </w:pPr>
      <w:r w:rsidRPr="003319BC">
        <w:rPr>
          <w:rFonts w:eastAsia="Times New Roman"/>
          <w:b/>
          <w:color w:val="000000" w:themeColor="text1"/>
          <w:sz w:val="24"/>
          <w:szCs w:val="24"/>
          <w:lang w:val="en-GB"/>
        </w:rPr>
        <w:t xml:space="preserve">Figure: </w:t>
      </w:r>
      <w:r w:rsidRPr="00765B4E">
        <w:rPr>
          <w:rFonts w:eastAsia="Times New Roman"/>
          <w:b/>
          <w:color w:val="000000" w:themeColor="text1"/>
          <w:sz w:val="24"/>
          <w:szCs w:val="24"/>
          <w:lang w:val="en-GB"/>
        </w:rPr>
        <w:t>Ansoff matrix for DIAGEO</w:t>
      </w:r>
    </w:p>
    <w:p w14:paraId="3465E5D2" w14:textId="77777777" w:rsidR="001558A2" w:rsidRPr="00765B4E" w:rsidRDefault="001558A2" w:rsidP="001558A2">
      <w:pPr>
        <w:pStyle w:val="Normal1"/>
        <w:spacing w:after="160" w:line="259" w:lineRule="auto"/>
        <w:jc w:val="center"/>
        <w:rPr>
          <w:rFonts w:eastAsia="Times New Roman"/>
          <w:bCs/>
          <w:i/>
          <w:iCs/>
          <w:color w:val="000000" w:themeColor="text1"/>
          <w:sz w:val="20"/>
          <w:szCs w:val="20"/>
          <w:lang w:val="en-GB"/>
        </w:rPr>
      </w:pPr>
      <w:r w:rsidRPr="00765B4E">
        <w:rPr>
          <w:rFonts w:eastAsia="Times New Roman"/>
          <w:bCs/>
          <w:i/>
          <w:iCs/>
          <w:color w:val="000000" w:themeColor="text1"/>
          <w:sz w:val="20"/>
          <w:szCs w:val="20"/>
          <w:lang w:val="en-GB"/>
        </w:rPr>
        <w:t>(Source: self-developed)</w:t>
      </w:r>
    </w:p>
    <w:p w14:paraId="442E8514" w14:textId="77777777" w:rsidR="001B4422" w:rsidRPr="003319BC" w:rsidRDefault="001B4422"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Product Development</w:t>
      </w:r>
    </w:p>
    <w:p w14:paraId="47B4174C" w14:textId="77777777" w:rsidR="00EE3A7B" w:rsidRPr="003319BC" w:rsidRDefault="00EE3A7B"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India:</w:t>
      </w:r>
      <w:r w:rsidR="00275B74" w:rsidRPr="003319BC">
        <w:rPr>
          <w:rFonts w:ascii="Arial" w:hAnsi="Arial" w:cs="Arial"/>
          <w:b/>
          <w:bCs/>
          <w:color w:val="000000" w:themeColor="text1"/>
          <w:sz w:val="24"/>
          <w:szCs w:val="24"/>
          <w:lang w:val="en-GB"/>
        </w:rPr>
        <w:t xml:space="preserve"> </w:t>
      </w:r>
      <w:r w:rsidR="00275B74" w:rsidRPr="003319BC">
        <w:rPr>
          <w:rFonts w:ascii="Arial" w:eastAsia="Arial" w:hAnsi="Arial" w:cs="Arial"/>
          <w:color w:val="000000" w:themeColor="text1"/>
          <w:sz w:val="24"/>
          <w:szCs w:val="24"/>
          <w:lang w:val="en-GB" w:bidi="ar-SA"/>
        </w:rPr>
        <w:t xml:space="preserve">Conducting regular market research is a significant marketing strategy that is beneficial for Diageo while operating in India. Product development is necessary by gathering effective knowledge about demands and preferences of customers (Granato </w:t>
      </w:r>
      <w:r w:rsidR="00275B74" w:rsidRPr="003319BC">
        <w:rPr>
          <w:rFonts w:ascii="Arial" w:eastAsia="Arial" w:hAnsi="Arial" w:cs="Arial"/>
          <w:i/>
          <w:color w:val="000000" w:themeColor="text1"/>
          <w:sz w:val="24"/>
          <w:szCs w:val="24"/>
          <w:lang w:val="en-GB" w:bidi="ar-SA"/>
        </w:rPr>
        <w:t>et al</w:t>
      </w:r>
      <w:r w:rsidR="00275B74" w:rsidRPr="003319BC">
        <w:rPr>
          <w:rFonts w:ascii="Arial" w:eastAsia="Arial" w:hAnsi="Arial" w:cs="Arial"/>
          <w:color w:val="000000" w:themeColor="text1"/>
          <w:sz w:val="24"/>
          <w:szCs w:val="24"/>
          <w:lang w:val="en-GB" w:bidi="ar-SA"/>
        </w:rPr>
        <w:t>. 2020). Research on current trends and functions helps to conduct business effectively by utilising available potential resources for developing products and services as per customer preferences. Diageo is developing its business following a strategy of sustaining quality development to increase its profitability and revenue by enhancing customer satisfaction (Diageo.com, 2023). Thus, regular and consistent market research is necessary for developing products as per current trends and customer demands.</w:t>
      </w:r>
    </w:p>
    <w:p w14:paraId="62EE9FF0" w14:textId="77777777" w:rsidR="001B4422" w:rsidRPr="003319BC" w:rsidRDefault="00EE3A7B"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lastRenderedPageBreak/>
        <w:t>United Kingdom:</w:t>
      </w:r>
      <w:r w:rsidR="00275B74" w:rsidRPr="003319BC">
        <w:rPr>
          <w:rFonts w:ascii="Arial" w:hAnsi="Arial" w:cs="Arial"/>
          <w:b/>
          <w:bCs/>
          <w:color w:val="000000" w:themeColor="text1"/>
          <w:sz w:val="24"/>
          <w:szCs w:val="24"/>
          <w:lang w:val="en-GB"/>
        </w:rPr>
        <w:t xml:space="preserve"> </w:t>
      </w:r>
      <w:r w:rsidR="00275B74" w:rsidRPr="003319BC">
        <w:rPr>
          <w:rFonts w:ascii="Arial" w:eastAsia="Arial" w:hAnsi="Arial" w:cs="Arial"/>
          <w:color w:val="000000" w:themeColor="text1"/>
          <w:sz w:val="24"/>
          <w:szCs w:val="24"/>
          <w:lang w:val="en-GB" w:bidi="ar-SA"/>
        </w:rPr>
        <w:t xml:space="preserve">Product development strategy depends on creating new products or modifying the existing ones to increase profitability and revenue. Modification of currently existing products is a significant product development strategy that would be useful for Diageo for conducting business in UK. Existing products can be improved for offering enhanced and new services to customers for increasing sales and revenue (Alamsyah </w:t>
      </w:r>
      <w:r w:rsidR="00275B74" w:rsidRPr="003319BC">
        <w:rPr>
          <w:rFonts w:ascii="Arial" w:eastAsia="Arial" w:hAnsi="Arial" w:cs="Arial"/>
          <w:i/>
          <w:color w:val="000000" w:themeColor="text1"/>
          <w:sz w:val="24"/>
          <w:szCs w:val="24"/>
          <w:lang w:val="en-GB" w:bidi="ar-SA"/>
        </w:rPr>
        <w:t>et al.</w:t>
      </w:r>
      <w:r w:rsidR="00275B74" w:rsidRPr="003319BC">
        <w:rPr>
          <w:rFonts w:ascii="Arial" w:eastAsia="Arial" w:hAnsi="Arial" w:cs="Arial"/>
          <w:color w:val="000000" w:themeColor="text1"/>
          <w:sz w:val="24"/>
          <w:szCs w:val="24"/>
          <w:lang w:val="en-GB" w:bidi="ar-SA"/>
        </w:rPr>
        <w:t xml:space="preserve"> 2021). Thus, Diageo can modify and improve its existing products by investing a potential amount to increase consumption and demand for its products.</w:t>
      </w:r>
    </w:p>
    <w:p w14:paraId="777AB883" w14:textId="77777777" w:rsidR="003116AF" w:rsidRPr="003319BC" w:rsidRDefault="001B4422"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Diversification</w:t>
      </w:r>
    </w:p>
    <w:p w14:paraId="3A05833C" w14:textId="77777777" w:rsidR="00EE3A7B" w:rsidRPr="003319BC" w:rsidRDefault="00EE3A7B"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India:</w:t>
      </w:r>
      <w:r w:rsidR="00194EB6" w:rsidRPr="003319BC">
        <w:rPr>
          <w:rFonts w:ascii="Arial" w:hAnsi="Arial" w:cs="Arial"/>
          <w:b/>
          <w:bCs/>
          <w:color w:val="000000" w:themeColor="text1"/>
          <w:sz w:val="24"/>
          <w:szCs w:val="24"/>
          <w:lang w:val="en-GB"/>
        </w:rPr>
        <w:t xml:space="preserve"> </w:t>
      </w:r>
      <w:r w:rsidR="00194EB6" w:rsidRPr="003319BC">
        <w:rPr>
          <w:rFonts w:ascii="Arial" w:eastAsia="Arial" w:hAnsi="Arial" w:cs="Arial"/>
          <w:color w:val="000000" w:themeColor="text1"/>
          <w:sz w:val="24"/>
          <w:szCs w:val="24"/>
          <w:lang w:val="en-GB" w:bidi="ar-SA"/>
        </w:rPr>
        <w:t xml:space="preserve">Diageo can focus on diversification of its activities by engaging vertical diversification as it is looking for business development and market growth by creating new products in sustaining product lines. Vertical diversification means new products launched and created by Diageo would be similar to existing product lines, groups and categories (Smith and Merritt, 2020). Thus, Diageo can be able to increase its sales and revenue by increasing customer satisfaction with the creation of new products.  </w:t>
      </w:r>
    </w:p>
    <w:p w14:paraId="00886234" w14:textId="77777777" w:rsidR="00693E9C" w:rsidRPr="003319BC" w:rsidRDefault="00EE3A7B" w:rsidP="00A51F6B">
      <w:pPr>
        <w:spacing w:line="360" w:lineRule="auto"/>
        <w:jc w:val="both"/>
        <w:rPr>
          <w:rFonts w:ascii="Arial" w:hAnsi="Arial" w:cs="Arial"/>
          <w:b/>
          <w:bCs/>
          <w:color w:val="000000" w:themeColor="text1"/>
          <w:sz w:val="24"/>
          <w:szCs w:val="24"/>
          <w:lang w:val="en-GB"/>
        </w:rPr>
      </w:pPr>
      <w:r w:rsidRPr="003319BC">
        <w:rPr>
          <w:rFonts w:ascii="Arial" w:hAnsi="Arial" w:cs="Arial"/>
          <w:b/>
          <w:bCs/>
          <w:color w:val="000000" w:themeColor="text1"/>
          <w:sz w:val="24"/>
          <w:szCs w:val="24"/>
          <w:lang w:val="en-GB"/>
        </w:rPr>
        <w:t>United Kingdom:</w:t>
      </w:r>
      <w:r w:rsidR="00194EB6" w:rsidRPr="003319BC">
        <w:rPr>
          <w:rFonts w:ascii="Arial" w:hAnsi="Arial" w:cs="Arial"/>
          <w:b/>
          <w:bCs/>
          <w:color w:val="000000" w:themeColor="text1"/>
          <w:sz w:val="24"/>
          <w:szCs w:val="24"/>
          <w:lang w:val="en-GB"/>
        </w:rPr>
        <w:t xml:space="preserve"> </w:t>
      </w:r>
      <w:r w:rsidR="00194EB6" w:rsidRPr="003319BC">
        <w:rPr>
          <w:rFonts w:ascii="Arial" w:eastAsia="Arial" w:hAnsi="Arial" w:cs="Arial"/>
          <w:color w:val="000000" w:themeColor="text1"/>
          <w:sz w:val="24"/>
          <w:szCs w:val="24"/>
          <w:lang w:val="en-GB" w:bidi="ar-SA"/>
        </w:rPr>
        <w:t xml:space="preserve">Diageo can follow the strategy of engaging horizontal diversification to operate its activities successfully in UK by launching new products. Horizontal diversification includes introduction of new products that are not associated with existing products (Wilson </w:t>
      </w:r>
      <w:r w:rsidR="00194EB6" w:rsidRPr="003319BC">
        <w:rPr>
          <w:rFonts w:ascii="Arial" w:eastAsia="Arial" w:hAnsi="Arial" w:cs="Arial"/>
          <w:i/>
          <w:color w:val="000000" w:themeColor="text1"/>
          <w:sz w:val="24"/>
          <w:szCs w:val="24"/>
          <w:lang w:val="en-GB" w:bidi="ar-SA"/>
        </w:rPr>
        <w:t>et al.</w:t>
      </w:r>
      <w:r w:rsidR="00194EB6" w:rsidRPr="003319BC">
        <w:rPr>
          <w:rFonts w:ascii="Arial" w:eastAsia="Arial" w:hAnsi="Arial" w:cs="Arial"/>
          <w:color w:val="000000" w:themeColor="text1"/>
          <w:sz w:val="24"/>
          <w:szCs w:val="24"/>
          <w:lang w:val="en-GB" w:bidi="ar-SA"/>
        </w:rPr>
        <w:t xml:space="preserve"> 2020). Thus, Diageo can explore the market with new business concepts for significant economic growth by diversifying its activities with a new business.   </w:t>
      </w:r>
    </w:p>
    <w:p w14:paraId="0B2C0A5C" w14:textId="77777777" w:rsidR="00F71050" w:rsidRPr="003319BC" w:rsidRDefault="00A51F6B" w:rsidP="003319BC">
      <w:pPr>
        <w:pStyle w:val="Heading1"/>
        <w:rPr>
          <w:rFonts w:ascii="Arial" w:hAnsi="Arial" w:cs="Arial"/>
        </w:rPr>
      </w:pPr>
      <w:bookmarkStart w:id="17" w:name="_Toc143520707"/>
      <w:r w:rsidRPr="003319BC">
        <w:rPr>
          <w:rFonts w:ascii="Arial" w:hAnsi="Arial" w:cs="Arial"/>
        </w:rPr>
        <w:t>Conclusion</w:t>
      </w:r>
      <w:bookmarkEnd w:id="17"/>
    </w:p>
    <w:p w14:paraId="33961802" w14:textId="77777777" w:rsidR="00194EB6" w:rsidRPr="003319BC" w:rsidRDefault="00194EB6" w:rsidP="00A51F6B">
      <w:pPr>
        <w:spacing w:line="360" w:lineRule="auto"/>
        <w:jc w:val="both"/>
        <w:rPr>
          <w:rFonts w:ascii="Arial" w:hAnsi="Arial" w:cs="Arial"/>
          <w:b/>
          <w:bCs/>
          <w:color w:val="000000" w:themeColor="text1"/>
          <w:sz w:val="24"/>
          <w:szCs w:val="24"/>
          <w:lang w:val="en-GB"/>
        </w:rPr>
      </w:pPr>
      <w:r w:rsidRPr="003319BC">
        <w:rPr>
          <w:rFonts w:ascii="Arial" w:eastAsia="Arial" w:hAnsi="Arial" w:cs="Arial"/>
          <w:color w:val="000000" w:themeColor="text1"/>
          <w:sz w:val="24"/>
          <w:szCs w:val="24"/>
          <w:lang w:val="en-GB" w:bidi="ar-SA"/>
        </w:rPr>
        <w:t xml:space="preserve">It can be concluded that operating in UK and Indian markets is much more effective for Diageo as business environments of both these countries are much more business-friendly to increase profit and sales. India’s economic activities are pretending to be improving at a fast pace and Indian consumers are interested to adopt Western culture. UK consumers are much more focused on having healthy drinks. Political condition of both these countries is much more stable and democratic to take independent business decisions. Increasing middle-class income and inflationary pressure are regarded as key factors which are influencing Indian business environment. Economic condition of </w:t>
      </w:r>
      <w:r w:rsidRPr="003319BC">
        <w:rPr>
          <w:rFonts w:ascii="Arial" w:eastAsia="Arial" w:hAnsi="Arial" w:cs="Arial"/>
          <w:color w:val="000000" w:themeColor="text1"/>
          <w:sz w:val="24"/>
          <w:szCs w:val="24"/>
          <w:lang w:val="en-GB" w:bidi="ar-SA"/>
        </w:rPr>
        <w:lastRenderedPageBreak/>
        <w:t>UK is enhanced by following current trends in media and social media platforms. Both Indian and UK markets are dependent on influencer marketing strategies as current market environment is dependent on social media platforms to increase brand reputation and image. Thus, Indian and UK business environment are fruitful for Diageo as per current business trends and activities.</w:t>
      </w:r>
    </w:p>
    <w:p w14:paraId="2023C6A1" w14:textId="77777777" w:rsidR="008737A4" w:rsidRPr="003319BC" w:rsidRDefault="00A51F6B" w:rsidP="003319BC">
      <w:pPr>
        <w:pStyle w:val="Heading1"/>
        <w:rPr>
          <w:rFonts w:ascii="Arial" w:hAnsi="Arial" w:cs="Arial"/>
        </w:rPr>
      </w:pPr>
      <w:bookmarkStart w:id="18" w:name="_Toc143520708"/>
      <w:r w:rsidRPr="003319BC">
        <w:rPr>
          <w:rFonts w:ascii="Arial" w:hAnsi="Arial" w:cs="Arial"/>
        </w:rPr>
        <w:t>Recommendations</w:t>
      </w:r>
      <w:bookmarkEnd w:id="18"/>
    </w:p>
    <w:p w14:paraId="1787CBAC" w14:textId="77777777" w:rsidR="003116AF" w:rsidRPr="003319BC" w:rsidRDefault="00A51F6B" w:rsidP="00610CBA">
      <w:pPr>
        <w:pStyle w:val="Heading2"/>
        <w:rPr>
          <w:rFonts w:ascii="Arial" w:hAnsi="Arial" w:cs="Arial"/>
          <w:lang w:val="en-GB"/>
        </w:rPr>
      </w:pPr>
      <w:bookmarkStart w:id="19" w:name="_Toc143520709"/>
      <w:r w:rsidRPr="003319BC">
        <w:rPr>
          <w:rFonts w:ascii="Arial" w:hAnsi="Arial" w:cs="Arial"/>
        </w:rPr>
        <w:t>Recommendations</w:t>
      </w:r>
      <w:r w:rsidR="00610CBA" w:rsidRPr="003319BC">
        <w:rPr>
          <w:rFonts w:ascii="Arial" w:hAnsi="Arial" w:cs="Arial"/>
          <w:lang w:val="en-GB"/>
        </w:rPr>
        <w:t xml:space="preserve"> f</w:t>
      </w:r>
      <w:r w:rsidR="003116AF" w:rsidRPr="003319BC">
        <w:rPr>
          <w:rFonts w:ascii="Arial" w:hAnsi="Arial" w:cs="Arial"/>
          <w:lang w:val="en-GB"/>
        </w:rPr>
        <w:t>or UK market</w:t>
      </w:r>
      <w:bookmarkEnd w:id="19"/>
    </w:p>
    <w:p w14:paraId="4F9D31A7" w14:textId="77777777" w:rsidR="00527C31" w:rsidRPr="003319BC" w:rsidRDefault="00527C31" w:rsidP="00A51F6B">
      <w:pPr>
        <w:spacing w:line="360" w:lineRule="auto"/>
        <w:jc w:val="both"/>
        <w:rPr>
          <w:rFonts w:ascii="Arial" w:eastAsia="Arial" w:hAnsi="Arial" w:cs="Arial"/>
          <w:color w:val="000000" w:themeColor="text1"/>
          <w:sz w:val="24"/>
          <w:szCs w:val="24"/>
          <w:lang w:val="en-GB" w:bidi="ar-SA"/>
        </w:rPr>
      </w:pPr>
      <w:r w:rsidRPr="003319BC">
        <w:rPr>
          <w:rFonts w:ascii="Arial" w:eastAsia="Arial" w:hAnsi="Arial" w:cs="Arial"/>
          <w:color w:val="000000" w:themeColor="text1"/>
          <w:sz w:val="24"/>
          <w:szCs w:val="24"/>
          <w:lang w:val="en-GB" w:bidi="ar-SA"/>
        </w:rPr>
        <w:t>Diageo is operating its functions by focusing on developing its activities by engaging effective and important business strategies to increase sales and revenue by attracting more customers. Business UK market is dependent on health and safety product development functions to enhance customer satisfaction by increasing sales and revenue (Mehdikhani and Valmohammadi, 2019). Targeting potential customers depending on behavioural and psychographic segment would be beneficial for Diageo while operating its business in UK. Customers in UK are much concerned about their health and thus Diageo can focus on introducing a healthy products line in order to increase profit and revenue. For example, Morrisons is conducting its business by focusing on healthy product development strategy by delivering fresh and healthy foods to its potential customers.</w:t>
      </w:r>
    </w:p>
    <w:p w14:paraId="5C86C3A6" w14:textId="77777777" w:rsidR="00527C31" w:rsidRPr="003319BC" w:rsidRDefault="00527C31" w:rsidP="00A51F6B">
      <w:pPr>
        <w:spacing w:line="360" w:lineRule="auto"/>
        <w:jc w:val="both"/>
        <w:rPr>
          <w:rFonts w:ascii="Arial" w:hAnsi="Arial" w:cs="Arial"/>
          <w:b/>
          <w:bCs/>
          <w:color w:val="000000" w:themeColor="text1"/>
          <w:sz w:val="24"/>
          <w:szCs w:val="24"/>
          <w:lang w:val="en-GB"/>
        </w:rPr>
      </w:pPr>
      <w:r w:rsidRPr="003319BC">
        <w:rPr>
          <w:rFonts w:ascii="Arial" w:eastAsia="Arial" w:hAnsi="Arial" w:cs="Arial"/>
          <w:color w:val="000000" w:themeColor="text1"/>
          <w:sz w:val="24"/>
          <w:szCs w:val="24"/>
          <w:lang w:val="en-GB" w:bidi="ar-SA"/>
        </w:rPr>
        <w:t>Improvement of supply chain is essential for distributing finished products as per requirements of customers and Diageo can develop its supply chain to conduct business in UK. For example, Tesco has developed its supply chain for sourcing raw materials and delivering finished products to UK customers.</w:t>
      </w:r>
    </w:p>
    <w:p w14:paraId="390C8FB9" w14:textId="77777777" w:rsidR="00B30455" w:rsidRPr="003319BC" w:rsidRDefault="00A51F6B" w:rsidP="00610CBA">
      <w:pPr>
        <w:pStyle w:val="Heading2"/>
        <w:rPr>
          <w:rFonts w:ascii="Arial" w:hAnsi="Arial" w:cs="Arial"/>
          <w:lang w:val="en-GB"/>
        </w:rPr>
      </w:pPr>
      <w:bookmarkStart w:id="20" w:name="_Toc143520710"/>
      <w:r w:rsidRPr="003319BC">
        <w:rPr>
          <w:rFonts w:ascii="Arial" w:hAnsi="Arial" w:cs="Arial"/>
        </w:rPr>
        <w:t>Recommendations</w:t>
      </w:r>
      <w:r w:rsidR="00610CBA" w:rsidRPr="003319BC">
        <w:rPr>
          <w:rFonts w:ascii="Arial" w:hAnsi="Arial" w:cs="Arial"/>
          <w:lang w:val="en-GB"/>
        </w:rPr>
        <w:t xml:space="preserve"> f</w:t>
      </w:r>
      <w:r w:rsidR="003116AF" w:rsidRPr="003319BC">
        <w:rPr>
          <w:rFonts w:ascii="Arial" w:hAnsi="Arial" w:cs="Arial"/>
          <w:lang w:val="en-GB"/>
        </w:rPr>
        <w:t>or Indian market</w:t>
      </w:r>
      <w:bookmarkEnd w:id="20"/>
    </w:p>
    <w:p w14:paraId="31F26C92" w14:textId="77777777" w:rsidR="00527C31" w:rsidRPr="003319BC" w:rsidRDefault="00527C31" w:rsidP="00A51F6B">
      <w:pPr>
        <w:spacing w:after="0" w:line="360" w:lineRule="auto"/>
        <w:jc w:val="both"/>
        <w:rPr>
          <w:rFonts w:ascii="Arial" w:eastAsia="Arial" w:hAnsi="Arial" w:cs="Arial"/>
          <w:color w:val="000000" w:themeColor="text1"/>
          <w:sz w:val="24"/>
          <w:szCs w:val="24"/>
          <w:lang w:val="en-GB" w:bidi="ar-SA"/>
        </w:rPr>
      </w:pPr>
      <w:r w:rsidRPr="003319BC">
        <w:rPr>
          <w:rFonts w:ascii="Arial" w:eastAsia="Arial" w:hAnsi="Arial" w:cs="Arial"/>
          <w:color w:val="000000" w:themeColor="text1"/>
          <w:sz w:val="24"/>
          <w:szCs w:val="24"/>
          <w:lang w:val="en-GB" w:bidi="ar-SA"/>
        </w:rPr>
        <w:t xml:space="preserve">Diageo can conduct its operation in India by focusing on Indian culture while developing and creating its products and services. A comprehensive knowledge of culture of a marketplace is necessary and important for understanding preferences and demands of customers (Alamsyah </w:t>
      </w:r>
      <w:r w:rsidRPr="003319BC">
        <w:rPr>
          <w:rFonts w:ascii="Arial" w:eastAsia="Arial" w:hAnsi="Arial" w:cs="Arial"/>
          <w:i/>
          <w:color w:val="000000" w:themeColor="text1"/>
          <w:sz w:val="24"/>
          <w:szCs w:val="24"/>
          <w:lang w:val="en-GB" w:bidi="ar-SA"/>
        </w:rPr>
        <w:t>et al.</w:t>
      </w:r>
      <w:r w:rsidRPr="003319BC">
        <w:rPr>
          <w:rFonts w:ascii="Arial" w:eastAsia="Arial" w:hAnsi="Arial" w:cs="Arial"/>
          <w:color w:val="000000" w:themeColor="text1"/>
          <w:sz w:val="24"/>
          <w:szCs w:val="24"/>
          <w:lang w:val="en-GB" w:bidi="ar-SA"/>
        </w:rPr>
        <w:t xml:space="preserve"> 2021). Following Indian culture is beneficial for gathering knowledge on customer demand and it is beneficial for increasing sales. For example, </w:t>
      </w:r>
      <w:r w:rsidRPr="003319BC">
        <w:rPr>
          <w:rFonts w:ascii="Arial" w:eastAsia="Arial" w:hAnsi="Arial" w:cs="Arial"/>
          <w:color w:val="000000" w:themeColor="text1"/>
          <w:sz w:val="24"/>
          <w:szCs w:val="24"/>
          <w:lang w:val="en-GB" w:bidi="ar-SA"/>
        </w:rPr>
        <w:lastRenderedPageBreak/>
        <w:t xml:space="preserve">Zara is a famous retail brand that has focused on Indian culture for developing its product while conducting its business in India. </w:t>
      </w:r>
    </w:p>
    <w:p w14:paraId="3C3BF801" w14:textId="7910131C" w:rsidR="00527C31" w:rsidRPr="003319BC" w:rsidRDefault="00527C31" w:rsidP="00A51F6B">
      <w:pPr>
        <w:spacing w:after="0" w:line="360" w:lineRule="auto"/>
        <w:jc w:val="both"/>
        <w:rPr>
          <w:rFonts w:ascii="Arial" w:eastAsia="Arial" w:hAnsi="Arial" w:cs="Arial"/>
          <w:color w:val="000000" w:themeColor="text1"/>
          <w:sz w:val="24"/>
          <w:szCs w:val="24"/>
          <w:lang w:val="en-GB" w:bidi="ar-SA"/>
        </w:rPr>
      </w:pPr>
      <w:r w:rsidRPr="003319BC">
        <w:rPr>
          <w:rFonts w:ascii="Arial" w:eastAsia="Arial" w:hAnsi="Arial" w:cs="Arial"/>
          <w:color w:val="000000" w:themeColor="text1"/>
          <w:sz w:val="24"/>
          <w:szCs w:val="24"/>
          <w:lang w:val="en-GB" w:bidi="ar-SA"/>
        </w:rPr>
        <w:t xml:space="preserve">Diageo can follow a value-based pricing strategy for determining prices of its products as per perceived value of customers. Value-based pricing would be beneficial for increasing profit and revenue by determining price as per perceived value of products (Christen </w:t>
      </w:r>
      <w:r w:rsidRPr="003319BC">
        <w:rPr>
          <w:rFonts w:ascii="Arial" w:eastAsia="Arial" w:hAnsi="Arial" w:cs="Arial"/>
          <w:i/>
          <w:color w:val="000000" w:themeColor="text1"/>
          <w:sz w:val="24"/>
          <w:szCs w:val="24"/>
          <w:lang w:val="en-GB" w:bidi="ar-SA"/>
        </w:rPr>
        <w:t>et al</w:t>
      </w:r>
      <w:r w:rsidRPr="003319BC">
        <w:rPr>
          <w:rFonts w:ascii="Arial" w:eastAsia="Arial" w:hAnsi="Arial" w:cs="Arial"/>
          <w:color w:val="000000" w:themeColor="text1"/>
          <w:sz w:val="24"/>
          <w:szCs w:val="24"/>
          <w:lang w:val="en-GB" w:bidi="ar-SA"/>
        </w:rPr>
        <w:t xml:space="preserve">. 2022). For example, Unilever is conducting its business in UK by following value-based pricing </w:t>
      </w:r>
      <w:r w:rsidR="003E73B5" w:rsidRPr="003319BC">
        <w:rPr>
          <w:rFonts w:ascii="Arial" w:eastAsia="Arial" w:hAnsi="Arial" w:cs="Arial"/>
          <w:color w:val="000000" w:themeColor="text1"/>
          <w:sz w:val="24"/>
          <w:szCs w:val="24"/>
          <w:lang w:val="en-GB" w:bidi="ar-SA"/>
        </w:rPr>
        <w:t>to</w:t>
      </w:r>
      <w:r w:rsidRPr="003319BC">
        <w:rPr>
          <w:rFonts w:ascii="Arial" w:eastAsia="Arial" w:hAnsi="Arial" w:cs="Arial"/>
          <w:color w:val="000000" w:themeColor="text1"/>
          <w:sz w:val="24"/>
          <w:szCs w:val="24"/>
          <w:lang w:val="en-GB" w:bidi="ar-SA"/>
        </w:rPr>
        <w:t xml:space="preserve"> increase sales and revenue by attracting more customers.</w:t>
      </w:r>
    </w:p>
    <w:p w14:paraId="63A60578" w14:textId="77777777" w:rsidR="00B30455" w:rsidRPr="003319BC" w:rsidRDefault="00B30455" w:rsidP="00376F2C">
      <w:pPr>
        <w:spacing w:after="0" w:line="360" w:lineRule="auto"/>
        <w:jc w:val="both"/>
        <w:rPr>
          <w:rFonts w:ascii="Arial" w:eastAsia="Arial" w:hAnsi="Arial" w:cs="Arial"/>
          <w:color w:val="000000" w:themeColor="text1"/>
          <w:sz w:val="24"/>
          <w:szCs w:val="24"/>
          <w:lang w:val="en-GB" w:bidi="ar-SA"/>
        </w:rPr>
      </w:pPr>
      <w:r w:rsidRPr="003319BC">
        <w:rPr>
          <w:rFonts w:ascii="Arial" w:hAnsi="Arial" w:cs="Arial"/>
          <w:b/>
          <w:bCs/>
          <w:color w:val="000000" w:themeColor="text1"/>
          <w:sz w:val="24"/>
          <w:szCs w:val="24"/>
          <w:lang w:val="en-GB"/>
        </w:rPr>
        <w:br w:type="page"/>
      </w:r>
    </w:p>
    <w:p w14:paraId="732CB4E4" w14:textId="77777777" w:rsidR="003116AF" w:rsidRPr="00501AD0" w:rsidRDefault="007F58E7" w:rsidP="00A51F6B">
      <w:pPr>
        <w:pStyle w:val="NoSpacing"/>
        <w:spacing w:line="360" w:lineRule="auto"/>
        <w:jc w:val="both"/>
        <w:rPr>
          <w:rFonts w:ascii="Arial" w:hAnsi="Arial" w:cs="Arial"/>
          <w:b/>
          <w:bCs/>
          <w:color w:val="2F5496" w:themeColor="accent1" w:themeShade="BF"/>
          <w:sz w:val="32"/>
          <w:szCs w:val="32"/>
          <w:lang w:val="en-GB"/>
        </w:rPr>
      </w:pPr>
      <w:r w:rsidRPr="00501AD0">
        <w:rPr>
          <w:rFonts w:ascii="Arial" w:hAnsi="Arial" w:cs="Arial"/>
          <w:b/>
          <w:bCs/>
          <w:color w:val="2F5496" w:themeColor="accent1" w:themeShade="BF"/>
          <w:sz w:val="32"/>
          <w:szCs w:val="32"/>
          <w:lang w:val="en-GB"/>
        </w:rPr>
        <w:lastRenderedPageBreak/>
        <w:t>Ref</w:t>
      </w:r>
      <w:r w:rsidR="00B30455" w:rsidRPr="00501AD0">
        <w:rPr>
          <w:rFonts w:ascii="Arial" w:hAnsi="Arial" w:cs="Arial"/>
          <w:b/>
          <w:bCs/>
          <w:color w:val="2F5496" w:themeColor="accent1" w:themeShade="BF"/>
          <w:sz w:val="32"/>
          <w:szCs w:val="32"/>
          <w:lang w:val="en-GB"/>
        </w:rPr>
        <w:t>e</w:t>
      </w:r>
      <w:r w:rsidRPr="00501AD0">
        <w:rPr>
          <w:rFonts w:ascii="Arial" w:hAnsi="Arial" w:cs="Arial"/>
          <w:b/>
          <w:bCs/>
          <w:color w:val="2F5496" w:themeColor="accent1" w:themeShade="BF"/>
          <w:sz w:val="32"/>
          <w:szCs w:val="32"/>
          <w:lang w:val="en-GB"/>
        </w:rPr>
        <w:t>rences</w:t>
      </w:r>
    </w:p>
    <w:p w14:paraId="4C0901B2" w14:textId="1092E4DB" w:rsidR="00314BF9"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Achinas, S., Horjus, J., Achinas, V. and Euverink, G.J.W. (2019). A PESTLE Analysis of Biofuels Energy Industry in Europe. </w:t>
      </w:r>
      <w:r w:rsidRPr="003319BC">
        <w:rPr>
          <w:rFonts w:ascii="Arial" w:eastAsia="Times New Roman" w:hAnsi="Arial" w:cs="Arial"/>
          <w:i/>
          <w:iCs/>
          <w:color w:val="000000" w:themeColor="text1"/>
          <w:sz w:val="24"/>
          <w:szCs w:val="24"/>
          <w:lang w:val="en-GB"/>
        </w:rPr>
        <w:t>Sustainability</w:t>
      </w:r>
      <w:r w:rsidRPr="003319BC">
        <w:rPr>
          <w:rFonts w:ascii="Arial" w:eastAsia="Times New Roman" w:hAnsi="Arial" w:cs="Arial"/>
          <w:color w:val="000000" w:themeColor="text1"/>
          <w:sz w:val="24"/>
          <w:szCs w:val="24"/>
          <w:lang w:val="en-GB"/>
        </w:rPr>
        <w:t xml:space="preserve">, [online] 11(21), p.5981. </w:t>
      </w:r>
      <w:r w:rsidR="00501AD0">
        <w:rPr>
          <w:rFonts w:ascii="Arial" w:eastAsia="Times New Roman" w:hAnsi="Arial" w:cs="Arial"/>
          <w:color w:val="000000" w:themeColor="text1"/>
          <w:sz w:val="24"/>
          <w:szCs w:val="24"/>
          <w:lang w:val="en-GB"/>
        </w:rPr>
        <w:t>Available at:</w:t>
      </w:r>
      <w:r w:rsidR="00314BF9">
        <w:rPr>
          <w:rFonts w:ascii="Arial" w:eastAsia="Times New Roman" w:hAnsi="Arial" w:cs="Arial"/>
          <w:color w:val="000000" w:themeColor="text1"/>
          <w:sz w:val="24"/>
          <w:szCs w:val="24"/>
          <w:lang w:val="en-GB"/>
        </w:rPr>
        <w:t xml:space="preserve"> </w:t>
      </w:r>
      <w:r w:rsidRPr="003319BC">
        <w:rPr>
          <w:rFonts w:ascii="Arial" w:eastAsia="Times New Roman" w:hAnsi="Arial" w:cs="Arial"/>
          <w:color w:val="000000" w:themeColor="text1"/>
          <w:sz w:val="24"/>
          <w:szCs w:val="24"/>
          <w:lang w:val="en-GB"/>
        </w:rPr>
        <w:t>doi:https://doi.org/10.3390/su11215981</w:t>
      </w:r>
    </w:p>
    <w:p w14:paraId="4E51DC31" w14:textId="415B019C" w:rsidR="00314BF9" w:rsidRDefault="00314BF9" w:rsidP="00501AD0">
      <w:pPr>
        <w:spacing w:after="0" w:line="240" w:lineRule="auto"/>
        <w:rPr>
          <w:rFonts w:ascii="Arial" w:eastAsia="Times New Roman" w:hAnsi="Arial" w:cs="Arial"/>
          <w:color w:val="000000" w:themeColor="text1"/>
          <w:sz w:val="24"/>
          <w:szCs w:val="24"/>
          <w:lang w:val="en-GB"/>
        </w:rPr>
      </w:pPr>
      <w:r>
        <w:rPr>
          <w:rFonts w:ascii="Arial" w:eastAsia="Times New Roman" w:hAnsi="Arial" w:cs="Arial"/>
          <w:color w:val="000000" w:themeColor="text1"/>
          <w:sz w:val="24"/>
          <w:szCs w:val="24"/>
          <w:lang w:val="en-GB"/>
        </w:rPr>
        <w:t>[Accessed on 25 July 2023]</w:t>
      </w:r>
    </w:p>
    <w:p w14:paraId="45D3AAAE" w14:textId="77777777" w:rsidR="00501AD0" w:rsidRPr="003319BC" w:rsidRDefault="00501AD0" w:rsidP="00501AD0">
      <w:pPr>
        <w:spacing w:after="0" w:line="240" w:lineRule="auto"/>
        <w:rPr>
          <w:rFonts w:ascii="Arial" w:eastAsia="Times New Roman" w:hAnsi="Arial" w:cs="Arial"/>
          <w:color w:val="000000" w:themeColor="text1"/>
          <w:sz w:val="24"/>
          <w:szCs w:val="24"/>
          <w:lang w:val="en-GB"/>
        </w:rPr>
      </w:pPr>
    </w:p>
    <w:p w14:paraId="35AA0200" w14:textId="77777777" w:rsidR="00971297" w:rsidRPr="003319BC" w:rsidRDefault="00971297" w:rsidP="00501AD0">
      <w:pPr>
        <w:spacing w:after="0" w:line="240" w:lineRule="auto"/>
        <w:rPr>
          <w:rFonts w:ascii="Arial" w:eastAsia="Calibri" w:hAnsi="Arial" w:cs="Arial"/>
          <w:color w:val="000000" w:themeColor="text1"/>
          <w:sz w:val="24"/>
          <w:szCs w:val="24"/>
          <w:lang w:val="en-GB" w:bidi="ar-SA"/>
        </w:rPr>
      </w:pPr>
      <w:r w:rsidRPr="003319BC">
        <w:rPr>
          <w:rFonts w:ascii="Arial" w:eastAsia="Calibri" w:hAnsi="Arial" w:cs="Arial"/>
          <w:color w:val="000000" w:themeColor="text1"/>
          <w:sz w:val="24"/>
          <w:szCs w:val="24"/>
          <w:lang w:val="en-GB" w:bidi="ar-SA"/>
        </w:rPr>
        <w:t>Alamsyah, D.P., Ratnapuri, C.I., Aryanto, R. and Othman, N.A., (2021). Digital marketing: Implementation of digital advertising preference to support brand awareness. </w:t>
      </w:r>
      <w:r w:rsidRPr="003319BC">
        <w:rPr>
          <w:rFonts w:ascii="Arial" w:eastAsia="Calibri" w:hAnsi="Arial" w:cs="Arial"/>
          <w:i/>
          <w:iCs/>
          <w:color w:val="000000" w:themeColor="text1"/>
          <w:sz w:val="24"/>
          <w:szCs w:val="24"/>
          <w:lang w:val="en-GB" w:bidi="ar-SA"/>
        </w:rPr>
        <w:t>Academy of Strategic Management Journal</w:t>
      </w:r>
      <w:r w:rsidRPr="003319BC">
        <w:rPr>
          <w:rFonts w:ascii="Arial" w:eastAsia="Calibri" w:hAnsi="Arial" w:cs="Arial"/>
          <w:color w:val="000000" w:themeColor="text1"/>
          <w:sz w:val="24"/>
          <w:szCs w:val="24"/>
          <w:lang w:val="en-GB" w:bidi="ar-SA"/>
        </w:rPr>
        <w:t>, </w:t>
      </w:r>
      <w:r w:rsidRPr="003319BC">
        <w:rPr>
          <w:rFonts w:ascii="Arial" w:eastAsia="Calibri" w:hAnsi="Arial" w:cs="Arial"/>
          <w:i/>
          <w:iCs/>
          <w:color w:val="000000" w:themeColor="text1"/>
          <w:sz w:val="24"/>
          <w:szCs w:val="24"/>
          <w:lang w:val="en-GB" w:bidi="ar-SA"/>
        </w:rPr>
        <w:t>20</w:t>
      </w:r>
      <w:r w:rsidRPr="003319BC">
        <w:rPr>
          <w:rFonts w:ascii="Arial" w:eastAsia="Calibri" w:hAnsi="Arial" w:cs="Arial"/>
          <w:color w:val="000000" w:themeColor="text1"/>
          <w:sz w:val="24"/>
          <w:szCs w:val="24"/>
          <w:lang w:val="en-GB" w:bidi="ar-SA"/>
        </w:rPr>
        <w:t>(2), pp.1-10.</w:t>
      </w:r>
    </w:p>
    <w:p w14:paraId="664453C7" w14:textId="7D499E4D" w:rsidR="00501AD0"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i/>
          <w:iCs/>
          <w:color w:val="000000" w:themeColor="text1"/>
          <w:shd w:val="clear" w:color="auto" w:fill="FFFFFF"/>
          <w:lang w:val="en-GB"/>
        </w:rPr>
        <w:t>Alcoholic</w:t>
      </w:r>
      <w:r w:rsidR="00501AD0">
        <w:rPr>
          <w:rFonts w:ascii="Arial" w:hAnsi="Arial" w:cs="Arial"/>
          <w:i/>
          <w:iCs/>
          <w:color w:val="000000" w:themeColor="text1"/>
          <w:shd w:val="clear" w:color="auto" w:fill="FFFFFF"/>
          <w:lang w:val="en-GB"/>
        </w:rPr>
        <w:t xml:space="preserve"> </w:t>
      </w:r>
      <w:r w:rsidRPr="003319BC">
        <w:rPr>
          <w:rFonts w:ascii="Arial" w:hAnsi="Arial" w:cs="Arial"/>
          <w:i/>
          <w:iCs/>
          <w:color w:val="000000" w:themeColor="text1"/>
          <w:shd w:val="clear" w:color="auto" w:fill="FFFFFF"/>
          <w:lang w:val="en-GB"/>
        </w:rPr>
        <w:t>Drinks - India.</w:t>
      </w:r>
      <w:r w:rsidRPr="003319BC">
        <w:rPr>
          <w:rFonts w:ascii="Arial" w:hAnsi="Arial" w:cs="Arial"/>
          <w:color w:val="000000" w:themeColor="text1"/>
          <w:shd w:val="clear" w:color="auto" w:fill="FFFFFF"/>
          <w:lang w:val="en-GB"/>
        </w:rPr>
        <w:t xml:space="preserve"> Statista.com, (2023). </w:t>
      </w:r>
      <w:r w:rsidRPr="003319BC">
        <w:rPr>
          <w:rFonts w:ascii="Arial" w:hAnsi="Arial" w:cs="Arial"/>
          <w:color w:val="000000" w:themeColor="text1"/>
          <w:lang w:val="en-GB"/>
        </w:rPr>
        <w:t>Available at:</w:t>
      </w:r>
      <w:r w:rsidR="00501AD0">
        <w:rPr>
          <w:rFonts w:ascii="Arial" w:hAnsi="Arial" w:cs="Arial"/>
          <w:color w:val="000000" w:themeColor="text1"/>
          <w:lang w:val="en-GB"/>
        </w:rPr>
        <w:t xml:space="preserve"> </w:t>
      </w:r>
      <w:hyperlink r:id="rId27" w:anchor=":~:text=Revenue%20in%20the%20Alcoholic%20Drinks,US%2434%2C470m%20in%202023" w:history="1">
        <w:r w:rsidR="00501AD0" w:rsidRPr="004E7C35">
          <w:rPr>
            <w:rStyle w:val="Hyperlink"/>
            <w:rFonts w:ascii="Arial" w:hAnsi="Arial" w:cs="Arial"/>
            <w:shd w:val="clear" w:color="auto" w:fill="FFFFFF"/>
            <w:lang w:val="en-GB"/>
          </w:rPr>
          <w:t>https://www.statista.com/outlook/cmo/alcoholicdrinks/india#:~:text=Revenue%20in%20the%20Alcoholic%20Drinks,US%2434%2C470m%20in%202023</w:t>
        </w:r>
      </w:hyperlink>
      <w:r w:rsidRPr="003319BC">
        <w:rPr>
          <w:rFonts w:ascii="Arial" w:hAnsi="Arial" w:cs="Arial"/>
          <w:color w:val="000000" w:themeColor="text1"/>
          <w:shd w:val="clear" w:color="auto" w:fill="FFFFFF"/>
          <w:lang w:val="en-GB"/>
        </w:rPr>
        <w:t>.</w:t>
      </w:r>
    </w:p>
    <w:p w14:paraId="561B8AC6" w14:textId="42366E5E" w:rsidR="00971297"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w:t>
      </w:r>
      <w:r w:rsidR="00314BF9">
        <w:rPr>
          <w:rFonts w:ascii="Arial" w:hAnsi="Arial" w:cs="Arial"/>
          <w:color w:val="000000" w:themeColor="text1"/>
          <w:lang w:val="en-GB"/>
        </w:rPr>
        <w:t xml:space="preserve"> </w:t>
      </w:r>
      <w:r w:rsidRPr="003319BC">
        <w:rPr>
          <w:rFonts w:ascii="Arial" w:hAnsi="Arial" w:cs="Arial"/>
          <w:color w:val="000000" w:themeColor="text1"/>
          <w:lang w:val="en-GB"/>
        </w:rPr>
        <w:t>21</w:t>
      </w:r>
      <w:r w:rsidR="00314BF9">
        <w:rPr>
          <w:rFonts w:ascii="Arial" w:hAnsi="Arial" w:cs="Arial"/>
          <w:color w:val="000000" w:themeColor="text1"/>
          <w:lang w:val="en-GB"/>
        </w:rPr>
        <w:t xml:space="preserve"> July </w:t>
      </w:r>
      <w:r w:rsidRPr="003319BC">
        <w:rPr>
          <w:rFonts w:ascii="Arial" w:hAnsi="Arial" w:cs="Arial"/>
          <w:color w:val="000000" w:themeColor="text1"/>
          <w:lang w:val="en-GB"/>
        </w:rPr>
        <w:t>2023]</w:t>
      </w:r>
    </w:p>
    <w:p w14:paraId="6E7B6421" w14:textId="77777777" w:rsidR="00501AD0" w:rsidRPr="003319BC" w:rsidRDefault="00501AD0" w:rsidP="00501AD0">
      <w:pPr>
        <w:pStyle w:val="NormalWeb"/>
        <w:spacing w:before="0" w:beforeAutospacing="0" w:after="0" w:afterAutospacing="0"/>
        <w:rPr>
          <w:rFonts w:ascii="Arial" w:hAnsi="Arial" w:cs="Arial"/>
          <w:color w:val="000000" w:themeColor="text1"/>
          <w:lang w:val="en-GB"/>
        </w:rPr>
      </w:pPr>
    </w:p>
    <w:p w14:paraId="6BC7D931" w14:textId="56573DA9" w:rsidR="00314BF9"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Blythe, J. and Martin, J. (2019). </w:t>
      </w:r>
      <w:r w:rsidRPr="003319BC">
        <w:rPr>
          <w:rFonts w:ascii="Arial" w:eastAsia="Times New Roman" w:hAnsi="Arial" w:cs="Arial"/>
          <w:i/>
          <w:iCs/>
          <w:color w:val="000000" w:themeColor="text1"/>
          <w:sz w:val="24"/>
          <w:szCs w:val="24"/>
          <w:lang w:val="en-GB"/>
        </w:rPr>
        <w:t>Essentials of marketing</w:t>
      </w:r>
      <w:r w:rsidRPr="003319BC">
        <w:rPr>
          <w:rFonts w:ascii="Arial" w:eastAsia="Times New Roman" w:hAnsi="Arial" w:cs="Arial"/>
          <w:color w:val="000000" w:themeColor="text1"/>
          <w:sz w:val="24"/>
          <w:szCs w:val="24"/>
          <w:lang w:val="en-GB"/>
        </w:rPr>
        <w:t xml:space="preserve">. 7th ed. [online] </w:t>
      </w:r>
      <w:r w:rsidRPr="003319BC">
        <w:rPr>
          <w:rFonts w:ascii="Arial" w:eastAsia="Times New Roman" w:hAnsi="Arial" w:cs="Arial"/>
          <w:i/>
          <w:iCs/>
          <w:color w:val="000000" w:themeColor="text1"/>
          <w:sz w:val="24"/>
          <w:szCs w:val="24"/>
          <w:lang w:val="en-GB"/>
        </w:rPr>
        <w:t>login.microsoftonline.com</w:t>
      </w:r>
      <w:r w:rsidRPr="003319BC">
        <w:rPr>
          <w:rFonts w:ascii="Arial" w:eastAsia="Times New Roman" w:hAnsi="Arial" w:cs="Arial"/>
          <w:color w:val="000000" w:themeColor="text1"/>
          <w:sz w:val="24"/>
          <w:szCs w:val="24"/>
          <w:lang w:val="en-GB"/>
        </w:rPr>
        <w:t xml:space="preserve">, Harlow, England: Pearson education limited, pp.75–76. Available at: </w:t>
      </w:r>
      <w:hyperlink r:id="rId28" w:history="1">
        <w:r w:rsidR="00314BF9" w:rsidRPr="004E7C35">
          <w:rPr>
            <w:rStyle w:val="Hyperlink"/>
            <w:rFonts w:ascii="Arial" w:eastAsia="Times New Roman" w:hAnsi="Arial" w:cs="Arial"/>
            <w:sz w:val="24"/>
            <w:szCs w:val="24"/>
            <w:lang w:val="en-GB"/>
          </w:rPr>
          <w:t>https://ebookcentral.proquest.com/lib/trinity/reader.action?docID=5731459</w:t>
        </w:r>
      </w:hyperlink>
    </w:p>
    <w:p w14:paraId="79A7A06C" w14:textId="3D34EC48" w:rsidR="00971297"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20 Jul</w:t>
      </w:r>
      <w:r w:rsidR="00314BF9">
        <w:rPr>
          <w:rFonts w:ascii="Arial" w:eastAsia="Times New Roman" w:hAnsi="Arial" w:cs="Arial"/>
          <w:color w:val="000000" w:themeColor="text1"/>
          <w:sz w:val="24"/>
          <w:szCs w:val="24"/>
          <w:lang w:val="en-GB"/>
        </w:rPr>
        <w:t>y</w:t>
      </w:r>
      <w:r w:rsidRPr="003319BC">
        <w:rPr>
          <w:rFonts w:ascii="Arial" w:eastAsia="Times New Roman" w:hAnsi="Arial" w:cs="Arial"/>
          <w:color w:val="000000" w:themeColor="text1"/>
          <w:sz w:val="24"/>
          <w:szCs w:val="24"/>
          <w:lang w:val="en-GB"/>
        </w:rPr>
        <w:t xml:space="preserve"> 2023]</w:t>
      </w:r>
    </w:p>
    <w:p w14:paraId="0A71E335" w14:textId="77777777" w:rsidR="00501AD0" w:rsidRPr="003319BC" w:rsidRDefault="00501AD0" w:rsidP="00501AD0">
      <w:pPr>
        <w:spacing w:after="0" w:line="240" w:lineRule="auto"/>
        <w:rPr>
          <w:rFonts w:ascii="Arial" w:eastAsia="Times New Roman" w:hAnsi="Arial" w:cs="Arial"/>
          <w:color w:val="000000" w:themeColor="text1"/>
          <w:sz w:val="24"/>
          <w:szCs w:val="24"/>
          <w:lang w:val="en-GB"/>
        </w:rPr>
      </w:pPr>
    </w:p>
    <w:p w14:paraId="7508A58A" w14:textId="767F305A" w:rsidR="00501AD0" w:rsidRPr="00501AD0" w:rsidRDefault="00971297" w:rsidP="00501AD0">
      <w:pPr>
        <w:pStyle w:val="BodyText"/>
        <w:spacing w:after="0" w:line="240" w:lineRule="auto"/>
        <w:rPr>
          <w:rFonts w:eastAsia="Times New Roman"/>
          <w:lang w:val="en-GB"/>
        </w:rPr>
      </w:pPr>
      <w:r w:rsidRPr="00501AD0">
        <w:rPr>
          <w:rFonts w:eastAsia="Times New Roman"/>
          <w:lang w:val="en-GB"/>
        </w:rPr>
        <w:t xml:space="preserve">Bullock, A., Jennings, C. and Timbrell, N. (2019). </w:t>
      </w:r>
      <w:r w:rsidR="00501AD0" w:rsidRPr="00501AD0">
        <w:rPr>
          <w:rFonts w:eastAsia="Times New Roman"/>
          <w:lang w:val="en-GB"/>
        </w:rPr>
        <w:t xml:space="preserve">[Online] </w:t>
      </w:r>
      <w:r w:rsidRPr="00501AD0">
        <w:rPr>
          <w:rFonts w:eastAsia="Times New Roman"/>
          <w:lang w:val="en-GB"/>
        </w:rPr>
        <w:t>librarysearch.uwtsd.ac.uk. Available at:</w:t>
      </w:r>
      <w:r w:rsidR="00501AD0" w:rsidRPr="00501AD0">
        <w:rPr>
          <w:rFonts w:eastAsia="Times New Roman"/>
          <w:lang w:val="en-GB"/>
        </w:rPr>
        <w:t xml:space="preserve"> </w:t>
      </w:r>
      <w:hyperlink r:id="rId29" w:history="1">
        <w:r w:rsidR="00501AD0" w:rsidRPr="004E7C35">
          <w:rPr>
            <w:rStyle w:val="Hyperlink"/>
            <w:rFonts w:eastAsia="Times New Roman"/>
            <w:lang w:val="en-GB"/>
          </w:rPr>
          <w:t>https://librarysearch.uwtsd.ac.uk/discovery/fulldisplay?docid=cdi_oup_oro_10_1093_acref_9780191863592_013_0009&amp;context=PC&amp;vid=44WHELF_UWTSD:44WHELF_UWTSD_VU1&amp;lang=en&amp;search_scope=MyInst_and_CI&amp;adaptor=Primo%20Central&amp;tab=Everything&amp;query=any</w:t>
        </w:r>
      </w:hyperlink>
    </w:p>
    <w:p w14:paraId="2EC24EEA" w14:textId="03F38840"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20 Aug</w:t>
      </w:r>
      <w:r w:rsidR="00314BF9">
        <w:rPr>
          <w:rFonts w:ascii="Arial" w:eastAsia="Times New Roman" w:hAnsi="Arial" w:cs="Arial"/>
          <w:color w:val="000000" w:themeColor="text1"/>
          <w:sz w:val="24"/>
          <w:szCs w:val="24"/>
          <w:lang w:val="en-GB"/>
        </w:rPr>
        <w:t xml:space="preserve"> </w:t>
      </w:r>
      <w:r w:rsidRPr="003319BC">
        <w:rPr>
          <w:rFonts w:ascii="Arial" w:eastAsia="Times New Roman" w:hAnsi="Arial" w:cs="Arial"/>
          <w:color w:val="000000" w:themeColor="text1"/>
          <w:sz w:val="24"/>
          <w:szCs w:val="24"/>
          <w:lang w:val="en-GB"/>
        </w:rPr>
        <w:t>2023]</w:t>
      </w:r>
    </w:p>
    <w:p w14:paraId="510F8359" w14:textId="77777777" w:rsidR="00501AD0" w:rsidRDefault="00501AD0" w:rsidP="00501AD0">
      <w:pPr>
        <w:pStyle w:val="NormalWeb"/>
        <w:spacing w:before="0" w:beforeAutospacing="0" w:after="0" w:afterAutospacing="0"/>
        <w:rPr>
          <w:rFonts w:ascii="Arial" w:hAnsi="Arial" w:cs="Arial"/>
          <w:color w:val="000000" w:themeColor="text1"/>
          <w:lang w:val="en-GB"/>
        </w:rPr>
      </w:pPr>
    </w:p>
    <w:p w14:paraId="4228128F" w14:textId="226D0117" w:rsidR="00501AD0"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 xml:space="preserve">Business-standard.com (2023). </w:t>
      </w:r>
      <w:r w:rsidRPr="003319BC">
        <w:rPr>
          <w:rFonts w:ascii="Arial" w:hAnsi="Arial" w:cs="Arial"/>
          <w:i/>
          <w:iCs/>
          <w:color w:val="000000" w:themeColor="text1"/>
          <w:lang w:val="en-GB"/>
        </w:rPr>
        <w:t>Diageo to ride on United Spirits India distribution</w:t>
      </w:r>
      <w:r w:rsidRPr="003319BC">
        <w:rPr>
          <w:rFonts w:ascii="Arial" w:hAnsi="Arial" w:cs="Arial"/>
          <w:color w:val="000000" w:themeColor="text1"/>
          <w:lang w:val="en-GB"/>
        </w:rPr>
        <w:t>.</w:t>
      </w:r>
      <w:hyperlink r:id="rId30" w:history="1">
        <w:r w:rsidR="00501AD0" w:rsidRPr="004E7C35">
          <w:rPr>
            <w:rStyle w:val="Hyperlink"/>
            <w:rFonts w:ascii="Arial" w:hAnsi="Arial" w:cs="Arial"/>
            <w:lang w:val="en-GB"/>
          </w:rPr>
          <w:t>https://www.business-standard.com/article/companies/diageo-to-ride-on-united-spirits-india-distribution-1121110000441.html</w:t>
        </w:r>
      </w:hyperlink>
    </w:p>
    <w:p w14:paraId="6F5A2E43" w14:textId="515B99CC" w:rsidR="00971297"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21st August 2023]</w:t>
      </w:r>
    </w:p>
    <w:p w14:paraId="7EE0E6F8" w14:textId="77777777" w:rsidR="00501AD0" w:rsidRPr="003319BC" w:rsidRDefault="00501AD0" w:rsidP="00501AD0">
      <w:pPr>
        <w:pStyle w:val="NormalWeb"/>
        <w:spacing w:before="0" w:beforeAutospacing="0" w:after="0" w:afterAutospacing="0"/>
        <w:rPr>
          <w:rFonts w:ascii="Arial" w:hAnsi="Arial" w:cs="Arial"/>
          <w:color w:val="000000" w:themeColor="text1"/>
          <w:lang w:val="en-GB"/>
        </w:rPr>
      </w:pPr>
    </w:p>
    <w:p w14:paraId="71ADB693" w14:textId="77777777" w:rsidR="00971297" w:rsidRPr="003319BC" w:rsidRDefault="00971297" w:rsidP="00501AD0">
      <w:pPr>
        <w:spacing w:after="0" w:line="240" w:lineRule="auto"/>
        <w:rPr>
          <w:rFonts w:ascii="Arial" w:eastAsia="Arial" w:hAnsi="Arial" w:cs="Arial"/>
          <w:b/>
          <w:color w:val="000000" w:themeColor="text1"/>
          <w:sz w:val="24"/>
          <w:szCs w:val="24"/>
          <w:lang w:val="en-GB" w:bidi="ar-SA"/>
        </w:rPr>
      </w:pPr>
      <w:r w:rsidRPr="003319BC">
        <w:rPr>
          <w:rFonts w:ascii="Arial" w:eastAsia="Calibri" w:hAnsi="Arial" w:cs="Arial"/>
          <w:color w:val="000000" w:themeColor="text1"/>
          <w:sz w:val="24"/>
          <w:szCs w:val="24"/>
          <w:lang w:val="en-GB" w:bidi="ar-SA"/>
        </w:rPr>
        <w:t>Christen, T., Hess, M., Grichnik, D. and Wincent, J., (2022). Value-based pricing in digital platforms: A machine learning approach to signaling beyond core product attributes in cross-platform settings. </w:t>
      </w:r>
      <w:r w:rsidRPr="003319BC">
        <w:rPr>
          <w:rFonts w:ascii="Arial" w:eastAsia="Calibri" w:hAnsi="Arial" w:cs="Arial"/>
          <w:i/>
          <w:iCs/>
          <w:color w:val="000000" w:themeColor="text1"/>
          <w:sz w:val="24"/>
          <w:szCs w:val="24"/>
          <w:lang w:val="en-GB" w:bidi="ar-SA"/>
        </w:rPr>
        <w:t>Journal of Business Research</w:t>
      </w:r>
      <w:r w:rsidRPr="003319BC">
        <w:rPr>
          <w:rFonts w:ascii="Arial" w:eastAsia="Calibri" w:hAnsi="Arial" w:cs="Arial"/>
          <w:color w:val="000000" w:themeColor="text1"/>
          <w:sz w:val="24"/>
          <w:szCs w:val="24"/>
          <w:lang w:val="en-GB" w:bidi="ar-SA"/>
        </w:rPr>
        <w:t>, </w:t>
      </w:r>
      <w:r w:rsidRPr="003319BC">
        <w:rPr>
          <w:rFonts w:ascii="Arial" w:eastAsia="Calibri" w:hAnsi="Arial" w:cs="Arial"/>
          <w:i/>
          <w:iCs/>
          <w:color w:val="000000" w:themeColor="text1"/>
          <w:sz w:val="24"/>
          <w:szCs w:val="24"/>
          <w:lang w:val="en-GB" w:bidi="ar-SA"/>
        </w:rPr>
        <w:t>152</w:t>
      </w:r>
      <w:r w:rsidRPr="003319BC">
        <w:rPr>
          <w:rFonts w:ascii="Arial" w:eastAsia="Calibri" w:hAnsi="Arial" w:cs="Arial"/>
          <w:color w:val="000000" w:themeColor="text1"/>
          <w:sz w:val="24"/>
          <w:szCs w:val="24"/>
          <w:lang w:val="en-GB" w:bidi="ar-SA"/>
        </w:rPr>
        <w:t>, pp.82-92.</w:t>
      </w:r>
    </w:p>
    <w:p w14:paraId="41ABD63E" w14:textId="4184E91B" w:rsidR="00501AD0"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Chron Contributor (2021). </w:t>
      </w:r>
      <w:r w:rsidRPr="003319BC">
        <w:rPr>
          <w:rFonts w:ascii="Arial" w:eastAsia="Times New Roman" w:hAnsi="Arial" w:cs="Arial"/>
          <w:i/>
          <w:iCs/>
          <w:color w:val="000000" w:themeColor="text1"/>
          <w:sz w:val="24"/>
          <w:szCs w:val="24"/>
          <w:lang w:val="en-GB"/>
        </w:rPr>
        <w:t>What Is Directional Strategy?</w:t>
      </w:r>
      <w:r w:rsidRPr="003319BC">
        <w:rPr>
          <w:rFonts w:ascii="Arial" w:eastAsia="Times New Roman" w:hAnsi="Arial" w:cs="Arial"/>
          <w:color w:val="000000" w:themeColor="text1"/>
          <w:sz w:val="24"/>
          <w:szCs w:val="24"/>
          <w:lang w:val="en-GB"/>
        </w:rPr>
        <w:t xml:space="preserve"> [online] smallbusiness.chron.com. Available at: </w:t>
      </w:r>
      <w:hyperlink r:id="rId31" w:history="1">
        <w:r w:rsidR="00501AD0" w:rsidRPr="004E7C35">
          <w:rPr>
            <w:rStyle w:val="Hyperlink"/>
            <w:rFonts w:ascii="Arial" w:eastAsia="Times New Roman" w:hAnsi="Arial" w:cs="Arial"/>
            <w:sz w:val="24"/>
            <w:szCs w:val="24"/>
            <w:lang w:val="en-GB"/>
          </w:rPr>
          <w:t>https://smallbusiness.chron.com/directional-strategy-23688.html</w:t>
        </w:r>
      </w:hyperlink>
    </w:p>
    <w:p w14:paraId="30421785" w14:textId="7716D30F"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25 Jul. 2023].</w:t>
      </w:r>
    </w:p>
    <w:p w14:paraId="6344BBDC" w14:textId="77777777" w:rsidR="00501AD0" w:rsidRDefault="00501AD0" w:rsidP="00501AD0">
      <w:pPr>
        <w:spacing w:after="0" w:line="240" w:lineRule="auto"/>
        <w:rPr>
          <w:rFonts w:ascii="Arial" w:eastAsia="Times New Roman" w:hAnsi="Arial" w:cs="Arial"/>
          <w:color w:val="000000" w:themeColor="text1"/>
          <w:sz w:val="24"/>
          <w:szCs w:val="24"/>
          <w:lang w:val="en-GB"/>
        </w:rPr>
      </w:pPr>
    </w:p>
    <w:p w14:paraId="16E930AF" w14:textId="75A185C2" w:rsidR="00501AD0"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Diageo (2023). </w:t>
      </w:r>
      <w:r w:rsidRPr="003319BC">
        <w:rPr>
          <w:rFonts w:ascii="Arial" w:eastAsia="Times New Roman" w:hAnsi="Arial" w:cs="Arial"/>
          <w:i/>
          <w:iCs/>
          <w:color w:val="000000" w:themeColor="text1"/>
          <w:sz w:val="24"/>
          <w:szCs w:val="24"/>
          <w:lang w:val="en-GB"/>
        </w:rPr>
        <w:t>Our history</w:t>
      </w:r>
      <w:r w:rsidRPr="003319BC">
        <w:rPr>
          <w:rFonts w:ascii="Arial" w:eastAsia="Times New Roman" w:hAnsi="Arial" w:cs="Arial"/>
          <w:color w:val="000000" w:themeColor="text1"/>
          <w:sz w:val="24"/>
          <w:szCs w:val="24"/>
          <w:lang w:val="en-GB"/>
        </w:rPr>
        <w:t xml:space="preserve">. [online] Diageo. Available at: </w:t>
      </w:r>
      <w:hyperlink r:id="rId32" w:history="1">
        <w:r w:rsidR="00501AD0" w:rsidRPr="004E7C35">
          <w:rPr>
            <w:rStyle w:val="Hyperlink"/>
            <w:rFonts w:ascii="Arial" w:eastAsia="Times New Roman" w:hAnsi="Arial" w:cs="Arial"/>
            <w:sz w:val="24"/>
            <w:szCs w:val="24"/>
            <w:lang w:val="en-GB"/>
          </w:rPr>
          <w:t>https://www.diageo.com/en/our-business/our-history</w:t>
        </w:r>
      </w:hyperlink>
    </w:p>
    <w:p w14:paraId="728D155E" w14:textId="7F951F92"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25 Jul. 2023].</w:t>
      </w:r>
    </w:p>
    <w:p w14:paraId="4BAB1EA4" w14:textId="77777777" w:rsidR="00501AD0" w:rsidRDefault="00501AD0" w:rsidP="00501AD0">
      <w:pPr>
        <w:pStyle w:val="NormalWeb"/>
        <w:spacing w:before="0" w:beforeAutospacing="0" w:after="0" w:afterAutospacing="0"/>
        <w:rPr>
          <w:rFonts w:ascii="Arial" w:hAnsi="Arial" w:cs="Arial"/>
          <w:color w:val="000000" w:themeColor="text1"/>
          <w:lang w:val="en-GB"/>
        </w:rPr>
      </w:pPr>
    </w:p>
    <w:p w14:paraId="7C2D6555" w14:textId="5DB3774A" w:rsidR="00314BF9"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lastRenderedPageBreak/>
        <w:t>Diageo.com (2023).</w:t>
      </w:r>
      <w:r w:rsidRPr="003319BC">
        <w:rPr>
          <w:rFonts w:ascii="Arial" w:hAnsi="Arial" w:cs="Arial"/>
          <w:i/>
          <w:iCs/>
          <w:color w:val="000000" w:themeColor="text1"/>
          <w:shd w:val="clear" w:color="auto" w:fill="FFFFFF"/>
          <w:lang w:val="en-GB"/>
        </w:rPr>
        <w:t>Diageo Business Operations in</w:t>
      </w:r>
      <w:r w:rsidR="00501AD0">
        <w:rPr>
          <w:rFonts w:ascii="Arial" w:hAnsi="Arial" w:cs="Arial"/>
          <w:i/>
          <w:iCs/>
          <w:color w:val="000000" w:themeColor="text1"/>
          <w:shd w:val="clear" w:color="auto" w:fill="FFFFFF"/>
          <w:lang w:val="en-GB"/>
        </w:rPr>
        <w:t xml:space="preserve"> </w:t>
      </w:r>
      <w:r w:rsidRPr="003319BC">
        <w:rPr>
          <w:rFonts w:ascii="Arial" w:hAnsi="Arial" w:cs="Arial"/>
          <w:i/>
          <w:iCs/>
          <w:color w:val="000000" w:themeColor="text1"/>
          <w:shd w:val="clear" w:color="auto" w:fill="FFFFFF"/>
          <w:lang w:val="en-GB"/>
        </w:rPr>
        <w:t>India</w:t>
      </w:r>
      <w:r w:rsidR="00501AD0">
        <w:rPr>
          <w:rFonts w:ascii="Arial" w:hAnsi="Arial" w:cs="Arial"/>
          <w:i/>
          <w:iCs/>
          <w:color w:val="000000" w:themeColor="text1"/>
          <w:shd w:val="clear" w:color="auto" w:fill="FFFFFF"/>
          <w:lang w:val="en-GB"/>
        </w:rPr>
        <w:t xml:space="preserve"> </w:t>
      </w:r>
      <w:r w:rsidR="00501AD0" w:rsidRPr="00501AD0">
        <w:rPr>
          <w:rFonts w:ascii="Arial" w:hAnsi="Arial" w:cs="Arial"/>
          <w:color w:val="000000" w:themeColor="text1"/>
          <w:shd w:val="clear" w:color="auto" w:fill="FFFFFF"/>
          <w:lang w:val="en-GB"/>
        </w:rPr>
        <w:t>[Online] Available at:</w:t>
      </w:r>
      <w:r w:rsidR="00314BF9">
        <w:rPr>
          <w:rFonts w:ascii="Arial" w:hAnsi="Arial" w:cs="Arial"/>
          <w:i/>
          <w:iCs/>
          <w:color w:val="000000" w:themeColor="text1"/>
          <w:shd w:val="clear" w:color="auto" w:fill="FFFFFF"/>
          <w:lang w:val="en-GB"/>
        </w:rPr>
        <w:t xml:space="preserve"> </w:t>
      </w:r>
      <w:hyperlink r:id="rId33" w:history="1">
        <w:r w:rsidR="00314BF9" w:rsidRPr="004E7C35">
          <w:rPr>
            <w:rStyle w:val="Hyperlink"/>
            <w:rFonts w:ascii="Arial" w:hAnsi="Arial" w:cs="Arial"/>
            <w:lang w:val="en-GB"/>
          </w:rPr>
          <w:t>https://www.diageo.com/en/careers/locations/asia-pacific/india</w:t>
        </w:r>
      </w:hyperlink>
    </w:p>
    <w:p w14:paraId="29799F00" w14:textId="36D09D40"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2DB4C577" w14:textId="77777777" w:rsidR="00501AD0" w:rsidRDefault="00501AD0" w:rsidP="00501AD0">
      <w:pPr>
        <w:pStyle w:val="NormalWeb"/>
        <w:spacing w:before="0" w:beforeAutospacing="0" w:after="0" w:afterAutospacing="0"/>
        <w:rPr>
          <w:rFonts w:ascii="Arial" w:hAnsi="Arial" w:cs="Arial"/>
          <w:color w:val="000000" w:themeColor="text1"/>
          <w:lang w:val="en-GB"/>
        </w:rPr>
      </w:pPr>
    </w:p>
    <w:p w14:paraId="358C6567" w14:textId="2FAC6EA2" w:rsidR="00314BF9"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Diageo.com (2023).</w:t>
      </w:r>
      <w:r w:rsidRPr="003319BC">
        <w:rPr>
          <w:rFonts w:ascii="Arial" w:hAnsi="Arial" w:cs="Arial"/>
          <w:i/>
          <w:iCs/>
          <w:color w:val="000000" w:themeColor="text1"/>
          <w:shd w:val="clear" w:color="auto" w:fill="FFFFFF"/>
          <w:lang w:val="en-GB"/>
        </w:rPr>
        <w:t>Diageo Great Britain</w:t>
      </w:r>
      <w:r w:rsidR="00A845A0">
        <w:rPr>
          <w:rFonts w:ascii="Arial" w:hAnsi="Arial" w:cs="Arial"/>
          <w:i/>
          <w:iCs/>
          <w:color w:val="000000" w:themeColor="text1"/>
          <w:shd w:val="clear" w:color="auto" w:fill="FFFFFF"/>
          <w:lang w:val="en-GB"/>
        </w:rPr>
        <w:t xml:space="preserve"> </w:t>
      </w:r>
      <w:r w:rsidR="00A845A0">
        <w:rPr>
          <w:rFonts w:ascii="Arial" w:hAnsi="Arial" w:cs="Arial"/>
          <w:color w:val="000000" w:themeColor="text1"/>
          <w:shd w:val="clear" w:color="auto" w:fill="FFFFFF"/>
          <w:lang w:val="en-GB"/>
        </w:rPr>
        <w:t>[Online] Available at</w:t>
      </w:r>
      <w:r w:rsidRPr="003319BC">
        <w:rPr>
          <w:rFonts w:ascii="Arial" w:hAnsi="Arial" w:cs="Arial"/>
          <w:i/>
          <w:iCs/>
          <w:color w:val="000000" w:themeColor="text1"/>
          <w:lang w:val="en-GB"/>
        </w:rPr>
        <w:t>:</w:t>
      </w:r>
      <w:r w:rsidR="00314BF9">
        <w:rPr>
          <w:rFonts w:ascii="Arial" w:hAnsi="Arial" w:cs="Arial"/>
          <w:i/>
          <w:iCs/>
          <w:color w:val="000000" w:themeColor="text1"/>
          <w:lang w:val="en-GB"/>
        </w:rPr>
        <w:t xml:space="preserve"> </w:t>
      </w:r>
      <w:hyperlink r:id="rId34" w:history="1">
        <w:r w:rsidR="00314BF9" w:rsidRPr="004E7C35">
          <w:rPr>
            <w:rStyle w:val="Hyperlink"/>
            <w:rFonts w:ascii="Arial" w:hAnsi="Arial" w:cs="Arial"/>
            <w:lang w:val="en-GB"/>
          </w:rPr>
          <w:t>https://www.diageo.com/en/our-business/where-we-operate/europe/diageo-great-britain</w:t>
        </w:r>
      </w:hyperlink>
    </w:p>
    <w:p w14:paraId="39D5938C" w14:textId="58404B0F"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649CCB47"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1203329C" w14:textId="6B3FEC15" w:rsidR="00314BF9"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Diageo.com (2023).</w:t>
      </w:r>
      <w:r w:rsidRPr="003319BC">
        <w:rPr>
          <w:rFonts w:ascii="Arial" w:hAnsi="Arial" w:cs="Arial"/>
          <w:i/>
          <w:iCs/>
          <w:color w:val="000000" w:themeColor="text1"/>
          <w:lang w:val="en-GB"/>
        </w:rPr>
        <w:t>Diageo prices €500 million of fixed rate euro-denominated bonds</w:t>
      </w:r>
      <w:r w:rsidR="00A845A0">
        <w:rPr>
          <w:rFonts w:ascii="Arial" w:hAnsi="Arial" w:cs="Arial"/>
          <w:i/>
          <w:iCs/>
          <w:color w:val="000000" w:themeColor="text1"/>
          <w:lang w:val="en-GB"/>
        </w:rPr>
        <w:t xml:space="preserve"> </w:t>
      </w:r>
      <w:r w:rsidR="00A845A0">
        <w:rPr>
          <w:rFonts w:ascii="Arial" w:hAnsi="Arial" w:cs="Arial"/>
          <w:color w:val="000000" w:themeColor="text1"/>
          <w:lang w:val="en-GB"/>
        </w:rPr>
        <w:t>[Online] Available at</w:t>
      </w:r>
      <w:r w:rsidRPr="003319BC">
        <w:rPr>
          <w:rFonts w:ascii="Arial" w:hAnsi="Arial" w:cs="Arial"/>
          <w:i/>
          <w:iCs/>
          <w:color w:val="000000" w:themeColor="text1"/>
          <w:lang w:val="en-GB"/>
        </w:rPr>
        <w:t>:</w:t>
      </w:r>
      <w:r w:rsidR="00314BF9">
        <w:rPr>
          <w:rFonts w:ascii="Arial" w:hAnsi="Arial" w:cs="Arial"/>
          <w:i/>
          <w:iCs/>
          <w:color w:val="000000" w:themeColor="text1"/>
          <w:lang w:val="en-GB"/>
        </w:rPr>
        <w:t xml:space="preserve"> </w:t>
      </w:r>
      <w:hyperlink r:id="rId35" w:history="1">
        <w:r w:rsidR="00314BF9" w:rsidRPr="004E7C35">
          <w:rPr>
            <w:rStyle w:val="Hyperlink"/>
            <w:rFonts w:ascii="Arial" w:hAnsi="Arial" w:cs="Arial"/>
            <w:lang w:val="en-GB"/>
          </w:rPr>
          <w:t>https://www.diageo.com/en/news-and-media/press-releases/2023/diageo-prices-500-million-of-fixed-rate-euro-denominated-bonds</w:t>
        </w:r>
      </w:hyperlink>
    </w:p>
    <w:p w14:paraId="518A45D0" w14:textId="647906B5"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56CA5B5F"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79221F82" w14:textId="2A1396A2" w:rsidR="00314BF9"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Diageo.com (2023).</w:t>
      </w:r>
      <w:r w:rsidRPr="003319BC">
        <w:rPr>
          <w:rFonts w:ascii="Arial" w:hAnsi="Arial" w:cs="Arial"/>
          <w:i/>
          <w:iCs/>
          <w:color w:val="000000" w:themeColor="text1"/>
          <w:lang w:val="en-GB"/>
        </w:rPr>
        <w:t>DRINKiQ</w:t>
      </w:r>
      <w:r w:rsidR="00A845A0">
        <w:rPr>
          <w:rFonts w:ascii="Arial" w:hAnsi="Arial" w:cs="Arial"/>
          <w:i/>
          <w:iCs/>
          <w:color w:val="000000" w:themeColor="text1"/>
          <w:lang w:val="en-GB"/>
        </w:rPr>
        <w:t xml:space="preserve"> </w:t>
      </w:r>
      <w:r w:rsidR="00A845A0">
        <w:rPr>
          <w:rFonts w:ascii="Arial" w:hAnsi="Arial" w:cs="Arial"/>
          <w:color w:val="000000" w:themeColor="text1"/>
          <w:lang w:val="en-GB"/>
        </w:rPr>
        <w:t xml:space="preserve"> [Online] Available at</w:t>
      </w:r>
      <w:r w:rsidRPr="003319BC">
        <w:rPr>
          <w:rFonts w:ascii="Arial" w:hAnsi="Arial" w:cs="Arial"/>
          <w:i/>
          <w:iCs/>
          <w:color w:val="000000" w:themeColor="text1"/>
          <w:lang w:val="en-GB"/>
        </w:rPr>
        <w:t>:</w:t>
      </w:r>
      <w:r w:rsidR="00314BF9">
        <w:rPr>
          <w:rFonts w:ascii="Arial" w:hAnsi="Arial" w:cs="Arial"/>
          <w:i/>
          <w:iCs/>
          <w:color w:val="000000" w:themeColor="text1"/>
          <w:lang w:val="en-GB"/>
        </w:rPr>
        <w:t xml:space="preserve"> </w:t>
      </w:r>
      <w:hyperlink r:id="rId36" w:history="1">
        <w:r w:rsidR="00314BF9" w:rsidRPr="004E7C35">
          <w:rPr>
            <w:rStyle w:val="Hyperlink"/>
            <w:rFonts w:ascii="Arial" w:hAnsi="Arial" w:cs="Arial"/>
            <w:lang w:val="en-GB"/>
          </w:rPr>
          <w:t>https://www.diageo.com/en/esg/promote-positive-drinking</w:t>
        </w:r>
      </w:hyperlink>
    </w:p>
    <w:p w14:paraId="40A5223E" w14:textId="79EFA1E1"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6A53C7B3"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2E6CA0D3" w14:textId="2B14BBDF" w:rsidR="00314BF9"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Diageo.com (2023).</w:t>
      </w:r>
      <w:r w:rsidRPr="003319BC">
        <w:rPr>
          <w:rFonts w:ascii="Arial" w:hAnsi="Arial" w:cs="Arial"/>
          <w:i/>
          <w:iCs/>
          <w:color w:val="000000" w:themeColor="text1"/>
          <w:shd w:val="clear" w:color="auto" w:fill="FFFFFF"/>
          <w:lang w:val="en-GB"/>
        </w:rPr>
        <w:t>Our locations and markets</w:t>
      </w:r>
      <w:r w:rsidR="00A845A0">
        <w:rPr>
          <w:rFonts w:ascii="Arial" w:hAnsi="Arial" w:cs="Arial"/>
          <w:i/>
          <w:iCs/>
          <w:color w:val="000000" w:themeColor="text1"/>
          <w:shd w:val="clear" w:color="auto" w:fill="FFFFFF"/>
          <w:lang w:val="en-GB"/>
        </w:rPr>
        <w:t xml:space="preserve"> </w:t>
      </w:r>
      <w:r w:rsidR="00A845A0">
        <w:rPr>
          <w:rFonts w:ascii="Arial" w:hAnsi="Arial" w:cs="Arial"/>
          <w:color w:val="000000" w:themeColor="text1"/>
          <w:shd w:val="clear" w:color="auto" w:fill="FFFFFF"/>
          <w:lang w:val="en-GB"/>
        </w:rPr>
        <w:t xml:space="preserve">[Online] Available at </w:t>
      </w:r>
      <w:r w:rsidRPr="003319BC">
        <w:rPr>
          <w:rFonts w:ascii="Arial" w:hAnsi="Arial" w:cs="Arial"/>
          <w:i/>
          <w:iCs/>
          <w:color w:val="000000" w:themeColor="text1"/>
          <w:lang w:val="en-GB"/>
        </w:rPr>
        <w:t>:</w:t>
      </w:r>
      <w:r w:rsidR="00314BF9">
        <w:rPr>
          <w:rFonts w:ascii="Arial" w:hAnsi="Arial" w:cs="Arial"/>
          <w:i/>
          <w:iCs/>
          <w:color w:val="000000" w:themeColor="text1"/>
          <w:lang w:val="en-GB"/>
        </w:rPr>
        <w:t xml:space="preserve"> </w:t>
      </w:r>
      <w:hyperlink r:id="rId37" w:history="1">
        <w:r w:rsidR="00314BF9" w:rsidRPr="004E7C35">
          <w:rPr>
            <w:rStyle w:val="Hyperlink"/>
            <w:rFonts w:ascii="Arial" w:hAnsi="Arial" w:cs="Arial"/>
            <w:lang w:val="en-GB"/>
          </w:rPr>
          <w:t>https://www.diageo.com/en/our-business/where-we-operate/Europe</w:t>
        </w:r>
      </w:hyperlink>
    </w:p>
    <w:p w14:paraId="1A1F6AA9" w14:textId="34A16356"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00C98AA9"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004F2692" w14:textId="79F994BE" w:rsidR="00314BF9"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 xml:space="preserve">Diageo.com, (2023). </w:t>
      </w:r>
      <w:r w:rsidRPr="003319BC">
        <w:rPr>
          <w:rFonts w:ascii="Arial" w:hAnsi="Arial" w:cs="Arial"/>
          <w:i/>
          <w:iCs/>
          <w:color w:val="000000" w:themeColor="text1"/>
          <w:shd w:val="clear" w:color="auto" w:fill="FFFFFF"/>
          <w:lang w:val="en-GB"/>
        </w:rPr>
        <w:t>Diageo Asia Pacific.</w:t>
      </w:r>
      <w:r w:rsidR="00A845A0">
        <w:rPr>
          <w:rFonts w:ascii="Arial" w:hAnsi="Arial" w:cs="Arial"/>
          <w:color w:val="000000" w:themeColor="text1"/>
          <w:shd w:val="clear" w:color="auto" w:fill="FFFFFF"/>
          <w:lang w:val="en-GB"/>
        </w:rPr>
        <w:t xml:space="preserve"> [Online] </w:t>
      </w:r>
      <w:r w:rsidRPr="003319BC">
        <w:rPr>
          <w:rFonts w:ascii="Arial" w:hAnsi="Arial" w:cs="Arial"/>
          <w:color w:val="000000" w:themeColor="text1"/>
          <w:lang w:val="en-GB"/>
        </w:rPr>
        <w:t>Available at:</w:t>
      </w:r>
      <w:r w:rsidR="00314BF9">
        <w:rPr>
          <w:rFonts w:ascii="Arial" w:hAnsi="Arial" w:cs="Arial"/>
          <w:color w:val="000000" w:themeColor="text1"/>
          <w:lang w:val="en-GB"/>
        </w:rPr>
        <w:t xml:space="preserve"> </w:t>
      </w:r>
      <w:hyperlink r:id="rId38" w:history="1">
        <w:r w:rsidR="00314BF9" w:rsidRPr="004E7C35">
          <w:rPr>
            <w:rStyle w:val="Hyperlink"/>
            <w:rFonts w:ascii="Arial" w:hAnsi="Arial" w:cs="Arial"/>
            <w:shd w:val="clear" w:color="auto" w:fill="FFFFFF"/>
            <w:lang w:val="en-GB"/>
          </w:rPr>
          <w:t>https://www.diageo.com/en/our-business/where-we-operate/asia-pacific</w:t>
        </w:r>
      </w:hyperlink>
    </w:p>
    <w:p w14:paraId="424B8978" w14:textId="3DA50F77" w:rsidR="00971297" w:rsidRPr="00314BF9"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1BA09140"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2CBAD542" w14:textId="4E94D724" w:rsidR="00314BF9"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 xml:space="preserve">Diageo.com, (2023). </w:t>
      </w:r>
      <w:r w:rsidRPr="003319BC">
        <w:rPr>
          <w:rFonts w:ascii="Arial" w:hAnsi="Arial" w:cs="Arial"/>
          <w:i/>
          <w:iCs/>
          <w:color w:val="000000" w:themeColor="text1"/>
          <w:shd w:val="clear" w:color="auto" w:fill="FFFFFF"/>
          <w:lang w:val="en-GB"/>
        </w:rPr>
        <w:t>Diageo India.</w:t>
      </w:r>
      <w:r w:rsidR="00A845A0">
        <w:rPr>
          <w:rFonts w:ascii="Arial" w:hAnsi="Arial" w:cs="Arial"/>
          <w:i/>
          <w:iCs/>
          <w:color w:val="000000" w:themeColor="text1"/>
          <w:shd w:val="clear" w:color="auto" w:fill="FFFFFF"/>
          <w:lang w:val="en-GB"/>
        </w:rPr>
        <w:t xml:space="preserve"> </w:t>
      </w:r>
      <w:r w:rsidR="00A845A0">
        <w:rPr>
          <w:rFonts w:ascii="Arial" w:hAnsi="Arial" w:cs="Arial"/>
          <w:color w:val="000000" w:themeColor="text1"/>
          <w:shd w:val="clear" w:color="auto" w:fill="FFFFFF"/>
          <w:lang w:val="en-GB"/>
        </w:rPr>
        <w:t xml:space="preserve">[Online] </w:t>
      </w:r>
      <w:r w:rsidRPr="003319BC">
        <w:rPr>
          <w:rFonts w:ascii="Arial" w:hAnsi="Arial" w:cs="Arial"/>
          <w:color w:val="000000" w:themeColor="text1"/>
          <w:lang w:val="en-GB"/>
        </w:rPr>
        <w:t>Available</w:t>
      </w:r>
      <w:r w:rsidR="00A845A0">
        <w:rPr>
          <w:rFonts w:ascii="Arial" w:hAnsi="Arial" w:cs="Arial"/>
          <w:color w:val="000000" w:themeColor="text1"/>
          <w:lang w:val="en-GB"/>
        </w:rPr>
        <w:t xml:space="preserve"> </w:t>
      </w:r>
      <w:r w:rsidRPr="003319BC">
        <w:rPr>
          <w:rFonts w:ascii="Arial" w:hAnsi="Arial" w:cs="Arial"/>
          <w:color w:val="000000" w:themeColor="text1"/>
          <w:lang w:val="en-GB"/>
        </w:rPr>
        <w:t>at:</w:t>
      </w:r>
      <w:r w:rsidR="00314BF9">
        <w:rPr>
          <w:rFonts w:ascii="Arial" w:hAnsi="Arial" w:cs="Arial"/>
          <w:color w:val="000000" w:themeColor="text1"/>
          <w:lang w:val="en-GB"/>
        </w:rPr>
        <w:t xml:space="preserve"> </w:t>
      </w:r>
      <w:hyperlink r:id="rId39" w:history="1">
        <w:r w:rsidR="00314BF9" w:rsidRPr="004E7C35">
          <w:rPr>
            <w:rStyle w:val="Hyperlink"/>
            <w:rFonts w:ascii="Arial" w:hAnsi="Arial" w:cs="Arial"/>
            <w:shd w:val="clear" w:color="auto" w:fill="FFFFFF"/>
            <w:lang w:val="en-GB"/>
          </w:rPr>
          <w:t>https://www.diageoindia.com/en/about-us</w:t>
        </w:r>
      </w:hyperlink>
    </w:p>
    <w:p w14:paraId="66E5A3A6" w14:textId="086884C9"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295D7DD9" w14:textId="77777777" w:rsidR="00A845A0" w:rsidRDefault="00A845A0" w:rsidP="00501AD0">
      <w:pPr>
        <w:pStyle w:val="NormalWeb"/>
        <w:spacing w:before="0" w:beforeAutospacing="0" w:after="0" w:afterAutospacing="0"/>
        <w:rPr>
          <w:rFonts w:ascii="Arial" w:hAnsi="Arial" w:cs="Arial"/>
          <w:color w:val="000000" w:themeColor="text1"/>
          <w:lang w:val="en-GB"/>
        </w:rPr>
      </w:pPr>
    </w:p>
    <w:p w14:paraId="7DA8ACA2" w14:textId="64D8829E" w:rsidR="00A845A0"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 xml:space="preserve">Diageo.com, (2023). </w:t>
      </w:r>
      <w:r w:rsidRPr="003319BC">
        <w:rPr>
          <w:rFonts w:ascii="Arial" w:hAnsi="Arial" w:cs="Arial"/>
          <w:i/>
          <w:iCs/>
          <w:color w:val="000000" w:themeColor="text1"/>
          <w:lang w:val="en-GB"/>
        </w:rPr>
        <w:t>Our business</w:t>
      </w:r>
      <w:r w:rsidR="00A845A0">
        <w:rPr>
          <w:rFonts w:ascii="Arial" w:hAnsi="Arial" w:cs="Arial"/>
          <w:i/>
          <w:iCs/>
          <w:color w:val="000000" w:themeColor="text1"/>
          <w:lang w:val="en-GB"/>
        </w:rPr>
        <w:t xml:space="preserve"> </w:t>
      </w:r>
      <w:r w:rsidR="00A845A0">
        <w:rPr>
          <w:rFonts w:ascii="Arial" w:hAnsi="Arial" w:cs="Arial"/>
          <w:color w:val="000000" w:themeColor="text1"/>
          <w:lang w:val="en-GB"/>
        </w:rPr>
        <w:t>[Online]</w:t>
      </w:r>
      <w:r w:rsidRPr="003319BC">
        <w:rPr>
          <w:rFonts w:ascii="Arial" w:hAnsi="Arial" w:cs="Arial"/>
          <w:i/>
          <w:iCs/>
          <w:color w:val="000000" w:themeColor="text1"/>
          <w:lang w:val="en-GB"/>
        </w:rPr>
        <w:t xml:space="preserve">. </w:t>
      </w:r>
      <w:r w:rsidRPr="003319BC">
        <w:rPr>
          <w:rFonts w:ascii="Arial" w:hAnsi="Arial" w:cs="Arial"/>
          <w:color w:val="000000" w:themeColor="text1"/>
          <w:lang w:val="en-GB"/>
        </w:rPr>
        <w:t>Available at:</w:t>
      </w:r>
      <w:r w:rsidR="00A845A0">
        <w:rPr>
          <w:rFonts w:ascii="Arial" w:hAnsi="Arial" w:cs="Arial"/>
          <w:color w:val="000000" w:themeColor="text1"/>
          <w:lang w:val="en-GB"/>
        </w:rPr>
        <w:t xml:space="preserve"> </w:t>
      </w:r>
      <w:hyperlink r:id="rId40" w:history="1">
        <w:r w:rsidR="00A845A0" w:rsidRPr="004E7C35">
          <w:rPr>
            <w:rStyle w:val="Hyperlink"/>
            <w:rFonts w:ascii="Arial" w:hAnsi="Arial" w:cs="Arial"/>
            <w:lang w:val="en-GB"/>
          </w:rPr>
          <w:t>https://www.diageo.com/en/careers/why-diageo/purpose-culture-and-values</w:t>
        </w:r>
      </w:hyperlink>
    </w:p>
    <w:p w14:paraId="12C3F618" w14:textId="14FE5FAA"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on:21.08.2023]</w:t>
      </w:r>
    </w:p>
    <w:p w14:paraId="53F006F3" w14:textId="77777777" w:rsidR="00A51DC8" w:rsidRDefault="00A51DC8" w:rsidP="00501AD0">
      <w:pPr>
        <w:spacing w:after="0" w:line="240" w:lineRule="auto"/>
        <w:rPr>
          <w:rFonts w:ascii="Arial" w:eastAsia="Calibri" w:hAnsi="Arial" w:cs="Arial"/>
          <w:color w:val="000000" w:themeColor="text1"/>
          <w:sz w:val="24"/>
          <w:szCs w:val="24"/>
          <w:lang w:val="en-GB" w:bidi="ar-SA"/>
        </w:rPr>
      </w:pPr>
    </w:p>
    <w:p w14:paraId="698DE4FC" w14:textId="1BA10256" w:rsidR="00A51DC8"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Do, Q.H. and Vu, T.H.A. (2020). [online] 10(6). Available at:</w:t>
      </w:r>
      <w:r w:rsidR="00A51DC8">
        <w:rPr>
          <w:rFonts w:ascii="Arial" w:eastAsia="Times New Roman" w:hAnsi="Arial" w:cs="Arial"/>
          <w:color w:val="000000" w:themeColor="text1"/>
          <w:sz w:val="24"/>
          <w:szCs w:val="24"/>
          <w:lang w:val="en-GB"/>
        </w:rPr>
        <w:t xml:space="preserve"> </w:t>
      </w:r>
      <w:hyperlink r:id="rId41" w:history="1">
        <w:r w:rsidR="00A51DC8" w:rsidRPr="004E7C35">
          <w:rPr>
            <w:rStyle w:val="Hyperlink"/>
            <w:rFonts w:ascii="Arial" w:eastAsia="Times New Roman" w:hAnsi="Arial" w:cs="Arial"/>
            <w:sz w:val="24"/>
            <w:szCs w:val="24"/>
            <w:lang w:val="en-GB"/>
          </w:rPr>
          <w:t>https://librarysearch.uwtsd.ac.uk/discovery/fulldisplay?docid=cdi_doaj_primary_oai_doaj_org_article_d46718af9cf14e7784af5a8225163e6f&amp;context=PC&amp;vid=44WHELF_UWTSD:44WHELF_UWTSD_VU1&amp;lang=en&amp;search_scope=MyInst_and_CI&amp;adaptor=Primo%20Central&amp;tab=Everything&amp;query=any</w:t>
        </w:r>
      </w:hyperlink>
    </w:p>
    <w:p w14:paraId="1F9186B6" w14:textId="72D17BF9"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20 Jul. 2023].</w:t>
      </w:r>
    </w:p>
    <w:p w14:paraId="6838E16D" w14:textId="77777777" w:rsidR="00A51DC8" w:rsidRDefault="00A51DC8" w:rsidP="00501AD0">
      <w:pPr>
        <w:pStyle w:val="NormalWeb"/>
        <w:spacing w:before="0" w:beforeAutospacing="0" w:after="0" w:afterAutospacing="0"/>
        <w:rPr>
          <w:rFonts w:ascii="Arial" w:hAnsi="Arial" w:cs="Arial"/>
          <w:color w:val="000000" w:themeColor="text1"/>
          <w:lang w:val="en-GB"/>
        </w:rPr>
      </w:pPr>
    </w:p>
    <w:p w14:paraId="08A6DF32" w14:textId="7B6AE275" w:rsidR="007D20F1"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Economictimes.indiatimes.com (2023).</w:t>
      </w:r>
      <w:r w:rsidR="007D20F1">
        <w:rPr>
          <w:rFonts w:ascii="Arial" w:hAnsi="Arial" w:cs="Arial"/>
          <w:color w:val="000000" w:themeColor="text1"/>
          <w:lang w:val="en-GB"/>
        </w:rPr>
        <w:t xml:space="preserve"> </w:t>
      </w:r>
      <w:r w:rsidRPr="003319BC">
        <w:rPr>
          <w:rFonts w:ascii="Arial" w:hAnsi="Arial" w:cs="Arial"/>
          <w:i/>
          <w:iCs/>
          <w:color w:val="000000" w:themeColor="text1"/>
          <w:shd w:val="clear" w:color="auto" w:fill="FFFFFF"/>
          <w:lang w:val="en-GB"/>
        </w:rPr>
        <w:t>Diageo India bullish on India; advocates for the inflation-indexed price increase, harmonised tax</w:t>
      </w:r>
      <w:r w:rsidR="00A51DC8">
        <w:rPr>
          <w:rFonts w:ascii="Arial" w:hAnsi="Arial" w:cs="Arial"/>
          <w:i/>
          <w:iCs/>
          <w:color w:val="000000" w:themeColor="text1"/>
          <w:shd w:val="clear" w:color="auto" w:fill="FFFFFF"/>
          <w:lang w:val="en-GB"/>
        </w:rPr>
        <w:t xml:space="preserve"> </w:t>
      </w:r>
      <w:r w:rsidRPr="003319BC">
        <w:rPr>
          <w:rFonts w:ascii="Arial" w:hAnsi="Arial" w:cs="Arial"/>
          <w:i/>
          <w:iCs/>
          <w:color w:val="000000" w:themeColor="text1"/>
          <w:shd w:val="clear" w:color="auto" w:fill="FFFFFF"/>
          <w:lang w:val="en-GB"/>
        </w:rPr>
        <w:t>structure</w:t>
      </w:r>
      <w:r w:rsidR="00A51DC8">
        <w:rPr>
          <w:rFonts w:ascii="Arial" w:hAnsi="Arial" w:cs="Arial"/>
          <w:i/>
          <w:iCs/>
          <w:color w:val="000000" w:themeColor="text1"/>
          <w:shd w:val="clear" w:color="auto" w:fill="FFFFFF"/>
          <w:lang w:val="en-GB"/>
        </w:rPr>
        <w:t xml:space="preserve"> </w:t>
      </w:r>
      <w:r w:rsidR="00A51DC8">
        <w:rPr>
          <w:rFonts w:ascii="Arial" w:hAnsi="Arial" w:cs="Arial"/>
          <w:color w:val="000000" w:themeColor="text1"/>
          <w:shd w:val="clear" w:color="auto" w:fill="FFFFFF"/>
          <w:lang w:val="en-GB"/>
        </w:rPr>
        <w:t>Available</w:t>
      </w:r>
      <w:r w:rsidR="007D20F1">
        <w:rPr>
          <w:rFonts w:ascii="Arial" w:hAnsi="Arial" w:cs="Arial"/>
          <w:color w:val="000000" w:themeColor="text1"/>
          <w:shd w:val="clear" w:color="auto" w:fill="FFFFFF"/>
          <w:lang w:val="en-GB"/>
        </w:rPr>
        <w:t xml:space="preserve"> </w:t>
      </w:r>
      <w:r w:rsidR="00A51DC8">
        <w:rPr>
          <w:rFonts w:ascii="Arial" w:hAnsi="Arial" w:cs="Arial"/>
          <w:color w:val="000000" w:themeColor="text1"/>
          <w:shd w:val="clear" w:color="auto" w:fill="FFFFFF"/>
          <w:lang w:val="en-GB"/>
        </w:rPr>
        <w:t>at</w:t>
      </w:r>
      <w:r w:rsidRPr="003319BC">
        <w:rPr>
          <w:rFonts w:ascii="Arial" w:hAnsi="Arial" w:cs="Arial"/>
          <w:i/>
          <w:iCs/>
          <w:color w:val="000000" w:themeColor="text1"/>
          <w:lang w:val="en-GB"/>
        </w:rPr>
        <w:t>:</w:t>
      </w:r>
      <w:r w:rsidR="007D20F1">
        <w:rPr>
          <w:rFonts w:ascii="Arial" w:hAnsi="Arial" w:cs="Arial"/>
          <w:i/>
          <w:iCs/>
          <w:color w:val="000000" w:themeColor="text1"/>
          <w:lang w:val="en-GB"/>
        </w:rPr>
        <w:t xml:space="preserve"> </w:t>
      </w:r>
      <w:hyperlink r:id="rId42" w:history="1">
        <w:r w:rsidR="007D20F1" w:rsidRPr="004E7C35">
          <w:rPr>
            <w:rStyle w:val="Hyperlink"/>
            <w:rFonts w:ascii="Arial" w:hAnsi="Arial" w:cs="Arial"/>
            <w:lang w:val="en-GB"/>
          </w:rPr>
          <w:t>https://economictimes.indiatimes.com/industry/cons-products/liquor/diageo-india-bullish-on-india-advocates-for-inflation-indexed-price-increase-harmonised-tax-structure/articleshow/100913817.cms?from=mdra</w:t>
        </w:r>
      </w:hyperlink>
    </w:p>
    <w:p w14:paraId="2CE9AE43" w14:textId="5FEC55DD"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21st August 2023] </w:t>
      </w:r>
    </w:p>
    <w:p w14:paraId="44E1F221" w14:textId="47E69818" w:rsidR="007D20F1"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lastRenderedPageBreak/>
        <w:t>Economictimes.indiatimes.com (2023).</w:t>
      </w:r>
      <w:r w:rsidRPr="003319BC">
        <w:rPr>
          <w:rFonts w:ascii="Arial" w:hAnsi="Arial" w:cs="Arial"/>
          <w:i/>
          <w:iCs/>
          <w:color w:val="000000" w:themeColor="text1"/>
          <w:lang w:val="en-GB"/>
        </w:rPr>
        <w:t>Diageo's market share increases to 17%; buoyed by access to the sales network of United Spirits</w:t>
      </w:r>
      <w:r w:rsidR="007D20F1">
        <w:rPr>
          <w:rFonts w:ascii="Arial" w:hAnsi="Arial" w:cs="Arial"/>
          <w:i/>
          <w:iCs/>
          <w:color w:val="000000" w:themeColor="text1"/>
          <w:lang w:val="en-GB"/>
        </w:rPr>
        <w:t xml:space="preserve"> </w:t>
      </w:r>
      <w:r w:rsidR="007D20F1">
        <w:rPr>
          <w:rFonts w:ascii="Arial" w:hAnsi="Arial" w:cs="Arial"/>
          <w:color w:val="000000" w:themeColor="text1"/>
          <w:lang w:val="en-GB"/>
        </w:rPr>
        <w:t xml:space="preserve">Available : </w:t>
      </w:r>
      <w:hyperlink r:id="rId43" w:history="1">
        <w:r w:rsidR="007D20F1" w:rsidRPr="004E7C35">
          <w:rPr>
            <w:rStyle w:val="Hyperlink"/>
            <w:rFonts w:ascii="Arial" w:hAnsi="Arial" w:cs="Arial"/>
            <w:lang w:val="en-GB"/>
          </w:rPr>
          <w:t>https://www.diageoindia.com/en/about-us</w:t>
        </w:r>
      </w:hyperlink>
    </w:p>
    <w:p w14:paraId="1BCF1862" w14:textId="28EDC66C"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 xml:space="preserve">[Accessed on </w:t>
      </w:r>
      <w:r w:rsidR="007D20F1" w:rsidRPr="003319BC">
        <w:rPr>
          <w:rFonts w:ascii="Arial" w:hAnsi="Arial" w:cs="Arial"/>
          <w:color w:val="000000" w:themeColor="text1"/>
          <w:lang w:val="en-GB"/>
        </w:rPr>
        <w:t>21st</w:t>
      </w:r>
      <w:r w:rsidRPr="003319BC">
        <w:rPr>
          <w:rFonts w:ascii="Arial" w:hAnsi="Arial" w:cs="Arial"/>
          <w:color w:val="000000" w:themeColor="text1"/>
          <w:lang w:val="en-GB"/>
        </w:rPr>
        <w:t xml:space="preserve"> August 2023]</w:t>
      </w:r>
    </w:p>
    <w:p w14:paraId="35D4BBE2" w14:textId="77777777" w:rsidR="00A51DC8" w:rsidRDefault="00A51DC8" w:rsidP="00501AD0">
      <w:pPr>
        <w:pStyle w:val="NormalWeb"/>
        <w:spacing w:before="0" w:beforeAutospacing="0" w:after="0" w:afterAutospacing="0"/>
        <w:rPr>
          <w:rFonts w:ascii="Arial" w:hAnsi="Arial" w:cs="Arial"/>
          <w:color w:val="000000" w:themeColor="text1"/>
          <w:shd w:val="clear" w:color="auto" w:fill="FFFFFF"/>
          <w:lang w:val="en-GB"/>
        </w:rPr>
      </w:pPr>
    </w:p>
    <w:p w14:paraId="2F4E88E6" w14:textId="3A3B055D"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 xml:space="preserve">Economictimes.indiatimes.com, (2023). </w:t>
      </w:r>
      <w:r w:rsidRPr="003319BC">
        <w:rPr>
          <w:rFonts w:ascii="Arial" w:hAnsi="Arial" w:cs="Arial"/>
          <w:i/>
          <w:iCs/>
          <w:color w:val="000000" w:themeColor="text1"/>
          <w:shd w:val="clear" w:color="auto" w:fill="FFFFFF"/>
          <w:lang w:val="en-GB"/>
        </w:rPr>
        <w:t xml:space="preserve">Synopsis.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44" w:history="1">
        <w:r w:rsidR="007D20F1" w:rsidRPr="004E7C35">
          <w:rPr>
            <w:rStyle w:val="Hyperlink"/>
            <w:rFonts w:ascii="Arial" w:hAnsi="Arial" w:cs="Arial"/>
            <w:shd w:val="clear" w:color="auto" w:fill="FFFFFF"/>
            <w:lang w:val="en-GB"/>
          </w:rPr>
          <w:t>https://economictimes.indiatimes.com/industry/cons-products/liquor/diageo-india-bullish-on-india-advocates-for-inflation-indexed-price-increase-harmonised-tax-structure/articleshow/100913817.cms?from=mdr</w:t>
        </w:r>
      </w:hyperlink>
    </w:p>
    <w:p w14:paraId="72E72B7C" w14:textId="16C56F61"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76A63AF3" w14:textId="77777777" w:rsidR="00A51DC8" w:rsidRDefault="00A51DC8" w:rsidP="00501AD0">
      <w:pPr>
        <w:spacing w:after="0" w:line="240" w:lineRule="auto"/>
        <w:rPr>
          <w:rFonts w:ascii="Arial" w:eastAsia="Calibri" w:hAnsi="Arial" w:cs="Arial"/>
          <w:color w:val="000000" w:themeColor="text1"/>
          <w:sz w:val="24"/>
          <w:szCs w:val="24"/>
          <w:lang w:val="en-GB" w:bidi="ar-SA"/>
        </w:rPr>
      </w:pPr>
    </w:p>
    <w:p w14:paraId="297C239E" w14:textId="5DF76338" w:rsidR="00971297" w:rsidRPr="003319BC" w:rsidRDefault="00971297" w:rsidP="00501AD0">
      <w:pPr>
        <w:spacing w:after="0" w:line="240" w:lineRule="auto"/>
        <w:rPr>
          <w:rFonts w:ascii="Arial" w:eastAsia="Calibri" w:hAnsi="Arial" w:cs="Arial"/>
          <w:color w:val="000000" w:themeColor="text1"/>
          <w:sz w:val="24"/>
          <w:szCs w:val="24"/>
          <w:lang w:val="en-GB" w:bidi="ar-SA"/>
        </w:rPr>
      </w:pPr>
      <w:r w:rsidRPr="003319BC">
        <w:rPr>
          <w:rFonts w:ascii="Arial" w:eastAsia="Calibri" w:hAnsi="Arial" w:cs="Arial"/>
          <w:color w:val="000000" w:themeColor="text1"/>
          <w:sz w:val="24"/>
          <w:szCs w:val="24"/>
          <w:lang w:val="en-GB" w:bidi="ar-SA"/>
        </w:rPr>
        <w:t>Granato, D., Barba, F.J., Bursać Kovačević, D., Lorenzo, J.M., Cruz, A.G. and Putnik, P., (2020). Functional foods: Product development, technological trends, efficacy testing, and safety. </w:t>
      </w:r>
      <w:r w:rsidRPr="003319BC">
        <w:rPr>
          <w:rFonts w:ascii="Arial" w:eastAsia="Calibri" w:hAnsi="Arial" w:cs="Arial"/>
          <w:i/>
          <w:iCs/>
          <w:color w:val="000000" w:themeColor="text1"/>
          <w:sz w:val="24"/>
          <w:szCs w:val="24"/>
          <w:lang w:val="en-GB" w:bidi="ar-SA"/>
        </w:rPr>
        <w:t>Annual review of food science and technology</w:t>
      </w:r>
      <w:r w:rsidRPr="003319BC">
        <w:rPr>
          <w:rFonts w:ascii="Arial" w:eastAsia="Calibri" w:hAnsi="Arial" w:cs="Arial"/>
          <w:color w:val="000000" w:themeColor="text1"/>
          <w:sz w:val="24"/>
          <w:szCs w:val="24"/>
          <w:lang w:val="en-GB" w:bidi="ar-SA"/>
        </w:rPr>
        <w:t>, </w:t>
      </w:r>
      <w:r w:rsidRPr="003319BC">
        <w:rPr>
          <w:rFonts w:ascii="Arial" w:eastAsia="Calibri" w:hAnsi="Arial" w:cs="Arial"/>
          <w:i/>
          <w:iCs/>
          <w:color w:val="000000" w:themeColor="text1"/>
          <w:sz w:val="24"/>
          <w:szCs w:val="24"/>
          <w:lang w:val="en-GB" w:bidi="ar-SA"/>
        </w:rPr>
        <w:t>11</w:t>
      </w:r>
      <w:r w:rsidRPr="003319BC">
        <w:rPr>
          <w:rFonts w:ascii="Arial" w:eastAsia="Calibri" w:hAnsi="Arial" w:cs="Arial"/>
          <w:color w:val="000000" w:themeColor="text1"/>
          <w:sz w:val="24"/>
          <w:szCs w:val="24"/>
          <w:lang w:val="en-GB" w:bidi="ar-SA"/>
        </w:rPr>
        <w:t>, pp.93-118.</w:t>
      </w:r>
    </w:p>
    <w:p w14:paraId="77D6DB6E" w14:textId="5E6C926E" w:rsidR="00A51DC8"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Jernigan, D. and Ross, C.S., (2020).</w:t>
      </w:r>
    </w:p>
    <w:p w14:paraId="4113F9B3" w14:textId="77777777" w:rsidR="00A51DC8" w:rsidRPr="003319BC" w:rsidRDefault="00A51DC8" w:rsidP="00A51DC8">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on:21.08.2023]</w:t>
      </w:r>
    </w:p>
    <w:p w14:paraId="6F72D485" w14:textId="77777777" w:rsidR="00A51DC8" w:rsidRDefault="00A51DC8" w:rsidP="00501AD0">
      <w:pPr>
        <w:pStyle w:val="NormalWeb"/>
        <w:spacing w:before="0" w:beforeAutospacing="0" w:after="0" w:afterAutospacing="0"/>
        <w:rPr>
          <w:rFonts w:ascii="Arial" w:hAnsi="Arial" w:cs="Arial"/>
          <w:color w:val="000000" w:themeColor="text1"/>
          <w:shd w:val="clear" w:color="auto" w:fill="FFFFFF"/>
          <w:lang w:val="en-GB"/>
        </w:rPr>
      </w:pPr>
    </w:p>
    <w:p w14:paraId="0E8CEC91" w14:textId="75702079"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 xml:space="preserve">The alcohol marketing landscape: Alcohol industry size, structure, strategies, and public health responses. </w:t>
      </w:r>
      <w:r w:rsidRPr="003319BC">
        <w:rPr>
          <w:rFonts w:ascii="Arial" w:hAnsi="Arial" w:cs="Arial"/>
          <w:i/>
          <w:iCs/>
          <w:color w:val="000000" w:themeColor="text1"/>
          <w:shd w:val="clear" w:color="auto" w:fill="FFFFFF"/>
          <w:lang w:val="en-GB"/>
        </w:rPr>
        <w:t>Journal of Studies on Alcohol and Drugs, Supplement</w:t>
      </w:r>
      <w:r w:rsidRPr="003319BC">
        <w:rPr>
          <w:rFonts w:ascii="Arial" w:hAnsi="Arial" w:cs="Arial"/>
          <w:color w:val="000000" w:themeColor="text1"/>
          <w:shd w:val="clear" w:color="auto" w:fill="FFFFFF"/>
          <w:lang w:val="en-GB"/>
        </w:rPr>
        <w:t xml:space="preserve">, (s19), pp.13-25.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45" w:history="1">
        <w:r w:rsidR="007D20F1" w:rsidRPr="004E7C35">
          <w:rPr>
            <w:rStyle w:val="Hyperlink"/>
            <w:rFonts w:ascii="Arial" w:hAnsi="Arial" w:cs="Arial"/>
            <w:shd w:val="clear" w:color="auto" w:fill="FFFFFF"/>
            <w:lang w:val="en-GB"/>
          </w:rPr>
          <w:t>https://www.jsad.com/doi/abs/10.15288/jsads.2020.s19.13</w:t>
        </w:r>
      </w:hyperlink>
    </w:p>
    <w:p w14:paraId="1A6F29B6" w14:textId="53D0DBCB"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7AD1113F" w14:textId="77777777" w:rsidR="00A51DC8" w:rsidRPr="003319BC" w:rsidRDefault="00A51DC8" w:rsidP="00501AD0">
      <w:pPr>
        <w:pStyle w:val="NormalWeb"/>
        <w:spacing w:before="0" w:beforeAutospacing="0" w:after="0" w:afterAutospacing="0"/>
        <w:rPr>
          <w:rFonts w:ascii="Arial" w:hAnsi="Arial" w:cs="Arial"/>
          <w:color w:val="000000" w:themeColor="text1"/>
          <w:lang w:val="en-GB"/>
        </w:rPr>
      </w:pPr>
    </w:p>
    <w:p w14:paraId="7B900999" w14:textId="490C3996" w:rsidR="00A51DC8"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macrotrends (2023). </w:t>
      </w:r>
      <w:r w:rsidRPr="003319BC">
        <w:rPr>
          <w:rFonts w:ascii="Arial" w:eastAsia="Times New Roman" w:hAnsi="Arial" w:cs="Arial"/>
          <w:i/>
          <w:iCs/>
          <w:color w:val="000000" w:themeColor="text1"/>
          <w:sz w:val="24"/>
          <w:szCs w:val="24"/>
          <w:lang w:val="en-GB"/>
        </w:rPr>
        <w:t>Diageo Net Income 2010-2023 | DEO</w:t>
      </w:r>
      <w:r w:rsidRPr="003319BC">
        <w:rPr>
          <w:rFonts w:ascii="Arial" w:eastAsia="Times New Roman" w:hAnsi="Arial" w:cs="Arial"/>
          <w:color w:val="000000" w:themeColor="text1"/>
          <w:sz w:val="24"/>
          <w:szCs w:val="24"/>
          <w:lang w:val="en-GB"/>
        </w:rPr>
        <w:t>. [online] www.macrotrends.net. Available at:</w:t>
      </w:r>
      <w:r w:rsidR="00A51DC8">
        <w:rPr>
          <w:rFonts w:ascii="Arial" w:eastAsia="Times New Roman" w:hAnsi="Arial" w:cs="Arial"/>
          <w:color w:val="000000" w:themeColor="text1"/>
          <w:sz w:val="24"/>
          <w:szCs w:val="24"/>
          <w:lang w:val="en-GB"/>
        </w:rPr>
        <w:t xml:space="preserve"> </w:t>
      </w:r>
      <w:hyperlink r:id="rId46" w:history="1">
        <w:r w:rsidR="00A51DC8" w:rsidRPr="004E7C35">
          <w:rPr>
            <w:rStyle w:val="Hyperlink"/>
            <w:rFonts w:ascii="Arial" w:eastAsia="Times New Roman" w:hAnsi="Arial" w:cs="Arial"/>
            <w:sz w:val="24"/>
            <w:szCs w:val="24"/>
            <w:lang w:val="en-GB"/>
          </w:rPr>
          <w:t>https://www.macrotrends.net/stocks/charts/DEO/diageo/net-income</w:t>
        </w:r>
      </w:hyperlink>
    </w:p>
    <w:p w14:paraId="359FDF45" w14:textId="67DBEFEB"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25 Jul. 2023].</w:t>
      </w:r>
    </w:p>
    <w:p w14:paraId="4DAAF051" w14:textId="77777777" w:rsidR="00A51DC8" w:rsidRDefault="00A51DC8" w:rsidP="00501AD0">
      <w:pPr>
        <w:pStyle w:val="NormalWeb"/>
        <w:spacing w:before="0" w:beforeAutospacing="0" w:after="0" w:afterAutospacing="0"/>
        <w:rPr>
          <w:rFonts w:ascii="Arial" w:hAnsi="Arial" w:cs="Arial"/>
          <w:color w:val="000000" w:themeColor="text1"/>
          <w:lang w:val="en-GB"/>
        </w:rPr>
      </w:pPr>
    </w:p>
    <w:p w14:paraId="33CB3FA7" w14:textId="3D194547" w:rsidR="007D20F1"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 xml:space="preserve">Macrotrends.net, (2023). </w:t>
      </w:r>
      <w:r w:rsidRPr="003319BC">
        <w:rPr>
          <w:rFonts w:ascii="Arial" w:hAnsi="Arial" w:cs="Arial"/>
          <w:i/>
          <w:iCs/>
          <w:color w:val="000000" w:themeColor="text1"/>
          <w:lang w:val="en-GB"/>
        </w:rPr>
        <w:t xml:space="preserve">Number of employees.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47" w:anchor=":~:text=Diageo%20total%20number%20of%20employees%20in%202021%20was,a%201.63%25%20decline%20from%202020" w:history="1">
        <w:r w:rsidR="007D20F1" w:rsidRPr="004E7C35">
          <w:rPr>
            <w:rStyle w:val="Hyperlink"/>
            <w:rFonts w:ascii="Arial" w:hAnsi="Arial" w:cs="Arial"/>
            <w:lang w:val="en-GB"/>
          </w:rPr>
          <w:t>https://www.macrotrends.net/stocks/charts/DEO/diageo/number-of-employees#:~:text=Diageo%20total%20number%20of%20employees%20in%202021%20was,a%201.63%25%20decline%20from%202020</w:t>
        </w:r>
      </w:hyperlink>
    </w:p>
    <w:p w14:paraId="51451DBA" w14:textId="15A9F290"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on:21.08.2023]</w:t>
      </w:r>
    </w:p>
    <w:p w14:paraId="6DFFD88A" w14:textId="77777777" w:rsidR="00A51DC8" w:rsidRDefault="00A51DC8" w:rsidP="00501AD0">
      <w:pPr>
        <w:pStyle w:val="NormalWeb"/>
        <w:spacing w:before="0" w:beforeAutospacing="0" w:after="0" w:afterAutospacing="0"/>
        <w:rPr>
          <w:rFonts w:ascii="Arial" w:hAnsi="Arial" w:cs="Arial"/>
          <w:color w:val="000000" w:themeColor="text1"/>
          <w:shd w:val="clear" w:color="auto" w:fill="FFFFFF"/>
          <w:lang w:val="en-GB"/>
        </w:rPr>
      </w:pPr>
    </w:p>
    <w:p w14:paraId="069090EB" w14:textId="77777777" w:rsidR="00522F74" w:rsidRDefault="00971297" w:rsidP="00501AD0">
      <w:pPr>
        <w:pStyle w:val="NormalWeb"/>
        <w:spacing w:before="0" w:beforeAutospacing="0" w:after="0" w:afterAutospacing="0"/>
        <w:rPr>
          <w:rFonts w:ascii="Arial" w:hAnsi="Arial" w:cs="Arial"/>
          <w:i/>
          <w:iCs/>
          <w:color w:val="000000" w:themeColor="text1"/>
          <w:shd w:val="clear" w:color="auto" w:fill="FFFFFF"/>
          <w:lang w:val="en-GB"/>
        </w:rPr>
      </w:pPr>
      <w:r w:rsidRPr="003319BC">
        <w:rPr>
          <w:rFonts w:ascii="Arial" w:hAnsi="Arial" w:cs="Arial"/>
          <w:color w:val="000000" w:themeColor="text1"/>
          <w:shd w:val="clear" w:color="auto" w:fill="FFFFFF"/>
          <w:lang w:val="en-GB"/>
        </w:rPr>
        <w:t>Media.diageo.com, (2023).</w:t>
      </w:r>
      <w:r w:rsidRPr="003319BC">
        <w:rPr>
          <w:rFonts w:ascii="Arial" w:hAnsi="Arial" w:cs="Arial"/>
          <w:i/>
          <w:iCs/>
          <w:color w:val="000000" w:themeColor="text1"/>
          <w:shd w:val="clear" w:color="auto" w:fill="FFFFFF"/>
          <w:lang w:val="en-GB"/>
        </w:rPr>
        <w:t>Diageo.</w:t>
      </w:r>
      <w:r w:rsidR="00A51DC8">
        <w:rPr>
          <w:rFonts w:ascii="Arial" w:hAnsi="Arial" w:cs="Arial"/>
          <w:i/>
          <w:iCs/>
          <w:color w:val="000000" w:themeColor="text1"/>
          <w:shd w:val="clear" w:color="auto" w:fill="FFFFFF"/>
          <w:lang w:val="en-GB"/>
        </w:rPr>
        <w:t xml:space="preserve"> </w:t>
      </w:r>
    </w:p>
    <w:p w14:paraId="511BC34D" w14:textId="108D16FF"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48" w:history="1">
        <w:r w:rsidR="007D20F1" w:rsidRPr="004E7C35">
          <w:rPr>
            <w:rStyle w:val="Hyperlink"/>
            <w:rFonts w:ascii="Arial" w:hAnsi="Arial" w:cs="Arial"/>
            <w:shd w:val="clear" w:color="auto" w:fill="FFFFFF"/>
            <w:lang w:val="en-GB"/>
          </w:rPr>
          <w:t>https://media.diageo.com/diageo-corporate-media/media/d5ohbuzy/earnings-call-transcript-fy24-q1.pdf</w:t>
        </w:r>
      </w:hyperlink>
    </w:p>
    <w:p w14:paraId="6392433B" w14:textId="25087922"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5B8BA521" w14:textId="77777777" w:rsidR="00A51DC8" w:rsidRDefault="00A51DC8" w:rsidP="00501AD0">
      <w:pPr>
        <w:spacing w:after="0" w:line="240" w:lineRule="auto"/>
        <w:rPr>
          <w:rFonts w:ascii="Arial" w:eastAsia="Calibri" w:hAnsi="Arial" w:cs="Arial"/>
          <w:color w:val="000000" w:themeColor="text1"/>
          <w:sz w:val="24"/>
          <w:szCs w:val="24"/>
          <w:lang w:val="en-GB" w:bidi="ar-SA"/>
        </w:rPr>
      </w:pPr>
    </w:p>
    <w:p w14:paraId="7D2A2664" w14:textId="0B23128F" w:rsidR="00971297" w:rsidRPr="003319BC" w:rsidRDefault="00971297" w:rsidP="00501AD0">
      <w:pPr>
        <w:spacing w:after="0" w:line="240" w:lineRule="auto"/>
        <w:rPr>
          <w:rFonts w:ascii="Arial" w:eastAsia="Calibri" w:hAnsi="Arial" w:cs="Arial"/>
          <w:color w:val="000000" w:themeColor="text1"/>
          <w:sz w:val="24"/>
          <w:szCs w:val="24"/>
          <w:lang w:val="en-GB" w:bidi="ar-SA"/>
        </w:rPr>
      </w:pPr>
      <w:r w:rsidRPr="003319BC">
        <w:rPr>
          <w:rFonts w:ascii="Arial" w:eastAsia="Calibri" w:hAnsi="Arial" w:cs="Arial"/>
          <w:color w:val="000000" w:themeColor="text1"/>
          <w:sz w:val="24"/>
          <w:szCs w:val="24"/>
          <w:lang w:val="en-GB" w:bidi="ar-SA"/>
        </w:rPr>
        <w:t>Mehdikhani, R. and Valmohammadi, C., (2019). Strategic collaboration and sustainable supply chain management: The mediating role of internal and external knowledge sharing. </w:t>
      </w:r>
      <w:r w:rsidRPr="003319BC">
        <w:rPr>
          <w:rFonts w:ascii="Arial" w:eastAsia="Calibri" w:hAnsi="Arial" w:cs="Arial"/>
          <w:i/>
          <w:iCs/>
          <w:color w:val="000000" w:themeColor="text1"/>
          <w:sz w:val="24"/>
          <w:szCs w:val="24"/>
          <w:lang w:val="en-GB" w:bidi="ar-SA"/>
        </w:rPr>
        <w:t>Journal of Enterprise Information Management</w:t>
      </w:r>
      <w:r w:rsidRPr="003319BC">
        <w:rPr>
          <w:rFonts w:ascii="Arial" w:eastAsia="Calibri" w:hAnsi="Arial" w:cs="Arial"/>
          <w:color w:val="000000" w:themeColor="text1"/>
          <w:sz w:val="24"/>
          <w:szCs w:val="24"/>
          <w:lang w:val="en-GB" w:bidi="ar-SA"/>
        </w:rPr>
        <w:t>, </w:t>
      </w:r>
      <w:r w:rsidRPr="003319BC">
        <w:rPr>
          <w:rFonts w:ascii="Arial" w:eastAsia="Calibri" w:hAnsi="Arial" w:cs="Arial"/>
          <w:i/>
          <w:iCs/>
          <w:color w:val="000000" w:themeColor="text1"/>
          <w:sz w:val="24"/>
          <w:szCs w:val="24"/>
          <w:lang w:val="en-GB" w:bidi="ar-SA"/>
        </w:rPr>
        <w:t>32</w:t>
      </w:r>
      <w:r w:rsidRPr="003319BC">
        <w:rPr>
          <w:rFonts w:ascii="Arial" w:eastAsia="Calibri" w:hAnsi="Arial" w:cs="Arial"/>
          <w:color w:val="000000" w:themeColor="text1"/>
          <w:sz w:val="24"/>
          <w:szCs w:val="24"/>
          <w:lang w:val="en-GB" w:bidi="ar-SA"/>
        </w:rPr>
        <w:t>(5), pp.778-806.</w:t>
      </w:r>
    </w:p>
    <w:p w14:paraId="39C99C99" w14:textId="4C682EB0" w:rsidR="00522F74"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Phadermrod, B., Crowder, R.M. and Wills, G.B. (2019). Importance-Performance Analysis based SWOT analysis. </w:t>
      </w:r>
      <w:r w:rsidRPr="003319BC">
        <w:rPr>
          <w:rFonts w:ascii="Arial" w:eastAsia="Times New Roman" w:hAnsi="Arial" w:cs="Arial"/>
          <w:i/>
          <w:iCs/>
          <w:color w:val="000000" w:themeColor="text1"/>
          <w:sz w:val="24"/>
          <w:szCs w:val="24"/>
          <w:lang w:val="en-GB"/>
        </w:rPr>
        <w:t>Uwtsd.ac.uk</w:t>
      </w:r>
      <w:r w:rsidRPr="003319BC">
        <w:rPr>
          <w:rFonts w:ascii="Arial" w:eastAsia="Times New Roman" w:hAnsi="Arial" w:cs="Arial"/>
          <w:color w:val="000000" w:themeColor="text1"/>
          <w:sz w:val="24"/>
          <w:szCs w:val="24"/>
          <w:lang w:val="en-GB"/>
        </w:rPr>
        <w:t xml:space="preserve">, [online] 44, pp.194–203. Available at: </w:t>
      </w:r>
      <w:hyperlink r:id="rId49" w:history="1">
        <w:r w:rsidR="00522F74" w:rsidRPr="004E7C35">
          <w:rPr>
            <w:rStyle w:val="Hyperlink"/>
            <w:rFonts w:ascii="Arial" w:eastAsia="Times New Roman" w:hAnsi="Arial" w:cs="Arial"/>
            <w:sz w:val="24"/>
            <w:szCs w:val="24"/>
            <w:lang w:val="en-GB"/>
          </w:rPr>
          <w:t>https://wwwsciencedirectcom.ezproxy.uwtsd.ac.uk/science/article/pii/S0268401216301694</w:t>
        </w:r>
      </w:hyperlink>
    </w:p>
    <w:p w14:paraId="06F57C33" w14:textId="12AA5A7E" w:rsidR="00522F74"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20 Aug. 2023].</w:t>
      </w:r>
    </w:p>
    <w:p w14:paraId="327250CA" w14:textId="65E7FBD1" w:rsidR="007D20F1"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lastRenderedPageBreak/>
        <w:t xml:space="preserve">Rice and John (2023). </w:t>
      </w:r>
      <w:r w:rsidRPr="003319BC">
        <w:rPr>
          <w:rFonts w:ascii="Arial" w:eastAsia="Times New Roman" w:hAnsi="Arial" w:cs="Arial"/>
          <w:i/>
          <w:iCs/>
          <w:color w:val="000000" w:themeColor="text1"/>
          <w:sz w:val="24"/>
          <w:szCs w:val="24"/>
          <w:lang w:val="en-GB"/>
        </w:rPr>
        <w:t>Adaptation of Porter’s Five Forces Model To Risk Management</w:t>
      </w:r>
      <w:r w:rsidRPr="003319BC">
        <w:rPr>
          <w:rFonts w:ascii="Arial" w:eastAsia="Times New Roman" w:hAnsi="Arial" w:cs="Arial"/>
          <w:color w:val="000000" w:themeColor="text1"/>
          <w:sz w:val="24"/>
          <w:szCs w:val="24"/>
          <w:lang w:val="en-GB"/>
        </w:rPr>
        <w:t>. [online]</w:t>
      </w:r>
      <w:r w:rsidR="00765B4E">
        <w:rPr>
          <w:rFonts w:ascii="Arial" w:eastAsia="Times New Roman" w:hAnsi="Arial" w:cs="Arial"/>
          <w:color w:val="000000" w:themeColor="text1"/>
          <w:sz w:val="24"/>
          <w:szCs w:val="24"/>
          <w:lang w:val="en-GB"/>
        </w:rPr>
        <w:t xml:space="preserve"> </w:t>
      </w:r>
      <w:r w:rsidRPr="003319BC">
        <w:rPr>
          <w:rFonts w:ascii="Arial" w:eastAsia="Times New Roman" w:hAnsi="Arial" w:cs="Arial"/>
          <w:color w:val="000000" w:themeColor="text1"/>
          <w:sz w:val="24"/>
          <w:szCs w:val="24"/>
          <w:lang w:val="en-GB"/>
        </w:rPr>
        <w:t xml:space="preserve">Uwtsd.ac.uk. Available at: </w:t>
      </w:r>
      <w:hyperlink r:id="rId50" w:history="1">
        <w:r w:rsidR="007D20F1" w:rsidRPr="004E7C35">
          <w:rPr>
            <w:rStyle w:val="Hyperlink"/>
            <w:rFonts w:ascii="Arial" w:eastAsia="Times New Roman" w:hAnsi="Arial" w:cs="Arial"/>
            <w:sz w:val="24"/>
            <w:szCs w:val="24"/>
            <w:lang w:val="en-GB"/>
          </w:rPr>
          <w:t>https://web-p-ebscohost-com.ezproxy.uwtsd.ac.uk/ehost/pdfviewer/pdfviewer?vid=0&amp;sid=4cd3942f-be3e-4efb-a273-36a32c830c3e%40redis</w:t>
        </w:r>
      </w:hyperlink>
    </w:p>
    <w:p w14:paraId="58BD01E1" w14:textId="3CD780BB"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23 Jul. 2023].</w:t>
      </w:r>
    </w:p>
    <w:p w14:paraId="21FAD0F8" w14:textId="77777777" w:rsidR="007D20F1" w:rsidRDefault="007D20F1" w:rsidP="00501AD0">
      <w:pPr>
        <w:spacing w:after="0" w:line="240" w:lineRule="auto"/>
        <w:rPr>
          <w:rFonts w:ascii="Arial" w:eastAsia="Calibri" w:hAnsi="Arial" w:cs="Arial"/>
          <w:color w:val="000000" w:themeColor="text1"/>
          <w:sz w:val="24"/>
          <w:szCs w:val="24"/>
          <w:lang w:val="en-GB" w:bidi="ar-SA"/>
        </w:rPr>
      </w:pPr>
    </w:p>
    <w:p w14:paraId="65FE067A" w14:textId="1E97007F" w:rsidR="00971297" w:rsidRPr="003319BC" w:rsidRDefault="00971297" w:rsidP="00501AD0">
      <w:pPr>
        <w:spacing w:after="0" w:line="240" w:lineRule="auto"/>
        <w:rPr>
          <w:rFonts w:ascii="Arial" w:eastAsia="Calibri" w:hAnsi="Arial" w:cs="Arial"/>
          <w:color w:val="000000" w:themeColor="text1"/>
          <w:sz w:val="24"/>
          <w:szCs w:val="24"/>
          <w:lang w:val="en-GB" w:bidi="ar-SA"/>
        </w:rPr>
      </w:pPr>
      <w:r w:rsidRPr="003319BC">
        <w:rPr>
          <w:rFonts w:ascii="Arial" w:eastAsia="Calibri" w:hAnsi="Arial" w:cs="Arial"/>
          <w:color w:val="000000" w:themeColor="text1"/>
          <w:sz w:val="24"/>
          <w:szCs w:val="24"/>
          <w:lang w:val="en-GB" w:bidi="ar-SA"/>
        </w:rPr>
        <w:t>Smith, P.G. and Merritt, G.M., (2020). </w:t>
      </w:r>
      <w:r w:rsidRPr="003319BC">
        <w:rPr>
          <w:rFonts w:ascii="Arial" w:eastAsia="Calibri" w:hAnsi="Arial" w:cs="Arial"/>
          <w:i/>
          <w:iCs/>
          <w:color w:val="000000" w:themeColor="text1"/>
          <w:sz w:val="24"/>
          <w:szCs w:val="24"/>
          <w:lang w:val="en-GB" w:bidi="ar-SA"/>
        </w:rPr>
        <w:t>Proactive risk management: Controlling uncertainty in product development</w:t>
      </w:r>
      <w:r w:rsidRPr="003319BC">
        <w:rPr>
          <w:rFonts w:ascii="Arial" w:eastAsia="Calibri" w:hAnsi="Arial" w:cs="Arial"/>
          <w:color w:val="000000" w:themeColor="text1"/>
          <w:sz w:val="24"/>
          <w:szCs w:val="24"/>
          <w:lang w:val="en-GB" w:bidi="ar-SA"/>
        </w:rPr>
        <w:t>. CRC Press.</w:t>
      </w:r>
    </w:p>
    <w:p w14:paraId="42FF672D" w14:textId="3FA3BE5D"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 xml:space="preserve">Statista.com, (2023). </w:t>
      </w:r>
      <w:r w:rsidRPr="003319BC">
        <w:rPr>
          <w:rFonts w:ascii="Arial" w:hAnsi="Arial" w:cs="Arial"/>
          <w:i/>
          <w:iCs/>
          <w:color w:val="000000" w:themeColor="text1"/>
          <w:shd w:val="clear" w:color="auto" w:fill="FFFFFF"/>
          <w:lang w:val="en-GB"/>
        </w:rPr>
        <w:t>Alcoholic Drinks - United Kingdom.</w:t>
      </w:r>
      <w:r w:rsidRPr="003319BC">
        <w:rPr>
          <w:rFonts w:ascii="Arial" w:hAnsi="Arial" w:cs="Arial"/>
          <w:color w:val="000000" w:themeColor="text1"/>
          <w:shd w:val="clear" w:color="auto" w:fill="FFFFFF"/>
          <w:lang w:val="en-GB"/>
        </w:rPr>
        <w:t xml:space="preserve">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51" w:anchor=":~:text=In%20the%20Alcoholic%20Drinks%20market%2C%20volume%20is%20expected%20to%20amount,to%2084.26L%20in%202023" w:history="1">
        <w:r w:rsidR="007D20F1" w:rsidRPr="004E7C35">
          <w:rPr>
            <w:rStyle w:val="Hyperlink"/>
            <w:rFonts w:ascii="Arial" w:hAnsi="Arial" w:cs="Arial"/>
            <w:shd w:val="clear" w:color="auto" w:fill="FFFFFF"/>
            <w:lang w:val="en-GB"/>
          </w:rPr>
          <w:t>https://www.statista.com/outlook/cmo/alcoholic-drinks/united-kingdom#:~:text=In%20the%20Alcoholic%20Drinks%20market%2C%20volume%20is%20expected%20to%20amount,to%2084.26L%20in%202023</w:t>
        </w:r>
      </w:hyperlink>
      <w:r w:rsidRPr="003319BC">
        <w:rPr>
          <w:rFonts w:ascii="Arial" w:hAnsi="Arial" w:cs="Arial"/>
          <w:color w:val="000000" w:themeColor="text1"/>
          <w:shd w:val="clear" w:color="auto" w:fill="FFFFFF"/>
          <w:lang w:val="en-GB"/>
        </w:rPr>
        <w:t>.</w:t>
      </w:r>
    </w:p>
    <w:p w14:paraId="5D4B6C2E" w14:textId="654C810B"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on:21.08.2023]</w:t>
      </w:r>
    </w:p>
    <w:p w14:paraId="7CB2D543" w14:textId="77777777" w:rsidR="007D20F1" w:rsidRDefault="007D20F1" w:rsidP="00501AD0">
      <w:pPr>
        <w:pStyle w:val="NormalWeb"/>
        <w:spacing w:before="0" w:beforeAutospacing="0" w:after="0" w:afterAutospacing="0"/>
        <w:rPr>
          <w:rFonts w:ascii="Arial" w:hAnsi="Arial" w:cs="Arial"/>
          <w:color w:val="000000" w:themeColor="text1"/>
          <w:shd w:val="clear" w:color="auto" w:fill="FFFFFF"/>
          <w:lang w:val="en-GB"/>
        </w:rPr>
      </w:pPr>
    </w:p>
    <w:p w14:paraId="7919E7CF" w14:textId="220173B9"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Theglobaleconomy.com, (2023).</w:t>
      </w:r>
      <w:r w:rsidRPr="003319BC">
        <w:rPr>
          <w:rFonts w:ascii="Arial" w:hAnsi="Arial" w:cs="Arial"/>
          <w:i/>
          <w:iCs/>
          <w:color w:val="000000" w:themeColor="text1"/>
          <w:shd w:val="clear" w:color="auto" w:fill="FFFFFF"/>
          <w:lang w:val="en-GB"/>
        </w:rPr>
        <w:t>United Kingdom: Political stability.</w:t>
      </w:r>
      <w:r w:rsidRPr="003319BC">
        <w:rPr>
          <w:rFonts w:ascii="Arial" w:hAnsi="Arial" w:cs="Arial"/>
          <w:i/>
          <w:iCs/>
          <w:color w:val="000000" w:themeColor="text1"/>
          <w:lang w:val="en-GB"/>
        </w:rPr>
        <w:t xml:space="preserve">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52" w:anchor=":~:text=Political%20stability%20index%20(%2D2.5%20weak%3B%202.5%20strong)&amp;text=The%20average%20value%20for%20the,from%202021%20is%200.54%20points" w:history="1">
        <w:r w:rsidR="007D20F1" w:rsidRPr="004E7C35">
          <w:rPr>
            <w:rStyle w:val="Hyperlink"/>
            <w:rFonts w:ascii="Arial" w:hAnsi="Arial" w:cs="Arial"/>
            <w:shd w:val="clear" w:color="auto" w:fill="FFFFFF"/>
            <w:lang w:val="en-GB"/>
          </w:rPr>
          <w:t>https://www.theglobaleconomy.com/United-Kingdom/wb_political_stability/#:~:text=Political%20stability%20index%20(%2D2.5%20weak%3B%202.5%20strong)&amp;text=The%20average%20value%20for%20the,from%202021%20is%200.54%20points</w:t>
        </w:r>
      </w:hyperlink>
    </w:p>
    <w:p w14:paraId="31821633" w14:textId="3C6490F5" w:rsidR="00971297" w:rsidRP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lang w:val="en-GB"/>
        </w:rPr>
        <w:t>[Accessed on:07.08.2023]</w:t>
      </w:r>
    </w:p>
    <w:p w14:paraId="3DABC5C9" w14:textId="77777777" w:rsidR="007D20F1" w:rsidRDefault="007D20F1" w:rsidP="00501AD0">
      <w:pPr>
        <w:pStyle w:val="NormalWeb"/>
        <w:spacing w:before="0" w:beforeAutospacing="0" w:after="0" w:afterAutospacing="0"/>
        <w:rPr>
          <w:rFonts w:ascii="Arial" w:hAnsi="Arial" w:cs="Arial"/>
          <w:color w:val="000000" w:themeColor="text1"/>
          <w:shd w:val="clear" w:color="auto" w:fill="FFFFFF"/>
          <w:lang w:val="en-GB"/>
        </w:rPr>
      </w:pPr>
    </w:p>
    <w:p w14:paraId="35D505A1" w14:textId="6F6199B7"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Thehindu.com, (2023).</w:t>
      </w:r>
      <w:r w:rsidRPr="003319BC">
        <w:rPr>
          <w:rFonts w:ascii="Arial" w:hAnsi="Arial" w:cs="Arial"/>
          <w:i/>
          <w:iCs/>
          <w:color w:val="000000" w:themeColor="text1"/>
          <w:shd w:val="clear" w:color="auto" w:fill="FFFFFF"/>
          <w:lang w:val="en-GB"/>
        </w:rPr>
        <w:t>India’s R&amp;D.</w:t>
      </w:r>
      <w:r w:rsidRPr="003319BC">
        <w:rPr>
          <w:rFonts w:ascii="Arial" w:hAnsi="Arial" w:cs="Arial"/>
          <w:i/>
          <w:iCs/>
          <w:color w:val="000000" w:themeColor="text1"/>
          <w:lang w:val="en-GB"/>
        </w:rPr>
        <w:t xml:space="preserve">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53" w:history="1">
        <w:r w:rsidR="007D20F1" w:rsidRPr="004E7C35">
          <w:rPr>
            <w:rStyle w:val="Hyperlink"/>
            <w:rFonts w:ascii="Arial" w:hAnsi="Arial" w:cs="Arial"/>
            <w:shd w:val="clear" w:color="auto" w:fill="FFFFFF"/>
            <w:lang w:val="en-GB"/>
          </w:rPr>
          <w:t>https://www.thehindu.com/opinion/op-ed/indias-rd-estimates-are-an-incomplete-picture/article66545931.ece</w:t>
        </w:r>
      </w:hyperlink>
    </w:p>
    <w:p w14:paraId="669A752C" w14:textId="73AC58BB"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on:21.08.2023]</w:t>
      </w:r>
    </w:p>
    <w:p w14:paraId="38512A4B" w14:textId="77777777" w:rsidR="007D20F1" w:rsidRDefault="007D20F1" w:rsidP="00501AD0">
      <w:pPr>
        <w:pStyle w:val="NormalWeb"/>
        <w:spacing w:before="0" w:beforeAutospacing="0" w:after="0" w:afterAutospacing="0"/>
        <w:rPr>
          <w:rFonts w:ascii="Arial" w:hAnsi="Arial" w:cs="Arial"/>
          <w:color w:val="000000" w:themeColor="text1"/>
          <w:lang w:val="en-GB"/>
        </w:rPr>
      </w:pPr>
    </w:p>
    <w:p w14:paraId="137F985D" w14:textId="368AF400" w:rsidR="007D20F1"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 xml:space="preserve">Thehindubusinessline.com (2023). </w:t>
      </w:r>
      <w:r w:rsidRPr="003319BC">
        <w:rPr>
          <w:rFonts w:ascii="Arial" w:hAnsi="Arial" w:cs="Arial"/>
          <w:i/>
          <w:iCs/>
          <w:color w:val="000000" w:themeColor="text1"/>
          <w:lang w:val="en-GB"/>
        </w:rPr>
        <w:t>High Spirits. How Diageo India is shaking it up</w:t>
      </w:r>
      <w:r w:rsidRPr="003319BC">
        <w:rPr>
          <w:rFonts w:ascii="Arial" w:hAnsi="Arial" w:cs="Arial"/>
          <w:color w:val="000000" w:themeColor="text1"/>
          <w:lang w:val="en-GB"/>
        </w:rPr>
        <w:t>.</w:t>
      </w:r>
      <w:r w:rsidR="007D20F1">
        <w:rPr>
          <w:rFonts w:ascii="Arial" w:hAnsi="Arial" w:cs="Arial"/>
          <w:color w:val="000000" w:themeColor="text1"/>
          <w:lang w:val="en-GB"/>
        </w:rPr>
        <w:t xml:space="preserve"> Available at: </w:t>
      </w:r>
      <w:hyperlink r:id="rId54" w:history="1">
        <w:r w:rsidR="007D20F1" w:rsidRPr="004E7C35">
          <w:rPr>
            <w:rStyle w:val="Hyperlink"/>
            <w:rFonts w:ascii="Arial" w:hAnsi="Arial" w:cs="Arial"/>
            <w:lang w:val="en-GB"/>
          </w:rPr>
          <w:t>https://www.thehindubusinessline.com/catalyst/how-diageo-india-is-shaking-it-up/article65193106.ece</w:t>
        </w:r>
      </w:hyperlink>
      <w:r w:rsidRPr="003319BC">
        <w:rPr>
          <w:rFonts w:ascii="Arial" w:hAnsi="Arial" w:cs="Arial"/>
          <w:color w:val="000000" w:themeColor="text1"/>
          <w:lang w:val="en-GB"/>
        </w:rPr>
        <w:t>.</w:t>
      </w:r>
    </w:p>
    <w:p w14:paraId="4E8E003C" w14:textId="6E7EDA0A"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 21th August 2023] </w:t>
      </w:r>
    </w:p>
    <w:p w14:paraId="1D08D9B0" w14:textId="77777777" w:rsidR="007D20F1" w:rsidRDefault="007D20F1" w:rsidP="00501AD0">
      <w:pPr>
        <w:pStyle w:val="NormalWeb"/>
        <w:spacing w:before="0" w:beforeAutospacing="0" w:after="0" w:afterAutospacing="0"/>
        <w:rPr>
          <w:rFonts w:ascii="Arial" w:hAnsi="Arial" w:cs="Arial"/>
          <w:color w:val="000000" w:themeColor="text1"/>
          <w:shd w:val="clear" w:color="auto" w:fill="FFFFFF"/>
          <w:lang w:val="en-GB"/>
        </w:rPr>
      </w:pPr>
    </w:p>
    <w:p w14:paraId="7D784F5F" w14:textId="34B4F431" w:rsidR="007D20F1" w:rsidRDefault="00971297" w:rsidP="00501AD0">
      <w:pPr>
        <w:pStyle w:val="NormalWeb"/>
        <w:spacing w:before="0" w:beforeAutospacing="0" w:after="0" w:afterAutospacing="0"/>
        <w:rPr>
          <w:rFonts w:ascii="Arial" w:hAnsi="Arial" w:cs="Arial"/>
          <w:color w:val="000000" w:themeColor="text1"/>
          <w:shd w:val="clear" w:color="auto" w:fill="FFFFFF"/>
          <w:lang w:val="en-GB"/>
        </w:rPr>
      </w:pPr>
      <w:r w:rsidRPr="003319BC">
        <w:rPr>
          <w:rFonts w:ascii="Arial" w:hAnsi="Arial" w:cs="Arial"/>
          <w:color w:val="000000" w:themeColor="text1"/>
          <w:shd w:val="clear" w:color="auto" w:fill="FFFFFF"/>
          <w:lang w:val="en-GB"/>
        </w:rPr>
        <w:t xml:space="preserve">Timesofindia.indiatimes.com, (2023). </w:t>
      </w:r>
      <w:r w:rsidRPr="003319BC">
        <w:rPr>
          <w:rFonts w:ascii="Arial" w:hAnsi="Arial" w:cs="Arial"/>
          <w:i/>
          <w:iCs/>
          <w:color w:val="000000" w:themeColor="text1"/>
          <w:shd w:val="clear" w:color="auto" w:fill="FFFFFF"/>
          <w:lang w:val="en-GB"/>
        </w:rPr>
        <w:t>Environmental Issues.</w:t>
      </w:r>
      <w:r w:rsidRPr="003319BC">
        <w:rPr>
          <w:rFonts w:ascii="Arial" w:hAnsi="Arial" w:cs="Arial"/>
          <w:color w:val="000000" w:themeColor="text1"/>
          <w:shd w:val="clear" w:color="auto" w:fill="FFFFFF"/>
          <w:lang w:val="en-GB"/>
        </w:rPr>
        <w:t xml:space="preserve"> </w:t>
      </w:r>
      <w:r w:rsidRPr="003319BC">
        <w:rPr>
          <w:rFonts w:ascii="Arial" w:hAnsi="Arial" w:cs="Arial"/>
          <w:color w:val="000000" w:themeColor="text1"/>
          <w:lang w:val="en-GB"/>
        </w:rPr>
        <w:t>Available at:</w:t>
      </w:r>
      <w:r w:rsidR="007D20F1">
        <w:rPr>
          <w:rFonts w:ascii="Arial" w:hAnsi="Arial" w:cs="Arial"/>
          <w:color w:val="000000" w:themeColor="text1"/>
          <w:lang w:val="en-GB"/>
        </w:rPr>
        <w:t xml:space="preserve"> </w:t>
      </w:r>
      <w:hyperlink r:id="rId55" w:history="1">
        <w:r w:rsidR="007D20F1" w:rsidRPr="004E7C35">
          <w:rPr>
            <w:rStyle w:val="Hyperlink"/>
            <w:rFonts w:ascii="Arial" w:hAnsi="Arial" w:cs="Arial"/>
            <w:shd w:val="clear" w:color="auto" w:fill="FFFFFF"/>
            <w:lang w:val="en-GB"/>
          </w:rPr>
          <w:t>https://timesofindia.indiatimes.com/topic/environmental-issues/news</w:t>
        </w:r>
      </w:hyperlink>
    </w:p>
    <w:p w14:paraId="38ABE32D" w14:textId="1CD04874" w:rsidR="00971297" w:rsidRPr="003319BC" w:rsidRDefault="00971297" w:rsidP="00501AD0">
      <w:pPr>
        <w:pStyle w:val="NormalWeb"/>
        <w:spacing w:before="0" w:beforeAutospacing="0" w:after="0" w:afterAutospacing="0"/>
        <w:rPr>
          <w:rFonts w:ascii="Arial" w:hAnsi="Arial" w:cs="Arial"/>
          <w:color w:val="000000" w:themeColor="text1"/>
          <w:lang w:val="en-GB"/>
        </w:rPr>
      </w:pPr>
      <w:r w:rsidRPr="003319BC">
        <w:rPr>
          <w:rFonts w:ascii="Arial" w:hAnsi="Arial" w:cs="Arial"/>
          <w:color w:val="000000" w:themeColor="text1"/>
          <w:lang w:val="en-GB"/>
        </w:rPr>
        <w:t>[Accessed on:21.08.2023]</w:t>
      </w:r>
    </w:p>
    <w:p w14:paraId="7070D13A" w14:textId="77777777" w:rsidR="007D20F1" w:rsidRDefault="007D20F1" w:rsidP="00501AD0">
      <w:pPr>
        <w:spacing w:after="0" w:line="240" w:lineRule="auto"/>
        <w:rPr>
          <w:rFonts w:ascii="Arial" w:eastAsia="Times New Roman" w:hAnsi="Arial" w:cs="Arial"/>
          <w:color w:val="000000" w:themeColor="text1"/>
          <w:sz w:val="24"/>
          <w:szCs w:val="24"/>
          <w:lang w:val="en-GB"/>
        </w:rPr>
      </w:pPr>
    </w:p>
    <w:p w14:paraId="31C687BF" w14:textId="00888695" w:rsidR="007D20F1"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 xml:space="preserve">Whittington, R., Regnér, P., Angwin, D., Johnson, G. and Scholes, K. (2020). </w:t>
      </w:r>
      <w:r w:rsidRPr="003319BC">
        <w:rPr>
          <w:rFonts w:ascii="Arial" w:eastAsia="Times New Roman" w:hAnsi="Arial" w:cs="Arial"/>
          <w:i/>
          <w:iCs/>
          <w:color w:val="000000" w:themeColor="text1"/>
          <w:sz w:val="24"/>
          <w:szCs w:val="24"/>
          <w:lang w:val="en-GB"/>
        </w:rPr>
        <w:t>Exploring Strategy</w:t>
      </w:r>
      <w:r w:rsidRPr="003319BC">
        <w:rPr>
          <w:rFonts w:ascii="Arial" w:eastAsia="Times New Roman" w:hAnsi="Arial" w:cs="Arial"/>
          <w:color w:val="000000" w:themeColor="text1"/>
          <w:sz w:val="24"/>
          <w:szCs w:val="24"/>
          <w:lang w:val="en-GB"/>
        </w:rPr>
        <w:t xml:space="preserve">. 12th ed. [online] </w:t>
      </w:r>
      <w:r w:rsidRPr="003319BC">
        <w:rPr>
          <w:rFonts w:ascii="Arial" w:eastAsia="Times New Roman" w:hAnsi="Arial" w:cs="Arial"/>
          <w:i/>
          <w:iCs/>
          <w:color w:val="000000" w:themeColor="text1"/>
          <w:sz w:val="24"/>
          <w:szCs w:val="24"/>
          <w:lang w:val="en-GB"/>
        </w:rPr>
        <w:t>login.microsoftonline.com</w:t>
      </w:r>
      <w:r w:rsidRPr="003319BC">
        <w:rPr>
          <w:rFonts w:ascii="Arial" w:eastAsia="Times New Roman" w:hAnsi="Arial" w:cs="Arial"/>
          <w:color w:val="000000" w:themeColor="text1"/>
          <w:sz w:val="24"/>
          <w:szCs w:val="24"/>
          <w:lang w:val="en-GB"/>
        </w:rPr>
        <w:t xml:space="preserve">, Harlow, England: Pearson, pp.35–36. Available at: </w:t>
      </w:r>
      <w:hyperlink r:id="rId56" w:history="1">
        <w:r w:rsidR="007D20F1" w:rsidRPr="004E7C35">
          <w:rPr>
            <w:rStyle w:val="Hyperlink"/>
            <w:rFonts w:ascii="Arial" w:eastAsia="Times New Roman" w:hAnsi="Arial" w:cs="Arial"/>
            <w:sz w:val="24"/>
            <w:szCs w:val="24"/>
            <w:lang w:val="en-GB"/>
          </w:rPr>
          <w:t>https://ebookcentral.proquest.com/lib/trinity/reader.action?docID=5987036</w:t>
        </w:r>
      </w:hyperlink>
    </w:p>
    <w:p w14:paraId="353705F9" w14:textId="460B1236" w:rsidR="00971297" w:rsidRPr="003319BC" w:rsidRDefault="00971297" w:rsidP="00501AD0">
      <w:pPr>
        <w:spacing w:after="0" w:line="240" w:lineRule="auto"/>
        <w:rPr>
          <w:rFonts w:ascii="Arial" w:eastAsia="Times New Roman" w:hAnsi="Arial" w:cs="Arial"/>
          <w:color w:val="000000" w:themeColor="text1"/>
          <w:sz w:val="24"/>
          <w:szCs w:val="24"/>
          <w:lang w:val="en-GB"/>
        </w:rPr>
      </w:pPr>
      <w:r w:rsidRPr="003319BC">
        <w:rPr>
          <w:rFonts w:ascii="Arial" w:eastAsia="Times New Roman" w:hAnsi="Arial" w:cs="Arial"/>
          <w:color w:val="000000" w:themeColor="text1"/>
          <w:sz w:val="24"/>
          <w:szCs w:val="24"/>
          <w:lang w:val="en-GB"/>
        </w:rPr>
        <w:t>[Accessed 5 Jul. 2023].</w:t>
      </w:r>
    </w:p>
    <w:p w14:paraId="2823FFCC" w14:textId="77777777" w:rsidR="007D20F1" w:rsidRDefault="007D20F1" w:rsidP="00501AD0">
      <w:pPr>
        <w:spacing w:after="0" w:line="240" w:lineRule="auto"/>
        <w:rPr>
          <w:rFonts w:ascii="Arial" w:eastAsia="Calibri" w:hAnsi="Arial" w:cs="Arial"/>
          <w:color w:val="000000" w:themeColor="text1"/>
          <w:sz w:val="24"/>
          <w:szCs w:val="24"/>
          <w:lang w:val="en-GB" w:bidi="ar-SA"/>
        </w:rPr>
      </w:pPr>
    </w:p>
    <w:p w14:paraId="081C8A81" w14:textId="03BE9E74" w:rsidR="007F58E7" w:rsidRPr="003E73B5" w:rsidRDefault="00971297" w:rsidP="003E73B5">
      <w:pPr>
        <w:spacing w:after="0" w:line="240" w:lineRule="auto"/>
        <w:rPr>
          <w:rFonts w:ascii="Arial" w:eastAsia="Calibri" w:hAnsi="Arial" w:cs="Arial"/>
          <w:color w:val="000000" w:themeColor="text1"/>
          <w:sz w:val="24"/>
          <w:szCs w:val="24"/>
          <w:lang w:val="en-GB" w:bidi="ar-SA"/>
        </w:rPr>
      </w:pPr>
      <w:r w:rsidRPr="003319BC">
        <w:rPr>
          <w:rFonts w:ascii="Arial" w:eastAsia="Calibri" w:hAnsi="Arial" w:cs="Arial"/>
          <w:color w:val="000000" w:themeColor="text1"/>
          <w:sz w:val="24"/>
          <w:szCs w:val="24"/>
          <w:lang w:val="en-GB" w:bidi="ar-SA"/>
        </w:rPr>
        <w:t>Wilson, G.A., Perepelkin, J. and Zhang, D.D., (2020). The roles of diversification and specialization strategies in the entrepreneurial orientation and performance relationship. </w:t>
      </w:r>
      <w:r w:rsidRPr="003319BC">
        <w:rPr>
          <w:rFonts w:ascii="Arial" w:eastAsia="Calibri" w:hAnsi="Arial" w:cs="Arial"/>
          <w:i/>
          <w:iCs/>
          <w:color w:val="000000" w:themeColor="text1"/>
          <w:sz w:val="24"/>
          <w:szCs w:val="24"/>
          <w:lang w:val="en-GB" w:bidi="ar-SA"/>
        </w:rPr>
        <w:t>Journal of Small Business &amp; Entrepreneurship</w:t>
      </w:r>
      <w:r w:rsidRPr="003319BC">
        <w:rPr>
          <w:rFonts w:ascii="Arial" w:eastAsia="Calibri" w:hAnsi="Arial" w:cs="Arial"/>
          <w:color w:val="000000" w:themeColor="text1"/>
          <w:sz w:val="24"/>
          <w:szCs w:val="24"/>
          <w:lang w:val="en-GB" w:bidi="ar-SA"/>
        </w:rPr>
        <w:t>, </w:t>
      </w:r>
      <w:r w:rsidRPr="003319BC">
        <w:rPr>
          <w:rFonts w:ascii="Arial" w:eastAsia="Calibri" w:hAnsi="Arial" w:cs="Arial"/>
          <w:i/>
          <w:iCs/>
          <w:color w:val="000000" w:themeColor="text1"/>
          <w:sz w:val="24"/>
          <w:szCs w:val="24"/>
          <w:lang w:val="en-GB" w:bidi="ar-SA"/>
        </w:rPr>
        <w:t>32</w:t>
      </w:r>
      <w:r w:rsidRPr="003319BC">
        <w:rPr>
          <w:rFonts w:ascii="Arial" w:eastAsia="Calibri" w:hAnsi="Arial" w:cs="Arial"/>
          <w:color w:val="000000" w:themeColor="text1"/>
          <w:sz w:val="24"/>
          <w:szCs w:val="24"/>
          <w:lang w:val="en-GB" w:bidi="ar-SA"/>
        </w:rPr>
        <w:t>(5), pp.457-476.</w:t>
      </w:r>
    </w:p>
    <w:sectPr w:rsidR="007F58E7" w:rsidRPr="003E73B5" w:rsidSect="00A76728">
      <w:footerReference w:type="default" r:id="rId5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DBBA0" w14:textId="77777777" w:rsidR="00D73EDC" w:rsidRDefault="00D73EDC" w:rsidP="00A76728">
      <w:pPr>
        <w:spacing w:after="0" w:line="240" w:lineRule="auto"/>
      </w:pPr>
      <w:r>
        <w:separator/>
      </w:r>
    </w:p>
  </w:endnote>
  <w:endnote w:type="continuationSeparator" w:id="0">
    <w:p w14:paraId="72F81882" w14:textId="77777777" w:rsidR="00D73EDC" w:rsidRDefault="00D73EDC" w:rsidP="00A7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6298"/>
      <w:docPartObj>
        <w:docPartGallery w:val="Page Numbers (Bottom of Page)"/>
        <w:docPartUnique/>
      </w:docPartObj>
    </w:sdtPr>
    <w:sdtContent>
      <w:p w14:paraId="49683B4B" w14:textId="77777777" w:rsidR="00A76728" w:rsidRDefault="00915DC2">
        <w:pPr>
          <w:pStyle w:val="Footer"/>
          <w:jc w:val="right"/>
        </w:pPr>
        <w:r w:rsidRPr="00A76728">
          <w:rPr>
            <w:rFonts w:ascii="Times New Roman" w:hAnsi="Times New Roman" w:cs="Times New Roman"/>
            <w:sz w:val="20"/>
          </w:rPr>
          <w:fldChar w:fldCharType="begin"/>
        </w:r>
        <w:r w:rsidR="00A76728" w:rsidRPr="00A76728">
          <w:rPr>
            <w:rFonts w:ascii="Times New Roman" w:hAnsi="Times New Roman" w:cs="Times New Roman"/>
            <w:sz w:val="20"/>
          </w:rPr>
          <w:instrText xml:space="preserve"> PAGE   \* MERGEFORMAT </w:instrText>
        </w:r>
        <w:r w:rsidRPr="00A76728">
          <w:rPr>
            <w:rFonts w:ascii="Times New Roman" w:hAnsi="Times New Roman" w:cs="Times New Roman"/>
            <w:sz w:val="20"/>
          </w:rPr>
          <w:fldChar w:fldCharType="separate"/>
        </w:r>
        <w:r w:rsidR="009B3EBC">
          <w:rPr>
            <w:rFonts w:ascii="Times New Roman" w:hAnsi="Times New Roman" w:cs="Times New Roman"/>
            <w:noProof/>
            <w:sz w:val="20"/>
          </w:rPr>
          <w:t>25</w:t>
        </w:r>
        <w:r w:rsidRPr="00A76728">
          <w:rPr>
            <w:rFonts w:ascii="Times New Roman" w:hAnsi="Times New Roman" w:cs="Times New Roman"/>
            <w:sz w:val="20"/>
          </w:rPr>
          <w:fldChar w:fldCharType="end"/>
        </w:r>
      </w:p>
    </w:sdtContent>
  </w:sdt>
  <w:p w14:paraId="3EB79B71" w14:textId="77777777" w:rsidR="00A76728" w:rsidRDefault="00A76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32EC4" w14:textId="77777777" w:rsidR="00D73EDC" w:rsidRDefault="00D73EDC" w:rsidP="00A76728">
      <w:pPr>
        <w:spacing w:after="0" w:line="240" w:lineRule="auto"/>
      </w:pPr>
      <w:r>
        <w:separator/>
      </w:r>
    </w:p>
  </w:footnote>
  <w:footnote w:type="continuationSeparator" w:id="0">
    <w:p w14:paraId="37FB8E16" w14:textId="77777777" w:rsidR="00D73EDC" w:rsidRDefault="00D73EDC" w:rsidP="00A76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2B01"/>
    <w:multiLevelType w:val="hybridMultilevel"/>
    <w:tmpl w:val="0674D086"/>
    <w:lvl w:ilvl="0" w:tplc="528E651E">
      <w:start w:val="1"/>
      <w:numFmt w:val="bullet"/>
      <w:lvlText w:val="•"/>
      <w:lvlJc w:val="left"/>
      <w:pPr>
        <w:tabs>
          <w:tab w:val="num" w:pos="720"/>
        </w:tabs>
        <w:ind w:left="720" w:hanging="360"/>
      </w:pPr>
      <w:rPr>
        <w:rFonts w:ascii="Arial" w:hAnsi="Arial" w:hint="default"/>
      </w:rPr>
    </w:lvl>
    <w:lvl w:ilvl="1" w:tplc="A3DEE35C" w:tentative="1">
      <w:start w:val="1"/>
      <w:numFmt w:val="bullet"/>
      <w:lvlText w:val="•"/>
      <w:lvlJc w:val="left"/>
      <w:pPr>
        <w:tabs>
          <w:tab w:val="num" w:pos="1440"/>
        </w:tabs>
        <w:ind w:left="1440" w:hanging="360"/>
      </w:pPr>
      <w:rPr>
        <w:rFonts w:ascii="Arial" w:hAnsi="Arial" w:hint="default"/>
      </w:rPr>
    </w:lvl>
    <w:lvl w:ilvl="2" w:tplc="D3B8DEE0" w:tentative="1">
      <w:start w:val="1"/>
      <w:numFmt w:val="bullet"/>
      <w:lvlText w:val="•"/>
      <w:lvlJc w:val="left"/>
      <w:pPr>
        <w:tabs>
          <w:tab w:val="num" w:pos="2160"/>
        </w:tabs>
        <w:ind w:left="2160" w:hanging="360"/>
      </w:pPr>
      <w:rPr>
        <w:rFonts w:ascii="Arial" w:hAnsi="Arial" w:hint="default"/>
      </w:rPr>
    </w:lvl>
    <w:lvl w:ilvl="3" w:tplc="D4A437E6" w:tentative="1">
      <w:start w:val="1"/>
      <w:numFmt w:val="bullet"/>
      <w:lvlText w:val="•"/>
      <w:lvlJc w:val="left"/>
      <w:pPr>
        <w:tabs>
          <w:tab w:val="num" w:pos="2880"/>
        </w:tabs>
        <w:ind w:left="2880" w:hanging="360"/>
      </w:pPr>
      <w:rPr>
        <w:rFonts w:ascii="Arial" w:hAnsi="Arial" w:hint="default"/>
      </w:rPr>
    </w:lvl>
    <w:lvl w:ilvl="4" w:tplc="D536F9C2" w:tentative="1">
      <w:start w:val="1"/>
      <w:numFmt w:val="bullet"/>
      <w:lvlText w:val="•"/>
      <w:lvlJc w:val="left"/>
      <w:pPr>
        <w:tabs>
          <w:tab w:val="num" w:pos="3600"/>
        </w:tabs>
        <w:ind w:left="3600" w:hanging="360"/>
      </w:pPr>
      <w:rPr>
        <w:rFonts w:ascii="Arial" w:hAnsi="Arial" w:hint="default"/>
      </w:rPr>
    </w:lvl>
    <w:lvl w:ilvl="5" w:tplc="1986682E" w:tentative="1">
      <w:start w:val="1"/>
      <w:numFmt w:val="bullet"/>
      <w:lvlText w:val="•"/>
      <w:lvlJc w:val="left"/>
      <w:pPr>
        <w:tabs>
          <w:tab w:val="num" w:pos="4320"/>
        </w:tabs>
        <w:ind w:left="4320" w:hanging="360"/>
      </w:pPr>
      <w:rPr>
        <w:rFonts w:ascii="Arial" w:hAnsi="Arial" w:hint="default"/>
      </w:rPr>
    </w:lvl>
    <w:lvl w:ilvl="6" w:tplc="0DC6D0D6" w:tentative="1">
      <w:start w:val="1"/>
      <w:numFmt w:val="bullet"/>
      <w:lvlText w:val="•"/>
      <w:lvlJc w:val="left"/>
      <w:pPr>
        <w:tabs>
          <w:tab w:val="num" w:pos="5040"/>
        </w:tabs>
        <w:ind w:left="5040" w:hanging="360"/>
      </w:pPr>
      <w:rPr>
        <w:rFonts w:ascii="Arial" w:hAnsi="Arial" w:hint="default"/>
      </w:rPr>
    </w:lvl>
    <w:lvl w:ilvl="7" w:tplc="39FA9994" w:tentative="1">
      <w:start w:val="1"/>
      <w:numFmt w:val="bullet"/>
      <w:lvlText w:val="•"/>
      <w:lvlJc w:val="left"/>
      <w:pPr>
        <w:tabs>
          <w:tab w:val="num" w:pos="5760"/>
        </w:tabs>
        <w:ind w:left="5760" w:hanging="360"/>
      </w:pPr>
      <w:rPr>
        <w:rFonts w:ascii="Arial" w:hAnsi="Arial" w:hint="default"/>
      </w:rPr>
    </w:lvl>
    <w:lvl w:ilvl="8" w:tplc="463E32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133537"/>
    <w:multiLevelType w:val="multilevel"/>
    <w:tmpl w:val="EF96E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DF0274"/>
    <w:multiLevelType w:val="multilevel"/>
    <w:tmpl w:val="87427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145B4A"/>
    <w:multiLevelType w:val="multilevel"/>
    <w:tmpl w:val="CF9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900157"/>
    <w:multiLevelType w:val="multilevel"/>
    <w:tmpl w:val="11D44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6124B7"/>
    <w:multiLevelType w:val="multilevel"/>
    <w:tmpl w:val="91EE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306C5"/>
    <w:multiLevelType w:val="hybridMultilevel"/>
    <w:tmpl w:val="DFB83D96"/>
    <w:lvl w:ilvl="0" w:tplc="23561394">
      <w:start w:val="1"/>
      <w:numFmt w:val="bullet"/>
      <w:lvlText w:val="•"/>
      <w:lvlJc w:val="left"/>
      <w:pPr>
        <w:tabs>
          <w:tab w:val="num" w:pos="720"/>
        </w:tabs>
        <w:ind w:left="720" w:hanging="360"/>
      </w:pPr>
      <w:rPr>
        <w:rFonts w:ascii="Arial" w:hAnsi="Arial" w:hint="default"/>
      </w:rPr>
    </w:lvl>
    <w:lvl w:ilvl="1" w:tplc="58B8FB48" w:tentative="1">
      <w:start w:val="1"/>
      <w:numFmt w:val="bullet"/>
      <w:lvlText w:val="•"/>
      <w:lvlJc w:val="left"/>
      <w:pPr>
        <w:tabs>
          <w:tab w:val="num" w:pos="1440"/>
        </w:tabs>
        <w:ind w:left="1440" w:hanging="360"/>
      </w:pPr>
      <w:rPr>
        <w:rFonts w:ascii="Arial" w:hAnsi="Arial" w:hint="default"/>
      </w:rPr>
    </w:lvl>
    <w:lvl w:ilvl="2" w:tplc="AAD40614" w:tentative="1">
      <w:start w:val="1"/>
      <w:numFmt w:val="bullet"/>
      <w:lvlText w:val="•"/>
      <w:lvlJc w:val="left"/>
      <w:pPr>
        <w:tabs>
          <w:tab w:val="num" w:pos="2160"/>
        </w:tabs>
        <w:ind w:left="2160" w:hanging="360"/>
      </w:pPr>
      <w:rPr>
        <w:rFonts w:ascii="Arial" w:hAnsi="Arial" w:hint="default"/>
      </w:rPr>
    </w:lvl>
    <w:lvl w:ilvl="3" w:tplc="6F2C6FDE" w:tentative="1">
      <w:start w:val="1"/>
      <w:numFmt w:val="bullet"/>
      <w:lvlText w:val="•"/>
      <w:lvlJc w:val="left"/>
      <w:pPr>
        <w:tabs>
          <w:tab w:val="num" w:pos="2880"/>
        </w:tabs>
        <w:ind w:left="2880" w:hanging="360"/>
      </w:pPr>
      <w:rPr>
        <w:rFonts w:ascii="Arial" w:hAnsi="Arial" w:hint="default"/>
      </w:rPr>
    </w:lvl>
    <w:lvl w:ilvl="4" w:tplc="2C9E3654" w:tentative="1">
      <w:start w:val="1"/>
      <w:numFmt w:val="bullet"/>
      <w:lvlText w:val="•"/>
      <w:lvlJc w:val="left"/>
      <w:pPr>
        <w:tabs>
          <w:tab w:val="num" w:pos="3600"/>
        </w:tabs>
        <w:ind w:left="3600" w:hanging="360"/>
      </w:pPr>
      <w:rPr>
        <w:rFonts w:ascii="Arial" w:hAnsi="Arial" w:hint="default"/>
      </w:rPr>
    </w:lvl>
    <w:lvl w:ilvl="5" w:tplc="9C5C0446" w:tentative="1">
      <w:start w:val="1"/>
      <w:numFmt w:val="bullet"/>
      <w:lvlText w:val="•"/>
      <w:lvlJc w:val="left"/>
      <w:pPr>
        <w:tabs>
          <w:tab w:val="num" w:pos="4320"/>
        </w:tabs>
        <w:ind w:left="4320" w:hanging="360"/>
      </w:pPr>
      <w:rPr>
        <w:rFonts w:ascii="Arial" w:hAnsi="Arial" w:hint="default"/>
      </w:rPr>
    </w:lvl>
    <w:lvl w:ilvl="6" w:tplc="5D8C573C" w:tentative="1">
      <w:start w:val="1"/>
      <w:numFmt w:val="bullet"/>
      <w:lvlText w:val="•"/>
      <w:lvlJc w:val="left"/>
      <w:pPr>
        <w:tabs>
          <w:tab w:val="num" w:pos="5040"/>
        </w:tabs>
        <w:ind w:left="5040" w:hanging="360"/>
      </w:pPr>
      <w:rPr>
        <w:rFonts w:ascii="Arial" w:hAnsi="Arial" w:hint="default"/>
      </w:rPr>
    </w:lvl>
    <w:lvl w:ilvl="7" w:tplc="2D7C60E4" w:tentative="1">
      <w:start w:val="1"/>
      <w:numFmt w:val="bullet"/>
      <w:lvlText w:val="•"/>
      <w:lvlJc w:val="left"/>
      <w:pPr>
        <w:tabs>
          <w:tab w:val="num" w:pos="5760"/>
        </w:tabs>
        <w:ind w:left="5760" w:hanging="360"/>
      </w:pPr>
      <w:rPr>
        <w:rFonts w:ascii="Arial" w:hAnsi="Arial" w:hint="default"/>
      </w:rPr>
    </w:lvl>
    <w:lvl w:ilvl="8" w:tplc="A08498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F62179A"/>
    <w:multiLevelType w:val="multilevel"/>
    <w:tmpl w:val="3A16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8C0F23"/>
    <w:multiLevelType w:val="hybridMultilevel"/>
    <w:tmpl w:val="D0DAD0AC"/>
    <w:lvl w:ilvl="0" w:tplc="0E9495B2">
      <w:start w:val="1"/>
      <w:numFmt w:val="bullet"/>
      <w:lvlText w:val="•"/>
      <w:lvlJc w:val="left"/>
      <w:pPr>
        <w:tabs>
          <w:tab w:val="num" w:pos="720"/>
        </w:tabs>
        <w:ind w:left="720" w:hanging="360"/>
      </w:pPr>
      <w:rPr>
        <w:rFonts w:ascii="Arial" w:hAnsi="Arial" w:hint="default"/>
      </w:rPr>
    </w:lvl>
    <w:lvl w:ilvl="1" w:tplc="48DEC45A" w:tentative="1">
      <w:start w:val="1"/>
      <w:numFmt w:val="bullet"/>
      <w:lvlText w:val="•"/>
      <w:lvlJc w:val="left"/>
      <w:pPr>
        <w:tabs>
          <w:tab w:val="num" w:pos="1440"/>
        </w:tabs>
        <w:ind w:left="1440" w:hanging="360"/>
      </w:pPr>
      <w:rPr>
        <w:rFonts w:ascii="Arial" w:hAnsi="Arial" w:hint="default"/>
      </w:rPr>
    </w:lvl>
    <w:lvl w:ilvl="2" w:tplc="2E04B5DE" w:tentative="1">
      <w:start w:val="1"/>
      <w:numFmt w:val="bullet"/>
      <w:lvlText w:val="•"/>
      <w:lvlJc w:val="left"/>
      <w:pPr>
        <w:tabs>
          <w:tab w:val="num" w:pos="2160"/>
        </w:tabs>
        <w:ind w:left="2160" w:hanging="360"/>
      </w:pPr>
      <w:rPr>
        <w:rFonts w:ascii="Arial" w:hAnsi="Arial" w:hint="default"/>
      </w:rPr>
    </w:lvl>
    <w:lvl w:ilvl="3" w:tplc="B6B25A4C" w:tentative="1">
      <w:start w:val="1"/>
      <w:numFmt w:val="bullet"/>
      <w:lvlText w:val="•"/>
      <w:lvlJc w:val="left"/>
      <w:pPr>
        <w:tabs>
          <w:tab w:val="num" w:pos="2880"/>
        </w:tabs>
        <w:ind w:left="2880" w:hanging="360"/>
      </w:pPr>
      <w:rPr>
        <w:rFonts w:ascii="Arial" w:hAnsi="Arial" w:hint="default"/>
      </w:rPr>
    </w:lvl>
    <w:lvl w:ilvl="4" w:tplc="7A8A9846" w:tentative="1">
      <w:start w:val="1"/>
      <w:numFmt w:val="bullet"/>
      <w:lvlText w:val="•"/>
      <w:lvlJc w:val="left"/>
      <w:pPr>
        <w:tabs>
          <w:tab w:val="num" w:pos="3600"/>
        </w:tabs>
        <w:ind w:left="3600" w:hanging="360"/>
      </w:pPr>
      <w:rPr>
        <w:rFonts w:ascii="Arial" w:hAnsi="Arial" w:hint="default"/>
      </w:rPr>
    </w:lvl>
    <w:lvl w:ilvl="5" w:tplc="61C8AA16" w:tentative="1">
      <w:start w:val="1"/>
      <w:numFmt w:val="bullet"/>
      <w:lvlText w:val="•"/>
      <w:lvlJc w:val="left"/>
      <w:pPr>
        <w:tabs>
          <w:tab w:val="num" w:pos="4320"/>
        </w:tabs>
        <w:ind w:left="4320" w:hanging="360"/>
      </w:pPr>
      <w:rPr>
        <w:rFonts w:ascii="Arial" w:hAnsi="Arial" w:hint="default"/>
      </w:rPr>
    </w:lvl>
    <w:lvl w:ilvl="6" w:tplc="944EF2C2" w:tentative="1">
      <w:start w:val="1"/>
      <w:numFmt w:val="bullet"/>
      <w:lvlText w:val="•"/>
      <w:lvlJc w:val="left"/>
      <w:pPr>
        <w:tabs>
          <w:tab w:val="num" w:pos="5040"/>
        </w:tabs>
        <w:ind w:left="5040" w:hanging="360"/>
      </w:pPr>
      <w:rPr>
        <w:rFonts w:ascii="Arial" w:hAnsi="Arial" w:hint="default"/>
      </w:rPr>
    </w:lvl>
    <w:lvl w:ilvl="7" w:tplc="A132A154" w:tentative="1">
      <w:start w:val="1"/>
      <w:numFmt w:val="bullet"/>
      <w:lvlText w:val="•"/>
      <w:lvlJc w:val="left"/>
      <w:pPr>
        <w:tabs>
          <w:tab w:val="num" w:pos="5760"/>
        </w:tabs>
        <w:ind w:left="5760" w:hanging="360"/>
      </w:pPr>
      <w:rPr>
        <w:rFonts w:ascii="Arial" w:hAnsi="Arial" w:hint="default"/>
      </w:rPr>
    </w:lvl>
    <w:lvl w:ilvl="8" w:tplc="8132EC3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E60296"/>
    <w:multiLevelType w:val="hybridMultilevel"/>
    <w:tmpl w:val="A888E032"/>
    <w:lvl w:ilvl="0" w:tplc="5B8ED814">
      <w:start w:val="1"/>
      <w:numFmt w:val="bullet"/>
      <w:lvlText w:val="•"/>
      <w:lvlJc w:val="left"/>
      <w:pPr>
        <w:tabs>
          <w:tab w:val="num" w:pos="720"/>
        </w:tabs>
        <w:ind w:left="720" w:hanging="360"/>
      </w:pPr>
      <w:rPr>
        <w:rFonts w:ascii="Arial" w:hAnsi="Arial" w:hint="default"/>
      </w:rPr>
    </w:lvl>
    <w:lvl w:ilvl="1" w:tplc="00925B22" w:tentative="1">
      <w:start w:val="1"/>
      <w:numFmt w:val="bullet"/>
      <w:lvlText w:val="•"/>
      <w:lvlJc w:val="left"/>
      <w:pPr>
        <w:tabs>
          <w:tab w:val="num" w:pos="1440"/>
        </w:tabs>
        <w:ind w:left="1440" w:hanging="360"/>
      </w:pPr>
      <w:rPr>
        <w:rFonts w:ascii="Arial" w:hAnsi="Arial" w:hint="default"/>
      </w:rPr>
    </w:lvl>
    <w:lvl w:ilvl="2" w:tplc="9F54F2DC" w:tentative="1">
      <w:start w:val="1"/>
      <w:numFmt w:val="bullet"/>
      <w:lvlText w:val="•"/>
      <w:lvlJc w:val="left"/>
      <w:pPr>
        <w:tabs>
          <w:tab w:val="num" w:pos="2160"/>
        </w:tabs>
        <w:ind w:left="2160" w:hanging="360"/>
      </w:pPr>
      <w:rPr>
        <w:rFonts w:ascii="Arial" w:hAnsi="Arial" w:hint="default"/>
      </w:rPr>
    </w:lvl>
    <w:lvl w:ilvl="3" w:tplc="625CDC6C" w:tentative="1">
      <w:start w:val="1"/>
      <w:numFmt w:val="bullet"/>
      <w:lvlText w:val="•"/>
      <w:lvlJc w:val="left"/>
      <w:pPr>
        <w:tabs>
          <w:tab w:val="num" w:pos="2880"/>
        </w:tabs>
        <w:ind w:left="2880" w:hanging="360"/>
      </w:pPr>
      <w:rPr>
        <w:rFonts w:ascii="Arial" w:hAnsi="Arial" w:hint="default"/>
      </w:rPr>
    </w:lvl>
    <w:lvl w:ilvl="4" w:tplc="A8984E5A" w:tentative="1">
      <w:start w:val="1"/>
      <w:numFmt w:val="bullet"/>
      <w:lvlText w:val="•"/>
      <w:lvlJc w:val="left"/>
      <w:pPr>
        <w:tabs>
          <w:tab w:val="num" w:pos="3600"/>
        </w:tabs>
        <w:ind w:left="3600" w:hanging="360"/>
      </w:pPr>
      <w:rPr>
        <w:rFonts w:ascii="Arial" w:hAnsi="Arial" w:hint="default"/>
      </w:rPr>
    </w:lvl>
    <w:lvl w:ilvl="5" w:tplc="51F80F5E" w:tentative="1">
      <w:start w:val="1"/>
      <w:numFmt w:val="bullet"/>
      <w:lvlText w:val="•"/>
      <w:lvlJc w:val="left"/>
      <w:pPr>
        <w:tabs>
          <w:tab w:val="num" w:pos="4320"/>
        </w:tabs>
        <w:ind w:left="4320" w:hanging="360"/>
      </w:pPr>
      <w:rPr>
        <w:rFonts w:ascii="Arial" w:hAnsi="Arial" w:hint="default"/>
      </w:rPr>
    </w:lvl>
    <w:lvl w:ilvl="6" w:tplc="EB84DE72" w:tentative="1">
      <w:start w:val="1"/>
      <w:numFmt w:val="bullet"/>
      <w:lvlText w:val="•"/>
      <w:lvlJc w:val="left"/>
      <w:pPr>
        <w:tabs>
          <w:tab w:val="num" w:pos="5040"/>
        </w:tabs>
        <w:ind w:left="5040" w:hanging="360"/>
      </w:pPr>
      <w:rPr>
        <w:rFonts w:ascii="Arial" w:hAnsi="Arial" w:hint="default"/>
      </w:rPr>
    </w:lvl>
    <w:lvl w:ilvl="7" w:tplc="44F4B83E" w:tentative="1">
      <w:start w:val="1"/>
      <w:numFmt w:val="bullet"/>
      <w:lvlText w:val="•"/>
      <w:lvlJc w:val="left"/>
      <w:pPr>
        <w:tabs>
          <w:tab w:val="num" w:pos="5760"/>
        </w:tabs>
        <w:ind w:left="5760" w:hanging="360"/>
      </w:pPr>
      <w:rPr>
        <w:rFonts w:ascii="Arial" w:hAnsi="Arial" w:hint="default"/>
      </w:rPr>
    </w:lvl>
    <w:lvl w:ilvl="8" w:tplc="ACFCA9D0" w:tentative="1">
      <w:start w:val="1"/>
      <w:numFmt w:val="bullet"/>
      <w:lvlText w:val="•"/>
      <w:lvlJc w:val="left"/>
      <w:pPr>
        <w:tabs>
          <w:tab w:val="num" w:pos="6480"/>
        </w:tabs>
        <w:ind w:left="6480" w:hanging="360"/>
      </w:pPr>
      <w:rPr>
        <w:rFonts w:ascii="Arial" w:hAnsi="Arial" w:hint="default"/>
      </w:rPr>
    </w:lvl>
  </w:abstractNum>
  <w:num w:numId="1" w16cid:durableId="581990990">
    <w:abstractNumId w:val="8"/>
  </w:num>
  <w:num w:numId="2" w16cid:durableId="550268046">
    <w:abstractNumId w:val="0"/>
  </w:num>
  <w:num w:numId="3" w16cid:durableId="394668740">
    <w:abstractNumId w:val="6"/>
  </w:num>
  <w:num w:numId="4" w16cid:durableId="962032322">
    <w:abstractNumId w:val="9"/>
  </w:num>
  <w:num w:numId="5" w16cid:durableId="1476095924">
    <w:abstractNumId w:val="5"/>
  </w:num>
  <w:num w:numId="6" w16cid:durableId="1830898522">
    <w:abstractNumId w:val="2"/>
  </w:num>
  <w:num w:numId="7" w16cid:durableId="1052849967">
    <w:abstractNumId w:val="4"/>
  </w:num>
  <w:num w:numId="8" w16cid:durableId="1189484249">
    <w:abstractNumId w:val="7"/>
  </w:num>
  <w:num w:numId="9" w16cid:durableId="1130392207">
    <w:abstractNumId w:val="3"/>
  </w:num>
  <w:num w:numId="10" w16cid:durableId="662585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3E9C"/>
    <w:rsid w:val="00012B70"/>
    <w:rsid w:val="0002024D"/>
    <w:rsid w:val="0004194F"/>
    <w:rsid w:val="00053C7B"/>
    <w:rsid w:val="00061357"/>
    <w:rsid w:val="00094761"/>
    <w:rsid w:val="00096DFB"/>
    <w:rsid w:val="000A21F9"/>
    <w:rsid w:val="000A708A"/>
    <w:rsid w:val="000C23BF"/>
    <w:rsid w:val="0011747C"/>
    <w:rsid w:val="00120F4C"/>
    <w:rsid w:val="001558A2"/>
    <w:rsid w:val="001724F6"/>
    <w:rsid w:val="0019187A"/>
    <w:rsid w:val="00194EB6"/>
    <w:rsid w:val="001B1274"/>
    <w:rsid w:val="001B4422"/>
    <w:rsid w:val="001F5C8C"/>
    <w:rsid w:val="0026370A"/>
    <w:rsid w:val="00275B74"/>
    <w:rsid w:val="00285976"/>
    <w:rsid w:val="002863FF"/>
    <w:rsid w:val="003116AF"/>
    <w:rsid w:val="00314BF9"/>
    <w:rsid w:val="003160B2"/>
    <w:rsid w:val="00316125"/>
    <w:rsid w:val="003264EA"/>
    <w:rsid w:val="003310AD"/>
    <w:rsid w:val="003319BC"/>
    <w:rsid w:val="00333BC8"/>
    <w:rsid w:val="00340CB2"/>
    <w:rsid w:val="003524FA"/>
    <w:rsid w:val="00357291"/>
    <w:rsid w:val="00376F2C"/>
    <w:rsid w:val="00381A6E"/>
    <w:rsid w:val="003A3EB2"/>
    <w:rsid w:val="003E5217"/>
    <w:rsid w:val="003E68FE"/>
    <w:rsid w:val="003E73B5"/>
    <w:rsid w:val="003E7697"/>
    <w:rsid w:val="003F794A"/>
    <w:rsid w:val="00405E9D"/>
    <w:rsid w:val="00430531"/>
    <w:rsid w:val="0044554E"/>
    <w:rsid w:val="004C246D"/>
    <w:rsid w:val="004D2D72"/>
    <w:rsid w:val="004E2E00"/>
    <w:rsid w:val="004E5E4B"/>
    <w:rsid w:val="004F211D"/>
    <w:rsid w:val="00501AD0"/>
    <w:rsid w:val="00506282"/>
    <w:rsid w:val="00522F74"/>
    <w:rsid w:val="00527C31"/>
    <w:rsid w:val="005336CB"/>
    <w:rsid w:val="005874C4"/>
    <w:rsid w:val="005D000C"/>
    <w:rsid w:val="005E0360"/>
    <w:rsid w:val="00610CBA"/>
    <w:rsid w:val="0061304E"/>
    <w:rsid w:val="006579BF"/>
    <w:rsid w:val="00685614"/>
    <w:rsid w:val="00693E9C"/>
    <w:rsid w:val="006A5214"/>
    <w:rsid w:val="006A6B19"/>
    <w:rsid w:val="00704F9B"/>
    <w:rsid w:val="00713FFA"/>
    <w:rsid w:val="007241F4"/>
    <w:rsid w:val="00765B4E"/>
    <w:rsid w:val="007D20F1"/>
    <w:rsid w:val="007D7A33"/>
    <w:rsid w:val="007F58E7"/>
    <w:rsid w:val="00844302"/>
    <w:rsid w:val="00851881"/>
    <w:rsid w:val="008737A4"/>
    <w:rsid w:val="008C42EE"/>
    <w:rsid w:val="008C66D6"/>
    <w:rsid w:val="00915DC2"/>
    <w:rsid w:val="009371B2"/>
    <w:rsid w:val="00966BFF"/>
    <w:rsid w:val="00971297"/>
    <w:rsid w:val="0099646A"/>
    <w:rsid w:val="009B3EBC"/>
    <w:rsid w:val="00A51DC8"/>
    <w:rsid w:val="00A51F6B"/>
    <w:rsid w:val="00A737F9"/>
    <w:rsid w:val="00A76206"/>
    <w:rsid w:val="00A76728"/>
    <w:rsid w:val="00A845A0"/>
    <w:rsid w:val="00AA606B"/>
    <w:rsid w:val="00AC3D80"/>
    <w:rsid w:val="00AF0867"/>
    <w:rsid w:val="00B30455"/>
    <w:rsid w:val="00B31B08"/>
    <w:rsid w:val="00B3599E"/>
    <w:rsid w:val="00B6321A"/>
    <w:rsid w:val="00B973F7"/>
    <w:rsid w:val="00BA592F"/>
    <w:rsid w:val="00BC0F5F"/>
    <w:rsid w:val="00BD4AB5"/>
    <w:rsid w:val="00C02157"/>
    <w:rsid w:val="00C06BF3"/>
    <w:rsid w:val="00C07087"/>
    <w:rsid w:val="00C126B2"/>
    <w:rsid w:val="00C271B0"/>
    <w:rsid w:val="00C43249"/>
    <w:rsid w:val="00C54D91"/>
    <w:rsid w:val="00C570E1"/>
    <w:rsid w:val="00C670A3"/>
    <w:rsid w:val="00C905B4"/>
    <w:rsid w:val="00C974B2"/>
    <w:rsid w:val="00CC109B"/>
    <w:rsid w:val="00CF0F50"/>
    <w:rsid w:val="00D170AE"/>
    <w:rsid w:val="00D27E60"/>
    <w:rsid w:val="00D41B2D"/>
    <w:rsid w:val="00D41DC9"/>
    <w:rsid w:val="00D5667D"/>
    <w:rsid w:val="00D73EDC"/>
    <w:rsid w:val="00D948CE"/>
    <w:rsid w:val="00DC0D81"/>
    <w:rsid w:val="00DF3792"/>
    <w:rsid w:val="00DF5FFC"/>
    <w:rsid w:val="00DF7CCB"/>
    <w:rsid w:val="00E22145"/>
    <w:rsid w:val="00E3068E"/>
    <w:rsid w:val="00E3186A"/>
    <w:rsid w:val="00E55C6E"/>
    <w:rsid w:val="00E81DA3"/>
    <w:rsid w:val="00E96C1B"/>
    <w:rsid w:val="00ED142C"/>
    <w:rsid w:val="00EE3A7B"/>
    <w:rsid w:val="00EE761C"/>
    <w:rsid w:val="00F4081A"/>
    <w:rsid w:val="00F51086"/>
    <w:rsid w:val="00F71050"/>
    <w:rsid w:val="00F853FA"/>
    <w:rsid w:val="00F85635"/>
    <w:rsid w:val="00FB7332"/>
    <w:rsid w:val="00FD625B"/>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9A75487"/>
  <w15:docId w15:val="{C84A2B27-7945-4105-B903-F80F8980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5F"/>
    <w:rPr>
      <w:rFonts w:cs="Mangal"/>
    </w:rPr>
  </w:style>
  <w:style w:type="paragraph" w:styleId="Heading1">
    <w:name w:val="heading 1"/>
    <w:basedOn w:val="Normal1"/>
    <w:next w:val="Normal"/>
    <w:link w:val="Heading1Char"/>
    <w:autoRedefine/>
    <w:uiPriority w:val="9"/>
    <w:qFormat/>
    <w:rsid w:val="003319BC"/>
    <w:pPr>
      <w:spacing w:line="360" w:lineRule="auto"/>
      <w:jc w:val="both"/>
      <w:outlineLvl w:val="0"/>
    </w:pPr>
    <w:rPr>
      <w:rFonts w:ascii="Times New Roman" w:hAnsi="Times New Roman" w:cs="Times New Roman"/>
      <w:b/>
      <w:color w:val="2F5496" w:themeColor="accent1" w:themeShade="BF"/>
      <w:sz w:val="32"/>
      <w:szCs w:val="32"/>
      <w:lang w:val="en-GB"/>
    </w:rPr>
  </w:style>
  <w:style w:type="paragraph" w:styleId="Heading2">
    <w:name w:val="heading 2"/>
    <w:basedOn w:val="Heading3"/>
    <w:next w:val="Normal"/>
    <w:link w:val="Heading2Char"/>
    <w:uiPriority w:val="9"/>
    <w:unhideWhenUsed/>
    <w:qFormat/>
    <w:rsid w:val="00A76206"/>
    <w:pPr>
      <w:spacing w:line="360" w:lineRule="auto"/>
      <w:jc w:val="both"/>
      <w:outlineLvl w:val="1"/>
    </w:pPr>
    <w:rPr>
      <w:rFonts w:ascii="Times New Roman" w:hAnsi="Times New Roman" w:cs="Times New Roman"/>
      <w:i/>
    </w:rPr>
  </w:style>
  <w:style w:type="paragraph" w:styleId="Heading3">
    <w:name w:val="heading 3"/>
    <w:basedOn w:val="Normal"/>
    <w:next w:val="Normal"/>
    <w:link w:val="Heading3Char"/>
    <w:uiPriority w:val="9"/>
    <w:unhideWhenUsed/>
    <w:qFormat/>
    <w:rsid w:val="00E3068E"/>
    <w:pPr>
      <w:keepNext/>
      <w:outlineLvl w:val="2"/>
    </w:pPr>
    <w:rPr>
      <w:rFonts w:ascii="Arial" w:hAnsi="Arial" w:cs="Arial"/>
      <w:b/>
      <w:bCs/>
      <w:color w:val="000000" w:themeColor="text1"/>
      <w:sz w:val="24"/>
      <w:szCs w:val="24"/>
    </w:rPr>
  </w:style>
  <w:style w:type="paragraph" w:styleId="Heading4">
    <w:name w:val="heading 4"/>
    <w:basedOn w:val="Normal"/>
    <w:next w:val="Normal"/>
    <w:link w:val="Heading4Char"/>
    <w:uiPriority w:val="9"/>
    <w:unhideWhenUsed/>
    <w:qFormat/>
    <w:rsid w:val="00506282"/>
    <w:pPr>
      <w:keepNext/>
      <w:outlineLvl w:val="3"/>
    </w:pPr>
    <w:rPr>
      <w:rFonts w:ascii="Arial" w:hAnsi="Arial" w:cs="Arial"/>
      <w:b/>
      <w:bCs/>
      <w:i/>
      <w:iCs/>
    </w:rPr>
  </w:style>
  <w:style w:type="paragraph" w:styleId="Heading5">
    <w:name w:val="heading 5"/>
    <w:basedOn w:val="Normal"/>
    <w:next w:val="Normal"/>
    <w:link w:val="Heading5Char"/>
    <w:uiPriority w:val="9"/>
    <w:unhideWhenUsed/>
    <w:qFormat/>
    <w:rsid w:val="00506282"/>
    <w:pPr>
      <w:keepNext/>
      <w:outlineLvl w:val="4"/>
    </w:pPr>
    <w:rPr>
      <w:rFonts w:ascii="Arial" w:hAnsi="Arial" w:cs="Arial"/>
      <w:b/>
      <w:bCs/>
      <w:i/>
      <w:iCs/>
      <w:color w:val="000000" w:themeColor="text1"/>
      <w:sz w:val="24"/>
      <w:szCs w:val="24"/>
    </w:rPr>
  </w:style>
  <w:style w:type="paragraph" w:styleId="Heading6">
    <w:name w:val="heading 6"/>
    <w:basedOn w:val="Normal"/>
    <w:next w:val="Normal"/>
    <w:link w:val="Heading6Char"/>
    <w:uiPriority w:val="9"/>
    <w:unhideWhenUsed/>
    <w:qFormat/>
    <w:rsid w:val="00AF0867"/>
    <w:pPr>
      <w:keepNext/>
      <w:ind w:left="360"/>
      <w:outlineLvl w:val="5"/>
    </w:pPr>
    <w:rPr>
      <w:rFonts w:ascii="Arial" w:hAnsi="Arial" w:cs="Arial"/>
      <w:b/>
      <w:bCs/>
      <w:i/>
      <w:iCs/>
      <w:color w:val="000000" w:themeColor="text1"/>
      <w:sz w:val="24"/>
      <w:szCs w:val="24"/>
    </w:rPr>
  </w:style>
  <w:style w:type="paragraph" w:styleId="Heading7">
    <w:name w:val="heading 7"/>
    <w:basedOn w:val="Normal"/>
    <w:next w:val="Normal"/>
    <w:link w:val="Heading7Char"/>
    <w:uiPriority w:val="9"/>
    <w:unhideWhenUsed/>
    <w:qFormat/>
    <w:rsid w:val="003116AF"/>
    <w:pPr>
      <w:keepNext/>
      <w:outlineLvl w:val="6"/>
    </w:pPr>
    <w:rPr>
      <w:rFonts w:ascii="Arial" w:hAnsi="Arial" w:cs="Arial"/>
      <w:i/>
      <w:iCs/>
      <w:color w:val="2F5496" w:themeColor="accent1" w:themeShade="BF"/>
      <w:sz w:val="40"/>
      <w:szCs w:val="40"/>
    </w:rPr>
  </w:style>
  <w:style w:type="paragraph" w:styleId="Heading8">
    <w:name w:val="heading 8"/>
    <w:basedOn w:val="Normal"/>
    <w:next w:val="Normal"/>
    <w:link w:val="Heading8Char"/>
    <w:uiPriority w:val="9"/>
    <w:unhideWhenUsed/>
    <w:qFormat/>
    <w:rsid w:val="00D948CE"/>
    <w:pPr>
      <w:keepNext/>
      <w:pBdr>
        <w:bottom w:val="single" w:sz="6" w:space="1" w:color="auto"/>
      </w:pBdr>
      <w:spacing w:after="0" w:line="240" w:lineRule="auto"/>
      <w:jc w:val="center"/>
      <w:outlineLvl w:val="7"/>
    </w:pPr>
    <w:rPr>
      <w:rFonts w:ascii="Arial" w:eastAsia="Times New Roman" w:hAnsi="Arial"/>
      <w:vanish/>
      <w:sz w:val="16"/>
      <w:szCs w:val="14"/>
    </w:rPr>
  </w:style>
  <w:style w:type="paragraph" w:styleId="Heading9">
    <w:name w:val="heading 9"/>
    <w:basedOn w:val="Normal"/>
    <w:next w:val="Normal"/>
    <w:link w:val="Heading9Char"/>
    <w:uiPriority w:val="9"/>
    <w:unhideWhenUsed/>
    <w:qFormat/>
    <w:rsid w:val="006A6B19"/>
    <w:pPr>
      <w:keepNext/>
      <w:outlineLvl w:val="8"/>
    </w:pPr>
    <w:rPr>
      <w:rFonts w:ascii="Arial" w:hAnsi="Arial" w:cs="Arial"/>
      <w:b/>
      <w:bCs/>
      <w:color w:val="000000" w:themeColor="tex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9BC"/>
    <w:rPr>
      <w:rFonts w:ascii="Times New Roman" w:eastAsia="Arial" w:hAnsi="Times New Roman" w:cs="Times New Roman"/>
      <w:b/>
      <w:color w:val="2F5496" w:themeColor="accent1" w:themeShade="BF"/>
      <w:sz w:val="32"/>
      <w:szCs w:val="32"/>
      <w:lang w:val="en-GB" w:bidi="ar-SA"/>
    </w:rPr>
  </w:style>
  <w:style w:type="character" w:styleId="Hyperlink">
    <w:name w:val="Hyperlink"/>
    <w:basedOn w:val="DefaultParagraphFont"/>
    <w:uiPriority w:val="99"/>
    <w:unhideWhenUsed/>
    <w:rsid w:val="00693E9C"/>
    <w:rPr>
      <w:color w:val="0563C1" w:themeColor="hyperlink"/>
      <w:u w:val="single"/>
    </w:rPr>
  </w:style>
  <w:style w:type="paragraph" w:styleId="TOCHeading">
    <w:name w:val="TOC Heading"/>
    <w:basedOn w:val="Heading1"/>
    <w:next w:val="Normal"/>
    <w:uiPriority w:val="39"/>
    <w:unhideWhenUsed/>
    <w:qFormat/>
    <w:rsid w:val="00693E9C"/>
    <w:pPr>
      <w:spacing w:before="240" w:line="259" w:lineRule="auto"/>
      <w:outlineLvl w:val="9"/>
    </w:pPr>
    <w:rPr>
      <w:rFonts w:asciiTheme="majorHAnsi" w:hAnsiTheme="majorHAnsi"/>
      <w:b w:val="0"/>
    </w:rPr>
  </w:style>
  <w:style w:type="paragraph" w:styleId="TOC1">
    <w:name w:val="toc 1"/>
    <w:basedOn w:val="Normal"/>
    <w:next w:val="Normal"/>
    <w:autoRedefine/>
    <w:uiPriority w:val="39"/>
    <w:unhideWhenUsed/>
    <w:rsid w:val="00693E9C"/>
    <w:pPr>
      <w:spacing w:after="100" w:line="276" w:lineRule="auto"/>
    </w:pPr>
    <w:rPr>
      <w:rFonts w:ascii="Times New Roman" w:hAnsi="Times New Roman" w:cstheme="minorBidi"/>
      <w:sz w:val="24"/>
      <w:szCs w:val="22"/>
      <w:lang w:val="en-GB" w:bidi="ar-SA"/>
    </w:rPr>
  </w:style>
  <w:style w:type="paragraph" w:styleId="TOC2">
    <w:name w:val="toc 2"/>
    <w:basedOn w:val="Normal"/>
    <w:next w:val="Normal"/>
    <w:autoRedefine/>
    <w:uiPriority w:val="39"/>
    <w:unhideWhenUsed/>
    <w:rsid w:val="00693E9C"/>
    <w:pPr>
      <w:spacing w:after="100" w:line="276" w:lineRule="auto"/>
      <w:ind w:left="220"/>
    </w:pPr>
    <w:rPr>
      <w:rFonts w:ascii="Times New Roman" w:hAnsi="Times New Roman" w:cstheme="minorBidi"/>
      <w:sz w:val="24"/>
      <w:szCs w:val="22"/>
      <w:lang w:val="en-GB" w:bidi="ar-SA"/>
    </w:rPr>
  </w:style>
  <w:style w:type="paragraph" w:styleId="TOC3">
    <w:name w:val="toc 3"/>
    <w:basedOn w:val="Normal"/>
    <w:next w:val="Normal"/>
    <w:autoRedefine/>
    <w:uiPriority w:val="39"/>
    <w:unhideWhenUsed/>
    <w:rsid w:val="00693E9C"/>
    <w:pPr>
      <w:spacing w:after="100" w:line="276" w:lineRule="auto"/>
      <w:ind w:left="440"/>
    </w:pPr>
    <w:rPr>
      <w:rFonts w:ascii="Times New Roman" w:hAnsi="Times New Roman" w:cstheme="minorBidi"/>
      <w:sz w:val="24"/>
      <w:szCs w:val="22"/>
      <w:lang w:val="en-GB" w:bidi="ar-SA"/>
    </w:rPr>
  </w:style>
  <w:style w:type="paragraph" w:styleId="BodyTextIndent">
    <w:name w:val="Body Text Indent"/>
    <w:basedOn w:val="Normal"/>
    <w:link w:val="BodyTextIndentChar"/>
    <w:uiPriority w:val="99"/>
    <w:unhideWhenUsed/>
    <w:rsid w:val="00693E9C"/>
    <w:pPr>
      <w:ind w:left="360"/>
    </w:pPr>
    <w:rPr>
      <w:rFonts w:cs="Times New Roman"/>
      <w:color w:val="000000" w:themeColor="text1"/>
      <w:sz w:val="24"/>
      <w:szCs w:val="24"/>
      <w:lang w:val="en-GB"/>
    </w:rPr>
  </w:style>
  <w:style w:type="character" w:customStyle="1" w:styleId="BodyTextIndentChar">
    <w:name w:val="Body Text Indent Char"/>
    <w:basedOn w:val="DefaultParagraphFont"/>
    <w:link w:val="BodyTextIndent"/>
    <w:uiPriority w:val="99"/>
    <w:rsid w:val="00693E9C"/>
    <w:rPr>
      <w:rFonts w:cs="Times New Roman"/>
      <w:color w:val="000000" w:themeColor="text1"/>
      <w:sz w:val="24"/>
      <w:szCs w:val="24"/>
      <w:lang w:val="en-GB"/>
    </w:rPr>
  </w:style>
  <w:style w:type="character" w:customStyle="1" w:styleId="Heading2Char">
    <w:name w:val="Heading 2 Char"/>
    <w:basedOn w:val="DefaultParagraphFont"/>
    <w:link w:val="Heading2"/>
    <w:uiPriority w:val="9"/>
    <w:rsid w:val="00A76206"/>
    <w:rPr>
      <w:rFonts w:ascii="Times New Roman" w:hAnsi="Times New Roman" w:cs="Times New Roman"/>
      <w:b/>
      <w:bCs/>
      <w:i/>
      <w:color w:val="000000" w:themeColor="text1"/>
      <w:sz w:val="24"/>
      <w:szCs w:val="24"/>
    </w:rPr>
  </w:style>
  <w:style w:type="character" w:customStyle="1" w:styleId="Heading3Char">
    <w:name w:val="Heading 3 Char"/>
    <w:basedOn w:val="DefaultParagraphFont"/>
    <w:link w:val="Heading3"/>
    <w:uiPriority w:val="9"/>
    <w:rsid w:val="00E3068E"/>
    <w:rPr>
      <w:rFonts w:ascii="Arial" w:hAnsi="Arial" w:cs="Arial"/>
      <w:b/>
      <w:bCs/>
      <w:color w:val="000000" w:themeColor="text1"/>
      <w:sz w:val="24"/>
      <w:szCs w:val="24"/>
    </w:rPr>
  </w:style>
  <w:style w:type="character" w:customStyle="1" w:styleId="Heading4Char">
    <w:name w:val="Heading 4 Char"/>
    <w:basedOn w:val="DefaultParagraphFont"/>
    <w:link w:val="Heading4"/>
    <w:uiPriority w:val="9"/>
    <w:rsid w:val="00506282"/>
    <w:rPr>
      <w:rFonts w:ascii="Arial" w:hAnsi="Arial" w:cs="Arial"/>
      <w:b/>
      <w:bCs/>
      <w:i/>
      <w:iCs/>
    </w:rPr>
  </w:style>
  <w:style w:type="character" w:customStyle="1" w:styleId="Heading5Char">
    <w:name w:val="Heading 5 Char"/>
    <w:basedOn w:val="DefaultParagraphFont"/>
    <w:link w:val="Heading5"/>
    <w:uiPriority w:val="9"/>
    <w:rsid w:val="00506282"/>
    <w:rPr>
      <w:rFonts w:ascii="Arial" w:hAnsi="Arial" w:cs="Arial"/>
      <w:b/>
      <w:bCs/>
      <w:i/>
      <w:iCs/>
      <w:color w:val="000000" w:themeColor="text1"/>
      <w:sz w:val="24"/>
      <w:szCs w:val="24"/>
    </w:rPr>
  </w:style>
  <w:style w:type="character" w:customStyle="1" w:styleId="Heading6Char">
    <w:name w:val="Heading 6 Char"/>
    <w:basedOn w:val="DefaultParagraphFont"/>
    <w:link w:val="Heading6"/>
    <w:uiPriority w:val="9"/>
    <w:rsid w:val="00AF0867"/>
    <w:rPr>
      <w:rFonts w:ascii="Arial" w:hAnsi="Arial" w:cs="Arial"/>
      <w:b/>
      <w:bCs/>
      <w:i/>
      <w:iCs/>
      <w:color w:val="000000" w:themeColor="text1"/>
      <w:sz w:val="24"/>
      <w:szCs w:val="24"/>
    </w:rPr>
  </w:style>
  <w:style w:type="character" w:customStyle="1" w:styleId="Heading7Char">
    <w:name w:val="Heading 7 Char"/>
    <w:basedOn w:val="DefaultParagraphFont"/>
    <w:link w:val="Heading7"/>
    <w:uiPriority w:val="9"/>
    <w:rsid w:val="003116AF"/>
    <w:rPr>
      <w:rFonts w:ascii="Arial" w:hAnsi="Arial" w:cs="Arial"/>
      <w:i/>
      <w:iCs/>
      <w:color w:val="2F5496" w:themeColor="accent1" w:themeShade="BF"/>
      <w:sz w:val="40"/>
      <w:szCs w:val="40"/>
    </w:rPr>
  </w:style>
  <w:style w:type="paragraph" w:styleId="NormalWeb">
    <w:name w:val="Normal (Web)"/>
    <w:basedOn w:val="Normal"/>
    <w:uiPriority w:val="99"/>
    <w:semiHidden/>
    <w:unhideWhenUsed/>
    <w:rsid w:val="003116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16AF"/>
    <w:rPr>
      <w:b/>
      <w:bCs/>
    </w:rPr>
  </w:style>
  <w:style w:type="paragraph" w:styleId="z-TopofForm">
    <w:name w:val="HTML Top of Form"/>
    <w:basedOn w:val="Normal"/>
    <w:next w:val="Normal"/>
    <w:link w:val="z-TopofFormChar"/>
    <w:hidden/>
    <w:uiPriority w:val="99"/>
    <w:semiHidden/>
    <w:unhideWhenUsed/>
    <w:rsid w:val="003116AF"/>
    <w:pPr>
      <w:pBdr>
        <w:bottom w:val="single" w:sz="6" w:space="1" w:color="auto"/>
      </w:pBdr>
      <w:spacing w:after="0" w:line="240" w:lineRule="auto"/>
      <w:jc w:val="center"/>
    </w:pPr>
    <w:rPr>
      <w:rFonts w:ascii="Arial" w:eastAsia="Times New Roman" w:hAnsi="Arial"/>
      <w:vanish/>
      <w:sz w:val="16"/>
      <w:szCs w:val="14"/>
    </w:rPr>
  </w:style>
  <w:style w:type="character" w:customStyle="1" w:styleId="z-TopofFormChar">
    <w:name w:val="z-Top of Form Char"/>
    <w:basedOn w:val="DefaultParagraphFont"/>
    <w:link w:val="z-TopofForm"/>
    <w:uiPriority w:val="99"/>
    <w:semiHidden/>
    <w:rsid w:val="003116AF"/>
    <w:rPr>
      <w:rFonts w:ascii="Arial" w:eastAsia="Times New Roman" w:hAnsi="Arial" w:cs="Mangal"/>
      <w:vanish/>
      <w:sz w:val="16"/>
      <w:szCs w:val="14"/>
    </w:rPr>
  </w:style>
  <w:style w:type="paragraph" w:styleId="NoSpacing">
    <w:name w:val="No Spacing"/>
    <w:uiPriority w:val="1"/>
    <w:qFormat/>
    <w:rsid w:val="003116AF"/>
    <w:pPr>
      <w:spacing w:after="0" w:line="240" w:lineRule="auto"/>
    </w:pPr>
    <w:rPr>
      <w:rFonts w:cs="Mangal"/>
    </w:rPr>
  </w:style>
  <w:style w:type="character" w:customStyle="1" w:styleId="Heading8Char">
    <w:name w:val="Heading 8 Char"/>
    <w:basedOn w:val="DefaultParagraphFont"/>
    <w:link w:val="Heading8"/>
    <w:uiPriority w:val="9"/>
    <w:rsid w:val="00D948CE"/>
    <w:rPr>
      <w:rFonts w:ascii="Arial" w:eastAsia="Times New Roman" w:hAnsi="Arial" w:cs="Mangal"/>
      <w:vanish/>
      <w:sz w:val="16"/>
      <w:szCs w:val="14"/>
    </w:rPr>
  </w:style>
  <w:style w:type="paragraph" w:styleId="BodyText">
    <w:name w:val="Body Text"/>
    <w:basedOn w:val="Normal"/>
    <w:link w:val="BodyTextChar"/>
    <w:uiPriority w:val="99"/>
    <w:unhideWhenUsed/>
    <w:rsid w:val="00D948CE"/>
    <w:rPr>
      <w:rFonts w:ascii="Arial" w:hAnsi="Arial" w:cs="Arial"/>
      <w:color w:val="000000" w:themeColor="text1"/>
      <w:sz w:val="24"/>
      <w:szCs w:val="24"/>
    </w:rPr>
  </w:style>
  <w:style w:type="character" w:customStyle="1" w:styleId="BodyTextChar">
    <w:name w:val="Body Text Char"/>
    <w:basedOn w:val="DefaultParagraphFont"/>
    <w:link w:val="BodyText"/>
    <w:uiPriority w:val="99"/>
    <w:rsid w:val="00D948CE"/>
    <w:rPr>
      <w:rFonts w:ascii="Arial" w:hAnsi="Arial" w:cs="Arial"/>
      <w:color w:val="000000" w:themeColor="text1"/>
      <w:sz w:val="24"/>
      <w:szCs w:val="24"/>
    </w:rPr>
  </w:style>
  <w:style w:type="character" w:customStyle="1" w:styleId="Heading9Char">
    <w:name w:val="Heading 9 Char"/>
    <w:basedOn w:val="DefaultParagraphFont"/>
    <w:link w:val="Heading9"/>
    <w:uiPriority w:val="9"/>
    <w:rsid w:val="006A6B19"/>
    <w:rPr>
      <w:rFonts w:ascii="Arial" w:hAnsi="Arial" w:cs="Arial"/>
      <w:b/>
      <w:bCs/>
      <w:color w:val="000000" w:themeColor="text1"/>
      <w:sz w:val="28"/>
      <w:szCs w:val="28"/>
    </w:rPr>
  </w:style>
  <w:style w:type="paragraph" w:styleId="BodyText2">
    <w:name w:val="Body Text 2"/>
    <w:basedOn w:val="Normal"/>
    <w:link w:val="BodyText2Char"/>
    <w:uiPriority w:val="99"/>
    <w:unhideWhenUsed/>
    <w:rsid w:val="0002024D"/>
    <w:rPr>
      <w:rFonts w:ascii="Arial" w:hAnsi="Arial" w:cs="Arial"/>
      <w:sz w:val="24"/>
      <w:szCs w:val="24"/>
    </w:rPr>
  </w:style>
  <w:style w:type="character" w:customStyle="1" w:styleId="BodyText2Char">
    <w:name w:val="Body Text 2 Char"/>
    <w:basedOn w:val="DefaultParagraphFont"/>
    <w:link w:val="BodyText2"/>
    <w:uiPriority w:val="99"/>
    <w:rsid w:val="0002024D"/>
    <w:rPr>
      <w:rFonts w:ascii="Arial" w:hAnsi="Arial" w:cs="Arial"/>
      <w:sz w:val="24"/>
      <w:szCs w:val="24"/>
    </w:rPr>
  </w:style>
  <w:style w:type="paragraph" w:styleId="BodyText3">
    <w:name w:val="Body Text 3"/>
    <w:basedOn w:val="Normal"/>
    <w:link w:val="BodyText3Char"/>
    <w:uiPriority w:val="99"/>
    <w:unhideWhenUsed/>
    <w:rsid w:val="0019187A"/>
    <w:rPr>
      <w:rFonts w:ascii="Arial" w:hAnsi="Arial" w:cs="Arial"/>
      <w:b/>
      <w:bCs/>
      <w:color w:val="2F5496" w:themeColor="accent1" w:themeShade="BF"/>
      <w:sz w:val="24"/>
      <w:szCs w:val="24"/>
    </w:rPr>
  </w:style>
  <w:style w:type="character" w:customStyle="1" w:styleId="BodyText3Char">
    <w:name w:val="Body Text 3 Char"/>
    <w:basedOn w:val="DefaultParagraphFont"/>
    <w:link w:val="BodyText3"/>
    <w:uiPriority w:val="99"/>
    <w:rsid w:val="0019187A"/>
    <w:rPr>
      <w:rFonts w:ascii="Arial" w:hAnsi="Arial" w:cs="Arial"/>
      <w:b/>
      <w:bCs/>
      <w:color w:val="2F5496" w:themeColor="accent1" w:themeShade="BF"/>
      <w:sz w:val="24"/>
      <w:szCs w:val="24"/>
    </w:rPr>
  </w:style>
  <w:style w:type="paragraph" w:styleId="BalloonText">
    <w:name w:val="Balloon Text"/>
    <w:basedOn w:val="Normal"/>
    <w:link w:val="BalloonTextChar"/>
    <w:uiPriority w:val="99"/>
    <w:semiHidden/>
    <w:unhideWhenUsed/>
    <w:rsid w:val="008C66D6"/>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8C66D6"/>
    <w:rPr>
      <w:rFonts w:ascii="Tahoma" w:hAnsi="Tahoma" w:cs="Mangal"/>
      <w:sz w:val="16"/>
      <w:szCs w:val="14"/>
    </w:rPr>
  </w:style>
  <w:style w:type="paragraph" w:styleId="Header">
    <w:name w:val="header"/>
    <w:basedOn w:val="Normal"/>
    <w:link w:val="HeaderChar"/>
    <w:uiPriority w:val="99"/>
    <w:semiHidden/>
    <w:unhideWhenUsed/>
    <w:rsid w:val="00A767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6728"/>
    <w:rPr>
      <w:rFonts w:cs="Mangal"/>
    </w:rPr>
  </w:style>
  <w:style w:type="paragraph" w:styleId="Footer">
    <w:name w:val="footer"/>
    <w:basedOn w:val="Normal"/>
    <w:link w:val="FooterChar"/>
    <w:uiPriority w:val="99"/>
    <w:unhideWhenUsed/>
    <w:rsid w:val="00A76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728"/>
    <w:rPr>
      <w:rFonts w:cs="Mangal"/>
    </w:rPr>
  </w:style>
  <w:style w:type="paragraph" w:customStyle="1" w:styleId="Normal1">
    <w:name w:val="Normal1"/>
    <w:rsid w:val="008C42EE"/>
    <w:pPr>
      <w:spacing w:after="0" w:line="276" w:lineRule="auto"/>
    </w:pPr>
    <w:rPr>
      <w:rFonts w:ascii="Arial" w:eastAsia="Arial" w:hAnsi="Arial" w:cs="Arial"/>
      <w:szCs w:val="22"/>
      <w:lang w:bidi="ar-SA"/>
    </w:rPr>
  </w:style>
  <w:style w:type="character" w:styleId="UnresolvedMention">
    <w:name w:val="Unresolved Mention"/>
    <w:basedOn w:val="DefaultParagraphFont"/>
    <w:uiPriority w:val="99"/>
    <w:semiHidden/>
    <w:unhideWhenUsed/>
    <w:rsid w:val="00501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1050">
      <w:bodyDiv w:val="1"/>
      <w:marLeft w:val="0"/>
      <w:marRight w:val="0"/>
      <w:marTop w:val="0"/>
      <w:marBottom w:val="0"/>
      <w:divBdr>
        <w:top w:val="none" w:sz="0" w:space="0" w:color="auto"/>
        <w:left w:val="none" w:sz="0" w:space="0" w:color="auto"/>
        <w:bottom w:val="none" w:sz="0" w:space="0" w:color="auto"/>
        <w:right w:val="none" w:sz="0" w:space="0" w:color="auto"/>
      </w:divBdr>
    </w:div>
    <w:div w:id="84427459">
      <w:bodyDiv w:val="1"/>
      <w:marLeft w:val="0"/>
      <w:marRight w:val="0"/>
      <w:marTop w:val="0"/>
      <w:marBottom w:val="0"/>
      <w:divBdr>
        <w:top w:val="none" w:sz="0" w:space="0" w:color="auto"/>
        <w:left w:val="none" w:sz="0" w:space="0" w:color="auto"/>
        <w:bottom w:val="none" w:sz="0" w:space="0" w:color="auto"/>
        <w:right w:val="none" w:sz="0" w:space="0" w:color="auto"/>
      </w:divBdr>
    </w:div>
    <w:div w:id="177742631">
      <w:bodyDiv w:val="1"/>
      <w:marLeft w:val="0"/>
      <w:marRight w:val="0"/>
      <w:marTop w:val="0"/>
      <w:marBottom w:val="0"/>
      <w:divBdr>
        <w:top w:val="none" w:sz="0" w:space="0" w:color="auto"/>
        <w:left w:val="none" w:sz="0" w:space="0" w:color="auto"/>
        <w:bottom w:val="none" w:sz="0" w:space="0" w:color="auto"/>
        <w:right w:val="none" w:sz="0" w:space="0" w:color="auto"/>
      </w:divBdr>
    </w:div>
    <w:div w:id="228198938">
      <w:bodyDiv w:val="1"/>
      <w:marLeft w:val="0"/>
      <w:marRight w:val="0"/>
      <w:marTop w:val="0"/>
      <w:marBottom w:val="0"/>
      <w:divBdr>
        <w:top w:val="none" w:sz="0" w:space="0" w:color="auto"/>
        <w:left w:val="none" w:sz="0" w:space="0" w:color="auto"/>
        <w:bottom w:val="none" w:sz="0" w:space="0" w:color="auto"/>
        <w:right w:val="none" w:sz="0" w:space="0" w:color="auto"/>
      </w:divBdr>
    </w:div>
    <w:div w:id="361829920">
      <w:bodyDiv w:val="1"/>
      <w:marLeft w:val="0"/>
      <w:marRight w:val="0"/>
      <w:marTop w:val="0"/>
      <w:marBottom w:val="0"/>
      <w:divBdr>
        <w:top w:val="none" w:sz="0" w:space="0" w:color="auto"/>
        <w:left w:val="none" w:sz="0" w:space="0" w:color="auto"/>
        <w:bottom w:val="none" w:sz="0" w:space="0" w:color="auto"/>
        <w:right w:val="none" w:sz="0" w:space="0" w:color="auto"/>
      </w:divBdr>
    </w:div>
    <w:div w:id="392582688">
      <w:bodyDiv w:val="1"/>
      <w:marLeft w:val="0"/>
      <w:marRight w:val="0"/>
      <w:marTop w:val="0"/>
      <w:marBottom w:val="0"/>
      <w:divBdr>
        <w:top w:val="none" w:sz="0" w:space="0" w:color="auto"/>
        <w:left w:val="none" w:sz="0" w:space="0" w:color="auto"/>
        <w:bottom w:val="none" w:sz="0" w:space="0" w:color="auto"/>
        <w:right w:val="none" w:sz="0" w:space="0" w:color="auto"/>
      </w:divBdr>
    </w:div>
    <w:div w:id="442723544">
      <w:bodyDiv w:val="1"/>
      <w:marLeft w:val="0"/>
      <w:marRight w:val="0"/>
      <w:marTop w:val="0"/>
      <w:marBottom w:val="0"/>
      <w:divBdr>
        <w:top w:val="none" w:sz="0" w:space="0" w:color="auto"/>
        <w:left w:val="none" w:sz="0" w:space="0" w:color="auto"/>
        <w:bottom w:val="none" w:sz="0" w:space="0" w:color="auto"/>
        <w:right w:val="none" w:sz="0" w:space="0" w:color="auto"/>
      </w:divBdr>
    </w:div>
    <w:div w:id="544104005">
      <w:bodyDiv w:val="1"/>
      <w:marLeft w:val="0"/>
      <w:marRight w:val="0"/>
      <w:marTop w:val="0"/>
      <w:marBottom w:val="0"/>
      <w:divBdr>
        <w:top w:val="none" w:sz="0" w:space="0" w:color="auto"/>
        <w:left w:val="none" w:sz="0" w:space="0" w:color="auto"/>
        <w:bottom w:val="none" w:sz="0" w:space="0" w:color="auto"/>
        <w:right w:val="none" w:sz="0" w:space="0" w:color="auto"/>
      </w:divBdr>
    </w:div>
    <w:div w:id="553853426">
      <w:bodyDiv w:val="1"/>
      <w:marLeft w:val="0"/>
      <w:marRight w:val="0"/>
      <w:marTop w:val="0"/>
      <w:marBottom w:val="0"/>
      <w:divBdr>
        <w:top w:val="none" w:sz="0" w:space="0" w:color="auto"/>
        <w:left w:val="none" w:sz="0" w:space="0" w:color="auto"/>
        <w:bottom w:val="none" w:sz="0" w:space="0" w:color="auto"/>
        <w:right w:val="none" w:sz="0" w:space="0" w:color="auto"/>
      </w:divBdr>
    </w:div>
    <w:div w:id="606691382">
      <w:bodyDiv w:val="1"/>
      <w:marLeft w:val="0"/>
      <w:marRight w:val="0"/>
      <w:marTop w:val="0"/>
      <w:marBottom w:val="0"/>
      <w:divBdr>
        <w:top w:val="none" w:sz="0" w:space="0" w:color="auto"/>
        <w:left w:val="none" w:sz="0" w:space="0" w:color="auto"/>
        <w:bottom w:val="none" w:sz="0" w:space="0" w:color="auto"/>
        <w:right w:val="none" w:sz="0" w:space="0" w:color="auto"/>
      </w:divBdr>
      <w:divsChild>
        <w:div w:id="740299697">
          <w:marLeft w:val="547"/>
          <w:marRight w:val="0"/>
          <w:marTop w:val="115"/>
          <w:marBottom w:val="0"/>
          <w:divBdr>
            <w:top w:val="none" w:sz="0" w:space="0" w:color="auto"/>
            <w:left w:val="none" w:sz="0" w:space="0" w:color="auto"/>
            <w:bottom w:val="none" w:sz="0" w:space="0" w:color="auto"/>
            <w:right w:val="none" w:sz="0" w:space="0" w:color="auto"/>
          </w:divBdr>
        </w:div>
        <w:div w:id="1017972587">
          <w:marLeft w:val="547"/>
          <w:marRight w:val="0"/>
          <w:marTop w:val="115"/>
          <w:marBottom w:val="0"/>
          <w:divBdr>
            <w:top w:val="none" w:sz="0" w:space="0" w:color="auto"/>
            <w:left w:val="none" w:sz="0" w:space="0" w:color="auto"/>
            <w:bottom w:val="none" w:sz="0" w:space="0" w:color="auto"/>
            <w:right w:val="none" w:sz="0" w:space="0" w:color="auto"/>
          </w:divBdr>
        </w:div>
      </w:divsChild>
    </w:div>
    <w:div w:id="656030213">
      <w:bodyDiv w:val="1"/>
      <w:marLeft w:val="0"/>
      <w:marRight w:val="0"/>
      <w:marTop w:val="0"/>
      <w:marBottom w:val="0"/>
      <w:divBdr>
        <w:top w:val="none" w:sz="0" w:space="0" w:color="auto"/>
        <w:left w:val="none" w:sz="0" w:space="0" w:color="auto"/>
        <w:bottom w:val="none" w:sz="0" w:space="0" w:color="auto"/>
        <w:right w:val="none" w:sz="0" w:space="0" w:color="auto"/>
      </w:divBdr>
    </w:div>
    <w:div w:id="692071678">
      <w:bodyDiv w:val="1"/>
      <w:marLeft w:val="0"/>
      <w:marRight w:val="0"/>
      <w:marTop w:val="0"/>
      <w:marBottom w:val="0"/>
      <w:divBdr>
        <w:top w:val="none" w:sz="0" w:space="0" w:color="auto"/>
        <w:left w:val="none" w:sz="0" w:space="0" w:color="auto"/>
        <w:bottom w:val="none" w:sz="0" w:space="0" w:color="auto"/>
        <w:right w:val="none" w:sz="0" w:space="0" w:color="auto"/>
      </w:divBdr>
    </w:div>
    <w:div w:id="786896728">
      <w:bodyDiv w:val="1"/>
      <w:marLeft w:val="0"/>
      <w:marRight w:val="0"/>
      <w:marTop w:val="0"/>
      <w:marBottom w:val="0"/>
      <w:divBdr>
        <w:top w:val="none" w:sz="0" w:space="0" w:color="auto"/>
        <w:left w:val="none" w:sz="0" w:space="0" w:color="auto"/>
        <w:bottom w:val="none" w:sz="0" w:space="0" w:color="auto"/>
        <w:right w:val="none" w:sz="0" w:space="0" w:color="auto"/>
      </w:divBdr>
    </w:div>
    <w:div w:id="823200352">
      <w:bodyDiv w:val="1"/>
      <w:marLeft w:val="0"/>
      <w:marRight w:val="0"/>
      <w:marTop w:val="0"/>
      <w:marBottom w:val="0"/>
      <w:divBdr>
        <w:top w:val="none" w:sz="0" w:space="0" w:color="auto"/>
        <w:left w:val="none" w:sz="0" w:space="0" w:color="auto"/>
        <w:bottom w:val="none" w:sz="0" w:space="0" w:color="auto"/>
        <w:right w:val="none" w:sz="0" w:space="0" w:color="auto"/>
      </w:divBdr>
    </w:div>
    <w:div w:id="918518869">
      <w:bodyDiv w:val="1"/>
      <w:marLeft w:val="0"/>
      <w:marRight w:val="0"/>
      <w:marTop w:val="0"/>
      <w:marBottom w:val="0"/>
      <w:divBdr>
        <w:top w:val="none" w:sz="0" w:space="0" w:color="auto"/>
        <w:left w:val="none" w:sz="0" w:space="0" w:color="auto"/>
        <w:bottom w:val="none" w:sz="0" w:space="0" w:color="auto"/>
        <w:right w:val="none" w:sz="0" w:space="0" w:color="auto"/>
      </w:divBdr>
    </w:div>
    <w:div w:id="1037655756">
      <w:bodyDiv w:val="1"/>
      <w:marLeft w:val="0"/>
      <w:marRight w:val="0"/>
      <w:marTop w:val="0"/>
      <w:marBottom w:val="0"/>
      <w:divBdr>
        <w:top w:val="none" w:sz="0" w:space="0" w:color="auto"/>
        <w:left w:val="none" w:sz="0" w:space="0" w:color="auto"/>
        <w:bottom w:val="none" w:sz="0" w:space="0" w:color="auto"/>
        <w:right w:val="none" w:sz="0" w:space="0" w:color="auto"/>
      </w:divBdr>
      <w:divsChild>
        <w:div w:id="861628490">
          <w:marLeft w:val="547"/>
          <w:marRight w:val="0"/>
          <w:marTop w:val="154"/>
          <w:marBottom w:val="0"/>
          <w:divBdr>
            <w:top w:val="none" w:sz="0" w:space="0" w:color="auto"/>
            <w:left w:val="none" w:sz="0" w:space="0" w:color="auto"/>
            <w:bottom w:val="none" w:sz="0" w:space="0" w:color="auto"/>
            <w:right w:val="none" w:sz="0" w:space="0" w:color="auto"/>
          </w:divBdr>
        </w:div>
        <w:div w:id="1381973788">
          <w:marLeft w:val="547"/>
          <w:marRight w:val="0"/>
          <w:marTop w:val="154"/>
          <w:marBottom w:val="0"/>
          <w:divBdr>
            <w:top w:val="none" w:sz="0" w:space="0" w:color="auto"/>
            <w:left w:val="none" w:sz="0" w:space="0" w:color="auto"/>
            <w:bottom w:val="none" w:sz="0" w:space="0" w:color="auto"/>
            <w:right w:val="none" w:sz="0" w:space="0" w:color="auto"/>
          </w:divBdr>
        </w:div>
      </w:divsChild>
    </w:div>
    <w:div w:id="1056054544">
      <w:bodyDiv w:val="1"/>
      <w:marLeft w:val="0"/>
      <w:marRight w:val="0"/>
      <w:marTop w:val="0"/>
      <w:marBottom w:val="0"/>
      <w:divBdr>
        <w:top w:val="none" w:sz="0" w:space="0" w:color="auto"/>
        <w:left w:val="none" w:sz="0" w:space="0" w:color="auto"/>
        <w:bottom w:val="none" w:sz="0" w:space="0" w:color="auto"/>
        <w:right w:val="none" w:sz="0" w:space="0" w:color="auto"/>
      </w:divBdr>
      <w:divsChild>
        <w:div w:id="1200703104">
          <w:marLeft w:val="0"/>
          <w:marRight w:val="0"/>
          <w:marTop w:val="0"/>
          <w:marBottom w:val="0"/>
          <w:divBdr>
            <w:top w:val="single" w:sz="2" w:space="0" w:color="D9D9E3"/>
            <w:left w:val="single" w:sz="2" w:space="0" w:color="D9D9E3"/>
            <w:bottom w:val="single" w:sz="2" w:space="0" w:color="D9D9E3"/>
            <w:right w:val="single" w:sz="2" w:space="0" w:color="D9D9E3"/>
          </w:divBdr>
          <w:divsChild>
            <w:div w:id="783966810">
              <w:marLeft w:val="0"/>
              <w:marRight w:val="0"/>
              <w:marTop w:val="0"/>
              <w:marBottom w:val="0"/>
              <w:divBdr>
                <w:top w:val="single" w:sz="2" w:space="0" w:color="D9D9E3"/>
                <w:left w:val="single" w:sz="2" w:space="0" w:color="D9D9E3"/>
                <w:bottom w:val="single" w:sz="2" w:space="0" w:color="D9D9E3"/>
                <w:right w:val="single" w:sz="2" w:space="0" w:color="D9D9E3"/>
              </w:divBdr>
              <w:divsChild>
                <w:div w:id="668827244">
                  <w:marLeft w:val="0"/>
                  <w:marRight w:val="0"/>
                  <w:marTop w:val="0"/>
                  <w:marBottom w:val="0"/>
                  <w:divBdr>
                    <w:top w:val="single" w:sz="2" w:space="0" w:color="D9D9E3"/>
                    <w:left w:val="single" w:sz="2" w:space="0" w:color="D9D9E3"/>
                    <w:bottom w:val="single" w:sz="2" w:space="0" w:color="D9D9E3"/>
                    <w:right w:val="single" w:sz="2" w:space="0" w:color="D9D9E3"/>
                  </w:divBdr>
                  <w:divsChild>
                    <w:div w:id="1210873498">
                      <w:marLeft w:val="0"/>
                      <w:marRight w:val="0"/>
                      <w:marTop w:val="0"/>
                      <w:marBottom w:val="0"/>
                      <w:divBdr>
                        <w:top w:val="single" w:sz="2" w:space="0" w:color="D9D9E3"/>
                        <w:left w:val="single" w:sz="2" w:space="0" w:color="D9D9E3"/>
                        <w:bottom w:val="single" w:sz="2" w:space="0" w:color="D9D9E3"/>
                        <w:right w:val="single" w:sz="2" w:space="0" w:color="D9D9E3"/>
                      </w:divBdr>
                      <w:divsChild>
                        <w:div w:id="938417316">
                          <w:marLeft w:val="0"/>
                          <w:marRight w:val="0"/>
                          <w:marTop w:val="0"/>
                          <w:marBottom w:val="0"/>
                          <w:divBdr>
                            <w:top w:val="single" w:sz="2" w:space="0" w:color="auto"/>
                            <w:left w:val="single" w:sz="2" w:space="0" w:color="auto"/>
                            <w:bottom w:val="single" w:sz="6" w:space="0" w:color="auto"/>
                            <w:right w:val="single" w:sz="2" w:space="0" w:color="auto"/>
                          </w:divBdr>
                          <w:divsChild>
                            <w:div w:id="117919456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0759880">
                                  <w:marLeft w:val="0"/>
                                  <w:marRight w:val="0"/>
                                  <w:marTop w:val="0"/>
                                  <w:marBottom w:val="0"/>
                                  <w:divBdr>
                                    <w:top w:val="single" w:sz="2" w:space="0" w:color="D9D9E3"/>
                                    <w:left w:val="single" w:sz="2" w:space="0" w:color="D9D9E3"/>
                                    <w:bottom w:val="single" w:sz="2" w:space="0" w:color="D9D9E3"/>
                                    <w:right w:val="single" w:sz="2" w:space="0" w:color="D9D9E3"/>
                                  </w:divBdr>
                                  <w:divsChild>
                                    <w:div w:id="1797135120">
                                      <w:marLeft w:val="0"/>
                                      <w:marRight w:val="0"/>
                                      <w:marTop w:val="0"/>
                                      <w:marBottom w:val="0"/>
                                      <w:divBdr>
                                        <w:top w:val="single" w:sz="2" w:space="0" w:color="D9D9E3"/>
                                        <w:left w:val="single" w:sz="2" w:space="0" w:color="D9D9E3"/>
                                        <w:bottom w:val="single" w:sz="2" w:space="0" w:color="D9D9E3"/>
                                        <w:right w:val="single" w:sz="2" w:space="0" w:color="D9D9E3"/>
                                      </w:divBdr>
                                      <w:divsChild>
                                        <w:div w:id="245456255">
                                          <w:marLeft w:val="0"/>
                                          <w:marRight w:val="0"/>
                                          <w:marTop w:val="0"/>
                                          <w:marBottom w:val="0"/>
                                          <w:divBdr>
                                            <w:top w:val="single" w:sz="2" w:space="0" w:color="D9D9E3"/>
                                            <w:left w:val="single" w:sz="2" w:space="0" w:color="D9D9E3"/>
                                            <w:bottom w:val="single" w:sz="2" w:space="0" w:color="D9D9E3"/>
                                            <w:right w:val="single" w:sz="2" w:space="0" w:color="D9D9E3"/>
                                          </w:divBdr>
                                          <w:divsChild>
                                            <w:div w:id="2141024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0369982">
          <w:marLeft w:val="0"/>
          <w:marRight w:val="0"/>
          <w:marTop w:val="0"/>
          <w:marBottom w:val="0"/>
          <w:divBdr>
            <w:top w:val="none" w:sz="0" w:space="0" w:color="auto"/>
            <w:left w:val="none" w:sz="0" w:space="0" w:color="auto"/>
            <w:bottom w:val="none" w:sz="0" w:space="0" w:color="auto"/>
            <w:right w:val="none" w:sz="0" w:space="0" w:color="auto"/>
          </w:divBdr>
        </w:div>
      </w:divsChild>
    </w:div>
    <w:div w:id="1136877699">
      <w:bodyDiv w:val="1"/>
      <w:marLeft w:val="0"/>
      <w:marRight w:val="0"/>
      <w:marTop w:val="0"/>
      <w:marBottom w:val="0"/>
      <w:divBdr>
        <w:top w:val="none" w:sz="0" w:space="0" w:color="auto"/>
        <w:left w:val="none" w:sz="0" w:space="0" w:color="auto"/>
        <w:bottom w:val="none" w:sz="0" w:space="0" w:color="auto"/>
        <w:right w:val="none" w:sz="0" w:space="0" w:color="auto"/>
      </w:divBdr>
    </w:div>
    <w:div w:id="1199900491">
      <w:bodyDiv w:val="1"/>
      <w:marLeft w:val="0"/>
      <w:marRight w:val="0"/>
      <w:marTop w:val="0"/>
      <w:marBottom w:val="0"/>
      <w:divBdr>
        <w:top w:val="none" w:sz="0" w:space="0" w:color="auto"/>
        <w:left w:val="none" w:sz="0" w:space="0" w:color="auto"/>
        <w:bottom w:val="none" w:sz="0" w:space="0" w:color="auto"/>
        <w:right w:val="none" w:sz="0" w:space="0" w:color="auto"/>
      </w:divBdr>
      <w:divsChild>
        <w:div w:id="555240545">
          <w:marLeft w:val="547"/>
          <w:marRight w:val="0"/>
          <w:marTop w:val="115"/>
          <w:marBottom w:val="0"/>
          <w:divBdr>
            <w:top w:val="none" w:sz="0" w:space="0" w:color="auto"/>
            <w:left w:val="none" w:sz="0" w:space="0" w:color="auto"/>
            <w:bottom w:val="none" w:sz="0" w:space="0" w:color="auto"/>
            <w:right w:val="none" w:sz="0" w:space="0" w:color="auto"/>
          </w:divBdr>
        </w:div>
      </w:divsChild>
    </w:div>
    <w:div w:id="1203323630">
      <w:bodyDiv w:val="1"/>
      <w:marLeft w:val="0"/>
      <w:marRight w:val="0"/>
      <w:marTop w:val="0"/>
      <w:marBottom w:val="0"/>
      <w:divBdr>
        <w:top w:val="none" w:sz="0" w:space="0" w:color="auto"/>
        <w:left w:val="none" w:sz="0" w:space="0" w:color="auto"/>
        <w:bottom w:val="none" w:sz="0" w:space="0" w:color="auto"/>
        <w:right w:val="none" w:sz="0" w:space="0" w:color="auto"/>
      </w:divBdr>
    </w:div>
    <w:div w:id="1235824182">
      <w:bodyDiv w:val="1"/>
      <w:marLeft w:val="0"/>
      <w:marRight w:val="0"/>
      <w:marTop w:val="0"/>
      <w:marBottom w:val="0"/>
      <w:divBdr>
        <w:top w:val="none" w:sz="0" w:space="0" w:color="auto"/>
        <w:left w:val="none" w:sz="0" w:space="0" w:color="auto"/>
        <w:bottom w:val="none" w:sz="0" w:space="0" w:color="auto"/>
        <w:right w:val="none" w:sz="0" w:space="0" w:color="auto"/>
      </w:divBdr>
    </w:div>
    <w:div w:id="1257399806">
      <w:bodyDiv w:val="1"/>
      <w:marLeft w:val="0"/>
      <w:marRight w:val="0"/>
      <w:marTop w:val="0"/>
      <w:marBottom w:val="0"/>
      <w:divBdr>
        <w:top w:val="none" w:sz="0" w:space="0" w:color="auto"/>
        <w:left w:val="none" w:sz="0" w:space="0" w:color="auto"/>
        <w:bottom w:val="none" w:sz="0" w:space="0" w:color="auto"/>
        <w:right w:val="none" w:sz="0" w:space="0" w:color="auto"/>
      </w:divBdr>
      <w:divsChild>
        <w:div w:id="1424374673">
          <w:marLeft w:val="547"/>
          <w:marRight w:val="0"/>
          <w:marTop w:val="96"/>
          <w:marBottom w:val="0"/>
          <w:divBdr>
            <w:top w:val="none" w:sz="0" w:space="0" w:color="auto"/>
            <w:left w:val="none" w:sz="0" w:space="0" w:color="auto"/>
            <w:bottom w:val="none" w:sz="0" w:space="0" w:color="auto"/>
            <w:right w:val="none" w:sz="0" w:space="0" w:color="auto"/>
          </w:divBdr>
        </w:div>
      </w:divsChild>
    </w:div>
    <w:div w:id="1303922049">
      <w:bodyDiv w:val="1"/>
      <w:marLeft w:val="0"/>
      <w:marRight w:val="0"/>
      <w:marTop w:val="0"/>
      <w:marBottom w:val="0"/>
      <w:divBdr>
        <w:top w:val="none" w:sz="0" w:space="0" w:color="auto"/>
        <w:left w:val="none" w:sz="0" w:space="0" w:color="auto"/>
        <w:bottom w:val="none" w:sz="0" w:space="0" w:color="auto"/>
        <w:right w:val="none" w:sz="0" w:space="0" w:color="auto"/>
      </w:divBdr>
    </w:div>
    <w:div w:id="1304892625">
      <w:bodyDiv w:val="1"/>
      <w:marLeft w:val="0"/>
      <w:marRight w:val="0"/>
      <w:marTop w:val="0"/>
      <w:marBottom w:val="0"/>
      <w:divBdr>
        <w:top w:val="none" w:sz="0" w:space="0" w:color="auto"/>
        <w:left w:val="none" w:sz="0" w:space="0" w:color="auto"/>
        <w:bottom w:val="none" w:sz="0" w:space="0" w:color="auto"/>
        <w:right w:val="none" w:sz="0" w:space="0" w:color="auto"/>
      </w:divBdr>
    </w:div>
    <w:div w:id="1402602436">
      <w:bodyDiv w:val="1"/>
      <w:marLeft w:val="0"/>
      <w:marRight w:val="0"/>
      <w:marTop w:val="0"/>
      <w:marBottom w:val="0"/>
      <w:divBdr>
        <w:top w:val="none" w:sz="0" w:space="0" w:color="auto"/>
        <w:left w:val="none" w:sz="0" w:space="0" w:color="auto"/>
        <w:bottom w:val="none" w:sz="0" w:space="0" w:color="auto"/>
        <w:right w:val="none" w:sz="0" w:space="0" w:color="auto"/>
      </w:divBdr>
    </w:div>
    <w:div w:id="1425301675">
      <w:bodyDiv w:val="1"/>
      <w:marLeft w:val="0"/>
      <w:marRight w:val="0"/>
      <w:marTop w:val="0"/>
      <w:marBottom w:val="0"/>
      <w:divBdr>
        <w:top w:val="none" w:sz="0" w:space="0" w:color="auto"/>
        <w:left w:val="none" w:sz="0" w:space="0" w:color="auto"/>
        <w:bottom w:val="none" w:sz="0" w:space="0" w:color="auto"/>
        <w:right w:val="none" w:sz="0" w:space="0" w:color="auto"/>
      </w:divBdr>
    </w:div>
    <w:div w:id="1514685729">
      <w:bodyDiv w:val="1"/>
      <w:marLeft w:val="0"/>
      <w:marRight w:val="0"/>
      <w:marTop w:val="0"/>
      <w:marBottom w:val="0"/>
      <w:divBdr>
        <w:top w:val="none" w:sz="0" w:space="0" w:color="auto"/>
        <w:left w:val="none" w:sz="0" w:space="0" w:color="auto"/>
        <w:bottom w:val="none" w:sz="0" w:space="0" w:color="auto"/>
        <w:right w:val="none" w:sz="0" w:space="0" w:color="auto"/>
      </w:divBdr>
    </w:div>
    <w:div w:id="1533112546">
      <w:bodyDiv w:val="1"/>
      <w:marLeft w:val="0"/>
      <w:marRight w:val="0"/>
      <w:marTop w:val="0"/>
      <w:marBottom w:val="0"/>
      <w:divBdr>
        <w:top w:val="none" w:sz="0" w:space="0" w:color="auto"/>
        <w:left w:val="none" w:sz="0" w:space="0" w:color="auto"/>
        <w:bottom w:val="none" w:sz="0" w:space="0" w:color="auto"/>
        <w:right w:val="none" w:sz="0" w:space="0" w:color="auto"/>
      </w:divBdr>
    </w:div>
    <w:div w:id="1726904229">
      <w:bodyDiv w:val="1"/>
      <w:marLeft w:val="0"/>
      <w:marRight w:val="0"/>
      <w:marTop w:val="0"/>
      <w:marBottom w:val="0"/>
      <w:divBdr>
        <w:top w:val="none" w:sz="0" w:space="0" w:color="auto"/>
        <w:left w:val="none" w:sz="0" w:space="0" w:color="auto"/>
        <w:bottom w:val="none" w:sz="0" w:space="0" w:color="auto"/>
        <w:right w:val="none" w:sz="0" w:space="0" w:color="auto"/>
      </w:divBdr>
    </w:div>
    <w:div w:id="1906378189">
      <w:bodyDiv w:val="1"/>
      <w:marLeft w:val="0"/>
      <w:marRight w:val="0"/>
      <w:marTop w:val="0"/>
      <w:marBottom w:val="0"/>
      <w:divBdr>
        <w:top w:val="none" w:sz="0" w:space="0" w:color="auto"/>
        <w:left w:val="none" w:sz="0" w:space="0" w:color="auto"/>
        <w:bottom w:val="none" w:sz="0" w:space="0" w:color="auto"/>
        <w:right w:val="none" w:sz="0" w:space="0" w:color="auto"/>
      </w:divBdr>
    </w:div>
    <w:div w:id="1960988742">
      <w:bodyDiv w:val="1"/>
      <w:marLeft w:val="0"/>
      <w:marRight w:val="0"/>
      <w:marTop w:val="0"/>
      <w:marBottom w:val="0"/>
      <w:divBdr>
        <w:top w:val="none" w:sz="0" w:space="0" w:color="auto"/>
        <w:left w:val="none" w:sz="0" w:space="0" w:color="auto"/>
        <w:bottom w:val="none" w:sz="0" w:space="0" w:color="auto"/>
        <w:right w:val="none" w:sz="0" w:space="0" w:color="auto"/>
      </w:divBdr>
    </w:div>
    <w:div w:id="2073116649">
      <w:bodyDiv w:val="1"/>
      <w:marLeft w:val="0"/>
      <w:marRight w:val="0"/>
      <w:marTop w:val="0"/>
      <w:marBottom w:val="0"/>
      <w:divBdr>
        <w:top w:val="none" w:sz="0" w:space="0" w:color="auto"/>
        <w:left w:val="none" w:sz="0" w:space="0" w:color="auto"/>
        <w:bottom w:val="none" w:sz="0" w:space="0" w:color="auto"/>
        <w:right w:val="none" w:sz="0" w:space="0" w:color="auto"/>
      </w:divBdr>
    </w:div>
    <w:div w:id="207527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image" Target="media/image8.png"/><Relationship Id="rId39" Type="http://schemas.openxmlformats.org/officeDocument/2006/relationships/hyperlink" Target="https://www.diageoindia.com/en/about-us" TargetMode="External"/><Relationship Id="rId21" Type="http://schemas.openxmlformats.org/officeDocument/2006/relationships/diagramLayout" Target="diagrams/layout2.xml"/><Relationship Id="rId34" Type="http://schemas.openxmlformats.org/officeDocument/2006/relationships/hyperlink" Target="https://www.diageo.com/en/our-business/where-we-operate/europe/diageo-great-britain" TargetMode="External"/><Relationship Id="rId42" Type="http://schemas.openxmlformats.org/officeDocument/2006/relationships/hyperlink" Target="https://economictimes.indiatimes.com/industry/cons-products/liquor/diageo-india-bullish-on-india-advocates-for-inflation-indexed-price-increase-harmonised-tax-structure/articleshow/100913817.cms?from=mdra" TargetMode="External"/><Relationship Id="rId47" Type="http://schemas.openxmlformats.org/officeDocument/2006/relationships/hyperlink" Target="https://www.macrotrends.net/stocks/charts/DEO/diageo/number-of-employees" TargetMode="External"/><Relationship Id="rId50" Type="http://schemas.openxmlformats.org/officeDocument/2006/relationships/hyperlink" Target="https://web-p-ebscohost-com.ezproxy.uwtsd.ac.uk/ehost/pdfviewer/pdfviewer?vid=0&amp;sid=4cd3942f-be3e-4efb-a273-36a32c830c3e%40redis" TargetMode="External"/><Relationship Id="rId55" Type="http://schemas.openxmlformats.org/officeDocument/2006/relationships/hyperlink" Target="https://timesofindia.indiatimes.com/topic/environmental-issues/news"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7.png"/><Relationship Id="rId33" Type="http://schemas.openxmlformats.org/officeDocument/2006/relationships/hyperlink" Target="https://www.diageo.com/en/careers/locations/asia-pacific/india" TargetMode="External"/><Relationship Id="rId38" Type="http://schemas.openxmlformats.org/officeDocument/2006/relationships/hyperlink" Target="https://www.diageo.com/en/our-business/where-we-operate/asia-pacific" TargetMode="External"/><Relationship Id="rId46" Type="http://schemas.openxmlformats.org/officeDocument/2006/relationships/hyperlink" Target="https://www.macrotrends.net/stocks/charts/DEO/diageo/net-income"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Data" Target="diagrams/data2.xml"/><Relationship Id="rId29" Type="http://schemas.openxmlformats.org/officeDocument/2006/relationships/hyperlink" Target="https://librarysearch.uwtsd.ac.uk/discovery/fulldisplay?docid=cdi_oup_oro_10_1093_acref_9780191863592_013_0009&amp;context=PC&amp;vid=44WHELF_UWTSD:44WHELF_UWTSD_VU1&amp;lang=en&amp;search_scope=MyInst_and_CI&amp;adaptor=Primo%20Central&amp;tab=Everything&amp;query=any" TargetMode="External"/><Relationship Id="rId41" Type="http://schemas.openxmlformats.org/officeDocument/2006/relationships/hyperlink" Target="https://librarysearch.uwtsd.ac.uk/discovery/fulldisplay?docid=cdi_doaj_primary_oai_doaj_org_article_d46718af9cf14e7784af5a8225163e6f&amp;context=PC&amp;vid=44WHELF_UWTSD:44WHELF_UWTSD_VU1&amp;lang=en&amp;search_scope=MyInst_and_CI&amp;adaptor=Primo%20Central&amp;tab=Everything&amp;query=any" TargetMode="External"/><Relationship Id="rId54" Type="http://schemas.openxmlformats.org/officeDocument/2006/relationships/hyperlink" Target="https://www.thehindubusinessline.com/catalyst/how-diageo-india-is-shaking-it-up/article65193106.e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microsoft.com/office/2007/relationships/diagramDrawing" Target="diagrams/drawing2.xml"/><Relationship Id="rId32" Type="http://schemas.openxmlformats.org/officeDocument/2006/relationships/hyperlink" Target="https://www.diageo.com/en/our-business/our-history" TargetMode="External"/><Relationship Id="rId37" Type="http://schemas.openxmlformats.org/officeDocument/2006/relationships/hyperlink" Target="https://www.diageo.com/en/our-business/where-we-operate/Europe" TargetMode="External"/><Relationship Id="rId40" Type="http://schemas.openxmlformats.org/officeDocument/2006/relationships/hyperlink" Target="https://www.diageo.com/en/careers/why-diageo/purpose-culture-and-values" TargetMode="External"/><Relationship Id="rId45" Type="http://schemas.openxmlformats.org/officeDocument/2006/relationships/hyperlink" Target="https://www.jsad.com/doi/abs/10.15288/jsads.2020.s19.13" TargetMode="External"/><Relationship Id="rId53" Type="http://schemas.openxmlformats.org/officeDocument/2006/relationships/hyperlink" Target="https://www.thehindu.com/opinion/op-ed/indias-rd-estimates-are-an-incomplete-picture/article66545931.ece"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Colors" Target="diagrams/colors2.xml"/><Relationship Id="rId28" Type="http://schemas.openxmlformats.org/officeDocument/2006/relationships/hyperlink" Target="https://ebookcentral.proquest.com/lib/trinity/reader.action?docID=5731459" TargetMode="External"/><Relationship Id="rId36" Type="http://schemas.openxmlformats.org/officeDocument/2006/relationships/hyperlink" Target="https://www.diageo.com/en/esg/promote-positive-drinking" TargetMode="External"/><Relationship Id="rId49" Type="http://schemas.openxmlformats.org/officeDocument/2006/relationships/hyperlink" Target="https://wwwsciencedirectcom.ezproxy.uwtsd.ac.uk/science/article/pii/S0268401216301694" TargetMode="External"/><Relationship Id="rId57"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image" Target="media/image6.png"/><Relationship Id="rId31" Type="http://schemas.openxmlformats.org/officeDocument/2006/relationships/hyperlink" Target="https://smallbusiness.chron.com/directional-strategy-23688.html" TargetMode="External"/><Relationship Id="rId44" Type="http://schemas.openxmlformats.org/officeDocument/2006/relationships/hyperlink" Target="https://economictimes.indiatimes.com/industry/cons-products/liquor/diageo-india-bullish-on-india-advocates-for-inflation-indexed-price-increase-harmonised-tax-structure/articleshow/100913817.cms?from=mdr" TargetMode="External"/><Relationship Id="rId52" Type="http://schemas.openxmlformats.org/officeDocument/2006/relationships/hyperlink" Target="https://www.theglobaleconomy.com/United-Kingdom/wb_political_stabili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diagramQuickStyle" Target="diagrams/quickStyle2.xml"/><Relationship Id="rId27" Type="http://schemas.openxmlformats.org/officeDocument/2006/relationships/hyperlink" Target="https://www.statista.com/outlook/cmo/alcoholicdrinks/india" TargetMode="External"/><Relationship Id="rId30" Type="http://schemas.openxmlformats.org/officeDocument/2006/relationships/hyperlink" Target="https://www.business-standard.com/article/companies/diageo-to-ride-on-united-spirits-india-distribution-1121110000441.html" TargetMode="External"/><Relationship Id="rId35" Type="http://schemas.openxmlformats.org/officeDocument/2006/relationships/hyperlink" Target="https://www.diageo.com/en/news-and-media/press-releases/2023/diageo-prices-500-million-of-fixed-rate-euro-denominated-bonds" TargetMode="External"/><Relationship Id="rId43" Type="http://schemas.openxmlformats.org/officeDocument/2006/relationships/hyperlink" Target="https://www.diageoindia.com/en/about-us" TargetMode="External"/><Relationship Id="rId48" Type="http://schemas.openxmlformats.org/officeDocument/2006/relationships/hyperlink" Target="https://media.diageo.com/diageo-corporate-media/media/d5ohbuzy/earnings-call-transcript-fy24-q1.pdf" TargetMode="External"/><Relationship Id="rId56" Type="http://schemas.openxmlformats.org/officeDocument/2006/relationships/hyperlink" Target="https://ebookcentral.proquest.com/lib/trinity/reader.action?docID=5987036" TargetMode="External"/><Relationship Id="rId8" Type="http://schemas.openxmlformats.org/officeDocument/2006/relationships/image" Target="media/image1.png"/><Relationship Id="rId51" Type="http://schemas.openxmlformats.org/officeDocument/2006/relationships/hyperlink" Target="https://www.statista.com/outlook/cmo/alcoholic-drinks/united-kingdom"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strRef>
              <c:f>Sheet1!$B$1</c:f>
              <c:strCache>
                <c:ptCount val="1"/>
                <c:pt idx="0">
                  <c:v>Total Revenue</c:v>
                </c:pt>
              </c:strCache>
            </c:strRef>
          </c:tx>
          <c:spPr>
            <a:solidFill>
              <a:schemeClr val="accent2"/>
            </a:solidFill>
            <a:ln>
              <a:noFill/>
            </a:ln>
            <a:effectLst/>
          </c:spPr>
          <c:invertIfNegative val="0"/>
          <c:cat>
            <c:numRef>
              <c:f>Sheet1!$A$2:$A$5</c:f>
              <c:numCache>
                <c:formatCode>General</c:formatCode>
                <c:ptCount val="4"/>
                <c:pt idx="0">
                  <c:v>2020</c:v>
                </c:pt>
                <c:pt idx="1">
                  <c:v>2021</c:v>
                </c:pt>
                <c:pt idx="2">
                  <c:v>2022</c:v>
                </c:pt>
                <c:pt idx="3">
                  <c:v>2023</c:v>
                </c:pt>
              </c:numCache>
            </c:numRef>
          </c:cat>
          <c:val>
            <c:numRef>
              <c:f>Sheet1!$B$2:$B$5</c:f>
              <c:numCache>
                <c:formatCode>General</c:formatCode>
                <c:ptCount val="4"/>
                <c:pt idx="0" formatCode="#,##0">
                  <c:v>14.9</c:v>
                </c:pt>
                <c:pt idx="1">
                  <c:v>17.137000000000043</c:v>
                </c:pt>
                <c:pt idx="2">
                  <c:v>20.567999999999987</c:v>
                </c:pt>
                <c:pt idx="3">
                  <c:v>20.613000000000035</c:v>
                </c:pt>
              </c:numCache>
            </c:numRef>
          </c:val>
          <c:extLst>
            <c:ext xmlns:c16="http://schemas.microsoft.com/office/drawing/2014/chart" uri="{C3380CC4-5D6E-409C-BE32-E72D297353CC}">
              <c16:uniqueId val="{00000001-8932-47A5-8A7D-5EBF74FA58A0}"/>
            </c:ext>
          </c:extLst>
        </c:ser>
        <c:ser>
          <c:idx val="0"/>
          <c:order val="1"/>
          <c:tx>
            <c:strRef>
              <c:f>Sheet1!$C$1</c:f>
              <c:strCache>
                <c:ptCount val="1"/>
                <c:pt idx="0">
                  <c:v>Net Income</c:v>
                </c:pt>
              </c:strCache>
            </c:strRef>
          </c:tx>
          <c:spPr>
            <a:solidFill>
              <a:schemeClr val="accent1"/>
            </a:solidFill>
            <a:ln>
              <a:noFill/>
            </a:ln>
            <a:effectLst/>
          </c:spPr>
          <c:invertIfNegative val="0"/>
          <c:cat>
            <c:numRef>
              <c:f>Sheet1!$A$2:$A$5</c:f>
              <c:numCache>
                <c:formatCode>General</c:formatCode>
                <c:ptCount val="4"/>
                <c:pt idx="0">
                  <c:v>2020</c:v>
                </c:pt>
                <c:pt idx="1">
                  <c:v>2021</c:v>
                </c:pt>
                <c:pt idx="2">
                  <c:v>2022</c:v>
                </c:pt>
                <c:pt idx="3">
                  <c:v>2023</c:v>
                </c:pt>
              </c:numCache>
            </c:numRef>
          </c:cat>
          <c:val>
            <c:numRef>
              <c:f>Sheet1!$C$2:$C$5</c:f>
              <c:numCache>
                <c:formatCode>General</c:formatCode>
                <c:ptCount val="4"/>
                <c:pt idx="0">
                  <c:v>1.8</c:v>
                </c:pt>
                <c:pt idx="1">
                  <c:v>3.58</c:v>
                </c:pt>
                <c:pt idx="2">
                  <c:v>4.3249999999999886</c:v>
                </c:pt>
                <c:pt idx="3">
                  <c:v>4.4980000000000002</c:v>
                </c:pt>
              </c:numCache>
            </c:numRef>
          </c:val>
          <c:extLst>
            <c:ext xmlns:c16="http://schemas.microsoft.com/office/drawing/2014/chart" uri="{C3380CC4-5D6E-409C-BE32-E72D297353CC}">
              <c16:uniqueId val="{00000003-8932-47A5-8A7D-5EBF74FA58A0}"/>
            </c:ext>
          </c:extLst>
        </c:ser>
        <c:dLbls>
          <c:showLegendKey val="0"/>
          <c:showVal val="0"/>
          <c:showCatName val="0"/>
          <c:showSerName val="0"/>
          <c:showPercent val="0"/>
          <c:showBubbleSize val="0"/>
        </c:dLbls>
        <c:gapWidth val="219"/>
        <c:overlap val="-27"/>
        <c:axId val="330674208"/>
        <c:axId val="328007536"/>
      </c:barChart>
      <c:catAx>
        <c:axId val="33067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007536"/>
        <c:crosses val="autoZero"/>
        <c:auto val="1"/>
        <c:lblAlgn val="ctr"/>
        <c:lblOffset val="100"/>
        <c:noMultiLvlLbl val="0"/>
      </c:catAx>
      <c:valAx>
        <c:axId val="328007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674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1F648D-A91D-444E-98E8-DA2E3CA003D1}"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6173B219-9B2E-4F25-A0F9-4CB93E4A5645}">
      <dgm:prSet phldrT="[Text]" custT="1"/>
      <dgm:spPr/>
      <dgm:t>
        <a:bodyPr/>
        <a:lstStyle/>
        <a:p>
          <a:pPr algn="l"/>
          <a:r>
            <a:rPr lang="en-US" sz="1000">
              <a:latin typeface="Times New Roman" panose="02020603050405020304" pitchFamily="18" charset="0"/>
              <a:cs typeface="Times New Roman" panose="02020603050405020304" pitchFamily="18" charset="0"/>
            </a:rPr>
            <a:t>The Macro-Environment</a:t>
          </a:r>
        </a:p>
      </dgm:t>
    </dgm:pt>
    <dgm:pt modelId="{A8924DFD-AD39-4DE6-BAFC-FDEA86025029}" type="parTrans" cxnId="{5DB35682-D2F5-41D1-B0F9-09E06DC8BD02}">
      <dgm:prSet/>
      <dgm:spPr/>
      <dgm:t>
        <a:bodyPr/>
        <a:lstStyle/>
        <a:p>
          <a:pPr algn="l"/>
          <a:endParaRPr lang="en-US"/>
        </a:p>
      </dgm:t>
    </dgm:pt>
    <dgm:pt modelId="{33D5D3C6-10B5-47C7-9ACC-E84DAE2F18CE}" type="sibTrans" cxnId="{5DB35682-D2F5-41D1-B0F9-09E06DC8BD02}">
      <dgm:prSet/>
      <dgm:spPr/>
      <dgm:t>
        <a:bodyPr/>
        <a:lstStyle/>
        <a:p>
          <a:pPr algn="l"/>
          <a:endParaRPr lang="en-US"/>
        </a:p>
      </dgm:t>
    </dgm:pt>
    <dgm:pt modelId="{5BE39774-7157-4F5D-9B3F-AE0102025E40}">
      <dgm:prSet phldrT="[Text]" custT="1"/>
      <dgm:spPr/>
      <dgm:t>
        <a:bodyPr/>
        <a:lstStyle/>
        <a:p>
          <a:pPr algn="l"/>
          <a:r>
            <a:rPr lang="en-US" sz="1000">
              <a:latin typeface="Times New Roman" panose="02020603050405020304" pitchFamily="18" charset="0"/>
              <a:cs typeface="Times New Roman" panose="02020603050405020304" pitchFamily="18" charset="0"/>
            </a:rPr>
            <a:t>Industry or Sector</a:t>
          </a:r>
        </a:p>
      </dgm:t>
    </dgm:pt>
    <dgm:pt modelId="{7F4E3688-C7B5-4F9B-ABC8-A14FC2520680}" type="parTrans" cxnId="{F54AE15D-EC1E-4C32-A6BC-F33C52F27172}">
      <dgm:prSet/>
      <dgm:spPr/>
      <dgm:t>
        <a:bodyPr/>
        <a:lstStyle/>
        <a:p>
          <a:pPr algn="l"/>
          <a:endParaRPr lang="en-US"/>
        </a:p>
      </dgm:t>
    </dgm:pt>
    <dgm:pt modelId="{AEB0566D-0BA9-42F3-9E9C-C717E217BA70}" type="sibTrans" cxnId="{F54AE15D-EC1E-4C32-A6BC-F33C52F27172}">
      <dgm:prSet/>
      <dgm:spPr/>
      <dgm:t>
        <a:bodyPr/>
        <a:lstStyle/>
        <a:p>
          <a:pPr algn="l"/>
          <a:endParaRPr lang="en-US"/>
        </a:p>
      </dgm:t>
    </dgm:pt>
    <dgm:pt modelId="{CEA3D3A3-12CF-4212-89B5-78D05436EEAC}">
      <dgm:prSet phldrT="[Text]" custT="1"/>
      <dgm:spPr/>
      <dgm:t>
        <a:bodyPr/>
        <a:lstStyle/>
        <a:p>
          <a:pPr algn="l"/>
          <a:r>
            <a:rPr lang="en-US" sz="1000">
              <a:latin typeface="Times New Roman" panose="02020603050405020304" pitchFamily="18" charset="0"/>
              <a:cs typeface="Times New Roman" panose="02020603050405020304" pitchFamily="18" charset="0"/>
            </a:rPr>
            <a:t>Competitors/Markets</a:t>
          </a:r>
        </a:p>
      </dgm:t>
    </dgm:pt>
    <dgm:pt modelId="{28CF3F6B-DE8E-43B5-860F-6D507DEB2BD9}" type="parTrans" cxnId="{F94C32C3-CCD2-4454-978C-789A69EF1824}">
      <dgm:prSet/>
      <dgm:spPr/>
      <dgm:t>
        <a:bodyPr/>
        <a:lstStyle/>
        <a:p>
          <a:pPr algn="l"/>
          <a:endParaRPr lang="en-US"/>
        </a:p>
      </dgm:t>
    </dgm:pt>
    <dgm:pt modelId="{ACF13853-03A4-4178-9E78-2E33503F8B77}" type="sibTrans" cxnId="{F94C32C3-CCD2-4454-978C-789A69EF1824}">
      <dgm:prSet/>
      <dgm:spPr/>
      <dgm:t>
        <a:bodyPr/>
        <a:lstStyle/>
        <a:p>
          <a:pPr algn="l"/>
          <a:endParaRPr lang="en-US"/>
        </a:p>
      </dgm:t>
    </dgm:pt>
    <dgm:pt modelId="{AC831F8A-12D0-4992-B9A6-B58F7A7CD6EE}">
      <dgm:prSet phldrT="[Text]" custT="1"/>
      <dgm:spPr/>
      <dgm:t>
        <a:bodyPr/>
        <a:lstStyle/>
        <a:p>
          <a:pPr algn="l"/>
          <a:r>
            <a:rPr lang="en-US" sz="1000">
              <a:latin typeface="Times New Roman" panose="02020603050405020304" pitchFamily="18" charset="0"/>
              <a:cs typeface="Times New Roman" panose="02020603050405020304" pitchFamily="18" charset="0"/>
            </a:rPr>
            <a:t>The Organisartion</a:t>
          </a:r>
        </a:p>
      </dgm:t>
    </dgm:pt>
    <dgm:pt modelId="{07926A96-7185-4ED6-BB97-5C8B109F675D}" type="parTrans" cxnId="{0CA9E55E-2CD4-4D4A-91B8-DEE15F085CB6}">
      <dgm:prSet/>
      <dgm:spPr/>
      <dgm:t>
        <a:bodyPr/>
        <a:lstStyle/>
        <a:p>
          <a:pPr algn="l"/>
          <a:endParaRPr lang="en-US"/>
        </a:p>
      </dgm:t>
    </dgm:pt>
    <dgm:pt modelId="{222AACC6-5C68-46B4-98A7-B36652620B46}" type="sibTrans" cxnId="{0CA9E55E-2CD4-4D4A-91B8-DEE15F085CB6}">
      <dgm:prSet/>
      <dgm:spPr/>
      <dgm:t>
        <a:bodyPr/>
        <a:lstStyle/>
        <a:p>
          <a:pPr algn="l"/>
          <a:endParaRPr lang="en-US"/>
        </a:p>
      </dgm:t>
    </dgm:pt>
    <dgm:pt modelId="{039CDF34-053F-476A-91B0-CCB0FAD325E3}" type="pres">
      <dgm:prSet presAssocID="{A31F648D-A91D-444E-98E8-DA2E3CA003D1}" presName="Name0" presStyleCnt="0">
        <dgm:presLayoutVars>
          <dgm:chMax val="7"/>
          <dgm:resizeHandles val="exact"/>
        </dgm:presLayoutVars>
      </dgm:prSet>
      <dgm:spPr/>
    </dgm:pt>
    <dgm:pt modelId="{B89972FF-2EB2-45C2-8E5E-869540EF5EB4}" type="pres">
      <dgm:prSet presAssocID="{A31F648D-A91D-444E-98E8-DA2E3CA003D1}" presName="comp1" presStyleCnt="0"/>
      <dgm:spPr/>
    </dgm:pt>
    <dgm:pt modelId="{B91C4D76-C319-4728-9C40-039119981173}" type="pres">
      <dgm:prSet presAssocID="{A31F648D-A91D-444E-98E8-DA2E3CA003D1}" presName="circle1" presStyleLbl="node1" presStyleIdx="0" presStyleCnt="4"/>
      <dgm:spPr/>
    </dgm:pt>
    <dgm:pt modelId="{5D925742-2D7F-4AFE-AAF2-7FEC44669D0F}" type="pres">
      <dgm:prSet presAssocID="{A31F648D-A91D-444E-98E8-DA2E3CA003D1}" presName="c1text" presStyleLbl="node1" presStyleIdx="0" presStyleCnt="4">
        <dgm:presLayoutVars>
          <dgm:bulletEnabled val="1"/>
        </dgm:presLayoutVars>
      </dgm:prSet>
      <dgm:spPr/>
    </dgm:pt>
    <dgm:pt modelId="{A9962F32-98E7-408C-8B09-361E2A9D7238}" type="pres">
      <dgm:prSet presAssocID="{A31F648D-A91D-444E-98E8-DA2E3CA003D1}" presName="comp2" presStyleCnt="0"/>
      <dgm:spPr/>
    </dgm:pt>
    <dgm:pt modelId="{304284EC-E7DE-48FC-806E-E3F906DD354D}" type="pres">
      <dgm:prSet presAssocID="{A31F648D-A91D-444E-98E8-DA2E3CA003D1}" presName="circle2" presStyleLbl="node1" presStyleIdx="1" presStyleCnt="4"/>
      <dgm:spPr/>
    </dgm:pt>
    <dgm:pt modelId="{CD7DFEA6-10DC-4184-A47C-47C679F6FAAB}" type="pres">
      <dgm:prSet presAssocID="{A31F648D-A91D-444E-98E8-DA2E3CA003D1}" presName="c2text" presStyleLbl="node1" presStyleIdx="1" presStyleCnt="4">
        <dgm:presLayoutVars>
          <dgm:bulletEnabled val="1"/>
        </dgm:presLayoutVars>
      </dgm:prSet>
      <dgm:spPr/>
    </dgm:pt>
    <dgm:pt modelId="{9F0ACF26-1FDD-4AB9-BC88-F1FFB189C403}" type="pres">
      <dgm:prSet presAssocID="{A31F648D-A91D-444E-98E8-DA2E3CA003D1}" presName="comp3" presStyleCnt="0"/>
      <dgm:spPr/>
    </dgm:pt>
    <dgm:pt modelId="{0811484F-034A-4BC7-BF57-B5F234D52449}" type="pres">
      <dgm:prSet presAssocID="{A31F648D-A91D-444E-98E8-DA2E3CA003D1}" presName="circle3" presStyleLbl="node1" presStyleIdx="2" presStyleCnt="4"/>
      <dgm:spPr/>
    </dgm:pt>
    <dgm:pt modelId="{02DFD556-3F6A-4552-B0F9-042E6C2B94BA}" type="pres">
      <dgm:prSet presAssocID="{A31F648D-A91D-444E-98E8-DA2E3CA003D1}" presName="c3text" presStyleLbl="node1" presStyleIdx="2" presStyleCnt="4">
        <dgm:presLayoutVars>
          <dgm:bulletEnabled val="1"/>
        </dgm:presLayoutVars>
      </dgm:prSet>
      <dgm:spPr/>
    </dgm:pt>
    <dgm:pt modelId="{074A77B7-E2A9-4945-AD9C-DA80EA7460D8}" type="pres">
      <dgm:prSet presAssocID="{A31F648D-A91D-444E-98E8-DA2E3CA003D1}" presName="comp4" presStyleCnt="0"/>
      <dgm:spPr/>
    </dgm:pt>
    <dgm:pt modelId="{2F66803F-4BCA-4DD5-8D58-568D975D637F}" type="pres">
      <dgm:prSet presAssocID="{A31F648D-A91D-444E-98E8-DA2E3CA003D1}" presName="circle4" presStyleLbl="node1" presStyleIdx="3" presStyleCnt="4"/>
      <dgm:spPr/>
    </dgm:pt>
    <dgm:pt modelId="{822A0CAF-D9C3-491B-8E60-6DCF7D8AD134}" type="pres">
      <dgm:prSet presAssocID="{A31F648D-A91D-444E-98E8-DA2E3CA003D1}" presName="c4text" presStyleLbl="node1" presStyleIdx="3" presStyleCnt="4">
        <dgm:presLayoutVars>
          <dgm:bulletEnabled val="1"/>
        </dgm:presLayoutVars>
      </dgm:prSet>
      <dgm:spPr/>
    </dgm:pt>
  </dgm:ptLst>
  <dgm:cxnLst>
    <dgm:cxn modelId="{278E0E05-B36D-4E2F-914B-F6B06D2DCAB4}" type="presOf" srcId="{CEA3D3A3-12CF-4212-89B5-78D05436EEAC}" destId="{0811484F-034A-4BC7-BF57-B5F234D52449}" srcOrd="0" destOrd="0" presId="urn:microsoft.com/office/officeart/2005/8/layout/venn2"/>
    <dgm:cxn modelId="{035D8E19-D84E-49B5-85D5-B2CBB033514A}" type="presOf" srcId="{AC831F8A-12D0-4992-B9A6-B58F7A7CD6EE}" destId="{2F66803F-4BCA-4DD5-8D58-568D975D637F}" srcOrd="0" destOrd="0" presId="urn:microsoft.com/office/officeart/2005/8/layout/venn2"/>
    <dgm:cxn modelId="{05F70B36-FD6D-461F-BD52-913150F99F13}" type="presOf" srcId="{6173B219-9B2E-4F25-A0F9-4CB93E4A5645}" destId="{B91C4D76-C319-4728-9C40-039119981173}" srcOrd="0" destOrd="0" presId="urn:microsoft.com/office/officeart/2005/8/layout/venn2"/>
    <dgm:cxn modelId="{F54AE15D-EC1E-4C32-A6BC-F33C52F27172}" srcId="{A31F648D-A91D-444E-98E8-DA2E3CA003D1}" destId="{5BE39774-7157-4F5D-9B3F-AE0102025E40}" srcOrd="1" destOrd="0" parTransId="{7F4E3688-C7B5-4F9B-ABC8-A14FC2520680}" sibTransId="{AEB0566D-0BA9-42F3-9E9C-C717E217BA70}"/>
    <dgm:cxn modelId="{0CA9E55E-2CD4-4D4A-91B8-DEE15F085CB6}" srcId="{A31F648D-A91D-444E-98E8-DA2E3CA003D1}" destId="{AC831F8A-12D0-4992-B9A6-B58F7A7CD6EE}" srcOrd="3" destOrd="0" parTransId="{07926A96-7185-4ED6-BB97-5C8B109F675D}" sibTransId="{222AACC6-5C68-46B4-98A7-B36652620B46}"/>
    <dgm:cxn modelId="{F44C7871-C4A2-4732-8DAB-BEBA2D403904}" type="presOf" srcId="{6173B219-9B2E-4F25-A0F9-4CB93E4A5645}" destId="{5D925742-2D7F-4AFE-AAF2-7FEC44669D0F}" srcOrd="1" destOrd="0" presId="urn:microsoft.com/office/officeart/2005/8/layout/venn2"/>
    <dgm:cxn modelId="{5DB35682-D2F5-41D1-B0F9-09E06DC8BD02}" srcId="{A31F648D-A91D-444E-98E8-DA2E3CA003D1}" destId="{6173B219-9B2E-4F25-A0F9-4CB93E4A5645}" srcOrd="0" destOrd="0" parTransId="{A8924DFD-AD39-4DE6-BAFC-FDEA86025029}" sibTransId="{33D5D3C6-10B5-47C7-9ACC-E84DAE2F18CE}"/>
    <dgm:cxn modelId="{86A41695-C15B-4AAA-BACC-103CD4910D24}" type="presOf" srcId="{AC831F8A-12D0-4992-B9A6-B58F7A7CD6EE}" destId="{822A0CAF-D9C3-491B-8E60-6DCF7D8AD134}" srcOrd="1" destOrd="0" presId="urn:microsoft.com/office/officeart/2005/8/layout/venn2"/>
    <dgm:cxn modelId="{E9D9FDA5-6592-41B6-B216-DFBD32788614}" type="presOf" srcId="{5BE39774-7157-4F5D-9B3F-AE0102025E40}" destId="{304284EC-E7DE-48FC-806E-E3F906DD354D}" srcOrd="0" destOrd="0" presId="urn:microsoft.com/office/officeart/2005/8/layout/venn2"/>
    <dgm:cxn modelId="{644AC6AE-834E-4CA7-AE51-CD12DF65080F}" type="presOf" srcId="{CEA3D3A3-12CF-4212-89B5-78D05436EEAC}" destId="{02DFD556-3F6A-4552-B0F9-042E6C2B94BA}" srcOrd="1" destOrd="0" presId="urn:microsoft.com/office/officeart/2005/8/layout/venn2"/>
    <dgm:cxn modelId="{F94C32C3-CCD2-4454-978C-789A69EF1824}" srcId="{A31F648D-A91D-444E-98E8-DA2E3CA003D1}" destId="{CEA3D3A3-12CF-4212-89B5-78D05436EEAC}" srcOrd="2" destOrd="0" parTransId="{28CF3F6B-DE8E-43B5-860F-6D507DEB2BD9}" sibTransId="{ACF13853-03A4-4178-9E78-2E33503F8B77}"/>
    <dgm:cxn modelId="{1ED24CD8-1882-4332-B89C-5C4CE26E8B0C}" type="presOf" srcId="{5BE39774-7157-4F5D-9B3F-AE0102025E40}" destId="{CD7DFEA6-10DC-4184-A47C-47C679F6FAAB}" srcOrd="1" destOrd="0" presId="urn:microsoft.com/office/officeart/2005/8/layout/venn2"/>
    <dgm:cxn modelId="{BB7633F2-51C7-4D89-BC18-6BFD2E8D280C}" type="presOf" srcId="{A31F648D-A91D-444E-98E8-DA2E3CA003D1}" destId="{039CDF34-053F-476A-91B0-CCB0FAD325E3}" srcOrd="0" destOrd="0" presId="urn:microsoft.com/office/officeart/2005/8/layout/venn2"/>
    <dgm:cxn modelId="{4F334C1F-F30E-43E3-85B0-AFC59EF69E40}" type="presParOf" srcId="{039CDF34-053F-476A-91B0-CCB0FAD325E3}" destId="{B89972FF-2EB2-45C2-8E5E-869540EF5EB4}" srcOrd="0" destOrd="0" presId="urn:microsoft.com/office/officeart/2005/8/layout/venn2"/>
    <dgm:cxn modelId="{AE3DC328-9A4C-461F-A732-B80FD1912A70}" type="presParOf" srcId="{B89972FF-2EB2-45C2-8E5E-869540EF5EB4}" destId="{B91C4D76-C319-4728-9C40-039119981173}" srcOrd="0" destOrd="0" presId="urn:microsoft.com/office/officeart/2005/8/layout/venn2"/>
    <dgm:cxn modelId="{11AA53F1-ECD8-42A1-ADCF-203BF9389034}" type="presParOf" srcId="{B89972FF-2EB2-45C2-8E5E-869540EF5EB4}" destId="{5D925742-2D7F-4AFE-AAF2-7FEC44669D0F}" srcOrd="1" destOrd="0" presId="urn:microsoft.com/office/officeart/2005/8/layout/venn2"/>
    <dgm:cxn modelId="{949C977A-72FA-4326-B439-5022CC576879}" type="presParOf" srcId="{039CDF34-053F-476A-91B0-CCB0FAD325E3}" destId="{A9962F32-98E7-408C-8B09-361E2A9D7238}" srcOrd="1" destOrd="0" presId="urn:microsoft.com/office/officeart/2005/8/layout/venn2"/>
    <dgm:cxn modelId="{DD24E3F6-B3B3-4FE3-B562-842C2EDBE39A}" type="presParOf" srcId="{A9962F32-98E7-408C-8B09-361E2A9D7238}" destId="{304284EC-E7DE-48FC-806E-E3F906DD354D}" srcOrd="0" destOrd="0" presId="urn:microsoft.com/office/officeart/2005/8/layout/venn2"/>
    <dgm:cxn modelId="{E32851DA-167B-499E-A2C6-371A273342C5}" type="presParOf" srcId="{A9962F32-98E7-408C-8B09-361E2A9D7238}" destId="{CD7DFEA6-10DC-4184-A47C-47C679F6FAAB}" srcOrd="1" destOrd="0" presId="urn:microsoft.com/office/officeart/2005/8/layout/venn2"/>
    <dgm:cxn modelId="{8EC05CFC-2ACC-41FE-8617-8805AE06F976}" type="presParOf" srcId="{039CDF34-053F-476A-91B0-CCB0FAD325E3}" destId="{9F0ACF26-1FDD-4AB9-BC88-F1FFB189C403}" srcOrd="2" destOrd="0" presId="urn:microsoft.com/office/officeart/2005/8/layout/venn2"/>
    <dgm:cxn modelId="{0E2A834B-D67D-4AF2-A181-BA287F38B4AD}" type="presParOf" srcId="{9F0ACF26-1FDD-4AB9-BC88-F1FFB189C403}" destId="{0811484F-034A-4BC7-BF57-B5F234D52449}" srcOrd="0" destOrd="0" presId="urn:microsoft.com/office/officeart/2005/8/layout/venn2"/>
    <dgm:cxn modelId="{883605E6-168E-4976-92DE-BD9B4C60D864}" type="presParOf" srcId="{9F0ACF26-1FDD-4AB9-BC88-F1FFB189C403}" destId="{02DFD556-3F6A-4552-B0F9-042E6C2B94BA}" srcOrd="1" destOrd="0" presId="urn:microsoft.com/office/officeart/2005/8/layout/venn2"/>
    <dgm:cxn modelId="{17A02AA4-B0C1-4E8D-B0E2-8D4D05A3FC89}" type="presParOf" srcId="{039CDF34-053F-476A-91B0-CCB0FAD325E3}" destId="{074A77B7-E2A9-4945-AD9C-DA80EA7460D8}" srcOrd="3" destOrd="0" presId="urn:microsoft.com/office/officeart/2005/8/layout/venn2"/>
    <dgm:cxn modelId="{9F213860-981C-4542-9C4F-CE216DFA02F9}" type="presParOf" srcId="{074A77B7-E2A9-4945-AD9C-DA80EA7460D8}" destId="{2F66803F-4BCA-4DD5-8D58-568D975D637F}" srcOrd="0" destOrd="0" presId="urn:microsoft.com/office/officeart/2005/8/layout/venn2"/>
    <dgm:cxn modelId="{3E81F681-899B-41A6-AF4B-39DC6B70E51C}" type="presParOf" srcId="{074A77B7-E2A9-4945-AD9C-DA80EA7460D8}" destId="{822A0CAF-D9C3-491B-8E60-6DCF7D8AD134}" srcOrd="1" destOrd="0" presId="urn:microsoft.com/office/officeart/2005/8/layout/ven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9F637E-E2B6-45BC-9663-D459134A8415}"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US"/>
        </a:p>
      </dgm:t>
    </dgm:pt>
    <dgm:pt modelId="{AC32DF01-BBC2-4926-928F-471FD9E32741}">
      <dgm:prSet phldrT="[Text]"/>
      <dgm:spPr/>
      <dgm:t>
        <a:bodyPr/>
        <a:lstStyle/>
        <a:p>
          <a:pPr algn="ctr"/>
          <a:r>
            <a:rPr lang="en-US" b="1">
              <a:solidFill>
                <a:schemeClr val="tx1"/>
              </a:solidFill>
            </a:rPr>
            <a:t>Marketing mix for Diageo (7 Ps)</a:t>
          </a:r>
        </a:p>
      </dgm:t>
    </dgm:pt>
    <dgm:pt modelId="{F291DDAB-B261-4D1C-9883-A03D52C7CA38}" type="parTrans" cxnId="{F23E8423-8E6C-41A2-817F-E3A708DFCEEE}">
      <dgm:prSet/>
      <dgm:spPr/>
      <dgm:t>
        <a:bodyPr/>
        <a:lstStyle/>
        <a:p>
          <a:pPr algn="ctr"/>
          <a:endParaRPr lang="en-US"/>
        </a:p>
      </dgm:t>
    </dgm:pt>
    <dgm:pt modelId="{60E45A25-A913-4EE3-9C16-D789A94ACEF9}" type="sibTrans" cxnId="{F23E8423-8E6C-41A2-817F-E3A708DFCEEE}">
      <dgm:prSet/>
      <dgm:spPr/>
      <dgm:t>
        <a:bodyPr/>
        <a:lstStyle/>
        <a:p>
          <a:pPr algn="ctr"/>
          <a:endParaRPr lang="en-US"/>
        </a:p>
      </dgm:t>
    </dgm:pt>
    <dgm:pt modelId="{951C96D9-C95F-4025-8381-376BBA8B42A3}">
      <dgm:prSet phldrT="[Text]"/>
      <dgm:spPr/>
      <dgm:t>
        <a:bodyPr/>
        <a:lstStyle/>
        <a:p>
          <a:pPr algn="ctr"/>
          <a:r>
            <a:rPr lang="en-US" b="1">
              <a:solidFill>
                <a:schemeClr val="tx1"/>
              </a:solidFill>
            </a:rPr>
            <a:t>Product</a:t>
          </a:r>
        </a:p>
      </dgm:t>
    </dgm:pt>
    <dgm:pt modelId="{0EC8A3EF-D8EC-456F-95AB-795B77C02DC7}" type="parTrans" cxnId="{9F9BC70E-7A54-4266-A1B8-8ABB5EB176B3}">
      <dgm:prSet/>
      <dgm:spPr/>
      <dgm:t>
        <a:bodyPr/>
        <a:lstStyle/>
        <a:p>
          <a:pPr algn="ctr"/>
          <a:endParaRPr lang="en-US"/>
        </a:p>
      </dgm:t>
    </dgm:pt>
    <dgm:pt modelId="{4F453C91-A212-470D-9FEC-DD8C5A87D383}" type="sibTrans" cxnId="{9F9BC70E-7A54-4266-A1B8-8ABB5EB176B3}">
      <dgm:prSet/>
      <dgm:spPr/>
      <dgm:t>
        <a:bodyPr/>
        <a:lstStyle/>
        <a:p>
          <a:pPr algn="ctr"/>
          <a:endParaRPr lang="en-US"/>
        </a:p>
      </dgm:t>
    </dgm:pt>
    <dgm:pt modelId="{90741006-E2A3-4823-83E6-90B751F0EA44}">
      <dgm:prSet phldrT="[Text]"/>
      <dgm:spPr/>
      <dgm:t>
        <a:bodyPr/>
        <a:lstStyle/>
        <a:p>
          <a:pPr algn="ctr"/>
          <a:r>
            <a:rPr lang="en-US" b="1">
              <a:solidFill>
                <a:schemeClr val="tx1"/>
              </a:solidFill>
            </a:rPr>
            <a:t>Place</a:t>
          </a:r>
        </a:p>
      </dgm:t>
    </dgm:pt>
    <dgm:pt modelId="{0CB3EF91-D9C7-457E-8E3E-85BB3F0CFD7B}" type="parTrans" cxnId="{DDB6703E-DED0-4621-9902-BDC0046C74EC}">
      <dgm:prSet/>
      <dgm:spPr/>
      <dgm:t>
        <a:bodyPr/>
        <a:lstStyle/>
        <a:p>
          <a:pPr algn="ctr"/>
          <a:endParaRPr lang="en-US"/>
        </a:p>
      </dgm:t>
    </dgm:pt>
    <dgm:pt modelId="{04645A67-A19C-41B7-B704-DF2119457C7B}" type="sibTrans" cxnId="{DDB6703E-DED0-4621-9902-BDC0046C74EC}">
      <dgm:prSet/>
      <dgm:spPr/>
      <dgm:t>
        <a:bodyPr/>
        <a:lstStyle/>
        <a:p>
          <a:pPr algn="ctr"/>
          <a:endParaRPr lang="en-US"/>
        </a:p>
      </dgm:t>
    </dgm:pt>
    <dgm:pt modelId="{DC136257-5986-4F26-A238-74AC050BE9B7}">
      <dgm:prSet phldrT="[Text]"/>
      <dgm:spPr/>
      <dgm:t>
        <a:bodyPr/>
        <a:lstStyle/>
        <a:p>
          <a:pPr algn="ctr"/>
          <a:r>
            <a:rPr lang="en-US" b="1">
              <a:solidFill>
                <a:schemeClr val="tx1"/>
              </a:solidFill>
            </a:rPr>
            <a:t>Promotion</a:t>
          </a:r>
        </a:p>
      </dgm:t>
    </dgm:pt>
    <dgm:pt modelId="{86843E6A-D7AA-47BA-9960-4DFD643903F9}" type="parTrans" cxnId="{E5012FDB-69D7-4E3F-8087-44048E574154}">
      <dgm:prSet/>
      <dgm:spPr/>
      <dgm:t>
        <a:bodyPr/>
        <a:lstStyle/>
        <a:p>
          <a:pPr algn="ctr"/>
          <a:endParaRPr lang="en-US"/>
        </a:p>
      </dgm:t>
    </dgm:pt>
    <dgm:pt modelId="{BB241E21-3F9C-46A1-A9ED-E9153718B738}" type="sibTrans" cxnId="{E5012FDB-69D7-4E3F-8087-44048E574154}">
      <dgm:prSet/>
      <dgm:spPr/>
      <dgm:t>
        <a:bodyPr/>
        <a:lstStyle/>
        <a:p>
          <a:pPr algn="ctr"/>
          <a:endParaRPr lang="en-US"/>
        </a:p>
      </dgm:t>
    </dgm:pt>
    <dgm:pt modelId="{3C7A7042-1B44-4DC2-8E1C-5348B630680B}">
      <dgm:prSet phldrT="[Text]"/>
      <dgm:spPr/>
      <dgm:t>
        <a:bodyPr/>
        <a:lstStyle/>
        <a:p>
          <a:pPr algn="ctr"/>
          <a:r>
            <a:rPr lang="en-US" b="1">
              <a:solidFill>
                <a:schemeClr val="tx1"/>
              </a:solidFill>
            </a:rPr>
            <a:t>People</a:t>
          </a:r>
        </a:p>
      </dgm:t>
    </dgm:pt>
    <dgm:pt modelId="{1AF296F9-B6E1-4667-B6C3-2910D762C369}" type="parTrans" cxnId="{B41E0F55-F14A-44BD-867D-E2785992CD1A}">
      <dgm:prSet/>
      <dgm:spPr/>
      <dgm:t>
        <a:bodyPr/>
        <a:lstStyle/>
        <a:p>
          <a:pPr algn="ctr"/>
          <a:endParaRPr lang="en-US"/>
        </a:p>
      </dgm:t>
    </dgm:pt>
    <dgm:pt modelId="{E927ECB0-AAAB-420F-82BC-C3D64C94FFAF}" type="sibTrans" cxnId="{B41E0F55-F14A-44BD-867D-E2785992CD1A}">
      <dgm:prSet/>
      <dgm:spPr/>
      <dgm:t>
        <a:bodyPr/>
        <a:lstStyle/>
        <a:p>
          <a:pPr algn="ctr"/>
          <a:endParaRPr lang="en-US"/>
        </a:p>
      </dgm:t>
    </dgm:pt>
    <dgm:pt modelId="{4877B1CD-68B6-46BD-89CF-2DB5ED9F1980}">
      <dgm:prSet phldrT="[Text]"/>
      <dgm:spPr/>
      <dgm:t>
        <a:bodyPr/>
        <a:lstStyle/>
        <a:p>
          <a:pPr algn="ctr"/>
          <a:r>
            <a:rPr lang="en-US" b="1">
              <a:solidFill>
                <a:schemeClr val="tx1"/>
              </a:solidFill>
            </a:rPr>
            <a:t>Price</a:t>
          </a:r>
        </a:p>
      </dgm:t>
    </dgm:pt>
    <dgm:pt modelId="{6D99B601-9E5D-4E3D-8033-75DC499E7004}" type="parTrans" cxnId="{20042A2F-B005-4663-81D5-42D13D5CBCEF}">
      <dgm:prSet/>
      <dgm:spPr/>
      <dgm:t>
        <a:bodyPr/>
        <a:lstStyle/>
        <a:p>
          <a:pPr algn="ctr"/>
          <a:endParaRPr lang="en-US"/>
        </a:p>
      </dgm:t>
    </dgm:pt>
    <dgm:pt modelId="{8B400A10-780F-4F5E-B0E3-35C24D7D1E42}" type="sibTrans" cxnId="{20042A2F-B005-4663-81D5-42D13D5CBCEF}">
      <dgm:prSet/>
      <dgm:spPr/>
      <dgm:t>
        <a:bodyPr/>
        <a:lstStyle/>
        <a:p>
          <a:pPr algn="ctr"/>
          <a:endParaRPr lang="en-US"/>
        </a:p>
      </dgm:t>
    </dgm:pt>
    <dgm:pt modelId="{A1C1C57E-5E59-4596-AA41-80665B261645}">
      <dgm:prSet phldrT="[Text]"/>
      <dgm:spPr/>
      <dgm:t>
        <a:bodyPr/>
        <a:lstStyle/>
        <a:p>
          <a:pPr algn="ctr"/>
          <a:r>
            <a:rPr lang="en-US" b="1">
              <a:solidFill>
                <a:schemeClr val="tx1"/>
              </a:solidFill>
            </a:rPr>
            <a:t>Process</a:t>
          </a:r>
        </a:p>
      </dgm:t>
    </dgm:pt>
    <dgm:pt modelId="{0B7B393C-EF3C-4956-8F9A-F419839AD05F}" type="parTrans" cxnId="{2F932328-D8C5-4D21-A663-8A6A98FE60C7}">
      <dgm:prSet/>
      <dgm:spPr/>
      <dgm:t>
        <a:bodyPr/>
        <a:lstStyle/>
        <a:p>
          <a:pPr algn="ctr"/>
          <a:endParaRPr lang="en-US"/>
        </a:p>
      </dgm:t>
    </dgm:pt>
    <dgm:pt modelId="{3DB309FA-17CB-437F-B931-E08CE4FD26AA}" type="sibTrans" cxnId="{2F932328-D8C5-4D21-A663-8A6A98FE60C7}">
      <dgm:prSet/>
      <dgm:spPr/>
      <dgm:t>
        <a:bodyPr/>
        <a:lstStyle/>
        <a:p>
          <a:pPr algn="ctr"/>
          <a:endParaRPr lang="en-US"/>
        </a:p>
      </dgm:t>
    </dgm:pt>
    <dgm:pt modelId="{2F097F95-957A-4AA2-855A-99812928158A}">
      <dgm:prSet phldrT="[Text]"/>
      <dgm:spPr/>
      <dgm:t>
        <a:bodyPr/>
        <a:lstStyle/>
        <a:p>
          <a:pPr algn="ctr"/>
          <a:r>
            <a:rPr lang="en-US" b="1">
              <a:solidFill>
                <a:schemeClr val="tx1"/>
              </a:solidFill>
            </a:rPr>
            <a:t>Physical evidence</a:t>
          </a:r>
        </a:p>
      </dgm:t>
    </dgm:pt>
    <dgm:pt modelId="{E503C57E-F6A9-4E36-B3C6-3D9FDEC21E9F}" type="parTrans" cxnId="{6A020E03-7B84-41E5-AF4D-813B8BAA429D}">
      <dgm:prSet/>
      <dgm:spPr/>
      <dgm:t>
        <a:bodyPr/>
        <a:lstStyle/>
        <a:p>
          <a:pPr algn="ctr"/>
          <a:endParaRPr lang="en-US"/>
        </a:p>
      </dgm:t>
    </dgm:pt>
    <dgm:pt modelId="{07DED98A-2F3A-4DDC-B6AD-9CE73E3CAD1D}" type="sibTrans" cxnId="{6A020E03-7B84-41E5-AF4D-813B8BAA429D}">
      <dgm:prSet/>
      <dgm:spPr/>
      <dgm:t>
        <a:bodyPr/>
        <a:lstStyle/>
        <a:p>
          <a:pPr algn="ctr"/>
          <a:endParaRPr lang="en-US"/>
        </a:p>
      </dgm:t>
    </dgm:pt>
    <dgm:pt modelId="{B77CB082-8A1B-4CC5-999D-695600B67953}" type="pres">
      <dgm:prSet presAssocID="{269F637E-E2B6-45BC-9663-D459134A8415}" presName="Name0" presStyleCnt="0">
        <dgm:presLayoutVars>
          <dgm:chMax val="1"/>
          <dgm:dir/>
          <dgm:animLvl val="ctr"/>
          <dgm:resizeHandles val="exact"/>
        </dgm:presLayoutVars>
      </dgm:prSet>
      <dgm:spPr/>
    </dgm:pt>
    <dgm:pt modelId="{CFA81343-6502-44FE-B13A-BA3F778E6A40}" type="pres">
      <dgm:prSet presAssocID="{AC32DF01-BBC2-4926-928F-471FD9E32741}" presName="centerShape" presStyleLbl="node0" presStyleIdx="0" presStyleCnt="1"/>
      <dgm:spPr/>
    </dgm:pt>
    <dgm:pt modelId="{96897DE7-045C-48D9-A261-4AF2170F7533}" type="pres">
      <dgm:prSet presAssocID="{0EC8A3EF-D8EC-456F-95AB-795B77C02DC7}" presName="parTrans" presStyleLbl="sibTrans2D1" presStyleIdx="0" presStyleCnt="7"/>
      <dgm:spPr/>
    </dgm:pt>
    <dgm:pt modelId="{04645848-59A5-4E65-BD9E-F1B8A5E483C3}" type="pres">
      <dgm:prSet presAssocID="{0EC8A3EF-D8EC-456F-95AB-795B77C02DC7}" presName="connectorText" presStyleLbl="sibTrans2D1" presStyleIdx="0" presStyleCnt="7"/>
      <dgm:spPr/>
    </dgm:pt>
    <dgm:pt modelId="{4A65CE91-07B9-4B06-A66D-947069F89F6D}" type="pres">
      <dgm:prSet presAssocID="{951C96D9-C95F-4025-8381-376BBA8B42A3}" presName="node" presStyleLbl="node1" presStyleIdx="0" presStyleCnt="7">
        <dgm:presLayoutVars>
          <dgm:bulletEnabled val="1"/>
        </dgm:presLayoutVars>
      </dgm:prSet>
      <dgm:spPr/>
    </dgm:pt>
    <dgm:pt modelId="{39DFA398-72FC-4AF9-B7C3-3A0C904DD06C}" type="pres">
      <dgm:prSet presAssocID="{6D99B601-9E5D-4E3D-8033-75DC499E7004}" presName="parTrans" presStyleLbl="sibTrans2D1" presStyleIdx="1" presStyleCnt="7"/>
      <dgm:spPr/>
    </dgm:pt>
    <dgm:pt modelId="{31F6ACE0-2C78-411F-BF22-ED6530262B27}" type="pres">
      <dgm:prSet presAssocID="{6D99B601-9E5D-4E3D-8033-75DC499E7004}" presName="connectorText" presStyleLbl="sibTrans2D1" presStyleIdx="1" presStyleCnt="7"/>
      <dgm:spPr/>
    </dgm:pt>
    <dgm:pt modelId="{94EAD2EA-8530-44DC-90E0-7D95DD8AEE9F}" type="pres">
      <dgm:prSet presAssocID="{4877B1CD-68B6-46BD-89CF-2DB5ED9F1980}" presName="node" presStyleLbl="node1" presStyleIdx="1" presStyleCnt="7">
        <dgm:presLayoutVars>
          <dgm:bulletEnabled val="1"/>
        </dgm:presLayoutVars>
      </dgm:prSet>
      <dgm:spPr/>
    </dgm:pt>
    <dgm:pt modelId="{13600126-4B7E-4122-BD04-0D476EE57A6A}" type="pres">
      <dgm:prSet presAssocID="{0CB3EF91-D9C7-457E-8E3E-85BB3F0CFD7B}" presName="parTrans" presStyleLbl="sibTrans2D1" presStyleIdx="2" presStyleCnt="7"/>
      <dgm:spPr/>
    </dgm:pt>
    <dgm:pt modelId="{02946B71-9DCA-4EE5-8BC3-4774580BC4E0}" type="pres">
      <dgm:prSet presAssocID="{0CB3EF91-D9C7-457E-8E3E-85BB3F0CFD7B}" presName="connectorText" presStyleLbl="sibTrans2D1" presStyleIdx="2" presStyleCnt="7"/>
      <dgm:spPr/>
    </dgm:pt>
    <dgm:pt modelId="{3CAA7440-C911-43EF-A191-26E6E996BFA5}" type="pres">
      <dgm:prSet presAssocID="{90741006-E2A3-4823-83E6-90B751F0EA44}" presName="node" presStyleLbl="node1" presStyleIdx="2" presStyleCnt="7">
        <dgm:presLayoutVars>
          <dgm:bulletEnabled val="1"/>
        </dgm:presLayoutVars>
      </dgm:prSet>
      <dgm:spPr/>
    </dgm:pt>
    <dgm:pt modelId="{8E9F7C86-CAC8-4470-966A-819333BE4326}" type="pres">
      <dgm:prSet presAssocID="{86843E6A-D7AA-47BA-9960-4DFD643903F9}" presName="parTrans" presStyleLbl="sibTrans2D1" presStyleIdx="3" presStyleCnt="7"/>
      <dgm:spPr/>
    </dgm:pt>
    <dgm:pt modelId="{84AE0086-61F8-4B20-83AE-9C3999C66C53}" type="pres">
      <dgm:prSet presAssocID="{86843E6A-D7AA-47BA-9960-4DFD643903F9}" presName="connectorText" presStyleLbl="sibTrans2D1" presStyleIdx="3" presStyleCnt="7"/>
      <dgm:spPr/>
    </dgm:pt>
    <dgm:pt modelId="{FE2AC2AD-D28C-4AA3-925B-0BB9685003E1}" type="pres">
      <dgm:prSet presAssocID="{DC136257-5986-4F26-A238-74AC050BE9B7}" presName="node" presStyleLbl="node1" presStyleIdx="3" presStyleCnt="7">
        <dgm:presLayoutVars>
          <dgm:bulletEnabled val="1"/>
        </dgm:presLayoutVars>
      </dgm:prSet>
      <dgm:spPr/>
    </dgm:pt>
    <dgm:pt modelId="{DA7FB4C9-C27F-4E5A-BA64-61A90480D4FE}" type="pres">
      <dgm:prSet presAssocID="{1AF296F9-B6E1-4667-B6C3-2910D762C369}" presName="parTrans" presStyleLbl="sibTrans2D1" presStyleIdx="4" presStyleCnt="7"/>
      <dgm:spPr/>
    </dgm:pt>
    <dgm:pt modelId="{BF174407-4017-4B1F-A4A8-1E58C7D22EA4}" type="pres">
      <dgm:prSet presAssocID="{1AF296F9-B6E1-4667-B6C3-2910D762C369}" presName="connectorText" presStyleLbl="sibTrans2D1" presStyleIdx="4" presStyleCnt="7"/>
      <dgm:spPr/>
    </dgm:pt>
    <dgm:pt modelId="{3993486F-8098-489E-9205-C85779402B68}" type="pres">
      <dgm:prSet presAssocID="{3C7A7042-1B44-4DC2-8E1C-5348B630680B}" presName="node" presStyleLbl="node1" presStyleIdx="4" presStyleCnt="7">
        <dgm:presLayoutVars>
          <dgm:bulletEnabled val="1"/>
        </dgm:presLayoutVars>
      </dgm:prSet>
      <dgm:spPr/>
    </dgm:pt>
    <dgm:pt modelId="{5809F45F-EEC6-4767-9AEC-9145C24BF881}" type="pres">
      <dgm:prSet presAssocID="{0B7B393C-EF3C-4956-8F9A-F419839AD05F}" presName="parTrans" presStyleLbl="sibTrans2D1" presStyleIdx="5" presStyleCnt="7"/>
      <dgm:spPr/>
    </dgm:pt>
    <dgm:pt modelId="{CCEF2233-C7EF-4CD4-9333-BD9C20B82840}" type="pres">
      <dgm:prSet presAssocID="{0B7B393C-EF3C-4956-8F9A-F419839AD05F}" presName="connectorText" presStyleLbl="sibTrans2D1" presStyleIdx="5" presStyleCnt="7"/>
      <dgm:spPr/>
    </dgm:pt>
    <dgm:pt modelId="{0F34A689-5CC9-4058-9BF9-0C1201947B80}" type="pres">
      <dgm:prSet presAssocID="{A1C1C57E-5E59-4596-AA41-80665B261645}" presName="node" presStyleLbl="node1" presStyleIdx="5" presStyleCnt="7">
        <dgm:presLayoutVars>
          <dgm:bulletEnabled val="1"/>
        </dgm:presLayoutVars>
      </dgm:prSet>
      <dgm:spPr/>
    </dgm:pt>
    <dgm:pt modelId="{66B073C0-EA0C-4A7F-9863-2D93E12F74CA}" type="pres">
      <dgm:prSet presAssocID="{E503C57E-F6A9-4E36-B3C6-3D9FDEC21E9F}" presName="parTrans" presStyleLbl="sibTrans2D1" presStyleIdx="6" presStyleCnt="7"/>
      <dgm:spPr/>
    </dgm:pt>
    <dgm:pt modelId="{FE312C50-43C4-49F0-A13F-85D4C868897F}" type="pres">
      <dgm:prSet presAssocID="{E503C57E-F6A9-4E36-B3C6-3D9FDEC21E9F}" presName="connectorText" presStyleLbl="sibTrans2D1" presStyleIdx="6" presStyleCnt="7"/>
      <dgm:spPr/>
    </dgm:pt>
    <dgm:pt modelId="{0FD90B45-4F7B-4F7B-9EDC-5ABF97373A35}" type="pres">
      <dgm:prSet presAssocID="{2F097F95-957A-4AA2-855A-99812928158A}" presName="node" presStyleLbl="node1" presStyleIdx="6" presStyleCnt="7">
        <dgm:presLayoutVars>
          <dgm:bulletEnabled val="1"/>
        </dgm:presLayoutVars>
      </dgm:prSet>
      <dgm:spPr/>
    </dgm:pt>
  </dgm:ptLst>
  <dgm:cxnLst>
    <dgm:cxn modelId="{E6EF3100-C62F-4410-9945-2F0FDD7D3438}" type="presOf" srcId="{0B7B393C-EF3C-4956-8F9A-F419839AD05F}" destId="{CCEF2233-C7EF-4CD4-9333-BD9C20B82840}" srcOrd="1" destOrd="0" presId="urn:microsoft.com/office/officeart/2005/8/layout/radial5"/>
    <dgm:cxn modelId="{6A020E03-7B84-41E5-AF4D-813B8BAA429D}" srcId="{AC32DF01-BBC2-4926-928F-471FD9E32741}" destId="{2F097F95-957A-4AA2-855A-99812928158A}" srcOrd="6" destOrd="0" parTransId="{E503C57E-F6A9-4E36-B3C6-3D9FDEC21E9F}" sibTransId="{07DED98A-2F3A-4DDC-B6AD-9CE73E3CAD1D}"/>
    <dgm:cxn modelId="{9F9BC70E-7A54-4266-A1B8-8ABB5EB176B3}" srcId="{AC32DF01-BBC2-4926-928F-471FD9E32741}" destId="{951C96D9-C95F-4025-8381-376BBA8B42A3}" srcOrd="0" destOrd="0" parTransId="{0EC8A3EF-D8EC-456F-95AB-795B77C02DC7}" sibTransId="{4F453C91-A212-470D-9FEC-DD8C5A87D383}"/>
    <dgm:cxn modelId="{F23E8423-8E6C-41A2-817F-E3A708DFCEEE}" srcId="{269F637E-E2B6-45BC-9663-D459134A8415}" destId="{AC32DF01-BBC2-4926-928F-471FD9E32741}" srcOrd="0" destOrd="0" parTransId="{F291DDAB-B261-4D1C-9883-A03D52C7CA38}" sibTransId="{60E45A25-A913-4EE3-9C16-D789A94ACEF9}"/>
    <dgm:cxn modelId="{2F932328-D8C5-4D21-A663-8A6A98FE60C7}" srcId="{AC32DF01-BBC2-4926-928F-471FD9E32741}" destId="{A1C1C57E-5E59-4596-AA41-80665B261645}" srcOrd="5" destOrd="0" parTransId="{0B7B393C-EF3C-4956-8F9A-F419839AD05F}" sibTransId="{3DB309FA-17CB-437F-B931-E08CE4FD26AA}"/>
    <dgm:cxn modelId="{20042A2F-B005-4663-81D5-42D13D5CBCEF}" srcId="{AC32DF01-BBC2-4926-928F-471FD9E32741}" destId="{4877B1CD-68B6-46BD-89CF-2DB5ED9F1980}" srcOrd="1" destOrd="0" parTransId="{6D99B601-9E5D-4E3D-8033-75DC499E7004}" sibTransId="{8B400A10-780F-4F5E-B0E3-35C24D7D1E42}"/>
    <dgm:cxn modelId="{B6C92C33-C237-41B6-85A3-E3307280A9A8}" type="presOf" srcId="{E503C57E-F6A9-4E36-B3C6-3D9FDEC21E9F}" destId="{FE312C50-43C4-49F0-A13F-85D4C868897F}" srcOrd="1" destOrd="0" presId="urn:microsoft.com/office/officeart/2005/8/layout/radial5"/>
    <dgm:cxn modelId="{BDB24433-247D-4ACE-9E4C-AECCAE9E6877}" type="presOf" srcId="{90741006-E2A3-4823-83E6-90B751F0EA44}" destId="{3CAA7440-C911-43EF-A191-26E6E996BFA5}" srcOrd="0" destOrd="0" presId="urn:microsoft.com/office/officeart/2005/8/layout/radial5"/>
    <dgm:cxn modelId="{C06E2B38-15B6-4707-BB0D-13BBF57EA9B8}" type="presOf" srcId="{0CB3EF91-D9C7-457E-8E3E-85BB3F0CFD7B}" destId="{02946B71-9DCA-4EE5-8BC3-4774580BC4E0}" srcOrd="1" destOrd="0" presId="urn:microsoft.com/office/officeart/2005/8/layout/radial5"/>
    <dgm:cxn modelId="{DDB6703E-DED0-4621-9902-BDC0046C74EC}" srcId="{AC32DF01-BBC2-4926-928F-471FD9E32741}" destId="{90741006-E2A3-4823-83E6-90B751F0EA44}" srcOrd="2" destOrd="0" parTransId="{0CB3EF91-D9C7-457E-8E3E-85BB3F0CFD7B}" sibTransId="{04645A67-A19C-41B7-B704-DF2119457C7B}"/>
    <dgm:cxn modelId="{7FC51148-1D25-4AB8-A119-02861FE5372B}" type="presOf" srcId="{6D99B601-9E5D-4E3D-8033-75DC499E7004}" destId="{39DFA398-72FC-4AF9-B7C3-3A0C904DD06C}" srcOrd="0" destOrd="0" presId="urn:microsoft.com/office/officeart/2005/8/layout/radial5"/>
    <dgm:cxn modelId="{12F3A348-EA28-42F8-9C3F-F0C80D4DEC48}" type="presOf" srcId="{86843E6A-D7AA-47BA-9960-4DFD643903F9}" destId="{8E9F7C86-CAC8-4470-966A-819333BE4326}" srcOrd="0" destOrd="0" presId="urn:microsoft.com/office/officeart/2005/8/layout/radial5"/>
    <dgm:cxn modelId="{8ED1D068-57BE-4A5D-A31C-EB27DCB18CFB}" type="presOf" srcId="{269F637E-E2B6-45BC-9663-D459134A8415}" destId="{B77CB082-8A1B-4CC5-999D-695600B67953}" srcOrd="0" destOrd="0" presId="urn:microsoft.com/office/officeart/2005/8/layout/radial5"/>
    <dgm:cxn modelId="{8354424A-BEF0-4174-B0C9-4FC61803C754}" type="presOf" srcId="{0B7B393C-EF3C-4956-8F9A-F419839AD05F}" destId="{5809F45F-EEC6-4767-9AEC-9145C24BF881}" srcOrd="0" destOrd="0" presId="urn:microsoft.com/office/officeart/2005/8/layout/radial5"/>
    <dgm:cxn modelId="{E4525D4B-CA5C-4142-B746-030817FC7B49}" type="presOf" srcId="{E503C57E-F6A9-4E36-B3C6-3D9FDEC21E9F}" destId="{66B073C0-EA0C-4A7F-9863-2D93E12F74CA}" srcOrd="0" destOrd="0" presId="urn:microsoft.com/office/officeart/2005/8/layout/radial5"/>
    <dgm:cxn modelId="{F06BCC4B-C1A4-4ECC-B8F8-E47FD147B010}" type="presOf" srcId="{2F097F95-957A-4AA2-855A-99812928158A}" destId="{0FD90B45-4F7B-4F7B-9EDC-5ABF97373A35}" srcOrd="0" destOrd="0" presId="urn:microsoft.com/office/officeart/2005/8/layout/radial5"/>
    <dgm:cxn modelId="{B41E0F55-F14A-44BD-867D-E2785992CD1A}" srcId="{AC32DF01-BBC2-4926-928F-471FD9E32741}" destId="{3C7A7042-1B44-4DC2-8E1C-5348B630680B}" srcOrd="4" destOrd="0" parTransId="{1AF296F9-B6E1-4667-B6C3-2910D762C369}" sibTransId="{E927ECB0-AAAB-420F-82BC-C3D64C94FFAF}"/>
    <dgm:cxn modelId="{2B948C59-0133-480E-BF09-DBB73650902C}" type="presOf" srcId="{1AF296F9-B6E1-4667-B6C3-2910D762C369}" destId="{DA7FB4C9-C27F-4E5A-BA64-61A90480D4FE}" srcOrd="0" destOrd="0" presId="urn:microsoft.com/office/officeart/2005/8/layout/radial5"/>
    <dgm:cxn modelId="{2584037C-CA90-42DD-812B-D0DA0274F188}" type="presOf" srcId="{951C96D9-C95F-4025-8381-376BBA8B42A3}" destId="{4A65CE91-07B9-4B06-A66D-947069F89F6D}" srcOrd="0" destOrd="0" presId="urn:microsoft.com/office/officeart/2005/8/layout/radial5"/>
    <dgm:cxn modelId="{BC6AC87E-F521-4A47-9D65-228DF5C5A149}" type="presOf" srcId="{86843E6A-D7AA-47BA-9960-4DFD643903F9}" destId="{84AE0086-61F8-4B20-83AE-9C3999C66C53}" srcOrd="1" destOrd="0" presId="urn:microsoft.com/office/officeart/2005/8/layout/radial5"/>
    <dgm:cxn modelId="{0B904F9F-8D64-460F-9D1E-F383A7F709C8}" type="presOf" srcId="{AC32DF01-BBC2-4926-928F-471FD9E32741}" destId="{CFA81343-6502-44FE-B13A-BA3F778E6A40}" srcOrd="0" destOrd="0" presId="urn:microsoft.com/office/officeart/2005/8/layout/radial5"/>
    <dgm:cxn modelId="{027DBDA0-68AC-49ED-B58A-E978551B7EA4}" type="presOf" srcId="{0CB3EF91-D9C7-457E-8E3E-85BB3F0CFD7B}" destId="{13600126-4B7E-4122-BD04-0D476EE57A6A}" srcOrd="0" destOrd="0" presId="urn:microsoft.com/office/officeart/2005/8/layout/radial5"/>
    <dgm:cxn modelId="{B7FE74B0-1F98-4656-80D7-E728B2D6023B}" type="presOf" srcId="{0EC8A3EF-D8EC-456F-95AB-795B77C02DC7}" destId="{04645848-59A5-4E65-BD9E-F1B8A5E483C3}" srcOrd="1" destOrd="0" presId="urn:microsoft.com/office/officeart/2005/8/layout/radial5"/>
    <dgm:cxn modelId="{862AE7B4-8704-4326-AE38-58C233EB6D65}" type="presOf" srcId="{6D99B601-9E5D-4E3D-8033-75DC499E7004}" destId="{31F6ACE0-2C78-411F-BF22-ED6530262B27}" srcOrd="1" destOrd="0" presId="urn:microsoft.com/office/officeart/2005/8/layout/radial5"/>
    <dgm:cxn modelId="{94C260BE-3E8A-4158-B71A-6B2D250BB62B}" type="presOf" srcId="{A1C1C57E-5E59-4596-AA41-80665B261645}" destId="{0F34A689-5CC9-4058-9BF9-0C1201947B80}" srcOrd="0" destOrd="0" presId="urn:microsoft.com/office/officeart/2005/8/layout/radial5"/>
    <dgm:cxn modelId="{A45E8AD4-FC54-49FC-82FC-8E7CDE966F63}" type="presOf" srcId="{4877B1CD-68B6-46BD-89CF-2DB5ED9F1980}" destId="{94EAD2EA-8530-44DC-90E0-7D95DD8AEE9F}" srcOrd="0" destOrd="0" presId="urn:microsoft.com/office/officeart/2005/8/layout/radial5"/>
    <dgm:cxn modelId="{E5012FDB-69D7-4E3F-8087-44048E574154}" srcId="{AC32DF01-BBC2-4926-928F-471FD9E32741}" destId="{DC136257-5986-4F26-A238-74AC050BE9B7}" srcOrd="3" destOrd="0" parTransId="{86843E6A-D7AA-47BA-9960-4DFD643903F9}" sibTransId="{BB241E21-3F9C-46A1-A9ED-E9153718B738}"/>
    <dgm:cxn modelId="{2F2E64DB-F963-47D5-806D-650AAC0B9199}" type="presOf" srcId="{3C7A7042-1B44-4DC2-8E1C-5348B630680B}" destId="{3993486F-8098-489E-9205-C85779402B68}" srcOrd="0" destOrd="0" presId="urn:microsoft.com/office/officeart/2005/8/layout/radial5"/>
    <dgm:cxn modelId="{292580E0-AC49-48B1-9F90-1B2878A8957D}" type="presOf" srcId="{0EC8A3EF-D8EC-456F-95AB-795B77C02DC7}" destId="{96897DE7-045C-48D9-A261-4AF2170F7533}" srcOrd="0" destOrd="0" presId="urn:microsoft.com/office/officeart/2005/8/layout/radial5"/>
    <dgm:cxn modelId="{304EABE2-6B2B-4370-9982-2D41C79D673D}" type="presOf" srcId="{DC136257-5986-4F26-A238-74AC050BE9B7}" destId="{FE2AC2AD-D28C-4AA3-925B-0BB9685003E1}" srcOrd="0" destOrd="0" presId="urn:microsoft.com/office/officeart/2005/8/layout/radial5"/>
    <dgm:cxn modelId="{DF5B6BFC-D761-4AD2-BAC4-E7E2E0166EAE}" type="presOf" srcId="{1AF296F9-B6E1-4667-B6C3-2910D762C369}" destId="{BF174407-4017-4B1F-A4A8-1E58C7D22EA4}" srcOrd="1" destOrd="0" presId="urn:microsoft.com/office/officeart/2005/8/layout/radial5"/>
    <dgm:cxn modelId="{D9F3776B-F505-40EF-AC1F-B5B753DE2C79}" type="presParOf" srcId="{B77CB082-8A1B-4CC5-999D-695600B67953}" destId="{CFA81343-6502-44FE-B13A-BA3F778E6A40}" srcOrd="0" destOrd="0" presId="urn:microsoft.com/office/officeart/2005/8/layout/radial5"/>
    <dgm:cxn modelId="{8B3239A2-722A-4CA2-8DBB-AAA2563E82FC}" type="presParOf" srcId="{B77CB082-8A1B-4CC5-999D-695600B67953}" destId="{96897DE7-045C-48D9-A261-4AF2170F7533}" srcOrd="1" destOrd="0" presId="urn:microsoft.com/office/officeart/2005/8/layout/radial5"/>
    <dgm:cxn modelId="{76789125-3E32-4280-B078-2C620803290A}" type="presParOf" srcId="{96897DE7-045C-48D9-A261-4AF2170F7533}" destId="{04645848-59A5-4E65-BD9E-F1B8A5E483C3}" srcOrd="0" destOrd="0" presId="urn:microsoft.com/office/officeart/2005/8/layout/radial5"/>
    <dgm:cxn modelId="{E63DC9D9-8331-4802-AD7E-A34A75A80B1B}" type="presParOf" srcId="{B77CB082-8A1B-4CC5-999D-695600B67953}" destId="{4A65CE91-07B9-4B06-A66D-947069F89F6D}" srcOrd="2" destOrd="0" presId="urn:microsoft.com/office/officeart/2005/8/layout/radial5"/>
    <dgm:cxn modelId="{8A04E586-20A1-4E93-AE88-D2A99C9C43F5}" type="presParOf" srcId="{B77CB082-8A1B-4CC5-999D-695600B67953}" destId="{39DFA398-72FC-4AF9-B7C3-3A0C904DD06C}" srcOrd="3" destOrd="0" presId="urn:microsoft.com/office/officeart/2005/8/layout/radial5"/>
    <dgm:cxn modelId="{1A4C9603-C935-49C5-9C29-37CBF3B5376D}" type="presParOf" srcId="{39DFA398-72FC-4AF9-B7C3-3A0C904DD06C}" destId="{31F6ACE0-2C78-411F-BF22-ED6530262B27}" srcOrd="0" destOrd="0" presId="urn:microsoft.com/office/officeart/2005/8/layout/radial5"/>
    <dgm:cxn modelId="{FA4E73C6-7A14-46FD-B89D-93374181D737}" type="presParOf" srcId="{B77CB082-8A1B-4CC5-999D-695600B67953}" destId="{94EAD2EA-8530-44DC-90E0-7D95DD8AEE9F}" srcOrd="4" destOrd="0" presId="urn:microsoft.com/office/officeart/2005/8/layout/radial5"/>
    <dgm:cxn modelId="{2105333D-C54C-4078-9FA3-A739D197610E}" type="presParOf" srcId="{B77CB082-8A1B-4CC5-999D-695600B67953}" destId="{13600126-4B7E-4122-BD04-0D476EE57A6A}" srcOrd="5" destOrd="0" presId="urn:microsoft.com/office/officeart/2005/8/layout/radial5"/>
    <dgm:cxn modelId="{99772245-06DC-4A2A-813D-916B56365E88}" type="presParOf" srcId="{13600126-4B7E-4122-BD04-0D476EE57A6A}" destId="{02946B71-9DCA-4EE5-8BC3-4774580BC4E0}" srcOrd="0" destOrd="0" presId="urn:microsoft.com/office/officeart/2005/8/layout/radial5"/>
    <dgm:cxn modelId="{147DFDD5-8383-492F-A05D-1D6FE53FB284}" type="presParOf" srcId="{B77CB082-8A1B-4CC5-999D-695600B67953}" destId="{3CAA7440-C911-43EF-A191-26E6E996BFA5}" srcOrd="6" destOrd="0" presId="urn:microsoft.com/office/officeart/2005/8/layout/radial5"/>
    <dgm:cxn modelId="{9C6F918B-08C7-4D3D-87F8-2F15334FA753}" type="presParOf" srcId="{B77CB082-8A1B-4CC5-999D-695600B67953}" destId="{8E9F7C86-CAC8-4470-966A-819333BE4326}" srcOrd="7" destOrd="0" presId="urn:microsoft.com/office/officeart/2005/8/layout/radial5"/>
    <dgm:cxn modelId="{BD452220-1736-4280-809F-9051E54C8379}" type="presParOf" srcId="{8E9F7C86-CAC8-4470-966A-819333BE4326}" destId="{84AE0086-61F8-4B20-83AE-9C3999C66C53}" srcOrd="0" destOrd="0" presId="urn:microsoft.com/office/officeart/2005/8/layout/radial5"/>
    <dgm:cxn modelId="{2702355D-EE82-439D-8D38-7560FBFF42DF}" type="presParOf" srcId="{B77CB082-8A1B-4CC5-999D-695600B67953}" destId="{FE2AC2AD-D28C-4AA3-925B-0BB9685003E1}" srcOrd="8" destOrd="0" presId="urn:microsoft.com/office/officeart/2005/8/layout/radial5"/>
    <dgm:cxn modelId="{90DFEFD8-F91B-4C29-BB28-C4AFDB04681C}" type="presParOf" srcId="{B77CB082-8A1B-4CC5-999D-695600B67953}" destId="{DA7FB4C9-C27F-4E5A-BA64-61A90480D4FE}" srcOrd="9" destOrd="0" presId="urn:microsoft.com/office/officeart/2005/8/layout/radial5"/>
    <dgm:cxn modelId="{03DF5F97-684F-4599-B69B-ED468429C80F}" type="presParOf" srcId="{DA7FB4C9-C27F-4E5A-BA64-61A90480D4FE}" destId="{BF174407-4017-4B1F-A4A8-1E58C7D22EA4}" srcOrd="0" destOrd="0" presId="urn:microsoft.com/office/officeart/2005/8/layout/radial5"/>
    <dgm:cxn modelId="{8AEA4E80-FC74-4534-99B8-1AD9F9786F04}" type="presParOf" srcId="{B77CB082-8A1B-4CC5-999D-695600B67953}" destId="{3993486F-8098-489E-9205-C85779402B68}" srcOrd="10" destOrd="0" presId="urn:microsoft.com/office/officeart/2005/8/layout/radial5"/>
    <dgm:cxn modelId="{73082BB6-FDA1-493B-8A1D-459FDCB1D8C4}" type="presParOf" srcId="{B77CB082-8A1B-4CC5-999D-695600B67953}" destId="{5809F45F-EEC6-4767-9AEC-9145C24BF881}" srcOrd="11" destOrd="0" presId="urn:microsoft.com/office/officeart/2005/8/layout/radial5"/>
    <dgm:cxn modelId="{D14D833A-5329-469E-8EB0-A96FAA5D42E5}" type="presParOf" srcId="{5809F45F-EEC6-4767-9AEC-9145C24BF881}" destId="{CCEF2233-C7EF-4CD4-9333-BD9C20B82840}" srcOrd="0" destOrd="0" presId="urn:microsoft.com/office/officeart/2005/8/layout/radial5"/>
    <dgm:cxn modelId="{B8B0D475-0116-4295-8CDC-7183EF43A7E9}" type="presParOf" srcId="{B77CB082-8A1B-4CC5-999D-695600B67953}" destId="{0F34A689-5CC9-4058-9BF9-0C1201947B80}" srcOrd="12" destOrd="0" presId="urn:microsoft.com/office/officeart/2005/8/layout/radial5"/>
    <dgm:cxn modelId="{99790236-7497-430D-9864-2DFC4A2D2339}" type="presParOf" srcId="{B77CB082-8A1B-4CC5-999D-695600B67953}" destId="{66B073C0-EA0C-4A7F-9863-2D93E12F74CA}" srcOrd="13" destOrd="0" presId="urn:microsoft.com/office/officeart/2005/8/layout/radial5"/>
    <dgm:cxn modelId="{C86303AE-31CE-4770-A63F-A7FE5AF52671}" type="presParOf" srcId="{66B073C0-EA0C-4A7F-9863-2D93E12F74CA}" destId="{FE312C50-43C4-49F0-A13F-85D4C868897F}" srcOrd="0" destOrd="0" presId="urn:microsoft.com/office/officeart/2005/8/layout/radial5"/>
    <dgm:cxn modelId="{D20D7291-05B0-40DA-8857-49BED51275C7}" type="presParOf" srcId="{B77CB082-8A1B-4CC5-999D-695600B67953}" destId="{0FD90B45-4F7B-4F7B-9EDC-5ABF97373A35}" srcOrd="14" destOrd="0" presId="urn:microsoft.com/office/officeart/2005/8/layout/radial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1C4D76-C319-4728-9C40-039119981173}">
      <dsp:nvSpPr>
        <dsp:cNvPr id="0" name=""/>
        <dsp:cNvSpPr/>
      </dsp:nvSpPr>
      <dsp:spPr>
        <a:xfrm>
          <a:off x="1251902" y="0"/>
          <a:ext cx="3001645" cy="300164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The Macro-Environment</a:t>
          </a:r>
        </a:p>
      </dsp:txBody>
      <dsp:txXfrm>
        <a:off x="2333095" y="150082"/>
        <a:ext cx="839259" cy="450246"/>
      </dsp:txXfrm>
    </dsp:sp>
    <dsp:sp modelId="{304284EC-E7DE-48FC-806E-E3F906DD354D}">
      <dsp:nvSpPr>
        <dsp:cNvPr id="0" name=""/>
        <dsp:cNvSpPr/>
      </dsp:nvSpPr>
      <dsp:spPr>
        <a:xfrm>
          <a:off x="1552067" y="600329"/>
          <a:ext cx="2401316" cy="2401316"/>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Industry or Sector</a:t>
          </a:r>
        </a:p>
      </dsp:txBody>
      <dsp:txXfrm>
        <a:off x="2333095" y="744407"/>
        <a:ext cx="839259" cy="432236"/>
      </dsp:txXfrm>
    </dsp:sp>
    <dsp:sp modelId="{0811484F-034A-4BC7-BF57-B5F234D52449}">
      <dsp:nvSpPr>
        <dsp:cNvPr id="0" name=""/>
        <dsp:cNvSpPr/>
      </dsp:nvSpPr>
      <dsp:spPr>
        <a:xfrm>
          <a:off x="1852231" y="1200657"/>
          <a:ext cx="1800987" cy="1800987"/>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Competitors/Markets</a:t>
          </a:r>
        </a:p>
      </dsp:txBody>
      <dsp:txXfrm>
        <a:off x="2333095" y="1335732"/>
        <a:ext cx="839259" cy="405222"/>
      </dsp:txXfrm>
    </dsp:sp>
    <dsp:sp modelId="{2F66803F-4BCA-4DD5-8D58-568D975D637F}">
      <dsp:nvSpPr>
        <dsp:cNvPr id="0" name=""/>
        <dsp:cNvSpPr/>
      </dsp:nvSpPr>
      <dsp:spPr>
        <a:xfrm>
          <a:off x="2152396" y="1800987"/>
          <a:ext cx="1200658" cy="1200658"/>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The Organisartion</a:t>
          </a:r>
        </a:p>
      </dsp:txBody>
      <dsp:txXfrm>
        <a:off x="2328228" y="2101151"/>
        <a:ext cx="848993" cy="6003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A81343-6502-44FE-B13A-BA3F778E6A40}">
      <dsp:nvSpPr>
        <dsp:cNvPr id="0" name=""/>
        <dsp:cNvSpPr/>
      </dsp:nvSpPr>
      <dsp:spPr>
        <a:xfrm>
          <a:off x="2933768" y="1104524"/>
          <a:ext cx="847587" cy="84758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rPr>
            <a:t>Marketing mix for Diageo (7 Ps)</a:t>
          </a:r>
        </a:p>
      </dsp:txBody>
      <dsp:txXfrm>
        <a:off x="3057894" y="1228650"/>
        <a:ext cx="599335" cy="599335"/>
      </dsp:txXfrm>
    </dsp:sp>
    <dsp:sp modelId="{96897DE7-045C-48D9-A261-4AF2170F7533}">
      <dsp:nvSpPr>
        <dsp:cNvPr id="0" name=""/>
        <dsp:cNvSpPr/>
      </dsp:nvSpPr>
      <dsp:spPr>
        <a:xfrm rot="16200000">
          <a:off x="3267461" y="795532"/>
          <a:ext cx="180201" cy="288179"/>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94491" y="880198"/>
        <a:ext cx="126141" cy="172907"/>
      </dsp:txXfrm>
    </dsp:sp>
    <dsp:sp modelId="{4A65CE91-07B9-4B06-A66D-947069F89F6D}">
      <dsp:nvSpPr>
        <dsp:cNvPr id="0" name=""/>
        <dsp:cNvSpPr/>
      </dsp:nvSpPr>
      <dsp:spPr>
        <a:xfrm>
          <a:off x="2976147" y="1692"/>
          <a:ext cx="762829" cy="76282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Product</a:t>
          </a:r>
        </a:p>
      </dsp:txBody>
      <dsp:txXfrm>
        <a:off x="3087861" y="113406"/>
        <a:ext cx="539401" cy="539401"/>
      </dsp:txXfrm>
    </dsp:sp>
    <dsp:sp modelId="{39DFA398-72FC-4AF9-B7C3-3A0C904DD06C}">
      <dsp:nvSpPr>
        <dsp:cNvPr id="0" name=""/>
        <dsp:cNvSpPr/>
      </dsp:nvSpPr>
      <dsp:spPr>
        <a:xfrm rot="19285714">
          <a:off x="3727722" y="1017182"/>
          <a:ext cx="180201" cy="288179"/>
        </a:xfrm>
        <a:prstGeom prst="rightArrow">
          <a:avLst>
            <a:gd name="adj1" fmla="val 60000"/>
            <a:gd name="adj2" fmla="val 50000"/>
          </a:avLst>
        </a:prstGeom>
        <a:solidFill>
          <a:schemeClr val="accent4">
            <a:hueOff val="1633482"/>
            <a:satOff val="-6796"/>
            <a:lumOff val="160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733619" y="1091671"/>
        <a:ext cx="126141" cy="172907"/>
      </dsp:txXfrm>
    </dsp:sp>
    <dsp:sp modelId="{94EAD2EA-8530-44DC-90E0-7D95DD8AEE9F}">
      <dsp:nvSpPr>
        <dsp:cNvPr id="0" name=""/>
        <dsp:cNvSpPr/>
      </dsp:nvSpPr>
      <dsp:spPr>
        <a:xfrm>
          <a:off x="3871510" y="432875"/>
          <a:ext cx="762829" cy="762829"/>
        </a:xfrm>
        <a:prstGeom prst="ellipse">
          <a:avLst/>
        </a:prstGeom>
        <a:solidFill>
          <a:schemeClr val="accent4">
            <a:hueOff val="1633482"/>
            <a:satOff val="-6796"/>
            <a:lumOff val="16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Price</a:t>
          </a:r>
        </a:p>
      </dsp:txBody>
      <dsp:txXfrm>
        <a:off x="3983224" y="544589"/>
        <a:ext cx="539401" cy="539401"/>
      </dsp:txXfrm>
    </dsp:sp>
    <dsp:sp modelId="{13600126-4B7E-4122-BD04-0D476EE57A6A}">
      <dsp:nvSpPr>
        <dsp:cNvPr id="0" name=""/>
        <dsp:cNvSpPr/>
      </dsp:nvSpPr>
      <dsp:spPr>
        <a:xfrm rot="771429">
          <a:off x="3841397" y="1515225"/>
          <a:ext cx="180201" cy="288179"/>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842075" y="1566846"/>
        <a:ext cx="126141" cy="172907"/>
      </dsp:txXfrm>
    </dsp:sp>
    <dsp:sp modelId="{3CAA7440-C911-43EF-A191-26E6E996BFA5}">
      <dsp:nvSpPr>
        <dsp:cNvPr id="0" name=""/>
        <dsp:cNvSpPr/>
      </dsp:nvSpPr>
      <dsp:spPr>
        <a:xfrm>
          <a:off x="4092646" y="1401737"/>
          <a:ext cx="762829" cy="762829"/>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Place</a:t>
          </a:r>
        </a:p>
      </dsp:txBody>
      <dsp:txXfrm>
        <a:off x="4204360" y="1513451"/>
        <a:ext cx="539401" cy="539401"/>
      </dsp:txXfrm>
    </dsp:sp>
    <dsp:sp modelId="{8E9F7C86-CAC8-4470-966A-819333BE4326}">
      <dsp:nvSpPr>
        <dsp:cNvPr id="0" name=""/>
        <dsp:cNvSpPr/>
      </dsp:nvSpPr>
      <dsp:spPr>
        <a:xfrm rot="3857143">
          <a:off x="3522887" y="1914624"/>
          <a:ext cx="180201" cy="288179"/>
        </a:xfrm>
        <a:prstGeom prst="rightArrow">
          <a:avLst>
            <a:gd name="adj1" fmla="val 600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538189" y="1947907"/>
        <a:ext cx="126141" cy="172907"/>
      </dsp:txXfrm>
    </dsp:sp>
    <dsp:sp modelId="{FE2AC2AD-D28C-4AA3-925B-0BB9685003E1}">
      <dsp:nvSpPr>
        <dsp:cNvPr id="0" name=""/>
        <dsp:cNvSpPr/>
      </dsp:nvSpPr>
      <dsp:spPr>
        <a:xfrm>
          <a:off x="3473036" y="2178703"/>
          <a:ext cx="762829" cy="762829"/>
        </a:xfrm>
        <a:prstGeom prst="ellipse">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Promotion</a:t>
          </a:r>
        </a:p>
      </dsp:txBody>
      <dsp:txXfrm>
        <a:off x="3584750" y="2290417"/>
        <a:ext cx="539401" cy="539401"/>
      </dsp:txXfrm>
    </dsp:sp>
    <dsp:sp modelId="{DA7FB4C9-C27F-4E5A-BA64-61A90480D4FE}">
      <dsp:nvSpPr>
        <dsp:cNvPr id="0" name=""/>
        <dsp:cNvSpPr/>
      </dsp:nvSpPr>
      <dsp:spPr>
        <a:xfrm rot="6942857">
          <a:off x="3012036" y="1914624"/>
          <a:ext cx="180201" cy="288179"/>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050794" y="1947907"/>
        <a:ext cx="126141" cy="172907"/>
      </dsp:txXfrm>
    </dsp:sp>
    <dsp:sp modelId="{3993486F-8098-489E-9205-C85779402B68}">
      <dsp:nvSpPr>
        <dsp:cNvPr id="0" name=""/>
        <dsp:cNvSpPr/>
      </dsp:nvSpPr>
      <dsp:spPr>
        <a:xfrm>
          <a:off x="2479259" y="2178703"/>
          <a:ext cx="762829" cy="762829"/>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People</a:t>
          </a:r>
        </a:p>
      </dsp:txBody>
      <dsp:txXfrm>
        <a:off x="2590973" y="2290417"/>
        <a:ext cx="539401" cy="539401"/>
      </dsp:txXfrm>
    </dsp:sp>
    <dsp:sp modelId="{5809F45F-EEC6-4767-9AEC-9145C24BF881}">
      <dsp:nvSpPr>
        <dsp:cNvPr id="0" name=""/>
        <dsp:cNvSpPr/>
      </dsp:nvSpPr>
      <dsp:spPr>
        <a:xfrm rot="10028571">
          <a:off x="2693525" y="1515225"/>
          <a:ext cx="180201" cy="288179"/>
        </a:xfrm>
        <a:prstGeom prst="rightArrow">
          <a:avLst>
            <a:gd name="adj1" fmla="val 60000"/>
            <a:gd name="adj2" fmla="val 50000"/>
          </a:avLst>
        </a:prstGeom>
        <a:solidFill>
          <a:schemeClr val="accent4">
            <a:hueOff val="8167408"/>
            <a:satOff val="-33981"/>
            <a:lumOff val="80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746907" y="1566846"/>
        <a:ext cx="126141" cy="172907"/>
      </dsp:txXfrm>
    </dsp:sp>
    <dsp:sp modelId="{0F34A689-5CC9-4058-9BF9-0C1201947B80}">
      <dsp:nvSpPr>
        <dsp:cNvPr id="0" name=""/>
        <dsp:cNvSpPr/>
      </dsp:nvSpPr>
      <dsp:spPr>
        <a:xfrm>
          <a:off x="1859649" y="1401737"/>
          <a:ext cx="762829" cy="762829"/>
        </a:xfrm>
        <a:prstGeom prst="ellipse">
          <a:avLst/>
        </a:prstGeom>
        <a:solidFill>
          <a:schemeClr val="accent4">
            <a:hueOff val="8167408"/>
            <a:satOff val="-33981"/>
            <a:lumOff val="80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Process</a:t>
          </a:r>
        </a:p>
      </dsp:txBody>
      <dsp:txXfrm>
        <a:off x="1971363" y="1513451"/>
        <a:ext cx="539401" cy="539401"/>
      </dsp:txXfrm>
    </dsp:sp>
    <dsp:sp modelId="{66B073C0-EA0C-4A7F-9863-2D93E12F74CA}">
      <dsp:nvSpPr>
        <dsp:cNvPr id="0" name=""/>
        <dsp:cNvSpPr/>
      </dsp:nvSpPr>
      <dsp:spPr>
        <a:xfrm rot="13114286">
          <a:off x="2807200" y="1017182"/>
          <a:ext cx="180201" cy="288179"/>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855363" y="1091671"/>
        <a:ext cx="126141" cy="172907"/>
      </dsp:txXfrm>
    </dsp:sp>
    <dsp:sp modelId="{0FD90B45-4F7B-4F7B-9EDC-5ABF97373A35}">
      <dsp:nvSpPr>
        <dsp:cNvPr id="0" name=""/>
        <dsp:cNvSpPr/>
      </dsp:nvSpPr>
      <dsp:spPr>
        <a:xfrm>
          <a:off x="2080785" y="432875"/>
          <a:ext cx="762829" cy="762829"/>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rPr>
            <a:t>Physical evidence</a:t>
          </a:r>
        </a:p>
      </dsp:txBody>
      <dsp:txXfrm>
        <a:off x="2192499" y="544589"/>
        <a:ext cx="539401" cy="539401"/>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Whi19</b:Tag>
    <b:SourceType>DocumentFromInternetSite</b:SourceType>
    <b:Guid>{C5D3A1B6-CBC3-4293-9E2A-ED65E59F3F4E}</b:Guid>
    <b:Title>Exploring Strategy, Text and Cases</b:Title>
    <b:Year>2019</b:Year>
    <b:YearAccessed>2023</b:YearAccessed>
    <b:MonthAccessed>July</b:MonthAccessed>
    <b:DayAccessed>14</b:DayAccessed>
    <b:URL>https://ebookcentral.proquest.com/lib/trinity/detail.action?pq-origsite=primo&amp;docID=5987036</b:URL>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RefOrder>3</b:RefOrder>
  </b:Source>
  <b:Source>
    <b:Tag>Our22</b:Tag>
    <b:SourceType>InternetSite</b:SourceType>
    <b:Guid>{36976969-B83F-4F32-B980-378803813908}</b:Guid>
    <b:Title>Our History</b:Title>
    <b:Year>2023</b:Year>
    <b:YearAccessed>2023</b:YearAccessed>
    <b:MonthAccessed>July</b:MonthAccessed>
    <b:DayAccessed>18</b:DayAccessed>
    <b:URL>https://www.diageo.com/en/our-business/our-history</b:URL>
    <b:Author>
      <b:Author>
        <b:Corporate>DIAGEO</b:Corporate>
      </b:Author>
    </b:Author>
    <b:RefOrder>1</b:RefOrder>
  </b:Source>
  <b:Source>
    <b:Tag>mac23</b:Tag>
    <b:SourceType>InternetSite</b:SourceType>
    <b:Guid>{59FDFF1E-2CE9-451C-A18D-A31EDE12AA7C}</b:Guid>
    <b:Author>
      <b:Author>
        <b:Corporate>macrotrends</b:Corporate>
      </b:Author>
    </b:Author>
    <b:Title>Diageo Net Income 2010-2023 | DEO</b:Title>
    <b:Year>2023</b:Year>
    <b:YearAccessed>2023</b:YearAccessed>
    <b:MonthAccessed>July</b:MonthAccessed>
    <b:DayAccessed>25</b:DayAccessed>
    <b:URL>https://www.macrotrends.net/stocks/charts/DEO/diageo/net-income</b:URL>
    <b:RefOrder>2</b:RefOrder>
  </b:Source>
  <b:Source>
    <b:Tag>Bul19</b:Tag>
    <b:SourceType>InternetSite</b:SourceType>
    <b:Guid>{83E0F3A2-4F9D-4344-BB2A-BBC2A3EDAEB4}</b:Guid>
    <b:Author>
      <b:Author>
        <b:NameList>
          <b:Person>
            <b:Last>Bullock</b:Last>
            <b:First>Adrian</b:First>
          </b:Person>
          <b:Person>
            <b:Last>Timbrell</b:Last>
            <b:First>Nicola </b:First>
          </b:Person>
          <b:Person>
            <b:Last>Jennings</b:Last>
            <b:First>Chris </b:First>
          </b:Person>
        </b:NameList>
      </b:Author>
    </b:Author>
    <b:Title>Oxford refrence</b:Title>
    <b:Year>2019</b:Year>
    <b:YearAccessed>2023</b:YearAccessed>
    <b:MonthAccessed>August</b:MonthAccessed>
    <b:DayAccessed>20</b:DayAccessed>
    <b:URL>https://www-oxfordreference-com.ezproxy.uwtsd.ac.uk/display/10.1093/acref/9780191863592.001.0001/acref-9780191863592-e-9;jsessionid=A241DCD75E2FD2644F2B75F50267FFA2</b:URL>
    <b:RefOrder>9</b:RefOrder>
  </b:Source>
  <b:Source>
    <b:Tag>DoQ20</b:Tag>
    <b:SourceType>JournalArticle</b:SourceType>
    <b:Guid>{38159165-C75D-4F1F-8537-80E7B244EC70}</b:Guid>
    <b:Author>
      <b:Author>
        <b:NameList>
          <b:Person>
            <b:Last>Do</b:Last>
            <b:First>Quang</b:First>
            <b:Middle>Hung</b:Middle>
          </b:Person>
          <b:Person>
            <b:Last>Vu</b:Last>
            <b:First>Thi Hai Anh </b:First>
          </b:Person>
        </b:NameList>
      </b:Author>
    </b:Author>
    <b:Title>Understanding consumer satisfaction with railway transportation service: An application of 7Ps marketing mix</b:Title>
    <b:Year>2020</b:Year>
    <b:JournalName>Microsoft</b:JournalName>
    <b:Pages>1342-1343</b:Pages>
    <b:Volume>10</b:Volume>
    <b:Issue>6</b:Issue>
    <b:RefOrder>8</b:RefOrder>
  </b:Source>
  <b:Source>
    <b:Tag>Bly19</b:Tag>
    <b:SourceType>Book</b:SourceType>
    <b:Guid>{B0F6E3D2-9471-4BA0-A095-E238096C478D}</b:Guid>
    <b:Title>Essentials of marketing</b:Title>
    <b:Year>2019</b:Year>
    <b:Author>
      <b:Author>
        <b:NameList>
          <b:Person>
            <b:Last>Blythe</b:Last>
            <b:First>Jim</b:First>
          </b:Person>
          <b:Person>
            <b:Last>Martin</b:Last>
            <b:First>Jane </b:First>
          </b:Person>
        </b:NameList>
      </b:Author>
    </b:Author>
    <b:Publisher>Pearson education ltd.</b:Publisher>
    <b:Edition>seventh</b:Edition>
    <b:RefOrder>7</b:RefOrder>
  </b:Source>
  <b:Source>
    <b:Tag>Pha19</b:Tag>
    <b:SourceType>JournalArticle</b:SourceType>
    <b:Guid>{96BD3908-42FE-4BC0-8089-54E2551FC1B7}</b:Guid>
    <b:Author>
      <b:Author>
        <b:NameList>
          <b:Person>
            <b:Last>Phadermrod</b:Last>
            <b:First>Boonyarat</b:First>
          </b:Person>
          <b:Person>
            <b:Last>Richard M. </b:Last>
            <b:First>Crowder</b:First>
          </b:Person>
          <b:Person>
            <b:Last>Gary B. </b:Last>
            <b:First>Wills </b:First>
          </b:Person>
        </b:NameList>
      </b:Author>
    </b:Author>
    <b:Title>Importance-Performance Analysis based SWOT analysis</b:Title>
    <b:JournalName>ELSEVIER</b:JournalName>
    <b:Year>2019</b:Year>
    <b:Pages>194-203</b:Pages>
    <b:Volume>44</b:Volume>
    <b:RefOrder>6</b:RefOrder>
  </b:Source>
  <b:Source>
    <b:Tag>Ric22</b:Tag>
    <b:SourceType>JournalArticle</b:SourceType>
    <b:Guid>{32071D44-A7DF-4893-89D8-2BCC095E97FB}</b:Guid>
    <b:Author>
      <b:Author>
        <b:NameList>
          <b:Person>
            <b:First>Rice</b:First>
          </b:Person>
          <b:Person>
            <b:First>John</b:First>
          </b:Person>
        </b:NameList>
      </b:Author>
    </b:Author>
    <b:Title>Adaptation of Porter's Five Forces Model To Risk Management</b:Title>
    <b:JournalName>EBSCOHost</b:JournalName>
    <b:Year>2022</b:Year>
    <b:Pages>126-139</b:Pages>
    <b:Volume>29</b:Volume>
    <b:Issue>100</b:Issue>
    <b:RefOrder>5</b:RefOrder>
  </b:Source>
  <b:Source>
    <b:Tag>Ach19</b:Tag>
    <b:SourceType>JournalArticle</b:SourceType>
    <b:Guid>{41C0C309-DAA1-4BF0-9454-CF9E20B4BF76}</b:Guid>
    <b:Author>
      <b:Author>
        <b:NameList>
          <b:Person>
            <b:Last>Achinas et al.</b:Last>
          </b:Person>
        </b:NameList>
      </b:Author>
    </b:Author>
    <b:Title>A PESTLE Analysis of Biofuels Energy Industry in Europe</b:Title>
    <b:JournalName>Proquest</b:JournalName>
    <b:Year>2019</b:Year>
    <b:Volume>11</b:Volume>
    <b:Issue>21</b:Issue>
    <b:RefOrder>4</b:RefOrder>
  </b:Source>
</b:Sources>
</file>

<file path=customXml/itemProps1.xml><?xml version="1.0" encoding="utf-8"?>
<ds:datastoreItem xmlns:ds="http://schemas.openxmlformats.org/officeDocument/2006/customXml" ds:itemID="{DCD6E195-6D96-473D-BC3F-5D10361EA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30</Pages>
  <Words>7042</Words>
  <Characters>40142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Simranpreet Kaur (2226227)</dc:creator>
  <cp:keywords/>
  <dc:description/>
  <cp:lastModifiedBy>Simranpreet Kaur (2226227)</cp:lastModifiedBy>
  <cp:revision>153</cp:revision>
  <dcterms:created xsi:type="dcterms:W3CDTF">2023-08-18T09:41:00Z</dcterms:created>
  <dcterms:modified xsi:type="dcterms:W3CDTF">2023-08-21T12:46:00Z</dcterms:modified>
</cp:coreProperties>
</file>