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9AC4D8" w14:textId="77777777" w:rsidR="00CF76F9" w:rsidRPr="00CF76F9" w:rsidRDefault="00CF76F9" w:rsidP="00CF76F9">
      <w:pPr>
        <w:jc w:val="center"/>
        <w:rPr>
          <w:b/>
          <w:bCs/>
          <w:sz w:val="28"/>
          <w:szCs w:val="28"/>
          <w:lang w:val="en-US"/>
        </w:rPr>
      </w:pPr>
      <w:r w:rsidRPr="00CF76F9">
        <w:rPr>
          <w:b/>
          <w:bCs/>
          <w:sz w:val="28"/>
          <w:szCs w:val="28"/>
          <w:lang w:val="en-US"/>
        </w:rPr>
        <w:t>Book Review</w:t>
      </w:r>
    </w:p>
    <w:p w14:paraId="397E7334" w14:textId="77777777" w:rsidR="00CF76F9" w:rsidRPr="00751A35" w:rsidRDefault="00CF76F9" w:rsidP="00CF76F9">
      <w:pPr>
        <w:jc w:val="center"/>
        <w:rPr>
          <w:rFonts w:ascii="Arial" w:hAnsi="Arial" w:cs="Arial"/>
          <w:b/>
          <w:bCs/>
          <w:color w:val="222222"/>
          <w:sz w:val="20"/>
          <w:szCs w:val="20"/>
          <w:shd w:val="clear" w:color="auto" w:fill="FFFFFF"/>
          <w:lang w:val="en-GB"/>
        </w:rPr>
      </w:pPr>
      <w:proofErr w:type="spellStart"/>
      <w:r w:rsidRPr="00CF76F9">
        <w:rPr>
          <w:rFonts w:ascii="Arial" w:hAnsi="Arial" w:cs="Arial"/>
          <w:b/>
          <w:bCs/>
          <w:color w:val="222222"/>
          <w:sz w:val="20"/>
          <w:szCs w:val="20"/>
          <w:shd w:val="clear" w:color="auto" w:fill="FFFFFF"/>
          <w:lang w:val="en-GB"/>
        </w:rPr>
        <w:t>Wekker</w:t>
      </w:r>
      <w:proofErr w:type="spellEnd"/>
      <w:r w:rsidRPr="00CF76F9">
        <w:rPr>
          <w:rFonts w:ascii="Arial" w:hAnsi="Arial" w:cs="Arial"/>
          <w:b/>
          <w:bCs/>
          <w:color w:val="222222"/>
          <w:sz w:val="20"/>
          <w:szCs w:val="20"/>
          <w:shd w:val="clear" w:color="auto" w:fill="FFFFFF"/>
          <w:lang w:val="en-GB"/>
        </w:rPr>
        <w:t>, G. (2016). </w:t>
      </w:r>
      <w:r w:rsidRPr="00CF76F9">
        <w:rPr>
          <w:rFonts w:ascii="Arial" w:hAnsi="Arial" w:cs="Arial"/>
          <w:b/>
          <w:bCs/>
          <w:i/>
          <w:iCs/>
          <w:color w:val="222222"/>
          <w:sz w:val="20"/>
          <w:szCs w:val="20"/>
          <w:shd w:val="clear" w:color="auto" w:fill="FFFFFF"/>
          <w:lang w:val="en-GB"/>
        </w:rPr>
        <w:t>White innocence: Paradoxes of colonialism and race</w:t>
      </w:r>
      <w:r w:rsidRPr="00CF76F9">
        <w:rPr>
          <w:rFonts w:ascii="Arial" w:hAnsi="Arial" w:cs="Arial"/>
          <w:b/>
          <w:bCs/>
          <w:color w:val="222222"/>
          <w:sz w:val="20"/>
          <w:szCs w:val="20"/>
          <w:shd w:val="clear" w:color="auto" w:fill="FFFFFF"/>
          <w:lang w:val="en-GB"/>
        </w:rPr>
        <w:t xml:space="preserve">. </w:t>
      </w:r>
      <w:r w:rsidRPr="00751A35">
        <w:rPr>
          <w:rFonts w:ascii="Arial" w:hAnsi="Arial" w:cs="Arial"/>
          <w:b/>
          <w:bCs/>
          <w:color w:val="222222"/>
          <w:sz w:val="20"/>
          <w:szCs w:val="20"/>
          <w:shd w:val="clear" w:color="auto" w:fill="FFFFFF"/>
          <w:lang w:val="en-GB"/>
        </w:rPr>
        <w:t>Duke University Press</w:t>
      </w:r>
    </w:p>
    <w:p w14:paraId="43165879" w14:textId="0956230F" w:rsidR="00CF76F9" w:rsidRPr="00CF76F9" w:rsidRDefault="00CF76F9" w:rsidP="00CF76F9">
      <w:pPr>
        <w:jc w:val="center"/>
        <w:rPr>
          <w:b/>
          <w:bCs/>
          <w:lang w:val="en-US"/>
        </w:rPr>
      </w:pPr>
      <w:r w:rsidRPr="00CF76F9">
        <w:rPr>
          <w:b/>
          <w:bCs/>
          <w:lang w:val="en-US"/>
        </w:rPr>
        <w:t>By Britt Bakker</w:t>
      </w:r>
      <w:r w:rsidRPr="00CF76F9">
        <w:rPr>
          <w:b/>
          <w:bCs/>
          <w:lang w:val="en-US"/>
        </w:rPr>
        <w:br/>
      </w:r>
    </w:p>
    <w:p w14:paraId="4B4CF7D8" w14:textId="2E22D51A" w:rsidR="00662F97" w:rsidRDefault="00CF76F9" w:rsidP="00CF76F9">
      <w:pPr>
        <w:rPr>
          <w:lang w:val="en-US"/>
        </w:rPr>
      </w:pPr>
      <w:r>
        <w:rPr>
          <w:lang w:val="en-US"/>
        </w:rPr>
        <w:t xml:space="preserve">This book review is written for the </w:t>
      </w:r>
      <w:r w:rsidR="00C3292B">
        <w:rPr>
          <w:lang w:val="en-US"/>
        </w:rPr>
        <w:t>Social Compass</w:t>
      </w:r>
      <w:r w:rsidR="00066510">
        <w:rPr>
          <w:lang w:val="en-US"/>
        </w:rPr>
        <w:br/>
      </w:r>
      <w:hyperlink r:id="rId5" w:history="1">
        <w:r w:rsidR="00066510" w:rsidRPr="00EB7016">
          <w:rPr>
            <w:rStyle w:val="Hyperlink"/>
            <w:rFonts w:ascii="Arial" w:hAnsi="Arial" w:cs="Arial"/>
            <w:sz w:val="20"/>
            <w:szCs w:val="20"/>
            <w:shd w:val="clear" w:color="auto" w:fill="FFFFFF"/>
            <w:lang w:val="en-GB"/>
          </w:rPr>
          <w:t>http://journals.sagepub.com/home/scp</w:t>
        </w:r>
      </w:hyperlink>
    </w:p>
    <w:p w14:paraId="62CCE3CC" w14:textId="77777777" w:rsidR="00CF76F9" w:rsidRDefault="00CF76F9" w:rsidP="00CF76F9">
      <w:pPr>
        <w:rPr>
          <w:lang w:val="en-US"/>
        </w:rPr>
      </w:pPr>
    </w:p>
    <w:p w14:paraId="1B45399D" w14:textId="77777777" w:rsidR="00E93423" w:rsidRPr="00E93423" w:rsidRDefault="00E93423" w:rsidP="00E93423">
      <w:pPr>
        <w:jc w:val="both"/>
        <w:rPr>
          <w:lang w:val="en-US"/>
        </w:rPr>
      </w:pPr>
      <w:r w:rsidRPr="00E93423">
        <w:rPr>
          <w:lang w:val="en-US"/>
        </w:rPr>
        <w:t xml:space="preserve">Gloria </w:t>
      </w:r>
      <w:proofErr w:type="spellStart"/>
      <w:r w:rsidRPr="00E93423">
        <w:rPr>
          <w:lang w:val="en-US"/>
        </w:rPr>
        <w:t>Wekker</w:t>
      </w:r>
      <w:proofErr w:type="spellEnd"/>
      <w:r w:rsidRPr="00E93423">
        <w:rPr>
          <w:lang w:val="en-US"/>
        </w:rPr>
        <w:t xml:space="preserve">, herself a Dutch Lesbian black woman who grew up in Suriname, migrated with her family to the Netherlands in 1951. It is her personal background and her experiences as an anthropologist, women’s rights activist and gender scholar which clearly shaped this book. With her powerful style of writing it becomes clear from the offset that she does not shy away from confrontation. </w:t>
      </w:r>
      <w:proofErr w:type="spellStart"/>
      <w:r w:rsidRPr="00E93423">
        <w:rPr>
          <w:lang w:val="en-US"/>
        </w:rPr>
        <w:t>Wekker</w:t>
      </w:r>
      <w:proofErr w:type="spellEnd"/>
      <w:r w:rsidRPr="00E93423">
        <w:rPr>
          <w:lang w:val="en-US"/>
        </w:rPr>
        <w:t xml:space="preserve"> demonstrates in-depth knowledge of highly layered social constructions of Dutch society, which she unpacks in five chapters. She tackles sensitive taboos with her open and straightforward ideas about Dutch colonialism and its influence on Dutch society as it is known today. Her main argument is that it is exactly this colonial past which is purposefully ‘forgotten’ and overlooked in Dutch society, in education, politics and academia. Through disremembering this part of history, white people -especially white men- are able to conveniently set the tone for what is considered ‘normal’ or ‘standard’ in the Netherlands, without leaving room to critically reflect on how and why things are perceived this way. It is through this book that </w:t>
      </w:r>
      <w:proofErr w:type="spellStart"/>
      <w:r w:rsidRPr="00E93423">
        <w:rPr>
          <w:lang w:val="en-US"/>
        </w:rPr>
        <w:t>Wekker</w:t>
      </w:r>
      <w:proofErr w:type="spellEnd"/>
      <w:r w:rsidRPr="00E93423">
        <w:rPr>
          <w:lang w:val="en-US"/>
        </w:rPr>
        <w:t xml:space="preserve"> takes this task upon herself, as she explains which historical and social underpinnings continue to cause disadvantageous race relations, ethnically skewed gender relations and religious discrimination. </w:t>
      </w:r>
    </w:p>
    <w:p w14:paraId="49C00CA8" w14:textId="77777777" w:rsidR="00E93423" w:rsidRPr="00E93423" w:rsidRDefault="00E93423" w:rsidP="00E93423">
      <w:pPr>
        <w:jc w:val="both"/>
        <w:rPr>
          <w:lang w:val="en-US"/>
        </w:rPr>
      </w:pPr>
      <w:r w:rsidRPr="00E93423">
        <w:rPr>
          <w:lang w:val="en-US"/>
        </w:rPr>
        <w:t xml:space="preserve">The four hundred years of Dutch imperial rule are central to </w:t>
      </w:r>
      <w:proofErr w:type="spellStart"/>
      <w:r w:rsidRPr="00E93423">
        <w:rPr>
          <w:lang w:val="en-US"/>
        </w:rPr>
        <w:t>Wekker’s</w:t>
      </w:r>
      <w:proofErr w:type="spellEnd"/>
      <w:r w:rsidRPr="00E93423">
        <w:rPr>
          <w:lang w:val="en-US"/>
        </w:rPr>
        <w:t xml:space="preserve"> thesis. Through her understanding of what happened in Indonesia, Suriname, the Dutch Antilles and South Africa when they were under Dutch rule, and the times thereafter,  she tries to pinpoint colonial legacies in Dutch society today. She advocates strongly that this history should be known, as it is the fuel behind the reinforcement of current Dutch self-identity, or as she calls it ‘the White Dutch Self-representation’. It is through strategically (and unconsciously) dismissing the Dutch colonial past, that the Dutch represent themselves as fragile, small, neutral, childlike and above all, innocent; there is no racism in the Netherlands. In fact, the word ‘race’ is even left unmentioned, as if the concept simply does not apply to the Netherlands. </w:t>
      </w:r>
      <w:proofErr w:type="spellStart"/>
      <w:r w:rsidRPr="00E93423">
        <w:rPr>
          <w:lang w:val="en-US"/>
        </w:rPr>
        <w:t>Wekker</w:t>
      </w:r>
      <w:proofErr w:type="spellEnd"/>
      <w:r w:rsidRPr="00E93423">
        <w:rPr>
          <w:lang w:val="en-US"/>
        </w:rPr>
        <w:t xml:space="preserve"> gives the example of her students who are incredibly uncomfortable with using the word ‘race’ in the classroom. Race refers to the ‘others’, those with different skin color and different faiths. Parallel to that, ‘whiteness’ is not perceived as a noteworthy or relevant societal or racial factor. Being white is the neutral, objective form from which all discussion and reasoning begins. Throughout the chapters, </w:t>
      </w:r>
      <w:proofErr w:type="spellStart"/>
      <w:r w:rsidRPr="00E93423">
        <w:rPr>
          <w:lang w:val="en-US"/>
        </w:rPr>
        <w:t>Wekker</w:t>
      </w:r>
      <w:proofErr w:type="spellEnd"/>
      <w:r w:rsidRPr="00E93423">
        <w:rPr>
          <w:lang w:val="en-US"/>
        </w:rPr>
        <w:t xml:space="preserve"> compiles the harmful effects of (unconsciously) treating whiteness as a naturally emancipated and dominant status, which trickle down in academic writing creating biases in many works. The fact that most segments of Dutch society carefully tiptoe around acknowledging race (and therewith the white race), makes </w:t>
      </w:r>
      <w:proofErr w:type="spellStart"/>
      <w:r w:rsidRPr="00E93423">
        <w:rPr>
          <w:lang w:val="en-US"/>
        </w:rPr>
        <w:t>Wekker’s</w:t>
      </w:r>
      <w:proofErr w:type="spellEnd"/>
      <w:r w:rsidRPr="00E93423">
        <w:rPr>
          <w:lang w:val="en-US"/>
        </w:rPr>
        <w:t xml:space="preserve"> work, which underscores race, a positively disruptive reading. </w:t>
      </w:r>
    </w:p>
    <w:p w14:paraId="67B273F4" w14:textId="77777777" w:rsidR="00E93423" w:rsidRPr="00E93423" w:rsidRDefault="00E93423" w:rsidP="00E93423">
      <w:pPr>
        <w:jc w:val="both"/>
        <w:rPr>
          <w:lang w:val="en-US"/>
        </w:rPr>
      </w:pPr>
      <w:r w:rsidRPr="00E93423">
        <w:rPr>
          <w:lang w:val="en-US"/>
        </w:rPr>
        <w:t xml:space="preserve">Next to race, gender and sexuality are essential concepts in this book. </w:t>
      </w:r>
      <w:proofErr w:type="spellStart"/>
      <w:r w:rsidRPr="00E93423">
        <w:rPr>
          <w:lang w:val="en-US"/>
        </w:rPr>
        <w:t>Wekker</w:t>
      </w:r>
      <w:proofErr w:type="spellEnd"/>
      <w:r w:rsidRPr="00E93423">
        <w:rPr>
          <w:lang w:val="en-US"/>
        </w:rPr>
        <w:t xml:space="preserve"> consistently links the three concepts through analyzing themes. For instance, the Dutch ‘</w:t>
      </w:r>
      <w:proofErr w:type="spellStart"/>
      <w:r w:rsidRPr="00E93423">
        <w:rPr>
          <w:lang w:val="en-US"/>
        </w:rPr>
        <w:t>Zwarte</w:t>
      </w:r>
      <w:proofErr w:type="spellEnd"/>
      <w:r w:rsidRPr="00E93423">
        <w:rPr>
          <w:lang w:val="en-US"/>
        </w:rPr>
        <w:t xml:space="preserve"> Piet’ (Black Piet) discussion where Dutch citizens aggressively defend this racist tradition. This public debate demonstrates how white Dutch people deny racism and frame themselves as the ones who suffer in the whole situation. They claim that black people want to take their innocent, playful and beloved tradition away, leaving the blacks as the perpetrators, and the whites as the victims. </w:t>
      </w:r>
    </w:p>
    <w:p w14:paraId="44173933" w14:textId="77777777" w:rsidR="00E93423" w:rsidRPr="00E93423" w:rsidRDefault="00E93423" w:rsidP="00E93423">
      <w:pPr>
        <w:jc w:val="both"/>
        <w:rPr>
          <w:lang w:val="en-US"/>
        </w:rPr>
      </w:pPr>
      <w:r w:rsidRPr="00E93423">
        <w:rPr>
          <w:lang w:val="en-US"/>
        </w:rPr>
        <w:lastRenderedPageBreak/>
        <w:t xml:space="preserve">Another example is her experience as a black female academic and government employee during which she was treated as a ‘lesser person’ due to her gender and race. One more example is the chapter where she delineates the history of the medical world of psychoanalysis which is overly focused on connecting black women, to savage hypersexuality, while white women are connected to decent and proper asexuality. As becomes clear from these three examples, </w:t>
      </w:r>
      <w:proofErr w:type="spellStart"/>
      <w:r w:rsidRPr="00E93423">
        <w:rPr>
          <w:lang w:val="en-US"/>
        </w:rPr>
        <w:t>Wekker</w:t>
      </w:r>
      <w:proofErr w:type="spellEnd"/>
      <w:r w:rsidRPr="00E93423">
        <w:rPr>
          <w:lang w:val="en-US"/>
        </w:rPr>
        <w:t xml:space="preserve"> mixes her own experiences with academic and popular writings, making her analyses lively and saturated. </w:t>
      </w:r>
    </w:p>
    <w:p w14:paraId="49FA2009" w14:textId="77777777" w:rsidR="00E93423" w:rsidRPr="00E93423" w:rsidRDefault="00E93423" w:rsidP="00E93423">
      <w:pPr>
        <w:jc w:val="both"/>
        <w:rPr>
          <w:lang w:val="en-US"/>
        </w:rPr>
      </w:pPr>
      <w:r w:rsidRPr="00E93423">
        <w:rPr>
          <w:lang w:val="en-US"/>
        </w:rPr>
        <w:t xml:space="preserve">The example where the connection between the three concepts becomes most evident is in her analysis of Dutch LGBT movements; it is here that </w:t>
      </w:r>
      <w:proofErr w:type="spellStart"/>
      <w:r w:rsidRPr="00E93423">
        <w:rPr>
          <w:lang w:val="en-US"/>
        </w:rPr>
        <w:t>Wekker</w:t>
      </w:r>
      <w:proofErr w:type="spellEnd"/>
      <w:r w:rsidRPr="00E93423">
        <w:rPr>
          <w:lang w:val="en-US"/>
        </w:rPr>
        <w:t xml:space="preserve"> provides a firm critique on the Dutch government’s lack of consideration of race in this issue of gender diversity. </w:t>
      </w:r>
      <w:proofErr w:type="spellStart"/>
      <w:r w:rsidRPr="00E93423">
        <w:rPr>
          <w:lang w:val="en-US"/>
        </w:rPr>
        <w:t>Wekker</w:t>
      </w:r>
      <w:proofErr w:type="spellEnd"/>
      <w:r w:rsidRPr="00E93423">
        <w:rPr>
          <w:lang w:val="en-US"/>
        </w:rPr>
        <w:t xml:space="preserve"> starts by letting the reader understand that the Netherlands prides itself for being a country of tolerance, diversity and multiculturalism. Again, these are concepts related to the White Dutch self-representation. However, </w:t>
      </w:r>
      <w:proofErr w:type="spellStart"/>
      <w:r w:rsidRPr="00E93423">
        <w:rPr>
          <w:lang w:val="en-US"/>
        </w:rPr>
        <w:t>Wekker</w:t>
      </w:r>
      <w:proofErr w:type="spellEnd"/>
      <w:r w:rsidRPr="00E93423">
        <w:rPr>
          <w:lang w:val="en-US"/>
        </w:rPr>
        <w:t xml:space="preserve"> describes that it is actually only one ‘type’ of homosexuality that is promoted and supported by the government, that is, white, male homosexuals. This type is above all proud of their sexuality and has ‘made it’ when they come out of the closet and express their sexuality in their appearances, social activities and for instance the famous Dutch Gay Parade.  </w:t>
      </w:r>
      <w:proofErr w:type="spellStart"/>
      <w:r w:rsidRPr="00E93423">
        <w:rPr>
          <w:lang w:val="en-US"/>
        </w:rPr>
        <w:t>Wekker’s</w:t>
      </w:r>
      <w:proofErr w:type="spellEnd"/>
      <w:r w:rsidRPr="00E93423">
        <w:rPr>
          <w:lang w:val="en-US"/>
        </w:rPr>
        <w:t xml:space="preserve"> critique is that rather than speaking of homosexuality, one should speak of </w:t>
      </w:r>
      <w:proofErr w:type="spellStart"/>
      <w:r w:rsidRPr="00E93423">
        <w:rPr>
          <w:lang w:val="en-US"/>
        </w:rPr>
        <w:t>homosexualities</w:t>
      </w:r>
      <w:proofErr w:type="spellEnd"/>
      <w:r w:rsidRPr="00E93423">
        <w:rPr>
          <w:lang w:val="en-US"/>
        </w:rPr>
        <w:t xml:space="preserve">, as there are many forms and types of homosexuality in different cultures and religious traditions; in the Netherlands, there seems only room for one form of accepted homosexual </w:t>
      </w:r>
      <w:proofErr w:type="spellStart"/>
      <w:r w:rsidRPr="00E93423">
        <w:rPr>
          <w:lang w:val="en-US"/>
        </w:rPr>
        <w:t>behaviour</w:t>
      </w:r>
      <w:proofErr w:type="spellEnd"/>
      <w:r w:rsidRPr="00E93423">
        <w:rPr>
          <w:lang w:val="en-US"/>
        </w:rPr>
        <w:t xml:space="preserve">, which serves as a prerogative for white males. </w:t>
      </w:r>
      <w:proofErr w:type="spellStart"/>
      <w:r w:rsidRPr="00E93423">
        <w:rPr>
          <w:lang w:val="en-US"/>
        </w:rPr>
        <w:t>Wekker</w:t>
      </w:r>
      <w:proofErr w:type="spellEnd"/>
      <w:r w:rsidRPr="00E93423">
        <w:rPr>
          <w:lang w:val="en-US"/>
        </w:rPr>
        <w:t xml:space="preserve"> continues her argument by stating that this ‘Dutch type of homosexuality’ is undeniably linked to Islamophobia. The Dutch ideal gay men are open, tolerant, and celebrates diversity. Muslims and Islam, on the other hand, are perceived as closeminded, anti-homosexuality and anti-feminism. It was secularism that opened the door for gay men -and women emancipation-  to finally flourish, but with the coming of Islam, this freedom is threatened; religion, especially Islam, is a setback for emancipation and is therefore institutionally and politically disliked. It is her political analysis of the Dutch political figure </w:t>
      </w:r>
      <w:proofErr w:type="spellStart"/>
      <w:r w:rsidRPr="00E93423">
        <w:rPr>
          <w:lang w:val="en-US"/>
        </w:rPr>
        <w:t>Pim</w:t>
      </w:r>
      <w:proofErr w:type="spellEnd"/>
      <w:r w:rsidRPr="00E93423">
        <w:rPr>
          <w:lang w:val="en-US"/>
        </w:rPr>
        <w:t xml:space="preserve"> Fortuyn, who was openly gay and anti-Islam, which embodies the arguments she makes. Only a few scholars have dared to make such far-stretched assumptions in their work and write in such an iconoclastic style. It is clear that </w:t>
      </w:r>
      <w:proofErr w:type="spellStart"/>
      <w:r w:rsidRPr="00E93423">
        <w:rPr>
          <w:lang w:val="en-US"/>
        </w:rPr>
        <w:t>Wekker</w:t>
      </w:r>
      <w:proofErr w:type="spellEnd"/>
      <w:r w:rsidRPr="00E93423">
        <w:rPr>
          <w:lang w:val="en-US"/>
        </w:rPr>
        <w:t xml:space="preserve"> reads into all the different aspects of Dutch society from her own personal perspective and with a background of her own experiences; one might argue that her work is therefore suggestive or evocative, and will thus not charm every reader. </w:t>
      </w:r>
    </w:p>
    <w:p w14:paraId="1BABD030" w14:textId="77777777" w:rsidR="00E93423" w:rsidRPr="00E93423" w:rsidRDefault="00E93423" w:rsidP="00E93423">
      <w:pPr>
        <w:jc w:val="both"/>
        <w:rPr>
          <w:lang w:val="en-US"/>
        </w:rPr>
      </w:pPr>
      <w:r w:rsidRPr="00E93423">
        <w:rPr>
          <w:lang w:val="en-US"/>
        </w:rPr>
        <w:t xml:space="preserve">Although her writing is focused on the Dutch context, it is as she brings forward, not unlikely that the same or similar dynamics occur in other countries. This makes her work relevant to scholars outside of the Netherlands too. This willingness to reach out to different countries is evident as well from the fact that even though the book is focused on the Netherlands, it is written in English and published by the American Duke University. In addition, the title ‘White Innocence’ suggest a reference not only to Dutch white people but to all white people in every nation. Having said that, </w:t>
      </w:r>
      <w:proofErr w:type="spellStart"/>
      <w:r w:rsidRPr="00E93423">
        <w:rPr>
          <w:lang w:val="en-US"/>
        </w:rPr>
        <w:t>Wekker</w:t>
      </w:r>
      <w:proofErr w:type="spellEnd"/>
      <w:r w:rsidRPr="00E93423">
        <w:rPr>
          <w:lang w:val="en-US"/>
        </w:rPr>
        <w:t xml:space="preserve"> seems to write for a mainly white audience, to shake them up and awake a sense of historical consciousness into them; white innocence should be a thing of the past. Oppositely, she seems to write as if black and Arab communities know the issues she mentions by heart and the problem lies completely in the hands of white oppressive (male) citizens; one could argue that she diminishes the agency of black and Arab people by suggesting -and therewith maintaining- the dominant positions of white people.</w:t>
      </w:r>
    </w:p>
    <w:p w14:paraId="767FCE3F" w14:textId="295E8FE4" w:rsidR="000055EE" w:rsidRPr="00DB3C1E" w:rsidRDefault="00E93423" w:rsidP="00E93423">
      <w:pPr>
        <w:jc w:val="both"/>
        <w:rPr>
          <w:lang w:val="en-US"/>
        </w:rPr>
      </w:pPr>
      <w:r w:rsidRPr="00E93423">
        <w:rPr>
          <w:lang w:val="en-US"/>
        </w:rPr>
        <w:t xml:space="preserve">It should be noted that </w:t>
      </w:r>
      <w:proofErr w:type="spellStart"/>
      <w:r w:rsidRPr="00E93423">
        <w:rPr>
          <w:lang w:val="en-US"/>
        </w:rPr>
        <w:t>Wekker</w:t>
      </w:r>
      <w:proofErr w:type="spellEnd"/>
      <w:r w:rsidRPr="00E93423">
        <w:rPr>
          <w:lang w:val="en-US"/>
        </w:rPr>
        <w:t xml:space="preserve"> does not seem to take into account pre-colonial influences to our modern day understanding of the world, which, in light of the social construction of for instance religion, might overlook the legacy of Early Christian anti-Semitism. In addition, countries which are not predominantly white, or have not been engaged in colonialism, might find it difficult to see the usefulness of this book. Nonetheless,  the book is a call for all (western) countries, for academics as well as the general public, to reconsider what is taken for granted, to explore their histories and reread </w:t>
      </w:r>
      <w:r w:rsidRPr="00E93423">
        <w:rPr>
          <w:lang w:val="en-US"/>
        </w:rPr>
        <w:lastRenderedPageBreak/>
        <w:t xml:space="preserve">it with a critical post-colonial eye. </w:t>
      </w:r>
      <w:proofErr w:type="spellStart"/>
      <w:r w:rsidRPr="00E93423">
        <w:rPr>
          <w:lang w:val="en-US"/>
        </w:rPr>
        <w:t>Wekker</w:t>
      </w:r>
      <w:proofErr w:type="spellEnd"/>
      <w:r w:rsidRPr="00E93423">
        <w:rPr>
          <w:lang w:val="en-US"/>
        </w:rPr>
        <w:t xml:space="preserve"> highlights the intersectionality of race, gender, culture and religion, demonstrating the dominance of one form of accepted </w:t>
      </w:r>
      <w:proofErr w:type="spellStart"/>
      <w:r w:rsidRPr="00E93423">
        <w:rPr>
          <w:lang w:val="en-US"/>
        </w:rPr>
        <w:t>behaviour</w:t>
      </w:r>
      <w:proofErr w:type="spellEnd"/>
      <w:r w:rsidRPr="00E93423">
        <w:rPr>
          <w:lang w:val="en-US"/>
        </w:rPr>
        <w:t xml:space="preserve"> and thought, which is cultivated out of centuries of colonial heritage. For religious scholars, this book is particularly interesting when trying to grasp the novelty of how religion is shaped and influenced by society at large. Rather than understanding relig</w:t>
      </w:r>
      <w:bookmarkStart w:id="0" w:name="_GoBack"/>
      <w:bookmarkEnd w:id="0"/>
      <w:r w:rsidRPr="00E93423">
        <w:rPr>
          <w:lang w:val="en-US"/>
        </w:rPr>
        <w:t xml:space="preserve">ion within a vacuum, this book carefully delineates how the concepts are interlinked in all facets of broader society. It functions as a self-reflective reading which allows the reader to discover new (and old but forgotten), ways to perceive religions in relation to western countries. This book is an exemplary framework for how to undertake this task and provides readers with an incentive to start the </w:t>
      </w:r>
      <w:proofErr w:type="spellStart"/>
      <w:r w:rsidRPr="00E93423">
        <w:rPr>
          <w:lang w:val="en-US"/>
        </w:rPr>
        <w:t>endeavour</w:t>
      </w:r>
      <w:proofErr w:type="spellEnd"/>
      <w:r w:rsidRPr="00E93423">
        <w:rPr>
          <w:lang w:val="en-US"/>
        </w:rPr>
        <w:t xml:space="preserve"> to understand particularly the things left unsaid, purposefully hidden and unthought.</w:t>
      </w:r>
    </w:p>
    <w:sectPr w:rsidR="000055EE" w:rsidRPr="00DB3C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E70C9F"/>
    <w:multiLevelType w:val="hybridMultilevel"/>
    <w:tmpl w:val="D09EF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6F9"/>
    <w:rsid w:val="000055EE"/>
    <w:rsid w:val="00026642"/>
    <w:rsid w:val="0003109C"/>
    <w:rsid w:val="000343A3"/>
    <w:rsid w:val="00036899"/>
    <w:rsid w:val="00042267"/>
    <w:rsid w:val="00042F2C"/>
    <w:rsid w:val="00044ECF"/>
    <w:rsid w:val="00060EA9"/>
    <w:rsid w:val="00066510"/>
    <w:rsid w:val="000709FB"/>
    <w:rsid w:val="0007640F"/>
    <w:rsid w:val="0008629B"/>
    <w:rsid w:val="00095C86"/>
    <w:rsid w:val="000A0751"/>
    <w:rsid w:val="000A74F9"/>
    <w:rsid w:val="000B08AB"/>
    <w:rsid w:val="000B325E"/>
    <w:rsid w:val="000C13DE"/>
    <w:rsid w:val="000C328F"/>
    <w:rsid w:val="000D1209"/>
    <w:rsid w:val="000E0352"/>
    <w:rsid w:val="000E306D"/>
    <w:rsid w:val="000F218D"/>
    <w:rsid w:val="000F76FE"/>
    <w:rsid w:val="0011308B"/>
    <w:rsid w:val="00132398"/>
    <w:rsid w:val="00142036"/>
    <w:rsid w:val="00143053"/>
    <w:rsid w:val="00166B2D"/>
    <w:rsid w:val="001823BB"/>
    <w:rsid w:val="001834D7"/>
    <w:rsid w:val="0019289F"/>
    <w:rsid w:val="00193A23"/>
    <w:rsid w:val="001A2DC5"/>
    <w:rsid w:val="001B1332"/>
    <w:rsid w:val="001B4CBC"/>
    <w:rsid w:val="001C3B57"/>
    <w:rsid w:val="001C7F3E"/>
    <w:rsid w:val="001E41BA"/>
    <w:rsid w:val="001E623A"/>
    <w:rsid w:val="002005A0"/>
    <w:rsid w:val="0021117B"/>
    <w:rsid w:val="00215969"/>
    <w:rsid w:val="00217346"/>
    <w:rsid w:val="00217D0D"/>
    <w:rsid w:val="00221F6F"/>
    <w:rsid w:val="00257BB8"/>
    <w:rsid w:val="00263C79"/>
    <w:rsid w:val="00265AE2"/>
    <w:rsid w:val="002921CD"/>
    <w:rsid w:val="002A304B"/>
    <w:rsid w:val="002C5EE0"/>
    <w:rsid w:val="002D5113"/>
    <w:rsid w:val="002D6F67"/>
    <w:rsid w:val="002F3C2B"/>
    <w:rsid w:val="00301608"/>
    <w:rsid w:val="00310091"/>
    <w:rsid w:val="00311F0E"/>
    <w:rsid w:val="00316E47"/>
    <w:rsid w:val="003244D6"/>
    <w:rsid w:val="00327A8A"/>
    <w:rsid w:val="003339A7"/>
    <w:rsid w:val="003430B3"/>
    <w:rsid w:val="00350640"/>
    <w:rsid w:val="00362B90"/>
    <w:rsid w:val="00362F55"/>
    <w:rsid w:val="00383222"/>
    <w:rsid w:val="003859E2"/>
    <w:rsid w:val="00397FC6"/>
    <w:rsid w:val="003A08D1"/>
    <w:rsid w:val="003A2D5B"/>
    <w:rsid w:val="003B3323"/>
    <w:rsid w:val="003B609C"/>
    <w:rsid w:val="003C1C44"/>
    <w:rsid w:val="003C2D4C"/>
    <w:rsid w:val="003D6885"/>
    <w:rsid w:val="003F0895"/>
    <w:rsid w:val="003F2805"/>
    <w:rsid w:val="003F323F"/>
    <w:rsid w:val="003F445A"/>
    <w:rsid w:val="00403002"/>
    <w:rsid w:val="004061F5"/>
    <w:rsid w:val="0042032F"/>
    <w:rsid w:val="004278E4"/>
    <w:rsid w:val="004430FE"/>
    <w:rsid w:val="00474AB3"/>
    <w:rsid w:val="0049180A"/>
    <w:rsid w:val="004937E8"/>
    <w:rsid w:val="004A2C34"/>
    <w:rsid w:val="0051182D"/>
    <w:rsid w:val="0051472C"/>
    <w:rsid w:val="00522F74"/>
    <w:rsid w:val="005515F1"/>
    <w:rsid w:val="005516EA"/>
    <w:rsid w:val="005869BB"/>
    <w:rsid w:val="00590C82"/>
    <w:rsid w:val="005924A3"/>
    <w:rsid w:val="005A007C"/>
    <w:rsid w:val="005A3887"/>
    <w:rsid w:val="005A708F"/>
    <w:rsid w:val="005C497F"/>
    <w:rsid w:val="005C6855"/>
    <w:rsid w:val="005D2ACA"/>
    <w:rsid w:val="005E0DAC"/>
    <w:rsid w:val="005E5ABF"/>
    <w:rsid w:val="005E6570"/>
    <w:rsid w:val="005F5F1C"/>
    <w:rsid w:val="00622070"/>
    <w:rsid w:val="00626108"/>
    <w:rsid w:val="0063103C"/>
    <w:rsid w:val="00632162"/>
    <w:rsid w:val="00637237"/>
    <w:rsid w:val="0066155A"/>
    <w:rsid w:val="00662F97"/>
    <w:rsid w:val="0067000C"/>
    <w:rsid w:val="00671C41"/>
    <w:rsid w:val="00686A90"/>
    <w:rsid w:val="006B2999"/>
    <w:rsid w:val="006D28CC"/>
    <w:rsid w:val="006D4128"/>
    <w:rsid w:val="006F5C99"/>
    <w:rsid w:val="00700E11"/>
    <w:rsid w:val="00702770"/>
    <w:rsid w:val="00703304"/>
    <w:rsid w:val="00704ED8"/>
    <w:rsid w:val="00751A35"/>
    <w:rsid w:val="00752D11"/>
    <w:rsid w:val="00755333"/>
    <w:rsid w:val="0075687E"/>
    <w:rsid w:val="0077681C"/>
    <w:rsid w:val="00790B65"/>
    <w:rsid w:val="00791436"/>
    <w:rsid w:val="0079354E"/>
    <w:rsid w:val="00796918"/>
    <w:rsid w:val="007D4FD3"/>
    <w:rsid w:val="007F572D"/>
    <w:rsid w:val="00803332"/>
    <w:rsid w:val="008122F3"/>
    <w:rsid w:val="00833818"/>
    <w:rsid w:val="00833DBD"/>
    <w:rsid w:val="00840BB7"/>
    <w:rsid w:val="008476C5"/>
    <w:rsid w:val="00851EC5"/>
    <w:rsid w:val="00853410"/>
    <w:rsid w:val="008572E1"/>
    <w:rsid w:val="00863480"/>
    <w:rsid w:val="0088215C"/>
    <w:rsid w:val="008A6BB0"/>
    <w:rsid w:val="008B77EB"/>
    <w:rsid w:val="008F2256"/>
    <w:rsid w:val="008F2BC7"/>
    <w:rsid w:val="00901B7B"/>
    <w:rsid w:val="009111CC"/>
    <w:rsid w:val="009143B4"/>
    <w:rsid w:val="0091510E"/>
    <w:rsid w:val="00916054"/>
    <w:rsid w:val="009227EA"/>
    <w:rsid w:val="00924910"/>
    <w:rsid w:val="0092510F"/>
    <w:rsid w:val="00931E5D"/>
    <w:rsid w:val="00942C02"/>
    <w:rsid w:val="00952706"/>
    <w:rsid w:val="00964D3A"/>
    <w:rsid w:val="00970643"/>
    <w:rsid w:val="0097684A"/>
    <w:rsid w:val="00977912"/>
    <w:rsid w:val="0098380B"/>
    <w:rsid w:val="009A137C"/>
    <w:rsid w:val="009A5FB2"/>
    <w:rsid w:val="009B22B6"/>
    <w:rsid w:val="009B4AFF"/>
    <w:rsid w:val="009D5E55"/>
    <w:rsid w:val="009D74B0"/>
    <w:rsid w:val="009E4C01"/>
    <w:rsid w:val="00A04A51"/>
    <w:rsid w:val="00A14DA1"/>
    <w:rsid w:val="00A357A0"/>
    <w:rsid w:val="00A37F5D"/>
    <w:rsid w:val="00A405A9"/>
    <w:rsid w:val="00A43158"/>
    <w:rsid w:val="00A50688"/>
    <w:rsid w:val="00A55512"/>
    <w:rsid w:val="00A60082"/>
    <w:rsid w:val="00A62CFB"/>
    <w:rsid w:val="00A64892"/>
    <w:rsid w:val="00A67013"/>
    <w:rsid w:val="00A80088"/>
    <w:rsid w:val="00A93536"/>
    <w:rsid w:val="00AA3C2B"/>
    <w:rsid w:val="00AC28F4"/>
    <w:rsid w:val="00AD3985"/>
    <w:rsid w:val="00AD7C42"/>
    <w:rsid w:val="00AE425E"/>
    <w:rsid w:val="00AE6463"/>
    <w:rsid w:val="00AF39DE"/>
    <w:rsid w:val="00AF623F"/>
    <w:rsid w:val="00B01858"/>
    <w:rsid w:val="00B21A93"/>
    <w:rsid w:val="00B3419A"/>
    <w:rsid w:val="00B40EFF"/>
    <w:rsid w:val="00B41801"/>
    <w:rsid w:val="00B4322A"/>
    <w:rsid w:val="00B7730B"/>
    <w:rsid w:val="00B919D6"/>
    <w:rsid w:val="00B96EBE"/>
    <w:rsid w:val="00B97D45"/>
    <w:rsid w:val="00BA02F4"/>
    <w:rsid w:val="00BA3ECD"/>
    <w:rsid w:val="00BB3F78"/>
    <w:rsid w:val="00BC0902"/>
    <w:rsid w:val="00BC2A67"/>
    <w:rsid w:val="00BC5EF9"/>
    <w:rsid w:val="00BD15E9"/>
    <w:rsid w:val="00BD4CC2"/>
    <w:rsid w:val="00BD6170"/>
    <w:rsid w:val="00BE31A4"/>
    <w:rsid w:val="00BE6A9D"/>
    <w:rsid w:val="00BF1337"/>
    <w:rsid w:val="00BF1D9F"/>
    <w:rsid w:val="00BF5B3A"/>
    <w:rsid w:val="00BF7A5B"/>
    <w:rsid w:val="00C04F86"/>
    <w:rsid w:val="00C05FE6"/>
    <w:rsid w:val="00C14674"/>
    <w:rsid w:val="00C21BBE"/>
    <w:rsid w:val="00C222F9"/>
    <w:rsid w:val="00C23720"/>
    <w:rsid w:val="00C301A0"/>
    <w:rsid w:val="00C323D3"/>
    <w:rsid w:val="00C3292B"/>
    <w:rsid w:val="00C4251B"/>
    <w:rsid w:val="00C434E8"/>
    <w:rsid w:val="00C51827"/>
    <w:rsid w:val="00C57B95"/>
    <w:rsid w:val="00C76869"/>
    <w:rsid w:val="00C871CF"/>
    <w:rsid w:val="00C92127"/>
    <w:rsid w:val="00CA6AC6"/>
    <w:rsid w:val="00CA72D7"/>
    <w:rsid w:val="00CC7DA3"/>
    <w:rsid w:val="00CD5FE9"/>
    <w:rsid w:val="00CF2718"/>
    <w:rsid w:val="00CF76F9"/>
    <w:rsid w:val="00D0538A"/>
    <w:rsid w:val="00D065D7"/>
    <w:rsid w:val="00D21831"/>
    <w:rsid w:val="00D2656B"/>
    <w:rsid w:val="00D509F9"/>
    <w:rsid w:val="00D5172A"/>
    <w:rsid w:val="00D571A3"/>
    <w:rsid w:val="00D645DC"/>
    <w:rsid w:val="00D73B6A"/>
    <w:rsid w:val="00D77DF0"/>
    <w:rsid w:val="00D90103"/>
    <w:rsid w:val="00D9463B"/>
    <w:rsid w:val="00D97C54"/>
    <w:rsid w:val="00DB3C1E"/>
    <w:rsid w:val="00DB7682"/>
    <w:rsid w:val="00DC343A"/>
    <w:rsid w:val="00DC631E"/>
    <w:rsid w:val="00DE54F6"/>
    <w:rsid w:val="00DF4B7F"/>
    <w:rsid w:val="00E03B8E"/>
    <w:rsid w:val="00E17889"/>
    <w:rsid w:val="00E26C7B"/>
    <w:rsid w:val="00E26D29"/>
    <w:rsid w:val="00E339D2"/>
    <w:rsid w:val="00E440B1"/>
    <w:rsid w:val="00E5473C"/>
    <w:rsid w:val="00E740B2"/>
    <w:rsid w:val="00E84B57"/>
    <w:rsid w:val="00E85687"/>
    <w:rsid w:val="00E93423"/>
    <w:rsid w:val="00E947DE"/>
    <w:rsid w:val="00EA17EF"/>
    <w:rsid w:val="00EA5283"/>
    <w:rsid w:val="00EB0F51"/>
    <w:rsid w:val="00EC193A"/>
    <w:rsid w:val="00EC1C9B"/>
    <w:rsid w:val="00F13AAB"/>
    <w:rsid w:val="00F32816"/>
    <w:rsid w:val="00F40BF5"/>
    <w:rsid w:val="00F4119B"/>
    <w:rsid w:val="00F42918"/>
    <w:rsid w:val="00F6174C"/>
    <w:rsid w:val="00F66EFA"/>
    <w:rsid w:val="00F67C5B"/>
    <w:rsid w:val="00F932B6"/>
    <w:rsid w:val="00F94B7A"/>
    <w:rsid w:val="00F95F40"/>
    <w:rsid w:val="00F96408"/>
    <w:rsid w:val="00FA1DEA"/>
    <w:rsid w:val="00FA6776"/>
    <w:rsid w:val="00FA7F74"/>
    <w:rsid w:val="00FB1F36"/>
    <w:rsid w:val="00FB6C05"/>
    <w:rsid w:val="00FC2B05"/>
    <w:rsid w:val="00FC670E"/>
    <w:rsid w:val="00FD28EB"/>
    <w:rsid w:val="00FD4D8A"/>
    <w:rsid w:val="00FE765E"/>
    <w:rsid w:val="00FF21BC"/>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B7E92"/>
  <w15:chartTrackingRefBased/>
  <w15:docId w15:val="{4C028E1F-AA3E-4F11-9487-1E24902D3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91436"/>
    <w:pPr>
      <w:ind w:left="720"/>
      <w:contextualSpacing/>
    </w:pPr>
  </w:style>
  <w:style w:type="character" w:styleId="Hyperlink">
    <w:name w:val="Hyperlink"/>
    <w:basedOn w:val="Standaardalinea-lettertype"/>
    <w:uiPriority w:val="99"/>
    <w:unhideWhenUsed/>
    <w:rsid w:val="00066510"/>
    <w:rPr>
      <w:color w:val="0000FF"/>
      <w:u w:val="single"/>
    </w:rPr>
  </w:style>
  <w:style w:type="character" w:styleId="Onopgelostemelding">
    <w:name w:val="Unresolved Mention"/>
    <w:basedOn w:val="Standaardalinea-lettertype"/>
    <w:uiPriority w:val="99"/>
    <w:semiHidden/>
    <w:unhideWhenUsed/>
    <w:rsid w:val="000665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journals.sagepub.com/home/scp"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TotalTime>
  <Pages>3</Pages>
  <Words>1395</Words>
  <Characters>7955</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 Bakker</dc:creator>
  <cp:keywords/>
  <dc:description/>
  <cp:lastModifiedBy>Britt Bakker</cp:lastModifiedBy>
  <cp:revision>317</cp:revision>
  <dcterms:created xsi:type="dcterms:W3CDTF">2018-10-18T20:37:00Z</dcterms:created>
  <dcterms:modified xsi:type="dcterms:W3CDTF">2018-11-03T13:02:00Z</dcterms:modified>
</cp:coreProperties>
</file>