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rFonts w:ascii="Times New Roman" w:hAnsi="Times New Roman"/>
          <w:b/>
          <w:b/>
          <w:bCs/>
          <w:u w:val="single"/>
        </w:rPr>
      </w:pPr>
      <w:r>
        <w:rPr>
          <w:rFonts w:ascii="Times New Roman" w:hAnsi="Times New Roman"/>
          <w:b/>
          <w:bCs/>
          <w:u w:val="single"/>
        </w:rPr>
        <w:t>Name: Damien Thomas</w:t>
      </w:r>
    </w:p>
    <w:p>
      <w:pPr>
        <w:pStyle w:val="Normal"/>
        <w:bidi w:val="0"/>
        <w:jc w:val="left"/>
        <w:rPr>
          <w:rFonts w:ascii="Times New Roman" w:hAnsi="Times New Roman"/>
          <w:b/>
          <w:b/>
          <w:bCs/>
          <w:u w:val="single"/>
        </w:rPr>
      </w:pPr>
      <w:r>
        <w:rPr>
          <w:rFonts w:ascii="Times New Roman" w:hAnsi="Times New Roman"/>
          <w:b/>
          <w:bCs/>
          <w:u w:val="single"/>
        </w:rPr>
        <w:t>Student Number 2031275</w:t>
      </w:r>
    </w:p>
    <w:p>
      <w:pPr>
        <w:pStyle w:val="Normal"/>
        <w:bidi w:val="0"/>
        <w:jc w:val="left"/>
        <w:rPr>
          <w:rFonts w:ascii="Times New Roman" w:hAnsi="Times New Roman"/>
          <w:b/>
          <w:b/>
          <w:bCs/>
          <w:u w:val="single"/>
        </w:rPr>
      </w:pPr>
      <w:r>
        <w:rPr>
          <w:rFonts w:ascii="Times New Roman" w:hAnsi="Times New Roman"/>
          <w:b/>
          <w:bCs/>
          <w:u w:val="single"/>
        </w:rPr>
      </w:r>
    </w:p>
    <w:p>
      <w:pPr>
        <w:pStyle w:val="Normal"/>
        <w:bidi w:val="0"/>
        <w:jc w:val="left"/>
        <w:rPr>
          <w:rFonts w:ascii="Times New Roman" w:hAnsi="Times New Roman"/>
          <w:b/>
          <w:b/>
          <w:bCs/>
          <w:u w:val="single"/>
        </w:rPr>
      </w:pPr>
      <w:r>
        <w:rPr>
          <w:rFonts w:ascii="Times New Roman" w:hAnsi="Times New Roman"/>
          <w:b/>
          <w:bCs/>
          <w:u w:val="single"/>
        </w:rPr>
      </w:r>
    </w:p>
    <w:p>
      <w:pPr>
        <w:pStyle w:val="Normal"/>
        <w:bidi w:val="0"/>
        <w:spacing w:lineRule="auto" w:line="276" w:before="0" w:after="0"/>
        <w:ind w:right="531" w:hanging="0"/>
        <w:jc w:val="left"/>
        <w:rPr>
          <w:rFonts w:ascii="Arial" w:hAnsi="Arial" w:eastAsia="Times New Roman" w:cs="Arial"/>
          <w:lang w:eastAsia="en-GB"/>
        </w:rPr>
      </w:pPr>
      <w:r>
        <w:rPr>
          <w:rFonts w:eastAsia="Times New Roman" w:cs="Arial" w:ascii="Times New Roman" w:hAnsi="Times New Roman"/>
          <w:b/>
          <w:bCs/>
          <w:u w:val="single"/>
          <w:lang w:eastAsia="en-GB"/>
        </w:rPr>
        <w:t>Essay one:</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u w:val="single"/>
          <w:lang w:eastAsia="en-GB"/>
        </w:rPr>
        <w:t>Examine how prominent cases of police misconduct or malpractice have influenced current professional policing policies. Evaluate how these policies have increased community confidence in the police, with reference to the Code of Ethics.</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Public confidence in policing within a community can be vital for establishing trust and legitimacy. Police misconduct can have serious impacts on community confidence and can damage the legitimacy of the police leading to unrest, anarchy, underdevelopment and even in some serious cases riot’s.</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The term “SUS” law refers to a power that police had in the 1824 Vagrancy Act Section 4 (Vagrancy Act 1824) which provided officers with the powers to arrest anyone they deemed to be loitering suspiciously. This was put in to effect in the days before the Brixton riots in an operation named Operation SWAMP. Due to the use of these powers, Black people in the area of Brixton, London believed that police were targetting them. (BBC, 2019). In reaction to the Brixton riots 1981 Lord Scarman released a report to parliament which stated that the riots started as an outburst of anger and frustration at how black youths were being treated by the police (House of Commons Library, 2022). Due to the Scarman report the Police and Criminal Evidence act 1984 (PACE) was implemented as a way to unify policing powers under one codes of practise. PACE introduced a code of practise that fell in line with the code of ethics that all officers must follow in the modern day. Section 1 of PACE (Police and Criminal Evidence Act 1984) and Code A of the codes of practice (Home Office, 2014) states that officers must search people fairly, responsibly and without lawful discrimination. Officers under code A have a duty to eliminate unlawful discrimination, harassment and victimisation. Code A also states that a person cannot be searched on personal factors alone such as appearance and an officer must have more robust grounds. The protections now in power under Code A of the codes of practise provide a set of rules and regulations that must be followed by all officers. Code A provides protection to the people of the BME community that they should have always had.</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Due to the introduction of PACE and the codes of practise, modern policing looks very different. During the era of the “SUS” law there is very little to no statistics on the amount of searches conducted. In May of 2022 the government published figures on stop searches by officers in the 20/21 year period. It found that in over 700,000 searched conducted that people of the BME community were subject to discrimination (House of Commons Library, 2022). The report found that Black people are searched at a rate of 53 per 1000 people, Asian people at 18 per 1000 whilst white people 7.5 per 1000 people. Current statistics show that people of a BME background are currently 3.5 times more likely to be searched (ibid). The confidence in policing from the black ethnicity is at the lowest point in 7 years with only 64% of participants in a government survey stating that they are confident in the police, this is in contrast the to the overall average of 74% from all backgrounds (Ethnicity Facts and Figures 2021). The increased number of searches on the BME community can partly be attributed implicit bias (Perception Institute, 2019) and it is only through change such as the Police Race Action Plan (RAP) (College of Policing, 2022) can this disparity be fixed.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The RAP highlights there is a currently an issues with diversity in the police force (College of Policing, 2022). Currently only 1.3% of the police force is black </w:t>
      </w:r>
      <w:r>
        <w:rPr>
          <w:rFonts w:eastAsia="Times New Roman" w:cs="Arial" w:ascii="Times New Roman" w:hAnsi="Times New Roman"/>
          <w:b w:val="false"/>
          <w:bCs w:val="false"/>
          <w:color w:val="auto"/>
          <w:kern w:val="2"/>
          <w:sz w:val="24"/>
          <w:szCs w:val="24"/>
          <w:u w:val="none"/>
          <w:lang w:val="en-GB" w:eastAsia="en-GB" w:bidi="hi-IN"/>
        </w:rPr>
        <w:t>with the wider population being 3.5% black</w:t>
      </w:r>
      <w:r>
        <w:rPr>
          <w:rFonts w:eastAsia="Times New Roman" w:cs="Arial" w:ascii="Times New Roman" w:hAnsi="Times New Roman"/>
          <w:b w:val="false"/>
          <w:bCs w:val="false"/>
          <w:u w:val="none"/>
          <w:lang w:eastAsia="en-GB"/>
        </w:rPr>
        <w:t>. Representation with</w:t>
      </w:r>
      <w:r>
        <w:rPr>
          <w:rFonts w:eastAsia="Times New Roman" w:cs="Arial" w:ascii="Times New Roman" w:hAnsi="Times New Roman"/>
          <w:b w:val="false"/>
          <w:bCs w:val="false"/>
          <w:u w:val="none"/>
          <w:lang w:eastAsia="en-GB"/>
        </w:rPr>
        <w:t>in</w:t>
      </w:r>
      <w:r>
        <w:rPr>
          <w:rFonts w:eastAsia="Times New Roman" w:cs="Arial" w:ascii="Times New Roman" w:hAnsi="Times New Roman"/>
          <w:b w:val="false"/>
          <w:bCs w:val="false"/>
          <w:u w:val="none"/>
          <w:lang w:eastAsia="en-GB"/>
        </w:rPr>
        <w:t xml:space="preserve"> the police matter’s as like many other fields representation allows for sense of validation and community support. It also helps in the reduction of negative stereotypes about other communities (Nadal, 2021) which is helpful when attempting to target implicit bias as it teaches other members of the predominately white police force about other cultures and communities. The RAP aimed to tackle this by using the 20,000 uplift of officer proposed by the government as an opportunity, with the number of black officers increasing to 1.7% (College of Policing, 2022). </w:t>
      </w:r>
      <w:r>
        <w:rPr>
          <w:rFonts w:eastAsia="Times New Roman" w:cs="Arial" w:ascii="Times New Roman" w:hAnsi="Times New Roman"/>
          <w:b w:val="false"/>
          <w:bCs w:val="false"/>
          <w:u w:val="none"/>
          <w:lang w:eastAsia="en-GB"/>
        </w:rPr>
        <w:t>H</w:t>
      </w:r>
      <w:r>
        <w:rPr>
          <w:rFonts w:eastAsia="Times New Roman" w:cs="Arial" w:ascii="Times New Roman" w:hAnsi="Times New Roman"/>
          <w:b w:val="false"/>
          <w:bCs w:val="false"/>
          <w:u w:val="none"/>
          <w:lang w:eastAsia="en-GB"/>
        </w:rPr>
        <w:t xml:space="preserve">owever they have failed to retain many of these officers as the rate of black officers leaving or being dismissed is much higher than white officers (ibid). The RAP aims to tackle this by working on the internal culture and disciplinary procedures to allow for more inclusivity. Representation in policing is important as it will provide members of the BME community with officers who understand their culture and traditions better. Although there is little evidence surrounding the topic, officers who are more aware of the needs of the BME communities are better able to police through consent and potentially increase the level of confidence from BME communities.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When looking at public confidence it also important to look at how people of the BME community are treated when being dealt in line with PACE Section 117 (Police and Criminal Evidence Act 1984, c. 60). In the year March 20-21 70% of occasions where forced was used 70% of these were perceived to be white. However when you look in to these statistics people of BME backgrounds were over 2 times more likely to have forced used with 17 incidents involving force per 1,000 people (Home Officer, 2021). Also when force is used it is more likely to be of a higher severity with people of BME backgrounds being more likely to be confronted with less lethal weapons and firearms by officers (ibid). These figures are populated by officer submissions so there is room for error however it shows a pattern between the handling of BME communities by officers. This is compounded by statistics that show only 65% of the BME community feel that the police handling incidents fairly and proportionately compared with 70% of the surveyed population (Independent Office for Police Conduct, 2021)</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 </w:t>
      </w:r>
      <w:r>
        <w:rPr>
          <w:rFonts w:eastAsia="Times New Roman" w:cs="Arial" w:ascii="Times New Roman" w:hAnsi="Times New Roman"/>
          <w:b w:val="false"/>
          <w:bCs w:val="false"/>
          <w:u w:val="none"/>
          <w:lang w:eastAsia="en-GB"/>
        </w:rPr>
        <w:t xml:space="preserve">The introduction of PACE and the codes of practice has had an important positive impact on policing with officers now being held to a much higher standard in their daily duties compared to those of the past. However when people of the BME community are 3 times more likely to be stop searched and 2 times more likely to have forced used during incident </w:t>
      </w:r>
      <w:r>
        <w:rPr>
          <w:rFonts w:eastAsia="Times New Roman" w:cs="Arial" w:ascii="Times New Roman" w:hAnsi="Times New Roman"/>
          <w:b w:val="false"/>
          <w:bCs w:val="false"/>
          <w:u w:val="none"/>
          <w:lang w:eastAsia="en-GB"/>
        </w:rPr>
        <w:t>and</w:t>
      </w:r>
      <w:r>
        <w:rPr>
          <w:rFonts w:eastAsia="Times New Roman" w:cs="Arial" w:ascii="Times New Roman" w:hAnsi="Times New Roman"/>
          <w:b w:val="false"/>
          <w:bCs w:val="false"/>
          <w:u w:val="none"/>
          <w:lang w:eastAsia="en-GB"/>
        </w:rPr>
        <w:t xml:space="preserve"> it is easy to see why confidence in policing is lower in BME communities. The RAP aims to tackle this by the increasing of representation of BME officers to increase confidence in these communities. Although this has worked there is still more work to be conducted on the retention of these officers though workplace practises.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 </w:t>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Times New Roman" w:hAnsi="Times New Roman"/>
          <w:b w:val="false"/>
          <w:bCs w:val="false"/>
          <w:u w:val="none"/>
          <w:lang w:eastAsia="en-GB"/>
        </w:rPr>
        <w:t>108</w:t>
      </w:r>
      <w:r>
        <w:rPr>
          <w:rFonts w:eastAsia="Times New Roman" w:cs="Arial" w:ascii="Times New Roman" w:hAnsi="Times New Roman"/>
          <w:b w:val="false"/>
          <w:bCs w:val="false"/>
          <w:u w:val="none"/>
          <w:lang w:eastAsia="en-GB"/>
        </w:rPr>
        <w:t>7</w:t>
      </w:r>
      <w:r>
        <w:rPr>
          <w:rFonts w:eastAsia="Times New Roman" w:cs="Arial" w:ascii="Times New Roman" w:hAnsi="Times New Roman"/>
          <w:b w:val="false"/>
          <w:bCs w:val="false"/>
          <w:u w:val="none"/>
          <w:lang w:eastAsia="en-GB"/>
        </w:rPr>
        <w:t xml:space="preserve"> Words</w:t>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bCs/>
          <w:u w:val="single"/>
          <w:lang w:eastAsia="en-GB"/>
        </w:rPr>
        <w:t xml:space="preserve">Essay two: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single"/>
          <w:lang w:eastAsia="en-GB"/>
        </w:rPr>
        <w:t>Examine why certain groups might be vulnerable to being targeted by Serious and Organised Crime Groups, and analyse the effectiveness of police practices to investigate such issues.</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Serious and Organised Crime Groups (OCG’S) represent a major threat to the welfare and security of the country. OCG’s in most cases are well planned, coordinated and committed in groups or networks across borders a behaviour commonly known as “County Lines”. OCG’s cost the UK £37 Billion annually (CrimeStoppers, 2020) and are major contributors in Drug trafficking, Cyber crime, illegal firearms, Child sexual exploitation (CSE) and Modern slavery/human trafficking with this not being an exhaustive list.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Children under the age of 18 are some of the highest targets for OCG’s. Children are often target’s of OCG’s as they often lack the experience in real life decision’s and the potentially negative outcomes (Betsch, 2018). OCG’s will often target children with certain vulnerabilities and exploit these to their advantage. There are factors that will make children more at risk of exploitation such as having prior experience of neglect or physical/mental harm, lack of a stable home environment, economic factors such as children from an area of lower financial stability and homelessness or uncertain accommodation status (Home Office, 2018). These children are more vulnerable to be enticed by the option of easy money and the glamorous lifestyle that could be affording to them by working with the OCG’s as often these are thing’s that they are not getting in their personal lives (Robinson, McLean and Densley, 2018). This is then maintained by the OCG’s through an imbalance of power between the child and the OCG due to factors such as a less developed cognitive ability. The cognitive ability of the child plays a large role in why they are targetted as they are more likely to make more impulsive decision’s, express stronger emotions and choose riskier behaviour or high risk activities (Raising Children Network, 2017). The increase</w:t>
      </w:r>
      <w:r>
        <w:rPr>
          <w:rFonts w:eastAsia="Times New Roman" w:cs="Arial" w:ascii="Times New Roman" w:hAnsi="Times New Roman"/>
          <w:b w:val="false"/>
          <w:bCs w:val="false"/>
          <w:u w:val="none"/>
          <w:lang w:eastAsia="en-GB"/>
        </w:rPr>
        <w:t>d the</w:t>
      </w:r>
      <w:r>
        <w:rPr>
          <w:rFonts w:eastAsia="Times New Roman" w:cs="Arial" w:ascii="Times New Roman" w:hAnsi="Times New Roman"/>
          <w:b w:val="false"/>
          <w:bCs w:val="false"/>
          <w:u w:val="none"/>
          <w:lang w:eastAsia="en-GB"/>
        </w:rPr>
        <w:t xml:space="preserve"> potential for making riskier choices alongside social or economic issues is why children can often become more susceptible to OCG’s and their coercion.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Child criminal exploitation (CCE) is child abuse where young people and children are coerced or manipulated in to committing crime (NSPCC, 2019) and can have severe and long lasting effect on the victims. Children being exploited by OCG’s can be subjected to Physical violence, running the risk of injury or even death in the most serious cases, Emotional or phycological abuse and drug or debt bondage (westmidlands.procedures.org.uk, n.d.) there is also the risk of sexual violence including sexual assault and/or rape which can have long last effecting on the mental health, sexual health and well-being of children (ibid). There is also a risk that victims of CCE can become perpetrators using the same coercive behaviour on others if there is no intervention, causing a cycle of abuse aimed at the exploitation of children (ibid). It is therefore important that some of the key behaviour indicators are recognized early before any long term damage can be caused to the victims. Key behaviours that could suggest that a child is involved with CCE are children who regularly go missing from home, school or social care, having large sums of money, clothing or technology without an explanation, unexplained injuries or declining mental health/well being and deteriorating school performance (Home Office, 2018).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When tackling CCE it is important to first recognise that children involved are victim’s even if their behaviour appears to be consensual (Home Office, 2018). Police as first responders are often in a strong place to recognize the signs of CCE and thus have a duty to investigate it. Part of an officers role within in investigation is to peruse all reasonable lines of enquiries for or against the suspect’s involvement in alleged offences (Ministry of Justice, 2015). In the 2019/20 year there approximately 7,000 arrests on children for drug offences and 2,063 for weapons offences (James, 2021). However when a Freedom of information request was completed it found that during the same year only 1,008 cases of CSE were recorded (ibid), although this may not be the final figure as only 30 of 47 England and Wales forces responded. What these figures show is that only 11% cases where children had been criminalised were identified as CSE cases. This information does not show for certain but points towards the potential that the police may be criminalising children instead of recognising them as victims. Evidence points towards the idea that there is a lack of consistency and effectiveness during the investigative process which could be fixed with a standardised set of rules and regulations when handling young offenders. Victim’s of CCE have a protection’s against prosecution under Section 45 of the Modern Slavery Act of 2015 as the exploitation of the child often involves the facilitated movement or coercion of the child which is contrary to Section 1 and 2 (Modern Slavery Act 2015). Even with this defence for victims as currently there is no definition of CCE in criminal law it could be hindering the investigation process and identification of victims by the police (James, 2021).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As part of the police’s role in safeguarding during the investigation process they may also apply civil orders including interim orders against the offender as a means of disrupting the behaviour called Slavery and trafficking risk order’s (STRO) or Slavery and trafficking prevention order (STPO). STRO’s are used to provide conditions against an offender who has not previously been convicted of slavery or trafficking offences. STRO’s are used to safeguard the victim and are punishable by up to 5 years in prison if breached (Crown Prosecution Service, 2021). An STPO is used where an offender has already been found guilty of committing Slavery or Trafficking offences and again carries up to 5 years in prison if breached (Claughton, 2019). Between April 2017 and September 2021 105 STPO’s and 102 STRO’s have been issued by courts and a record number of 29 STRO’s issued between 20/21 showing that it is trending upwards (Independent Anti-Slavery Commissioner, March 2022).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In conclusion CCE can have profound and long last effects on the victim, resulting in the death of some children. The reason’s why children are targetted by OCG’s is well understood but more work is required in the identification of these children. A legal definition of CCE could aid the police to help identify more victims and safeguard them as opposed to criminalising them during the investigation stages. With a firm definition in law it would provide the police a way of prosecuting offenders for CCE. It would also allow the police to safeguard victims with the usage of STPO’s and STRO’s which if in place would also protect future victims of CCE.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Times New Roman" w:hAnsi="Times New Roman"/>
          <w:b w:val="false"/>
          <w:bCs w:val="false"/>
          <w:u w:val="none"/>
          <w:lang w:eastAsia="en-GB"/>
        </w:rPr>
        <w:t>109</w:t>
      </w:r>
      <w:r>
        <w:rPr>
          <w:rFonts w:eastAsia="Times New Roman" w:cs="Arial" w:ascii="Times New Roman" w:hAnsi="Times New Roman"/>
          <w:b w:val="false"/>
          <w:bCs w:val="false"/>
          <w:u w:val="none"/>
          <w:lang w:eastAsia="en-GB"/>
        </w:rPr>
        <w:t>2</w:t>
      </w:r>
      <w:r>
        <w:rPr>
          <w:rFonts w:eastAsia="Times New Roman" w:cs="Arial" w:ascii="Times New Roman" w:hAnsi="Times New Roman"/>
          <w:b w:val="false"/>
          <w:bCs w:val="false"/>
          <w:u w:val="none"/>
          <w:lang w:eastAsia="en-GB"/>
        </w:rPr>
        <w:t xml:space="preserve"> words</w:t>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bCs/>
          <w:u w:val="single"/>
          <w:lang w:eastAsia="en-GB"/>
        </w:rPr>
        <w:t xml:space="preserve">Essay three: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single"/>
          <w:lang w:eastAsia="en-GB"/>
        </w:rPr>
        <w:t>Assess the role of MAPPA in managing offenders, and evaluate the effectiveness of current police practices to investigate public protection incidents involving violent and sexual offences.</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Multi-Agency Public Protection arrangements (MAPPA) as laid out in section 325 to 327B of the Criminal Justice Act 2003 (CJA 2003) is a set of arrangements designed protect the public and victims of crime from serious harm at the hands of violent, sexual and other types of dangerous offenders (College of Policing, 2021).</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MAPPA offenders are separated and qualified in to 3 categories (College of Policing, 2021). Category 1 is for registered sex offenders which includes offenders that are subject to notification requirements such as the registration of their living arrangements, bank account details, financial details and different names under use (Home Office, 2022). Category 2 is for offenders who have committed an offence under the CJA 2003 schedule 15 (Criminal Justice Act 2003) and have been sentenced to 12 months or higher in custody, including if the offender is transferred to hospital under Mental Health Act. Category 3 is for other believed to be dangerous offenders who has been cautioned or convicted of crimes that show that the person is capable of causing serious harm and multi-agency management is required (College of Policing, 2021). These levels allow for a more risk based approach to management and currently as of March 2021 87,657 offender being managed by MAPPA </w:t>
      </w:r>
      <w:r>
        <w:rPr>
          <w:rFonts w:eastAsia="Times New Roman" w:cs="Arial" w:ascii="Times New Roman" w:hAnsi="Times New Roman"/>
          <w:b w:val="false"/>
          <w:bCs w:val="false"/>
          <w:u w:val="none"/>
          <w:lang w:eastAsia="en-GB"/>
        </w:rPr>
        <w:t>are</w:t>
      </w:r>
      <w:r>
        <w:rPr>
          <w:rFonts w:eastAsia="Times New Roman" w:cs="Arial" w:ascii="Times New Roman" w:hAnsi="Times New Roman"/>
          <w:b w:val="false"/>
          <w:bCs w:val="false"/>
          <w:u w:val="none"/>
          <w:lang w:eastAsia="en-GB"/>
        </w:rPr>
        <w:t xml:space="preserve"> up 2% on the previous year (Ministry of Justice, 2021). Since March of 2020 there has been a 3% increase in Category 1 offenders and 17% increase in the number of category 3 offenders (ibid). There has also been a decrease in the number of serious further offences with a 13% reduction on the previous year (ibid). Reoffending whilst under MAPPA management is reducing which although not conclusive points towards MAPPA playing a positive role in protecting the public from further serious or sexual incidents.</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MAPPA is a multi-agency approach between the Police and His Majesty’s Prison and Probation Service (HMPPS). The Police have the responsibilities for all category 1 notification management once they are no longer subject to the requirements of the HMPPS upon being released from custody (College of Policing, 2021). The HMPPS is responsible for setting conditions and managing MAPPA offenders aged 18 or over who are in their initial statutory supervision upon being released from custody. HMPPS is also responsible for the identification of MAPPA offenders whilst in custody and the collection of the minimum details to produce a ViSOR nominal (ibid). The Violent and sexual offenders register (ViSOR) is a database shared between the HMPPS and Police for identifying, risk accessing and managing high risk offenders (Edwards, n.d.).</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When evaluating policing procedures aimed at investigating public protection incidents involving violent and sexual offenders it is important to realise that prevention of such incidents should be at the </w:t>
      </w:r>
      <w:r>
        <w:rPr>
          <w:rFonts w:eastAsia="Times New Roman" w:cs="Arial" w:ascii="Times New Roman" w:hAnsi="Times New Roman"/>
          <w:b w:val="false"/>
          <w:bCs w:val="false"/>
          <w:color w:val="auto"/>
          <w:kern w:val="2"/>
          <w:sz w:val="24"/>
          <w:szCs w:val="24"/>
          <w:u w:val="none"/>
          <w:lang w:val="en-GB" w:eastAsia="en-GB" w:bidi="hi-IN"/>
        </w:rPr>
        <w:t xml:space="preserve">forefront </w:t>
      </w:r>
      <w:r>
        <w:rPr>
          <w:rFonts w:eastAsia="Times New Roman" w:cs="Arial" w:ascii="Times New Roman" w:hAnsi="Times New Roman"/>
          <w:b w:val="false"/>
          <w:bCs w:val="false"/>
          <w:u w:val="none"/>
          <w:lang w:eastAsia="en-GB"/>
        </w:rPr>
        <w:t xml:space="preserve">. All 45 policing forces around the UK and the HMPPS have adopted ViSOR as of 2008 (Criminal Justice Joint Inspection, 2011) replacing multiple local system’s that were used to store this information. ViSOR as a database holds key information on offenders of violent or sexual crimes such name’s, addresses, IP addresses and also holds investigative information such as descriptive person details, modus operandi, photographic library and activity reports (Edwards, n.d.). ViSOR also provides information on offender’s day to day activities and whereabouts, behavioural traits, who they interact with and previous convictions on the Police National Computer (PNC) (Edwards, n.d.). This information can then be used by the Police during the investigation process to aide in the identification of potentially unknown offenders country wide. However as ViSOR is a system that is populated by those using it it is open to flaw’s much like those found by the Criminal Justice Joint Inspection report of 2011 (Criminal Justice Joint Inspection, 2011). This report identified that older reporting systems were still in use, the ViSOR records were not been completed in line with national guidance and due to difficulties accessing the system by users, it was not being utilized to the fullest capacity. This evidence points to there being offenders who are not being registered on ViSOR and what details are on ViSOR might not be completed adequately. This was once again compounded by a 2014 follow report which explained stating not lot had changed during the 3 year period (Criminal Justice Joint Inspection, 2014). So although the introduction of ViSOR was considered to be a step in the right direction without it being utilized correctly it leaves gaps where offenders are not being identified which could increase the risk of reoffending.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To help prevent public protection incidents ViSOR has monitoring processes involving risk assessment’s and multi-agency visits are carried out by specially trained Sexual or Violence officers (MOSOVO) (College of Policing, 2020). Home Visits are used as a tool in the management of offenders as they allow Officers to detect offences, gather information to identify risk and confirm the offender resides or frequents the provided address in line with their notification requirements (College of Policing, 2020). Risk assessments are carried out with offenders in line with the Risk Matrix 2000 (Thornton, 2007) looking at establishing the chance of a behaviour or incident occurring, who it will or may affect, the harm it may cause and the frequency it may occur at (College of Policing, 2020).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In an infamous case, Roy Whiting who was a registered sex offender, guilty of abducting and assaulting an 8 year old girl and sentenced to 4 years in prison would go on to abduct and murder 8 year old Sarah Payne 5 years later (The True Crime Edition (2021). The introduction of MOSOVO Officers has been a valuable tool in reducing major public protection incidents like the abduction and murder of Sarah Payne with its focus on management and identification of offender’s UK wide. In the case of Whiting correct management of the offender with regular home visits and risk management conducted by MOSOVO officers could have made the difference and stopped the loss of Sarah Payne.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In conclusion MAPPA is an integral part of management, risk assessment and intervention when tackling violent and sexual offenders and statistics from March 2021 prove that in some part it is having an impact on reoffending. With ViSOR and MOSOVO Officers, police are more easily able to track and prevent offenders before they get the chance to commit any further offences and can help in the reduction of serious incidents of public protection. However there is glaring issues with ViSOR with evidence currently suggesting that it is not being utilized when dealing with MAPPA offenders and when information is entered it is not done in line with guidance leaving potential gaps for offenders to slip through.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Times New Roman" w:hAnsi="Times New Roman"/>
          <w:b w:val="false"/>
          <w:bCs w:val="false"/>
          <w:u w:val="none"/>
          <w:lang w:eastAsia="en-GB"/>
        </w:rPr>
        <w:t>1</w:t>
      </w:r>
      <w:r>
        <w:rPr>
          <w:rFonts w:eastAsia="Times New Roman" w:cs="Arial" w:ascii="Times New Roman" w:hAnsi="Times New Roman"/>
          <w:b w:val="false"/>
          <w:bCs w:val="false"/>
          <w:u w:val="none"/>
          <w:lang w:eastAsia="en-GB"/>
        </w:rPr>
        <w:t>099</w:t>
      </w:r>
      <w:r>
        <w:rPr>
          <w:rFonts w:eastAsia="Times New Roman" w:cs="Arial" w:ascii="Times New Roman" w:hAnsi="Times New Roman"/>
          <w:b w:val="false"/>
          <w:bCs w:val="false"/>
          <w:u w:val="none"/>
          <w:lang w:eastAsia="en-GB"/>
        </w:rPr>
        <w:t xml:space="preserve"> Words</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bCs/>
          <w:u w:val="single"/>
          <w:lang w:eastAsia="en-GB"/>
        </w:rPr>
        <w:t xml:space="preserve">Essay four: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single"/>
          <w:lang w:eastAsia="en-GB"/>
        </w:rPr>
        <w:t>Critically evaluate the impact of early intervention on young offenders, and young people at risk of becoming involved in gangs. Assess the effectiveness of partnership approaches to prevent or deter involvement in gang-related activity.</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Gangs are difficult to define however they tend to fit in to one of three categories such as peer groups, organised crime gangs (OCG) and street gang</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(Cornwall &amp; Isle of Scilly Safeguarding Children Partnership Procedures, 2022). A young offender is defined as someone between the ages of 10 and 17 who has committed a criminal offence (Trevelyan, n.d.). Children as young as 12 are being coerced or groomed in to working for or with gangs normally for profit via debt bondage. The debt is then used to place pressure on the children to commit crime in order to pay the gangs back (Robinson, 2017).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A young offender becoming involved in a gang is often not set in stone however there are some contributing factors that may play a role in increasing the risk of this occurring. Adverse childhood experiences (ACE’S) are traumatic experiences that occur during childhood that affects the environment a child grows up in or causes direct harm. (The Policy, Research and International Development Directorate, 2015). In a 2015 survey 2000 people aged 18-69 were questioned regarding their ACE’S. The survey found that 23% suffered verbal abuse, 17% suffered physical abuse and 10% sexual abuse. It also found that 20% were raised with parental separation, 16% with domestic violence and 14% with mental illness in the household (The Policy, Research and International Development Directorate, 2015). In a 2019 study of 468 prisoners serving custodial sentences 8 in 10 reported at least one ACE with 46% reporting four or more ACE’S (Ford et al., 2019). Of the sampled prisoners 45.9% had served a youth offending sentence with 91.2% having at least one ace and 60% having four or more ACE’S (ibid). Although the sample size of prisoners is not comprehensive it shows a clear link between people who experience ACE’S who then go on to commit criminal offences during childhood. When combined with the fact that a person with four ACE’S is twenty times more likely to be incarcerated during their lifetime compared with that of a person with zero ACE’S (The Policy, Research and International Development Directorate, 2015) it shows if a child is exposed to trauma during their most formative years it has a direct and profound impact on their propensity to commit crime and potential gang involvement.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Currently youth offenders have a re offending rate of over 75% in the year following release and it shows that it does not work as a deterrent to youth offending (Ross et al., 2010). The risk re offending shows a requirement to use more early intervention schemes to keep young offenders out of the justice system. Early intervention is support given to children and young people who are at a higher risk of committing a criminal offences or getting involved in gangs (Action For Children, 2019). A pilot program started by Action for children in 2013 targetted at intervention for serious and organised crime has proven successful using early intervention. The program which uses peer mentors who often were young offenders themselves has proven successful. Although a small sample size, out of 49 young people who were part of the scheme only four went on to re offend. Using employment and education training, peer to peer support and one to one sessions the scheme has been able prove the effectiveness early intervention (Action For Children, 2019a).  It is also important to look at programs that have worked for other parts of the world such as the Gang Resistance Eduction and Training program (GREAT) developed in the USA. This program involve officers conducting lessons in school around anger management, decision making and who to speak to when making decisions. This is done through all levels of schooling and has been found to be an effective way of diverting children from gang culture (Gang Resistance Education And Training, 2022). Results showed that one year post program there was a 39% reduction in the odds of a youth joining a gang and a 24% over four years (ibid). It is clear that a custodial sentence on youth offenders does little to deter re offending however if early intervention programs offering emotional, educational and employment support are readily available they could have significant impacts on young people choosing to join gangs and enter the justice system</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 xml:space="preserve">When targetting youth offenders who are at risk often a partnership approach is taken. Youth Justice Teams (YOT’s) are a local council social care team separate from but work with the police and probation services. YOT’S also closely work with health, housing and children’s services plus education and school administrations (gov.uk, 2011). YOT’s offer crime prevention programs aimed at keeping young people away from crime. These can different depending on the needs of the person however include courses to develop new skills, or advice around employment and schooling(Government Digital Service, 2011). YOT’S provides mentoring from a specially trained volunteer who can help with schooling, bullying, or employment related issues (Gov.uk, n.d.).It is difficult to accurately assess the impact of YOT’S on youth offending statistics however as YOT’S involvement is required in any case involving a youth offender there is signs that it is having a positive affect. In the year 2020/2021 there was just 8800 new entrants to the youth justice system (YJS) which is 20% lower than the previous year and an 81% decrease compared with the year ending March 2011. Re offending has also fallen 3.6% in the last year with it being the 6th consecutive year of fall. Although these statistics cannot be directly attributed to YOT’S its clear that the focus on prevention and early intervention completed by YOT’S is having a profound effect on the numbers of young offenders entering the YSJ. Issues around COVID 19 and lockdowns could have had an impact on entrants and re offending in the 20/21 year due to decreased social contact </w:t>
      </w:r>
      <w:r>
        <w:rPr>
          <w:rFonts w:eastAsia="Times New Roman" w:cs="Arial" w:ascii="Times New Roman" w:hAnsi="Times New Roman"/>
          <w:b w:val="false"/>
          <w:bCs w:val="false"/>
          <w:u w:val="none"/>
          <w:lang w:eastAsia="en-GB"/>
        </w:rPr>
        <w:t>and court hearing’s</w:t>
      </w:r>
      <w:r>
        <w:rPr>
          <w:rFonts w:eastAsia="Times New Roman" w:cs="Arial" w:ascii="Times New Roman" w:hAnsi="Times New Roman"/>
          <w:b w:val="false"/>
          <w:bCs w:val="false"/>
          <w:u w:val="none"/>
          <w:lang w:eastAsia="en-GB"/>
        </w:rPr>
        <w:t xml:space="preserve">. However the declining rate of first time entrants over a 10 year period still points towards the success of YOT’s.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Times New Roman" w:hAnsi="Times New Roman"/>
          <w:b w:val="false"/>
          <w:bCs w:val="false"/>
          <w:u w:val="none"/>
          <w:lang w:eastAsia="en-GB"/>
        </w:rPr>
        <w:t>In conclusion the reasons why people enter into youth offending and gang culture are not always clear cut however through ACE’s we are able to better identify and tackle risk factors before the criminality has started. What is apparent is that early intervention can be effective as a diversion away from crime by the providing of emotional and educational support to the user. With the drop in first time entrants over a 10 year period it shows that YOT’s have played a significant role in the reduction of youth offenders and aiding divert them away from gangs.</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right"/>
        <w:rPr>
          <w:rFonts w:ascii="Arial" w:hAnsi="Arial" w:eastAsia="Times New Roman" w:cs="Arial"/>
          <w:lang w:eastAsia="en-GB"/>
        </w:rPr>
      </w:pPr>
      <w:r>
        <w:rPr>
          <w:rFonts w:eastAsia="Times New Roman" w:cs="Arial" w:ascii="Times New Roman" w:hAnsi="Times New Roman"/>
          <w:b w:val="false"/>
          <w:bCs w:val="false"/>
          <w:u w:val="none"/>
          <w:lang w:eastAsia="en-GB"/>
        </w:rPr>
        <w:t>109</w:t>
      </w:r>
      <w:r>
        <w:rPr>
          <w:rFonts w:eastAsia="Times New Roman" w:cs="Arial" w:ascii="Times New Roman" w:hAnsi="Times New Roman"/>
          <w:b w:val="false"/>
          <w:bCs w:val="false"/>
          <w:u w:val="none"/>
          <w:lang w:eastAsia="en-GB"/>
        </w:rPr>
        <w:t>6</w:t>
      </w:r>
      <w:r>
        <w:rPr>
          <w:rFonts w:eastAsia="Times New Roman" w:cs="Arial" w:ascii="Times New Roman" w:hAnsi="Times New Roman"/>
          <w:b w:val="false"/>
          <w:bCs w:val="false"/>
          <w:u w:val="none"/>
          <w:lang w:eastAsia="en-GB"/>
        </w:rPr>
        <w:t xml:space="preserve"> Words</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Times New Roman" w:hAnsi="Times New Roman"/>
          <w:b/>
          <w:b/>
          <w:bCs/>
          <w:u w:val="single"/>
        </w:rPr>
      </w:pPr>
      <w:r>
        <w:rPr>
          <w:rFonts w:ascii="Times New Roman" w:hAnsi="Times New Roman"/>
          <w:b/>
          <w:bCs/>
          <w:u w:val="single"/>
        </w:rPr>
        <w:t>Bibliography</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Criminal Justice Joint Inspection (2011) An inspection of Multi-Agency Public</w:t>
        <w:br/>
        <w:t xml:space="preserve">Protection Arrangements. Available at: </w:t>
      </w:r>
      <w:hyperlink r:id="rId2">
        <w:r>
          <w:rPr>
            <w:rStyle w:val="InternetLink"/>
            <w:rFonts w:ascii="Times New Roman" w:hAnsi="Times New Roman"/>
          </w:rPr>
          <w:t>https://www.justiceinspectorates.gov.uk/hmicfrs/media/Multi-agency-public-protection-arrangements.pdf</w:t>
        </w:r>
      </w:hyperlink>
      <w:r>
        <w:rPr>
          <w:rFonts w:ascii="Times New Roman" w:hAnsi="Times New Roman"/>
        </w:rPr>
        <w:t xml:space="preserve"> (Accessed: 30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Action For Children (2019a). Pioneering project ‘diverting’ teenagers from serious organised crime is rolled out across the UK. [online] Action for Children. Available at: </w:t>
      </w:r>
      <w:hyperlink r:id="rId3">
        <w:r>
          <w:rPr>
            <w:rStyle w:val="InternetLink"/>
            <w:rFonts w:ascii="Times New Roman" w:hAnsi="Times New Roman"/>
          </w:rPr>
          <w:t>https://www.actionforchildren.org.uk/media-centre/pioneering-project-diverting-teenagers-from-serious-organised-crime-is-rolled-out-across-the-uk/</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Action For Children (2019b). Young people and serious organised crime - how early intervention can help. [online] Action for Children. Available at: </w:t>
      </w:r>
      <w:hyperlink r:id="rId4">
        <w:r>
          <w:rPr>
            <w:rStyle w:val="InternetLink"/>
            <w:rFonts w:ascii="Times New Roman" w:hAnsi="Times New Roman"/>
          </w:rPr>
          <w:t>https://www.actionforchildren.org.uk/blog/young-people-and-serious-organised-crime-how-early-intervention-can-help/</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BBC (2019). Black History Month: the 1981 Brixton Riots - CBBC Newsround. www.bbc.co.uk. [online] 24 Oct. Available at: </w:t>
      </w:r>
      <w:hyperlink r:id="rId5">
        <w:r>
          <w:rPr>
            <w:rStyle w:val="InternetLink"/>
            <w:rFonts w:ascii="Times New Roman" w:hAnsi="Times New Roman"/>
          </w:rPr>
          <w:t>https://www.bbc.co.uk/newsround/50035769</w:t>
        </w:r>
      </w:hyperlink>
      <w:r>
        <w:rPr>
          <w:rFonts w:ascii="Times New Roman" w:hAnsi="Times New Roman"/>
        </w:rPr>
        <w:t xml:space="preserve">.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Betsch, T. (2018). What Children Can and Cannot Do in Decision Making. [online] Scientia. Available at: </w:t>
      </w:r>
      <w:hyperlink r:id="rId6">
        <w:r>
          <w:rPr>
            <w:rStyle w:val="InternetLink"/>
            <w:rFonts w:ascii="Times New Roman" w:hAnsi="Times New Roman"/>
          </w:rPr>
          <w:t>https://www.scientia.global/dr-tilmann-betsch-what-children-can-and-cannot-do-in-decision-making/</w:t>
        </w:r>
      </w:hyperlink>
      <w:r>
        <w:rPr>
          <w:rFonts w:ascii="Times New Roman" w:hAnsi="Times New Roman"/>
        </w:rPr>
        <w:t xml:space="preserve"> [Accessed 29 Nov. 2022].</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Brenton, F. (2019). Brixton Riots (April 10-12, 1981). [online] BlackPast. Available at: </w:t>
      </w:r>
      <w:hyperlink r:id="rId7">
        <w:r>
          <w:rPr>
            <w:rStyle w:val="InternetLink"/>
            <w:rFonts w:ascii="Times New Roman" w:hAnsi="Times New Roman"/>
          </w:rPr>
          <w:t>https://www.blackpast.org/global-african-history/brixton-riots-april-10-12-1981/</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Claughton, M. (2019). Slavery and Trafficking Prevention Orders and Slavery and Trafficking Risk Orders. [online] Olliers Solicitors. Available at: </w:t>
      </w:r>
      <w:hyperlink r:id="rId8">
        <w:r>
          <w:rPr>
            <w:rStyle w:val="InternetLink"/>
            <w:rFonts w:ascii="Times New Roman" w:hAnsi="Times New Roman"/>
          </w:rPr>
          <w:t>https://www.olliers.com/news/slavery-trafficking-prevention-orders-risk-orders/</w:t>
        </w:r>
      </w:hyperlink>
      <w:r>
        <w:rPr>
          <w:rFonts w:ascii="Times New Roman" w:hAnsi="Times New Roman"/>
        </w:rPr>
        <w:t xml:space="preserve"> [Accessed 29 Nov. 2022].</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College of Policing (2020). Home visits. [online] College of Policing. Available at: </w:t>
      </w:r>
      <w:hyperlink r:id="rId9">
        <w:r>
          <w:rPr>
            <w:rStyle w:val="InternetLink"/>
            <w:rFonts w:ascii="Times New Roman" w:hAnsi="Times New Roman"/>
          </w:rPr>
          <w:t>https://www.college.police.uk/app/major-investigation-and-public-protection/managing-sexual-offenders-and-violent-offenders/home-visits</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College of Policing (2022) Police Race Action Plan</w:t>
        <w:br/>
        <w:t xml:space="preserve">Improving policing for Black people. Available at: </w:t>
      </w:r>
      <w:hyperlink r:id="rId10">
        <w:r>
          <w:rPr>
            <w:rStyle w:val="InternetLink"/>
            <w:rFonts w:ascii="Times New Roman" w:hAnsi="Times New Roman"/>
          </w:rPr>
          <w:t>https://assets.college.police.uk/s3fs-public/Police-Race-Action-Plan.pdf</w:t>
        </w:r>
      </w:hyperlink>
      <w:r>
        <w:rPr>
          <w:rFonts w:ascii="Times New Roman" w:hAnsi="Times New Roman"/>
        </w:rPr>
        <w:t xml:space="preserve"> (Accessed: 2 December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College of Policing. (2015). Key responsibilities. [online] Available at: </w:t>
      </w:r>
      <w:hyperlink r:id="rId11">
        <w:r>
          <w:rPr>
            <w:rStyle w:val="InternetLink"/>
            <w:rFonts w:ascii="Times New Roman" w:hAnsi="Times New Roman"/>
          </w:rPr>
          <w:t>https://www.college.police.uk/app/major-investigation-and-public-protection/modern-slavery/key-responsibilities</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College of Policing. (2021). Multi-agency public protection arrangements (MAPPA). [online] Available at: </w:t>
      </w:r>
      <w:hyperlink r:id="rId12">
        <w:r>
          <w:rPr>
            <w:rStyle w:val="InternetLink"/>
            <w:rFonts w:ascii="Times New Roman" w:hAnsi="Times New Roman"/>
          </w:rPr>
          <w:t>https://www.college.police.uk/app/major-investigation-and-public-protection/managing-sexual-offenders-and-violent-offenders/multi-agency-public-protection-arrangements-mappa</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College of Policing. (2022). Police Race Action Plan published. [online] Available at: </w:t>
      </w:r>
      <w:hyperlink r:id="rId13">
        <w:r>
          <w:rPr>
            <w:rStyle w:val="InternetLink"/>
            <w:rFonts w:ascii="Times New Roman" w:hAnsi="Times New Roman"/>
          </w:rPr>
          <w:t>https://www.college.police.uk/article/police-race-action-plan-published</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Cornwall &amp; Isle of Scilly Safeguarding Children Partnership Procedures (2022) Children Affected by Gang Activity and Youth Violence. Available at: </w:t>
      </w:r>
      <w:hyperlink r:id="rId14">
        <w:r>
          <w:rPr>
            <w:rStyle w:val="InternetLink"/>
            <w:rFonts w:ascii="Times New Roman" w:hAnsi="Times New Roman"/>
          </w:rPr>
          <w:t>https://www.proceduresonline.com/swcpp/cornwall_scilly/p_ch_affected_gang_act.html</w:t>
        </w:r>
      </w:hyperlink>
      <w:r>
        <w:rPr>
          <w:rFonts w:ascii="Times New Roman" w:hAnsi="Times New Roman"/>
        </w:rPr>
        <w:t># (Accessed: 30 November 2022).</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CrimeStoppers (2020). Serious and Organised Crime. [online] Crimestoppers-uk.org. Available at: </w:t>
      </w:r>
      <w:hyperlink r:id="rId15">
        <w:r>
          <w:rPr>
            <w:rStyle w:val="InternetLink"/>
            <w:rFonts w:ascii="Times New Roman" w:hAnsi="Times New Roman"/>
          </w:rPr>
          <w:t>https://crimestoppers-uk.org/keeping-safe/community-family/serious-and-organised-crime</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Criminal Justice Act 2003 (c44). Available at: </w:t>
      </w:r>
      <w:hyperlink r:id="rId16">
        <w:r>
          <w:rPr>
            <w:rStyle w:val="InternetLink"/>
            <w:rFonts w:ascii="Times New Roman" w:hAnsi="Times New Roman"/>
          </w:rPr>
          <w:t>https://www.legislation.gov.uk/ukpga/2003/44/schedule/15</w:t>
        </w:r>
      </w:hyperlink>
      <w:r>
        <w:rPr>
          <w:rFonts w:ascii="Times New Roman" w:hAnsi="Times New Roman"/>
        </w:rPr>
        <w:t xml:space="preserve"> (Accessed: 30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Criminal Justice Joint Inspection (2014) A follow-up inspection of Multi-Agency Public Protection</w:t>
        <w:br/>
        <w:t xml:space="preserve">Arrangements. Available at: </w:t>
      </w:r>
      <w:hyperlink r:id="rId17">
        <w:r>
          <w:rPr>
            <w:rStyle w:val="InternetLink"/>
            <w:rFonts w:ascii="Times New Roman" w:hAnsi="Times New Roman"/>
          </w:rPr>
          <w:t>https://www.justiceinspectorates.gov.uk/cjji/wp-content/uploads/sites/2/2015/10/MAPPA-follow-up-thematic-report.pdf</w:t>
        </w:r>
      </w:hyperlink>
      <w:r>
        <w:rPr>
          <w:rFonts w:ascii="Times New Roman" w:hAnsi="Times New Roman"/>
        </w:rPr>
        <w:t xml:space="preserve"> (Accessed: 30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Crown Prosecution Service (2021) Rape and Sexual Abuse - Chapter 16: Slavery and Trafficking Risk Orders Available at: </w:t>
      </w:r>
      <w:hyperlink r:id="rId18">
        <w:r>
          <w:rPr>
            <w:rStyle w:val="InternetLink"/>
            <w:rFonts w:ascii="Times New Roman" w:hAnsi="Times New Roman"/>
          </w:rPr>
          <w:t>https://www.cps.gov.uk/legal-guidance/rape-and-sexual-abuse-chapter-16-slavery-and-trafficking-risk-orders</w:t>
        </w:r>
      </w:hyperlink>
      <w:r>
        <w:rPr>
          <w:rFonts w:ascii="Times New Roman" w:hAnsi="Times New Roman"/>
        </w:rPr>
        <w:t xml:space="preserve"> (Accessed: 30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Edwards, D. (n.d.). ViSOR - Violent and Sex Offender Register | Centre for Crime and Justice Studies. [online] www.crimeandjustice.org.uk. Available at: </w:t>
      </w:r>
      <w:hyperlink r:id="rId19">
        <w:r>
          <w:rPr>
            <w:rStyle w:val="InternetLink"/>
            <w:rFonts w:ascii="Times New Roman" w:hAnsi="Times New Roman"/>
          </w:rPr>
          <w:t>https://www.crimeandjustice.org.uk/publications/cjm/article/visor-violent-and-sex-offender-register</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Ethnicity Facts and Figures (2021) Confidence in the local police: Available at: </w:t>
      </w:r>
      <w:r>
        <w:fldChar w:fldCharType="begin"/>
      </w:r>
      <w:r>
        <w:rPr>
          <w:rStyle w:val="InternetLink"/>
          <w:rFonts w:ascii="Times New Roman" w:hAnsi="Times New Roman"/>
        </w:rPr>
        <w:instrText> HYPERLINK "https://www.ethnicity-facts-figures.service.gov.uk/crime-justice-and-the-law/policing/confidence-in-the-local-police/latest" \l "by-ethnicity-over-time"</w:instrText>
      </w:r>
      <w:r>
        <w:rPr>
          <w:rStyle w:val="InternetLink"/>
          <w:rFonts w:ascii="Times New Roman" w:hAnsi="Times New Roman"/>
        </w:rPr>
        <w:fldChar w:fldCharType="separate"/>
      </w:r>
      <w:r>
        <w:rPr>
          <w:rStyle w:val="InternetLink"/>
          <w:rFonts w:ascii="Times New Roman" w:hAnsi="Times New Roman"/>
        </w:rPr>
        <w:t>https://www.ethnicity-facts-figures.service.gov.uk/crime-justice-and-the-law/policing/confidence-in-the-local-police/latest#by-ethnicity-over-time</w:t>
      </w:r>
      <w:r>
        <w:rPr>
          <w:rStyle w:val="InternetLink"/>
          <w:rFonts w:ascii="Times New Roman" w:hAnsi="Times New Roman"/>
        </w:rPr>
        <w:fldChar w:fldCharType="end"/>
      </w:r>
      <w:r>
        <w:rPr>
          <w:rFonts w:ascii="Times New Roman" w:hAnsi="Times New Roman"/>
        </w:rPr>
        <w:t xml:space="preserve"> (Accessed: 30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Ford, K. et al (2019). The Prisoner ACE Survey The Prisoner ACE Survey. [online] Available at: </w:t>
      </w:r>
      <w:hyperlink r:id="rId20">
        <w:r>
          <w:rPr>
            <w:rStyle w:val="InternetLink"/>
            <w:rFonts w:ascii="Times New Roman" w:hAnsi="Times New Roman"/>
          </w:rPr>
          <w:t>https://phw.nhs.wales/files/aces/the-prisoner-ace-survey/</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Gang Resistance Education And Training (2022) What Is G.R.E.A.T.?. Available at: </w:t>
      </w:r>
      <w:hyperlink r:id="rId21">
        <w:r>
          <w:rPr>
            <w:rStyle w:val="InternetLink"/>
            <w:rFonts w:ascii="Times New Roman" w:hAnsi="Times New Roman"/>
          </w:rPr>
          <w:t>https://www.great-online.org/About/What-Is-GREAT</w:t>
        </w:r>
      </w:hyperlink>
      <w:r>
        <w:rPr>
          <w:rFonts w:ascii="Times New Roman" w:hAnsi="Times New Roman"/>
        </w:rPr>
        <w:t xml:space="preserve"> (Accessed: 2 December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Gov.uk (2011). Youth offending teams. [online] GOV.UK. Available at: </w:t>
      </w:r>
      <w:hyperlink r:id="rId22">
        <w:r>
          <w:rPr>
            <w:rStyle w:val="InternetLink"/>
            <w:rFonts w:ascii="Times New Roman" w:hAnsi="Times New Roman"/>
          </w:rPr>
          <w:t>https://www.gov.uk/youth-offending-team</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Gov.uk (n.d.). Youth crime prevention programmes. [online] GOV.UK. Available at: </w:t>
      </w:r>
      <w:hyperlink r:id="rId23">
        <w:r>
          <w:rPr>
            <w:rStyle w:val="InternetLink"/>
            <w:rFonts w:ascii="Times New Roman" w:hAnsi="Times New Roman"/>
          </w:rPr>
          <w:t>https://www.gov.uk/youth-crime-prevention-programmes/mentoring</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Government Digital Service (2011). Youth crime prevention programmes. [online] GOV.UK. Available at: </w:t>
      </w:r>
      <w:hyperlink r:id="rId24">
        <w:r>
          <w:rPr>
            <w:rStyle w:val="InternetLink"/>
            <w:rFonts w:ascii="Times New Roman" w:hAnsi="Times New Roman"/>
          </w:rPr>
          <w:t>https://www.gov.uk/youth-crime-prevention-programmes/what-these-programmes-are-and-how-they-work</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Home Office (2014). Revised code of practice for the exercise by: Police Officers of Statutory Powers of stop and search Police Officers and Police Staff of requirements to record public encounters Police and Criminal Evidence Act 1984 (PACE) -Code A. [online] Home Office. Available at: </w:t>
      </w:r>
      <w:hyperlink r:id="rId25">
        <w:r>
          <w:rPr>
            <w:rStyle w:val="InternetLink"/>
            <w:rFonts w:ascii="Times New Roman" w:hAnsi="Times New Roman"/>
          </w:rPr>
          <w:t>https://assets.publishing.service.gov.uk/government/uploads/system/uploads/attachment_data/file/384122/PaceCodeAWeb.pdf</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Home Office (2018). Criminal Exploitation of Children and Vulnerable adults: County Lines Guidance. [online] Available at: </w:t>
      </w:r>
      <w:hyperlink r:id="rId26">
        <w:r>
          <w:rPr>
            <w:rStyle w:val="InternetLink"/>
            <w:rFonts w:ascii="Times New Roman" w:hAnsi="Times New Roman"/>
          </w:rPr>
          <w:t>https://assets.publishing.service.gov.uk/government/uploads/system/uploads/attachment_data/file/863323/HOCountyLinesGuidance_-_Sept2018.pdf</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Home Office (2022) Guidance on Part 2 of the Sexual Offences Act 2003. Available at: </w:t>
      </w:r>
      <w:hyperlink r:id="rId27">
        <w:r>
          <w:rPr>
            <w:rStyle w:val="InternetLink"/>
            <w:rFonts w:ascii="Times New Roman" w:hAnsi="Times New Roman"/>
          </w:rPr>
          <w:t>https://assets.publishing.service.gov.uk/government/uploads/system/uploads/attachment_data/file/1120422/Guidance_on_part_2_of_the_sexual_offences_act_2003_FINAL.pdf</w:t>
        </w:r>
      </w:hyperlink>
      <w:r>
        <w:rPr>
          <w:rFonts w:ascii="Times New Roman" w:hAnsi="Times New Roman"/>
        </w:rPr>
        <w:t xml:space="preserve"> (Accessed: 30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Home Officer (2021) Police use of force statistics, England and Wales: April 2020 to March 2021. Available at: </w:t>
      </w:r>
      <w:hyperlink r:id="rId28">
        <w:r>
          <w:rPr>
            <w:rStyle w:val="InternetLink"/>
            <w:rFonts w:ascii="Times New Roman" w:hAnsi="Times New Roman"/>
          </w:rPr>
          <w:t>https://www.gov.uk/government/statistics/police-use-of-force-statistics-england-and-wales-april-2020-to-march-2021/police-use-of-force-statistics-england-and-wales-april-2020-to-march-2021</w:t>
        </w:r>
      </w:hyperlink>
      <w:r>
        <w:rPr>
          <w:rFonts w:ascii="Times New Roman" w:hAnsi="Times New Roman"/>
        </w:rPr>
        <w:t xml:space="preserve"> (Accessed: 2 December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House of Commons Library (2022) Police powers: stop and search Available at: </w:t>
      </w:r>
      <w:hyperlink r:id="rId29">
        <w:r>
          <w:rPr>
            <w:rStyle w:val="InternetLink"/>
            <w:rFonts w:ascii="Times New Roman" w:hAnsi="Times New Roman"/>
          </w:rPr>
          <w:t>https://researchbriefings.files.parliament.uk/documents/SN03878/SN03878.pdf</w:t>
        </w:r>
      </w:hyperlink>
      <w:r>
        <w:rPr>
          <w:rFonts w:ascii="Times New Roman" w:hAnsi="Times New Roman"/>
        </w:rPr>
        <w:t xml:space="preserve"> (Accessed: 30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Independent Anti-Slavery Commissioner (March 2022) The Use of modern slavery risk and prevention orders. Available at: </w:t>
      </w:r>
      <w:hyperlink r:id="rId30">
        <w:r>
          <w:rPr>
            <w:rStyle w:val="InternetLink"/>
            <w:rFonts w:ascii="Times New Roman" w:hAnsi="Times New Roman"/>
          </w:rPr>
          <w:t>https://www.antislaverycommissioner.co.uk/media/1764/iasc-review_risk-and-prevention-orders-report_march-2022.pdf</w:t>
        </w:r>
      </w:hyperlink>
      <w:r>
        <w:rPr>
          <w:rFonts w:ascii="Times New Roman" w:hAnsi="Times New Roman"/>
        </w:rPr>
        <w:t xml:space="preserve"> (Accessed: 29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Independent Office for Police Conduct (2021) IOPC Public Perceptions Tracker</w:t>
        <w:br/>
        <w:t xml:space="preserve">Summary Report, Waves 4.1 – 4.3. Available at: </w:t>
      </w:r>
      <w:hyperlink r:id="rId31">
        <w:r>
          <w:rPr>
            <w:rStyle w:val="InternetLink"/>
            <w:rFonts w:ascii="Times New Roman" w:hAnsi="Times New Roman"/>
          </w:rPr>
          <w:t>https://www.policeconduct.gov.uk/sites/default/files/Documents/statistics/IOPC-Yonder_Public_Perceptions_Tracker_Annual_Summary_Report_2020-21_FINAL.pdf</w:t>
        </w:r>
      </w:hyperlink>
      <w:r>
        <w:rPr>
          <w:rFonts w:ascii="Times New Roman" w:hAnsi="Times New Roman"/>
        </w:rPr>
        <w:t xml:space="preserve"> (Accessed: 2 December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James, E. (2021). Exploited and Criminalised What Can the Police, Crime, Sentencing and Courts Bill Do to Ensure That Children Who Are Criminally Exploited Receive the Care and Support They need? [online] Available at: </w:t>
      </w:r>
      <w:hyperlink r:id="rId32">
        <w:r>
          <w:rPr>
            <w:rStyle w:val="InternetLink"/>
            <w:rFonts w:ascii="Times New Roman" w:hAnsi="Times New Roman"/>
          </w:rPr>
          <w:t>https://www.barnardos.org.uk/sites/default/files/2021-10/Exploited%20and%20Criminalised%20report.pdf</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w:t>
      </w:r>
      <w:r>
        <w:rPr>
          <w:rFonts w:ascii="Times New Roman" w:hAnsi="Times New Roman"/>
        </w:rPr>
        <w:t xml:space="preserve">Lawteacher (2011). The Police and Criminal Evidence Act. [online] Available at: </w:t>
      </w:r>
      <w:hyperlink r:id="rId33">
        <w:r>
          <w:rPr>
            <w:rStyle w:val="InternetLink"/>
            <w:rFonts w:ascii="Times New Roman" w:hAnsi="Times New Roman"/>
          </w:rPr>
          <w:t>https://www.lawteacher.net/free-law-essays/criminal-law/the-police-and-criminal-evidence-act-law-essay.php</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Ministry of Justice (2015). Criminal Procedure and Investigations Act 1996 (section 23(1)) Code of Practice Revised in accordance with section 25(4) of the Criminal Procedure and Investigations Act 1996. [online] Available at: </w:t>
      </w:r>
      <w:hyperlink r:id="rId34">
        <w:r>
          <w:rPr>
            <w:rStyle w:val="InternetLink"/>
            <w:rFonts w:ascii="Times New Roman" w:hAnsi="Times New Roman"/>
          </w:rPr>
          <w:t>https://assets.publishing.service.gov.uk/government/uploads/system/uploads/attachment_data/file/447967/code-of-practice-approved.pdf</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Ministry of Justice (2021) Multi-Agency Public Protection Arrangements</w:t>
        <w:br/>
        <w:t xml:space="preserve">(MAPPA) Annual Report 2020/21. Available at: </w:t>
      </w:r>
      <w:hyperlink r:id="rId35">
        <w:r>
          <w:rPr>
            <w:rStyle w:val="InternetLink"/>
            <w:rFonts w:ascii="Times New Roman" w:hAnsi="Times New Roman"/>
          </w:rPr>
          <w:t>https://assets.publishing.service.gov.uk/government/uploads/system/uploads/attachment_data/file/1029349/MAPPA_Annual_Report_2020-21.pdf</w:t>
        </w:r>
      </w:hyperlink>
      <w:r>
        <w:rPr>
          <w:rFonts w:ascii="Times New Roman" w:hAnsi="Times New Roman"/>
        </w:rPr>
        <w:t xml:space="preserve"> (Accessed: 30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Ministry of Justice (n.d.). Glossary of Programmes Probation Domestic Violence Programmes. [online] p.6. Available at: </w:t>
      </w:r>
      <w:hyperlink r:id="rId36">
        <w:r>
          <w:rPr>
            <w:rStyle w:val="InternetLink"/>
            <w:rFonts w:ascii="Times New Roman" w:hAnsi="Times New Roman"/>
          </w:rPr>
          <w:t>https://assets.publishing.service.gov.uk/government/uploads/system/uploads/attachment_data/file/449290/glossary-of-programmes.pdf</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Modern Slavery Act 2015 c. 30. Available at: </w:t>
      </w:r>
      <w:hyperlink r:id="rId37">
        <w:r>
          <w:rPr>
            <w:rStyle w:val="InternetLink"/>
            <w:rFonts w:ascii="Times New Roman" w:hAnsi="Times New Roman"/>
          </w:rPr>
          <w:t>https://www.legislation.gov.uk/ukpga/2015/30/section/45/enacted</w:t>
        </w:r>
      </w:hyperlink>
      <w:r>
        <w:rPr>
          <w:rFonts w:ascii="Times New Roman" w:hAnsi="Times New Roman"/>
        </w:rPr>
        <w:t xml:space="preserve"> (Accessed: 29 November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Nadal, K. (2021) Why Representation Matters and Why It’s Still Not Enough. Available at: </w:t>
      </w:r>
      <w:hyperlink r:id="rId38">
        <w:r>
          <w:rPr>
            <w:rStyle w:val="InternetLink"/>
            <w:rFonts w:ascii="Times New Roman" w:hAnsi="Times New Roman"/>
          </w:rPr>
          <w:t>https://www.psychologytoday.com/gb/blog/psychology-the-people/202112/why-representation-matters-and-why-it-s-still-not-enough</w:t>
        </w:r>
      </w:hyperlink>
      <w:r>
        <w:rPr>
          <w:rFonts w:ascii="Times New Roman" w:hAnsi="Times New Roman"/>
        </w:rPr>
        <w:t xml:space="preserve"> (Accessed: 2 December 2022).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NSPCC (2019) Criminal Explotation and gang's. Available at: </w:t>
      </w:r>
      <w:hyperlink r:id="rId39">
        <w:r>
          <w:rPr>
            <w:rStyle w:val="InternetLink"/>
            <w:rFonts w:ascii="Times New Roman" w:hAnsi="Times New Roman"/>
          </w:rPr>
          <w:t>https://www.nspcc.org.uk/what-is-child-abuse/types-of-abuse/gangs-criminal-exploitation</w:t>
        </w:r>
      </w:hyperlink>
      <w:r>
        <w:rPr>
          <w:rFonts w:ascii="Times New Roman" w:hAnsi="Times New Roman"/>
        </w:rPr>
        <w:t xml:space="preserve"> (Accessed: 29 November 2022).</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Office of National Statistics (2022) Child victims of modern slavery in the UK: March 2022 Available at: </w:t>
      </w:r>
      <w:hyperlink r:id="rId40">
        <w:r>
          <w:rPr>
            <w:rStyle w:val="InternetLink"/>
            <w:rFonts w:ascii="Times New Roman" w:hAnsi="Times New Roman"/>
          </w:rPr>
          <w:t>https://www.ons.gov.uk/peoplepopulationandcommunity/crimeandjustice/bulletins/childvictimsofmodernslaveryintheuk/march2022</w:t>
        </w:r>
      </w:hyperlink>
      <w:r>
        <w:rPr>
          <w:rFonts w:ascii="Times New Roman" w:hAnsi="Times New Roman"/>
        </w:rPr>
        <w:t xml:space="preserve"> (Accessed: 30 November 2022).</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Perception Institute (2019). Implicit Bias Explained - Perception Institute. [online] Perception Institute. Available at: </w:t>
      </w:r>
      <w:hyperlink r:id="rId41">
        <w:r>
          <w:rPr>
            <w:rStyle w:val="InternetLink"/>
            <w:rFonts w:ascii="Times New Roman" w:hAnsi="Times New Roman"/>
          </w:rPr>
          <w:t>https://perception.org/research/implicit-bias/</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Police and Criminal Evidence Act 1984 c. 60. Available at: </w:t>
      </w:r>
      <w:hyperlink r:id="rId42">
        <w:r>
          <w:rPr>
            <w:rStyle w:val="InternetLink"/>
            <w:rFonts w:ascii="Times New Roman" w:hAnsi="Times New Roman"/>
          </w:rPr>
          <w:t>https://www.legislation.gov.uk/ukpga/1984/60/section/1</w:t>
        </w:r>
      </w:hyperlink>
      <w:r>
        <w:rPr>
          <w:rFonts w:ascii="Times New Roman" w:hAnsi="Times New Roman"/>
        </w:rPr>
        <w:t xml:space="preserve"> (Accessed: 30 November 2022). </w:t>
      </w:r>
    </w:p>
    <w:p>
      <w:pPr>
        <w:pStyle w:val="Normal"/>
        <w:bidi w:val="0"/>
        <w:spacing w:lineRule="auto" w:line="276" w:before="0" w:after="0"/>
        <w:ind w:left="0" w:right="0" w:hanging="0"/>
        <w:jc w:val="left"/>
        <w:rPr>
          <w:rFonts w:ascii="Arial" w:hAnsi="Arial" w:eastAsia="Times New Roman" w:cs="Arial"/>
          <w:lang w:eastAsia="en-GB"/>
        </w:rPr>
      </w:pPr>
      <w:r>
        <w:rPr>
          <w:rFonts w:eastAsia="Times New Roman" w:cs="Arial" w:ascii="Arial" w:hAnsi="Arial"/>
          <w:lang w:eastAsia="en-GB"/>
        </w:rPr>
      </w:r>
    </w:p>
    <w:p>
      <w:pPr>
        <w:pStyle w:val="Normal"/>
        <w:bidi w:val="0"/>
        <w:spacing w:lineRule="auto" w:line="276" w:before="0" w:after="0"/>
        <w:ind w:left="0" w:right="0" w:hanging="0"/>
        <w:jc w:val="left"/>
        <w:rPr>
          <w:rFonts w:ascii="Arial" w:hAnsi="Arial" w:eastAsia="Times New Roman" w:cs="Arial"/>
          <w:lang w:eastAsia="en-GB"/>
        </w:rPr>
      </w:pPr>
      <w:r>
        <w:rPr>
          <w:rFonts w:ascii="Times New Roman" w:hAnsi="Times New Roman"/>
        </w:rPr>
        <w:t xml:space="preserve">Police and Criminal Evidence Act 1984, c. 60. Available at: </w:t>
      </w:r>
      <w:hyperlink r:id="rId43">
        <w:r>
          <w:rPr>
            <w:rStyle w:val="InternetLink"/>
            <w:rFonts w:ascii="Times New Roman" w:hAnsi="Times New Roman"/>
          </w:rPr>
          <w:t>https://www.legislation.gov.uk/ukpga/1984/60/section/117</w:t>
        </w:r>
      </w:hyperlink>
      <w:r>
        <w:rPr>
          <w:rFonts w:ascii="Times New Roman" w:hAnsi="Times New Roman"/>
        </w:rPr>
        <w:t xml:space="preserve"> (Accessed: 2 December 2022)</w:t>
      </w:r>
      <w:r>
        <w:rPr/>
        <w:t xml:space="preserve"> </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Raising Children Network (2017). Brain development in pre-teens and teenagers. Raising Children Network. Available at: </w:t>
      </w:r>
      <w:hyperlink r:id="rId44">
        <w:r>
          <w:rPr>
            <w:rStyle w:val="InternetLink"/>
            <w:rFonts w:ascii="Times New Roman" w:hAnsi="Times New Roman"/>
          </w:rPr>
          <w:t>https://raisingchildren.net.au/pre-teens/development/understanding-your-pre-teen/brain-development-teens</w:t>
        </w:r>
      </w:hyperlink>
      <w:r>
        <w:rPr>
          <w:rFonts w:ascii="Times New Roman" w:hAnsi="Times New Roman"/>
        </w:rPr>
        <w:t xml:space="preserve"> [Accessed 29 Nov. 2022].</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Robinson, G. (2017). How gangs are exploiting children to do their dirty work. [online] The Conversation. Available at: </w:t>
      </w:r>
      <w:hyperlink r:id="rId45">
        <w:r>
          <w:rPr>
            <w:rStyle w:val="InternetLink"/>
            <w:rFonts w:ascii="Times New Roman" w:hAnsi="Times New Roman"/>
          </w:rPr>
          <w:t>https://theconversation.com/how-gangs-are-exploiting-children-to-do-their-dirty-work-71926</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Robinson, G., McLean, R. and Densley, J. (2018). Working County Lines: Child Criminal Exploitation and Illicit Drug Dealing in Glasgow and Merseyside. International Journal of Offender Therapy and Comparative Criminology, 63(5). doi:10.1177/0306624x18806742.</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Ross, A., Duckworth, K., Smith, D., Wyness, G. and Schoon, I. (2010). Prevention and Reduction: A review of strategies for intervening early to prevent or reduce youth crime and anti-social behaviour Centre for Analysis of Youth Transitions (CAYT). [online] Available at: </w:t>
      </w:r>
      <w:hyperlink r:id="rId46">
        <w:r>
          <w:rPr>
            <w:rStyle w:val="InternetLink"/>
            <w:rFonts w:ascii="Times New Roman" w:hAnsi="Times New Roman"/>
          </w:rPr>
          <w:t>https://assets.publishing.service.gov.uk/government/uploads/system/uploads/attachment_data/file/182548/DFE-RR111.pdf</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The Policy, Research and International Development Directorate (2015). CHILDHOOD HOUSEHOLD INCLUDED. [online] Available at: </w:t>
      </w:r>
      <w:hyperlink r:id="rId47">
        <w:r>
          <w:rPr>
            <w:rStyle w:val="InternetLink"/>
            <w:rFonts w:ascii="Times New Roman" w:hAnsi="Times New Roman"/>
          </w:rPr>
          <w:t>https://phw.nhs.wales/files/aces/infographic-aces-and-their-impact-on-health-harming-behaviours-in-the-welsh-adult-population/</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The True Crime Edition (2021) The Disappearance and Murder of Sarah Payne. Available at: </w:t>
      </w:r>
      <w:hyperlink r:id="rId48">
        <w:r>
          <w:rPr>
            <w:rStyle w:val="InternetLink"/>
            <w:rFonts w:ascii="Times New Roman" w:hAnsi="Times New Roman"/>
          </w:rPr>
          <w:t>https://www.truecrimeedition.com/post/sarah-payne</w:t>
        </w:r>
      </w:hyperlink>
      <w:r>
        <w:rPr>
          <w:rFonts w:ascii="Times New Roman" w:hAnsi="Times New Roman"/>
        </w:rPr>
        <w:t xml:space="preserve"> (Accessed: 30 November 2022).</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Thornton, D. (2007). SCORING GUIDE FOR RISK MATRIX 2000.9/SVC. [online] Available at: </w:t>
      </w:r>
      <w:hyperlink r:id="rId49">
        <w:r>
          <w:rPr>
            <w:rStyle w:val="InternetLink"/>
            <w:rFonts w:ascii="Times New Roman" w:hAnsi="Times New Roman"/>
          </w:rPr>
          <w:t>https://www.birmingham.ac.uk/Documents/college-les/psych/RM2000scoringinstructions.pdf</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Trevelyan, L. (n.d.). Young Offenders: Youth Offences and the pre-court Proceedure. [online] InBrief.co.uk. Available at: </w:t>
      </w:r>
      <w:hyperlink r:id="rId50">
        <w:r>
          <w:rPr>
            <w:rStyle w:val="InternetLink"/>
            <w:rFonts w:ascii="Times New Roman" w:hAnsi="Times New Roman"/>
          </w:rPr>
          <w:t>https://www.inbrief.co.uk/court-proceedings/young-offenders/</w:t>
        </w:r>
      </w:hyperlink>
      <w:r>
        <w:rPr>
          <w:rFonts w:ascii="Times New Roman" w:hAnsi="Times New Roman"/>
        </w:rPr>
        <w:t>.</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Vagrancy Act 1824 c. 83. Available at: </w:t>
      </w:r>
      <w:hyperlink r:id="rId51">
        <w:r>
          <w:rPr>
            <w:rStyle w:val="InternetLink"/>
            <w:rFonts w:ascii="Times New Roman" w:hAnsi="Times New Roman"/>
          </w:rPr>
          <w:t>https://www.legislation.gov.uk/ukpga/Geo4/5/83/section/4</w:t>
        </w:r>
      </w:hyperlink>
      <w:r>
        <w:rPr>
          <w:rFonts w:ascii="Times New Roman" w:hAnsi="Times New Roman"/>
        </w:rPr>
        <w:t xml:space="preserve"> (Accessed: 29 November 2022).</w:t>
      </w:r>
    </w:p>
    <w:p>
      <w:pPr>
        <w:pStyle w:val="Normal"/>
        <w:bidi w:val="0"/>
        <w:spacing w:lineRule="auto" w:line="276" w:before="0" w:after="0"/>
        <w:ind w:left="0" w:right="0" w:hanging="0"/>
        <w:jc w:val="left"/>
        <w:rPr>
          <w:rFonts w:ascii="Times New Roman" w:hAnsi="Times New Roman"/>
        </w:rPr>
      </w:pPr>
      <w:r>
        <w:rPr>
          <w:rFonts w:ascii="Times New Roman" w:hAnsi="Times New Roman"/>
        </w:rPr>
      </w:r>
    </w:p>
    <w:p>
      <w:pPr>
        <w:pStyle w:val="Normal"/>
        <w:bidi w:val="0"/>
        <w:spacing w:lineRule="auto" w:line="276" w:before="0" w:after="0"/>
        <w:ind w:left="0" w:right="0" w:hanging="0"/>
        <w:jc w:val="left"/>
        <w:rPr>
          <w:rFonts w:ascii="Times New Roman" w:hAnsi="Times New Roman"/>
        </w:rPr>
      </w:pPr>
      <w:r>
        <w:rPr>
          <w:rFonts w:ascii="Times New Roman" w:hAnsi="Times New Roman"/>
        </w:rPr>
        <w:t xml:space="preserve">westmidlands.procedures.org.uk. (n.d.). 2.1 Children affected by Exploitation and Trafficking (including Gangs) | West Midlands Safeguarding Children Group. [online] Available at: </w:t>
      </w:r>
      <w:hyperlink r:id="rId52">
        <w:r>
          <w:rPr>
            <w:rStyle w:val="InternetLink"/>
            <w:rFonts w:ascii="Times New Roman" w:hAnsi="Times New Roman"/>
          </w:rPr>
          <w:t>https://westmidlands.procedures.org.uk/pkpzs</w:t>
        </w:r>
      </w:hyperlink>
      <w:r>
        <w:rPr>
          <w:rFonts w:ascii="Times New Roman" w:hAnsi="Times New Roman"/>
        </w:rPr>
        <w:t>.</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en-GB" w:eastAsia="zh-CN" w:bidi="hi-IN"/>
    </w:rPr>
  </w:style>
  <w:style w:type="character" w:styleId="InternetLink">
    <w:name w:val="Hyper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justiceinspectorates.gov.uk/hmicfrs/media/Multi-agency-public-protection-arrangements.pdf" TargetMode="External"/><Relationship Id="rId3" Type="http://schemas.openxmlformats.org/officeDocument/2006/relationships/hyperlink" Target="https://www.actionforchildren.org.uk/media-centre/pioneering-project-diverting-teenagers-from-serious-organised-crime-is-rolled-out-across-the-uk/" TargetMode="External"/><Relationship Id="rId4" Type="http://schemas.openxmlformats.org/officeDocument/2006/relationships/hyperlink" Target="https://www.actionforchildren.org.uk/blog/young-people-and-serious-organised-crime-how-early-intervention-can-help/" TargetMode="External"/><Relationship Id="rId5" Type="http://schemas.openxmlformats.org/officeDocument/2006/relationships/hyperlink" Target="https://www.bbc.co.uk/newsround/50035769" TargetMode="External"/><Relationship Id="rId6" Type="http://schemas.openxmlformats.org/officeDocument/2006/relationships/hyperlink" Target="https://www.scientia.global/dr-tilmann-betsch-what-children-can-and-cannot-do-in-decision-making/" TargetMode="External"/><Relationship Id="rId7" Type="http://schemas.openxmlformats.org/officeDocument/2006/relationships/hyperlink" Target="https://www.blackpast.org/global-african-history/brixton-riots-april-10-12-1981/" TargetMode="External"/><Relationship Id="rId8" Type="http://schemas.openxmlformats.org/officeDocument/2006/relationships/hyperlink" Target="https://www.olliers.com/news/slavery-trafficking-prevention-orders-risk-orders/" TargetMode="External"/><Relationship Id="rId9" Type="http://schemas.openxmlformats.org/officeDocument/2006/relationships/hyperlink" Target="https://www.college.police.uk/app/major-investigation-and-public-protection/managing-sexual-offenders-and-violent-offenders/home-visits" TargetMode="External"/><Relationship Id="rId10" Type="http://schemas.openxmlformats.org/officeDocument/2006/relationships/hyperlink" Target="https://assets.college.police.uk/s3fs-public/Police-Race-Action-Plan.pdf" TargetMode="External"/><Relationship Id="rId11" Type="http://schemas.openxmlformats.org/officeDocument/2006/relationships/hyperlink" Target="https://www.college.police.uk/app/major-investigation-and-public-protection/modern-slavery/key-responsibilities" TargetMode="External"/><Relationship Id="rId12" Type="http://schemas.openxmlformats.org/officeDocument/2006/relationships/hyperlink" Target="https://www.college.police.uk/app/major-investigation-and-public-protection/managing-sexual-offenders-and-violent-offenders/multi-agency-public-protection-arrangements-mappa" TargetMode="External"/><Relationship Id="rId13" Type="http://schemas.openxmlformats.org/officeDocument/2006/relationships/hyperlink" Target="https://www.college.police.uk/article/police-race-action-plan-published" TargetMode="External"/><Relationship Id="rId14" Type="http://schemas.openxmlformats.org/officeDocument/2006/relationships/hyperlink" Target="https://www.proceduresonline.com/swcpp/cornwall_scilly/p_ch_affected_gang_act.html" TargetMode="External"/><Relationship Id="rId15" Type="http://schemas.openxmlformats.org/officeDocument/2006/relationships/hyperlink" Target="https://crimestoppers-uk.org/keeping-safe/community-family/serious-and-organised-crime" TargetMode="External"/><Relationship Id="rId16" Type="http://schemas.openxmlformats.org/officeDocument/2006/relationships/hyperlink" Target="https://www.legislation.gov.uk/ukpga/2003/44/schedule/15" TargetMode="External"/><Relationship Id="rId17" Type="http://schemas.openxmlformats.org/officeDocument/2006/relationships/hyperlink" Target="https://www.justiceinspectorates.gov.uk/cjji/wp-content/uploads/sites/2/2015/10/MAPPA-follow-up-thematic-report.pdf" TargetMode="External"/><Relationship Id="rId18" Type="http://schemas.openxmlformats.org/officeDocument/2006/relationships/hyperlink" Target="https://www.cps.gov.uk/legal-guidance/rape-and-sexual-abuse-chapter-16-slavery-and-trafficking-risk-orders" TargetMode="External"/><Relationship Id="rId19" Type="http://schemas.openxmlformats.org/officeDocument/2006/relationships/hyperlink" Target="https://www.crimeandjustice.org.uk/publications/cjm/article/visor-violent-and-sex-offender-register" TargetMode="External"/><Relationship Id="rId20" Type="http://schemas.openxmlformats.org/officeDocument/2006/relationships/hyperlink" Target="https://phw.nhs.wales/files/aces/the-prisoner-ace-survey/" TargetMode="External"/><Relationship Id="rId21" Type="http://schemas.openxmlformats.org/officeDocument/2006/relationships/hyperlink" Target="https://www.great-online.org/About/What-Is-GREAT" TargetMode="External"/><Relationship Id="rId22" Type="http://schemas.openxmlformats.org/officeDocument/2006/relationships/hyperlink" Target="https://www.gov.uk/youth-offending-team" TargetMode="External"/><Relationship Id="rId23" Type="http://schemas.openxmlformats.org/officeDocument/2006/relationships/hyperlink" Target="https://www.gov.uk/youth-crime-prevention-programmes/mentoring" TargetMode="External"/><Relationship Id="rId24" Type="http://schemas.openxmlformats.org/officeDocument/2006/relationships/hyperlink" Target="https://www.gov.uk/youth-crime-prevention-programmes/what-these-programmes-are-and-how-they-work" TargetMode="External"/><Relationship Id="rId25" Type="http://schemas.openxmlformats.org/officeDocument/2006/relationships/hyperlink" Target="https://assets.publishing.service.gov.uk/government/uploads/system/uploads/attachment_data/file/384122/PaceCodeAWeb.pdf" TargetMode="External"/><Relationship Id="rId26" Type="http://schemas.openxmlformats.org/officeDocument/2006/relationships/hyperlink" Target="https://assets.publishing.service.gov.uk/government/uploads/system/uploads/attachment_data/file/863323/HOCountyLinesGuidance_-_Sept2018.pdf" TargetMode="External"/><Relationship Id="rId27" Type="http://schemas.openxmlformats.org/officeDocument/2006/relationships/hyperlink" Target="https://assets.publishing.service.gov.uk/government/uploads/system/uploads/attachment_data/file/1120422/Guidance_on_part_2_of_the_sexual_offences_act_2003_FINAL.pdf" TargetMode="External"/><Relationship Id="rId28" Type="http://schemas.openxmlformats.org/officeDocument/2006/relationships/hyperlink" Target="https://www.gov.uk/government/statistics/police-use-of-force-statistics-england-and-wales-april-2020-to-march-2021/police-use-of-force-statistics-england-and-wales-april-2020-to-march-2021" TargetMode="External"/><Relationship Id="rId29" Type="http://schemas.openxmlformats.org/officeDocument/2006/relationships/hyperlink" Target="https://researchbriefings.files.parliament.uk/documents/SN03878/SN03878.pdf" TargetMode="External"/><Relationship Id="rId30" Type="http://schemas.openxmlformats.org/officeDocument/2006/relationships/hyperlink" Target="https://www.antislaverycommissioner.co.uk/media/1764/iasc-review_risk-and-prevention-orders-report_march-2022.pdf" TargetMode="External"/><Relationship Id="rId31" Type="http://schemas.openxmlformats.org/officeDocument/2006/relationships/hyperlink" Target="https://www.policeconduct.gov.uk/sites/default/files/Documents/statistics/IOPC-Yonder_Public_Perceptions_Tracker_Annual_Summary_Report_2020-21_FINAL.pdf" TargetMode="External"/><Relationship Id="rId32" Type="http://schemas.openxmlformats.org/officeDocument/2006/relationships/hyperlink" Target="https://www.barnardos.org.uk/sites/default/files/2021-10/Exploited and Criminalised report.pdf" TargetMode="External"/><Relationship Id="rId33" Type="http://schemas.openxmlformats.org/officeDocument/2006/relationships/hyperlink" Target="https://www.lawteacher.net/free-law-essays/criminal-law/the-police-and-criminal-evidence-act-law-essay.php" TargetMode="External"/><Relationship Id="rId34" Type="http://schemas.openxmlformats.org/officeDocument/2006/relationships/hyperlink" Target="https://assets.publishing.service.gov.uk/government/uploads/system/uploads/attachment_data/file/447967/code-of-practice-approved.pdf" TargetMode="External"/><Relationship Id="rId35" Type="http://schemas.openxmlformats.org/officeDocument/2006/relationships/hyperlink" Target="https://assets.publishing.service.gov.uk/government/uploads/system/uploads/attachment_data/file/1029349/MAPPA_Annual_Report_2020-21.pdf" TargetMode="External"/><Relationship Id="rId36" Type="http://schemas.openxmlformats.org/officeDocument/2006/relationships/hyperlink" Target="https://assets.publishing.service.gov.uk/government/uploads/system/uploads/attachment_data/file/449290/glossary-of-programmes.pdf" TargetMode="External"/><Relationship Id="rId37" Type="http://schemas.openxmlformats.org/officeDocument/2006/relationships/hyperlink" Target="https://www.legislation.gov.uk/ukpga/2015/30/section/45/enacted" TargetMode="External"/><Relationship Id="rId38" Type="http://schemas.openxmlformats.org/officeDocument/2006/relationships/hyperlink" Target="https://www.psychologytoday.com/gb/blog/psychology-the-people/202112/why-representation-matters-and-why-it-s-still-not-enough" TargetMode="External"/><Relationship Id="rId39" Type="http://schemas.openxmlformats.org/officeDocument/2006/relationships/hyperlink" Target="https://www.nspcc.org.uk/what-is-child-abuse/types-of-abuse/gangs-criminal-exploitation" TargetMode="External"/><Relationship Id="rId40" Type="http://schemas.openxmlformats.org/officeDocument/2006/relationships/hyperlink" Target="https://www.ons.gov.uk/peoplepopulationandcommunity/crimeandjustice/bulletins/childvictimsofmodernslaveryintheuk/march2022" TargetMode="External"/><Relationship Id="rId41" Type="http://schemas.openxmlformats.org/officeDocument/2006/relationships/hyperlink" Target="https://perception.org/research/implicit-bias/" TargetMode="External"/><Relationship Id="rId42" Type="http://schemas.openxmlformats.org/officeDocument/2006/relationships/hyperlink" Target="https://www.legislation.gov.uk/ukpga/1984/60/section/1" TargetMode="External"/><Relationship Id="rId43" Type="http://schemas.openxmlformats.org/officeDocument/2006/relationships/hyperlink" Target="https://www.legislation.gov.uk/ukpga/1984/60/section/117" TargetMode="External"/><Relationship Id="rId44" Type="http://schemas.openxmlformats.org/officeDocument/2006/relationships/hyperlink" Target="https://raisingchildren.net.au/pre-teens/development/understanding-your-pre-teen/brain-development-teens" TargetMode="External"/><Relationship Id="rId45" Type="http://schemas.openxmlformats.org/officeDocument/2006/relationships/hyperlink" Target="https://theconversation.com/how-gangs-are-exploiting-children-to-do-their-dirty-work-71926" TargetMode="External"/><Relationship Id="rId46" Type="http://schemas.openxmlformats.org/officeDocument/2006/relationships/hyperlink" Target="https://assets.publishing.service.gov.uk/government/uploads/system/uploads/attachment_data/file/182548/DFE-RR111.pdf" TargetMode="External"/><Relationship Id="rId47" Type="http://schemas.openxmlformats.org/officeDocument/2006/relationships/hyperlink" Target="https://phw.nhs.wales/files/aces/infographic-aces-and-their-impact-on-health-harming-behaviours-in-the-welsh-adult-population/" TargetMode="External"/><Relationship Id="rId48" Type="http://schemas.openxmlformats.org/officeDocument/2006/relationships/hyperlink" Target="https://www.truecrimeedition.com/post/sarah-payne" TargetMode="External"/><Relationship Id="rId49" Type="http://schemas.openxmlformats.org/officeDocument/2006/relationships/hyperlink" Target="https://www.birmingham.ac.uk/Documents/college-les/psych/RM2000scoringinstructions.pdf" TargetMode="External"/><Relationship Id="rId50" Type="http://schemas.openxmlformats.org/officeDocument/2006/relationships/hyperlink" Target="https://www.inbrief.co.uk/court-proceedings/young-offenders/" TargetMode="External"/><Relationship Id="rId51" Type="http://schemas.openxmlformats.org/officeDocument/2006/relationships/hyperlink" Target="https://www.legislation.gov.uk/ukpga/Geo4/5/83/section/4" TargetMode="External"/><Relationship Id="rId52" Type="http://schemas.openxmlformats.org/officeDocument/2006/relationships/hyperlink" Target="https://westmidlands.procedures.org.uk/pkpzs"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38</TotalTime>
  <Application>LibreOffice/7.0.3.1$Windows_X86_64 LibreOffice_project/d7547858d014d4cf69878db179d326fc3483e082</Application>
  <Pages>13</Pages>
  <Words>5530</Words>
  <Characters>34241</Characters>
  <CharactersWithSpaces>39718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2022-12-06T17:15:28Z</dcterms:created>
  <dc:creator/>
  <dc:description/>
  <dc:language>en-GB</dc:language>
  <cp:lastModifiedBy/>
  <dcterms:modified xsi:type="dcterms:W3CDTF">2022-12-07T16:14:28Z</dcterms:modified>
  <cp:revision>11</cp:revision>
  <dc:subject/>
  <dc:title/>
</cp:coreProperties>
</file>