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94C8F" w14:textId="6411DABD" w:rsidR="00F20B2A" w:rsidRDefault="00F20B2A" w:rsidP="00F20B2A">
      <w:r>
        <w:t>Alice Raybould</w:t>
      </w:r>
    </w:p>
    <w:p w14:paraId="1C017E0C" w14:textId="1FFF31B6" w:rsidR="00F20B2A" w:rsidRDefault="00F20B2A" w:rsidP="00F20B2A">
      <w:r>
        <w:t>Student number: 1300749</w:t>
      </w:r>
      <w:bookmarkStart w:id="0" w:name="_GoBack"/>
      <w:bookmarkEnd w:id="0"/>
    </w:p>
    <w:p w14:paraId="0BF1C945" w14:textId="170D260C" w:rsidR="004065CF" w:rsidRDefault="004065CF" w:rsidP="004065CF">
      <w:pPr>
        <w:jc w:val="center"/>
      </w:pPr>
      <w:r>
        <w:t>Case Study</w:t>
      </w:r>
    </w:p>
    <w:p w14:paraId="744841E9" w14:textId="64360B27" w:rsidR="0009456A" w:rsidRDefault="0009456A" w:rsidP="0009456A">
      <w:pPr>
        <w:jc w:val="center"/>
      </w:pPr>
      <w:r>
        <w:t>Module Code: M6X02187</w:t>
      </w:r>
    </w:p>
    <w:p w14:paraId="3CCCD8C9" w14:textId="7A212284" w:rsidR="0009456A" w:rsidRDefault="0009456A" w:rsidP="0009456A">
      <w:pPr>
        <w:jc w:val="center"/>
      </w:pPr>
      <w:r>
        <w:t>Module Title: Diversity of Learning</w:t>
      </w:r>
    </w:p>
    <w:p w14:paraId="2309119F" w14:textId="77777777" w:rsidR="0009456A" w:rsidRDefault="0009456A" w:rsidP="0009456A">
      <w:pPr>
        <w:jc w:val="center"/>
      </w:pPr>
      <w:r>
        <w:t>Assessment Component 2 – 50%</w:t>
      </w:r>
    </w:p>
    <w:p w14:paraId="610B4CAA" w14:textId="4E265629" w:rsidR="004065CF" w:rsidRDefault="0009456A" w:rsidP="0009456A">
      <w:pPr>
        <w:jc w:val="center"/>
      </w:pPr>
      <w:r>
        <w:t>Written assessment: 2500 words</w:t>
      </w:r>
    </w:p>
    <w:p w14:paraId="35B6EA80" w14:textId="77777777" w:rsidR="004065CF" w:rsidRDefault="004065CF" w:rsidP="00FA0C96"/>
    <w:p w14:paraId="4869CB66" w14:textId="55C30580" w:rsidR="00FA0C96" w:rsidRPr="00713252" w:rsidRDefault="00FA0C96" w:rsidP="00FA0C96">
      <w:r>
        <w:t>The case identified in this study is that of Child A. Child A attends a maintained special school in South Wales. Child A has attended the school for a number of years and there is significant evidence of his improvements both socially and academically throughout his school career. This study aims to identify teaching methods and links to theory that have influenced the progress of Child A, and identify any further areas for relevant research. Teaching methods used when working with Child A will be analysed in terms of the theories and pedagogy behind them, as well as linking the methods to current research in the field of special educational needs (SEN). Teaching strategies identified include managing behaviour through structure and positive reinforcement, teacher modelling, and speech and language therapy (SALT). Evidence of teaching methods, examples of theory and pedagogy and references to current research will be signposted throughout (see appendices).</w:t>
      </w:r>
    </w:p>
    <w:p w14:paraId="6A79BAD7" w14:textId="7E95CB70" w:rsidR="009E480D" w:rsidRPr="00FA0C96" w:rsidRDefault="005D309F" w:rsidP="009E480D">
      <w:pPr>
        <w:rPr>
          <w:i/>
        </w:rPr>
      </w:pPr>
      <w:r>
        <w:t>A case study is an in-depth investigation of a single person, group, event or community. Data used can be gathered from a variety of sources and by using a range of methods, e.g. observations and interviews</w:t>
      </w:r>
      <w:r w:rsidRPr="005D309F">
        <w:rPr>
          <w:i/>
        </w:rPr>
        <w:t xml:space="preserve"> </w:t>
      </w:r>
      <w:r w:rsidRPr="005D309F">
        <w:t>(</w:t>
      </w:r>
      <w:r>
        <w:t>Hayes, 2000</w:t>
      </w:r>
      <w:r w:rsidRPr="005D309F">
        <w:t xml:space="preserve">). </w:t>
      </w:r>
      <w:r w:rsidR="00E4342A">
        <w:t xml:space="preserve">Case studies originate in clinical medicine, but are often used in psychology when a study is focused on one particular individual. </w:t>
      </w:r>
      <w:r w:rsidR="00135B73">
        <w:t xml:space="preserve">In a case study, the researcher provides a detailed description of behaviour, the data for which comes from interviews and observations. The researcher then collates this data and interprets this information. Case studies are concerned with the past and the present, and so case studies can continue for an extended period of time so that processes can be studied as they progress in real time. </w:t>
      </w:r>
      <w:r w:rsidR="00FA0C96">
        <w:t xml:space="preserve">A case study is an example of a humanist strategy for undertaking research. </w:t>
      </w:r>
      <w:r w:rsidR="009E480D" w:rsidRPr="00111867">
        <w:t>Humanism, first emerging in the 1960s, centres on the concepts of human freedom, dignity and potential (</w:t>
      </w:r>
      <w:r w:rsidR="00975A2D">
        <w:t>Maslow, 1968</w:t>
      </w:r>
      <w:r w:rsidR="009E480D" w:rsidRPr="00111867">
        <w:t>). It is the assumption of humanist psychologists that people act with intentionality and awareness of values (Huitt, 2001). Humanists also believe that it is imperative that the whole person should be studied as an individual develops throughout their lifetime. The study of the self, motivation for behaviours and actions, and goals, are areas of interest to humanists</w:t>
      </w:r>
      <w:r w:rsidR="009E480D">
        <w:t>.</w:t>
      </w:r>
    </w:p>
    <w:p w14:paraId="3CCA7850" w14:textId="2A03E301" w:rsidR="00E83530" w:rsidRDefault="00111867" w:rsidP="00F44D91">
      <w:pPr>
        <w:pStyle w:val="Heading2"/>
      </w:pPr>
      <w:r>
        <w:t>Teaching strategy 1 – Working for board</w:t>
      </w:r>
    </w:p>
    <w:p w14:paraId="2D64E504" w14:textId="6B2A0CD9" w:rsidR="009D7C51" w:rsidRDefault="009D7C51" w:rsidP="00C82113">
      <w:r w:rsidRPr="004271CE">
        <w:rPr>
          <w:noProof/>
          <w:lang w:eastAsia="en-GB"/>
        </w:rPr>
        <w:drawing>
          <wp:anchor distT="0" distB="0" distL="114300" distR="114300" simplePos="0" relativeHeight="251658240" behindDoc="0" locked="0" layoutInCell="1" allowOverlap="1" wp14:anchorId="45BD5887" wp14:editId="225E9D88">
            <wp:simplePos x="0" y="0"/>
            <wp:positionH relativeFrom="margin">
              <wp:align>left</wp:align>
            </wp:positionH>
            <wp:positionV relativeFrom="paragraph">
              <wp:posOffset>921385</wp:posOffset>
            </wp:positionV>
            <wp:extent cx="1949450" cy="939800"/>
            <wp:effectExtent l="0" t="0" r="0" b="0"/>
            <wp:wrapThrough wrapText="bothSides">
              <wp:wrapPolygon edited="0">
                <wp:start x="0" y="0"/>
                <wp:lineTo x="0" y="21016"/>
                <wp:lineTo x="21319" y="21016"/>
                <wp:lineTo x="21319"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49450" cy="939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9310C">
        <w:rPr>
          <w:noProof/>
          <w:lang w:eastAsia="en-GB"/>
        </w:rPr>
        <w:t>Appendix 3 explains</w:t>
      </w:r>
      <w:r w:rsidR="00C34826">
        <w:t xml:space="preserve"> that Child A requires a structured reward system, ample praise and encouragement. In class, Child A is consistently rewarded using a ‘working for’ board</w:t>
      </w:r>
      <w:r w:rsidR="00A819D9">
        <w:t xml:space="preserve"> (see pictured below)</w:t>
      </w:r>
      <w:r w:rsidR="00C34826">
        <w:t xml:space="preserve">. </w:t>
      </w:r>
      <w:r w:rsidR="00C34826" w:rsidRPr="00C34826">
        <w:t xml:space="preserve">The working for board provides a consistent way of reinforcing behaviour that is visual and easy for the child to understand. In this case, Child A is capable of choosing his own reward, an example of incorporating pupil voice into daily practice. </w:t>
      </w:r>
    </w:p>
    <w:p w14:paraId="4ED348EA" w14:textId="4666A739" w:rsidR="00C34826" w:rsidRDefault="00C34826" w:rsidP="00C82113">
      <w:r w:rsidRPr="00C34826">
        <w:t xml:space="preserve">Child A chooses his desired reward and earns five stars by showing positive behaviour, i.e. completing a task or following </w:t>
      </w:r>
      <w:r w:rsidRPr="00C34826">
        <w:lastRenderedPageBreak/>
        <w:t>an instruction.</w:t>
      </w:r>
      <w:r w:rsidR="009D7C51" w:rsidRPr="009D7C51">
        <w:rPr>
          <w:noProof/>
          <w:lang w:eastAsia="en-GB"/>
        </w:rPr>
        <w:t xml:space="preserve"> </w:t>
      </w:r>
      <w:r w:rsidRPr="00C34826">
        <w:t>Once he has earned his five stars, he is rewarded with his chosen activity or object.</w:t>
      </w:r>
      <w:r w:rsidR="009D7C51" w:rsidRPr="009D7C51">
        <w:rPr>
          <w:noProof/>
          <w:lang w:eastAsia="en-GB"/>
        </w:rPr>
        <w:t xml:space="preserve"> </w:t>
      </w:r>
    </w:p>
    <w:p w14:paraId="2BFBDB21" w14:textId="2FCA0213" w:rsidR="00C82113" w:rsidRDefault="00A819D9" w:rsidP="00C82113">
      <w:r>
        <w:t xml:space="preserve">This type of structured reward system is an example of behaviourism in the classroom. </w:t>
      </w:r>
      <w:r w:rsidR="00615081">
        <w:t xml:space="preserve">The behaviourist approach to learning can be identified as being very present in the practice used in supporting Child A in the classroom. </w:t>
      </w:r>
      <w:r w:rsidR="00C82113">
        <w:t xml:space="preserve">The central approach of behaviourism is that the environment influences behaviour, and almost excludes the influence of innate or inherited factors. Behaviourists see psychology as a science, and use empirical data obtained through controlled observation to support their theories. Behaviourists disregard the presence of thought and emotion and </w:t>
      </w:r>
      <w:r w:rsidR="005F436B">
        <w:t>are</w:t>
      </w:r>
      <w:r w:rsidR="00C82113">
        <w:t xml:space="preserve"> primarily concerned with observable behaviour. </w:t>
      </w:r>
      <w:r w:rsidR="00C136D2">
        <w:t xml:space="preserve">Behaviourists are also </w:t>
      </w:r>
      <w:r w:rsidR="00A0388C">
        <w:t xml:space="preserve">comparative psychologists, meaning they are </w:t>
      </w:r>
      <w:r w:rsidR="00C136D2">
        <w:t>of the belief that there is little to no difference between the learning that takes place in humans and animals</w:t>
      </w:r>
      <w:r w:rsidR="00A0388C">
        <w:t xml:space="preserve">. </w:t>
      </w:r>
    </w:p>
    <w:p w14:paraId="7AB2753B" w14:textId="0A129E7B" w:rsidR="00C82113" w:rsidRDefault="00C82113" w:rsidP="00242A98">
      <w:r>
        <w:t xml:space="preserve">Behaviourist learning theory is made up of Pavlov’s research into classical conditioning, and Skinner’s research into operant conditioning; although linked, classical and operant conditioning do contrast. </w:t>
      </w:r>
      <w:r w:rsidR="005E3EEB">
        <w:t>Classical conditioning describes the process of learning through association, and was discovered by Russian psychologist Pavlov</w:t>
      </w:r>
      <w:r w:rsidR="00531632">
        <w:t xml:space="preserve"> (Pavlov, 1902)</w:t>
      </w:r>
      <w:r w:rsidR="005E3EEB">
        <w:t>. Operant conditioning describes the method of learning that occurs through application of rewards and punishments for beh</w:t>
      </w:r>
      <w:r w:rsidR="009468AD">
        <w:t xml:space="preserve">aviour discovered by B.F. Skinner. Skinner introduced the idea of positive and negative reinforcement; being rewarded or punished for a seemingly random behaviour, and the process of learning how to consciously create the positive response, or avoid the negative response. Operant conditioning forms the basis for the </w:t>
      </w:r>
      <w:r w:rsidR="00A819D9">
        <w:t>‘working for</w:t>
      </w:r>
      <w:r w:rsidR="009468AD">
        <w:t>’</w:t>
      </w:r>
      <w:r w:rsidR="00A819D9">
        <w:t xml:space="preserve"> board</w:t>
      </w:r>
      <w:r w:rsidR="009468AD">
        <w:t xml:space="preserve"> method of managing behaviour</w:t>
      </w:r>
      <w:r w:rsidR="00A819D9">
        <w:t>.</w:t>
      </w:r>
      <w:r w:rsidR="008D3668">
        <w:t xml:space="preserve"> </w:t>
      </w:r>
      <w:r>
        <w:t xml:space="preserve"> </w:t>
      </w:r>
    </w:p>
    <w:p w14:paraId="26E8B024" w14:textId="6A5D228D" w:rsidR="00790945" w:rsidRDefault="007A1DAF" w:rsidP="00242A98">
      <w:r>
        <w:t>There are many r</w:t>
      </w:r>
      <w:r w:rsidR="00790945">
        <w:t>esearch</w:t>
      </w:r>
      <w:r>
        <w:t xml:space="preserve"> studies</w:t>
      </w:r>
      <w:r w:rsidR="00790945">
        <w:t xml:space="preserve"> into </w:t>
      </w:r>
      <w:r>
        <w:t>understanding and managing</w:t>
      </w:r>
      <w:r w:rsidR="00790945">
        <w:t xml:space="preserve"> the behaviour of children with ASD </w:t>
      </w:r>
      <w:r>
        <w:t xml:space="preserve">currently ongoing; these </w:t>
      </w:r>
      <w:r w:rsidR="00790945">
        <w:t>include ‘The Effects of Exercise on Behaviour and Fitness in Children with ASD’, ‘The Effect of High Antioxidant Cacao on Behaviours in Children with Autism Spectrum Disorder’, and ‘Diet and Behaviour in Younger Children with Autism’ (</w:t>
      </w:r>
      <w:r w:rsidR="00196613">
        <w:t>Clinicaltrialsgov, 2019</w:t>
      </w:r>
      <w:r w:rsidR="00790945">
        <w:t xml:space="preserve">). </w:t>
      </w:r>
    </w:p>
    <w:p w14:paraId="2DCA71F7" w14:textId="131072FC" w:rsidR="00111867" w:rsidRPr="00F44D91" w:rsidRDefault="00111867" w:rsidP="00F44D91">
      <w:pPr>
        <w:pStyle w:val="Heading2"/>
        <w:rPr>
          <w:sz w:val="32"/>
          <w:szCs w:val="32"/>
        </w:rPr>
      </w:pPr>
      <w:r>
        <w:t>Teaching strategy 2 – Modelling</w:t>
      </w:r>
    </w:p>
    <w:p w14:paraId="5CC6938A" w14:textId="0ED8F721" w:rsidR="00900F7E" w:rsidRDefault="00EA52A7" w:rsidP="00900F7E">
      <w:r>
        <w:t xml:space="preserve">In the case of Child A, teacher modelling is used to display appropriate social behaviours, i.e. sharing a toy with a child (see Appendix 3). </w:t>
      </w:r>
      <w:r w:rsidR="00900F7E">
        <w:t>This is very common practice in education, in particular in working with children with SEN</w:t>
      </w:r>
      <w:r w:rsidR="003175C1">
        <w:t>, and draws clear links with behaviourist influences as behaviour is consistently rewarded if repeated correctly</w:t>
      </w:r>
      <w:r w:rsidR="00900F7E">
        <w:t>.</w:t>
      </w:r>
      <w:r w:rsidR="00826CD2">
        <w:t xml:space="preserve"> Modelling is an effective strategy for teaching a range of concepts;</w:t>
      </w:r>
      <w:r w:rsidR="00900F7E">
        <w:t xml:space="preserve"> </w:t>
      </w:r>
      <w:r w:rsidR="00AA1DCE">
        <w:t>t</w:t>
      </w:r>
      <w:r w:rsidR="009E480D">
        <w:t xml:space="preserve">eachers can model problem solving, allowing children to begin discovering their own thought processes </w:t>
      </w:r>
      <w:r w:rsidR="00713252">
        <w:t>and imitate the behaviour to solve problems independently. Teachers can also model social skills, including showing empathy, to allow children to begin to understand how their actions can affect others; Bandura’s social learning theory is focused upon this principal.</w:t>
      </w:r>
      <w:r w:rsidR="00900F7E">
        <w:t xml:space="preserve"> Adding to the behaviourist approaches of Pavlov and Skinner, Albert Bandura (1977) identified that learning also takes place as a result of observing others in the environment; this idea formed the basis for Bandura’s Social Learning Theory (</w:t>
      </w:r>
      <w:r w:rsidR="006D739E">
        <w:t xml:space="preserve">Bandura, </w:t>
      </w:r>
      <w:r w:rsidR="00900F7E">
        <w:t>1977). Bandura’s theory identifies that children observe the people around them behaving in a range of ways, and this influences how they themselves behave. He illustrated his theory during the famous ‘bobo doll experiments’ in 1961, where he investigated if social behaviour, in this case aggression, can be acquired through observation of others.</w:t>
      </w:r>
      <w:r w:rsidR="003D39F3">
        <w:t xml:space="preserve"> In this case, Child A is exposed to ‘correct’ behaviour in a range of situations, for example an adult models how to interact with books in the reading corner, sitting quietly and turning the pages from front to back. Child A then mimics this behaviour, with some initial encouragement and eventually independently, and is consistently re</w:t>
      </w:r>
      <w:r w:rsidR="00202D1C">
        <w:t xml:space="preserve">warded to doing so. The social learning approach has been praised for taking into account the role of thought in learning, i.e. it allows room for learners to choose if behaviour should be imitated or not, which differs from the behaviourist approaches which do not. However, critics of the social learning theory have suggested that although it can help to </w:t>
      </w:r>
      <w:r w:rsidR="00202D1C">
        <w:lastRenderedPageBreak/>
        <w:t xml:space="preserve">explain some complex behaviours, it cannot account for how people can develop a wide range of behaviours that may not have been previously observed; people have cognitive control over their own behaviour, and for this reason Bandura renamed his theory Social Cognitive theory later on as a better description of how we learn from social experiences. </w:t>
      </w:r>
    </w:p>
    <w:p w14:paraId="0FA37821" w14:textId="77777777" w:rsidR="00F44D91" w:rsidRDefault="000C612E" w:rsidP="00F44D91">
      <w:r>
        <w:t>Social learning theory continues to have influence on research ongoing today. Studies include ‘</w:t>
      </w:r>
      <w:r w:rsidRPr="000C612E">
        <w:t>Optimizing Social and Commu</w:t>
      </w:r>
      <w:r>
        <w:t>nication Outcomes for Toddlers w</w:t>
      </w:r>
      <w:r w:rsidRPr="000C612E">
        <w:t>ith Autism</w:t>
      </w:r>
      <w:r>
        <w:t>’, ‘</w:t>
      </w:r>
      <w:r w:rsidRPr="000C612E">
        <w:t>Computer-based Social Skills Training for Autism Spectrum Disorder</w:t>
      </w:r>
      <w:r>
        <w:t>’, and ‘</w:t>
      </w:r>
      <w:r w:rsidRPr="000C612E">
        <w:t>Comprehensive Communication Intervention for Minimally Verbal Children with Autism</w:t>
      </w:r>
      <w:r>
        <w:t>’</w:t>
      </w:r>
      <w:r w:rsidR="001C20B1">
        <w:t xml:space="preserve"> (</w:t>
      </w:r>
      <w:r w:rsidR="005C2BB8">
        <w:t>Clinicaltrialsgov, 2019</w:t>
      </w:r>
      <w:r w:rsidR="001C20B1">
        <w:t xml:space="preserve">). </w:t>
      </w:r>
    </w:p>
    <w:p w14:paraId="228036E5" w14:textId="5B2E05DB" w:rsidR="00111867" w:rsidRPr="00F44D91" w:rsidRDefault="00111867" w:rsidP="00F44D91">
      <w:pPr>
        <w:pStyle w:val="Heading2"/>
        <w:rPr>
          <w:sz w:val="32"/>
          <w:szCs w:val="32"/>
        </w:rPr>
      </w:pPr>
      <w:r>
        <w:t>Teaching strategy 3 – Differentiation</w:t>
      </w:r>
    </w:p>
    <w:p w14:paraId="758C7311" w14:textId="066E54AA" w:rsidR="000C3912" w:rsidRDefault="008A2F4E" w:rsidP="000C0070">
      <w:r>
        <w:t>Appendix 3 identifies how</w:t>
      </w:r>
      <w:r w:rsidR="000C0070">
        <w:t xml:space="preserve"> Child A </w:t>
      </w:r>
      <w:r>
        <w:t>requires</w:t>
      </w:r>
      <w:r w:rsidR="000C0070">
        <w:t xml:space="preserve"> tasks that are matched specifically to his concentration span and existing knowledge. This encompasses the idea of differentiation in the classroom, meaning w</w:t>
      </w:r>
      <w:r w:rsidR="00111867" w:rsidRPr="00111867">
        <w:t xml:space="preserve">ork tasks for learners are developed with the cognitive ability of the learning in mind; teachers accommodate for the differences in children’s readiness to learn, interests and learning profiles (Tomlinson, 2005). The idea of differentiation was born from a range of learning theories from hugely influential </w:t>
      </w:r>
      <w:r w:rsidR="000C3912">
        <w:t>constructivist theorists including</w:t>
      </w:r>
      <w:r w:rsidR="00111867" w:rsidRPr="00111867">
        <w:t xml:space="preserve"> Dewey, Vygotsky, Piaget, Gar</w:t>
      </w:r>
      <w:r w:rsidR="000C3912">
        <w:t>dner and Sternberg (</w:t>
      </w:r>
      <w:r w:rsidR="00A85A08">
        <w:t>Bathorpe T and Visser J, 1991</w:t>
      </w:r>
      <w:r w:rsidR="000C3912">
        <w:t>).</w:t>
      </w:r>
      <w:r w:rsidR="000C3912" w:rsidRPr="000C3912">
        <w:t xml:space="preserve"> Constructivists believe that people actively make their own knowledge and that their reality is determined by their life experiences (Elliot et al., 2000); i.e. meaning is influenced by the interaction of prior knowledge and new events. Constructivism promotes the learner taking control and having ownership of their own learning and assessment; this is where the idea of ‘pupil voice’, the practice of taking into account the learners’ interests and asking them what they would like to learn, comes from (Fox, 2001). However, the biggest disadvantage of constructivism can be identified as its lack of structure, as some learners, particularly in the case of Child A, require highly structured learning environments to be able to reach their full potential (Fox, 2001).</w:t>
      </w:r>
      <w:r w:rsidR="000C3912">
        <w:t xml:space="preserve"> Constructivism describes the idea of all knowledge being personal to an individual learner; each learner has an individual point of view that is based on their own existing knowledge and person values. This means that learners sat in the same lesson or working on the same activity may all take different things from it and the learning process and outcome is different for each </w:t>
      </w:r>
      <w:r w:rsidR="003C5C3D">
        <w:t xml:space="preserve">individual in a class or group (Fox, 2001). </w:t>
      </w:r>
    </w:p>
    <w:p w14:paraId="01C9F3F1" w14:textId="77777777" w:rsidR="00F44D91" w:rsidRDefault="00111867" w:rsidP="00F44D91">
      <w:r w:rsidRPr="00111867">
        <w:t>Dewey developed the idea of ‘experiential learning’ and began to explore the concept that all children do not learn in the same way and should be allowed to have an active role in their own learning. It was Vygotsky who first studied the social aspects of learning in developing his Social Learning Theory (</w:t>
      </w:r>
      <w:r w:rsidR="00AD6FB6">
        <w:t>Vygotsky, 1978</w:t>
      </w:r>
      <w:r w:rsidRPr="00111867">
        <w:t>). He described how teachers should consider where the child’s current level of mastery of a skill is, and only improve the difficulty of skills being taught when the child is ready. This links directly to Vygotsky’s zone of proximal development, where he explains that children are capable of learning without support but can achieve more and move forward in their learning when interacting with and receiving guidance and support from a ‘more kno</w:t>
      </w:r>
      <w:r w:rsidR="00CE414D">
        <w:t>wledgeable other’, i.e. a teacher or older/more experienced peer (</w:t>
      </w:r>
      <w:r w:rsidR="00AD6FB6">
        <w:t>Vygotsky, 1978</w:t>
      </w:r>
      <w:r w:rsidR="00CE414D">
        <w:t xml:space="preserve">). </w:t>
      </w:r>
      <w:r w:rsidR="00C20D16">
        <w:t xml:space="preserve">Piaget, however, did not originally explicitly relate his theories to education, although it has since been hugely influential in education development, most notably his research led to the publication of the Plowden report (1967). Piaget’s theory was based on the idea that each child has a ‘schema’ for each experience that allows them to apply previous knowledge to a current situation or learning experience. Piaget’s theory also explains how teachers should evaluate the level of a child’s development in order to ensure </w:t>
      </w:r>
      <w:r w:rsidR="00327C0A">
        <w:t>that suitable tasks can be set (</w:t>
      </w:r>
      <w:r w:rsidR="00AD6FB6">
        <w:t>Piaget, 1936</w:t>
      </w:r>
      <w:r w:rsidR="00327C0A">
        <w:t>).</w:t>
      </w:r>
      <w:r w:rsidR="003D1598">
        <w:t xml:space="preserve"> Within Appendix 3, it is recommended that Child A should be provided with a highly structured programme of work in basic literacy and numeracy that will be multi-sensory. This idea of incorporating a range of senses and methods into teaching stems from Gardner’s research into ‘multiple intelligences’ (</w:t>
      </w:r>
      <w:r w:rsidR="00C404CF">
        <w:t>Gardner, 2011</w:t>
      </w:r>
      <w:r w:rsidR="003D1598">
        <w:t>).</w:t>
      </w:r>
      <w:r w:rsidR="00327C0A">
        <w:t xml:space="preserve"> </w:t>
      </w:r>
      <w:r w:rsidR="009D782C">
        <w:t xml:space="preserve">The key concepts of </w:t>
      </w:r>
      <w:r w:rsidR="009D782C">
        <w:lastRenderedPageBreak/>
        <w:t>Gardner’s theory of multiple intelligences states that there are at least seven ways, or ‘intelligences’, that people can learn and understand the world, including logical-mathematical, visual-spatial and body-kinaesthetic, among others.</w:t>
      </w:r>
      <w:r w:rsidR="005830CF">
        <w:t xml:space="preserve"> </w:t>
      </w:r>
    </w:p>
    <w:p w14:paraId="7E9DF20D" w14:textId="0D72C68F" w:rsidR="00111867" w:rsidRDefault="00111867" w:rsidP="00F44D91">
      <w:pPr>
        <w:pStyle w:val="Heading2"/>
      </w:pPr>
      <w:r>
        <w:t xml:space="preserve">Outside agencies </w:t>
      </w:r>
    </w:p>
    <w:p w14:paraId="60D7A63A" w14:textId="08BA2B68" w:rsidR="006D41BA" w:rsidRDefault="00B131CF">
      <w:r>
        <w:t>Child A has had regular input from the Speech and Language Therapy (SALT) service throughout his schooling</w:t>
      </w:r>
      <w:r w:rsidR="006D41BA">
        <w:t xml:space="preserve"> (see Appendix 1</w:t>
      </w:r>
      <w:r w:rsidR="005E5E61">
        <w:t>) but</w:t>
      </w:r>
      <w:r>
        <w:t xml:space="preserve"> is now discharged due to his </w:t>
      </w:r>
      <w:r w:rsidR="006D41BA">
        <w:t xml:space="preserve">significant </w:t>
      </w:r>
      <w:r>
        <w:t xml:space="preserve">progress. He began receiving input due to a physical problem with his pallet that required surgery. He received specific therapy on speech production, i.e. forming specific sounds including ‘b’, ‘t’ and ‘m’ through a range of activities. </w:t>
      </w:r>
    </w:p>
    <w:p w14:paraId="04219E52" w14:textId="4371E8C5" w:rsidR="000E2B16" w:rsidRDefault="006D41BA">
      <w:r>
        <w:t>Child A also received SALT in</w:t>
      </w:r>
      <w:r w:rsidR="00E1018E">
        <w:t>put for his functional language (see Appendix 1). Child A’s functional language skills are in line with his diagnosis of ASD. He is able to use simple sentences and is beginning to show awareness of social language and participat</w:t>
      </w:r>
      <w:r w:rsidR="008B789A">
        <w:t>e in conversation. Vygotsky’s theory of language helps to identify that this stage of language is present in ‘neuro-typical’ children from the age of two, which is where Child A can be identified as at during the time of this report according to Piaget’s child development stages (</w:t>
      </w:r>
      <w:r w:rsidR="00B0385A">
        <w:t>Piaget, 195</w:t>
      </w:r>
      <w:r w:rsidR="0019729B">
        <w:t>7</w:t>
      </w:r>
      <w:r w:rsidR="008B789A">
        <w:t xml:space="preserve">). </w:t>
      </w:r>
    </w:p>
    <w:p w14:paraId="4C83C8EC" w14:textId="55F68FDA" w:rsidR="00F4225F" w:rsidRDefault="000E2B16" w:rsidP="00F4225F">
      <w:r>
        <w:t>Vygotsky’s theory of language development explains that children develop language skills through social interactions. Vygotsky viewed language as a great tool that is used for communicating with ones outside world (</w:t>
      </w:r>
      <w:r w:rsidR="00D72FE2">
        <w:t>Vygotsky, 1962</w:t>
      </w:r>
      <w:r>
        <w:t>). Vygotsky’s theory differentiates between three forms of language; social speech</w:t>
      </w:r>
      <w:r w:rsidR="004541BC">
        <w:t>,</w:t>
      </w:r>
      <w:r>
        <w:t xml:space="preserve"> which is used to communicate with others, private speech</w:t>
      </w:r>
      <w:r w:rsidR="004541BC">
        <w:t>,</w:t>
      </w:r>
      <w:r>
        <w:t xml:space="preserve"> which is used to communicate with the self, and inner speech</w:t>
      </w:r>
      <w:r w:rsidR="004541BC">
        <w:t>,</w:t>
      </w:r>
      <w:r>
        <w:t xml:space="preserve"> which happens when private speech becomes a self-regulating function and is no longer audible (</w:t>
      </w:r>
      <w:r w:rsidR="0019729B">
        <w:t>Vygotsky, 1962</w:t>
      </w:r>
      <w:r>
        <w:t xml:space="preserve">). </w:t>
      </w:r>
      <w:r w:rsidR="00B25F5B">
        <w:t>Child A can be identified as using private speech as he is observed to use language spontaneously</w:t>
      </w:r>
      <w:r w:rsidR="00266CEB">
        <w:t xml:space="preserve"> and it is often self-directed (see Appendix 1). </w:t>
      </w:r>
      <w:r w:rsidR="00BE075D">
        <w:t>Vygotsky explains that private speech is very important as he considered it the point of transition between social speech and inner speech, where language unites with thought (</w:t>
      </w:r>
      <w:r w:rsidR="006D739E">
        <w:t>Vygotsky, 1962</w:t>
      </w:r>
      <w:r w:rsidR="00BE075D">
        <w:t xml:space="preserve">). Piaget’s idea of private speech is, however, different in many ways. Piaget (1956) </w:t>
      </w:r>
      <w:r w:rsidR="00CB226D">
        <w:t>identified that between the ages of 2 and 7 years, children are in the ‘pre-operational’ period of development, and make rapid progress during this time. He explains that the development of their schemes helps them to quickly pick up new single words and begin to associate them to build sentences. Piaget’s theory describes language as ‘symbolic’, allowing them to begin to move past the present and explore the past, future, people, events and emotions (</w:t>
      </w:r>
      <w:r w:rsidR="0019729B">
        <w:t>Piaget, 1959</w:t>
      </w:r>
      <w:r w:rsidR="00CB226D">
        <w:t>). Child A can be identified as being in this stage of language development despite his age due to his ASD diagnosis. He is able to use some symbolic language</w:t>
      </w:r>
      <w:r w:rsidR="00237877">
        <w:t xml:space="preserve"> through play</w:t>
      </w:r>
      <w:r w:rsidR="00CB226D">
        <w:t xml:space="preserve"> but is not fully developed in this area </w:t>
      </w:r>
      <w:r w:rsidR="00875730">
        <w:t>as his language</w:t>
      </w:r>
      <w:r w:rsidR="00237877">
        <w:t xml:space="preserve"> is still mostly self-directed </w:t>
      </w:r>
      <w:r w:rsidR="00237877" w:rsidRPr="00237877">
        <w:t>(see Appendix 1)</w:t>
      </w:r>
      <w:r w:rsidR="00237877">
        <w:t xml:space="preserve">. </w:t>
      </w:r>
    </w:p>
    <w:p w14:paraId="1D09D66C" w14:textId="20C44C47" w:rsidR="00111867" w:rsidRDefault="00C9600A" w:rsidP="00111867">
      <w:r>
        <w:t>Communication and language development in children with ASD continues to be an area of interest for researchers</w:t>
      </w:r>
      <w:r w:rsidR="004F0786">
        <w:t xml:space="preserve">. For example, there is ongoing </w:t>
      </w:r>
      <w:r w:rsidR="00150701">
        <w:t xml:space="preserve">research </w:t>
      </w:r>
      <w:r w:rsidR="004F0786">
        <w:t>that asks how parents can affect the results of different types of language therapies for children with ASD (</w:t>
      </w:r>
      <w:r w:rsidR="00E405C4">
        <w:t>Clinicaltrialsgov, 2019</w:t>
      </w:r>
      <w:r w:rsidR="004F0786">
        <w:t>). There is also research ongoing into enhanced ways to improve the communication between children with and without ASD; i.e. through verbal and non-verbal means, such as using symbols</w:t>
      </w:r>
      <w:r w:rsidR="00AF0EC5">
        <w:t xml:space="preserve"> (</w:t>
      </w:r>
      <w:r w:rsidR="00E405C4">
        <w:t>Clinicaltrialsgov, 2019</w:t>
      </w:r>
      <w:r w:rsidR="00AF0EC5">
        <w:t>)</w:t>
      </w:r>
      <w:r w:rsidR="004F0786">
        <w:t>. There is also ongoing development of software to help people with ASD who struggle with speech to communicate thoughts and feelings, and i</w:t>
      </w:r>
      <w:r w:rsidR="00AF0EC5">
        <w:t>nteract effectively in society (</w:t>
      </w:r>
      <w:r w:rsidR="00E405C4">
        <w:t>Clinicaltrialsgov, 2019</w:t>
      </w:r>
      <w:r w:rsidR="00AF0EC5">
        <w:t xml:space="preserve">). </w:t>
      </w:r>
    </w:p>
    <w:p w14:paraId="7BE23EC5" w14:textId="204EE661" w:rsidR="00521574" w:rsidRDefault="00CB507C">
      <w:pPr>
        <w:rPr>
          <w:rFonts w:asciiTheme="majorHAnsi" w:eastAsiaTheme="majorEastAsia" w:hAnsiTheme="majorHAnsi" w:cstheme="majorBidi"/>
          <w:color w:val="2F5496" w:themeColor="accent1" w:themeShade="BF"/>
          <w:sz w:val="32"/>
          <w:szCs w:val="32"/>
        </w:rPr>
      </w:pPr>
      <w:r>
        <w:t xml:space="preserve">In conclusion, it is clear from the evidence provided (see appendices) that strategies used in working with Child A have been developed as a result of a combination of various learning theories. These include those of Vygotsky, Piaget, Bandura and Gardner. Teaching strategies including differentiation, behaviour management through structure and positive reinforcement, and teacher modelling have all had positive impacts on the overall development of Child A, both academically </w:t>
      </w:r>
      <w:r>
        <w:lastRenderedPageBreak/>
        <w:t>and socially. It is also clear through research that studies continue to investigate the effectiveness of these strategies, among others</w:t>
      </w:r>
      <w:r w:rsidR="00E03EBF">
        <w:t>,</w:t>
      </w:r>
      <w:r>
        <w:t xml:space="preserve"> i.e. SALT, </w:t>
      </w:r>
      <w:r w:rsidR="00E03EBF">
        <w:t>with a wide range of outcomes</w:t>
      </w:r>
      <w:r w:rsidR="00DE295B">
        <w:t>. Creating a case study has allowed the researcher to conclude that</w:t>
      </w:r>
      <w:r w:rsidR="00B87B58">
        <w:t xml:space="preserve"> the identified teaching strategies have their respective strengths and weaknesses in terms of effectiveness on the development of Child A, but combined have allowed Child A to make significant progress throughout his time in school so far, and will continue to allow him to progress in the future. </w:t>
      </w:r>
      <w:r w:rsidR="00521574">
        <w:br w:type="page"/>
      </w:r>
    </w:p>
    <w:p w14:paraId="0A805EFE" w14:textId="604616B6" w:rsidR="00521574" w:rsidRPr="00521574" w:rsidRDefault="00521574" w:rsidP="00521574">
      <w:pPr>
        <w:pStyle w:val="Heading1"/>
      </w:pPr>
      <w:r>
        <w:lastRenderedPageBreak/>
        <w:t>References</w:t>
      </w:r>
    </w:p>
    <w:p w14:paraId="33053495" w14:textId="77777777" w:rsidR="007E1BEE" w:rsidRPr="007E1BEE" w:rsidRDefault="007E1BEE" w:rsidP="007E464C">
      <w:pPr>
        <w:rPr>
          <w:color w:val="000000"/>
          <w:shd w:val="clear" w:color="auto" w:fill="FFFFFF"/>
        </w:rPr>
      </w:pPr>
      <w:r w:rsidRPr="007E1BEE">
        <w:rPr>
          <w:color w:val="000000"/>
          <w:shd w:val="clear" w:color="auto" w:fill="FFFFFF"/>
        </w:rPr>
        <w:t>Bandura, A. (1977).</w:t>
      </w:r>
      <w:r w:rsidRPr="007E1BEE">
        <w:rPr>
          <w:rStyle w:val="Emphasis"/>
          <w:color w:val="000000"/>
        </w:rPr>
        <w:t xml:space="preserve"> Social learning theory</w:t>
      </w:r>
      <w:r w:rsidRPr="007E1BEE">
        <w:rPr>
          <w:color w:val="000000"/>
          <w:shd w:val="clear" w:color="auto" w:fill="FFFFFF"/>
        </w:rPr>
        <w:t>. Englewood Cliffs, NJ: Prentice Hall.</w:t>
      </w:r>
    </w:p>
    <w:p w14:paraId="69BF0228" w14:textId="77777777" w:rsidR="007E1BEE" w:rsidRPr="007E1BEE" w:rsidRDefault="007E1BEE" w:rsidP="007E464C">
      <w:r w:rsidRPr="007E1BEE">
        <w:t>Barthorpe, T., and Visser, J., (1991) Differentiation: Your Responsibility. Stafford: Nare</w:t>
      </w:r>
    </w:p>
    <w:p w14:paraId="5FC2A40D" w14:textId="77777777" w:rsidR="007E1BEE" w:rsidRPr="007E1BEE" w:rsidRDefault="007E1BEE" w:rsidP="007E464C">
      <w:pPr>
        <w:rPr>
          <w:rFonts w:cs="Segoe UI"/>
          <w:color w:val="212529"/>
        </w:rPr>
      </w:pPr>
      <w:r w:rsidRPr="007E1BEE">
        <w:rPr>
          <w:rFonts w:cs="Segoe UI"/>
          <w:color w:val="212529"/>
        </w:rPr>
        <w:t>Clinicaltrialsgov.</w:t>
      </w:r>
      <w:r w:rsidRPr="007E1BEE">
        <w:rPr>
          <w:rFonts w:cs="Segoe UI"/>
          <w:color w:val="212529"/>
          <w:shd w:val="clear" w:color="auto" w:fill="FFFFFF"/>
        </w:rPr>
        <w:t xml:space="preserve"> </w:t>
      </w:r>
      <w:r w:rsidRPr="007E1BEE">
        <w:rPr>
          <w:rFonts w:cs="Segoe UI"/>
          <w:color w:val="212529"/>
        </w:rPr>
        <w:t>2019.</w:t>
      </w:r>
      <w:r w:rsidRPr="007E1BEE">
        <w:rPr>
          <w:rFonts w:cs="Segoe UI"/>
          <w:color w:val="212529"/>
          <w:shd w:val="clear" w:color="auto" w:fill="FFFFFF"/>
        </w:rPr>
        <w:t xml:space="preserve"> </w:t>
      </w:r>
      <w:r w:rsidRPr="007E1BEE">
        <w:rPr>
          <w:rFonts w:cs="Segoe UI"/>
          <w:color w:val="212529"/>
        </w:rPr>
        <w:t>Clinicaltrialsgov.</w:t>
      </w:r>
      <w:r w:rsidRPr="007E1BEE">
        <w:rPr>
          <w:rFonts w:cs="Segoe UI"/>
          <w:color w:val="212529"/>
          <w:shd w:val="clear" w:color="auto" w:fill="FFFFFF"/>
        </w:rPr>
        <w:t xml:space="preserve"> </w:t>
      </w:r>
      <w:r w:rsidRPr="007E1BEE">
        <w:rPr>
          <w:rFonts w:cs="Segoe UI"/>
          <w:color w:val="212529"/>
        </w:rPr>
        <w:t>[Online].</w:t>
      </w:r>
      <w:r w:rsidRPr="007E1BEE">
        <w:rPr>
          <w:rFonts w:cs="Segoe UI"/>
          <w:color w:val="212529"/>
          <w:shd w:val="clear" w:color="auto" w:fill="FFFFFF"/>
        </w:rPr>
        <w:t xml:space="preserve"> </w:t>
      </w:r>
      <w:r w:rsidRPr="007E1BEE">
        <w:rPr>
          <w:rFonts w:cs="Segoe UI"/>
          <w:color w:val="212529"/>
        </w:rPr>
        <w:t>[8 September 2019].</w:t>
      </w:r>
      <w:r w:rsidRPr="007E1BEE">
        <w:rPr>
          <w:rFonts w:cs="Segoe UI"/>
          <w:color w:val="212529"/>
          <w:shd w:val="clear" w:color="auto" w:fill="FFFFFF"/>
        </w:rPr>
        <w:t xml:space="preserve"> </w:t>
      </w:r>
      <w:r w:rsidRPr="007E1BEE">
        <w:rPr>
          <w:rFonts w:cs="Segoe UI"/>
          <w:color w:val="212529"/>
        </w:rPr>
        <w:t xml:space="preserve">Available from: </w:t>
      </w:r>
      <w:hyperlink r:id="rId6" w:history="1">
        <w:r w:rsidRPr="007E1BEE">
          <w:rPr>
            <w:rStyle w:val="Hyperlink"/>
            <w:rFonts w:cs="Segoe UI"/>
          </w:rPr>
          <w:t>https://clinicaltrials.gov/ct2/results?term=behaviour</w:t>
        </w:r>
      </w:hyperlink>
    </w:p>
    <w:p w14:paraId="491C79AA" w14:textId="77777777" w:rsidR="007E1BEE" w:rsidRPr="007E1BEE" w:rsidRDefault="007E1BEE" w:rsidP="007E464C">
      <w:pPr>
        <w:rPr>
          <w:color w:val="333333"/>
          <w:shd w:val="clear" w:color="auto" w:fill="FFFFFF"/>
        </w:rPr>
      </w:pPr>
      <w:r w:rsidRPr="007E1BEE">
        <w:t xml:space="preserve">Dewey - </w:t>
      </w:r>
      <w:r w:rsidRPr="007E1BEE">
        <w:rPr>
          <w:color w:val="333333"/>
          <w:shd w:val="clear" w:color="auto" w:fill="FFFFFF"/>
        </w:rPr>
        <w:t xml:space="preserve">Dewey, J. (2011) </w:t>
      </w:r>
      <w:r w:rsidRPr="007E1BEE">
        <w:rPr>
          <w:i/>
          <w:iCs/>
          <w:color w:val="333333"/>
          <w:bdr w:val="none" w:sz="0" w:space="0" w:color="auto" w:frame="1"/>
        </w:rPr>
        <w:t xml:space="preserve">Democracy and Education. </w:t>
      </w:r>
      <w:r w:rsidRPr="007E1BEE">
        <w:rPr>
          <w:color w:val="333333"/>
          <w:shd w:val="clear" w:color="auto" w:fill="FFFFFF"/>
        </w:rPr>
        <w:t>Milton Keynes: Simon and Brown.</w:t>
      </w:r>
    </w:p>
    <w:p w14:paraId="64743AA9" w14:textId="77777777" w:rsidR="007E1BEE" w:rsidRPr="007E1BEE" w:rsidRDefault="007E1BEE" w:rsidP="007E464C">
      <w:r w:rsidRPr="007E1BEE">
        <w:t>Elliott, S.N., Kratochwill, T.R., Littlefield Cook, J. &amp; Travers, J. (2000). Educational psychology: Effective teaching, effective learning (3rd ed.). Boston, MA: McGraw-Hill College.</w:t>
      </w:r>
    </w:p>
    <w:p w14:paraId="59FB3F4F" w14:textId="77777777" w:rsidR="007E1BEE" w:rsidRPr="007E1BEE" w:rsidRDefault="007E1BEE" w:rsidP="007E464C">
      <w:r w:rsidRPr="007E1BEE">
        <w:rPr>
          <w:rFonts w:cs="Arial"/>
          <w:color w:val="333333"/>
          <w:shd w:val="clear" w:color="auto" w:fill="FFFFFF"/>
        </w:rPr>
        <w:t xml:space="preserve">Fox, Richard. “Constructivism Examined.” </w:t>
      </w:r>
      <w:r w:rsidRPr="007E1BEE">
        <w:rPr>
          <w:rFonts w:cs="Arial"/>
          <w:i/>
          <w:iCs/>
          <w:color w:val="333333"/>
        </w:rPr>
        <w:t>Oxford Review of Education</w:t>
      </w:r>
      <w:r w:rsidRPr="007E1BEE">
        <w:rPr>
          <w:rFonts w:cs="Arial"/>
          <w:color w:val="333333"/>
          <w:shd w:val="clear" w:color="auto" w:fill="FFFFFF"/>
        </w:rPr>
        <w:t xml:space="preserve">, vol. 27, no. 1, 2001, pp. 23–35. </w:t>
      </w:r>
      <w:r w:rsidRPr="007E1BEE">
        <w:rPr>
          <w:rFonts w:cs="Arial"/>
          <w:i/>
          <w:iCs/>
          <w:color w:val="333333"/>
        </w:rPr>
        <w:t>JSTOR</w:t>
      </w:r>
      <w:r w:rsidRPr="007E1BEE">
        <w:rPr>
          <w:rFonts w:cs="Arial"/>
          <w:color w:val="333333"/>
          <w:shd w:val="clear" w:color="auto" w:fill="FFFFFF"/>
        </w:rPr>
        <w:t>, www.jstor.org/stable/1050991.</w:t>
      </w:r>
    </w:p>
    <w:p w14:paraId="16B89258" w14:textId="77777777" w:rsidR="007E1BEE" w:rsidRPr="007E1BEE" w:rsidRDefault="007E1BEE" w:rsidP="007E464C">
      <w:pPr>
        <w:rPr>
          <w:color w:val="424B52"/>
          <w:shd w:val="clear" w:color="auto" w:fill="FFFFFF"/>
        </w:rPr>
      </w:pPr>
      <w:r w:rsidRPr="007E1BEE">
        <w:rPr>
          <w:color w:val="424B52"/>
          <w:shd w:val="clear" w:color="auto" w:fill="FFFFFF"/>
        </w:rPr>
        <w:t>Gardner, H. (2011). Frames of mind: The theory of multiple intelligences. Basic books.</w:t>
      </w:r>
    </w:p>
    <w:p w14:paraId="41D2E8E0" w14:textId="77777777" w:rsidR="007E1BEE" w:rsidRPr="007E1BEE" w:rsidRDefault="007E1BEE" w:rsidP="007E464C">
      <w:r w:rsidRPr="007E1BEE">
        <w:t>Hayes, N. (2000) Doing Psychological Research. Gathering and analysing data. Buckingham: Open University Press.</w:t>
      </w:r>
    </w:p>
    <w:p w14:paraId="533CA7F9" w14:textId="77777777" w:rsidR="007E1BEE" w:rsidRPr="007E1BEE" w:rsidRDefault="00F20B2A" w:rsidP="007E464C">
      <w:hyperlink r:id="rId7" w:history="1">
        <w:r w:rsidR="007E1BEE" w:rsidRPr="007E1BEE">
          <w:rPr>
            <w:rStyle w:val="Hyperlink"/>
          </w:rPr>
          <w:t>https://www.nidcd.nih.gov/health/autism-spectrum-disorder-communication-problems-children</w:t>
        </w:r>
      </w:hyperlink>
    </w:p>
    <w:p w14:paraId="5904EA0D" w14:textId="77777777" w:rsidR="007E1BEE" w:rsidRPr="007E1BEE" w:rsidRDefault="007E1BEE" w:rsidP="007E464C">
      <w:pPr>
        <w:rPr>
          <w:color w:val="424B52"/>
          <w:shd w:val="clear" w:color="auto" w:fill="FFFFFF"/>
        </w:rPr>
      </w:pPr>
      <w:r w:rsidRPr="007E1BEE">
        <w:rPr>
          <w:color w:val="424B52"/>
          <w:shd w:val="clear" w:color="auto" w:fill="FFFFFF"/>
        </w:rPr>
        <w:t xml:space="preserve">Huitt, W. (2001). Humanism and open education. Educational Psychology Interactive. Valdosta, GA: Valdosta State University. Retrieved September 11, 2007, from the URL: </w:t>
      </w:r>
      <w:hyperlink r:id="rId8" w:history="1">
        <w:r w:rsidRPr="007E1BEE">
          <w:rPr>
            <w:rStyle w:val="Hyperlink"/>
            <w:shd w:val="clear" w:color="auto" w:fill="FFFFFF"/>
          </w:rPr>
          <w:t>http://chiron.valdosta.edu/whuitt/col/affsys/humed.html</w:t>
        </w:r>
      </w:hyperlink>
      <w:r w:rsidRPr="007E1BEE">
        <w:rPr>
          <w:color w:val="424B52"/>
          <w:shd w:val="clear" w:color="auto" w:fill="FFFFFF"/>
        </w:rPr>
        <w:t>.</w:t>
      </w:r>
    </w:p>
    <w:p w14:paraId="2C93D276" w14:textId="694C7F60" w:rsidR="007E1BEE" w:rsidRPr="007E1BEE" w:rsidRDefault="007E1BEE" w:rsidP="007E464C">
      <w:r w:rsidRPr="007E1BEE">
        <w:rPr>
          <w:color w:val="000000"/>
        </w:rPr>
        <w:t xml:space="preserve">Kasari, C., Brady, N., Lord, C., &amp; Tager-Flusberg, H. (2013). </w:t>
      </w:r>
      <w:hyperlink r:id="rId9" w:history="1">
        <w:r w:rsidRPr="007E1BEE">
          <w:rPr>
            <w:rStyle w:val="Hyperlink"/>
            <w:color w:val="0066CC"/>
          </w:rPr>
          <w:t>Assessing the minimally verbal school-aged child with autism spectrum disorder.</w:t>
        </w:r>
      </w:hyperlink>
      <w:r w:rsidRPr="007E1BEE">
        <w:rPr>
          <w:color w:val="000000"/>
        </w:rPr>
        <w:t xml:space="preserve"> Autism Research, 6(6), 479–493. doi: 10.1002/aur.1334. Review.</w:t>
      </w:r>
    </w:p>
    <w:p w14:paraId="3DFDB543" w14:textId="77777777" w:rsidR="007E1BEE" w:rsidRPr="007E1BEE" w:rsidRDefault="007E1BEE" w:rsidP="007E464C">
      <w:r w:rsidRPr="007E1BEE">
        <w:rPr>
          <w:color w:val="000000"/>
          <w:shd w:val="clear" w:color="auto" w:fill="FFFFFF"/>
        </w:rPr>
        <w:t xml:space="preserve">Maslow, A. H. (1962). </w:t>
      </w:r>
      <w:r w:rsidRPr="007E1BEE">
        <w:rPr>
          <w:rStyle w:val="Emphasis"/>
          <w:color w:val="000000"/>
        </w:rPr>
        <w:t>Toward a psychology of being</w:t>
      </w:r>
      <w:r w:rsidRPr="007E1BEE">
        <w:rPr>
          <w:color w:val="000000"/>
          <w:shd w:val="clear" w:color="auto" w:fill="FFFFFF"/>
        </w:rPr>
        <w:t>. Princeton: D. Van Nostrand Company.</w:t>
      </w:r>
    </w:p>
    <w:p w14:paraId="491F8E40" w14:textId="77777777" w:rsidR="007E1BEE" w:rsidRPr="007E1BEE" w:rsidRDefault="007E1BEE" w:rsidP="007E464C">
      <w:r w:rsidRPr="007E1BEE">
        <w:t xml:space="preserve">Piaget, J. (1936) </w:t>
      </w:r>
      <w:r w:rsidRPr="007E1BEE">
        <w:rPr>
          <w:i/>
          <w:iCs/>
        </w:rPr>
        <w:t xml:space="preserve">Origins of intelligence in the child. </w:t>
      </w:r>
      <w:r w:rsidRPr="007E1BEE">
        <w:t>London: Routledge &amp; Kegan Paul.</w:t>
      </w:r>
    </w:p>
    <w:p w14:paraId="5AA10EF5" w14:textId="77777777" w:rsidR="007E1BEE" w:rsidRPr="007E1BEE" w:rsidRDefault="007E1BEE" w:rsidP="007E464C">
      <w:pPr>
        <w:pStyle w:val="NormalWeb"/>
        <w:spacing w:before="0" w:beforeAutospacing="0" w:after="216" w:afterAutospacing="0"/>
        <w:rPr>
          <w:rFonts w:asciiTheme="minorHAnsi" w:hAnsiTheme="minorHAnsi"/>
          <w:color w:val="000000"/>
          <w:sz w:val="22"/>
          <w:szCs w:val="22"/>
        </w:rPr>
      </w:pPr>
      <w:r w:rsidRPr="007E1BEE">
        <w:rPr>
          <w:rFonts w:asciiTheme="minorHAnsi" w:hAnsiTheme="minorHAnsi"/>
          <w:color w:val="000000"/>
          <w:sz w:val="22"/>
          <w:szCs w:val="22"/>
        </w:rPr>
        <w:t xml:space="preserve">Tager-Flusberg, H., &amp; Kasari, C. (2013). </w:t>
      </w:r>
      <w:hyperlink r:id="rId10" w:history="1">
        <w:r w:rsidRPr="007E1BEE">
          <w:rPr>
            <w:rStyle w:val="Hyperlink"/>
            <w:rFonts w:asciiTheme="minorHAnsi" w:eastAsiaTheme="majorEastAsia" w:hAnsiTheme="minorHAnsi"/>
            <w:color w:val="0066CC"/>
            <w:sz w:val="22"/>
            <w:szCs w:val="22"/>
          </w:rPr>
          <w:t>Minimally verbal school-aged children with autism spectrum disorder: the neglected end of the spectrum.</w:t>
        </w:r>
      </w:hyperlink>
      <w:r w:rsidRPr="007E1BEE">
        <w:rPr>
          <w:rFonts w:asciiTheme="minorHAnsi" w:hAnsiTheme="minorHAnsi"/>
          <w:color w:val="000000"/>
          <w:sz w:val="22"/>
          <w:szCs w:val="22"/>
        </w:rPr>
        <w:t xml:space="preserve"> Autism Research, 6(6), 468–478. doi: 10.1002/aur.1329. Review.</w:t>
      </w:r>
    </w:p>
    <w:p w14:paraId="6FC7A172" w14:textId="596E8E4F" w:rsidR="007E1BEE" w:rsidRPr="007E1BEE" w:rsidRDefault="007E1BEE" w:rsidP="007E464C">
      <w:r w:rsidRPr="007E1BEE">
        <w:t>Tomlinson, C., 2005. Differentiating Instruction: Why Bother? Middle Ground, Vol 9, Num 1, 12 - 13.</w:t>
      </w:r>
    </w:p>
    <w:p w14:paraId="58898773" w14:textId="77777777" w:rsidR="007E1BEE" w:rsidRPr="007E1BEE" w:rsidRDefault="007E1BEE" w:rsidP="007E464C">
      <w:pPr>
        <w:rPr>
          <w:color w:val="000000"/>
          <w:shd w:val="clear" w:color="auto" w:fill="FFFFFF"/>
        </w:rPr>
      </w:pPr>
      <w:r w:rsidRPr="007E1BEE">
        <w:rPr>
          <w:color w:val="000000"/>
          <w:shd w:val="clear" w:color="auto" w:fill="FFFFFF"/>
        </w:rPr>
        <w:t xml:space="preserve">Vygotsky, L. S. (1978). </w:t>
      </w:r>
      <w:hyperlink r:id="rId11" w:history="1">
        <w:r w:rsidRPr="007E1BEE">
          <w:rPr>
            <w:rStyle w:val="Hyperlink"/>
            <w:i/>
            <w:iCs/>
            <w:color w:val="337AB7"/>
          </w:rPr>
          <w:t>Mind in society: The development of higher psychological processes</w:t>
        </w:r>
      </w:hyperlink>
      <w:r w:rsidRPr="007E1BEE">
        <w:rPr>
          <w:color w:val="000000"/>
          <w:shd w:val="clear" w:color="auto" w:fill="FFFFFF"/>
        </w:rPr>
        <w:t>. Cambridge, MA: Harvard University Press.</w:t>
      </w:r>
    </w:p>
    <w:sectPr w:rsidR="007E1BEE" w:rsidRPr="007E1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530"/>
    <w:rsid w:val="000322DC"/>
    <w:rsid w:val="000323F7"/>
    <w:rsid w:val="0006588E"/>
    <w:rsid w:val="0009456A"/>
    <w:rsid w:val="000C0070"/>
    <w:rsid w:val="000C3912"/>
    <w:rsid w:val="000C612E"/>
    <w:rsid w:val="000E2B16"/>
    <w:rsid w:val="00111867"/>
    <w:rsid w:val="00135B73"/>
    <w:rsid w:val="001429AD"/>
    <w:rsid w:val="00150701"/>
    <w:rsid w:val="00193234"/>
    <w:rsid w:val="00196613"/>
    <w:rsid w:val="0019729B"/>
    <w:rsid w:val="001C20B1"/>
    <w:rsid w:val="001C4790"/>
    <w:rsid w:val="001D7036"/>
    <w:rsid w:val="00202D1C"/>
    <w:rsid w:val="00237877"/>
    <w:rsid w:val="002417AD"/>
    <w:rsid w:val="00242A98"/>
    <w:rsid w:val="0025146E"/>
    <w:rsid w:val="002607CA"/>
    <w:rsid w:val="00266CEB"/>
    <w:rsid w:val="00281777"/>
    <w:rsid w:val="0029449C"/>
    <w:rsid w:val="002B23CE"/>
    <w:rsid w:val="003175C1"/>
    <w:rsid w:val="00327C0A"/>
    <w:rsid w:val="00350383"/>
    <w:rsid w:val="003547F9"/>
    <w:rsid w:val="00361470"/>
    <w:rsid w:val="003B19E7"/>
    <w:rsid w:val="003C2426"/>
    <w:rsid w:val="003C5C3D"/>
    <w:rsid w:val="003D1598"/>
    <w:rsid w:val="003D39F3"/>
    <w:rsid w:val="004065CF"/>
    <w:rsid w:val="004271CE"/>
    <w:rsid w:val="00452560"/>
    <w:rsid w:val="004541BC"/>
    <w:rsid w:val="00462B25"/>
    <w:rsid w:val="00482A80"/>
    <w:rsid w:val="004F0786"/>
    <w:rsid w:val="00511C5A"/>
    <w:rsid w:val="00521574"/>
    <w:rsid w:val="00531632"/>
    <w:rsid w:val="00550EB9"/>
    <w:rsid w:val="005830CF"/>
    <w:rsid w:val="00585CB8"/>
    <w:rsid w:val="005A37FC"/>
    <w:rsid w:val="005C2BB8"/>
    <w:rsid w:val="005D309F"/>
    <w:rsid w:val="005E3EEB"/>
    <w:rsid w:val="005E3F0E"/>
    <w:rsid w:val="005E5E61"/>
    <w:rsid w:val="005E7FAA"/>
    <w:rsid w:val="005F1D07"/>
    <w:rsid w:val="005F436B"/>
    <w:rsid w:val="00615081"/>
    <w:rsid w:val="006448D2"/>
    <w:rsid w:val="006B5ECA"/>
    <w:rsid w:val="006D41BA"/>
    <w:rsid w:val="006D739E"/>
    <w:rsid w:val="00712471"/>
    <w:rsid w:val="00713252"/>
    <w:rsid w:val="00725524"/>
    <w:rsid w:val="007336A6"/>
    <w:rsid w:val="0074012B"/>
    <w:rsid w:val="00747862"/>
    <w:rsid w:val="00751275"/>
    <w:rsid w:val="00760579"/>
    <w:rsid w:val="00790945"/>
    <w:rsid w:val="007A1DAF"/>
    <w:rsid w:val="007A7988"/>
    <w:rsid w:val="007B6864"/>
    <w:rsid w:val="007D03F5"/>
    <w:rsid w:val="007E1BEE"/>
    <w:rsid w:val="007E464C"/>
    <w:rsid w:val="00826CD2"/>
    <w:rsid w:val="00875730"/>
    <w:rsid w:val="008A2F4E"/>
    <w:rsid w:val="008B3058"/>
    <w:rsid w:val="008B789A"/>
    <w:rsid w:val="008D08C8"/>
    <w:rsid w:val="008D3668"/>
    <w:rsid w:val="00900F7E"/>
    <w:rsid w:val="00904C7D"/>
    <w:rsid w:val="00921338"/>
    <w:rsid w:val="009440B9"/>
    <w:rsid w:val="009468AD"/>
    <w:rsid w:val="00954EE2"/>
    <w:rsid w:val="00975A2D"/>
    <w:rsid w:val="00980616"/>
    <w:rsid w:val="009824F7"/>
    <w:rsid w:val="009D782C"/>
    <w:rsid w:val="009D7C51"/>
    <w:rsid w:val="009E266B"/>
    <w:rsid w:val="009E480D"/>
    <w:rsid w:val="00A01AA6"/>
    <w:rsid w:val="00A0388C"/>
    <w:rsid w:val="00A33BA8"/>
    <w:rsid w:val="00A64AC4"/>
    <w:rsid w:val="00A71F94"/>
    <w:rsid w:val="00A819D9"/>
    <w:rsid w:val="00A847D4"/>
    <w:rsid w:val="00A85A08"/>
    <w:rsid w:val="00A924EE"/>
    <w:rsid w:val="00AA1DCE"/>
    <w:rsid w:val="00AB2F31"/>
    <w:rsid w:val="00AD6FB6"/>
    <w:rsid w:val="00AE5C60"/>
    <w:rsid w:val="00AF0EC5"/>
    <w:rsid w:val="00B0385A"/>
    <w:rsid w:val="00B05C90"/>
    <w:rsid w:val="00B131CF"/>
    <w:rsid w:val="00B25F5B"/>
    <w:rsid w:val="00B27DDD"/>
    <w:rsid w:val="00B60508"/>
    <w:rsid w:val="00B64A4D"/>
    <w:rsid w:val="00B802DF"/>
    <w:rsid w:val="00B87B58"/>
    <w:rsid w:val="00B9310C"/>
    <w:rsid w:val="00BD1701"/>
    <w:rsid w:val="00BE075D"/>
    <w:rsid w:val="00C046D8"/>
    <w:rsid w:val="00C136D2"/>
    <w:rsid w:val="00C1418B"/>
    <w:rsid w:val="00C20D16"/>
    <w:rsid w:val="00C34826"/>
    <w:rsid w:val="00C404CF"/>
    <w:rsid w:val="00C41FE3"/>
    <w:rsid w:val="00C82113"/>
    <w:rsid w:val="00C95805"/>
    <w:rsid w:val="00C9600A"/>
    <w:rsid w:val="00CB226D"/>
    <w:rsid w:val="00CB507C"/>
    <w:rsid w:val="00CC1E7F"/>
    <w:rsid w:val="00CE155B"/>
    <w:rsid w:val="00CE414D"/>
    <w:rsid w:val="00D01786"/>
    <w:rsid w:val="00D72FE2"/>
    <w:rsid w:val="00D83CE5"/>
    <w:rsid w:val="00DE295B"/>
    <w:rsid w:val="00DF082A"/>
    <w:rsid w:val="00E03EBF"/>
    <w:rsid w:val="00E1018E"/>
    <w:rsid w:val="00E405C4"/>
    <w:rsid w:val="00E4342A"/>
    <w:rsid w:val="00E57F39"/>
    <w:rsid w:val="00E775FE"/>
    <w:rsid w:val="00E83530"/>
    <w:rsid w:val="00EA52A7"/>
    <w:rsid w:val="00EC0768"/>
    <w:rsid w:val="00EE1FF1"/>
    <w:rsid w:val="00F11535"/>
    <w:rsid w:val="00F20B2A"/>
    <w:rsid w:val="00F366A2"/>
    <w:rsid w:val="00F4225F"/>
    <w:rsid w:val="00F44D91"/>
    <w:rsid w:val="00F555E5"/>
    <w:rsid w:val="00FA0C96"/>
    <w:rsid w:val="00FB5EB4"/>
    <w:rsid w:val="00FD0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C8FB7"/>
  <w15:chartTrackingRefBased/>
  <w15:docId w15:val="{FEE410AC-3115-417A-9CE3-2254A456B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5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35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35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5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35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83530"/>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D01786"/>
    <w:rPr>
      <w:sz w:val="16"/>
      <w:szCs w:val="16"/>
    </w:rPr>
  </w:style>
  <w:style w:type="paragraph" w:styleId="CommentText">
    <w:name w:val="annotation text"/>
    <w:basedOn w:val="Normal"/>
    <w:link w:val="CommentTextChar"/>
    <w:uiPriority w:val="99"/>
    <w:unhideWhenUsed/>
    <w:rsid w:val="00D01786"/>
    <w:pPr>
      <w:spacing w:line="240" w:lineRule="auto"/>
    </w:pPr>
    <w:rPr>
      <w:sz w:val="20"/>
      <w:szCs w:val="20"/>
    </w:rPr>
  </w:style>
  <w:style w:type="character" w:customStyle="1" w:styleId="CommentTextChar">
    <w:name w:val="Comment Text Char"/>
    <w:basedOn w:val="DefaultParagraphFont"/>
    <w:link w:val="CommentText"/>
    <w:uiPriority w:val="99"/>
    <w:rsid w:val="00D01786"/>
    <w:rPr>
      <w:sz w:val="20"/>
      <w:szCs w:val="20"/>
    </w:rPr>
  </w:style>
  <w:style w:type="paragraph" w:styleId="CommentSubject">
    <w:name w:val="annotation subject"/>
    <w:basedOn w:val="CommentText"/>
    <w:next w:val="CommentText"/>
    <w:link w:val="CommentSubjectChar"/>
    <w:uiPriority w:val="99"/>
    <w:semiHidden/>
    <w:unhideWhenUsed/>
    <w:rsid w:val="00D01786"/>
    <w:rPr>
      <w:b/>
      <w:bCs/>
    </w:rPr>
  </w:style>
  <w:style w:type="character" w:customStyle="1" w:styleId="CommentSubjectChar">
    <w:name w:val="Comment Subject Char"/>
    <w:basedOn w:val="CommentTextChar"/>
    <w:link w:val="CommentSubject"/>
    <w:uiPriority w:val="99"/>
    <w:semiHidden/>
    <w:rsid w:val="00D01786"/>
    <w:rPr>
      <w:b/>
      <w:bCs/>
      <w:sz w:val="20"/>
      <w:szCs w:val="20"/>
    </w:rPr>
  </w:style>
  <w:style w:type="paragraph" w:styleId="BalloonText">
    <w:name w:val="Balloon Text"/>
    <w:basedOn w:val="Normal"/>
    <w:link w:val="BalloonTextChar"/>
    <w:uiPriority w:val="99"/>
    <w:semiHidden/>
    <w:unhideWhenUsed/>
    <w:rsid w:val="00D017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1786"/>
    <w:rPr>
      <w:rFonts w:ascii="Segoe UI" w:hAnsi="Segoe UI" w:cs="Segoe UI"/>
      <w:sz w:val="18"/>
      <w:szCs w:val="18"/>
    </w:rPr>
  </w:style>
  <w:style w:type="character" w:styleId="Hyperlink">
    <w:name w:val="Hyperlink"/>
    <w:basedOn w:val="DefaultParagraphFont"/>
    <w:uiPriority w:val="99"/>
    <w:unhideWhenUsed/>
    <w:rsid w:val="00DF082A"/>
    <w:rPr>
      <w:color w:val="0563C1" w:themeColor="hyperlink"/>
      <w:u w:val="single"/>
    </w:rPr>
  </w:style>
  <w:style w:type="character" w:customStyle="1" w:styleId="UnresolvedMention1">
    <w:name w:val="Unresolved Mention1"/>
    <w:basedOn w:val="DefaultParagraphFont"/>
    <w:uiPriority w:val="99"/>
    <w:semiHidden/>
    <w:unhideWhenUsed/>
    <w:rsid w:val="00DF082A"/>
    <w:rPr>
      <w:color w:val="605E5C"/>
      <w:shd w:val="clear" w:color="auto" w:fill="E1DFDD"/>
    </w:rPr>
  </w:style>
  <w:style w:type="character" w:styleId="Emphasis">
    <w:name w:val="Emphasis"/>
    <w:basedOn w:val="DefaultParagraphFont"/>
    <w:uiPriority w:val="20"/>
    <w:qFormat/>
    <w:rsid w:val="00980616"/>
    <w:rPr>
      <w:i/>
      <w:iCs/>
    </w:rPr>
  </w:style>
  <w:style w:type="paragraph" w:styleId="NormalWeb">
    <w:name w:val="Normal (Web)"/>
    <w:basedOn w:val="Normal"/>
    <w:uiPriority w:val="99"/>
    <w:semiHidden/>
    <w:unhideWhenUsed/>
    <w:rsid w:val="007E46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D73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9199979">
      <w:bodyDiv w:val="1"/>
      <w:marLeft w:val="0"/>
      <w:marRight w:val="0"/>
      <w:marTop w:val="0"/>
      <w:marBottom w:val="0"/>
      <w:divBdr>
        <w:top w:val="none" w:sz="0" w:space="0" w:color="auto"/>
        <w:left w:val="none" w:sz="0" w:space="0" w:color="auto"/>
        <w:bottom w:val="none" w:sz="0" w:space="0" w:color="auto"/>
        <w:right w:val="none" w:sz="0" w:space="0" w:color="auto"/>
      </w:divBdr>
    </w:div>
    <w:div w:id="149352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iron.valdosta.edu/whuitt/col/affsys/humed.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idcd.nih.gov/health/autism-spectrum-disorder-communication-problems-childr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linicaltrials.gov/ct2/results?term=behaviour" TargetMode="External"/><Relationship Id="rId11" Type="http://schemas.openxmlformats.org/officeDocument/2006/relationships/hyperlink" Target="http://ouleft.org/wp-content/uploads/Vygotsky-Mind-in-Society.pdf" TargetMode="External"/><Relationship Id="rId5" Type="http://schemas.openxmlformats.org/officeDocument/2006/relationships/image" Target="media/image1.png"/><Relationship Id="rId10" Type="http://schemas.openxmlformats.org/officeDocument/2006/relationships/hyperlink" Target="https://www.ncbi.nlm.nih.gov/pubmed/24124067" TargetMode="External"/><Relationship Id="rId4" Type="http://schemas.openxmlformats.org/officeDocument/2006/relationships/webSettings" Target="webSettings.xml"/><Relationship Id="rId9" Type="http://schemas.openxmlformats.org/officeDocument/2006/relationships/hyperlink" Target="https://www.ncbi.nlm.nih.gov/pubmed/24353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61FE94-A47E-4DD7-B160-FA9AECA02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6</Pages>
  <Words>2807</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Raybould</dc:creator>
  <cp:keywords/>
  <dc:description/>
  <cp:lastModifiedBy>Alice Raybould</cp:lastModifiedBy>
  <cp:revision>137</cp:revision>
  <dcterms:created xsi:type="dcterms:W3CDTF">2019-08-15T14:28:00Z</dcterms:created>
  <dcterms:modified xsi:type="dcterms:W3CDTF">2019-09-08T21:53:00Z</dcterms:modified>
</cp:coreProperties>
</file>