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120" w:firstLine="0"/>
        <w:jc w:val="left"/>
        <w:rPr>
          <w:rFonts w:ascii="Times New Roman" w:hAnsi="Times New Roman" w:cs="Times New Roman" w:eastAsia="Times New Roman"/>
          <w:color w:val="auto"/>
          <w:spacing w:val="0"/>
          <w:position w:val="0"/>
          <w:sz w:val="20"/>
          <w:shd w:fill="auto" w:val="clear"/>
        </w:rPr>
      </w:pPr>
      <w:r>
        <w:object w:dxaOrig="2736" w:dyaOrig="907">
          <v:rect xmlns:o="urn:schemas-microsoft-com:office:office" xmlns:v="urn:schemas-microsoft-com:vml" id="rectole0000000000" style="width:136.800000pt;height:45.3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119" w:after="0" w:line="360"/>
        <w:ind w:right="0" w:left="1109" w:firstLine="0"/>
        <w:jc w:val="left"/>
        <w:rPr>
          <w:rFonts w:ascii="Arial" w:hAnsi="Arial" w:cs="Arial" w:eastAsia="Arial"/>
          <w:b/>
          <w:color w:val="auto"/>
          <w:spacing w:val="0"/>
          <w:position w:val="0"/>
          <w:sz w:val="40"/>
          <w:shd w:fill="auto" w:val="clear"/>
        </w:rPr>
      </w:pPr>
      <w:r>
        <w:rPr>
          <w:rFonts w:ascii="Arial" w:hAnsi="Arial" w:cs="Arial" w:eastAsia="Arial"/>
          <w:b/>
          <w:color w:val="auto"/>
          <w:spacing w:val="0"/>
          <w:position w:val="0"/>
          <w:sz w:val="40"/>
          <w:shd w:fill="auto" w:val="clear"/>
        </w:rPr>
        <w:t xml:space="preserve">LEVEL</w:t>
      </w:r>
      <w:r>
        <w:rPr>
          <w:rFonts w:ascii="Arial" w:hAnsi="Arial" w:cs="Arial" w:eastAsia="Arial"/>
          <w:b/>
          <w:color w:val="auto"/>
          <w:spacing w:val="-2"/>
          <w:position w:val="0"/>
          <w:sz w:val="40"/>
          <w:shd w:fill="auto" w:val="clear"/>
        </w:rPr>
        <w:t xml:space="preserve"> </w:t>
      </w:r>
      <w:r>
        <w:rPr>
          <w:rFonts w:ascii="Arial" w:hAnsi="Arial" w:cs="Arial" w:eastAsia="Arial"/>
          <w:b/>
          <w:color w:val="auto"/>
          <w:spacing w:val="0"/>
          <w:position w:val="0"/>
          <w:sz w:val="40"/>
          <w:shd w:fill="auto" w:val="clear"/>
        </w:rPr>
        <w:t xml:space="preserve">4</w:t>
      </w:r>
      <w:r>
        <w:rPr>
          <w:rFonts w:ascii="Arial" w:hAnsi="Arial" w:cs="Arial" w:eastAsia="Arial"/>
          <w:b/>
          <w:color w:val="auto"/>
          <w:spacing w:val="1"/>
          <w:position w:val="0"/>
          <w:sz w:val="40"/>
          <w:shd w:fill="auto" w:val="clear"/>
        </w:rPr>
        <w:t xml:space="preserve"> </w:t>
      </w:r>
      <w:r>
        <w:rPr>
          <w:rFonts w:ascii="Arial" w:hAnsi="Arial" w:cs="Arial" w:eastAsia="Arial"/>
          <w:b/>
          <w:color w:val="auto"/>
          <w:spacing w:val="0"/>
          <w:position w:val="0"/>
          <w:sz w:val="40"/>
          <w:shd w:fill="auto" w:val="clear"/>
        </w:rPr>
        <w:t xml:space="preserve">ASSESSMENT</w:t>
      </w:r>
      <w:r>
        <w:rPr>
          <w:rFonts w:ascii="Arial" w:hAnsi="Arial" w:cs="Arial" w:eastAsia="Arial"/>
          <w:b/>
          <w:color w:val="auto"/>
          <w:spacing w:val="-1"/>
          <w:position w:val="0"/>
          <w:sz w:val="40"/>
          <w:shd w:fill="auto" w:val="clear"/>
        </w:rPr>
        <w:t xml:space="preserve"> </w:t>
      </w:r>
      <w:r>
        <w:rPr>
          <w:rFonts w:ascii="Arial" w:hAnsi="Arial" w:cs="Arial" w:eastAsia="Arial"/>
          <w:b/>
          <w:color w:val="auto"/>
          <w:spacing w:val="0"/>
          <w:position w:val="0"/>
          <w:sz w:val="40"/>
          <w:shd w:fill="auto" w:val="clear"/>
        </w:rPr>
        <w:t xml:space="preserve">SPECIFICATION</w:t>
      </w:r>
    </w:p>
    <w:p>
      <w:pPr>
        <w:spacing w:before="10" w:after="0" w:line="360"/>
        <w:ind w:right="0" w:left="0" w:firstLine="0"/>
        <w:jc w:val="left"/>
        <w:rPr>
          <w:rFonts w:ascii="Times New Roman" w:hAnsi="Times New Roman" w:cs="Times New Roman" w:eastAsia="Times New Roman"/>
          <w:b/>
          <w:color w:val="auto"/>
          <w:spacing w:val="0"/>
          <w:position w:val="0"/>
          <w:sz w:val="16"/>
          <w:shd w:fill="auto" w:val="clear"/>
        </w:rPr>
      </w:pPr>
    </w:p>
    <w:tbl>
      <w:tblPr/>
      <w:tblGrid>
        <w:gridCol w:w="2096"/>
        <w:gridCol w:w="3294"/>
        <w:gridCol w:w="2269"/>
        <w:gridCol w:w="2269"/>
      </w:tblGrid>
      <w:tr>
        <w:trPr>
          <w:trHeight w:val="491" w:hRule="auto"/>
          <w:jc w:val="center"/>
        </w:trPr>
        <w:tc>
          <w:tcPr>
            <w:tcW w:w="2096" w:type="dxa"/>
            <w:tcBorders>
              <w:top w:val="single" w:color="000000" w:sz="4"/>
              <w:left w:val="single" w:color="000000" w:sz="4"/>
              <w:bottom w:val="single" w:color="000000" w:sz="4"/>
              <w:right w:val="single" w:color="000000" w:sz="4"/>
            </w:tcBorders>
            <w:shd w:color="auto" w:fill="d9d9d9" w:val="clear"/>
            <w:tcMar>
              <w:left w:w="0" w:type="dxa"/>
              <w:right w:w="0" w:type="dxa"/>
            </w:tcMar>
            <w:vAlign w:val="top"/>
          </w:tcPr>
          <w:p>
            <w:pPr>
              <w:spacing w:before="115" w:after="0" w:line="360"/>
              <w:ind w:right="0" w:left="108" w:firstLine="0"/>
              <w:jc w:val="left"/>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Programme:</w:t>
            </w:r>
          </w:p>
        </w:tc>
        <w:tc>
          <w:tcPr>
            <w:tcW w:w="7832" w:type="dxa"/>
            <w:gridSpan w:val="3"/>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117" w:after="0" w:line="360"/>
              <w:ind w:right="0" w:left="105" w:firstLine="0"/>
              <w:jc w:val="left"/>
              <w:rPr>
                <w:color w:val="auto"/>
                <w:position w:val="0"/>
                <w:shd w:fill="auto" w:val="clear"/>
              </w:rPr>
            </w:pPr>
            <w:r>
              <w:rPr>
                <w:rFonts w:ascii="Times New Roman" w:hAnsi="Times New Roman" w:cs="Times New Roman" w:eastAsia="Times New Roman"/>
                <w:b/>
                <w:color w:val="auto"/>
                <w:spacing w:val="0"/>
                <w:position w:val="0"/>
                <w:sz w:val="24"/>
                <w:shd w:fill="auto" w:val="clear"/>
              </w:rPr>
              <w:t xml:space="preserve">BA</w:t>
            </w:r>
            <w:r>
              <w:rPr>
                <w:rFonts w:ascii="Times New Roman" w:hAnsi="Times New Roman" w:cs="Times New Roman" w:eastAsia="Times New Roman"/>
                <w:b/>
                <w:color w:val="auto"/>
                <w:spacing w:val="-3"/>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Business</w:t>
            </w:r>
            <w:r>
              <w:rPr>
                <w:rFonts w:ascii="Times New Roman" w:hAnsi="Times New Roman" w:cs="Times New Roman" w:eastAsia="Times New Roman"/>
                <w:b/>
                <w:color w:val="auto"/>
                <w:spacing w:val="-1"/>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Management</w:t>
            </w:r>
          </w:p>
        </w:tc>
      </w:tr>
      <w:tr>
        <w:trPr>
          <w:trHeight w:val="494" w:hRule="auto"/>
          <w:jc w:val="center"/>
        </w:trPr>
        <w:tc>
          <w:tcPr>
            <w:tcW w:w="2096" w:type="dxa"/>
            <w:tcBorders>
              <w:top w:val="single" w:color="000000" w:sz="4"/>
              <w:left w:val="single" w:color="000000" w:sz="4"/>
              <w:bottom w:val="single" w:color="000000" w:sz="4"/>
              <w:right w:val="single" w:color="000000" w:sz="4"/>
            </w:tcBorders>
            <w:shd w:color="auto" w:fill="d9d9d9" w:val="clear"/>
            <w:tcMar>
              <w:left w:w="0" w:type="dxa"/>
              <w:right w:w="0" w:type="dxa"/>
            </w:tcMar>
            <w:vAlign w:val="top"/>
          </w:tcPr>
          <w:p>
            <w:pPr>
              <w:spacing w:before="115" w:after="0" w:line="360"/>
              <w:ind w:right="0" w:left="108" w:firstLine="0"/>
              <w:jc w:val="left"/>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Module:</w:t>
            </w:r>
          </w:p>
        </w:tc>
        <w:tc>
          <w:tcPr>
            <w:tcW w:w="7832" w:type="dxa"/>
            <w:gridSpan w:val="3"/>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9" w:after="0" w:line="36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360"/>
              <w:ind w:right="0" w:left="105" w:firstLine="0"/>
              <w:jc w:val="left"/>
              <w:rPr>
                <w:color w:val="auto"/>
                <w:position w:val="0"/>
                <w:shd w:fill="auto" w:val="clear"/>
              </w:rPr>
            </w:pPr>
            <w:r>
              <w:rPr>
                <w:rFonts w:ascii="Times New Roman" w:hAnsi="Times New Roman" w:cs="Times New Roman" w:eastAsia="Times New Roman"/>
                <w:b/>
                <w:color w:val="auto"/>
                <w:spacing w:val="0"/>
                <w:position w:val="0"/>
                <w:sz w:val="24"/>
                <w:shd w:fill="auto" w:val="clear"/>
              </w:rPr>
              <w:t xml:space="preserve">Introducing</w:t>
            </w:r>
            <w:r>
              <w:rPr>
                <w:rFonts w:ascii="Times New Roman" w:hAnsi="Times New Roman" w:cs="Times New Roman" w:eastAsia="Times New Roman"/>
                <w:b/>
                <w:color w:val="auto"/>
                <w:spacing w:val="-3"/>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the</w:t>
            </w:r>
            <w:r>
              <w:rPr>
                <w:rFonts w:ascii="Times New Roman" w:hAnsi="Times New Roman" w:cs="Times New Roman" w:eastAsia="Times New Roman"/>
                <w:b/>
                <w:color w:val="auto"/>
                <w:spacing w:val="-3"/>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Modern</w:t>
            </w:r>
            <w:r>
              <w:rPr>
                <w:rFonts w:ascii="Times New Roman" w:hAnsi="Times New Roman" w:cs="Times New Roman" w:eastAsia="Times New Roman"/>
                <w:b/>
                <w:color w:val="auto"/>
                <w:spacing w:val="-3"/>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Workplace</w:t>
            </w:r>
          </w:p>
        </w:tc>
      </w:tr>
      <w:tr>
        <w:trPr>
          <w:trHeight w:val="758" w:hRule="auto"/>
          <w:jc w:val="center"/>
        </w:trPr>
        <w:tc>
          <w:tcPr>
            <w:tcW w:w="2096" w:type="dxa"/>
            <w:tcBorders>
              <w:top w:val="single" w:color="000000" w:sz="4"/>
              <w:left w:val="single" w:color="000000" w:sz="4"/>
              <w:bottom w:val="single" w:color="000000" w:sz="4"/>
              <w:right w:val="single" w:color="000000" w:sz="4"/>
            </w:tcBorders>
            <w:shd w:color="auto" w:fill="d9d9d9" w:val="clear"/>
            <w:tcMar>
              <w:left w:w="0" w:type="dxa"/>
              <w:right w:w="0" w:type="dxa"/>
            </w:tcMar>
            <w:vAlign w:val="top"/>
          </w:tcPr>
          <w:p>
            <w:pPr>
              <w:spacing w:before="115" w:after="0" w:line="360"/>
              <w:ind w:right="0" w:left="108" w:firstLine="0"/>
              <w:jc w:val="left"/>
              <w:rPr>
                <w:color w:val="auto"/>
                <w:position w:val="0"/>
                <w:sz w:val="22"/>
                <w:shd w:fill="auto" w:val="clear"/>
              </w:rPr>
            </w:pPr>
            <w:r>
              <w:rPr>
                <w:rFonts w:ascii="Times New Roman" w:hAnsi="Times New Roman" w:cs="Times New Roman" w:eastAsia="Times New Roman"/>
                <w:b/>
                <w:color w:val="auto"/>
                <w:spacing w:val="0"/>
                <w:position w:val="0"/>
                <w:sz w:val="22"/>
                <w:shd w:fill="auto" w:val="clear"/>
              </w:rPr>
              <w:t xml:space="preserve">Module</w:t>
            </w:r>
            <w:r>
              <w:rPr>
                <w:rFonts w:ascii="Times New Roman" w:hAnsi="Times New Roman" w:cs="Times New Roman" w:eastAsia="Times New Roman"/>
                <w:b/>
                <w:color w:val="auto"/>
                <w:spacing w:val="-2"/>
                <w:position w:val="0"/>
                <w:sz w:val="22"/>
                <w:shd w:fill="auto" w:val="clear"/>
              </w:rPr>
              <w:t xml:space="preserve"> </w:t>
            </w:r>
            <w:r>
              <w:rPr>
                <w:rFonts w:ascii="Times New Roman" w:hAnsi="Times New Roman" w:cs="Times New Roman" w:eastAsia="Times New Roman"/>
                <w:b/>
                <w:color w:val="auto"/>
                <w:spacing w:val="0"/>
                <w:position w:val="0"/>
                <w:sz w:val="22"/>
                <w:shd w:fill="auto" w:val="clear"/>
              </w:rPr>
              <w:t xml:space="preserve">code:</w:t>
            </w:r>
          </w:p>
        </w:tc>
        <w:tc>
          <w:tcPr>
            <w:tcW w:w="3294"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117" w:after="0" w:line="360"/>
              <w:ind w:right="0" w:left="105"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LCBB4003</w:t>
            </w:r>
          </w:p>
        </w:tc>
        <w:tc>
          <w:tcPr>
            <w:tcW w:w="2269" w:type="dxa"/>
            <w:tcBorders>
              <w:top w:val="single" w:color="000000" w:sz="4"/>
              <w:left w:val="single" w:color="000000" w:sz="4"/>
              <w:bottom w:val="single" w:color="000000" w:sz="4"/>
              <w:right w:val="single" w:color="000000" w:sz="4"/>
            </w:tcBorders>
            <w:shd w:color="auto" w:fill="d9d9d9" w:val="clear"/>
            <w:tcMar>
              <w:left w:w="0" w:type="dxa"/>
              <w:right w:w="0" w:type="dxa"/>
            </w:tcMar>
            <w:vAlign w:val="top"/>
          </w:tcPr>
          <w:p>
            <w:pPr>
              <w:tabs>
                <w:tab w:val="left" w:pos="1390" w:leader="none"/>
                <w:tab w:val="left" w:pos="1951" w:leader="none"/>
              </w:tabs>
              <w:spacing w:before="0" w:after="0" w:line="360"/>
              <w:ind w:right="95" w:left="107"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Contribution</w:t>
              <w:tab/>
            </w:r>
            <w:r>
              <w:rPr>
                <w:rFonts w:ascii="Times New Roman" w:hAnsi="Times New Roman" w:cs="Times New Roman" w:eastAsia="Times New Roman"/>
                <w:b/>
                <w:color w:val="auto"/>
                <w:spacing w:val="-1"/>
                <w:position w:val="0"/>
                <w:sz w:val="24"/>
                <w:shd w:fill="auto" w:val="clear"/>
              </w:rPr>
              <w:t xml:space="preserve">to</w:t>
            </w:r>
            <w:r>
              <w:rPr>
                <w:rFonts w:ascii="Times New Roman" w:hAnsi="Times New Roman" w:cs="Times New Roman" w:eastAsia="Times New Roman"/>
                <w:b/>
                <w:color w:val="auto"/>
                <w:spacing w:val="-59"/>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Overall</w:t>
              <w:tab/>
            </w:r>
            <w:r>
              <w:rPr>
                <w:rFonts w:ascii="Times New Roman" w:hAnsi="Times New Roman" w:cs="Times New Roman" w:eastAsia="Times New Roman"/>
                <w:b/>
                <w:color w:val="auto"/>
                <w:spacing w:val="-1"/>
                <w:position w:val="0"/>
                <w:sz w:val="24"/>
                <w:shd w:fill="auto" w:val="clear"/>
              </w:rPr>
              <w:t xml:space="preserve">Module</w:t>
            </w:r>
          </w:p>
          <w:p>
            <w:pPr>
              <w:spacing w:before="0" w:after="0" w:line="360"/>
              <w:ind w:right="0" w:left="107" w:firstLine="0"/>
              <w:jc w:val="left"/>
              <w:rPr>
                <w:color w:val="auto"/>
                <w:position w:val="0"/>
                <w:shd w:fill="auto" w:val="clear"/>
              </w:rPr>
            </w:pPr>
            <w:r>
              <w:rPr>
                <w:rFonts w:ascii="Times New Roman" w:hAnsi="Times New Roman" w:cs="Times New Roman" w:eastAsia="Times New Roman"/>
                <w:b/>
                <w:color w:val="auto"/>
                <w:spacing w:val="0"/>
                <w:position w:val="0"/>
                <w:sz w:val="24"/>
                <w:shd w:fill="auto" w:val="clear"/>
              </w:rPr>
              <w:t xml:space="preserve">Assessment</w:t>
            </w:r>
            <w:r>
              <w:rPr>
                <w:rFonts w:ascii="Times New Roman" w:hAnsi="Times New Roman" w:cs="Times New Roman" w:eastAsia="Times New Roman"/>
                <w:b/>
                <w:color w:val="auto"/>
                <w:spacing w:val="-1"/>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w:t>
            </w:r>
          </w:p>
        </w:tc>
        <w:tc>
          <w:tcPr>
            <w:tcW w:w="2269"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115" w:after="0" w:line="360"/>
              <w:ind w:right="0" w:left="106"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50%</w:t>
            </w:r>
          </w:p>
        </w:tc>
      </w:tr>
      <w:tr>
        <w:trPr>
          <w:trHeight w:val="1000" w:hRule="auto"/>
          <w:jc w:val="center"/>
        </w:trPr>
        <w:tc>
          <w:tcPr>
            <w:tcW w:w="2096" w:type="dxa"/>
            <w:tcBorders>
              <w:top w:val="single" w:color="000000" w:sz="4"/>
              <w:left w:val="single" w:color="000000" w:sz="4"/>
              <w:bottom w:val="single" w:color="000000" w:sz="4"/>
              <w:right w:val="single" w:color="000000" w:sz="4"/>
            </w:tcBorders>
            <w:shd w:color="auto" w:fill="d9d9d9" w:val="clear"/>
            <w:tcMar>
              <w:left w:w="0" w:type="dxa"/>
              <w:right w:w="0" w:type="dxa"/>
            </w:tcMar>
            <w:vAlign w:val="top"/>
          </w:tcPr>
          <w:p>
            <w:pPr>
              <w:spacing w:before="115" w:after="0" w:line="360"/>
              <w:ind w:right="638" w:left="108" w:firstLine="0"/>
              <w:jc w:val="left"/>
              <w:rPr>
                <w:color w:val="auto"/>
                <w:position w:val="0"/>
                <w:sz w:val="22"/>
                <w:shd w:fill="auto" w:val="clear"/>
              </w:rPr>
            </w:pPr>
            <w:r>
              <w:rPr>
                <w:rFonts w:ascii="Times New Roman" w:hAnsi="Times New Roman" w:cs="Times New Roman" w:eastAsia="Times New Roman"/>
                <w:b/>
                <w:color w:val="auto"/>
                <w:spacing w:val="0"/>
                <w:position w:val="0"/>
                <w:sz w:val="22"/>
                <w:shd w:fill="auto" w:val="clear"/>
              </w:rPr>
              <w:t xml:space="preserve">Module</w:t>
            </w:r>
            <w:r>
              <w:rPr>
                <w:rFonts w:ascii="Times New Roman" w:hAnsi="Times New Roman" w:cs="Times New Roman" w:eastAsia="Times New Roman"/>
                <w:b/>
                <w:color w:val="auto"/>
                <w:spacing w:val="1"/>
                <w:position w:val="0"/>
                <w:sz w:val="22"/>
                <w:shd w:fill="auto" w:val="clear"/>
              </w:rPr>
              <w:t xml:space="preserve"> </w:t>
            </w:r>
            <w:r>
              <w:rPr>
                <w:rFonts w:ascii="Times New Roman" w:hAnsi="Times New Roman" w:cs="Times New Roman" w:eastAsia="Times New Roman"/>
                <w:b/>
                <w:color w:val="auto"/>
                <w:spacing w:val="0"/>
                <w:position w:val="0"/>
                <w:sz w:val="22"/>
                <w:shd w:fill="auto" w:val="clear"/>
              </w:rPr>
              <w:t xml:space="preserve">Coordinator/</w:t>
            </w:r>
            <w:r>
              <w:rPr>
                <w:rFonts w:ascii="Times New Roman" w:hAnsi="Times New Roman" w:cs="Times New Roman" w:eastAsia="Times New Roman"/>
                <w:b/>
                <w:color w:val="auto"/>
                <w:spacing w:val="-59"/>
                <w:position w:val="0"/>
                <w:sz w:val="22"/>
                <w:shd w:fill="auto" w:val="clear"/>
              </w:rPr>
              <w:t xml:space="preserve"> </w:t>
            </w:r>
            <w:r>
              <w:rPr>
                <w:rFonts w:ascii="Times New Roman" w:hAnsi="Times New Roman" w:cs="Times New Roman" w:eastAsia="Times New Roman"/>
                <w:b/>
                <w:color w:val="auto"/>
                <w:spacing w:val="0"/>
                <w:position w:val="0"/>
                <w:sz w:val="22"/>
                <w:shd w:fill="auto" w:val="clear"/>
              </w:rPr>
              <w:t xml:space="preserve">Lecturer:</w:t>
            </w:r>
          </w:p>
        </w:tc>
        <w:tc>
          <w:tcPr>
            <w:tcW w:w="3294"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115" w:after="0" w:line="360"/>
              <w:ind w:right="0" w:left="105" w:firstLine="0"/>
              <w:jc w:val="left"/>
              <w:rPr>
                <w:color w:val="auto"/>
                <w:position w:val="0"/>
                <w:shd w:fill="auto" w:val="clear"/>
              </w:rPr>
            </w:pPr>
            <w:r>
              <w:rPr>
                <w:rFonts w:ascii="Times New Roman" w:hAnsi="Times New Roman" w:cs="Times New Roman" w:eastAsia="Times New Roman"/>
                <w:b/>
                <w:color w:val="auto"/>
                <w:spacing w:val="0"/>
                <w:position w:val="0"/>
                <w:sz w:val="24"/>
                <w:shd w:fill="auto" w:val="clear"/>
              </w:rPr>
              <w:t xml:space="preserve">Nadeem</w:t>
            </w:r>
            <w:r>
              <w:rPr>
                <w:rFonts w:ascii="Times New Roman" w:hAnsi="Times New Roman" w:cs="Times New Roman" w:eastAsia="Times New Roman"/>
                <w:b/>
                <w:color w:val="auto"/>
                <w:spacing w:val="-1"/>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Mirza</w:t>
            </w:r>
          </w:p>
        </w:tc>
        <w:tc>
          <w:tcPr>
            <w:tcW w:w="2269" w:type="dxa"/>
            <w:tcBorders>
              <w:top w:val="single" w:color="000000" w:sz="4"/>
              <w:left w:val="single" w:color="000000" w:sz="4"/>
              <w:bottom w:val="single" w:color="000000" w:sz="4"/>
              <w:right w:val="single" w:color="000000" w:sz="4"/>
            </w:tcBorders>
            <w:shd w:color="auto" w:fill="d9d9d9" w:val="clear"/>
            <w:tcMar>
              <w:left w:w="0" w:type="dxa"/>
              <w:right w:w="0" w:type="dxa"/>
            </w:tcMar>
            <w:vAlign w:val="top"/>
          </w:tcPr>
          <w:p>
            <w:pPr>
              <w:spacing w:before="115" w:after="0" w:line="360"/>
              <w:ind w:right="0" w:left="107" w:firstLine="0"/>
              <w:jc w:val="left"/>
              <w:rPr>
                <w:color w:val="auto"/>
                <w:position w:val="0"/>
                <w:shd w:fill="auto" w:val="clear"/>
              </w:rPr>
            </w:pPr>
            <w:r>
              <w:rPr>
                <w:rFonts w:ascii="Times New Roman" w:hAnsi="Times New Roman" w:cs="Times New Roman" w:eastAsia="Times New Roman"/>
                <w:b/>
                <w:color w:val="auto"/>
                <w:spacing w:val="0"/>
                <w:position w:val="0"/>
                <w:sz w:val="24"/>
                <w:shd w:fill="auto" w:val="clear"/>
              </w:rPr>
              <w:t xml:space="preserve">Internal</w:t>
            </w:r>
            <w:r>
              <w:rPr>
                <w:rFonts w:ascii="Times New Roman" w:hAnsi="Times New Roman" w:cs="Times New Roman" w:eastAsia="Times New Roman"/>
                <w:b/>
                <w:color w:val="auto"/>
                <w:spacing w:val="-1"/>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Verifier:</w:t>
            </w:r>
          </w:p>
        </w:tc>
        <w:tc>
          <w:tcPr>
            <w:tcW w:w="2269"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119" w:after="0" w:line="360"/>
              <w:ind w:right="0" w:left="106" w:firstLine="0"/>
              <w:jc w:val="left"/>
              <w:rPr>
                <w:color w:val="auto"/>
                <w:position w:val="0"/>
                <w:shd w:fill="auto" w:val="clear"/>
              </w:rPr>
            </w:pPr>
            <w:r>
              <w:rPr>
                <w:rFonts w:ascii="Times New Roman" w:hAnsi="Times New Roman" w:cs="Times New Roman" w:eastAsia="Times New Roman"/>
                <w:b/>
                <w:color w:val="auto"/>
                <w:spacing w:val="0"/>
                <w:position w:val="0"/>
                <w:sz w:val="24"/>
                <w:shd w:fill="auto" w:val="clear"/>
              </w:rPr>
              <w:t xml:space="preserve">Gregory</w:t>
            </w:r>
            <w:r>
              <w:rPr>
                <w:rFonts w:ascii="Times New Roman" w:hAnsi="Times New Roman" w:cs="Times New Roman" w:eastAsia="Times New Roman"/>
                <w:b/>
                <w:color w:val="auto"/>
                <w:spacing w:val="-2"/>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Cowan</w:t>
            </w:r>
          </w:p>
        </w:tc>
      </w:tr>
      <w:tr>
        <w:trPr>
          <w:trHeight w:val="997" w:hRule="auto"/>
          <w:jc w:val="center"/>
        </w:trPr>
        <w:tc>
          <w:tcPr>
            <w:tcW w:w="2096" w:type="dxa"/>
            <w:tcBorders>
              <w:top w:val="single" w:color="000000" w:sz="4"/>
              <w:left w:val="single" w:color="000000" w:sz="4"/>
              <w:bottom w:val="single" w:color="000000" w:sz="4"/>
              <w:right w:val="single" w:color="000000" w:sz="4"/>
            </w:tcBorders>
            <w:shd w:color="auto" w:fill="d9d9d9" w:val="clear"/>
            <w:tcMar>
              <w:left w:w="0" w:type="dxa"/>
              <w:right w:w="0" w:type="dxa"/>
            </w:tcMar>
            <w:vAlign w:val="top"/>
          </w:tcPr>
          <w:p>
            <w:pPr>
              <w:spacing w:before="115" w:after="0" w:line="360"/>
              <w:ind w:right="0" w:left="108" w:firstLine="0"/>
              <w:jc w:val="left"/>
              <w:rPr>
                <w:color w:val="auto"/>
                <w:position w:val="0"/>
                <w:sz w:val="22"/>
                <w:shd w:fill="auto" w:val="clear"/>
              </w:rPr>
            </w:pPr>
            <w:r>
              <w:rPr>
                <w:rFonts w:ascii="Times New Roman" w:hAnsi="Times New Roman" w:cs="Times New Roman" w:eastAsia="Times New Roman"/>
                <w:b/>
                <w:color w:val="auto"/>
                <w:spacing w:val="0"/>
                <w:position w:val="0"/>
                <w:sz w:val="22"/>
                <w:shd w:fill="auto" w:val="clear"/>
              </w:rPr>
              <w:t xml:space="preserve">Assignment</w:t>
            </w:r>
            <w:r>
              <w:rPr>
                <w:rFonts w:ascii="Times New Roman" w:hAnsi="Times New Roman" w:cs="Times New Roman" w:eastAsia="Times New Roman"/>
                <w:b/>
                <w:color w:val="auto"/>
                <w:spacing w:val="-2"/>
                <w:position w:val="0"/>
                <w:sz w:val="22"/>
                <w:shd w:fill="auto" w:val="clear"/>
              </w:rPr>
              <w:t xml:space="preserve"> </w:t>
            </w:r>
            <w:r>
              <w:rPr>
                <w:rFonts w:ascii="Times New Roman" w:hAnsi="Times New Roman" w:cs="Times New Roman" w:eastAsia="Times New Roman"/>
                <w:b/>
                <w:color w:val="auto"/>
                <w:spacing w:val="0"/>
                <w:position w:val="0"/>
                <w:sz w:val="22"/>
                <w:shd w:fill="auto" w:val="clear"/>
              </w:rPr>
              <w:t xml:space="preserve">Title:</w:t>
            </w:r>
          </w:p>
        </w:tc>
        <w:tc>
          <w:tcPr>
            <w:tcW w:w="3294"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115" w:after="0" w:line="360"/>
              <w:ind w:right="144" w:left="105" w:firstLine="0"/>
              <w:jc w:val="left"/>
              <w:rPr>
                <w:color w:val="auto"/>
                <w:position w:val="0"/>
                <w:shd w:fill="auto" w:val="clear"/>
              </w:rPr>
            </w:pPr>
            <w:r>
              <w:rPr>
                <w:rFonts w:ascii="Times New Roman" w:hAnsi="Times New Roman" w:cs="Times New Roman" w:eastAsia="Times New Roman"/>
                <w:b/>
                <w:color w:val="auto"/>
                <w:spacing w:val="0"/>
                <w:position w:val="0"/>
                <w:sz w:val="24"/>
                <w:shd w:fill="auto" w:val="clear"/>
              </w:rPr>
              <w:t xml:space="preserve">Assessment</w:t>
            </w:r>
            <w:r>
              <w:rPr>
                <w:rFonts w:ascii="Times New Roman" w:hAnsi="Times New Roman" w:cs="Times New Roman" w:eastAsia="Times New Roman"/>
                <w:b/>
                <w:color w:val="auto"/>
                <w:spacing w:val="14"/>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1</w:t>
            </w:r>
            <w:r>
              <w:rPr>
                <w:rFonts w:ascii="Times New Roman" w:hAnsi="Times New Roman" w:cs="Times New Roman" w:eastAsia="Times New Roman"/>
                <w:b/>
                <w:color w:val="auto"/>
                <w:spacing w:val="1"/>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Organisational Structure and</w:t>
            </w:r>
            <w:r>
              <w:rPr>
                <w:rFonts w:ascii="Times New Roman" w:hAnsi="Times New Roman" w:cs="Times New Roman" w:eastAsia="Times New Roman"/>
                <w:b/>
                <w:color w:val="auto"/>
                <w:spacing w:val="-59"/>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Culture</w:t>
            </w:r>
          </w:p>
        </w:tc>
        <w:tc>
          <w:tcPr>
            <w:tcW w:w="2269" w:type="dxa"/>
            <w:tcBorders>
              <w:top w:val="single" w:color="000000" w:sz="4"/>
              <w:left w:val="single" w:color="000000" w:sz="4"/>
              <w:bottom w:val="single" w:color="000000" w:sz="4"/>
              <w:right w:val="single" w:color="000000" w:sz="4"/>
            </w:tcBorders>
            <w:shd w:color="auto" w:fill="d9d9d9" w:val="clear"/>
            <w:tcMar>
              <w:left w:w="0" w:type="dxa"/>
              <w:right w:w="0" w:type="dxa"/>
            </w:tcMar>
            <w:vAlign w:val="top"/>
          </w:tcPr>
          <w:p>
            <w:pPr>
              <w:tabs>
                <w:tab w:val="left" w:pos="970" w:leader="none"/>
                <w:tab w:val="left" w:pos="1865" w:leader="none"/>
              </w:tabs>
              <w:spacing w:before="115" w:after="0" w:line="360"/>
              <w:ind w:right="96" w:left="107" w:firstLine="0"/>
              <w:jc w:val="left"/>
              <w:rPr>
                <w:color w:val="auto"/>
                <w:position w:val="0"/>
                <w:shd w:fill="auto" w:val="clear"/>
              </w:rPr>
            </w:pPr>
            <w:r>
              <w:rPr>
                <w:rFonts w:ascii="Times New Roman" w:hAnsi="Times New Roman" w:cs="Times New Roman" w:eastAsia="Times New Roman"/>
                <w:b/>
                <w:color w:val="auto"/>
                <w:spacing w:val="0"/>
                <w:position w:val="0"/>
                <w:sz w:val="24"/>
                <w:shd w:fill="auto" w:val="clear"/>
              </w:rPr>
              <w:t xml:space="preserve">Word</w:t>
              <w:tab/>
              <w:t xml:space="preserve">count</w:t>
              <w:tab/>
            </w:r>
            <w:r>
              <w:rPr>
                <w:rFonts w:ascii="Times New Roman" w:hAnsi="Times New Roman" w:cs="Times New Roman" w:eastAsia="Times New Roman"/>
                <w:b/>
                <w:color w:val="auto"/>
                <w:spacing w:val="-1"/>
                <w:position w:val="0"/>
                <w:sz w:val="24"/>
                <w:shd w:fill="auto" w:val="clear"/>
              </w:rPr>
              <w:t xml:space="preserve">(or</w:t>
            </w:r>
            <w:r>
              <w:rPr>
                <w:rFonts w:ascii="Times New Roman" w:hAnsi="Times New Roman" w:cs="Times New Roman" w:eastAsia="Times New Roman"/>
                <w:b/>
                <w:color w:val="auto"/>
                <w:spacing w:val="-59"/>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equivalent):</w:t>
            </w:r>
          </w:p>
        </w:tc>
        <w:tc>
          <w:tcPr>
            <w:tcW w:w="2269"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115" w:after="0" w:line="360"/>
              <w:ind w:right="0" w:left="106" w:firstLine="0"/>
              <w:jc w:val="left"/>
              <w:rPr>
                <w:color w:val="auto"/>
                <w:position w:val="0"/>
                <w:shd w:fill="auto" w:val="clear"/>
              </w:rPr>
            </w:pPr>
            <w:r>
              <w:rPr>
                <w:rFonts w:ascii="Times New Roman" w:hAnsi="Times New Roman" w:cs="Times New Roman" w:eastAsia="Times New Roman"/>
                <w:b/>
                <w:color w:val="auto"/>
                <w:spacing w:val="0"/>
                <w:position w:val="0"/>
                <w:sz w:val="24"/>
                <w:shd w:fill="auto" w:val="clear"/>
              </w:rPr>
              <w:t xml:space="preserve">2000</w:t>
            </w:r>
            <w:r>
              <w:rPr>
                <w:rFonts w:ascii="Times New Roman" w:hAnsi="Times New Roman" w:cs="Times New Roman" w:eastAsia="Times New Roman"/>
                <w:b/>
                <w:color w:val="auto"/>
                <w:spacing w:val="-1"/>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words</w:t>
            </w:r>
          </w:p>
        </w:tc>
      </w:tr>
      <w:tr>
        <w:trPr>
          <w:trHeight w:val="1435" w:hRule="auto"/>
          <w:jc w:val="center"/>
        </w:trPr>
        <w:tc>
          <w:tcPr>
            <w:tcW w:w="2096" w:type="dxa"/>
            <w:tcBorders>
              <w:top w:val="single" w:color="000000" w:sz="4"/>
              <w:left w:val="single" w:color="000000" w:sz="4"/>
              <w:bottom w:val="single" w:color="000000" w:sz="4"/>
              <w:right w:val="single" w:color="000000" w:sz="4"/>
            </w:tcBorders>
            <w:shd w:color="auto" w:fill="d9d9d9" w:val="clear"/>
            <w:tcMar>
              <w:left w:w="0" w:type="dxa"/>
              <w:right w:w="0" w:type="dxa"/>
            </w:tcMar>
            <w:vAlign w:val="top"/>
          </w:tcPr>
          <w:p>
            <w:pPr>
              <w:spacing w:before="115" w:after="0" w:line="360"/>
              <w:ind w:right="711" w:left="108" w:firstLine="0"/>
              <w:jc w:val="left"/>
              <w:rPr>
                <w:color w:val="auto"/>
                <w:position w:val="0"/>
                <w:sz w:val="22"/>
                <w:shd w:fill="auto" w:val="clear"/>
              </w:rPr>
            </w:pPr>
            <w:r>
              <w:rPr>
                <w:rFonts w:ascii="Times New Roman" w:hAnsi="Times New Roman" w:cs="Times New Roman" w:eastAsia="Times New Roman"/>
                <w:b/>
                <w:color w:val="auto"/>
                <w:spacing w:val="0"/>
                <w:position w:val="0"/>
                <w:sz w:val="22"/>
                <w:shd w:fill="auto" w:val="clear"/>
              </w:rPr>
              <w:t xml:space="preserve">Submission</w:t>
            </w:r>
            <w:r>
              <w:rPr>
                <w:rFonts w:ascii="Times New Roman" w:hAnsi="Times New Roman" w:cs="Times New Roman" w:eastAsia="Times New Roman"/>
                <w:b/>
                <w:color w:val="auto"/>
                <w:spacing w:val="-59"/>
                <w:position w:val="0"/>
                <w:sz w:val="22"/>
                <w:shd w:fill="auto" w:val="clear"/>
              </w:rPr>
              <w:t xml:space="preserve"> </w:t>
            </w:r>
            <w:r>
              <w:rPr>
                <w:rFonts w:ascii="Times New Roman" w:hAnsi="Times New Roman" w:cs="Times New Roman" w:eastAsia="Times New Roman"/>
                <w:b/>
                <w:color w:val="auto"/>
                <w:spacing w:val="0"/>
                <w:position w:val="0"/>
                <w:sz w:val="22"/>
                <w:shd w:fill="auto" w:val="clear"/>
              </w:rPr>
              <w:t xml:space="preserve">deadline:</w:t>
            </w:r>
          </w:p>
        </w:tc>
        <w:tc>
          <w:tcPr>
            <w:tcW w:w="3294"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115" w:after="0" w:line="360"/>
              <w:ind w:right="646" w:left="105"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To</w:t>
            </w:r>
            <w:r>
              <w:rPr>
                <w:rFonts w:ascii="Times New Roman" w:hAnsi="Times New Roman" w:cs="Times New Roman" w:eastAsia="Times New Roman"/>
                <w:b/>
                <w:color w:val="auto"/>
                <w:spacing w:val="-4"/>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be</w:t>
            </w:r>
            <w:r>
              <w:rPr>
                <w:rFonts w:ascii="Times New Roman" w:hAnsi="Times New Roman" w:cs="Times New Roman" w:eastAsia="Times New Roman"/>
                <w:b/>
                <w:color w:val="auto"/>
                <w:spacing w:val="-3"/>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announced</w:t>
            </w:r>
            <w:r>
              <w:rPr>
                <w:rFonts w:ascii="Times New Roman" w:hAnsi="Times New Roman" w:cs="Times New Roman" w:eastAsia="Times New Roman"/>
                <w:b/>
                <w:color w:val="auto"/>
                <w:spacing w:val="-3"/>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by</w:t>
            </w:r>
            <w:r>
              <w:rPr>
                <w:rFonts w:ascii="Times New Roman" w:hAnsi="Times New Roman" w:cs="Times New Roman" w:eastAsia="Times New Roman"/>
                <w:b/>
                <w:color w:val="auto"/>
                <w:spacing w:val="-8"/>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the</w:t>
            </w:r>
            <w:r>
              <w:rPr>
                <w:rFonts w:ascii="Times New Roman" w:hAnsi="Times New Roman" w:cs="Times New Roman" w:eastAsia="Times New Roman"/>
                <w:b/>
                <w:color w:val="auto"/>
                <w:spacing w:val="-58"/>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Assessment team-</w:t>
            </w:r>
          </w:p>
          <w:p>
            <w:pPr>
              <w:spacing w:before="3" w:after="0" w:line="360"/>
              <w:ind w:right="133" w:left="105" w:firstLine="0"/>
              <w:jc w:val="left"/>
              <w:rPr>
                <w:color w:val="auto"/>
                <w:position w:val="0"/>
                <w:shd w:fill="auto" w:val="clear"/>
              </w:rPr>
            </w:pPr>
            <w:r>
              <w:rPr>
                <w:rFonts w:ascii="Times New Roman" w:hAnsi="Times New Roman" w:cs="Times New Roman" w:eastAsia="Times New Roman"/>
                <w:b/>
                <w:color w:val="auto"/>
                <w:spacing w:val="0"/>
                <w:position w:val="0"/>
                <w:sz w:val="24"/>
                <w:shd w:fill="auto" w:val="clear"/>
              </w:rPr>
              <w:t xml:space="preserve">Please</w:t>
            </w:r>
            <w:r>
              <w:rPr>
                <w:rFonts w:ascii="Times New Roman" w:hAnsi="Times New Roman" w:cs="Times New Roman" w:eastAsia="Times New Roman"/>
                <w:b/>
                <w:color w:val="auto"/>
                <w:spacing w:val="-4"/>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refer</w:t>
            </w:r>
            <w:r>
              <w:rPr>
                <w:rFonts w:ascii="Times New Roman" w:hAnsi="Times New Roman" w:cs="Times New Roman" w:eastAsia="Times New Roman"/>
                <w:b/>
                <w:color w:val="auto"/>
                <w:spacing w:val="-6"/>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to</w:t>
            </w:r>
            <w:r>
              <w:rPr>
                <w:rFonts w:ascii="Times New Roman" w:hAnsi="Times New Roman" w:cs="Times New Roman" w:eastAsia="Times New Roman"/>
                <w:b/>
                <w:color w:val="auto"/>
                <w:spacing w:val="-5"/>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the</w:t>
            </w:r>
            <w:r>
              <w:rPr>
                <w:rFonts w:ascii="Times New Roman" w:hAnsi="Times New Roman" w:cs="Times New Roman" w:eastAsia="Times New Roman"/>
                <w:b/>
                <w:color w:val="auto"/>
                <w:spacing w:val="-6"/>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assessments</w:t>
            </w:r>
            <w:r>
              <w:rPr>
                <w:rFonts w:ascii="Times New Roman" w:hAnsi="Times New Roman" w:cs="Times New Roman" w:eastAsia="Times New Roman"/>
                <w:b/>
                <w:color w:val="auto"/>
                <w:spacing w:val="-52"/>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schedule published on</w:t>
            </w:r>
            <w:r>
              <w:rPr>
                <w:rFonts w:ascii="Times New Roman" w:hAnsi="Times New Roman" w:cs="Times New Roman" w:eastAsia="Times New Roman"/>
                <w:b/>
                <w:color w:val="auto"/>
                <w:spacing w:val="1"/>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Students’</w:t>
            </w:r>
            <w:r>
              <w:rPr>
                <w:rFonts w:ascii="Times New Roman" w:hAnsi="Times New Roman" w:cs="Times New Roman" w:eastAsia="Times New Roman"/>
                <w:b/>
                <w:color w:val="auto"/>
                <w:spacing w:val="-3"/>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Hall</w:t>
            </w:r>
            <w:r>
              <w:rPr>
                <w:rFonts w:ascii="Times New Roman" w:hAnsi="Times New Roman" w:cs="Times New Roman" w:eastAsia="Times New Roman"/>
                <w:b/>
                <w:color w:val="auto"/>
                <w:spacing w:val="-2"/>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in Moodle</w:t>
            </w:r>
          </w:p>
        </w:tc>
        <w:tc>
          <w:tcPr>
            <w:tcW w:w="2269" w:type="dxa"/>
            <w:tcBorders>
              <w:top w:val="single" w:color="000000" w:sz="4"/>
              <w:left w:val="single" w:color="000000" w:sz="4"/>
              <w:bottom w:val="single" w:color="000000" w:sz="4"/>
              <w:right w:val="single" w:color="000000" w:sz="4"/>
            </w:tcBorders>
            <w:shd w:color="auto" w:fill="d9d9d9" w:val="clear"/>
            <w:tcMar>
              <w:left w:w="0" w:type="dxa"/>
              <w:right w:w="0" w:type="dxa"/>
            </w:tcMar>
            <w:vAlign w:val="top"/>
          </w:tcPr>
          <w:p>
            <w:pPr>
              <w:spacing w:before="115" w:after="0" w:line="360"/>
              <w:ind w:right="481" w:left="107" w:firstLine="0"/>
              <w:jc w:val="left"/>
              <w:rPr>
                <w:color w:val="auto"/>
                <w:position w:val="0"/>
                <w:shd w:fill="auto" w:val="clear"/>
              </w:rPr>
            </w:pPr>
            <w:r>
              <w:rPr>
                <w:rFonts w:ascii="Times New Roman" w:hAnsi="Times New Roman" w:cs="Times New Roman" w:eastAsia="Times New Roman"/>
                <w:b/>
                <w:color w:val="auto"/>
                <w:spacing w:val="0"/>
                <w:position w:val="0"/>
                <w:sz w:val="24"/>
                <w:shd w:fill="auto" w:val="clear"/>
              </w:rPr>
              <w:t xml:space="preserve">Return date of</w:t>
            </w:r>
            <w:r>
              <w:rPr>
                <w:rFonts w:ascii="Times New Roman" w:hAnsi="Times New Roman" w:cs="Times New Roman" w:eastAsia="Times New Roman"/>
                <w:b/>
                <w:color w:val="auto"/>
                <w:spacing w:val="1"/>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marks &amp; written</w:t>
            </w:r>
            <w:r>
              <w:rPr>
                <w:rFonts w:ascii="Times New Roman" w:hAnsi="Times New Roman" w:cs="Times New Roman" w:eastAsia="Times New Roman"/>
                <w:b/>
                <w:color w:val="auto"/>
                <w:spacing w:val="-59"/>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feedback:</w:t>
            </w:r>
          </w:p>
        </w:tc>
        <w:tc>
          <w:tcPr>
            <w:tcW w:w="2269"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115" w:after="0" w:line="360"/>
              <w:ind w:right="580" w:left="106" w:firstLine="0"/>
              <w:jc w:val="left"/>
              <w:rPr>
                <w:color w:val="auto"/>
                <w:position w:val="0"/>
                <w:shd w:fill="auto" w:val="clear"/>
              </w:rPr>
            </w:pPr>
            <w:r>
              <w:rPr>
                <w:rFonts w:ascii="Times New Roman" w:hAnsi="Times New Roman" w:cs="Times New Roman" w:eastAsia="Times New Roman"/>
                <w:b/>
                <w:color w:val="auto"/>
                <w:spacing w:val="0"/>
                <w:position w:val="0"/>
                <w:sz w:val="24"/>
                <w:shd w:fill="auto" w:val="clear"/>
              </w:rPr>
              <w:t xml:space="preserve">After the Exam</w:t>
            </w:r>
            <w:r>
              <w:rPr>
                <w:rFonts w:ascii="Times New Roman" w:hAnsi="Times New Roman" w:cs="Times New Roman" w:eastAsia="Times New Roman"/>
                <w:b/>
                <w:color w:val="auto"/>
                <w:spacing w:val="-59"/>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Board</w:t>
            </w:r>
          </w:p>
        </w:tc>
      </w:tr>
    </w:tbl>
    <w:p>
      <w:pPr>
        <w:spacing w:before="0" w:after="200" w:line="360"/>
        <w:ind w:right="0" w:left="0" w:firstLine="0"/>
        <w:jc w:val="left"/>
        <w:rPr>
          <w:rFonts w:ascii="Times New Roman" w:hAnsi="Times New Roman" w:cs="Times New Roman" w:eastAsia="Times New Roman"/>
          <w:color w:val="auto"/>
          <w:spacing w:val="0"/>
          <w:position w:val="0"/>
          <w:sz w:val="22"/>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200" w:line="360"/>
        <w:ind w:right="0" w:left="0" w:firstLine="0"/>
        <w:jc w:val="left"/>
        <w:rPr>
          <w:rFonts w:ascii="Times New Roman" w:hAnsi="Times New Roman" w:cs="Times New Roman" w:eastAsia="Times New Roman"/>
          <w:color w:val="auto"/>
          <w:spacing w:val="0"/>
          <w:position w:val="0"/>
          <w:sz w:val="22"/>
          <w:shd w:fill="auto" w:val="clear"/>
        </w:rPr>
      </w:pPr>
    </w:p>
    <w:p>
      <w:pPr>
        <w:spacing w:before="0" w:after="300" w:line="360"/>
        <w:ind w:right="0" w:left="0" w:firstLine="0"/>
        <w:jc w:val="center"/>
        <w:rPr>
          <w:rFonts w:ascii="Times New Roman" w:hAnsi="Times New Roman" w:cs="Times New Roman" w:eastAsia="Times New Roman"/>
          <w:b/>
          <w:color w:val="auto"/>
          <w:spacing w:val="5"/>
          <w:position w:val="0"/>
          <w:sz w:val="36"/>
          <w:shd w:fill="auto" w:val="clear"/>
        </w:rPr>
      </w:pPr>
      <w:r>
        <w:rPr>
          <w:rFonts w:ascii="Times New Roman" w:hAnsi="Times New Roman" w:cs="Times New Roman" w:eastAsia="Times New Roman"/>
          <w:b/>
          <w:color w:val="auto"/>
          <w:spacing w:val="5"/>
          <w:position w:val="0"/>
          <w:sz w:val="36"/>
          <w:shd w:fill="auto" w:val="clear"/>
        </w:rPr>
        <w:t xml:space="preserve">Introduction to Modern Workplace</w:t>
      </w:r>
    </w:p>
    <w:p>
      <w:pPr>
        <w:spacing w:before="0" w:after="200" w:line="360"/>
        <w:ind w:right="0" w:left="0" w:firstLine="0"/>
        <w:jc w:val="left"/>
        <w:rPr>
          <w:rFonts w:ascii="Times New Roman" w:hAnsi="Times New Roman" w:cs="Times New Roman" w:eastAsia="Times New Roman"/>
          <w:color w:val="auto"/>
          <w:spacing w:val="0"/>
          <w:position w:val="0"/>
          <w:sz w:val="22"/>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Executive Summary</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Unilever operates 400 brands such as Lipton tea, Brooke Bond, and many more in more than 190 countries. The company needs to manage and control all the sectors situated in different countries. Additionally, the organizational structure helps the company to shape its business plans and assign job roles to employees to maintain a steady flow of work. Unilever divides its employees into groups based on particular projects or geographical locations that help the managers to concentrate on their teams. The company maintains an inclusive cultural principle to hire people from different cultural values to initiate new perspectives and produce variable products. This enables Unilever to expand its business in different countries. The factors that affect the individuals' performance in a company are attitude and gender. These factors needs to be managed and controlled managers to maintain a positive environment inside the organization. Therefore, Unilever maintains a positive and product-based work culture that focuses on the efficiency of employees and quality of products.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1.0 Introduction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modern workplace signifies the implementation of new ideas and technologies to modernize the internal environment of an organization. This study shed light on Unilever's organizational structure and its behaviour for better performance of employees and faster production of items. Unilever is a multinational company that manufactures commercial products such as foods, beverages, and health products and distributes them worldwide. The company consists of 400 brands under it. It was founded by the merger of the Dutch margarine producer Margarine Unie and the British soapmaker Lever Brothers. The revenue generated by the company in 2020 is 50.7 billion Euros with 2.4% of the market share (unilever.com, 2021).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Unilever faces a strong competition from Sainsbury plc Company that produce and sell similar products. Sainsbury is the second largest company that maintains a large chain of supermarkets in United Kingdom. The company offers distinguishing and unique products to consumers and improve their technologies for fast production and delivery. The revenue generated by Sainsbury is 32.4 billion British pounds which is the second highest value in UK. Sainsbury made a profit of 255 million British pounds that is the highest profit margin of the company (sainsbury.co.uk, 2019).  Unilever faces major threat from Sainsbury company that increases competition in the market.</w:t>
      </w:r>
    </w:p>
    <w:p>
      <w:pPr>
        <w:spacing w:before="0" w:after="200" w:line="36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FFFFFF" w:val="clear"/>
        </w:rPr>
        <w:t xml:space="preserve">Discussion on organizational behavior and its importance for better performances</w:t>
      </w:r>
    </w:p>
    <w:p>
      <w:pPr>
        <w:numPr>
          <w:ilvl w:val="0"/>
          <w:numId w:val="50"/>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Focus on performance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This focuses on both employees and organizational performances. This enables the company to divide the whole unit into groups with specialized talents.</w:t>
      </w:r>
    </w:p>
    <w:p>
      <w:pPr>
        <w:numPr>
          <w:ilvl w:val="0"/>
          <w:numId w:val="50"/>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Focus on quality</w:t>
      </w:r>
      <w:r>
        <w:rPr>
          <w:rFonts w:ascii="Times New Roman" w:hAnsi="Times New Roman" w:cs="Times New Roman" w:eastAsia="Times New Roman"/>
          <w:color w:val="auto"/>
          <w:spacing w:val="0"/>
          <w:position w:val="0"/>
          <w:sz w:val="24"/>
          <w:shd w:fill="auto" w:val="clear"/>
        </w:rPr>
        <w:t xml:space="preserve">- Improving the quality of products and distribution worldwide. This enabled Unilever to manage and control 400 brands in different countries (Casalino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2019).</w:t>
      </w:r>
    </w:p>
    <w:p>
      <w:pPr>
        <w:numPr>
          <w:ilvl w:val="0"/>
          <w:numId w:val="50"/>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Efficiency</w:t>
      </w:r>
      <w:r>
        <w:rPr>
          <w:rFonts w:ascii="Times New Roman" w:hAnsi="Times New Roman" w:cs="Times New Roman" w:eastAsia="Times New Roman"/>
          <w:color w:val="auto"/>
          <w:spacing w:val="0"/>
          <w:position w:val="0"/>
          <w:sz w:val="24"/>
          <w:shd w:fill="auto" w:val="clear"/>
        </w:rPr>
        <w:t xml:space="preserve">- It depends on employees that are productive and dedicated to their work. The company consists of 21000 efficient employees working in it for fast production of products.</w:t>
      </w: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2.0 Describe the organizational structure, its different types, and a discussion on their appropriateness with different organizations. </w:t>
      </w:r>
    </w:p>
    <w:p>
      <w:pPr>
        <w:numPr>
          <w:ilvl w:val="0"/>
          <w:numId w:val="52"/>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Functional- </w:t>
      </w:r>
      <w:r>
        <w:rPr>
          <w:rFonts w:ascii="Times New Roman" w:hAnsi="Times New Roman" w:cs="Times New Roman" w:eastAsia="Times New Roman"/>
          <w:color w:val="auto"/>
          <w:spacing w:val="0"/>
          <w:position w:val="0"/>
          <w:sz w:val="24"/>
          <w:shd w:fill="auto" w:val="clear"/>
        </w:rPr>
        <w:t xml:space="preserve">Unilever and Sainsbury have their functional departments in their segments. Unilever consists of finance and marketing department separate while Sainsbury consists of one department for both finance and marketing (Zhang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2019). The functionality of Unilever is diversified where one department does not take responsibilities of other department. Sainsbury consists of less functional departments. </w:t>
      </w:r>
    </w:p>
    <w:p>
      <w:pPr>
        <w:spacing w:before="0" w:after="0" w:line="360"/>
        <w:ind w:right="0" w:left="720" w:firstLine="0"/>
        <w:jc w:val="center"/>
        <w:rPr>
          <w:rFonts w:ascii="Times New Roman" w:hAnsi="Times New Roman" w:cs="Times New Roman" w:eastAsia="Times New Roman"/>
          <w:color w:val="auto"/>
          <w:spacing w:val="0"/>
          <w:position w:val="0"/>
          <w:sz w:val="24"/>
          <w:shd w:fill="auto" w:val="clear"/>
        </w:rPr>
      </w:pPr>
      <w:r>
        <w:object w:dxaOrig="2793" w:dyaOrig="3744">
          <v:rect xmlns:o="urn:schemas-microsoft-com:office:office" xmlns:v="urn:schemas-microsoft-com:vml" id="rectole0000000001" style="width:139.650000pt;height:187.2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72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 Organisational structure</w:t>
      </w:r>
    </w:p>
    <w:p>
      <w:pPr>
        <w:spacing w:before="0" w:after="0" w:line="360"/>
        <w:ind w:right="0" w:left="720" w:firstLine="0"/>
        <w:jc w:val="center"/>
        <w:rPr>
          <w:rFonts w:ascii="Times New Roman" w:hAnsi="Times New Roman" w:cs="Times New Roman" w:eastAsia="Times New Roman"/>
          <w:color w:val="auto"/>
          <w:spacing w:val="0"/>
          <w:position w:val="0"/>
          <w:sz w:val="24"/>
          <w:shd w:fill="auto" w:val="clear"/>
        </w:rPr>
      </w:pPr>
    </w:p>
    <w:p>
      <w:pPr>
        <w:numPr>
          <w:ilvl w:val="0"/>
          <w:numId w:val="5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Divisional-</w:t>
      </w:r>
      <w:r>
        <w:rPr>
          <w:rFonts w:ascii="Times New Roman" w:hAnsi="Times New Roman" w:cs="Times New Roman" w:eastAsia="Times New Roman"/>
          <w:color w:val="auto"/>
          <w:spacing w:val="0"/>
          <w:position w:val="0"/>
          <w:sz w:val="24"/>
          <w:shd w:fill="auto" w:val="clear"/>
        </w:rPr>
        <w:t xml:space="preserve">.Unilever organisational structure depends on divisions which enable the employees of this company to do their specialized tasks with their talents. Sainsbury divide their groups according to talents and skills and send them in different parts of world.</w:t>
      </w:r>
    </w:p>
    <w:p>
      <w:pPr>
        <w:numPr>
          <w:ilvl w:val="0"/>
          <w:numId w:val="5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Matrix- </w:t>
      </w:r>
      <w:r>
        <w:rPr>
          <w:rFonts w:ascii="Times New Roman" w:hAnsi="Times New Roman" w:cs="Times New Roman" w:eastAsia="Times New Roman"/>
          <w:color w:val="auto"/>
          <w:spacing w:val="0"/>
          <w:position w:val="0"/>
          <w:sz w:val="24"/>
          <w:shd w:fill="auto" w:val="clear"/>
        </w:rPr>
        <w:t xml:space="preserve">Sainsbury maintains matrix organisational structure where it controls both functional as well divisional groups that enable the company to overlook all the operations in different countries(Bilgeri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2017).. Unilever has to face difficulty in managing and controlling all the operations of the company in different regions.</w:t>
      </w:r>
    </w:p>
    <w:p>
      <w:pPr>
        <w:numPr>
          <w:ilvl w:val="0"/>
          <w:numId w:val="5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Flat-</w:t>
      </w:r>
      <w:r>
        <w:rPr>
          <w:rFonts w:ascii="Times New Roman" w:hAnsi="Times New Roman" w:cs="Times New Roman" w:eastAsia="Times New Roman"/>
          <w:color w:val="auto"/>
          <w:spacing w:val="0"/>
          <w:position w:val="0"/>
          <w:sz w:val="24"/>
          <w:shd w:fill="auto" w:val="clear"/>
        </w:rPr>
        <w:t xml:space="preserve">. Both Unilever and Sainsbury do not follow flat organisational structure because it is a traditional approach of organising the groups of the company (Damanpour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2018). The disadvantages of flat organisational structure are the management may lose control over the company’s operations; the employees may lack a proper senior authority and may hinder the growth of the company</w:t>
      </w:r>
      <w:r>
        <w:rPr>
          <w:rFonts w:ascii="Times New Roman" w:hAnsi="Times New Roman" w:cs="Times New Roman" w:eastAsia="Times New Roman"/>
          <w:b/>
          <w:color w:val="auto"/>
          <w:spacing w:val="0"/>
          <w:position w:val="0"/>
          <w:sz w:val="24"/>
          <w:shd w:fill="auto" w:val="clear"/>
        </w:rPr>
        <w:t xml:space="preserv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Unilever maintains divisional organisational structure that divides the whole group of the company into specific divisions based on definite projects or geographic locations. The company focus on the product quality and consumers’ demands. The group that is responsible for specific products have semi-autonomous capabilities that suit the demands of consumers in the market. This enables the company to differentiate its products and divide teams who are capable of manufacturing and controlling production of those particular products. Unilever receive least support for business strategic implementations in different regions. On the other hand, Sainsbury follows hierarchical order of management in the company where it maintains a series of levels of people and there is difference in the control in each level. For example, senior authority is responsible for managing the line managers and line managers are responsible for maintaining employees.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company consists of matrix organisational structure where it maintains both functional as well as divisional groups. The matrix organisational structure provides flexibility and allows the company to adapt to different situations such as pay rise of employees, product price in different countries and power to compete against its competitors. The employees are well informed about their tasks and responsibilities that they have to undertake while completing those tasks. </w:t>
      </w: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3.0 Describe organizational culture, its different types, and a discussion on their appropriateness with different organizations.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organizational culture is the ethics and values that the company adopts to maintain a balanced work culture. There are four basic organizational cultures are:</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3254" w:dyaOrig="3216">
          <v:rect xmlns:o="urn:schemas-microsoft-com:office:office" xmlns:v="urn:schemas-microsoft-com:vml" id="rectole0000000002" style="width:162.700000pt;height:160.8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2: Organisational Culture </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p>
    <w:p>
      <w:pPr>
        <w:numPr>
          <w:ilvl w:val="0"/>
          <w:numId w:val="59"/>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Clan culture- </w:t>
      </w:r>
      <w:r>
        <w:rPr>
          <w:rFonts w:ascii="Times New Roman" w:hAnsi="Times New Roman" w:cs="Times New Roman" w:eastAsia="Times New Roman"/>
          <w:color w:val="auto"/>
          <w:spacing w:val="0"/>
          <w:position w:val="0"/>
          <w:sz w:val="24"/>
          <w:shd w:fill="auto" w:val="clear"/>
        </w:rPr>
        <w:t xml:space="preserve">This culture helps in building interpersonal relationships among the employees and managers.. Leaders become mentors so that their team members can freely communicate with them and discuss their problems (</w:t>
      </w:r>
      <w:r>
        <w:rPr>
          <w:rFonts w:ascii="Times New Roman" w:hAnsi="Times New Roman" w:cs="Times New Roman" w:eastAsia="Times New Roman"/>
          <w:color w:val="auto"/>
          <w:spacing w:val="0"/>
          <w:position w:val="0"/>
          <w:sz w:val="24"/>
          <w:shd w:fill="FFFFFF" w:val="clear"/>
        </w:rPr>
        <w:t xml:space="preserve">Braithwaite </w:t>
      </w:r>
      <w:r>
        <w:rPr>
          <w:rFonts w:ascii="Times New Roman" w:hAnsi="Times New Roman" w:cs="Times New Roman" w:eastAsia="Times New Roman"/>
          <w:i/>
          <w:color w:val="auto"/>
          <w:spacing w:val="0"/>
          <w:position w:val="0"/>
          <w:sz w:val="24"/>
          <w:shd w:fill="FFFFFF" w:val="clear"/>
        </w:rPr>
        <w:t xml:space="preserve">et al., </w:t>
      </w:r>
      <w:r>
        <w:rPr>
          <w:rFonts w:ascii="Times New Roman" w:hAnsi="Times New Roman" w:cs="Times New Roman" w:eastAsia="Times New Roman"/>
          <w:color w:val="auto"/>
          <w:spacing w:val="0"/>
          <w:position w:val="0"/>
          <w:sz w:val="24"/>
          <w:shd w:fill="FFFFFF" w:val="clear"/>
        </w:rPr>
        <w:t xml:space="preserve">2017)</w:t>
      </w:r>
      <w:r>
        <w:rPr>
          <w:rFonts w:ascii="Times New Roman" w:hAnsi="Times New Roman" w:cs="Times New Roman" w:eastAsia="Times New Roman"/>
          <w:color w:val="auto"/>
          <w:spacing w:val="0"/>
          <w:position w:val="0"/>
          <w:sz w:val="24"/>
          <w:shd w:fill="auto" w:val="clear"/>
        </w:rPr>
        <w:t xml:space="preserve">.. Unilever and Sainsbury both consist of free environment where employees can discuss their problems. The managers have an open mindset to listen to all the problems of the employees and critical think on that particular matter before giving their decisions and solving the matter. Sainsbury organisational culture is more flexible than Unilever as it maintains separate groups in both national as well as in international grounds.</w:t>
      </w:r>
    </w:p>
    <w:p>
      <w:pPr>
        <w:numPr>
          <w:ilvl w:val="0"/>
          <w:numId w:val="59"/>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Adhocracy- </w:t>
      </w:r>
      <w:r>
        <w:rPr>
          <w:rFonts w:ascii="Times New Roman" w:hAnsi="Times New Roman" w:cs="Times New Roman" w:eastAsia="Times New Roman"/>
          <w:color w:val="auto"/>
          <w:spacing w:val="0"/>
          <w:position w:val="0"/>
          <w:sz w:val="24"/>
          <w:shd w:fill="auto" w:val="clear"/>
        </w:rPr>
        <w:t xml:space="preserve">It focuses on the creativity experiments and concentrates on employees to improve their performance to give their best. Sainsbury has maintains a happy community work culture to improve the efficiency of the company and improve their production system. Unilever face problem in their regional managerial firms that prevent the company to further expand their business model in different countries. Adhocracy cultural values help in accepting the risks and challenges to companies but maintenance and controlling power of risks are difficult for employees working under these companies. Unilever and Sainsbury consist of large operational units in different countries that expose the companies to major risks and challenges. The companies have to maintain a proper organisational culture to deal with their competitors in both national and international grounds.</w:t>
      </w:r>
    </w:p>
    <w:p>
      <w:pPr>
        <w:spacing w:before="0" w:after="0" w:line="360"/>
        <w:ind w:right="0" w:left="720" w:firstLine="0"/>
        <w:jc w:val="center"/>
        <w:rPr>
          <w:rFonts w:ascii="Times New Roman" w:hAnsi="Times New Roman" w:cs="Times New Roman" w:eastAsia="Times New Roman"/>
          <w:color w:val="auto"/>
          <w:spacing w:val="0"/>
          <w:position w:val="0"/>
          <w:sz w:val="24"/>
          <w:shd w:fill="auto" w:val="clear"/>
        </w:rPr>
      </w:pPr>
      <w:r>
        <w:object w:dxaOrig="3734" w:dyaOrig="2793">
          <v:rect xmlns:o="urn:schemas-microsoft-com:office:office" xmlns:v="urn:schemas-microsoft-com:vml" id="rectole0000000003" style="width:186.700000pt;height:139.6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0" w:line="360"/>
        <w:ind w:right="0" w:left="72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3: Culture in Organisation </w:t>
      </w:r>
    </w:p>
    <w:p>
      <w:pPr>
        <w:spacing w:before="0" w:after="0" w:line="360"/>
        <w:ind w:right="0" w:left="720" w:firstLine="0"/>
        <w:jc w:val="center"/>
        <w:rPr>
          <w:rFonts w:ascii="Times New Roman" w:hAnsi="Times New Roman" w:cs="Times New Roman" w:eastAsia="Times New Roman"/>
          <w:color w:val="auto"/>
          <w:spacing w:val="0"/>
          <w:position w:val="0"/>
          <w:sz w:val="24"/>
          <w:shd w:fill="auto" w:val="clear"/>
        </w:rPr>
      </w:pPr>
    </w:p>
    <w:p>
      <w:pPr>
        <w:numPr>
          <w:ilvl w:val="0"/>
          <w:numId w:val="61"/>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Market- </w:t>
      </w:r>
      <w:r>
        <w:rPr>
          <w:rFonts w:ascii="Times New Roman" w:hAnsi="Times New Roman" w:cs="Times New Roman" w:eastAsia="Times New Roman"/>
          <w:color w:val="auto"/>
          <w:spacing w:val="0"/>
          <w:position w:val="0"/>
          <w:sz w:val="24"/>
          <w:shd w:fill="auto" w:val="clear"/>
        </w:rPr>
        <w:t xml:space="preserve">It focuses on the competition in the market and the productivity of employees to respond to market competitors</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This type of culture is seen in Quora which is an question and answer website founded by two ex-Facebook employees in 2009. Unilever and Sainsbury focuses on changing trends of the market as both companies have their individual objectives and goals to beat each other in their individual competition. Sainsbury focuses on profits which enable the company to produce more new products and invent new technologies to improve their quality of items that attract new and existing consumers. The company keeps its products’ price range low to grab attention of potential audiences who may focus on Sainsbury only. On the other hand, Unilever focuses on products more than any orientation or geographical origin. Unilever consist of 400 brands which is maintained in several countries but still company faces challenges in its geographical origins.</w:t>
      </w:r>
    </w:p>
    <w:p>
      <w:pPr>
        <w:numPr>
          <w:ilvl w:val="0"/>
          <w:numId w:val="61"/>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Hierarchy- </w:t>
      </w:r>
      <w:r>
        <w:rPr>
          <w:rFonts w:ascii="Times New Roman" w:hAnsi="Times New Roman" w:cs="Times New Roman" w:eastAsia="Times New Roman"/>
          <w:color w:val="auto"/>
          <w:spacing w:val="0"/>
          <w:position w:val="0"/>
          <w:sz w:val="24"/>
          <w:shd w:fill="auto" w:val="clear"/>
        </w:rPr>
        <w:t xml:space="preserve">The Company divides the teams according to seniority level and maintains a proper organizational structure. Leaders motivate and encourage the employees to give their best (Ogbeibu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2018). This type of culture is seen in Amazon. Sainsbury maintains hierarchical management system in their organisation where senior management is responsible to manage their line managers who responsible for maintaining the entire workforce. The company maintains this order to eliminate confusion among the different levels that maintains the serenity inside Sainsbury and respect for each level. Sainsbury invest in new initiatives of the company, training and development of employees and implementation of new technologies that provide stability inside the firm.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Unilever and Sainsbury have a different cultural organisational structure. Sainsbury supports hierarchical structure of cultural organisation where all the levels of the company are distinguished and clear so that it may not confuse the other staffs. The employees have their specified roles and responsibilities which do not confuse them.  While Unilever focuses on the performance of employees and quality of products.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Both companies invest in implementing new technologies to improve their production system and introduce new products. Sainsbury Company consists of 3000 brands and they sell these products under their name</w:t>
      </w:r>
      <w:r>
        <w:rPr>
          <w:rFonts w:ascii="Calibri" w:hAnsi="Calibri" w:cs="Calibri" w:eastAsia="Calibri"/>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These improvements focus on all sectors such as market research, relationship with consumers and internal communications. Sainsbury consists of strong allies and they include LGTBA people in their firms to promote their cultural values. They eliminate discrimination in the company and promote a happy community. Unilever Company does not have LGBTA people in their colleague channel which indicates that the company have some level of discrimination in their company.</w:t>
      </w: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4.0 Analyze how organizational structure can influence organizational performances. This can be discussed in the context of your chosen organization.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Unilever consists of a divisional organization structure that divides the teams according to an assigned project or location. The company consists of 400 brands such as Dove, Lipton, and many more distributed throughout the world.  This kind of structure enables the leaders to focus on a small group of people and motivate them to give their best.  It helps the leaders to take important decisions by consulting their team members (</w:t>
      </w:r>
      <w:r>
        <w:rPr>
          <w:rFonts w:ascii="Times New Roman" w:hAnsi="Times New Roman" w:cs="Times New Roman" w:eastAsia="Times New Roman"/>
          <w:color w:val="auto"/>
          <w:spacing w:val="0"/>
          <w:position w:val="0"/>
          <w:sz w:val="24"/>
          <w:shd w:fill="FFFFFF" w:val="clear"/>
        </w:rPr>
        <w:t xml:space="preserve">Abubakar </w:t>
      </w:r>
      <w:r>
        <w:rPr>
          <w:rFonts w:ascii="Times New Roman" w:hAnsi="Times New Roman" w:cs="Times New Roman" w:eastAsia="Times New Roman"/>
          <w:i/>
          <w:color w:val="auto"/>
          <w:spacing w:val="0"/>
          <w:position w:val="0"/>
          <w:sz w:val="24"/>
          <w:shd w:fill="FFFFFF" w:val="clear"/>
        </w:rPr>
        <w:t xml:space="preserve">et al., </w:t>
      </w:r>
      <w:r>
        <w:rPr>
          <w:rFonts w:ascii="Times New Roman" w:hAnsi="Times New Roman" w:cs="Times New Roman" w:eastAsia="Times New Roman"/>
          <w:color w:val="auto"/>
          <w:spacing w:val="0"/>
          <w:position w:val="0"/>
          <w:sz w:val="24"/>
          <w:shd w:fill="FFFFFF" w:val="clear"/>
        </w:rPr>
        <w:t xml:space="preserve">2019)</w:t>
      </w:r>
      <w:r>
        <w:rPr>
          <w:rFonts w:ascii="Times New Roman" w:hAnsi="Times New Roman" w:cs="Times New Roman" w:eastAsia="Times New Roman"/>
          <w:color w:val="auto"/>
          <w:spacing w:val="0"/>
          <w:position w:val="0"/>
          <w:sz w:val="24"/>
          <w:shd w:fill="auto" w:val="clear"/>
        </w:rPr>
        <w:t xml:space="preserve">.  This helps the team to focus on a single project without involving extra tasks that enhance their skills and talents. It also helps the company’s senior authority to focus on different sections of the company and check the functionality of each group. The structure provides a clear vision and objectives for the employees that enable them to work accordingly. It helps in creating a positive atmosphere inside the organization.</w:t>
      </w: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auto" w:val="clear"/>
        </w:rPr>
        <w:t xml:space="preserve">5.0 Discuss different factors which can influence individual behavior at the workplace.</w:t>
      </w:r>
      <w:r>
        <w:rPr>
          <w:rFonts w:ascii="Times New Roman" w:hAnsi="Times New Roman" w:cs="Times New Roman" w:eastAsia="Times New Roman"/>
          <w:b/>
          <w:color w:val="auto"/>
          <w:spacing w:val="0"/>
          <w:position w:val="0"/>
          <w:sz w:val="24"/>
          <w:shd w:fill="FFFFFF" w:val="clear"/>
        </w:rPr>
        <w:t xml:space="preserve"> </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different factors that can influence individual behavior at the workplace are:</w:t>
      </w:r>
    </w:p>
    <w:p>
      <w:pPr>
        <w:numPr>
          <w:ilvl w:val="0"/>
          <w:numId w:val="67"/>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Abilities- </w:t>
      </w:r>
      <w:r>
        <w:rPr>
          <w:rFonts w:ascii="Times New Roman" w:hAnsi="Times New Roman" w:cs="Times New Roman" w:eastAsia="Times New Roman"/>
          <w:color w:val="auto"/>
          <w:spacing w:val="0"/>
          <w:position w:val="0"/>
          <w:sz w:val="24"/>
          <w:shd w:fill="auto" w:val="clear"/>
        </w:rPr>
        <w:t xml:space="preserve">Unilever employs people coming from different countries to understand their preferences and habits and create a cultural value inside the organization (Chen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2019). The divisional structure of Unilever enables the company to group people according to their talents and skills.</w:t>
      </w:r>
    </w:p>
    <w:p>
      <w:pPr>
        <w:numPr>
          <w:ilvl w:val="0"/>
          <w:numId w:val="67"/>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Gender</w:t>
      </w:r>
      <w:r>
        <w:rPr>
          <w:rFonts w:ascii="Times New Roman" w:hAnsi="Times New Roman" w:cs="Times New Roman" w:eastAsia="Times New Roman"/>
          <w:color w:val="auto"/>
          <w:spacing w:val="0"/>
          <w:position w:val="0"/>
          <w:sz w:val="24"/>
          <w:shd w:fill="auto" w:val="clear"/>
        </w:rPr>
        <w:t xml:space="preserve">-. Unilever supports gender equality to maintain a stable environment and harmony in the company.</w:t>
      </w:r>
    </w:p>
    <w:p>
      <w:pPr>
        <w:numPr>
          <w:ilvl w:val="0"/>
          <w:numId w:val="67"/>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Perception- </w:t>
      </w:r>
      <w:r>
        <w:rPr>
          <w:rFonts w:ascii="Times New Roman" w:hAnsi="Times New Roman" w:cs="Times New Roman" w:eastAsia="Times New Roman"/>
          <w:color w:val="auto"/>
          <w:spacing w:val="0"/>
          <w:position w:val="0"/>
          <w:sz w:val="24"/>
          <w:shd w:fill="auto" w:val="clear"/>
        </w:rPr>
        <w:t xml:space="preserve">This enables people to understand the standards and job role that company offers (Slemp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2018). The managers of Unilever should be able to produce clear objectives and goals for the company. </w:t>
      </w:r>
    </w:p>
    <w:p>
      <w:pPr>
        <w:numPr>
          <w:ilvl w:val="0"/>
          <w:numId w:val="67"/>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Attitude- </w:t>
      </w:r>
      <w:r>
        <w:rPr>
          <w:rFonts w:ascii="Times New Roman" w:hAnsi="Times New Roman" w:cs="Times New Roman" w:eastAsia="Times New Roman"/>
          <w:color w:val="auto"/>
          <w:spacing w:val="0"/>
          <w:position w:val="0"/>
          <w:sz w:val="24"/>
          <w:shd w:fill="auto" w:val="clear"/>
        </w:rPr>
        <w:t xml:space="preserve">This focuses on how the employees react to certain situations. The managers' attitude plays an important role in maintaining the workforce (Tarcan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2017). </w:t>
      </w: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4"/>
          <w:shd w:fill="FFFFFF" w:val="clear"/>
        </w:rPr>
      </w:pPr>
    </w:p>
    <w:p>
      <w:pPr>
        <w:spacing w:before="0" w:after="200" w:line="276"/>
        <w:ind w:right="0" w:left="0" w:firstLine="0"/>
        <w:jc w:val="left"/>
        <w:rPr>
          <w:rFonts w:ascii="Calibri" w:hAnsi="Calibri" w:cs="Calibri" w:eastAsia="Calibri"/>
          <w:color w:val="auto"/>
          <w:spacing w:val="0"/>
          <w:position w:val="0"/>
          <w:sz w:val="22"/>
          <w:shd w:fill="FFFFFF" w:val="clear"/>
        </w:rPr>
      </w:pPr>
      <w:r>
        <w:rPr>
          <w:rFonts w:ascii="Calibri" w:hAnsi="Calibri" w:cs="Calibri" w:eastAsia="Calibri"/>
          <w:color w:val="auto"/>
          <w:spacing w:val="0"/>
          <w:position w:val="0"/>
          <w:sz w:val="22"/>
          <w:shd w:fill="FFFFFF"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FFFFFF" w:val="clear"/>
        </w:rPr>
      </w:pP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4"/>
          <w:shd w:fill="FFFFFF" w:val="clear"/>
        </w:rPr>
      </w:pPr>
    </w:p>
    <w:p>
      <w:pPr>
        <w:spacing w:before="0" w:after="200" w:line="276"/>
        <w:ind w:right="0" w:left="0" w:firstLine="0"/>
        <w:jc w:val="center"/>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Figure 4: Different factors for influence individual behaviour</w:t>
      </w:r>
    </w:p>
    <w:p>
      <w:pPr>
        <w:spacing w:before="0" w:after="200" w:line="276"/>
        <w:ind w:right="0" w:left="0" w:firstLine="0"/>
        <w:jc w:val="center"/>
        <w:rPr>
          <w:rFonts w:ascii="Times New Roman" w:hAnsi="Times New Roman" w:cs="Times New Roman" w:eastAsia="Times New Roman"/>
          <w:color w:val="auto"/>
          <w:spacing w:val="0"/>
          <w:position w:val="0"/>
          <w:sz w:val="22"/>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6.0 Recommendations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Unilever is a multinational company that operates its business worldwide. The product-based concern of the company enables the company to produce different types of products. The company should maintain a matrix organizational structure that helps it to maintain both functional groups inside the firm as well as divisional groups in different countries. Functional groups help in maintaining different functions of the company such as IT, financial, and management departments, while divisional groups focus on particular projects. If both the functional and divisional groups work together, then the company can expect a faster production system. Unilever should maintain a steady financial system to maintain the workforce and resources that are needed in different groups.  The company should be transparent to consumers and employees about their benefits and interests. The company should maintain a centralized organizational structure so that employees behave properly and respect the senior management. </w:t>
      </w: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7.0 Conclusion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organizational structure and culture help Unilever to plan its business model in different countries. The structure helps the employees to shape their tasks, maintain relationships among staff, and govern the workflow of the organization. The cultural values and ethics provide guide the behavior and activities of the employees. It helps the managers to add new divisions in the company that enable the faster production of products. Different internal factors can affect individual behavior such as gender, attitude, attributes, and work environment. The managers should manage and control the internal environment so that these factors do not affect the efficiency of employees. Unilever should possess one name for all its brands so that people living in different countries know their brand as one.</w:t>
      </w:r>
    </w:p>
    <w:p>
      <w:pPr>
        <w:spacing w:before="0" w:after="200" w:line="360"/>
        <w:ind w:right="0" w:left="0" w:firstLine="0"/>
        <w:jc w:val="left"/>
        <w:rPr>
          <w:rFonts w:ascii="Times New Roman" w:hAnsi="Times New Roman" w:cs="Times New Roman" w:eastAsia="Times New Roman"/>
          <w:color w:val="auto"/>
          <w:spacing w:val="0"/>
          <w:position w:val="0"/>
          <w:sz w:val="22"/>
          <w:shd w:fill="FFFFFF" w:val="clear"/>
        </w:rPr>
      </w:pPr>
      <w:r>
        <w:rPr>
          <w:rFonts w:ascii="Times New Roman" w:hAnsi="Times New Roman" w:cs="Times New Roman" w:eastAsia="Times New Roman"/>
          <w:color w:val="auto"/>
          <w:spacing w:val="0"/>
          <w:position w:val="0"/>
          <w:sz w:val="22"/>
          <w:shd w:fill="FFFFFF" w:val="clear"/>
        </w:rPr>
        <w:t xml:space="preserve"> </w:t>
      </w:r>
    </w:p>
    <w:p>
      <w:pPr>
        <w:spacing w:before="0" w:after="200" w:line="360"/>
        <w:ind w:right="0" w:left="0" w:firstLine="0"/>
        <w:jc w:val="left"/>
        <w:rPr>
          <w:rFonts w:ascii="Times New Roman" w:hAnsi="Times New Roman" w:cs="Times New Roman" w:eastAsia="Times New Roman"/>
          <w:b/>
          <w:color w:val="auto"/>
          <w:spacing w:val="0"/>
          <w:position w:val="0"/>
          <w:sz w:val="24"/>
          <w:shd w:fill="FFFFFF" w:val="clear"/>
        </w:rPr>
      </w:pP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FFFFFF" w:val="clear"/>
        </w:rPr>
        <w:t xml:space="preserve">8.0 Reference List</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Abubakar, A.M., Elrehail, H., Alatailat, M.A. and Elçi, A., 2019. Knowledge management, decision-making style, and organizational performance. </w:t>
      </w:r>
      <w:r>
        <w:rPr>
          <w:rFonts w:ascii="Times New Roman" w:hAnsi="Times New Roman" w:cs="Times New Roman" w:eastAsia="Times New Roman"/>
          <w:i/>
          <w:color w:val="auto"/>
          <w:spacing w:val="0"/>
          <w:position w:val="0"/>
          <w:sz w:val="24"/>
          <w:shd w:fill="FFFFFF" w:val="clear"/>
        </w:rPr>
        <w:t xml:space="preserve">Journal of Innovation &amp; Knowledge</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4</w:t>
      </w:r>
      <w:r>
        <w:rPr>
          <w:rFonts w:ascii="Times New Roman" w:hAnsi="Times New Roman" w:cs="Times New Roman" w:eastAsia="Times New Roman"/>
          <w:color w:val="auto"/>
          <w:spacing w:val="0"/>
          <w:position w:val="0"/>
          <w:sz w:val="24"/>
          <w:shd w:fill="FFFFFF" w:val="clear"/>
        </w:rPr>
        <w:t xml:space="preserve">(2), pp.104-114.</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Bilgeri, D., Wortmann, F. and Fleisch, E., 2017. How digital transformation affects large manufacturing companies' organizations.</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Braithwaite, J., Herkes, J., Ludlow, K., Testa, L. and Lamprell, G., 2017. Association between organizational and workplace cultures, and patient outcomes: a systematic review. </w:t>
      </w:r>
      <w:r>
        <w:rPr>
          <w:rFonts w:ascii="Times New Roman" w:hAnsi="Times New Roman" w:cs="Times New Roman" w:eastAsia="Times New Roman"/>
          <w:i/>
          <w:color w:val="auto"/>
          <w:spacing w:val="0"/>
          <w:position w:val="0"/>
          <w:sz w:val="24"/>
          <w:shd w:fill="FFFFFF" w:val="clear"/>
        </w:rPr>
        <w:t xml:space="preserve">BMJ Open</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7</w:t>
      </w:r>
      <w:r>
        <w:rPr>
          <w:rFonts w:ascii="Times New Roman" w:hAnsi="Times New Roman" w:cs="Times New Roman" w:eastAsia="Times New Roman"/>
          <w:color w:val="auto"/>
          <w:spacing w:val="0"/>
          <w:position w:val="0"/>
          <w:sz w:val="24"/>
          <w:shd w:fill="FFFFFF" w:val="clear"/>
        </w:rPr>
        <w:t xml:space="preserve">(11).</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Casalino, N., </w:t>
      </w:r>
      <w:r>
        <w:rPr>
          <w:rFonts w:ascii="Times New Roman" w:hAnsi="Times New Roman" w:cs="Times New Roman" w:eastAsia="Times New Roman"/>
          <w:color w:val="auto"/>
          <w:spacing w:val="0"/>
          <w:position w:val="0"/>
          <w:sz w:val="24"/>
          <w:shd w:fill="FFFFFF" w:val="clear"/>
        </w:rPr>
        <w:t xml:space="preserve">Żuchowski, I., Labrinos, N., Munoz Nieto, </w:t>
      </w:r>
      <w:r>
        <w:rPr>
          <w:rFonts w:ascii="Times New Roman" w:hAnsi="Times New Roman" w:cs="Times New Roman" w:eastAsia="Times New Roman"/>
          <w:color w:val="auto"/>
          <w:spacing w:val="0"/>
          <w:position w:val="0"/>
          <w:sz w:val="24"/>
          <w:shd w:fill="FFFFFF" w:val="clear"/>
        </w:rPr>
        <w:t xml:space="preserve">Á.L. and Martín, J.A., 2019. Digital Strategies and Organizational Performances of SMEs in the Age of Coronavirus: Balancing Digital Transformation with An Effective Business Resilience. </w:t>
      </w:r>
      <w:r>
        <w:rPr>
          <w:rFonts w:ascii="Times New Roman" w:hAnsi="Times New Roman" w:cs="Times New Roman" w:eastAsia="Times New Roman"/>
          <w:i/>
          <w:color w:val="auto"/>
          <w:spacing w:val="0"/>
          <w:position w:val="0"/>
          <w:sz w:val="24"/>
          <w:shd w:fill="FFFFFF" w:val="clear"/>
        </w:rPr>
        <w:t xml:space="preserve">Queen Mary School of Law Legal Studies Research Paper Forthcoming</w:t>
      </w:r>
      <w:r>
        <w:rPr>
          <w:rFonts w:ascii="Times New Roman" w:hAnsi="Times New Roman" w:cs="Times New Roman" w:eastAsia="Times New Roman"/>
          <w:color w:val="auto"/>
          <w:spacing w:val="0"/>
          <w:position w:val="0"/>
          <w:sz w:val="24"/>
          <w:shd w:fill="FFFFFF" w:val="clear"/>
        </w:rPr>
        <w:t xml:space="preserve">.</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Chen, W., Cao, C., Fang, X. and Kang, Z., 2019. Expanding the theory of planned behavior to reveal urban residents' pro-environment travel behavior. </w:t>
      </w:r>
      <w:r>
        <w:rPr>
          <w:rFonts w:ascii="Times New Roman" w:hAnsi="Times New Roman" w:cs="Times New Roman" w:eastAsia="Times New Roman"/>
          <w:i/>
          <w:color w:val="auto"/>
          <w:spacing w:val="0"/>
          <w:position w:val="0"/>
          <w:sz w:val="24"/>
          <w:shd w:fill="FFFFFF" w:val="clear"/>
        </w:rPr>
        <w:t xml:space="preserve">Atmosphere</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10</w:t>
      </w:r>
      <w:r>
        <w:rPr>
          <w:rFonts w:ascii="Times New Roman" w:hAnsi="Times New Roman" w:cs="Times New Roman" w:eastAsia="Times New Roman"/>
          <w:color w:val="auto"/>
          <w:spacing w:val="0"/>
          <w:position w:val="0"/>
          <w:sz w:val="24"/>
          <w:shd w:fill="FFFFFF" w:val="clear"/>
        </w:rPr>
        <w:t xml:space="preserve">(8), p.467.</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Damanpour, F., Sanchez</w:t>
      </w:r>
      <w:r>
        <w:rPr>
          <w:rFonts w:ascii="Times New Roman" w:hAnsi="Times New Roman" w:cs="Times New Roman" w:eastAsia="Times New Roman"/>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Henriquez, F. and Chiu, H.H., 2018. Internal and external sources and the adoption of innovations in organizations.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British Journal of Management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29</w:t>
      </w:r>
      <w:r>
        <w:rPr>
          <w:rFonts w:ascii="Times New Roman" w:hAnsi="Times New Roman" w:cs="Times New Roman" w:eastAsia="Times New Roman"/>
          <w:color w:val="auto"/>
          <w:spacing w:val="0"/>
          <w:position w:val="0"/>
          <w:sz w:val="24"/>
          <w:shd w:fill="FFFFFF" w:val="clear"/>
        </w:rPr>
        <w:t xml:space="preserve">(4), pp.712-730.</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Dubey, R., Gunasekaran, A., Childe, S.J., Papadopoulos, T., Hazen, B., Giannakis, M., and Roubaud, D., 2017. Examining the effect of external pressures and organizational culture on shaping performance measurement systems (PMS) for sustainability benchmarking: Some empirical findings. </w:t>
      </w:r>
      <w:r>
        <w:rPr>
          <w:rFonts w:ascii="Times New Roman" w:hAnsi="Times New Roman" w:cs="Times New Roman" w:eastAsia="Times New Roman"/>
          <w:i/>
          <w:color w:val="auto"/>
          <w:spacing w:val="0"/>
          <w:position w:val="0"/>
          <w:sz w:val="24"/>
          <w:shd w:fill="FFFFFF" w:val="clear"/>
        </w:rPr>
        <w:t xml:space="preserve">International Journal of Production Economics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193</w:t>
      </w:r>
      <w:r>
        <w:rPr>
          <w:rFonts w:ascii="Times New Roman" w:hAnsi="Times New Roman" w:cs="Times New Roman" w:eastAsia="Times New Roman"/>
          <w:color w:val="auto"/>
          <w:spacing w:val="0"/>
          <w:position w:val="0"/>
          <w:sz w:val="24"/>
          <w:shd w:fill="FFFFFF" w:val="clear"/>
        </w:rPr>
        <w:t xml:space="preserve">, pp.63-76.</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Ogbeibu, S., Senadjki, A. and Gaskin, J., 2018. The moderating effect of benevolence on the impact of organizational culture on employee creativity. </w:t>
      </w:r>
      <w:r>
        <w:rPr>
          <w:rFonts w:ascii="Times New Roman" w:hAnsi="Times New Roman" w:cs="Times New Roman" w:eastAsia="Times New Roman"/>
          <w:i/>
          <w:color w:val="auto"/>
          <w:spacing w:val="0"/>
          <w:position w:val="0"/>
          <w:sz w:val="24"/>
          <w:shd w:fill="FFFFFF" w:val="clear"/>
        </w:rPr>
        <w:t xml:space="preserve">Journal of Business Research</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90</w:t>
      </w:r>
      <w:r>
        <w:rPr>
          <w:rFonts w:ascii="Times New Roman" w:hAnsi="Times New Roman" w:cs="Times New Roman" w:eastAsia="Times New Roman"/>
          <w:color w:val="auto"/>
          <w:spacing w:val="0"/>
          <w:position w:val="0"/>
          <w:sz w:val="24"/>
          <w:shd w:fill="FFFFFF" w:val="clear"/>
        </w:rPr>
        <w:t xml:space="preserve">, pp.334-346.</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Slemp, G.R., Kern, M.L., Patrick, K.J. and Ryan, R.M., 2018. Leader autonomy support in the workplace: A meta-analytic review. </w:t>
      </w:r>
      <w:r>
        <w:rPr>
          <w:rFonts w:ascii="Times New Roman" w:hAnsi="Times New Roman" w:cs="Times New Roman" w:eastAsia="Times New Roman"/>
          <w:i/>
          <w:color w:val="auto"/>
          <w:spacing w:val="0"/>
          <w:position w:val="0"/>
          <w:sz w:val="24"/>
          <w:shd w:fill="FFFFFF" w:val="clear"/>
        </w:rPr>
        <w:t xml:space="preserve">Motivation and Emotion</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42</w:t>
      </w:r>
      <w:r>
        <w:rPr>
          <w:rFonts w:ascii="Times New Roman" w:hAnsi="Times New Roman" w:cs="Times New Roman" w:eastAsia="Times New Roman"/>
          <w:color w:val="auto"/>
          <w:spacing w:val="0"/>
          <w:position w:val="0"/>
          <w:sz w:val="24"/>
          <w:shd w:fill="FFFFFF" w:val="clear"/>
        </w:rPr>
        <w:t xml:space="preserve">(5), pp.706-724.</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Tarcan, M., Hikmet, N., Schooley, B., Top, M. and Tarcan, G.Y., 2017. An analysis of the relationship between burnout, socio-demographic and workplace factors, and job satisfaction among emergency department health professionals. </w:t>
      </w:r>
      <w:r>
        <w:rPr>
          <w:rFonts w:ascii="Times New Roman" w:hAnsi="Times New Roman" w:cs="Times New Roman" w:eastAsia="Times New Roman"/>
          <w:i/>
          <w:color w:val="auto"/>
          <w:spacing w:val="0"/>
          <w:position w:val="0"/>
          <w:sz w:val="24"/>
          <w:shd w:fill="FFFFFF" w:val="clear"/>
        </w:rPr>
        <w:t xml:space="preserve">Applied nursing research</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34</w:t>
      </w:r>
      <w:r>
        <w:rPr>
          <w:rFonts w:ascii="Times New Roman" w:hAnsi="Times New Roman" w:cs="Times New Roman" w:eastAsia="Times New Roman"/>
          <w:color w:val="auto"/>
          <w:spacing w:val="0"/>
          <w:position w:val="0"/>
          <w:sz w:val="24"/>
          <w:shd w:fill="FFFFFF" w:val="clear"/>
        </w:rPr>
        <w:t xml:space="preserve">, pp.40-47.</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unilever.com 2021 </w:t>
      </w:r>
      <w:r>
        <w:rPr>
          <w:rFonts w:ascii="Times New Roman" w:hAnsi="Times New Roman" w:cs="Times New Roman" w:eastAsia="Times New Roman"/>
          <w:i/>
          <w:color w:val="auto"/>
          <w:spacing w:val="0"/>
          <w:position w:val="0"/>
          <w:sz w:val="24"/>
          <w:shd w:fill="auto" w:val="clear"/>
        </w:rPr>
        <w:t xml:space="preserve">Archive of Unilever Annual Report and Accounts </w:t>
      </w:r>
      <w:r>
        <w:rPr>
          <w:rFonts w:ascii="Times New Roman" w:hAnsi="Times New Roman" w:cs="Times New Roman" w:eastAsia="Times New Roman"/>
          <w:color w:val="auto"/>
          <w:spacing w:val="0"/>
          <w:position w:val="0"/>
          <w:sz w:val="24"/>
          <w:shd w:fill="auto" w:val="clear"/>
        </w:rPr>
        <w:t xml:space="preserve">[Online] Available At </w:t>
      </w:r>
      <w:hyperlink xmlns:r="http://schemas.openxmlformats.org/officeDocument/2006/relationships" r:id="docRId8">
        <w:r>
          <w:rPr>
            <w:rFonts w:ascii="Times New Roman" w:hAnsi="Times New Roman" w:cs="Times New Roman" w:eastAsia="Times New Roman"/>
            <w:color w:val="0000FF"/>
            <w:spacing w:val="0"/>
            <w:position w:val="0"/>
            <w:sz w:val="24"/>
            <w:u w:val="single"/>
            <w:shd w:fill="auto" w:val="clear"/>
          </w:rPr>
          <w:t xml:space="preserve">https://www.unilever.com/investor-relations/annual-report-and-accounts/archive-of-annual-report-and-accounts/</w:t>
        </w:r>
      </w:hyperlink>
      <w:r>
        <w:rPr>
          <w:rFonts w:ascii="Times New Roman" w:hAnsi="Times New Roman" w:cs="Times New Roman" w:eastAsia="Times New Roman"/>
          <w:color w:val="auto"/>
          <w:spacing w:val="0"/>
          <w:position w:val="0"/>
          <w:sz w:val="24"/>
          <w:shd w:fill="auto" w:val="clear"/>
        </w:rPr>
        <w:t xml:space="preserve"> [Accessed 31</w:t>
      </w:r>
      <w:r>
        <w:rPr>
          <w:rFonts w:ascii="Times New Roman" w:hAnsi="Times New Roman" w:cs="Times New Roman" w:eastAsia="Times New Roman"/>
          <w:color w:val="auto"/>
          <w:spacing w:val="0"/>
          <w:position w:val="0"/>
          <w:sz w:val="24"/>
          <w:shd w:fill="auto" w:val="clear"/>
          <w:vertAlign w:val="superscript"/>
        </w:rPr>
        <w:t xml:space="preserve">st</w:t>
      </w:r>
      <w:r>
        <w:rPr>
          <w:rFonts w:ascii="Times New Roman" w:hAnsi="Times New Roman" w:cs="Times New Roman" w:eastAsia="Times New Roman"/>
          <w:color w:val="auto"/>
          <w:spacing w:val="0"/>
          <w:position w:val="0"/>
          <w:sz w:val="24"/>
          <w:shd w:fill="auto" w:val="clear"/>
        </w:rPr>
        <w:t xml:space="preserve"> March]</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Zhang, Y., Khan, U., Lee, S., and Salik, M., 2019. The influence of management innovation and technological innovation on organization performance. a mediating role of sustainability. </w:t>
      </w:r>
      <w:r>
        <w:rPr>
          <w:rFonts w:ascii="Times New Roman" w:hAnsi="Times New Roman" w:cs="Times New Roman" w:eastAsia="Times New Roman"/>
          <w:i/>
          <w:color w:val="auto"/>
          <w:spacing w:val="0"/>
          <w:position w:val="0"/>
          <w:sz w:val="24"/>
          <w:shd w:fill="FFFFFF" w:val="clear"/>
        </w:rPr>
        <w:t xml:space="preserve">Sustainability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11</w:t>
      </w:r>
      <w:r>
        <w:rPr>
          <w:rFonts w:ascii="Times New Roman" w:hAnsi="Times New Roman" w:cs="Times New Roman" w:eastAsia="Times New Roman"/>
          <w:color w:val="auto"/>
          <w:spacing w:val="0"/>
          <w:position w:val="0"/>
          <w:sz w:val="24"/>
          <w:shd w:fill="FFFFFF" w:val="clear"/>
        </w:rPr>
        <w:t xml:space="preserve">(2), p.495.</w:t>
      </w:r>
    </w:p>
    <w:p>
      <w:pPr>
        <w:spacing w:before="0" w:after="20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4"/>
          <w:shd w:fill="FFFFFF" w:val="clear"/>
        </w:rPr>
        <w:t xml:space="preserve">Sainsburys.co.uk 2019 </w:t>
      </w:r>
      <w:r>
        <w:rPr>
          <w:rFonts w:ascii="Times New Roman" w:hAnsi="Times New Roman" w:cs="Times New Roman" w:eastAsia="Times New Roman"/>
          <w:i/>
          <w:color w:val="auto"/>
          <w:spacing w:val="0"/>
          <w:position w:val="0"/>
          <w:sz w:val="24"/>
          <w:shd w:fill="auto" w:val="clear"/>
        </w:rPr>
        <w:t xml:space="preserve">Annual Report and Financial Statements 2019</w:t>
      </w:r>
      <w:r>
        <w:rPr>
          <w:rFonts w:ascii="Times New Roman" w:hAnsi="Times New Roman" w:cs="Times New Roman" w:eastAsia="Times New Roman"/>
          <w:color w:val="auto"/>
          <w:spacing w:val="0"/>
          <w:position w:val="0"/>
          <w:sz w:val="24"/>
          <w:shd w:fill="FFFFFF" w:val="clear"/>
        </w:rPr>
        <w:t xml:space="preserve"> [Online] Available At: </w:t>
      </w:r>
      <w:hyperlink xmlns:r="http://schemas.openxmlformats.org/officeDocument/2006/relationships" r:id="docRId9">
        <w:r>
          <w:rPr>
            <w:rFonts w:ascii="Times New Roman" w:hAnsi="Times New Roman" w:cs="Times New Roman" w:eastAsia="Times New Roman"/>
            <w:color w:val="0000FF"/>
            <w:spacing w:val="0"/>
            <w:position w:val="0"/>
            <w:sz w:val="24"/>
            <w:u w:val="single"/>
            <w:shd w:fill="FFFFFF" w:val="clear"/>
          </w:rPr>
          <w:t xml:space="preserve">https://www.about.sainsburys.co.uk/~/media/Files/S/Sainsburys/documents/reports-and-presentations/annual-reports/sainsburys-ar2019.pdf</w:t>
        </w:r>
      </w:hyperlink>
      <w:r>
        <w:rPr>
          <w:rFonts w:ascii="Times New Roman" w:hAnsi="Times New Roman" w:cs="Times New Roman" w:eastAsia="Times New Roman"/>
          <w:color w:val="auto"/>
          <w:spacing w:val="0"/>
          <w:position w:val="0"/>
          <w:sz w:val="24"/>
          <w:shd w:fill="FFFFFF" w:val="clear"/>
        </w:rPr>
        <w:t xml:space="preserve"> [Accessed 31st March]</w:t>
      </w:r>
      <w:r>
        <w:rPr>
          <w:rFonts w:ascii="Times New Roman" w:hAnsi="Times New Roman" w:cs="Times New Roman" w:eastAsia="Times New Roman"/>
          <w:color w:val="auto"/>
          <w:spacing w:val="0"/>
          <w:position w:val="0"/>
          <w:sz w:val="22"/>
          <w:shd w:fill="auto" w:val="clear"/>
        </w:rPr>
        <w:t xml:space="preserve"> </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p>
    <w:p>
      <w:pPr>
        <w:spacing w:before="0" w:after="200" w:line="360"/>
        <w:ind w:right="0" w:left="0" w:firstLine="0"/>
        <w:jc w:val="left"/>
        <w:rPr>
          <w:rFonts w:ascii="Times New Roman" w:hAnsi="Times New Roman" w:cs="Times New Roman" w:eastAsia="Times New Roman"/>
          <w:color w:val="auto"/>
          <w:spacing w:val="0"/>
          <w:position w:val="0"/>
          <w:sz w:val="22"/>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num w:numId="50">
    <w:abstractNumId w:val="30"/>
  </w:num>
  <w:num w:numId="52">
    <w:abstractNumId w:val="24"/>
  </w:num>
  <w:num w:numId="54">
    <w:abstractNumId w:val="18"/>
  </w:num>
  <w:num w:numId="59">
    <w:abstractNumId w:val="12"/>
  </w:num>
  <w:num w:numId="61">
    <w:abstractNumId w:val="6"/>
  </w:num>
  <w:num w:numId="67">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1.wmf" Id="docRId3" Type="http://schemas.openxmlformats.org/officeDocument/2006/relationships/image" /><Relationship Target="media/image3.wmf" Id="docRId7" Type="http://schemas.openxmlformats.org/officeDocument/2006/relationships/image" /><Relationship Target="embeddings/oleObject0.bin" Id="docRId0" Type="http://schemas.openxmlformats.org/officeDocument/2006/relationships/oleObject" /><Relationship Target="numbering.xml" Id="docRId10" Type="http://schemas.openxmlformats.org/officeDocument/2006/relationships/numbering" /><Relationship Target="embeddings/oleObject1.bin" Id="docRId2" Type="http://schemas.openxmlformats.org/officeDocument/2006/relationships/oleObject" /><Relationship Target="embeddings/oleObject2.bin" Id="docRId4" Type="http://schemas.openxmlformats.org/officeDocument/2006/relationships/oleObject" /><Relationship Target="embeddings/oleObject3.bin" Id="docRId6" Type="http://schemas.openxmlformats.org/officeDocument/2006/relationships/oleObject" /><Relationship TargetMode="External" Target="https://www.unilever.com/investor-relations/annual-report-and-accounts/archive-of-annual-report-and-accounts/" Id="docRId8" Type="http://schemas.openxmlformats.org/officeDocument/2006/relationships/hyperlink" /><Relationship Target="media/image0.wmf" Id="docRId1" Type="http://schemas.openxmlformats.org/officeDocument/2006/relationships/image" /><Relationship Target="styles.xml" Id="docRId11" Type="http://schemas.openxmlformats.org/officeDocument/2006/relationships/styles" /><Relationship Target="media/image2.wmf" Id="docRId5" Type="http://schemas.openxmlformats.org/officeDocument/2006/relationships/image" /><Relationship TargetMode="External" Target="https://www.about.sainsburys.co.uk/~/media/Files/S/Sainsburys/documents/reports-and-presentations/annual-reports/sainsburys-ar2019.pdf" Id="docRId9" Type="http://schemas.openxmlformats.org/officeDocument/2006/relationships/hyperlink" /></Relationships>
</file>