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media/image21.jpeg" ContentType="image/jpeg"/>
  <Override PartName="/word/media/image22.jpeg" ContentType="image/jpeg"/>
  <Override PartName="/word/media/image23.jpeg" ContentType="image/jpeg"/>
  <Override PartName="/word/media/image24.jpeg" ContentType="image/jpeg"/>
  <Override PartName="/word/media/image25.jpeg" ContentType="image/jpeg"/>
  <Override PartName="/word/media/image26.jpeg" ContentType="image/jpeg"/>
  <Override PartName="/word/media/image27.jpeg" ContentType="image/jpeg"/>
  <Override PartName="/word/media/image28.jpeg" ContentType="image/jpeg"/>
  <Override PartName="/word/media/image29.jpeg" ContentType="image/jpeg"/>
  <Override PartName="/word/media/image30.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2"/>
        <w:rPr>
          <w:rFonts w:ascii="Times New Roman" w:cs="Times New Roman" w:hAnsi="Times New Roman" w:eastAsia="Times New Roman"/>
        </w:rPr>
      </w:pPr>
    </w:p>
    <w:p>
      <w:pPr>
        <w:pStyle w:val="Subtitle"/>
        <w:rPr>
          <w:rFonts w:ascii="Times New Roman" w:cs="Times New Roman" w:hAnsi="Times New Roman" w:eastAsia="Times New Roman"/>
          <w:b w:val="1"/>
          <w:bCs w:val="1"/>
          <w:sz w:val="28"/>
          <w:szCs w:val="28"/>
        </w:rPr>
      </w:pPr>
    </w:p>
    <w:p>
      <w:pPr>
        <w:pStyle w:val="Subtitle"/>
        <w:rPr>
          <w:sz w:val="48"/>
          <w:szCs w:val="48"/>
        </w:rPr>
      </w:pPr>
    </w:p>
    <w:p>
      <w:pPr>
        <w:pStyle w:val="Subtitle"/>
        <w:rPr>
          <w:outline w:val="0"/>
          <w:color w:val="000000"/>
          <w:sz w:val="48"/>
          <w:szCs w:val="48"/>
          <w:u w:color="000000"/>
          <w:lang w:val="pt-PT"/>
          <w14:textFill>
            <w14:solidFill>
              <w14:srgbClr w14:val="000000"/>
            </w14:solidFill>
          </w14:textFill>
        </w:rPr>
      </w:pPr>
    </w:p>
    <w:p>
      <w:pPr>
        <w:pStyle w:val="Subtitle"/>
        <w:rPr>
          <w:outline w:val="0"/>
          <w:color w:val="000000"/>
          <w:sz w:val="48"/>
          <w:szCs w:val="48"/>
          <w:u w:color="000000"/>
          <w:lang w:val="pt-PT"/>
          <w14:textFill>
            <w14:solidFill>
              <w14:srgbClr w14:val="000000"/>
            </w14:solidFill>
          </w14:textFill>
        </w:rPr>
      </w:pPr>
    </w:p>
    <w:p>
      <w:pPr>
        <w:pStyle w:val="Body 2"/>
        <w:rPr>
          <w:outline w:val="0"/>
          <w:color w:val="000000"/>
          <w:u w:color="000000"/>
          <w:lang w:val="pt-PT"/>
          <w14:textFill>
            <w14:solidFill>
              <w14:srgbClr w14:val="000000"/>
            </w14:solidFill>
          </w14:textFill>
        </w:rPr>
      </w:pPr>
    </w:p>
    <w:p>
      <w:pPr>
        <w:pStyle w:val="Subtitle"/>
        <w:rPr>
          <w:outline w:val="0"/>
          <w:color w:val="000000"/>
          <w:sz w:val="40"/>
          <w:szCs w:val="40"/>
          <w:u w:color="000000"/>
          <w:lang w:val="pt-PT"/>
          <w14:textFill>
            <w14:solidFill>
              <w14:srgbClr w14:val="000000"/>
            </w14:solidFill>
          </w14:textFill>
        </w:rPr>
      </w:pPr>
      <w:r>
        <w:rPr>
          <w:outline w:val="0"/>
          <w:color w:val="000000"/>
          <w:sz w:val="40"/>
          <w:szCs w:val="40"/>
          <w:u w:color="000000"/>
          <w:rtl w:val="0"/>
          <w:lang w:val="en-US"/>
          <w14:textFill>
            <w14:solidFill>
              <w14:srgbClr w14:val="000000"/>
            </w14:solidFill>
          </w14:textFill>
        </w:rPr>
        <w:t>The Astronautical Orientations of Minoan Palace Courtyards: T</w:t>
      </w:r>
      <w:r>
        <w:rPr>
          <w:outline w:val="0"/>
          <w:color w:val="000000"/>
          <w:sz w:val="40"/>
          <w:szCs w:val="40"/>
          <w:u w:color="000000"/>
          <w:rtl w:val="0"/>
          <w:lang w:val="pt-PT"/>
          <w14:textFill>
            <w14:solidFill>
              <w14:srgbClr w14:val="000000"/>
            </w14:solidFill>
          </w14:textFill>
        </w:rPr>
        <w:t xml:space="preserve">heir </w:t>
      </w:r>
      <w:r>
        <w:rPr>
          <w:outline w:val="0"/>
          <w:color w:val="000000"/>
          <w:sz w:val="40"/>
          <w:szCs w:val="40"/>
          <w:u w:color="000000"/>
          <w:rtl w:val="0"/>
          <w:lang w:val="en-US"/>
          <w14:textFill>
            <w14:solidFill>
              <w14:srgbClr w14:val="000000"/>
            </w14:solidFill>
          </w14:textFill>
        </w:rPr>
        <w:t>L</w:t>
      </w:r>
      <w:r>
        <w:rPr>
          <w:outline w:val="0"/>
          <w:color w:val="000000"/>
          <w:sz w:val="40"/>
          <w:szCs w:val="40"/>
          <w:u w:color="000000"/>
          <w:rtl w:val="0"/>
          <w:lang w:val="pt-PT"/>
          <w14:textFill>
            <w14:solidFill>
              <w14:srgbClr w14:val="000000"/>
            </w14:solidFill>
          </w14:textFill>
        </w:rPr>
        <w:t xml:space="preserve">ink to </w:t>
      </w:r>
      <w:r>
        <w:rPr>
          <w:outline w:val="0"/>
          <w:color w:val="000000"/>
          <w:sz w:val="40"/>
          <w:szCs w:val="40"/>
          <w:u w:color="000000"/>
          <w:rtl w:val="0"/>
          <w:lang w:val="en-US"/>
          <w14:textFill>
            <w14:solidFill>
              <w14:srgbClr w14:val="000000"/>
            </w14:solidFill>
          </w14:textFill>
        </w:rPr>
        <w:t>Star Path</w:t>
      </w:r>
      <w:r>
        <w:rPr>
          <w:outline w:val="0"/>
          <w:color w:val="000000"/>
          <w:sz w:val="40"/>
          <w:szCs w:val="40"/>
          <w:u w:color="000000"/>
          <w:rtl w:val="0"/>
          <w:lang w:val="pt-PT"/>
          <w14:textFill>
            <w14:solidFill>
              <w14:srgbClr w14:val="000000"/>
            </w14:solidFill>
          </w14:textFill>
        </w:rPr>
        <w:t xml:space="preserve"> Navigation</w:t>
      </w:r>
      <w:r>
        <w:rPr>
          <w:outline w:val="0"/>
          <w:color w:val="000000"/>
          <w:sz w:val="40"/>
          <w:szCs w:val="40"/>
          <w:u w:color="000000"/>
          <w:rtl w:val="0"/>
          <w:lang w:val="en-US"/>
          <w14:textFill>
            <w14:solidFill>
              <w14:srgbClr w14:val="000000"/>
            </w14:solidFill>
          </w14:textFill>
        </w:rPr>
        <w:t xml:space="preserve">, Maritime </w:t>
      </w:r>
      <w:r>
        <w:rPr>
          <w:outline w:val="0"/>
          <w:color w:val="000000"/>
          <w:sz w:val="40"/>
          <w:szCs w:val="40"/>
          <w:u w:color="000000"/>
          <w:rtl w:val="0"/>
          <w:lang w:val="pt-PT"/>
          <w14:textFill>
            <w14:solidFill>
              <w14:srgbClr w14:val="000000"/>
            </w14:solidFill>
          </w14:textFill>
        </w:rPr>
        <w:t>Trade Routes</w:t>
      </w:r>
      <w:r>
        <w:rPr>
          <w:outline w:val="0"/>
          <w:color w:val="000000"/>
          <w:sz w:val="40"/>
          <w:szCs w:val="40"/>
          <w:u w:color="000000"/>
          <w:rtl w:val="0"/>
          <w:lang w:val="en-US"/>
          <w14:textFill>
            <w14:solidFill>
              <w14:srgbClr w14:val="000000"/>
            </w14:solidFill>
          </w14:textFill>
        </w:rPr>
        <w:t xml:space="preserve"> &amp; Mythology</w:t>
      </w:r>
    </w:p>
    <w:p>
      <w:pPr>
        <w:pStyle w:val="Body 2"/>
        <w:rPr>
          <w:outline w:val="0"/>
          <w:color w:val="000000"/>
          <w:u w:color="000000"/>
          <w:lang w:val="pt-PT"/>
          <w14:textFill>
            <w14:solidFill>
              <w14:srgbClr w14:val="000000"/>
            </w14:solidFill>
          </w14:textFill>
        </w:rPr>
      </w:pPr>
    </w:p>
    <w:p>
      <w:pPr>
        <w:pStyle w:val="Subtitle"/>
        <w:rPr>
          <w:outline w:val="0"/>
          <w:color w:val="000000"/>
          <w:sz w:val="48"/>
          <w:szCs w:val="48"/>
          <w:u w:color="000000"/>
          <w:lang w:val="pt-PT"/>
          <w14:textFill>
            <w14:solidFill>
              <w14:srgbClr w14:val="000000"/>
            </w14:solidFill>
          </w14:textFill>
        </w:rPr>
      </w:pPr>
    </w:p>
    <w:p>
      <w:pPr>
        <w:pStyle w:val="Body 2"/>
        <w:rPr>
          <w:rFonts w:ascii="Lora Bold" w:cs="Lora Bold" w:hAnsi="Lora Bold" w:eastAsia="Lora Bold"/>
          <w:outline w:val="0"/>
          <w:color w:val="000000"/>
          <w:u w:color="000000"/>
          <w:lang w:val="pt-PT"/>
          <w14:textFill>
            <w14:solidFill>
              <w14:srgbClr w14:val="000000"/>
            </w14:solidFill>
          </w14:textFill>
        </w:rPr>
      </w:pPr>
    </w:p>
    <w:p>
      <w:pPr>
        <w:pStyle w:val="Body 2"/>
        <w:jc w:val="center"/>
        <w:rPr>
          <w:rFonts w:ascii="Lora Bold" w:cs="Lora Bold" w:hAnsi="Lora Bold" w:eastAsia="Lora Bold"/>
          <w:outline w:val="0"/>
          <w:color w:val="000000"/>
          <w:u w:color="000000"/>
          <w:lang w:val="pt-PT"/>
          <w14:textFill>
            <w14:solidFill>
              <w14:srgbClr w14:val="000000"/>
            </w14:solidFill>
          </w14:textFill>
        </w:rPr>
      </w:pPr>
      <w:r>
        <w:rPr>
          <w:rFonts w:ascii="Lora Bold" w:hAnsi="Lora Bold"/>
          <w:outline w:val="0"/>
          <w:color w:val="000000"/>
          <w:u w:color="000000"/>
          <w:rtl w:val="0"/>
          <w:lang w:val="en-US"/>
          <w14:textFill>
            <w14:solidFill>
              <w14:srgbClr w14:val="000000"/>
            </w14:solidFill>
          </w14:textFill>
        </w:rPr>
        <w:t>Alessandro Berio</w:t>
      </w:r>
    </w:p>
    <w:p>
      <w:pPr>
        <w:pStyle w:val="Body 2"/>
        <w:jc w:val="center"/>
        <w:rPr>
          <w:outline w:val="0"/>
          <w:color w:val="000000"/>
          <w:u w:color="000000"/>
          <w:lang w:val="pt-PT"/>
          <w14:textFill>
            <w14:solidFill>
              <w14:srgbClr w14:val="000000"/>
            </w14:solidFill>
          </w14:textFill>
        </w:rPr>
      </w:pPr>
      <w:r>
        <w:rPr>
          <w:outline w:val="0"/>
          <w:color w:val="000000"/>
          <w:u w:color="000000"/>
          <w:rtl w:val="0"/>
          <w:lang w:val="pt-PT"/>
          <w14:textFill>
            <w14:solidFill>
              <w14:srgbClr w14:val="000000"/>
            </w14:solidFill>
          </w14:textFill>
        </w:rPr>
        <w:t xml:space="preserve">Dissertation submitted in partial </w:t>
      </w:r>
      <w:r>
        <w:rPr>
          <w:outline w:val="0"/>
          <w:color w:val="000000"/>
          <w:u w:color="000000"/>
          <w:rtl w:val="0"/>
          <w:lang w:val="en-US"/>
          <w14:textFill>
            <w14:solidFill>
              <w14:srgbClr w14:val="000000"/>
            </w14:solidFill>
          </w14:textFill>
        </w:rPr>
        <w:t>fulfilment</w:t>
      </w:r>
      <w:r>
        <w:rPr>
          <w:outline w:val="0"/>
          <w:color w:val="000000"/>
          <w:u w:color="000000"/>
          <w:rtl w:val="0"/>
          <w:lang w:val="pt-PT"/>
          <w14:textFill>
            <w14:solidFill>
              <w14:srgbClr w14:val="000000"/>
            </w14:solidFill>
          </w14:textFill>
        </w:rPr>
        <w:t xml:space="preserve"> of a Master of Arts in </w:t>
      </w:r>
      <w:r>
        <w:rPr>
          <w:outline w:val="0"/>
          <w:color w:val="000000"/>
          <w:u w:color="000000"/>
          <w:rtl w:val="0"/>
          <w:lang w:val="en-US"/>
          <w14:textFill>
            <w14:solidFill>
              <w14:srgbClr w14:val="000000"/>
            </w14:solidFill>
          </w14:textFill>
        </w:rPr>
        <w:t>Cultural Astronomy and Astrology at the</w:t>
      </w:r>
      <w:r>
        <w:rPr>
          <w:outline w:val="0"/>
          <w:color w:val="000000"/>
          <w:u w:color="000000"/>
          <w:rtl w:val="0"/>
          <w:lang w:val="pt-PT"/>
          <w14:textFill>
            <w14:solidFill>
              <w14:srgbClr w14:val="000000"/>
            </w14:solidFill>
          </w14:textFill>
        </w:rPr>
        <w:t xml:space="preserve"> University of Wales Trinity Saint David</w:t>
      </w:r>
      <w:r>
        <w:rPr>
          <w:outline w:val="0"/>
          <w:color w:val="000000"/>
          <w:u w:color="000000"/>
          <w:rtl w:val="0"/>
          <w:lang w:val="en-US"/>
          <w14:textFill>
            <w14:solidFill>
              <w14:srgbClr w14:val="000000"/>
            </w14:solidFill>
          </w14:textFill>
        </w:rPr>
        <w:t>,</w:t>
      </w:r>
      <w:r>
        <w:rPr>
          <w:outline w:val="0"/>
          <w:color w:val="000000"/>
          <w:u w:color="000000"/>
          <w:rtl w:val="0"/>
          <w:lang w:val="pt-PT"/>
          <w14:textFill>
            <w14:solidFill>
              <w14:srgbClr w14:val="000000"/>
            </w14:solidFill>
          </w14:textFill>
        </w:rPr>
        <w:t xml:space="preserve"> 202</w:t>
      </w:r>
      <w:r>
        <w:rPr>
          <w:outline w:val="0"/>
          <w:color w:val="000000"/>
          <w:u w:color="000000"/>
          <w:rtl w:val="0"/>
          <w:lang w:val="en-US"/>
          <w14:textFill>
            <w14:solidFill>
              <w14:srgbClr w14:val="000000"/>
            </w14:solidFill>
          </w14:textFill>
        </w:rPr>
        <w:t>1</w:t>
      </w:r>
      <w:r>
        <w:rPr>
          <w:outline w:val="0"/>
          <w:color w:val="000000"/>
          <w:u w:color="000000"/>
          <w:rtl w:val="0"/>
          <w:lang w:val="pt-PT"/>
          <w14:textFill>
            <w14:solidFill>
              <w14:srgbClr w14:val="000000"/>
            </w14:solidFill>
          </w14:textFill>
        </w:rPr>
        <w:t xml:space="preserve"> </w:t>
      </w:r>
    </w:p>
    <w:p>
      <w:pPr>
        <w:pStyle w:val="Body 2"/>
        <w:jc w:val="center"/>
        <w:rPr>
          <w:outline w:val="0"/>
          <w:color w:val="000000"/>
          <w:u w:color="000000"/>
          <w:lang w:val="pt-PT"/>
          <w14:textFill>
            <w14:solidFill>
              <w14:srgbClr w14:val="000000"/>
            </w14:solidFill>
          </w14:textFill>
        </w:rPr>
      </w:pPr>
    </w:p>
    <w:p>
      <w:pPr>
        <w:pStyle w:val="Body 2"/>
        <w:jc w:val="center"/>
        <w:rPr>
          <w:outline w:val="0"/>
          <w:color w:val="000000"/>
          <w:u w:color="000000"/>
          <w:lang w:val="pt-PT"/>
          <w14:textFill>
            <w14:solidFill>
              <w14:srgbClr w14:val="000000"/>
            </w14:solidFill>
          </w14:textFill>
        </w:rPr>
      </w:pPr>
    </w:p>
    <w:p>
      <w:pPr>
        <w:pStyle w:val="Body 2"/>
        <w:jc w:val="center"/>
        <w:rPr>
          <w:outline w:val="0"/>
          <w:color w:val="000000"/>
          <w:u w:color="000000"/>
          <w:lang w:val="pt-PT"/>
          <w14:textFill>
            <w14:solidFill>
              <w14:srgbClr w14:val="000000"/>
            </w14:solidFill>
          </w14:textFill>
        </w:rPr>
      </w:pPr>
    </w:p>
    <w:p>
      <w:pPr>
        <w:pStyle w:val="Body 2"/>
        <w:jc w:val="center"/>
        <w:rPr>
          <w:outline w:val="0"/>
          <w:color w:val="000000"/>
          <w:u w:color="000000"/>
          <w:lang w:val="pt-PT"/>
          <w14:textFill>
            <w14:solidFill>
              <w14:srgbClr w14:val="000000"/>
            </w14:solidFill>
          </w14:textFill>
        </w:rPr>
      </w:pPr>
    </w:p>
    <w:p>
      <w:pPr>
        <w:pStyle w:val="Body 2"/>
        <w:jc w:val="center"/>
        <w:rPr>
          <w:outline w:val="0"/>
          <w:color w:val="000000"/>
          <w:u w:color="000000"/>
          <w:lang w:val="pt-PT"/>
          <w14:textFill>
            <w14:solidFill>
              <w14:srgbClr w14:val="000000"/>
            </w14:solidFill>
          </w14:textFill>
        </w:rPr>
      </w:pPr>
    </w:p>
    <w:p>
      <w:pPr>
        <w:pStyle w:val="Body 2"/>
        <w:jc w:val="center"/>
        <w:rPr>
          <w:outline w:val="0"/>
          <w:color w:val="000000"/>
          <w:u w:color="000000"/>
          <w:lang w:val="pt-PT"/>
          <w14:textFill>
            <w14:solidFill>
              <w14:srgbClr w14:val="000000"/>
            </w14:solidFill>
          </w14:textFill>
        </w:rPr>
      </w:pPr>
    </w:p>
    <w:p>
      <w:pPr>
        <w:pStyle w:val="Body 2"/>
        <w:jc w:val="center"/>
        <w:rPr>
          <w:outline w:val="0"/>
          <w:color w:val="000000"/>
          <w:u w:color="000000"/>
          <w:lang w:val="pt-PT"/>
          <w14:textFill>
            <w14:solidFill>
              <w14:srgbClr w14:val="000000"/>
            </w14:solidFill>
          </w14:textFill>
        </w:rPr>
      </w:pPr>
    </w:p>
    <w:p>
      <w:pPr>
        <w:pStyle w:val="Body 2"/>
        <w:jc w:val="center"/>
        <w:rPr>
          <w:outline w:val="0"/>
          <w:color w:val="000000"/>
          <w:u w:color="000000"/>
          <w:lang w:val="pt-PT"/>
          <w14:textFill>
            <w14:solidFill>
              <w14:srgbClr w14:val="000000"/>
            </w14:solidFill>
          </w14:textFill>
        </w:rPr>
      </w:pPr>
    </w:p>
    <w:p>
      <w:pPr>
        <w:pStyle w:val="Body 2"/>
        <w:jc w:val="center"/>
        <w:rPr>
          <w:outline w:val="0"/>
          <w:color w:val="000000"/>
          <w:u w:color="000000"/>
          <w:lang w:val="pt-PT"/>
          <w14:textFill>
            <w14:solidFill>
              <w14:srgbClr w14:val="000000"/>
            </w14:solidFill>
          </w14:textFill>
        </w:rPr>
      </w:pPr>
    </w:p>
    <w:p>
      <w:pPr>
        <w:pStyle w:val="Body 2"/>
        <w:jc w:val="center"/>
        <w:rPr>
          <w:outline w:val="0"/>
          <w:color w:val="000000"/>
          <w:u w:color="000000"/>
          <w:lang w:val="pt-PT"/>
          <w14:textFill>
            <w14:solidFill>
              <w14:srgbClr w14:val="000000"/>
            </w14:solidFill>
          </w14:textFill>
        </w:rPr>
      </w:pPr>
    </w:p>
    <w:p>
      <w:pPr>
        <w:pStyle w:val="Subheading"/>
      </w:pPr>
      <w:r>
        <w:rPr>
          <w:rFonts w:ascii="Times New Roman" w:hAnsi="Times New Roman"/>
          <w:outline w:val="0"/>
          <w:color w:val="7a7a7a"/>
          <w:sz w:val="24"/>
          <w:szCs w:val="24"/>
          <w:u w:color="7a7a7a"/>
          <w:rtl w:val="0"/>
          <w:lang w:val="en-US"/>
          <w14:textFill>
            <w14:solidFill>
              <w14:srgbClr w14:val="7A7A7A"/>
            </w14:solidFill>
          </w14:textFill>
        </w:rPr>
        <w:t xml:space="preserve">Word Count: </w:t>
      </w:r>
      <w:r>
        <w:rPr>
          <w:rFonts w:ascii="Times New Roman" w:hAnsi="Times New Roman"/>
          <w:outline w:val="0"/>
          <w:color w:val="7a7a7a"/>
          <w:sz w:val="24"/>
          <w:szCs w:val="24"/>
          <w:u w:color="7a7a7a"/>
          <w:rtl w:val="0"/>
          <w:lang w:val="en-US"/>
          <w14:textFill>
            <w14:solidFill>
              <w14:srgbClr w14:val="7A7A7A"/>
            </w14:solidFill>
          </w14:textFill>
        </w:rPr>
        <w:t>15,740</w:t>
      </w:r>
      <w:r>
        <w:rPr>
          <w:rFonts w:ascii="Arial Unicode MS" w:cs="Arial Unicode MS" w:hAnsi="Arial Unicode MS" w:eastAsia="Arial Unicode MS"/>
          <w:b w:val="0"/>
          <w:bCs w:val="0"/>
          <w:i w:val="0"/>
          <w:iCs w:val="0"/>
        </w:rPr>
        <w:br w:type="page"/>
      </w:r>
    </w:p>
    <w:p>
      <w:pPr>
        <w:pStyle w:val="Body"/>
        <w:spacing w:after="120"/>
        <w:ind w:left="720" w:firstLine="0"/>
        <w:rPr>
          <w:rFonts w:ascii="Arial" w:cs="Arial" w:hAnsi="Arial" w:eastAsia="Arial"/>
          <w:lang w:val="en-US"/>
        </w:rPr>
      </w:pPr>
      <w:r>
        <w:rPr>
          <w:rFonts w:ascii="Arial" w:cs="Arial" w:hAnsi="Arial" w:eastAsia="Arial"/>
          <w:lang w:val="en-US"/>
        </w:rPr>
        <w:drawing xmlns:a="http://schemas.openxmlformats.org/drawingml/2006/main">
          <wp:inline distT="0" distB="0" distL="0" distR="0">
            <wp:extent cx="1860347" cy="76017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860347" cy="760172"/>
                    </a:xfrm>
                    <a:prstGeom prst="rect">
                      <a:avLst/>
                    </a:prstGeom>
                    <a:ln w="12700" cap="flat">
                      <a:noFill/>
                      <a:miter lim="400000"/>
                    </a:ln>
                    <a:effectLst/>
                  </pic:spPr>
                </pic:pic>
              </a:graphicData>
            </a:graphic>
          </wp:inline>
        </w:drawing>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jc w:val="center"/>
        <w:rPr>
          <w:rFonts w:ascii="Arial" w:cs="Arial" w:hAnsi="Arial" w:eastAsia="Arial"/>
          <w:lang w:val="en-US"/>
        </w:rPr>
      </w:pPr>
      <w:r>
        <w:rPr>
          <w:rFonts w:ascii="Arial" w:hAnsi="Arial"/>
          <w:b w:val="1"/>
          <w:bCs w:val="1"/>
          <w:rtl w:val="0"/>
          <w:lang w:val="en-US"/>
        </w:rPr>
        <w:t>Master</w:t>
      </w:r>
      <w:r>
        <w:rPr>
          <w:rFonts w:ascii="Arial" w:hAnsi="Arial" w:hint="default"/>
          <w:b w:val="1"/>
          <w:bCs w:val="1"/>
          <w:rtl w:val="0"/>
          <w:lang w:val="en-US"/>
        </w:rPr>
        <w:t>’</w:t>
      </w:r>
      <w:r>
        <w:rPr>
          <w:rFonts w:ascii="Arial" w:hAnsi="Arial"/>
          <w:b w:val="1"/>
          <w:bCs w:val="1"/>
          <w:rtl w:val="0"/>
          <w:lang w:val="en-US"/>
        </w:rPr>
        <w:t>s Degrees by Examination and Dissertation</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jc w:val="center"/>
        <w:rPr>
          <w:rFonts w:ascii="Arial" w:cs="Arial" w:hAnsi="Arial" w:eastAsia="Arial"/>
          <w:lang w:val="en-US"/>
        </w:rPr>
      </w:pPr>
      <w:r>
        <w:rPr>
          <w:rFonts w:ascii="Arial" w:hAnsi="Arial"/>
          <w:b w:val="1"/>
          <w:bCs w:val="1"/>
          <w:rtl w:val="0"/>
          <w:lang w:val="en-US"/>
        </w:rPr>
        <w:t>Declaration Form</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rPr>
          <w:rFonts w:ascii="Arial" w:cs="Arial" w:hAnsi="Arial" w:eastAsia="Arial"/>
          <w:lang w:val="en-US"/>
        </w:rPr>
      </w:pPr>
      <w:r>
        <w:rPr>
          <w:rFonts w:ascii="Arial" w:hAnsi="Arial"/>
          <w:rtl w:val="0"/>
          <w:lang w:val="en-US"/>
        </w:rPr>
        <w:t>1. This work has not previously been accepted in substance for any degree and is not being concurrently submitted in candidature for any degree.</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line="360" w:lineRule="auto"/>
        <w:rPr>
          <w:rFonts w:ascii="Arial" w:cs="Arial" w:hAnsi="Arial" w:eastAsia="Arial"/>
          <w:lang w:val="en-US"/>
        </w:rPr>
      </w:pPr>
      <w:r>
        <w:rPr>
          <w:rFonts w:ascii="Arial" w:hAnsi="Arial"/>
          <w:rtl w:val="0"/>
          <w:lang w:val="en-US"/>
        </w:rPr>
        <w:t>Name..</w:t>
      </w:r>
      <w:r>
        <w:rPr>
          <w:rFonts w:ascii="Arial" w:hAnsi="Arial"/>
          <w:rtl w:val="0"/>
          <w:lang w:val="en-US"/>
        </w:rPr>
        <w:t>Alberto Alessandro Berio</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line="360" w:lineRule="auto"/>
        <w:rPr>
          <w:rFonts w:ascii="Arial" w:cs="Arial" w:hAnsi="Arial" w:eastAsia="Arial"/>
          <w:lang w:val="en-US"/>
        </w:rPr>
      </w:pPr>
      <w:r>
        <w:rPr>
          <w:rFonts w:ascii="Arial" w:hAnsi="Arial"/>
          <w:rtl w:val="0"/>
          <w:lang w:val="en-US"/>
        </w:rPr>
        <w:t xml:space="preserve">Date </w:t>
      </w:r>
      <w:r>
        <w:rPr>
          <w:rFonts w:ascii="Arial" w:hAnsi="Arial" w:hint="default"/>
          <w:rtl w:val="0"/>
          <w:lang w:val="en-US"/>
        </w:rPr>
        <w:t>…</w:t>
      </w:r>
      <w:r>
        <w:rPr>
          <w:rFonts w:ascii="Arial" w:hAnsi="Arial"/>
          <w:rtl w:val="0"/>
          <w:lang w:val="en-US"/>
        </w:rPr>
        <w:t>September 29, 2021</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rPr>
          <w:rFonts w:ascii="Arial" w:cs="Arial" w:hAnsi="Arial" w:eastAsia="Arial"/>
          <w:lang w:val="en-US"/>
        </w:rPr>
      </w:pPr>
      <w:r>
        <w:rPr>
          <w:rFonts w:ascii="Arial" w:hAnsi="Arial"/>
          <w:rtl w:val="0"/>
          <w:lang w:val="en-US"/>
        </w:rPr>
        <w:t xml:space="preserve">2. This dissertation is being submitted in partial fulfilment of the requirements for the degree of </w:t>
      </w:r>
      <w:r>
        <w:rPr>
          <w:rFonts w:ascii="Arial" w:hAnsi="Arial" w:hint="default"/>
          <w:rtl w:val="0"/>
          <w:lang w:val="en-US"/>
        </w:rPr>
        <w:t>…</w:t>
      </w:r>
      <w:r>
        <w:rPr>
          <w:rFonts w:ascii="Arial" w:hAnsi="Arial"/>
          <w:rtl w:val="0"/>
          <w:lang w:val="en-US"/>
        </w:rPr>
        <w:t>M.A. Cultural Astronomy and Astrology</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line="360" w:lineRule="auto"/>
        <w:rPr>
          <w:rFonts w:ascii="Arial" w:cs="Arial" w:hAnsi="Arial" w:eastAsia="Arial"/>
          <w:lang w:val="en-US"/>
        </w:rPr>
      </w:pPr>
      <w:r>
        <w:rPr>
          <w:rFonts w:ascii="Arial" w:hAnsi="Arial"/>
          <w:rtl w:val="0"/>
          <w:lang w:val="en-US"/>
        </w:rPr>
        <w:t>Name..</w:t>
      </w:r>
      <w:r>
        <w:rPr>
          <w:rFonts w:ascii="Arial" w:hAnsi="Arial"/>
          <w:rtl w:val="0"/>
          <w:lang w:val="en-US"/>
        </w:rPr>
        <w:t>Alberto Alessandro Berio</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line="360" w:lineRule="auto"/>
        <w:rPr>
          <w:rFonts w:ascii="Arial" w:cs="Arial" w:hAnsi="Arial" w:eastAsia="Arial"/>
          <w:lang w:val="en-US"/>
        </w:rPr>
      </w:pPr>
      <w:r>
        <w:rPr>
          <w:rFonts w:ascii="Arial" w:hAnsi="Arial"/>
          <w:rtl w:val="0"/>
          <w:lang w:val="en-US"/>
        </w:rPr>
        <w:t xml:space="preserve">Date </w:t>
      </w:r>
      <w:r>
        <w:rPr>
          <w:rFonts w:ascii="Arial" w:hAnsi="Arial" w:hint="default"/>
          <w:rtl w:val="0"/>
          <w:lang w:val="en-US"/>
        </w:rPr>
        <w:t>…</w:t>
      </w:r>
      <w:r>
        <w:rPr>
          <w:rFonts w:ascii="Arial" w:hAnsi="Arial"/>
          <w:rtl w:val="0"/>
          <w:lang w:val="en-US"/>
        </w:rPr>
        <w:t>September 29, 2021</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line="360" w:lineRule="auto"/>
        <w:rPr>
          <w:rFonts w:ascii="Arial" w:cs="Arial" w:hAnsi="Arial" w:eastAsia="Arial"/>
          <w:lang w:val="en-US"/>
        </w:rPr>
      </w:pP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rPr>
          <w:rFonts w:ascii="Arial" w:cs="Arial" w:hAnsi="Arial" w:eastAsia="Arial"/>
          <w:lang w:val="en-US"/>
        </w:rPr>
      </w:pPr>
      <w:r>
        <w:rPr>
          <w:rFonts w:ascii="Arial" w:hAnsi="Arial"/>
          <w:rtl w:val="0"/>
          <w:lang w:val="en-US"/>
        </w:rPr>
        <w:t>3. This dissertation is the result of my own independent work/investigation, except where otherwise stated.</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rPr>
          <w:rFonts w:ascii="Arial" w:cs="Arial" w:hAnsi="Arial" w:eastAsia="Arial"/>
          <w:lang w:val="en-US"/>
        </w:rPr>
      </w:pPr>
      <w:r>
        <w:rPr>
          <w:rFonts w:ascii="Arial" w:hAnsi="Arial"/>
          <w:rtl w:val="0"/>
          <w:lang w:val="en-US"/>
        </w:rPr>
        <w:t xml:space="preserve">Other sources are acknowledged by footnotes giving explicit references. </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rPr>
          <w:rFonts w:ascii="Arial" w:cs="Arial" w:hAnsi="Arial" w:eastAsia="Arial"/>
          <w:lang w:val="en-US"/>
        </w:rPr>
      </w:pPr>
      <w:r>
        <w:rPr>
          <w:rFonts w:ascii="Arial" w:hAnsi="Arial"/>
          <w:rtl w:val="0"/>
          <w:lang w:val="en-US"/>
        </w:rPr>
        <w:t>A bibliography is appended.</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line="360" w:lineRule="auto"/>
        <w:rPr>
          <w:rFonts w:ascii="Arial" w:cs="Arial" w:hAnsi="Arial" w:eastAsia="Arial"/>
          <w:lang w:val="en-US"/>
        </w:rPr>
      </w:pPr>
      <w:r>
        <w:rPr>
          <w:rFonts w:ascii="Arial" w:hAnsi="Arial"/>
          <w:rtl w:val="0"/>
          <w:lang w:val="en-US"/>
        </w:rPr>
        <w:t>Name..</w:t>
      </w:r>
      <w:r>
        <w:rPr>
          <w:rFonts w:ascii="Arial" w:hAnsi="Arial"/>
          <w:rtl w:val="0"/>
          <w:lang w:val="en-US"/>
        </w:rPr>
        <w:t>Alberto Alessandro Berio</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line="360" w:lineRule="auto"/>
        <w:rPr>
          <w:rFonts w:ascii="Arial" w:cs="Arial" w:hAnsi="Arial" w:eastAsia="Arial"/>
          <w:lang w:val="en-US"/>
        </w:rPr>
      </w:pPr>
      <w:r>
        <w:rPr>
          <w:rFonts w:ascii="Arial" w:hAnsi="Arial"/>
          <w:rtl w:val="0"/>
          <w:lang w:val="en-US"/>
        </w:rPr>
        <w:t xml:space="preserve">Date </w:t>
      </w:r>
      <w:r>
        <w:rPr>
          <w:rFonts w:ascii="Arial" w:hAnsi="Arial" w:hint="default"/>
          <w:rtl w:val="0"/>
          <w:lang w:val="en-US"/>
        </w:rPr>
        <w:t>…</w:t>
      </w:r>
      <w:r>
        <w:rPr>
          <w:rFonts w:ascii="Arial" w:hAnsi="Arial"/>
          <w:rtl w:val="0"/>
          <w:lang w:val="en-US"/>
        </w:rPr>
        <w:t>September 29, 2021</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rPr>
          <w:rFonts w:ascii="Arial" w:cs="Arial" w:hAnsi="Arial" w:eastAsia="Arial"/>
          <w:lang w:val="en-US"/>
        </w:rPr>
      </w:pPr>
      <w:r>
        <w:rPr>
          <w:rFonts w:ascii="Arial" w:hAnsi="Arial"/>
          <w:rtl w:val="0"/>
          <w:lang w:val="en-US"/>
        </w:rPr>
        <w:t xml:space="preserve">  </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rPr>
          <w:rFonts w:ascii="Arial" w:cs="Arial" w:hAnsi="Arial" w:eastAsia="Arial"/>
          <w:lang w:val="en-US"/>
        </w:rPr>
      </w:pPr>
      <w:r>
        <w:rPr>
          <w:rFonts w:ascii="Arial" w:hAnsi="Arial"/>
          <w:rtl w:val="0"/>
          <w:lang w:val="en-US"/>
        </w:rPr>
        <w:t>4. I hereby give consent for my dissertation, if accepted, to be available for photocopying, inter- library loan, and for deposit in the University</w:t>
      </w:r>
      <w:r>
        <w:rPr>
          <w:rFonts w:ascii="Arial" w:hAnsi="Arial" w:hint="default"/>
          <w:rtl w:val="0"/>
          <w:lang w:val="en-US"/>
        </w:rPr>
        <w:t>’</w:t>
      </w:r>
      <w:r>
        <w:rPr>
          <w:rFonts w:ascii="Arial" w:hAnsi="Arial"/>
          <w:rtl w:val="0"/>
          <w:lang w:val="en-US"/>
        </w:rPr>
        <w:t xml:space="preserve">s digital repository </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line="360" w:lineRule="auto"/>
        <w:rPr>
          <w:rFonts w:ascii="Arial" w:cs="Arial" w:hAnsi="Arial" w:eastAsia="Arial"/>
          <w:lang w:val="en-US"/>
        </w:rPr>
      </w:pPr>
      <w:r>
        <w:rPr>
          <w:rFonts w:ascii="Arial" w:hAnsi="Arial"/>
          <w:rtl w:val="0"/>
          <w:lang w:val="en-US"/>
        </w:rPr>
        <w:t>Name..</w:t>
      </w:r>
      <w:r>
        <w:rPr>
          <w:rFonts w:ascii="Arial" w:hAnsi="Arial"/>
          <w:rtl w:val="0"/>
          <w:lang w:val="en-US"/>
        </w:rPr>
        <w:t>Alberto Alessandro Berio</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line="360" w:lineRule="auto"/>
        <w:rPr>
          <w:rFonts w:ascii="Arial" w:cs="Arial" w:hAnsi="Arial" w:eastAsia="Arial"/>
          <w:lang w:val="en-US"/>
        </w:rPr>
      </w:pPr>
      <w:r>
        <w:rPr>
          <w:rFonts w:ascii="Arial" w:hAnsi="Arial"/>
          <w:rtl w:val="0"/>
          <w:lang w:val="en-US"/>
        </w:rPr>
        <w:t xml:space="preserve">Date </w:t>
      </w:r>
      <w:r>
        <w:rPr>
          <w:rFonts w:ascii="Arial" w:hAnsi="Arial" w:hint="default"/>
          <w:rtl w:val="0"/>
          <w:lang w:val="en-US"/>
        </w:rPr>
        <w:t>…</w:t>
      </w:r>
      <w:r>
        <w:rPr>
          <w:rFonts w:ascii="Arial" w:hAnsi="Arial"/>
          <w:rtl w:val="0"/>
          <w:lang w:val="en-US"/>
        </w:rPr>
        <w:t>September 29, 2021</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rPr>
          <w:rFonts w:ascii="Arial" w:cs="Arial" w:hAnsi="Arial" w:eastAsia="Arial"/>
          <w:lang w:val="en-US"/>
        </w:rPr>
      </w:pPr>
      <w:r>
        <w:rPr>
          <w:rFonts w:ascii="Arial" w:hAnsi="Arial"/>
          <w:b w:val="1"/>
          <w:bCs w:val="1"/>
          <w:rtl w:val="0"/>
          <w:lang w:val="en-US"/>
        </w:rPr>
        <w:t>Supervisor</w:t>
      </w:r>
      <w:r>
        <w:rPr>
          <w:rFonts w:ascii="Arial" w:hAnsi="Arial" w:hint="default"/>
          <w:b w:val="1"/>
          <w:bCs w:val="1"/>
          <w:rtl w:val="0"/>
          <w:lang w:val="en-US"/>
        </w:rPr>
        <w:t>’</w:t>
      </w:r>
      <w:r>
        <w:rPr>
          <w:rFonts w:ascii="Arial" w:hAnsi="Arial"/>
          <w:b w:val="1"/>
          <w:bCs w:val="1"/>
          <w:rtl w:val="0"/>
          <w:lang w:val="en-US"/>
        </w:rPr>
        <w:t>s Declaration</w:t>
      </w:r>
      <w:r>
        <w:rPr>
          <w:rFonts w:ascii="Arial" w:hAnsi="Arial"/>
          <w:rtl w:val="0"/>
          <w:lang w:val="en-US"/>
        </w:rPr>
        <w:t>.</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rPr>
          <w:rFonts w:ascii="Arial" w:cs="Arial" w:hAnsi="Arial" w:eastAsia="Arial"/>
          <w:lang w:val="en-US"/>
        </w:rPr>
      </w:pPr>
      <w:r>
        <w:rPr>
          <w:rFonts w:ascii="Arial" w:hAnsi="Arial"/>
          <w:rtl w:val="0"/>
          <w:lang w:val="en-US"/>
        </w:rPr>
        <w:t>I am satisfied that this work is the result of the student</w:t>
      </w:r>
      <w:r>
        <w:rPr>
          <w:rFonts w:ascii="Arial" w:hAnsi="Arial" w:hint="default"/>
          <w:rtl w:val="0"/>
          <w:lang w:val="en-US"/>
        </w:rPr>
        <w:t>’</w:t>
      </w:r>
      <w:r>
        <w:rPr>
          <w:rFonts w:ascii="Arial" w:hAnsi="Arial"/>
          <w:rtl w:val="0"/>
          <w:lang w:val="en-US"/>
        </w:rPr>
        <w:t>s own efforts.</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line="360" w:lineRule="auto"/>
        <w:rPr>
          <w:rFonts w:ascii="Arial" w:cs="Arial" w:hAnsi="Arial" w:eastAsia="Arial"/>
          <w:lang w:val="en-US"/>
        </w:rPr>
      </w:pPr>
      <w:r>
        <w:rPr>
          <w:rFonts w:ascii="Arial" w:hAnsi="Arial"/>
          <w:rtl w:val="0"/>
          <w:lang w:val="en-US"/>
        </w:rPr>
        <w:t xml:space="preserve">Signed:  </w:t>
      </w:r>
      <w:r>
        <w:rPr>
          <w:rFonts w:ascii="Arial" w:hAnsi="Arial" w:hint="default"/>
          <w:rtl w:val="0"/>
          <w:lang w:val="en-US"/>
        </w:rPr>
        <w:t>…………………………………………………………………………</w:t>
      </w:r>
      <w:r>
        <w:rPr>
          <w:rFonts w:ascii="Arial" w:hAnsi="Arial"/>
          <w:rtl w:val="0"/>
          <w:lang w:val="en-US"/>
        </w:rPr>
        <w:t>...</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pacing w:after="120" w:line="360" w:lineRule="auto"/>
        <w:jc w:val="both"/>
        <w:rPr>
          <w:outline w:val="0"/>
          <w:color w:val="7a7a7a"/>
          <w:lang w:val="en-US"/>
          <w14:textFill>
            <w14:solidFill>
              <w14:srgbClr w14:val="7A7A7A"/>
            </w14:solidFill>
          </w14:textFill>
        </w:rPr>
      </w:pPr>
      <w:r>
        <w:rPr>
          <w:rFonts w:ascii="Arial" w:hAnsi="Arial"/>
          <w:rtl w:val="0"/>
          <w:lang w:val="en-US"/>
        </w:rPr>
        <w:t xml:space="preserve">Date: </w:t>
      </w:r>
      <w:r>
        <w:rPr>
          <w:rFonts w:ascii="Arial" w:hAnsi="Arial" w:hint="default"/>
          <w:rtl w:val="0"/>
          <w:lang w:val="en-US"/>
        </w:rPr>
        <w:t>…………………………………………………………………………</w:t>
      </w:r>
      <w:r>
        <w:rPr>
          <w:rFonts w:ascii="Arial" w:hAnsi="Arial"/>
          <w:rtl w:val="0"/>
          <w:lang w:val="en-US"/>
        </w:rPr>
        <w:t>..</w:t>
      </w:r>
    </w:p>
    <w:p>
      <w:pPr>
        <w:pStyle w:val="Heading"/>
        <w:spacing w:line="480" w:lineRule="auto"/>
      </w:pPr>
      <w:bookmarkStart w:name="_Toc" w:id="0"/>
      <w:r>
        <w:rPr>
          <w:rtl w:val="0"/>
          <w:lang w:val="en-US"/>
        </w:rPr>
        <w:t>Table of Contents</w:t>
      </w:r>
      <w:r>
        <w:rPr/>
        <w:fldChar w:fldCharType="begin" w:fldLock="0"/>
      </w:r>
      <w:r>
        <w:instrText xml:space="preserve"> TOC \o 1-2 \t "Heading Reg, 3,Heading Reg 1, 4,Subheading, 2"</w:instrText>
      </w:r>
      <w:r>
        <w:rPr/>
        <w:fldChar w:fldCharType="separate" w:fldLock="0"/>
      </w:r>
    </w:p>
    <w:p>
      <w:pPr>
        <w:pStyle w:val="TOC 1"/>
        <w:bidi w:val="0"/>
        <w:rPr>
          <w:rFonts w:ascii="Times New Roman" w:cs="Times New Roman" w:hAnsi="Times New Roman" w:eastAsia="Times New Roman"/>
          <w:b w:val="1"/>
          <w:bCs w:val="1"/>
        </w:rPr>
      </w:pPr>
      <w:r>
        <w:rPr>
          <w:rFonts w:ascii="Times New Roman" w:hAnsi="Times New Roman"/>
          <w:b w:val="1"/>
          <w:bCs w:val="1"/>
          <w:rtl w:val="0"/>
          <w:lang w:val="en-US"/>
        </w:rPr>
        <w:t>Table of Contents</w:t>
        <w:tab/>
      </w:r>
      <w:r>
        <w:rPr>
          <w:rFonts w:ascii="Times New Roman" w:cs="Times New Roman" w:hAnsi="Times New Roman" w:eastAsia="Times New Roman"/>
          <w:b w:val="1"/>
          <w:bCs w:val="1"/>
        </w:rPr>
        <w:fldChar w:fldCharType="begin" w:fldLock="0"/>
      </w:r>
      <w:r>
        <w:rPr>
          <w:rFonts w:ascii="Times New Roman" w:cs="Times New Roman" w:hAnsi="Times New Roman" w:eastAsia="Times New Roman"/>
          <w:b w:val="1"/>
          <w:bCs w:val="1"/>
        </w:rPr>
        <w:instrText xml:space="preserve"> PAGEREF _Toc \h </w:instrText>
      </w:r>
      <w:r>
        <w:rPr>
          <w:rFonts w:ascii="Times New Roman" w:cs="Times New Roman" w:hAnsi="Times New Roman" w:eastAsia="Times New Roman"/>
          <w:b w:val="1"/>
          <w:bCs w:val="1"/>
        </w:rPr>
        <w:fldChar w:fldCharType="separate" w:fldLock="0"/>
      </w:r>
      <w:r>
        <w:rPr>
          <w:rFonts w:ascii="Times New Roman" w:hAnsi="Times New Roman"/>
          <w:b w:val="1"/>
          <w:bCs w:val="1"/>
          <w:rtl w:val="0"/>
        </w:rPr>
        <w:t>3</w:t>
      </w:r>
      <w:r>
        <w:rPr>
          <w:rFonts w:ascii="Times New Roman" w:cs="Times New Roman" w:hAnsi="Times New Roman" w:eastAsia="Times New Roman"/>
          <w:b w:val="1"/>
          <w:bCs w:val="1"/>
        </w:rPr>
        <w:fldChar w:fldCharType="end" w:fldLock="0"/>
      </w:r>
    </w:p>
    <w:p>
      <w:pPr>
        <w:pStyle w:val="TOC 1"/>
        <w:bidi w:val="0"/>
        <w:rPr>
          <w:rFonts w:ascii="Times New Roman" w:cs="Times New Roman" w:hAnsi="Times New Roman" w:eastAsia="Times New Roman"/>
          <w:b w:val="1"/>
          <w:bCs w:val="1"/>
        </w:rPr>
      </w:pPr>
      <w:r>
        <w:rPr>
          <w:rFonts w:ascii="Times New Roman" w:hAnsi="Times New Roman"/>
          <w:b w:val="1"/>
          <w:bCs w:val="1"/>
          <w:rtl w:val="0"/>
          <w:lang w:val="en-US"/>
        </w:rPr>
        <w:t>List of Illustrations and Tables</w:t>
        <w:tab/>
      </w:r>
      <w:r>
        <w:rPr>
          <w:rFonts w:ascii="Times New Roman" w:cs="Times New Roman" w:hAnsi="Times New Roman" w:eastAsia="Times New Roman"/>
          <w:b w:val="1"/>
          <w:bCs w:val="1"/>
        </w:rPr>
        <w:fldChar w:fldCharType="begin" w:fldLock="0"/>
      </w:r>
      <w:r>
        <w:rPr>
          <w:rFonts w:ascii="Times New Roman" w:cs="Times New Roman" w:hAnsi="Times New Roman" w:eastAsia="Times New Roman"/>
          <w:b w:val="1"/>
          <w:bCs w:val="1"/>
        </w:rPr>
        <w:instrText xml:space="preserve"> PAGEREF _Toc1 \h </w:instrText>
      </w:r>
      <w:r>
        <w:rPr>
          <w:rFonts w:ascii="Times New Roman" w:cs="Times New Roman" w:hAnsi="Times New Roman" w:eastAsia="Times New Roman"/>
          <w:b w:val="1"/>
          <w:bCs w:val="1"/>
        </w:rPr>
        <w:fldChar w:fldCharType="separate" w:fldLock="0"/>
      </w:r>
      <w:r>
        <w:rPr>
          <w:rFonts w:ascii="Times New Roman" w:hAnsi="Times New Roman"/>
          <w:b w:val="1"/>
          <w:bCs w:val="1"/>
          <w:rtl w:val="0"/>
        </w:rPr>
        <w:t>5</w:t>
      </w:r>
      <w:r>
        <w:rPr>
          <w:rFonts w:ascii="Times New Roman" w:cs="Times New Roman" w:hAnsi="Times New Roman" w:eastAsia="Times New Roman"/>
          <w:b w:val="1"/>
          <w:bCs w:val="1"/>
        </w:rPr>
        <w:fldChar w:fldCharType="end" w:fldLock="0"/>
      </w:r>
    </w:p>
    <w:p>
      <w:pPr>
        <w:pStyle w:val="TOC 1"/>
        <w:bidi w:val="0"/>
        <w:rPr>
          <w:rFonts w:ascii="Times New Roman" w:cs="Times New Roman" w:hAnsi="Times New Roman" w:eastAsia="Times New Roman"/>
          <w:b w:val="1"/>
          <w:bCs w:val="1"/>
        </w:rPr>
      </w:pPr>
      <w:r>
        <w:rPr>
          <w:rFonts w:ascii="Times New Roman" w:hAnsi="Times New Roman"/>
          <w:b w:val="1"/>
          <w:bCs w:val="1"/>
          <w:rtl w:val="0"/>
          <w:lang w:val="en-US"/>
        </w:rPr>
        <w:t>Acknowledgments</w:t>
        <w:tab/>
      </w:r>
      <w:r>
        <w:rPr>
          <w:rFonts w:ascii="Times New Roman" w:cs="Times New Roman" w:hAnsi="Times New Roman" w:eastAsia="Times New Roman"/>
          <w:b w:val="1"/>
          <w:bCs w:val="1"/>
        </w:rPr>
        <w:fldChar w:fldCharType="begin" w:fldLock="0"/>
      </w:r>
      <w:r>
        <w:rPr>
          <w:rFonts w:ascii="Times New Roman" w:cs="Times New Roman" w:hAnsi="Times New Roman" w:eastAsia="Times New Roman"/>
          <w:b w:val="1"/>
          <w:bCs w:val="1"/>
        </w:rPr>
        <w:instrText xml:space="preserve"> PAGEREF _Toc2 \h </w:instrText>
      </w:r>
      <w:r>
        <w:rPr>
          <w:rFonts w:ascii="Times New Roman" w:cs="Times New Roman" w:hAnsi="Times New Roman" w:eastAsia="Times New Roman"/>
          <w:b w:val="1"/>
          <w:bCs w:val="1"/>
        </w:rPr>
        <w:fldChar w:fldCharType="separate" w:fldLock="0"/>
      </w:r>
      <w:r>
        <w:rPr>
          <w:rFonts w:ascii="Times New Roman" w:hAnsi="Times New Roman"/>
          <w:b w:val="1"/>
          <w:bCs w:val="1"/>
          <w:rtl w:val="0"/>
        </w:rPr>
        <w:t>7</w:t>
      </w:r>
      <w:r>
        <w:rPr>
          <w:rFonts w:ascii="Times New Roman" w:cs="Times New Roman" w:hAnsi="Times New Roman" w:eastAsia="Times New Roman"/>
          <w:b w:val="1"/>
          <w:bCs w:val="1"/>
        </w:rPr>
        <w:fldChar w:fldCharType="end" w:fldLock="0"/>
      </w:r>
    </w:p>
    <w:p>
      <w:pPr>
        <w:pStyle w:val="TOC 1"/>
        <w:bidi w:val="0"/>
        <w:rPr>
          <w:rFonts w:ascii="Times New Roman" w:cs="Times New Roman" w:hAnsi="Times New Roman" w:eastAsia="Times New Roman"/>
          <w:b w:val="1"/>
          <w:bCs w:val="1"/>
        </w:rPr>
      </w:pPr>
      <w:r>
        <w:rPr>
          <w:rFonts w:ascii="Times New Roman" w:hAnsi="Times New Roman"/>
          <w:b w:val="1"/>
          <w:bCs w:val="1"/>
          <w:rtl w:val="0"/>
          <w:lang w:val="de-DE"/>
        </w:rPr>
        <w:t>Abstract</w:t>
        <w:tab/>
      </w:r>
      <w:r>
        <w:rPr>
          <w:rFonts w:ascii="Times New Roman" w:cs="Times New Roman" w:hAnsi="Times New Roman" w:eastAsia="Times New Roman"/>
          <w:b w:val="1"/>
          <w:bCs w:val="1"/>
        </w:rPr>
        <w:fldChar w:fldCharType="begin" w:fldLock="0"/>
      </w:r>
      <w:r>
        <w:rPr>
          <w:rFonts w:ascii="Times New Roman" w:cs="Times New Roman" w:hAnsi="Times New Roman" w:eastAsia="Times New Roman"/>
          <w:b w:val="1"/>
          <w:bCs w:val="1"/>
        </w:rPr>
        <w:instrText xml:space="preserve"> PAGEREF _Toc3 \h </w:instrText>
      </w:r>
      <w:r>
        <w:rPr>
          <w:rFonts w:ascii="Times New Roman" w:cs="Times New Roman" w:hAnsi="Times New Roman" w:eastAsia="Times New Roman"/>
          <w:b w:val="1"/>
          <w:bCs w:val="1"/>
        </w:rPr>
        <w:fldChar w:fldCharType="separate" w:fldLock="0"/>
      </w:r>
      <w:r>
        <w:rPr>
          <w:rFonts w:ascii="Times New Roman" w:hAnsi="Times New Roman"/>
          <w:b w:val="1"/>
          <w:bCs w:val="1"/>
          <w:rtl w:val="0"/>
        </w:rPr>
        <w:t>8</w:t>
      </w:r>
      <w:r>
        <w:rPr>
          <w:rFonts w:ascii="Times New Roman" w:cs="Times New Roman" w:hAnsi="Times New Roman" w:eastAsia="Times New Roman"/>
          <w:b w:val="1"/>
          <w:bCs w:val="1"/>
        </w:rPr>
        <w:fldChar w:fldCharType="end" w:fldLock="0"/>
      </w:r>
    </w:p>
    <w:p>
      <w:pPr>
        <w:pStyle w:val="TOC 1"/>
        <w:bidi w:val="0"/>
        <w:rPr>
          <w:rFonts w:ascii="Times New Roman" w:cs="Times New Roman" w:hAnsi="Times New Roman" w:eastAsia="Times New Roman"/>
          <w:b w:val="1"/>
          <w:bCs w:val="1"/>
        </w:rPr>
      </w:pPr>
      <w:r>
        <w:rPr>
          <w:rFonts w:ascii="Times New Roman" w:hAnsi="Times New Roman"/>
          <w:b w:val="1"/>
          <w:bCs w:val="1"/>
          <w:rtl w:val="0"/>
          <w:lang w:val="fr-FR"/>
        </w:rPr>
        <w:t>Introduction - Academic Rationale</w:t>
        <w:tab/>
      </w:r>
      <w:r>
        <w:rPr>
          <w:rFonts w:ascii="Times New Roman" w:cs="Times New Roman" w:hAnsi="Times New Roman" w:eastAsia="Times New Roman"/>
          <w:b w:val="1"/>
          <w:bCs w:val="1"/>
        </w:rPr>
        <w:fldChar w:fldCharType="begin" w:fldLock="0"/>
      </w:r>
      <w:r>
        <w:rPr>
          <w:rFonts w:ascii="Times New Roman" w:cs="Times New Roman" w:hAnsi="Times New Roman" w:eastAsia="Times New Roman"/>
          <w:b w:val="1"/>
          <w:bCs w:val="1"/>
        </w:rPr>
        <w:instrText xml:space="preserve"> PAGEREF _Toc4 \h </w:instrText>
      </w:r>
      <w:r>
        <w:rPr>
          <w:rFonts w:ascii="Times New Roman" w:cs="Times New Roman" w:hAnsi="Times New Roman" w:eastAsia="Times New Roman"/>
          <w:b w:val="1"/>
          <w:bCs w:val="1"/>
        </w:rPr>
        <w:fldChar w:fldCharType="separate" w:fldLock="0"/>
      </w:r>
      <w:r>
        <w:rPr>
          <w:rFonts w:ascii="Times New Roman" w:hAnsi="Times New Roman"/>
          <w:b w:val="1"/>
          <w:bCs w:val="1"/>
          <w:rtl w:val="0"/>
        </w:rPr>
        <w:t>9</w:t>
      </w:r>
      <w:r>
        <w:rPr>
          <w:rFonts w:ascii="Times New Roman" w:cs="Times New Roman" w:hAnsi="Times New Roman" w:eastAsia="Times New Roman"/>
          <w:b w:val="1"/>
          <w:bCs w:val="1"/>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The Archaeological Sites</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_Toc5 \h </w:instrText>
      </w:r>
      <w:r>
        <w:rPr>
          <w:rFonts w:ascii="Times New Roman" w:cs="Times New Roman" w:hAnsi="Times New Roman" w:eastAsia="Times New Roman"/>
        </w:rPr>
        <w:fldChar w:fldCharType="separate" w:fldLock="0"/>
      </w:r>
      <w:r>
        <w:rPr>
          <w:rFonts w:ascii="Times New Roman" w:hAnsi="Times New Roman"/>
          <w:rtl w:val="0"/>
        </w:rPr>
        <w:t>10</w:t>
      </w:r>
      <w:r>
        <w:rPr>
          <w:rFonts w:ascii="Times New Roman" w:cs="Times New Roman" w:hAnsi="Times New Roman" w:eastAsia="Times New Roman"/>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Minoan Palace Courtyards</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_Toc6 \h </w:instrText>
      </w:r>
      <w:r>
        <w:rPr>
          <w:rFonts w:ascii="Times New Roman" w:cs="Times New Roman" w:hAnsi="Times New Roman" w:eastAsia="Times New Roman"/>
        </w:rPr>
        <w:fldChar w:fldCharType="separate" w:fldLock="0"/>
      </w:r>
      <w:r>
        <w:rPr>
          <w:rFonts w:ascii="Times New Roman" w:hAnsi="Times New Roman"/>
          <w:rtl w:val="0"/>
        </w:rPr>
        <w:t>12</w:t>
      </w:r>
      <w:r>
        <w:rPr>
          <w:rFonts w:ascii="Times New Roman" w:cs="Times New Roman" w:hAnsi="Times New Roman" w:eastAsia="Times New Roman"/>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The Archaeoastronomy of Crete</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_Toc7 \h </w:instrText>
      </w:r>
      <w:r>
        <w:rPr>
          <w:rFonts w:ascii="Times New Roman" w:cs="Times New Roman" w:hAnsi="Times New Roman" w:eastAsia="Times New Roman"/>
        </w:rPr>
        <w:fldChar w:fldCharType="separate" w:fldLock="0"/>
      </w:r>
      <w:r>
        <w:rPr>
          <w:rFonts w:ascii="Times New Roman" w:hAnsi="Times New Roman"/>
          <w:rtl w:val="0"/>
        </w:rPr>
        <w:t>14</w:t>
      </w:r>
      <w:r>
        <w:rPr>
          <w:rFonts w:ascii="Times New Roman" w:cs="Times New Roman" w:hAnsi="Times New Roman" w:eastAsia="Times New Roman"/>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Summary</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_Toc8 \h </w:instrText>
      </w:r>
      <w:r>
        <w:rPr>
          <w:rFonts w:ascii="Times New Roman" w:cs="Times New Roman" w:hAnsi="Times New Roman" w:eastAsia="Times New Roman"/>
        </w:rPr>
        <w:fldChar w:fldCharType="separate" w:fldLock="0"/>
      </w:r>
      <w:r>
        <w:rPr>
          <w:rFonts w:ascii="Times New Roman" w:hAnsi="Times New Roman"/>
          <w:rtl w:val="0"/>
        </w:rPr>
        <w:t>16</w:t>
      </w:r>
      <w:r>
        <w:rPr>
          <w:rFonts w:ascii="Times New Roman" w:cs="Times New Roman" w:hAnsi="Times New Roman" w:eastAsia="Times New Roman"/>
        </w:rPr>
        <w:fldChar w:fldCharType="end" w:fldLock="0"/>
      </w:r>
    </w:p>
    <w:p>
      <w:pPr>
        <w:pStyle w:val="TOC 1"/>
        <w:bidi w:val="0"/>
        <w:rPr>
          <w:rFonts w:ascii="Times New Roman" w:cs="Times New Roman" w:hAnsi="Times New Roman" w:eastAsia="Times New Roman"/>
          <w:b w:val="1"/>
          <w:bCs w:val="1"/>
        </w:rPr>
      </w:pPr>
      <w:r>
        <w:rPr>
          <w:rFonts w:ascii="Times New Roman" w:hAnsi="Times New Roman"/>
          <w:b w:val="1"/>
          <w:bCs w:val="1"/>
          <w:rtl w:val="0"/>
        </w:rPr>
        <w:t>Minoan Maritime Trade</w:t>
        <w:tab/>
      </w:r>
      <w:r>
        <w:rPr>
          <w:rFonts w:ascii="Times New Roman" w:cs="Times New Roman" w:hAnsi="Times New Roman" w:eastAsia="Times New Roman"/>
          <w:b w:val="1"/>
          <w:bCs w:val="1"/>
        </w:rPr>
        <w:fldChar w:fldCharType="begin" w:fldLock="0"/>
      </w:r>
      <w:r>
        <w:rPr>
          <w:rFonts w:ascii="Times New Roman" w:cs="Times New Roman" w:hAnsi="Times New Roman" w:eastAsia="Times New Roman"/>
          <w:b w:val="1"/>
          <w:bCs w:val="1"/>
        </w:rPr>
        <w:instrText xml:space="preserve"> PAGEREF _Toc9 \h </w:instrText>
      </w:r>
      <w:r>
        <w:rPr>
          <w:rFonts w:ascii="Times New Roman" w:cs="Times New Roman" w:hAnsi="Times New Roman" w:eastAsia="Times New Roman"/>
          <w:b w:val="1"/>
          <w:bCs w:val="1"/>
        </w:rPr>
        <w:fldChar w:fldCharType="separate" w:fldLock="0"/>
      </w:r>
      <w:r>
        <w:rPr>
          <w:rFonts w:ascii="Times New Roman" w:hAnsi="Times New Roman"/>
          <w:b w:val="1"/>
          <w:bCs w:val="1"/>
          <w:rtl w:val="0"/>
        </w:rPr>
        <w:t>17</w:t>
      </w:r>
      <w:r>
        <w:rPr>
          <w:rFonts w:ascii="Times New Roman" w:cs="Times New Roman" w:hAnsi="Times New Roman" w:eastAsia="Times New Roman"/>
          <w:b w:val="1"/>
          <w:bCs w:val="1"/>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Minoan Trade Routes</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_Toc10 \h </w:instrText>
      </w:r>
      <w:r>
        <w:rPr>
          <w:rFonts w:ascii="Times New Roman" w:cs="Times New Roman" w:hAnsi="Times New Roman" w:eastAsia="Times New Roman"/>
        </w:rPr>
        <w:fldChar w:fldCharType="separate" w:fldLock="0"/>
      </w:r>
      <w:r>
        <w:rPr>
          <w:rFonts w:ascii="Times New Roman" w:hAnsi="Times New Roman"/>
          <w:rtl w:val="0"/>
        </w:rPr>
        <w:t>20</w:t>
      </w:r>
      <w:r>
        <w:rPr>
          <w:rFonts w:ascii="Times New Roman" w:cs="Times New Roman" w:hAnsi="Times New Roman" w:eastAsia="Times New Roman"/>
        </w:rPr>
        <w:fldChar w:fldCharType="end" w:fldLock="0"/>
      </w:r>
    </w:p>
    <w:p>
      <w:pPr>
        <w:pStyle w:val="TOC 4"/>
        <w:bidi w:val="0"/>
        <w:rPr>
          <w:rFonts w:ascii="Times New Roman" w:cs="Times New Roman" w:hAnsi="Times New Roman" w:eastAsia="Times New Roman"/>
        </w:rPr>
      </w:pPr>
      <w:r>
        <w:rPr>
          <w:rFonts w:ascii="Times New Roman" w:hAnsi="Times New Roman"/>
          <w:rtl w:val="0"/>
          <w:lang w:val="nl-NL"/>
        </w:rPr>
        <w:t>Egyptian Trade</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_Toc11 \h </w:instrText>
      </w:r>
      <w:r>
        <w:rPr>
          <w:rFonts w:ascii="Times New Roman" w:cs="Times New Roman" w:hAnsi="Times New Roman" w:eastAsia="Times New Roman"/>
        </w:rPr>
        <w:fldChar w:fldCharType="separate" w:fldLock="0"/>
      </w:r>
      <w:r>
        <w:rPr>
          <w:rFonts w:ascii="Times New Roman" w:hAnsi="Times New Roman"/>
          <w:rtl w:val="0"/>
        </w:rPr>
        <w:t>23</w:t>
      </w:r>
      <w:r>
        <w:rPr>
          <w:rFonts w:ascii="Times New Roman" w:cs="Times New Roman" w:hAnsi="Times New Roman" w:eastAsia="Times New Roman"/>
        </w:rPr>
        <w:fldChar w:fldCharType="end" w:fldLock="0"/>
      </w:r>
    </w:p>
    <w:p>
      <w:pPr>
        <w:pStyle w:val="TOC 4"/>
        <w:bidi w:val="0"/>
        <w:rPr>
          <w:rFonts w:ascii="Times New Roman" w:cs="Times New Roman" w:hAnsi="Times New Roman" w:eastAsia="Times New Roman"/>
        </w:rPr>
      </w:pPr>
      <w:r>
        <w:rPr>
          <w:rFonts w:ascii="Times New Roman" w:hAnsi="Times New Roman"/>
          <w:rtl w:val="0"/>
          <w:lang w:val="en-US"/>
        </w:rPr>
        <w:t>Levantine Contacts</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_Toc12 \h </w:instrText>
      </w:r>
      <w:r>
        <w:rPr>
          <w:rFonts w:ascii="Times New Roman" w:cs="Times New Roman" w:hAnsi="Times New Roman" w:eastAsia="Times New Roman"/>
        </w:rPr>
        <w:fldChar w:fldCharType="separate" w:fldLock="0"/>
      </w:r>
      <w:r>
        <w:rPr>
          <w:rFonts w:ascii="Times New Roman" w:hAnsi="Times New Roman"/>
          <w:rtl w:val="0"/>
        </w:rPr>
        <w:t>24</w:t>
      </w:r>
      <w:r>
        <w:rPr>
          <w:rFonts w:ascii="Times New Roman" w:cs="Times New Roman" w:hAnsi="Times New Roman" w:eastAsia="Times New Roman"/>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Maritime Proficiency</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_Toc13 \h </w:instrText>
      </w:r>
      <w:r>
        <w:rPr>
          <w:rFonts w:ascii="Times New Roman" w:cs="Times New Roman" w:hAnsi="Times New Roman" w:eastAsia="Times New Roman"/>
        </w:rPr>
        <w:fldChar w:fldCharType="separate" w:fldLock="0"/>
      </w:r>
      <w:r>
        <w:rPr>
          <w:rFonts w:ascii="Times New Roman" w:hAnsi="Times New Roman"/>
          <w:rtl w:val="0"/>
        </w:rPr>
        <w:t>26</w:t>
      </w:r>
      <w:r>
        <w:rPr>
          <w:rFonts w:ascii="Times New Roman" w:cs="Times New Roman" w:hAnsi="Times New Roman" w:eastAsia="Times New Roman"/>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Summary</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_Toc14 \h </w:instrText>
      </w:r>
      <w:r>
        <w:rPr>
          <w:rFonts w:ascii="Times New Roman" w:cs="Times New Roman" w:hAnsi="Times New Roman" w:eastAsia="Times New Roman"/>
        </w:rPr>
        <w:fldChar w:fldCharType="separate" w:fldLock="0"/>
      </w:r>
      <w:r>
        <w:rPr>
          <w:rFonts w:ascii="Times New Roman" w:hAnsi="Times New Roman"/>
          <w:rtl w:val="0"/>
        </w:rPr>
        <w:t>27</w:t>
      </w:r>
      <w:r>
        <w:rPr>
          <w:rFonts w:ascii="Times New Roman" w:cs="Times New Roman" w:hAnsi="Times New Roman" w:eastAsia="Times New Roman"/>
        </w:rPr>
        <w:fldChar w:fldCharType="end" w:fldLock="0"/>
      </w:r>
    </w:p>
    <w:p>
      <w:pPr>
        <w:pStyle w:val="TOC 1"/>
        <w:bidi w:val="0"/>
        <w:rPr>
          <w:rFonts w:ascii="Times New Roman" w:cs="Times New Roman" w:hAnsi="Times New Roman" w:eastAsia="Times New Roman"/>
          <w:b w:val="1"/>
          <w:bCs w:val="1"/>
        </w:rPr>
      </w:pPr>
      <w:r>
        <w:rPr>
          <w:rFonts w:ascii="Times New Roman" w:hAnsi="Times New Roman"/>
          <w:b w:val="1"/>
          <w:bCs w:val="1"/>
          <w:rtl w:val="0"/>
          <w:lang w:val="en-US"/>
        </w:rPr>
        <w:t>Ethnographic Parallels</w:t>
        <w:tab/>
      </w:r>
      <w:r>
        <w:rPr>
          <w:rFonts w:ascii="Times New Roman" w:cs="Times New Roman" w:hAnsi="Times New Roman" w:eastAsia="Times New Roman"/>
          <w:b w:val="1"/>
          <w:bCs w:val="1"/>
        </w:rPr>
        <w:fldChar w:fldCharType="begin" w:fldLock="0"/>
      </w:r>
      <w:r>
        <w:rPr>
          <w:rFonts w:ascii="Times New Roman" w:cs="Times New Roman" w:hAnsi="Times New Roman" w:eastAsia="Times New Roman"/>
          <w:b w:val="1"/>
          <w:bCs w:val="1"/>
        </w:rPr>
        <w:instrText xml:space="preserve"> PAGEREF _Toc15 \h </w:instrText>
      </w:r>
      <w:r>
        <w:rPr>
          <w:rFonts w:ascii="Times New Roman" w:cs="Times New Roman" w:hAnsi="Times New Roman" w:eastAsia="Times New Roman"/>
          <w:b w:val="1"/>
          <w:bCs w:val="1"/>
        </w:rPr>
        <w:fldChar w:fldCharType="separate" w:fldLock="0"/>
      </w:r>
      <w:r>
        <w:rPr>
          <w:rFonts w:ascii="Times New Roman" w:hAnsi="Times New Roman"/>
          <w:b w:val="1"/>
          <w:bCs w:val="1"/>
          <w:rtl w:val="0"/>
        </w:rPr>
        <w:t>28</w:t>
      </w:r>
      <w:r>
        <w:rPr>
          <w:rFonts w:ascii="Times New Roman" w:cs="Times New Roman" w:hAnsi="Times New Roman" w:eastAsia="Times New Roman"/>
          <w:b w:val="1"/>
          <w:bCs w:val="1"/>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The Basics of Star Path Sailing</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_Toc16 \h </w:instrText>
      </w:r>
      <w:r>
        <w:rPr>
          <w:rFonts w:ascii="Times New Roman" w:cs="Times New Roman" w:hAnsi="Times New Roman" w:eastAsia="Times New Roman"/>
        </w:rPr>
        <w:fldChar w:fldCharType="separate" w:fldLock="0"/>
      </w:r>
      <w:r>
        <w:rPr>
          <w:rFonts w:ascii="Times New Roman" w:hAnsi="Times New Roman"/>
          <w:rtl w:val="0"/>
        </w:rPr>
        <w:t>29</w:t>
      </w:r>
      <w:r>
        <w:rPr>
          <w:rFonts w:ascii="Times New Roman" w:cs="Times New Roman" w:hAnsi="Times New Roman" w:eastAsia="Times New Roman"/>
        </w:rPr>
        <w:fldChar w:fldCharType="end" w:fldLock="0"/>
      </w:r>
    </w:p>
    <w:p>
      <w:pPr>
        <w:pStyle w:val="TOC 4"/>
        <w:bidi w:val="0"/>
        <w:rPr>
          <w:rFonts w:ascii="Times New Roman" w:cs="Times New Roman" w:hAnsi="Times New Roman" w:eastAsia="Times New Roman"/>
        </w:rPr>
      </w:pPr>
      <w:r>
        <w:rPr>
          <w:rFonts w:ascii="Times New Roman" w:hAnsi="Times New Roman"/>
          <w:rtl w:val="0"/>
          <w:lang w:val="en-US"/>
        </w:rPr>
        <w:t>Using The Sidereal Compass</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_Toc17 \h </w:instrText>
      </w:r>
      <w:r>
        <w:rPr>
          <w:rFonts w:ascii="Times New Roman" w:cs="Times New Roman" w:hAnsi="Times New Roman" w:eastAsia="Times New Roman"/>
        </w:rPr>
        <w:fldChar w:fldCharType="separate" w:fldLock="0"/>
      </w:r>
      <w:r>
        <w:rPr>
          <w:rFonts w:ascii="Times New Roman" w:hAnsi="Times New Roman"/>
          <w:rtl w:val="0"/>
        </w:rPr>
        <w:t>32</w:t>
      </w:r>
      <w:r>
        <w:rPr>
          <w:rFonts w:ascii="Times New Roman" w:cs="Times New Roman" w:hAnsi="Times New Roman" w:eastAsia="Times New Roman"/>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Azimuths Not Declinations</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_Toc18 \h </w:instrText>
      </w:r>
      <w:r>
        <w:rPr>
          <w:rFonts w:ascii="Times New Roman" w:cs="Times New Roman" w:hAnsi="Times New Roman" w:eastAsia="Times New Roman"/>
        </w:rPr>
        <w:fldChar w:fldCharType="separate" w:fldLock="0"/>
      </w:r>
      <w:r>
        <w:rPr>
          <w:rFonts w:ascii="Times New Roman" w:hAnsi="Times New Roman"/>
          <w:rtl w:val="0"/>
        </w:rPr>
        <w:t>35</w:t>
      </w:r>
      <w:r>
        <w:rPr>
          <w:rFonts w:ascii="Times New Roman" w:cs="Times New Roman" w:hAnsi="Times New Roman" w:eastAsia="Times New Roman"/>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Astronautical Orientations</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_Toc19 \h </w:instrText>
      </w:r>
      <w:r>
        <w:rPr>
          <w:rFonts w:ascii="Times New Roman" w:cs="Times New Roman" w:hAnsi="Times New Roman" w:eastAsia="Times New Roman"/>
        </w:rPr>
        <w:fldChar w:fldCharType="separate" w:fldLock="0"/>
      </w:r>
      <w:r>
        <w:rPr>
          <w:rFonts w:ascii="Times New Roman" w:hAnsi="Times New Roman"/>
          <w:rtl w:val="0"/>
        </w:rPr>
        <w:t>37</w:t>
      </w:r>
      <w:r>
        <w:rPr>
          <w:rFonts w:ascii="Times New Roman" w:cs="Times New Roman" w:hAnsi="Times New Roman" w:eastAsia="Times New Roman"/>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Summary</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_Toc20 \h </w:instrText>
      </w:r>
      <w:r>
        <w:rPr>
          <w:rFonts w:ascii="Times New Roman" w:cs="Times New Roman" w:hAnsi="Times New Roman" w:eastAsia="Times New Roman"/>
        </w:rPr>
        <w:fldChar w:fldCharType="separate" w:fldLock="0"/>
      </w:r>
      <w:r>
        <w:rPr>
          <w:rFonts w:ascii="Times New Roman" w:hAnsi="Times New Roman"/>
          <w:rtl w:val="0"/>
        </w:rPr>
        <w:t>40</w:t>
      </w:r>
      <w:r>
        <w:rPr>
          <w:rFonts w:ascii="Times New Roman" w:cs="Times New Roman" w:hAnsi="Times New Roman" w:eastAsia="Times New Roman"/>
        </w:rPr>
        <w:fldChar w:fldCharType="end" w:fldLock="0"/>
      </w:r>
    </w:p>
    <w:p>
      <w:pPr>
        <w:pStyle w:val="TOC 1"/>
        <w:bidi w:val="0"/>
        <w:rPr>
          <w:rFonts w:ascii="Times New Roman" w:cs="Times New Roman" w:hAnsi="Times New Roman" w:eastAsia="Times New Roman"/>
          <w:b w:val="1"/>
          <w:bCs w:val="1"/>
        </w:rPr>
      </w:pPr>
      <w:r>
        <w:rPr>
          <w:rFonts w:ascii="Times New Roman" w:hAnsi="Times New Roman"/>
          <w:b w:val="1"/>
          <w:bCs w:val="1"/>
          <w:rtl w:val="0"/>
          <w:lang w:val="en-US"/>
        </w:rPr>
        <w:t>Star Sailing in the Aegean</w:t>
        <w:tab/>
      </w:r>
      <w:r>
        <w:rPr>
          <w:rFonts w:ascii="Times New Roman" w:cs="Times New Roman" w:hAnsi="Times New Roman" w:eastAsia="Times New Roman"/>
          <w:b w:val="1"/>
          <w:bCs w:val="1"/>
        </w:rPr>
        <w:fldChar w:fldCharType="begin" w:fldLock="0"/>
      </w:r>
      <w:r>
        <w:rPr>
          <w:rFonts w:ascii="Times New Roman" w:cs="Times New Roman" w:hAnsi="Times New Roman" w:eastAsia="Times New Roman"/>
          <w:b w:val="1"/>
          <w:bCs w:val="1"/>
        </w:rPr>
        <w:instrText xml:space="preserve"> PAGEREF _Toc21 \h </w:instrText>
      </w:r>
      <w:r>
        <w:rPr>
          <w:rFonts w:ascii="Times New Roman" w:cs="Times New Roman" w:hAnsi="Times New Roman" w:eastAsia="Times New Roman"/>
          <w:b w:val="1"/>
          <w:bCs w:val="1"/>
        </w:rPr>
        <w:fldChar w:fldCharType="separate" w:fldLock="0"/>
      </w:r>
      <w:r>
        <w:rPr>
          <w:rFonts w:ascii="Times New Roman" w:hAnsi="Times New Roman"/>
          <w:b w:val="1"/>
          <w:bCs w:val="1"/>
          <w:rtl w:val="0"/>
        </w:rPr>
        <w:t>41</w:t>
      </w:r>
      <w:r>
        <w:rPr>
          <w:rFonts w:ascii="Times New Roman" w:cs="Times New Roman" w:hAnsi="Times New Roman" w:eastAsia="Times New Roman"/>
          <w:b w:val="1"/>
          <w:bCs w:val="1"/>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Constellations as Mnemonic Devices</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_Toc22 \h </w:instrText>
      </w:r>
      <w:r>
        <w:rPr>
          <w:rFonts w:ascii="Times New Roman" w:cs="Times New Roman" w:hAnsi="Times New Roman" w:eastAsia="Times New Roman"/>
        </w:rPr>
        <w:fldChar w:fldCharType="separate" w:fldLock="0"/>
      </w:r>
      <w:r>
        <w:rPr>
          <w:rFonts w:ascii="Times New Roman" w:hAnsi="Times New Roman"/>
          <w:rtl w:val="0"/>
        </w:rPr>
        <w:t>42</w:t>
      </w:r>
      <w:r>
        <w:rPr>
          <w:rFonts w:ascii="Times New Roman" w:cs="Times New Roman" w:hAnsi="Times New Roman" w:eastAsia="Times New Roman"/>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Historical Evidence of Star Navigation</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_Toc23 \h </w:instrText>
      </w:r>
      <w:r>
        <w:rPr>
          <w:rFonts w:ascii="Times New Roman" w:cs="Times New Roman" w:hAnsi="Times New Roman" w:eastAsia="Times New Roman"/>
        </w:rPr>
        <w:fldChar w:fldCharType="separate" w:fldLock="0"/>
      </w:r>
      <w:r>
        <w:rPr>
          <w:rFonts w:ascii="Times New Roman" w:hAnsi="Times New Roman"/>
          <w:rtl w:val="0"/>
        </w:rPr>
        <w:t>44</w:t>
      </w:r>
      <w:r>
        <w:rPr>
          <w:rFonts w:ascii="Times New Roman" w:cs="Times New Roman" w:hAnsi="Times New Roman" w:eastAsia="Times New Roman"/>
        </w:rPr>
        <w:fldChar w:fldCharType="end" w:fldLock="0"/>
      </w:r>
    </w:p>
    <w:p>
      <w:pPr>
        <w:pStyle w:val="TOC 4"/>
        <w:bidi w:val="0"/>
        <w:rPr>
          <w:rFonts w:ascii="Times New Roman" w:cs="Times New Roman" w:hAnsi="Times New Roman" w:eastAsia="Times New Roman"/>
        </w:rPr>
      </w:pPr>
      <w:r>
        <w:rPr>
          <w:rFonts w:ascii="Times New Roman" w:hAnsi="Times New Roman"/>
          <w:rtl w:val="0"/>
          <w:lang w:val="en-US"/>
        </w:rPr>
        <w:t>The Star Myth of Europa</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_Toc24 \h </w:instrText>
      </w:r>
      <w:r>
        <w:rPr>
          <w:rFonts w:ascii="Times New Roman" w:cs="Times New Roman" w:hAnsi="Times New Roman" w:eastAsia="Times New Roman"/>
        </w:rPr>
        <w:fldChar w:fldCharType="separate" w:fldLock="0"/>
      </w:r>
      <w:r>
        <w:rPr>
          <w:rFonts w:ascii="Times New Roman" w:hAnsi="Times New Roman"/>
          <w:rtl w:val="0"/>
        </w:rPr>
        <w:t>46</w:t>
      </w:r>
      <w:r>
        <w:rPr>
          <w:rFonts w:ascii="Times New Roman" w:cs="Times New Roman" w:hAnsi="Times New Roman" w:eastAsia="Times New Roman"/>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Summary</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_Toc25 \h </w:instrText>
      </w:r>
      <w:r>
        <w:rPr>
          <w:rFonts w:ascii="Times New Roman" w:cs="Times New Roman" w:hAnsi="Times New Roman" w:eastAsia="Times New Roman"/>
        </w:rPr>
        <w:fldChar w:fldCharType="separate" w:fldLock="0"/>
      </w:r>
      <w:r>
        <w:rPr>
          <w:rFonts w:ascii="Times New Roman" w:hAnsi="Times New Roman"/>
          <w:rtl w:val="0"/>
        </w:rPr>
        <w:t>48</w:t>
      </w:r>
      <w:r>
        <w:rPr>
          <w:rFonts w:ascii="Times New Roman" w:cs="Times New Roman" w:hAnsi="Times New Roman" w:eastAsia="Times New Roman"/>
        </w:rPr>
        <w:fldChar w:fldCharType="end" w:fldLock="0"/>
      </w:r>
    </w:p>
    <w:p>
      <w:pPr>
        <w:pStyle w:val="TOC 1"/>
        <w:bidi w:val="0"/>
        <w:rPr>
          <w:rFonts w:ascii="Times New Roman" w:cs="Times New Roman" w:hAnsi="Times New Roman" w:eastAsia="Times New Roman"/>
          <w:b w:val="1"/>
          <w:bCs w:val="1"/>
        </w:rPr>
      </w:pPr>
      <w:r>
        <w:rPr>
          <w:rFonts w:ascii="Times New Roman" w:hAnsi="Times New Roman"/>
          <w:b w:val="1"/>
          <w:bCs w:val="1"/>
          <w:rtl w:val="0"/>
          <w:lang w:val="en-US"/>
        </w:rPr>
        <w:t>In The Field</w:t>
        <w:tab/>
      </w:r>
      <w:r>
        <w:rPr>
          <w:rFonts w:ascii="Times New Roman" w:cs="Times New Roman" w:hAnsi="Times New Roman" w:eastAsia="Times New Roman"/>
          <w:b w:val="1"/>
          <w:bCs w:val="1"/>
        </w:rPr>
        <w:fldChar w:fldCharType="begin" w:fldLock="0"/>
      </w:r>
      <w:r>
        <w:rPr>
          <w:rFonts w:ascii="Times New Roman" w:cs="Times New Roman" w:hAnsi="Times New Roman" w:eastAsia="Times New Roman"/>
          <w:b w:val="1"/>
          <w:bCs w:val="1"/>
        </w:rPr>
        <w:instrText xml:space="preserve"> PAGEREF _Toc26 \h </w:instrText>
      </w:r>
      <w:r>
        <w:rPr>
          <w:rFonts w:ascii="Times New Roman" w:cs="Times New Roman" w:hAnsi="Times New Roman" w:eastAsia="Times New Roman"/>
          <w:b w:val="1"/>
          <w:bCs w:val="1"/>
        </w:rPr>
        <w:fldChar w:fldCharType="separate" w:fldLock="0"/>
      </w:r>
      <w:r>
        <w:rPr>
          <w:rFonts w:ascii="Times New Roman" w:hAnsi="Times New Roman"/>
          <w:b w:val="1"/>
          <w:bCs w:val="1"/>
          <w:rtl w:val="0"/>
        </w:rPr>
        <w:t>50</w:t>
      </w:r>
      <w:r>
        <w:rPr>
          <w:rFonts w:ascii="Times New Roman" w:cs="Times New Roman" w:hAnsi="Times New Roman" w:eastAsia="Times New Roman"/>
          <w:b w:val="1"/>
          <w:bCs w:val="1"/>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Instruments</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_Toc27 \h </w:instrText>
      </w:r>
      <w:r>
        <w:rPr>
          <w:rFonts w:ascii="Times New Roman" w:cs="Times New Roman" w:hAnsi="Times New Roman" w:eastAsia="Times New Roman"/>
        </w:rPr>
        <w:fldChar w:fldCharType="separate" w:fldLock="0"/>
      </w:r>
      <w:r>
        <w:rPr>
          <w:rFonts w:ascii="Times New Roman" w:hAnsi="Times New Roman"/>
          <w:rtl w:val="0"/>
        </w:rPr>
        <w:t>50</w:t>
      </w:r>
      <w:r>
        <w:rPr>
          <w:rFonts w:ascii="Times New Roman" w:cs="Times New Roman" w:hAnsi="Times New Roman" w:eastAsia="Times New Roman"/>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Methodology</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_Toc28 \h </w:instrText>
      </w:r>
      <w:r>
        <w:rPr>
          <w:rFonts w:ascii="Times New Roman" w:cs="Times New Roman" w:hAnsi="Times New Roman" w:eastAsia="Times New Roman"/>
        </w:rPr>
        <w:fldChar w:fldCharType="separate" w:fldLock="0"/>
      </w:r>
      <w:r>
        <w:rPr>
          <w:rFonts w:ascii="Times New Roman" w:hAnsi="Times New Roman"/>
          <w:rtl w:val="0"/>
        </w:rPr>
        <w:t>51</w:t>
      </w:r>
      <w:r>
        <w:rPr>
          <w:rFonts w:ascii="Times New Roman" w:cs="Times New Roman" w:hAnsi="Times New Roman" w:eastAsia="Times New Roman"/>
        </w:rPr>
        <w:fldChar w:fldCharType="end" w:fldLock="0"/>
      </w:r>
    </w:p>
    <w:p>
      <w:pPr>
        <w:pStyle w:val="TOC 1"/>
        <w:bidi w:val="0"/>
        <w:rPr>
          <w:rFonts w:ascii="Times New Roman" w:cs="Times New Roman" w:hAnsi="Times New Roman" w:eastAsia="Times New Roman"/>
          <w:b w:val="1"/>
          <w:bCs w:val="1"/>
        </w:rPr>
      </w:pPr>
      <w:r>
        <w:rPr>
          <w:rFonts w:ascii="Times New Roman" w:hAnsi="Times New Roman"/>
          <w:b w:val="1"/>
          <w:bCs w:val="1"/>
          <w:rtl w:val="0"/>
          <w:lang w:val="en-US"/>
        </w:rPr>
        <w:t>Discussion</w:t>
        <w:tab/>
      </w:r>
      <w:r>
        <w:rPr>
          <w:rFonts w:ascii="Times New Roman" w:cs="Times New Roman" w:hAnsi="Times New Roman" w:eastAsia="Times New Roman"/>
          <w:b w:val="1"/>
          <w:bCs w:val="1"/>
        </w:rPr>
        <w:fldChar w:fldCharType="begin" w:fldLock="0"/>
      </w:r>
      <w:r>
        <w:rPr>
          <w:rFonts w:ascii="Times New Roman" w:cs="Times New Roman" w:hAnsi="Times New Roman" w:eastAsia="Times New Roman"/>
          <w:b w:val="1"/>
          <w:bCs w:val="1"/>
        </w:rPr>
        <w:instrText xml:space="preserve"> PAGEREF _Toc29 \h </w:instrText>
      </w:r>
      <w:r>
        <w:rPr>
          <w:rFonts w:ascii="Times New Roman" w:cs="Times New Roman" w:hAnsi="Times New Roman" w:eastAsia="Times New Roman"/>
          <w:b w:val="1"/>
          <w:bCs w:val="1"/>
        </w:rPr>
        <w:fldChar w:fldCharType="separate" w:fldLock="0"/>
      </w:r>
      <w:r>
        <w:rPr>
          <w:rFonts w:ascii="Times New Roman" w:hAnsi="Times New Roman"/>
          <w:b w:val="1"/>
          <w:bCs w:val="1"/>
          <w:rtl w:val="0"/>
        </w:rPr>
        <w:t>56</w:t>
      </w:r>
      <w:r>
        <w:rPr>
          <w:rFonts w:ascii="Times New Roman" w:cs="Times New Roman" w:hAnsi="Times New Roman" w:eastAsia="Times New Roman"/>
          <w:b w:val="1"/>
          <w:bCs w:val="1"/>
        </w:rPr>
        <w:fldChar w:fldCharType="end" w:fldLock="0"/>
      </w:r>
    </w:p>
    <w:p>
      <w:pPr>
        <w:pStyle w:val="TOC 3"/>
        <w:bidi w:val="0"/>
        <w:rPr>
          <w:rFonts w:ascii="Times New Roman" w:cs="Times New Roman" w:hAnsi="Times New Roman" w:eastAsia="Times New Roman"/>
        </w:rPr>
      </w:pPr>
      <w:r>
        <w:rPr>
          <w:rFonts w:ascii="Times New Roman" w:hAnsi="Times New Roman"/>
          <w:rtl w:val="0"/>
          <w:lang w:val="pt-PT"/>
        </w:rPr>
        <w:t>Knossos to Sidon</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_Toc30 \h </w:instrText>
      </w:r>
      <w:r>
        <w:rPr>
          <w:rFonts w:ascii="Times New Roman" w:cs="Times New Roman" w:hAnsi="Times New Roman" w:eastAsia="Times New Roman"/>
        </w:rPr>
        <w:fldChar w:fldCharType="separate" w:fldLock="0"/>
      </w:r>
      <w:r>
        <w:rPr>
          <w:rFonts w:ascii="Times New Roman" w:hAnsi="Times New Roman"/>
          <w:rtl w:val="0"/>
        </w:rPr>
        <w:t>60</w:t>
      </w:r>
      <w:r>
        <w:rPr>
          <w:rFonts w:ascii="Times New Roman" w:cs="Times New Roman" w:hAnsi="Times New Roman" w:eastAsia="Times New Roman"/>
        </w:rPr>
        <w:fldChar w:fldCharType="end" w:fldLock="0"/>
      </w:r>
    </w:p>
    <w:p>
      <w:pPr>
        <w:pStyle w:val="TOC 4"/>
        <w:bidi w:val="0"/>
        <w:rPr>
          <w:rFonts w:ascii="Times New Roman" w:cs="Times New Roman" w:hAnsi="Times New Roman" w:eastAsia="Times New Roman"/>
        </w:rPr>
      </w:pPr>
      <w:r>
        <w:rPr>
          <w:rFonts w:ascii="Times New Roman" w:hAnsi="Times New Roman"/>
          <w:rtl w:val="0"/>
          <w:lang w:val="pt-PT"/>
        </w:rPr>
        <w:t>Knossos to Tyre</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_Toc31 \h </w:instrText>
      </w:r>
      <w:r>
        <w:rPr>
          <w:rFonts w:ascii="Times New Roman" w:cs="Times New Roman" w:hAnsi="Times New Roman" w:eastAsia="Times New Roman"/>
        </w:rPr>
        <w:fldChar w:fldCharType="separate" w:fldLock="0"/>
      </w:r>
      <w:r>
        <w:rPr>
          <w:rFonts w:ascii="Times New Roman" w:hAnsi="Times New Roman"/>
          <w:rtl w:val="0"/>
        </w:rPr>
        <w:t>64</w:t>
      </w:r>
      <w:r>
        <w:rPr>
          <w:rFonts w:ascii="Times New Roman" w:cs="Times New Roman" w:hAnsi="Times New Roman" w:eastAsia="Times New Roman"/>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Phaistos to Qatna and Kadesh</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_Toc32 \h </w:instrText>
      </w:r>
      <w:r>
        <w:rPr>
          <w:rFonts w:ascii="Times New Roman" w:cs="Times New Roman" w:hAnsi="Times New Roman" w:eastAsia="Times New Roman"/>
        </w:rPr>
        <w:fldChar w:fldCharType="separate" w:fldLock="0"/>
      </w:r>
      <w:r>
        <w:rPr>
          <w:rFonts w:ascii="Times New Roman" w:hAnsi="Times New Roman"/>
          <w:rtl w:val="0"/>
        </w:rPr>
        <w:t>66</w:t>
      </w:r>
      <w:r>
        <w:rPr>
          <w:rFonts w:ascii="Times New Roman" w:cs="Times New Roman" w:hAnsi="Times New Roman" w:eastAsia="Times New Roman"/>
        </w:rPr>
        <w:fldChar w:fldCharType="end" w:fldLock="0"/>
      </w:r>
    </w:p>
    <w:p>
      <w:pPr>
        <w:pStyle w:val="TOC 4"/>
        <w:bidi w:val="0"/>
        <w:rPr>
          <w:rFonts w:ascii="Times New Roman" w:cs="Times New Roman" w:hAnsi="Times New Roman" w:eastAsia="Times New Roman"/>
        </w:rPr>
      </w:pPr>
      <w:r>
        <w:rPr>
          <w:rFonts w:ascii="Times New Roman" w:hAnsi="Times New Roman"/>
          <w:rtl w:val="0"/>
          <w:lang w:val="en-US"/>
        </w:rPr>
        <w:t>Phaistos to Byblos</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_Toc33 \h </w:instrText>
      </w:r>
      <w:r>
        <w:rPr>
          <w:rFonts w:ascii="Times New Roman" w:cs="Times New Roman" w:hAnsi="Times New Roman" w:eastAsia="Times New Roman"/>
        </w:rPr>
        <w:fldChar w:fldCharType="separate" w:fldLock="0"/>
      </w:r>
      <w:r>
        <w:rPr>
          <w:rFonts w:ascii="Times New Roman" w:hAnsi="Times New Roman"/>
          <w:rtl w:val="0"/>
        </w:rPr>
        <w:t>69</w:t>
      </w:r>
      <w:r>
        <w:rPr>
          <w:rFonts w:ascii="Times New Roman" w:cs="Times New Roman" w:hAnsi="Times New Roman" w:eastAsia="Times New Roman"/>
        </w:rPr>
        <w:fldChar w:fldCharType="end" w:fldLock="0"/>
      </w:r>
    </w:p>
    <w:p>
      <w:pPr>
        <w:pStyle w:val="TOC 3"/>
        <w:bidi w:val="0"/>
        <w:rPr>
          <w:rFonts w:ascii="Times New Roman" w:cs="Times New Roman" w:hAnsi="Times New Roman" w:eastAsia="Times New Roman"/>
        </w:rPr>
      </w:pPr>
      <w:r>
        <w:rPr>
          <w:rFonts w:ascii="Times New Roman" w:hAnsi="Times New Roman"/>
          <w:rtl w:val="0"/>
        </w:rPr>
        <w:t>Malia To Kabri or Akko</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_Toc34 \h </w:instrText>
      </w:r>
      <w:r>
        <w:rPr>
          <w:rFonts w:ascii="Times New Roman" w:cs="Times New Roman" w:hAnsi="Times New Roman" w:eastAsia="Times New Roman"/>
        </w:rPr>
        <w:fldChar w:fldCharType="separate" w:fldLock="0"/>
      </w:r>
      <w:r>
        <w:rPr>
          <w:rFonts w:ascii="Times New Roman" w:hAnsi="Times New Roman"/>
          <w:rtl w:val="0"/>
        </w:rPr>
        <w:t>72</w:t>
      </w:r>
      <w:r>
        <w:rPr>
          <w:rFonts w:ascii="Times New Roman" w:cs="Times New Roman" w:hAnsi="Times New Roman" w:eastAsia="Times New Roman"/>
        </w:rPr>
        <w:fldChar w:fldCharType="end" w:fldLock="0"/>
      </w:r>
    </w:p>
    <w:p>
      <w:pPr>
        <w:pStyle w:val="TOC 3"/>
        <w:bidi w:val="0"/>
        <w:rPr>
          <w:rFonts w:ascii="Times New Roman" w:cs="Times New Roman" w:hAnsi="Times New Roman" w:eastAsia="Times New Roman"/>
        </w:rPr>
      </w:pPr>
      <w:r>
        <w:rPr>
          <w:rFonts w:ascii="Times New Roman" w:hAnsi="Times New Roman"/>
          <w:rtl w:val="0"/>
          <w:lang w:val="en-US"/>
        </w:rPr>
        <w:t>Zakros to Pelusium</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_Toc35 \h </w:instrText>
      </w:r>
      <w:r>
        <w:rPr>
          <w:rFonts w:ascii="Times New Roman" w:cs="Times New Roman" w:hAnsi="Times New Roman" w:eastAsia="Times New Roman"/>
        </w:rPr>
        <w:fldChar w:fldCharType="separate" w:fldLock="0"/>
      </w:r>
      <w:r>
        <w:rPr>
          <w:rFonts w:ascii="Times New Roman" w:hAnsi="Times New Roman"/>
          <w:rtl w:val="0"/>
        </w:rPr>
        <w:t>73</w:t>
      </w:r>
      <w:r>
        <w:rPr>
          <w:rFonts w:ascii="Times New Roman" w:cs="Times New Roman" w:hAnsi="Times New Roman" w:eastAsia="Times New Roman"/>
        </w:rPr>
        <w:fldChar w:fldCharType="end" w:fldLock="0"/>
      </w:r>
    </w:p>
    <w:p>
      <w:pPr>
        <w:pStyle w:val="TOC 1"/>
        <w:bidi w:val="0"/>
        <w:rPr>
          <w:rFonts w:ascii="Times New Roman" w:cs="Times New Roman" w:hAnsi="Times New Roman" w:eastAsia="Times New Roman"/>
          <w:b w:val="1"/>
          <w:bCs w:val="1"/>
        </w:rPr>
      </w:pPr>
      <w:r>
        <w:rPr>
          <w:rFonts w:ascii="Times New Roman" w:hAnsi="Times New Roman"/>
          <w:b w:val="1"/>
          <w:bCs w:val="1"/>
          <w:rtl w:val="0"/>
          <w:lang w:val="it-IT"/>
        </w:rPr>
        <w:t>Conclusion</w:t>
        <w:tab/>
      </w:r>
      <w:r>
        <w:rPr>
          <w:rFonts w:ascii="Times New Roman" w:cs="Times New Roman" w:hAnsi="Times New Roman" w:eastAsia="Times New Roman"/>
          <w:b w:val="1"/>
          <w:bCs w:val="1"/>
        </w:rPr>
        <w:fldChar w:fldCharType="begin" w:fldLock="0"/>
      </w:r>
      <w:r>
        <w:rPr>
          <w:rFonts w:ascii="Times New Roman" w:cs="Times New Roman" w:hAnsi="Times New Roman" w:eastAsia="Times New Roman"/>
          <w:b w:val="1"/>
          <w:bCs w:val="1"/>
        </w:rPr>
        <w:instrText xml:space="preserve"> PAGEREF _Toc36 \h </w:instrText>
      </w:r>
      <w:r>
        <w:rPr>
          <w:rFonts w:ascii="Times New Roman" w:cs="Times New Roman" w:hAnsi="Times New Roman" w:eastAsia="Times New Roman"/>
          <w:b w:val="1"/>
          <w:bCs w:val="1"/>
        </w:rPr>
        <w:fldChar w:fldCharType="separate" w:fldLock="0"/>
      </w:r>
      <w:r>
        <w:rPr>
          <w:rFonts w:ascii="Times New Roman" w:hAnsi="Times New Roman"/>
          <w:b w:val="1"/>
          <w:bCs w:val="1"/>
          <w:rtl w:val="0"/>
        </w:rPr>
        <w:t>77</w:t>
      </w:r>
      <w:r>
        <w:rPr>
          <w:rFonts w:ascii="Times New Roman" w:cs="Times New Roman" w:hAnsi="Times New Roman" w:eastAsia="Times New Roman"/>
          <w:b w:val="1"/>
          <w:bCs w:val="1"/>
        </w:rPr>
        <w:fldChar w:fldCharType="end" w:fldLock="0"/>
      </w:r>
    </w:p>
    <w:p>
      <w:pPr>
        <w:pStyle w:val="TOC 3"/>
        <w:bidi w:val="0"/>
        <w:rPr>
          <w:rFonts w:ascii="Times New Roman" w:cs="Times New Roman" w:hAnsi="Times New Roman" w:eastAsia="Times New Roman"/>
        </w:rPr>
      </w:pPr>
      <w:r>
        <w:rPr>
          <w:rFonts w:ascii="Times New Roman" w:hAnsi="Times New Roman"/>
          <w:rtl w:val="0"/>
          <w:lang w:val="da-DK"/>
        </w:rPr>
        <w:t>Appendix</w:t>
        <w:tab/>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PAGEREF _Toc37 \h </w:instrText>
      </w:r>
      <w:r>
        <w:rPr>
          <w:rFonts w:ascii="Times New Roman" w:cs="Times New Roman" w:hAnsi="Times New Roman" w:eastAsia="Times New Roman"/>
        </w:rPr>
        <w:fldChar w:fldCharType="separate" w:fldLock="0"/>
      </w:r>
      <w:r>
        <w:rPr>
          <w:rFonts w:ascii="Times New Roman" w:hAnsi="Times New Roman"/>
          <w:rtl w:val="0"/>
        </w:rPr>
        <w:t>79</w:t>
      </w:r>
      <w:r>
        <w:rPr>
          <w:rFonts w:ascii="Times New Roman" w:cs="Times New Roman" w:hAnsi="Times New Roman" w:eastAsia="Times New Roman"/>
        </w:rPr>
        <w:fldChar w:fldCharType="end" w:fldLock="0"/>
      </w:r>
    </w:p>
    <w:p>
      <w:pPr>
        <w:pStyle w:val="TOC 1"/>
        <w:bidi w:val="0"/>
      </w:pPr>
      <w:r>
        <w:rPr>
          <w:rFonts w:ascii="Times New Roman" w:hAnsi="Times New Roman"/>
          <w:b w:val="1"/>
          <w:bCs w:val="1"/>
          <w:rtl w:val="0"/>
          <w:lang w:val="fr-FR"/>
        </w:rPr>
        <w:t>Bibliography</w:t>
        <w:tab/>
      </w:r>
      <w:r>
        <w:rPr>
          <w:rFonts w:ascii="Times New Roman" w:cs="Times New Roman" w:hAnsi="Times New Roman" w:eastAsia="Times New Roman"/>
          <w:b w:val="1"/>
          <w:bCs w:val="1"/>
        </w:rPr>
        <w:fldChar w:fldCharType="begin" w:fldLock="0"/>
      </w:r>
      <w:r>
        <w:rPr>
          <w:rFonts w:ascii="Times New Roman" w:cs="Times New Roman" w:hAnsi="Times New Roman" w:eastAsia="Times New Roman"/>
          <w:b w:val="1"/>
          <w:bCs w:val="1"/>
        </w:rPr>
        <w:instrText xml:space="preserve"> PAGEREF _Toc38 \h </w:instrText>
      </w:r>
      <w:r>
        <w:rPr>
          <w:rFonts w:ascii="Times New Roman" w:cs="Times New Roman" w:hAnsi="Times New Roman" w:eastAsia="Times New Roman"/>
          <w:b w:val="1"/>
          <w:bCs w:val="1"/>
        </w:rPr>
        <w:fldChar w:fldCharType="separate" w:fldLock="0"/>
      </w:r>
      <w:r>
        <w:rPr>
          <w:rFonts w:ascii="Times New Roman" w:hAnsi="Times New Roman"/>
          <w:b w:val="1"/>
          <w:bCs w:val="1"/>
          <w:rtl w:val="0"/>
        </w:rPr>
        <w:t>80</w:t>
      </w:r>
      <w:r>
        <w:rPr>
          <w:rFonts w:ascii="Times New Roman" w:cs="Times New Roman" w:hAnsi="Times New Roman" w:eastAsia="Times New Roman"/>
          <w:b w:val="1"/>
          <w:bCs w:val="1"/>
        </w:rPr>
        <w:fldChar w:fldCharType="end" w:fldLock="0"/>
      </w:r>
    </w:p>
    <w:p>
      <w:pPr>
        <w:spacing w:line="480" w:lineRule="auto"/>
      </w:pPr>
      <w:r>
        <w:rPr/>
        <w:fldChar w:fldCharType="end" w:fldLock="0"/>
      </w:r>
      <w:bookmarkEnd w:id="0"/>
    </w:p>
    <w:p>
      <w:pPr>
        <w:pStyle w:val="Body"/>
      </w:pPr>
    </w:p>
    <w:p>
      <w:pPr>
        <w:pStyle w:val="Heading"/>
        <w:bidi w:val="0"/>
      </w:pPr>
      <w:r>
        <w:rPr>
          <w:rFonts w:ascii="Arial Unicode MS" w:cs="Arial Unicode MS" w:hAnsi="Arial Unicode MS" w:eastAsia="Arial Unicode MS"/>
          <w:b w:val="0"/>
          <w:bCs w:val="0"/>
          <w:i w:val="0"/>
          <w:iCs w:val="0"/>
        </w:rPr>
        <w:br w:type="page"/>
      </w:r>
    </w:p>
    <w:p>
      <w:pPr>
        <w:pStyle w:val="Heading"/>
        <w:bidi w:val="0"/>
      </w:pPr>
      <w:bookmarkStart w:name="_Toc1" w:id="1"/>
      <w:r>
        <w:rPr>
          <w:rFonts w:cs="Arial Unicode MS" w:eastAsia="Arial Unicode MS"/>
          <w:rtl w:val="0"/>
          <w:lang w:val="en-US"/>
        </w:rPr>
        <w:t>List of Illustrations and Tables</w:t>
      </w:r>
      <w:bookmarkEnd w:id="1"/>
    </w:p>
    <w:p>
      <w:pPr>
        <w:pStyle w:val="Body"/>
      </w:pPr>
    </w:p>
    <w:p>
      <w:pPr>
        <w:pStyle w:val="Body"/>
      </w:pPr>
      <w:r>
        <w:rPr/>
        <w:fldChar w:fldCharType="begin" w:fldLock="0"/>
      </w:r>
      <w:r>
        <w:instrText xml:space="preserve"> TOC \o 1-2 \t "Heading Reg, 3,Heading Reg 1, 4,Image Caption, 5,Subheading, 2"</w:instrText>
      </w:r>
      <w:r>
        <w:rPr/>
        <w:fldChar w:fldCharType="separate"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1 Map of Minoan Crete with sites cited in the study. Google Earth Pro.</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12</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2 Doxtater’s proposal of geometric alignments between sites in Minoan Crete. Doxtater, p. 9.</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_Toc1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14</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3 Circular Bronze Age trade route around the Mediterranean. Hesse, p. 55.</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_Toc2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19</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4 Predominant surface currents of the Mediterranean. Hesse, p. 54.</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_Toc3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21</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5 Sea routes between the Aegean and Cyprus as conjectured by Davis. Davis, p. 68.</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_Toc4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22</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6 Star path steering for course adjustments due to currents. Goodenough and Thomas, p. 13</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_Toc5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31</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it-IT"/>
        </w:rPr>
        <w:t>Fig. 7 Carolinean sidereal compass with orientations toward islands. Lewis, ‘Navigators’, p. 108.</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_Toc6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33</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it-IT"/>
        </w:rPr>
        <w:t>Fig. 8 Carolinian star compass. Lewis,  ‘Navigators’, p. 142.</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_Toc7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lang w:val="ru-RU"/>
        </w:rPr>
        <w:t>34</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9 Celestial coordinate system with the azimuth and altitude centered on the observer. Markus Nielbock, ‘Navigation in the Ancient Mediterranean and Beyond’, arXiv preprint arXiv:1708.07700: (2017), p. 2</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_Toc8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36</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fr-FR"/>
        </w:rPr>
        <w:t>Fig. 10 A Gilbertese sky dome. Lewis, ‘Voyaging’, p. 9</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_Toc9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37</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11 Aurorae navigation stone orientations with estimated target islands. Akira and others, p. 114.</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_Toc10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39</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12 Line drawing detail of the ship procession fresco at Thera after Wachsmann. Wachsmann, p. 92.</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_Toc11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41</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it-IT"/>
        </w:rPr>
        <w:t>Fig. 13 Drawing renditions of early Cretan seal stones depicting sailing galleys after Evans. Evans, ‘Nilotic’, p. 207.</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_Toc12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42</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14 Bronze Roman coin from Sidon, 2nd century ce, 24 mm. Europa on the bull of Zeus. Alfredo De La Fe, p. 1.</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_Toc13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48</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15 Knossos measured orientations. Red arrow indicates in situ measurements, blue arrow indicates virtual measurements.</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_Toc14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52</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Table 1. List of the measurements of the palace courtyard with axis adjusted for an east-west orientation.</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_Toc15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56</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16 Radar plot showing measured azimuth orientations of Minoan palace courtyards.</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_Toc16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lang w:val="ru-RU"/>
        </w:rPr>
        <w:t>57</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Table 2. Comparison of palace courtyard axes with rhumb line azimuths of possible trade route destinations.</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_Toc17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lang w:val="ru-RU"/>
        </w:rPr>
        <w:t>58</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17. Rhumb lines between palaces and non-Minoan ports associated to courtyard orientations and star paths.</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_Toc18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59</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18. Distance between Knossos and Sidon. Google Earth Pro.</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_Toc19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61</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19 Recreation of a Minoan bowsprit aiming at Spica setting, following the rhumb line from Sidon to Knossos.</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_Toc20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62</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20 Etesian summer winds in the Eastern Meditarranean.</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_Toc21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63</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21. Skyscape visualization of a rhumb line navigation from Knossos to Tyre along the Antares star path during the Old Palace Period.</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_Toc22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65</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22. Direct route through Cyprus to Qatna. Google Earth Pro.</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_Toc23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67</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23. Terrestrial trade routes in the Bronze Age.</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_Toc24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68</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24. Skyscape visualization of a rhumb line navigation from Phaistos to Qatna or Kadesh along the Betelgeuse star path during the New Palace period.</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_Toc25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69</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25. Phaistos New Palace orientation (A), Old Palace orientation (B), oblique ‘drain’ (C). Google Earth Pro.</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_Toc26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70</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26 Rhumb line from Zakros to Pelusium on the Nile Delta. Google Earth Pro.</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_Toc27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lang w:val="ru-RU"/>
        </w:rPr>
        <w:t>74</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27 Minoan Rhumb Lines Between Zakros and Pelusium associated to courtyard orientation and star paths.</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_Toc28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75</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28 Map of proposed Minoan star path direct trade routes to the Levant and Egypt. Google Earth Pro.</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_Toc29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77</w:t>
      </w:r>
      <w:r>
        <w:rPr>
          <w:rFonts w:ascii="Times New Roman" w:cs="Times New Roman" w:hAnsi="Times New Roman" w:eastAsia="Times New Roman"/>
          <w:sz w:val="24"/>
          <w:szCs w:val="24"/>
        </w:rPr>
        <w:fldChar w:fldCharType="end" w:fldLock="0"/>
      </w:r>
    </w:p>
    <w:p>
      <w:pPr>
        <w:pStyle w:val="TOC 5"/>
        <w:bidi w:val="0"/>
        <w:rPr>
          <w:rFonts w:ascii="Times New Roman" w:cs="Times New Roman" w:hAnsi="Times New Roman" w:eastAsia="Times New Roman"/>
          <w:sz w:val="24"/>
          <w:szCs w:val="24"/>
        </w:rPr>
      </w:pPr>
      <w:r>
        <w:rPr>
          <w:rFonts w:ascii="Times New Roman" w:hAnsi="Times New Roman"/>
          <w:sz w:val="24"/>
          <w:szCs w:val="24"/>
          <w:rtl w:val="0"/>
          <w:lang w:val="en-US"/>
        </w:rPr>
        <w:t>Fig. 29. Zakros virtual measurement of the place courtyard. Google Earth Pro.</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_Toc30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79</w:t>
      </w:r>
      <w:r>
        <w:rPr>
          <w:rFonts w:ascii="Times New Roman" w:cs="Times New Roman" w:hAnsi="Times New Roman" w:eastAsia="Times New Roman"/>
          <w:sz w:val="24"/>
          <w:szCs w:val="24"/>
        </w:rPr>
        <w:fldChar w:fldCharType="end" w:fldLock="0"/>
      </w:r>
    </w:p>
    <w:p>
      <w:pPr>
        <w:pStyle w:val="TOC 5"/>
        <w:bidi w:val="0"/>
      </w:pPr>
      <w:r>
        <w:rPr>
          <w:rFonts w:ascii="Times New Roman" w:hAnsi="Times New Roman"/>
          <w:sz w:val="24"/>
          <w:szCs w:val="24"/>
          <w:rtl w:val="0"/>
          <w:lang w:val="en-US"/>
        </w:rPr>
        <w:t>Fig. 30. Malia virtual and live fieldwork measurements. Google Earth Pro.</w:t>
        <w:tab/>
      </w: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PAGEREF _Toc31 \h </w:instrText>
      </w:r>
      <w:r>
        <w:rPr>
          <w:rFonts w:ascii="Times New Roman" w:cs="Times New Roman" w:hAnsi="Times New Roman" w:eastAsia="Times New Roman"/>
          <w:sz w:val="24"/>
          <w:szCs w:val="24"/>
        </w:rPr>
        <w:fldChar w:fldCharType="separate" w:fldLock="0"/>
      </w:r>
      <w:r>
        <w:rPr>
          <w:rFonts w:ascii="Times New Roman" w:hAnsi="Times New Roman"/>
          <w:sz w:val="24"/>
          <w:szCs w:val="24"/>
          <w:rtl w:val="0"/>
        </w:rPr>
        <w:t>79</w:t>
      </w:r>
      <w:r>
        <w:rPr>
          <w:rFonts w:ascii="Times New Roman" w:cs="Times New Roman" w:hAnsi="Times New Roman" w:eastAsia="Times New Roman"/>
          <w:sz w:val="24"/>
          <w:szCs w:val="24"/>
        </w:rPr>
        <w:fldChar w:fldCharType="end" w:fldLock="0"/>
      </w:r>
    </w:p>
    <w:p>
      <w:pPr>
        <w:pStyle w:val="Body"/>
      </w:pPr>
      <w:r>
        <w:rPr/>
        <w:fldChar w:fldCharType="end" w:fldLock="0"/>
      </w:r>
    </w:p>
    <w:p>
      <w:pPr>
        <w:pStyle w:val="Body"/>
      </w:pPr>
      <w:r>
        <w:rPr>
          <w:rFonts w:ascii="Arial Unicode MS" w:cs="Arial Unicode MS" w:hAnsi="Arial Unicode MS" w:eastAsia="Arial Unicode MS"/>
          <w:b w:val="0"/>
          <w:bCs w:val="0"/>
          <w:i w:val="0"/>
          <w:iCs w:val="0"/>
        </w:rPr>
        <w:br w:type="page"/>
      </w:r>
    </w:p>
    <w:p>
      <w:pPr>
        <w:pStyle w:val="Heading"/>
        <w:bidi w:val="0"/>
      </w:pPr>
      <w:bookmarkStart w:name="_Toc2" w:id="2"/>
      <w:r>
        <w:rPr>
          <w:rFonts w:cs="Arial Unicode MS" w:eastAsia="Arial Unicode MS"/>
          <w:rtl w:val="0"/>
          <w:lang w:val="en-US"/>
        </w:rPr>
        <w:t>Acknowledgments</w:t>
      </w:r>
      <w:bookmarkEnd w:id="2"/>
    </w:p>
    <w:p>
      <w:pPr>
        <w:pStyle w:val="Heading"/>
        <w:bidi w:val="0"/>
      </w:pPr>
    </w:p>
    <w:p>
      <w:pPr>
        <w:pStyle w:val="Body A"/>
      </w:pPr>
      <w:r>
        <w:rPr>
          <w:rtl w:val="0"/>
        </w:rPr>
        <w:t xml:space="preserve">First and foremost, I would like to thank my advisor Dr. Bernadette Brady, whose guidance, dedication, and encouragement was of inestimable value for the completion of this dissertation. I am very grateful also to Dr. Nick Campion, Director of the Sophia Centre, for his help throughout the M.A. program; as well as the other tutors in the Cultural Astronomy and Astrology program at the University of Wales Trinity St. David. My special thanks to Dr. </w:t>
      </w:r>
      <w:r>
        <w:rPr>
          <w:rtl w:val="0"/>
        </w:rPr>
        <w:t>Kostis Christakis</w:t>
      </w:r>
      <w:r>
        <w:rPr>
          <w:rtl w:val="0"/>
        </w:rPr>
        <w:t>, the Knossos Curator at the British School of Athens, who instructed me on the sites to visit in Crete, and also very graciously permitted me to research at their library.</w:t>
      </w:r>
      <w:r>
        <w:rPr>
          <w:rFonts w:ascii="Arial Unicode MS" w:cs="Arial Unicode MS" w:hAnsi="Arial Unicode MS" w:eastAsia="Arial Unicode MS"/>
          <w:b w:val="0"/>
          <w:bCs w:val="0"/>
          <w:i w:val="0"/>
          <w:iCs w:val="0"/>
        </w:rPr>
        <w:br w:type="page"/>
      </w:r>
    </w:p>
    <w:p>
      <w:pPr>
        <w:pStyle w:val="Heading"/>
        <w:bidi w:val="0"/>
      </w:pPr>
      <w:bookmarkStart w:name="_Toc3" w:id="3"/>
      <w:r>
        <w:rPr>
          <w:rFonts w:cs="Arial Unicode MS" w:eastAsia="Arial Unicode MS"/>
          <w:rtl w:val="0"/>
          <w:lang w:val="en-US"/>
        </w:rPr>
        <w:t>Abstract</w:t>
      </w:r>
      <w:bookmarkEnd w:id="3"/>
    </w:p>
    <w:p>
      <w:pPr>
        <w:pStyle w:val="Body"/>
      </w:pPr>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A debate has grown over the years as to the reasons for the orientations of the Minoan palace courtyards, which eschew any evident systematic pattern. </w:t>
      </w:r>
      <w:r>
        <w:rPr>
          <w:rFonts w:ascii="Times New Roman" w:hAnsi="Times New Roman"/>
          <w:u w:color="000000"/>
          <w:rtl w:val="0"/>
          <w:lang w:val="en-US"/>
          <w14:textOutline w14:w="12700" w14:cap="flat">
            <w14:noFill/>
            <w14:miter w14:lim="400000"/>
          </w14:textOutline>
        </w:rPr>
        <w:t xml:space="preserve">The dissertation explores if these orientations may have been cultural and architectural manifestations of </w:t>
      </w:r>
      <w:r>
        <w:rPr>
          <w:rFonts w:ascii="Times New Roman" w:hAnsi="Times New Roman"/>
          <w:u w:color="000000"/>
          <w:rtl w:val="0"/>
          <w:lang w:val="en-US"/>
          <w14:textOutline w14:w="12700" w14:cap="flat">
            <w14:noFill/>
            <w14:miter w14:lim="400000"/>
          </w14:textOutline>
        </w:rPr>
        <w:t xml:space="preserve">star path navigation </w:t>
      </w:r>
      <w:r>
        <w:rPr>
          <w:rFonts w:ascii="Times New Roman" w:hAnsi="Times New Roman"/>
          <w:u w:color="000000"/>
          <w:rtl w:val="0"/>
          <w:lang w:val="en-US"/>
          <w14:textOutline w14:w="12700" w14:cap="flat">
            <w14:noFill/>
            <w14:miter w14:lim="400000"/>
          </w14:textOutline>
        </w:rPr>
        <w:t xml:space="preserve">trade </w:t>
      </w:r>
      <w:r>
        <w:rPr>
          <w:rFonts w:ascii="Times New Roman" w:hAnsi="Times New Roman"/>
          <w:u w:color="000000"/>
          <w:rtl w:val="0"/>
          <w:lang w:val="fr-FR"/>
          <w14:textOutline w14:w="12700" w14:cap="flat">
            <w14:noFill/>
            <w14:miter w14:lim="400000"/>
          </w14:textOutline>
        </w:rPr>
        <w:t>routes</w:t>
      </w:r>
      <w:r>
        <w:rPr>
          <w:rFonts w:ascii="Times New Roman" w:hAnsi="Times New Roman"/>
          <w:u w:color="000000"/>
          <w:rtl w:val="0"/>
          <w:lang w:val="en-US"/>
          <w14:textOutline w14:w="12700" w14:cap="flat">
            <w14:noFill/>
            <w14:miter w14:lim="400000"/>
          </w14:textOutline>
        </w:rPr>
        <w:t xml:space="preserve">. The ample archaeological proof of contact between Crete, ancient Egypt, and the Levant underscores the reliance of Minoan civilization on seaborne exchange cycles. </w:t>
      </w:r>
      <w:r>
        <w:rPr>
          <w:rFonts w:ascii="Times New Roman" w:hAnsi="Times New Roman"/>
          <w:u w:color="000000"/>
          <w:rtl w:val="0"/>
          <w:lang w:val="en-US"/>
          <w14:textOutline w14:w="12700" w14:cap="flat">
            <w14:noFill/>
            <w14:miter w14:lim="400000"/>
          </w14:textOutline>
        </w:rPr>
        <w:t>The</w:t>
      </w:r>
      <w:r>
        <w:rPr>
          <w:rFonts w:ascii="Times New Roman" w:hAnsi="Times New Roman"/>
          <w:u w:color="000000"/>
          <w:rtl w:val="0"/>
          <w:lang w:val="en-US"/>
          <w14:textOutline w14:w="12700" w14:cap="flat">
            <w14:noFill/>
            <w14:miter w14:lim="400000"/>
          </w14:textOutline>
        </w:rPr>
        <w:t xml:space="preserve">refore, the </w:t>
      </w:r>
      <w:r>
        <w:rPr>
          <w:rFonts w:ascii="Times New Roman" w:hAnsi="Times New Roman"/>
          <w:u w:color="000000"/>
          <w:rtl w:val="0"/>
          <w:lang w:val="en-US"/>
          <w14:textOutline w14:w="12700" w14:cap="flat">
            <w14:noFill/>
            <w14:miter w14:lim="400000"/>
          </w14:textOutline>
        </w:rPr>
        <w:t>study begins by establishing the extensiveness of the Minoan mercantile network in the Mediterranean.</w:t>
      </w:r>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The</w:t>
      </w:r>
      <w:r>
        <w:rPr>
          <w:rFonts w:ascii="Times New Roman" w:hAnsi="Times New Roman"/>
          <w:u w:color="000000"/>
          <w:rtl w:val="0"/>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research then presents the argument that Bronze Age sailors made </w:t>
      </w:r>
      <w:r>
        <w:rPr>
          <w:rFonts w:ascii="Times New Roman" w:hAnsi="Times New Roman"/>
          <w:u w:color="000000"/>
          <w:rtl w:val="0"/>
          <w:lang w:val="en-US"/>
          <w14:textOutline w14:w="12700" w14:cap="flat">
            <w14:noFill/>
            <w14:miter w14:lim="400000"/>
          </w14:textOutline>
        </w:rPr>
        <w:t>direct maritime routes on the open sea involv</w:t>
      </w:r>
      <w:r>
        <w:rPr>
          <w:rFonts w:ascii="Times New Roman" w:hAnsi="Times New Roman"/>
          <w:u w:color="000000"/>
          <w:rtl w:val="0"/>
          <w:lang w:val="en-US"/>
          <w14:textOutline w14:w="12700" w14:cap="flat">
            <w14:noFill/>
            <w14:miter w14:lim="400000"/>
          </w14:textOutline>
        </w:rPr>
        <w:t>ing</w:t>
      </w:r>
      <w:r>
        <w:rPr>
          <w:rFonts w:ascii="Times New Roman" w:hAnsi="Times New Roman"/>
          <w:u w:color="000000"/>
          <w:rtl w:val="0"/>
          <w:lang w:val="fr-FR"/>
          <w14:textOutline w14:w="12700" w14:cap="flat">
            <w14:noFill/>
            <w14:miter w14:lim="400000"/>
          </w14:textOutline>
        </w:rPr>
        <w:t xml:space="preserve"> nocturnal voyag</w:t>
      </w:r>
      <w:r>
        <w:rPr>
          <w:rFonts w:ascii="Times New Roman" w:hAnsi="Times New Roman"/>
          <w:u w:color="000000"/>
          <w:rtl w:val="0"/>
          <w:lang w:val="en-US"/>
          <w14:textOutline w14:w="12700" w14:cap="flat">
            <w14:noFill/>
            <w14:miter w14:lim="400000"/>
          </w14:textOutline>
        </w:rPr>
        <w:t>es</w:t>
      </w:r>
      <w:r>
        <w:rPr>
          <w:rFonts w:ascii="Times New Roman" w:hAnsi="Times New Roman"/>
          <w:u w:color="000000"/>
          <w:rtl w:val="0"/>
          <w:lang w:val="en-US"/>
          <w14:textOutline w14:w="12700" w14:cap="flat">
            <w14:noFill/>
            <w14:miter w14:lim="400000"/>
          </w14:textOutline>
        </w:rPr>
        <w:t xml:space="preserve">. The historical record supports the view that steering by the stars was known by at least the Greek age and perhaps </w:t>
      </w:r>
      <w:r>
        <w:rPr>
          <w:rFonts w:ascii="Times New Roman" w:hAnsi="Times New Roman"/>
          <w:u w:color="000000"/>
          <w:rtl w:val="0"/>
          <w:lang w:val="en-US"/>
          <w14:textOutline w14:w="12700" w14:cap="flat">
            <w14:noFill/>
            <w14:miter w14:lim="400000"/>
          </w14:textOutline>
        </w:rPr>
        <w:t xml:space="preserve">even </w:t>
      </w:r>
      <w:r>
        <w:rPr>
          <w:rFonts w:ascii="Times New Roman" w:hAnsi="Times New Roman"/>
          <w:u w:color="000000"/>
          <w:rtl w:val="0"/>
          <w:lang w:val="en-US"/>
          <w14:textOutline w14:w="12700" w14:cap="flat">
            <w14:noFill/>
            <w14:miter w14:lim="400000"/>
          </w14:textOutline>
        </w:rPr>
        <w:t xml:space="preserve">earlier. </w:t>
      </w:r>
      <w:r>
        <w:rPr>
          <w:rFonts w:ascii="Times New Roman" w:hAnsi="Times New Roman"/>
          <w:u w:color="000000"/>
          <w:rtl w:val="0"/>
          <w:lang w:val="en-US"/>
          <w14:textOutline w14:w="12700" w14:cap="flat">
            <w14:noFill/>
            <w14:miter w14:lim="400000"/>
          </w14:textOutline>
        </w:rPr>
        <w:t>An ethnographic</w:t>
      </w:r>
      <w:r>
        <w:rPr>
          <w:rFonts w:ascii="Times New Roman" w:hAnsi="Times New Roman"/>
          <w:u w:color="000000"/>
          <w:rtl w:val="0"/>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analysis of</w:t>
      </w:r>
      <w:r>
        <w:rPr>
          <w:rFonts w:ascii="Times New Roman" w:hAnsi="Times New Roman"/>
          <w:u w:color="000000"/>
          <w:rtl w:val="0"/>
          <w:lang w:val="en-US"/>
          <w14:textOutline w14:w="12700" w14:cap="flat">
            <w14:noFill/>
            <w14:miter w14:lim="400000"/>
          </w14:textOutline>
        </w:rPr>
        <w:t xml:space="preserve"> Polynesian and Micronesian star sailing techniques introduce</w:t>
      </w:r>
      <w:r>
        <w:rPr>
          <w:rFonts w:ascii="Times New Roman" w:hAnsi="Times New Roman"/>
          <w:u w:color="000000"/>
          <w:rtl w:val="0"/>
          <w:lang w:val="en-US"/>
          <w14:textOutline w14:w="12700" w14:cap="flat">
            <w14:noFill/>
            <w14:miter w14:lim="400000"/>
          </w14:textOutline>
        </w:rPr>
        <w:t>s</w:t>
      </w:r>
      <w:r>
        <w:rPr>
          <w:rFonts w:ascii="Times New Roman" w:hAnsi="Times New Roman"/>
          <w:u w:color="000000"/>
          <w:rtl w:val="0"/>
          <w:lang w:val="en-US"/>
          <w14:textOutline w14:w="12700" w14:cap="flat">
            <w14:noFill/>
            <w14:miter w14:lim="400000"/>
          </w14:textOutline>
        </w:rPr>
        <w:t xml:space="preserve"> new </w:t>
      </w:r>
      <w:r>
        <w:rPr>
          <w:rFonts w:ascii="Times New Roman" w:hAnsi="Times New Roman"/>
          <w:u w:color="000000"/>
          <w:rtl w:val="0"/>
          <w:lang w:val="en-US"/>
          <w14:textOutline w14:w="12700" w14:cap="flat">
            <w14:noFill/>
            <w14:miter w14:lim="400000"/>
          </w14:textOutline>
        </w:rPr>
        <w:t>means</w:t>
      </w:r>
      <w:r>
        <w:rPr>
          <w:rFonts w:ascii="Times New Roman" w:hAnsi="Times New Roman"/>
          <w:u w:color="000000"/>
          <w:rtl w:val="0"/>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of</w:t>
      </w:r>
      <w:r>
        <w:rPr>
          <w:rFonts w:ascii="Times New Roman" w:hAnsi="Times New Roman"/>
          <w:u w:color="000000"/>
          <w:rtl w:val="0"/>
          <w:lang w:val="en-US"/>
          <w14:textOutline w14:w="12700" w14:cap="flat">
            <w14:noFill/>
            <w14:miter w14:lim="400000"/>
          </w14:textOutline>
        </w:rPr>
        <w:t xml:space="preserve"> understanding how </w:t>
      </w:r>
      <w:r>
        <w:rPr>
          <w:rFonts w:ascii="Times New Roman" w:hAnsi="Times New Roman"/>
          <w:u w:color="000000"/>
          <w:rtl w:val="0"/>
          <w:lang w:val="en-US"/>
          <w14:textOutline w14:w="12700" w14:cap="flat">
            <w14:noFill/>
            <w14:miter w14:lim="400000"/>
          </w14:textOutline>
        </w:rPr>
        <w:t xml:space="preserve">Bronze Age </w:t>
      </w:r>
      <w:r>
        <w:rPr>
          <w:rFonts w:ascii="Times New Roman" w:hAnsi="Times New Roman"/>
          <w:u w:color="000000"/>
          <w:rtl w:val="0"/>
          <w:lang w:val="en-US"/>
          <w14:textOutline w14:w="12700" w14:cap="flat">
            <w14:noFill/>
            <w14:miter w14:lim="400000"/>
          </w14:textOutline>
        </w:rPr>
        <w:t>sea routes may have been established</w:t>
      </w:r>
      <w:r>
        <w:rPr>
          <w:rFonts w:ascii="Times New Roman" w:hAnsi="Times New Roman"/>
          <w:u w:color="000000"/>
          <w:rtl w:val="0"/>
          <w:lang w:val="en-US"/>
          <w14:textOutline w14:w="12700" w14:cap="flat">
            <w14:noFill/>
            <w14:miter w14:lim="400000"/>
          </w14:textOutline>
        </w:rPr>
        <w:t xml:space="preserve"> and navigated by the Minoans</w:t>
      </w:r>
      <w:r>
        <w:rPr>
          <w:rFonts w:ascii="Times New Roman" w:hAnsi="Times New Roman"/>
          <w:u w:color="000000"/>
          <w:rtl w:val="0"/>
          <w14:textOutline w14:w="12700" w14:cap="flat">
            <w14:noFill/>
            <w14:miter w14:lim="400000"/>
          </w14:textOutline>
        </w:rPr>
        <w:t>.</w:t>
      </w:r>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With these insights, the dissertation advances a new methodology that combines traditional archaeoastronomy fieldwork, virtual analysis of long-distance </w:t>
      </w:r>
      <w:r>
        <w:rPr>
          <w:rFonts w:ascii="Times New Roman" w:hAnsi="Times New Roman"/>
          <w:u w:color="000000"/>
          <w:rtl w:val="0"/>
          <w:lang w:val="it-IT"/>
          <w14:textOutline w14:w="12700" w14:cap="flat">
            <w14:noFill/>
            <w14:miter w14:lim="400000"/>
          </w14:textOutline>
        </w:rPr>
        <w:t>loxodromic</w:t>
      </w:r>
      <w:r>
        <w:rPr>
          <w:rFonts w:ascii="Times New Roman" w:hAnsi="Times New Roman"/>
          <w:u w:color="000000"/>
          <w:rtl w:val="0"/>
          <w:lang w:val="en-US"/>
          <w14:textOutline w14:w="12700" w14:cap="flat">
            <w14:noFill/>
            <w14:miter w14:lim="400000"/>
          </w14:textOutline>
        </w:rPr>
        <w:t xml:space="preserve"> measurements, and star path azimuths to ascertain possible astronautical orientations. The results appear to indicate </w:t>
      </w:r>
      <w:r>
        <w:rPr>
          <w:rFonts w:ascii="Times New Roman" w:hAnsi="Times New Roman"/>
          <w:u w:color="000000"/>
          <w:rtl w:val="0"/>
          <w:lang w:val="en-US"/>
          <w14:textOutline w14:w="12700" w14:cap="flat">
            <w14:noFill/>
            <w14:miter w14:lim="400000"/>
          </w14:textOutline>
        </w:rPr>
        <w:t>within a high degree of certainty</w:t>
      </w:r>
      <w:r>
        <w:rPr>
          <w:rFonts w:ascii="Times New Roman" w:hAnsi="Times New Roman"/>
          <w:u w:color="000000"/>
          <w:rtl w:val="0"/>
          <w:lang w:val="en-US"/>
          <w14:textOutline w14:w="12700" w14:cap="flat">
            <w14:noFill/>
            <w14:miter w14:lim="400000"/>
          </w14:textOutline>
        </w:rPr>
        <w:t xml:space="preserve"> that the Minoans oriented their palace courtyards toward major ports and cities on the Levantine and Egyptian coastline via star paths of high magnitude stars. </w:t>
      </w:r>
    </w:p>
    <w:p>
      <w:pPr>
        <w:pStyle w:val="Heading"/>
        <w:bidi w:val="0"/>
      </w:pPr>
      <w:r>
        <w:rPr>
          <w:rFonts w:ascii="Arial Unicode MS" w:cs="Arial Unicode MS" w:hAnsi="Arial Unicode MS" w:eastAsia="Arial Unicode MS"/>
          <w:b w:val="0"/>
          <w:bCs w:val="0"/>
          <w:i w:val="0"/>
          <w:iCs w:val="0"/>
        </w:rPr>
        <w:br w:type="page"/>
      </w:r>
    </w:p>
    <w:p>
      <w:pPr>
        <w:pStyle w:val="Heading Reg"/>
        <w:rPr>
          <w:outline w:val="0"/>
          <w:color w:val="7a7a7a"/>
          <w14:textFill>
            <w14:solidFill>
              <w14:srgbClr w14:val="7A7A7A"/>
            </w14:solidFill>
          </w14:textFill>
        </w:rPr>
      </w:pPr>
    </w:p>
    <w:p>
      <w:pPr>
        <w:pStyle w:val="Heading"/>
        <w:bidi w:val="0"/>
      </w:pPr>
      <w:bookmarkStart w:name="_Toc4" w:id="4"/>
      <w:r>
        <w:rPr>
          <w:rFonts w:cs="Arial Unicode MS" w:eastAsia="Arial Unicode MS"/>
          <w:rtl w:val="0"/>
          <w:lang w:val="pt-PT"/>
        </w:rPr>
        <w:t>Introduction</w:t>
      </w:r>
      <w:r>
        <w:rPr>
          <w:rFonts w:cs="Arial Unicode MS" w:eastAsia="Arial Unicode MS"/>
          <w:rtl w:val="0"/>
          <w:lang w:val="en-US"/>
        </w:rPr>
        <w:t xml:space="preserve"> - </w:t>
      </w:r>
      <w:r>
        <w:rPr>
          <w:rFonts w:cs="Arial Unicode MS" w:eastAsia="Arial Unicode MS"/>
          <w:rtl w:val="0"/>
          <w:lang w:val="en-US"/>
        </w:rPr>
        <w:t>Academic Rationale</w:t>
      </w:r>
      <w:bookmarkEnd w:id="4"/>
    </w:p>
    <w:p>
      <w:pPr>
        <w:pStyle w:val="Body A"/>
      </w:pPr>
    </w:p>
    <w:p>
      <w:pPr>
        <w:pStyle w:val="Body A"/>
      </w:pPr>
      <w:r>
        <w:rPr>
          <w:rtl w:val="0"/>
        </w:rPr>
        <w:t>This research aims to investigate if Minoan palace courtyards were oriented toward significant star paths which may have been used for steering toward important trade route destinations that imbued historical and commercial significance to Bronze Age Cretans. W</w:t>
      </w:r>
      <w:r>
        <w:rPr>
          <w:rtl w:val="0"/>
        </w:rPr>
        <w:t xml:space="preserve">hile it has been suggested that the Minoans and other Bronze Age Mediterranean cultures may have used celestial navigation techniques, </w:t>
      </w:r>
      <w:r>
        <w:rPr>
          <w:rtl w:val="0"/>
        </w:rPr>
        <w:t>there has been no</w:t>
      </w:r>
      <w:r>
        <w:rPr>
          <w:rtl w:val="0"/>
        </w:rPr>
        <w:t xml:space="preserve"> detailed and in-depth analysis of this hypothesis.</w:t>
      </w:r>
    </w:p>
    <w:p>
      <w:pPr>
        <w:pStyle w:val="Body A"/>
      </w:pPr>
      <w:r>
        <w:rPr>
          <w:rtl w:val="0"/>
        </w:rPr>
        <w:t xml:space="preserve">Clive Ruggles </w:t>
      </w:r>
      <w:r>
        <w:rPr>
          <w:rtl w:val="0"/>
        </w:rPr>
        <w:t>defines a</w:t>
      </w:r>
      <w:r>
        <w:rPr>
          <w:rtl w:val="0"/>
        </w:rPr>
        <w:t>rchaeoastronomy</w:t>
      </w:r>
      <w:r>
        <w:rPr>
          <w:rtl w:val="0"/>
        </w:rPr>
        <w:t xml:space="preserve"> as </w:t>
      </w:r>
      <w:r>
        <w:rPr>
          <w:rtl w:val="0"/>
        </w:rPr>
        <w:t>‘</w:t>
      </w:r>
      <w:r>
        <w:rPr>
          <w:rtl w:val="0"/>
        </w:rPr>
        <w:t>the study of beliefs and practices concerning the sky in the past, particularly in the absence of written records, and the uses to which people</w:t>
      </w:r>
      <w:r>
        <w:rPr>
          <w:rtl w:val="1"/>
        </w:rPr>
        <w:t>’</w:t>
      </w:r>
      <w:r>
        <w:rPr>
          <w:rtl w:val="0"/>
        </w:rPr>
        <w:t>s understanding of the sky was put.</w:t>
      </w:r>
      <w:r>
        <w:rPr>
          <w:rtl w:val="0"/>
        </w:rPr>
        <w:t>’</w:t>
      </w:r>
      <w:r>
        <w:rPr>
          <w:rFonts w:ascii="Times New Roman" w:cs="Times New Roman" w:hAnsi="Times New Roman" w:eastAsia="Times New Roman"/>
          <w:b w:val="0"/>
          <w:bCs w:val="0"/>
          <w:i w:val="0"/>
          <w:iCs w:val="0"/>
          <w:vertAlign w:val="superscript"/>
        </w:rPr>
        <w:footnoteReference w:id="1"/>
      </w:r>
      <w:r>
        <w:rPr>
          <w:rtl w:val="0"/>
        </w:rPr>
        <w:t xml:space="preserve"> This deficiency is indeed one of the challenges imposed by Minoan culture, where its systems of writings, Linear A and Cretan Hieroglyphs, resist decipherment</w:t>
      </w:r>
      <w:r>
        <w:rPr>
          <w:rtl w:val="0"/>
          <w:lang w:val="pt-PT"/>
        </w:rPr>
        <w:t>.</w:t>
      </w:r>
      <w:r>
        <w:rPr>
          <w:rtl w:val="0"/>
        </w:rPr>
        <w:t xml:space="preserve"> </w:t>
      </w:r>
      <w:r>
        <w:rPr>
          <w:rtl w:val="0"/>
          <w:lang w:val="pt-PT"/>
        </w:rPr>
        <w:t>Th</w:t>
      </w:r>
      <w:r>
        <w:rPr>
          <w:rtl w:val="0"/>
        </w:rPr>
        <w:t>e obscurity of Minoan culture persists</w:t>
      </w:r>
      <w:r>
        <w:rPr>
          <w:rtl w:val="0"/>
          <w:lang w:val="pt-PT"/>
        </w:rPr>
        <w:t xml:space="preserve"> even though </w:t>
      </w:r>
      <w:r>
        <w:rPr>
          <w:rtl w:val="0"/>
        </w:rPr>
        <w:t>quintessential elements of it were inherited by the Mycenaean civili</w:t>
      </w:r>
      <w:r>
        <w:rPr>
          <w:rtl w:val="0"/>
          <w:lang w:val="pt-PT"/>
        </w:rPr>
        <w:t>s</w:t>
      </w:r>
      <w:r>
        <w:rPr>
          <w:rtl w:val="0"/>
        </w:rPr>
        <w:t>ation, which co-opted and expanded its trade routes, of which only archaeological evidence remains. As such, there is a lacuna of knowledge regarding specific sea-borne trade routes and Minoan navigation techniques.</w:t>
      </w:r>
    </w:p>
    <w:p>
      <w:pPr>
        <w:pStyle w:val="Body A"/>
      </w:pPr>
      <w:r>
        <w:rPr>
          <w:rtl w:val="0"/>
        </w:rPr>
        <w:t>The</w:t>
      </w:r>
      <w:r>
        <w:rPr>
          <w:rtl w:val="0"/>
        </w:rPr>
        <w:t xml:space="preserve"> </w:t>
      </w:r>
      <w:r>
        <w:rPr>
          <w:rtl w:val="0"/>
        </w:rPr>
        <w:t xml:space="preserve">lack of </w:t>
      </w:r>
      <w:r>
        <w:rPr>
          <w:rtl w:val="0"/>
        </w:rPr>
        <w:t xml:space="preserve">academic </w:t>
      </w:r>
      <w:r>
        <w:rPr>
          <w:rtl w:val="0"/>
        </w:rPr>
        <w:t>consensus on the motivations for the orientation of Minoan palace courtyards</w:t>
      </w:r>
      <w:r>
        <w:rPr>
          <w:rtl w:val="0"/>
        </w:rPr>
        <w:t xml:space="preserve"> </w:t>
      </w:r>
      <w:r>
        <w:rPr>
          <w:rtl w:val="0"/>
        </w:rPr>
        <w:t xml:space="preserve">generates uncertainty </w:t>
      </w:r>
      <w:r>
        <w:rPr>
          <w:rtl w:val="0"/>
        </w:rPr>
        <w:t>within</w:t>
      </w:r>
      <w:r>
        <w:rPr>
          <w:rtl w:val="0"/>
        </w:rPr>
        <w:t xml:space="preserve"> archaeoastronomical discussions of Bronze Age Crete. </w:t>
      </w:r>
      <w:r>
        <w:rPr>
          <w:rtl w:val="0"/>
        </w:rPr>
        <w:t>T</w:t>
      </w:r>
      <w:r>
        <w:rPr>
          <w:rtl w:val="0"/>
        </w:rPr>
        <w:t xml:space="preserve">he </w:t>
      </w:r>
      <w:r>
        <w:rPr>
          <w:rtl w:val="0"/>
        </w:rPr>
        <w:t xml:space="preserve">research </w:t>
      </w:r>
      <w:r>
        <w:rPr>
          <w:rtl w:val="0"/>
        </w:rPr>
        <w:t xml:space="preserve">methodology </w:t>
      </w:r>
      <w:r>
        <w:rPr>
          <w:rtl w:val="0"/>
        </w:rPr>
        <w:t xml:space="preserve">attempts to resolve this issue by matching the azimuths of the </w:t>
      </w:r>
      <w:r>
        <w:rPr>
          <w:rtl w:val="0"/>
          <w:lang w:val="es-ES_tradnl"/>
        </w:rPr>
        <w:t>Minoan palace</w:t>
      </w:r>
      <w:r>
        <w:rPr>
          <w:rtl w:val="0"/>
        </w:rPr>
        <w:t xml:space="preserve"> courtyard axes with </w:t>
      </w:r>
      <w:r>
        <w:rPr>
          <w:rtl w:val="0"/>
        </w:rPr>
        <w:t>loxodromic long-distance orientations</w:t>
      </w:r>
      <w:r>
        <w:rPr>
          <w:rtl w:val="0"/>
        </w:rPr>
        <w:t>, or rhumb lines,</w:t>
      </w:r>
      <w:r>
        <w:rPr>
          <w:rtl w:val="0"/>
        </w:rPr>
        <w:t xml:space="preserve"> </w:t>
      </w:r>
      <w:r>
        <w:rPr>
          <w:rtl w:val="0"/>
        </w:rPr>
        <w:t xml:space="preserve">toward historically significant </w:t>
      </w:r>
      <w:r>
        <w:rPr>
          <w:rtl w:val="0"/>
        </w:rPr>
        <w:t>localities across the</w:t>
      </w:r>
      <w:r>
        <w:rPr>
          <w:rtl w:val="0"/>
        </w:rPr>
        <w:t>ir</w:t>
      </w:r>
      <w:r>
        <w:rPr>
          <w:rtl w:val="0"/>
          <w:lang w:val="it-IT"/>
        </w:rPr>
        <w:t xml:space="preserve"> Mediterranean</w:t>
      </w:r>
      <w:r>
        <w:rPr>
          <w:rtl w:val="0"/>
        </w:rPr>
        <w:t xml:space="preserve"> trade network. The orientations </w:t>
      </w:r>
      <w:r>
        <w:rPr>
          <w:rtl w:val="0"/>
          <w:lang w:val="pt-PT"/>
        </w:rPr>
        <w:t>were</w:t>
      </w:r>
      <w:r>
        <w:rPr>
          <w:rtl w:val="0"/>
        </w:rPr>
        <w:t xml:space="preserve"> aligned with</w:t>
      </w:r>
      <w:r>
        <w:rPr>
          <w:rtl w:val="0"/>
        </w:rPr>
        <w:t xml:space="preserve"> star path azimuths</w:t>
      </w:r>
      <w:r>
        <w:rPr>
          <w:rtl w:val="0"/>
        </w:rPr>
        <w:t xml:space="preserve"> that may have been used in a hypothetical Minoan celestial navigation tradition to reach particular destinations</w:t>
      </w:r>
      <w:r>
        <w:rPr>
          <w:rtl w:val="0"/>
        </w:rPr>
        <w:t xml:space="preserve">. </w:t>
      </w:r>
      <w:r>
        <w:rPr>
          <w:rtl w:val="0"/>
          <w:lang w:val="pt-PT"/>
        </w:rPr>
        <w:t>T</w:t>
      </w:r>
      <w:r>
        <w:rPr>
          <w:rtl w:val="0"/>
        </w:rPr>
        <w:t xml:space="preserve">he archaeological record, literary corpus, and astral mythologies were </w:t>
      </w:r>
      <w:r>
        <w:rPr>
          <w:rtl w:val="0"/>
          <w:lang w:val="pt-PT"/>
        </w:rPr>
        <w:t>analysed</w:t>
      </w:r>
      <w:r>
        <w:rPr>
          <w:rtl w:val="0"/>
        </w:rPr>
        <w:t xml:space="preserve"> to provide a cultural context for the proposed alignments.</w:t>
      </w:r>
    </w:p>
    <w:p>
      <w:pPr>
        <w:pStyle w:val="Body 2"/>
      </w:pPr>
    </w:p>
    <w:p>
      <w:pPr>
        <w:pStyle w:val="Body 2"/>
      </w:pPr>
    </w:p>
    <w:p>
      <w:pPr>
        <w:pStyle w:val="Body 2"/>
      </w:pPr>
    </w:p>
    <w:p>
      <w:pPr>
        <w:pStyle w:val="Body 2"/>
      </w:pPr>
    </w:p>
    <w:p>
      <w:pPr>
        <w:pStyle w:val="Heading Reg"/>
        <w:rPr>
          <w:i w:val="0"/>
          <w:iCs w:val="0"/>
        </w:rPr>
      </w:pPr>
      <w:bookmarkStart w:name="_Toc5" w:id="5"/>
      <w:r>
        <w:rPr>
          <w:i w:val="0"/>
          <w:iCs w:val="0"/>
          <w:rtl w:val="0"/>
          <w:lang w:val="en-US"/>
        </w:rPr>
        <w:t xml:space="preserve">The Archaeological </w:t>
      </w:r>
      <w:r>
        <w:rPr>
          <w:i w:val="0"/>
          <w:iCs w:val="0"/>
          <w:rtl w:val="0"/>
          <w:lang w:val="fr-FR"/>
        </w:rPr>
        <w:t>Sites</w:t>
      </w:r>
      <w:bookmarkEnd w:id="5"/>
    </w:p>
    <w:p>
      <w:pPr>
        <w:pStyle w:val="Body A"/>
      </w:pPr>
    </w:p>
    <w:p>
      <w:pPr>
        <w:pStyle w:val="Body A"/>
      </w:pPr>
      <w:r>
        <w:rPr>
          <w:rtl w:val="0"/>
        </w:rPr>
        <w:t xml:space="preserve">The Island of Crete, the most sizeable in the Aegean, measures 250 km wide and towers mountain ranges that thrust 2456 m high (Mt. Ida). Neolithic farmers inhabited Knossos since at least 7000 </w:t>
      </w:r>
      <w:r>
        <w:rPr>
          <w:smallCaps w:val="1"/>
          <w:rtl w:val="0"/>
          <w:lang w:val="en-US"/>
        </w:rPr>
        <w:t>bce</w:t>
      </w:r>
      <w:r>
        <w:rPr>
          <w:rtl w:val="0"/>
        </w:rPr>
        <w:t>.</w:t>
      </w:r>
      <w:r>
        <w:rPr>
          <w:rFonts w:ascii="Times New Roman" w:cs="Times New Roman" w:hAnsi="Times New Roman" w:eastAsia="Times New Roman"/>
          <w:b w:val="0"/>
          <w:bCs w:val="0"/>
          <w:i w:val="0"/>
          <w:iCs w:val="0"/>
          <w:vertAlign w:val="superscript"/>
        </w:rPr>
        <w:footnoteReference w:id="2"/>
      </w:r>
      <w:r>
        <w:rPr>
          <w:rtl w:val="0"/>
        </w:rPr>
        <w:t xml:space="preserve"> Excavations </w:t>
      </w:r>
      <w:r>
        <w:rPr>
          <w:rtl w:val="0"/>
        </w:rPr>
        <w:t>of the Bronze Age civili</w:t>
      </w:r>
      <w:r>
        <w:rPr>
          <w:rtl w:val="0"/>
        </w:rPr>
        <w:t>s</w:t>
      </w:r>
      <w:r>
        <w:rPr>
          <w:rtl w:val="0"/>
        </w:rPr>
        <w:t xml:space="preserve">ation, denominated the </w:t>
      </w:r>
      <w:r>
        <w:rPr>
          <w:rtl w:val="1"/>
        </w:rPr>
        <w:t>‘</w:t>
      </w:r>
      <w:r>
        <w:rPr>
          <w:rtl w:val="0"/>
        </w:rPr>
        <w:t>Minoans</w:t>
      </w:r>
      <w:r>
        <w:rPr>
          <w:rtl w:val="1"/>
        </w:rPr>
        <w:t xml:space="preserve">’ </w:t>
      </w:r>
      <w:r>
        <w:rPr>
          <w:rtl w:val="0"/>
        </w:rPr>
        <w:t>by Arthur Evans</w:t>
      </w:r>
      <w:r>
        <w:rPr>
          <w:rtl w:val="0"/>
        </w:rPr>
        <w:t>, commenced in the late 19</w:t>
      </w:r>
      <w:r>
        <w:rPr>
          <w:vertAlign w:val="superscript"/>
          <w:rtl w:val="0"/>
          <w:lang w:val="en-US"/>
        </w:rPr>
        <w:t>th</w:t>
      </w:r>
      <w:r>
        <w:rPr>
          <w:rtl w:val="0"/>
        </w:rPr>
        <w:t xml:space="preserve"> century. Although Minoan civilization spanned from circa 3650-3500 </w:t>
      </w:r>
      <w:r>
        <w:rPr>
          <w:smallCaps w:val="1"/>
          <w:rtl w:val="0"/>
          <w:lang w:val="en-US"/>
        </w:rPr>
        <w:t>bce</w:t>
      </w:r>
      <w:r>
        <w:rPr>
          <w:rtl w:val="0"/>
        </w:rPr>
        <w:t xml:space="preserve"> to the Late Bronze Age, the period which will be investigated is from around </w:t>
      </w:r>
      <w:r>
        <w:rPr>
          <w:rtl w:val="0"/>
        </w:rPr>
        <w:t>1</w:t>
      </w:r>
      <w:r>
        <w:rPr>
          <w:rtl w:val="0"/>
        </w:rPr>
        <w:t>90</w:t>
      </w:r>
      <w:r>
        <w:rPr>
          <w:rtl w:val="0"/>
        </w:rPr>
        <w:t>0</w:t>
      </w:r>
      <w:r>
        <w:rPr>
          <w:rtl w:val="0"/>
        </w:rPr>
        <w:t xml:space="preserve"> </w:t>
      </w:r>
      <w:r>
        <w:rPr>
          <w:smallCaps w:val="1"/>
          <w:rtl w:val="0"/>
          <w:lang w:val="en-US"/>
        </w:rPr>
        <w:t>bce</w:t>
      </w:r>
      <w:r>
        <w:rPr>
          <w:rtl w:val="0"/>
        </w:rPr>
        <w:t xml:space="preserve">, or the </w:t>
      </w:r>
      <w:r>
        <w:rPr>
          <w:rtl w:val="0"/>
          <w:lang w:val="es-ES_tradnl"/>
        </w:rPr>
        <w:t xml:space="preserve">Old Palace </w:t>
      </w:r>
      <w:r>
        <w:rPr>
          <w:rtl w:val="0"/>
        </w:rPr>
        <w:t xml:space="preserve">period, until the end of the New Palace period around 1500 </w:t>
      </w:r>
      <w:r>
        <w:rPr>
          <w:smallCaps w:val="1"/>
          <w:rtl w:val="0"/>
          <w:lang w:val="en-US"/>
        </w:rPr>
        <w:t>bce</w:t>
      </w:r>
      <w:r>
        <w:rPr>
          <w:rtl w:val="0"/>
        </w:rPr>
        <w:t xml:space="preserve">. Jan Driessen situates the early Minoan palaces </w:t>
      </w:r>
      <w:r>
        <w:rPr>
          <w:rtl w:val="0"/>
        </w:rPr>
        <w:t xml:space="preserve">as </w:t>
      </w:r>
      <w:r>
        <w:rPr>
          <w:rtl w:val="1"/>
        </w:rPr>
        <w:t>‘</w:t>
      </w:r>
      <w:r>
        <w:rPr>
          <w:rtl w:val="0"/>
        </w:rPr>
        <w:t>monumentalised courts</w:t>
      </w:r>
      <w:r>
        <w:rPr>
          <w:rtl w:val="1"/>
        </w:rPr>
        <w:t>’</w:t>
      </w:r>
      <w:r>
        <w:rPr>
          <w:rtl w:val="0"/>
        </w:rPr>
        <w:t xml:space="preserve"> five hundred years prior in the Prepalatial period, or circa 2400 </w:t>
      </w:r>
      <w:r>
        <w:rPr>
          <w:smallCaps w:val="1"/>
          <w:rtl w:val="0"/>
          <w:lang w:val="en-US"/>
        </w:rPr>
        <w:t>bce</w:t>
      </w:r>
      <w:r>
        <w:rPr>
          <w:rtl w:val="0"/>
        </w:rPr>
        <w:t>.</w:t>
      </w:r>
      <w:r>
        <w:rPr>
          <w:rFonts w:ascii="Times New Roman" w:cs="Times New Roman" w:hAnsi="Times New Roman" w:eastAsia="Times New Roman"/>
          <w:b w:val="0"/>
          <w:bCs w:val="0"/>
          <w:i w:val="0"/>
          <w:iCs w:val="0"/>
          <w:vertAlign w:val="superscript"/>
        </w:rPr>
        <w:footnoteReference w:id="3"/>
      </w:r>
      <w:r>
        <w:rPr>
          <w:rtl w:val="0"/>
        </w:rPr>
        <w:t xml:space="preserve"> The grand</w:t>
      </w:r>
      <w:r>
        <w:rPr>
          <w:rtl w:val="0"/>
        </w:rPr>
        <w:t xml:space="preserve"> rectangular central courtyard</w:t>
      </w:r>
      <w:r>
        <w:rPr>
          <w:rtl w:val="0"/>
        </w:rPr>
        <w:t>s,</w:t>
      </w:r>
      <w:r>
        <w:rPr>
          <w:rtl w:val="0"/>
        </w:rPr>
        <w:t xml:space="preserve"> oriented north-south</w:t>
      </w:r>
      <w:r>
        <w:rPr>
          <w:rtl w:val="0"/>
        </w:rPr>
        <w:t xml:space="preserve"> on the long axis, are the </w:t>
      </w:r>
      <w:r>
        <w:rPr>
          <w:rtl w:val="0"/>
        </w:rPr>
        <w:t>defining architectural characteristic</w:t>
      </w:r>
      <w:r>
        <w:rPr>
          <w:rtl w:val="0"/>
        </w:rPr>
        <w:t xml:space="preserve"> of the</w:t>
      </w:r>
      <w:r>
        <w:rPr>
          <w:rtl w:val="0"/>
          <w:lang w:val="pt-PT"/>
        </w:rPr>
        <w:t xml:space="preserve"> four </w:t>
      </w:r>
      <w:r>
        <w:rPr>
          <w:rtl w:val="0"/>
        </w:rPr>
        <w:t>recogni</w:t>
      </w:r>
      <w:r>
        <w:rPr>
          <w:rtl w:val="0"/>
        </w:rPr>
        <w:t>s</w:t>
      </w:r>
      <w:r>
        <w:rPr>
          <w:rtl w:val="0"/>
        </w:rPr>
        <w:t xml:space="preserve">ed </w:t>
      </w:r>
      <w:r>
        <w:rPr>
          <w:rtl w:val="0"/>
          <w:lang w:val="pt-PT"/>
        </w:rPr>
        <w:t xml:space="preserve">Minoan </w:t>
      </w:r>
      <w:r>
        <w:rPr>
          <w:rtl w:val="0"/>
        </w:rPr>
        <w:t>‘</w:t>
      </w:r>
      <w:r>
        <w:rPr>
          <w:rtl w:val="0"/>
          <w:lang w:val="pt-PT"/>
        </w:rPr>
        <w:t>palaces</w:t>
      </w:r>
      <w:r>
        <w:rPr>
          <w:rtl w:val="0"/>
        </w:rPr>
        <w:t xml:space="preserve">’ </w:t>
      </w:r>
      <w:r>
        <w:rPr>
          <w:rtl w:val="0"/>
        </w:rPr>
        <w:t xml:space="preserve">analysed </w:t>
      </w:r>
      <w:r>
        <w:rPr>
          <w:rtl w:val="0"/>
        </w:rPr>
        <w:t>in</w:t>
      </w:r>
      <w:r>
        <w:rPr>
          <w:rtl w:val="0"/>
        </w:rPr>
        <w:t xml:space="preserve"> the current research</w:t>
      </w:r>
      <w:r>
        <w:rPr>
          <w:rtl w:val="0"/>
        </w:rPr>
        <w:t xml:space="preserve">: </w:t>
      </w:r>
      <w:r>
        <w:rPr>
          <w:rtl w:val="0"/>
          <w:lang w:val="pt-PT"/>
        </w:rPr>
        <w:t>Knossos, Phaistos, Zakros, and M</w:t>
      </w:r>
      <w:r>
        <w:rPr>
          <w:rtl w:val="0"/>
        </w:rPr>
        <w:t>a</w:t>
      </w:r>
      <w:r>
        <w:rPr>
          <w:rtl w:val="0"/>
          <w:lang w:val="pt-PT"/>
        </w:rPr>
        <w:t>lia</w:t>
      </w:r>
      <w:r>
        <w:rPr>
          <w:rtl w:val="0"/>
        </w:rPr>
        <w:t xml:space="preserve"> (Fig. 1)</w:t>
      </w:r>
      <w:r>
        <w:rPr>
          <w:rtl w:val="0"/>
          <w:lang w:val="pt-PT"/>
        </w:rPr>
        <w:t>.</w:t>
      </w:r>
      <w:r>
        <w:rPr>
          <w:rFonts w:ascii="Times New Roman" w:cs="Times New Roman" w:hAnsi="Times New Roman" w:eastAsia="Times New Roman"/>
          <w:b w:val="0"/>
          <w:bCs w:val="0"/>
          <w:i w:val="0"/>
          <w:iCs w:val="0"/>
          <w:vertAlign w:val="superscript"/>
        </w:rPr>
        <w:footnoteReference w:id="4"/>
      </w:r>
      <w:r>
        <w:rPr>
          <w:rtl w:val="0"/>
        </w:rPr>
        <w:t xml:space="preserve"> The smaller sites of Gournia, Petras, Kommos, and Galatas, also contain rectangular courtyards, although they are outside of the scope of this research, along with the unexcavated palace of Kydonia.</w:t>
      </w:r>
    </w:p>
    <w:p>
      <w:pPr>
        <w:pStyle w:val="Body A"/>
      </w:pPr>
      <w:r>
        <w:rPr>
          <w:rtl w:val="0"/>
        </w:rPr>
        <w:t xml:space="preserve">Driessen argues that, </w:t>
      </w:r>
      <w:r>
        <w:rPr>
          <w:rtl w:val="0"/>
        </w:rPr>
        <w:t>‘</w:t>
      </w:r>
      <w:r>
        <w:rPr>
          <w:rtl w:val="0"/>
        </w:rPr>
        <w:t xml:space="preserve">that the Central Court was the </w:t>
      </w:r>
      <w:r>
        <w:rPr>
          <w:rtl w:val="0"/>
        </w:rPr>
        <w:t>“</w:t>
      </w:r>
      <w:r>
        <w:rPr>
          <w:rtl w:val="0"/>
          <w:lang w:val="fr-FR"/>
        </w:rPr>
        <w:t>raison de vivre</w:t>
      </w:r>
      <w:r>
        <w:rPr>
          <w:rtl w:val="0"/>
        </w:rPr>
        <w:t>”</w:t>
      </w:r>
      <w:r>
        <w:rPr>
          <w:rtl w:val="0"/>
        </w:rPr>
        <w:t xml:space="preserve"> of a Minoan </w:t>
      </w:r>
      <w:r>
        <w:rPr>
          <w:rtl w:val="0"/>
        </w:rPr>
        <w:t>“</w:t>
      </w:r>
      <w:r>
        <w:rPr>
          <w:rtl w:val="0"/>
          <w:lang w:val="es-ES_tradnl"/>
        </w:rPr>
        <w:t>Palace</w:t>
      </w:r>
      <w:r>
        <w:rPr>
          <w:rtl w:val="0"/>
        </w:rPr>
        <w:t>”</w:t>
      </w:r>
      <w:r>
        <w:rPr>
          <w:rtl w:val="1"/>
        </w:rPr>
        <w:t>’</w:t>
      </w:r>
      <w:r>
        <w:rPr>
          <w:rtl w:val="0"/>
        </w:rPr>
        <w:t>.</w:t>
      </w:r>
      <w:r>
        <w:rPr>
          <w:rFonts w:ascii="Times New Roman" w:cs="Times New Roman" w:hAnsi="Times New Roman" w:eastAsia="Times New Roman"/>
          <w:b w:val="0"/>
          <w:bCs w:val="0"/>
          <w:i w:val="0"/>
          <w:iCs w:val="0"/>
          <w:vertAlign w:val="superscript"/>
        </w:rPr>
        <w:footnoteReference w:id="5"/>
      </w:r>
      <w:r>
        <w:rPr>
          <w:rtl w:val="0"/>
        </w:rPr>
        <w:t xml:space="preserve"> He suggests the Minoan courtyards may be compared to New World ceremonial centres, serving as integrating devices for a wider area.</w:t>
      </w:r>
      <w:r>
        <w:rPr>
          <w:rFonts w:ascii="Times New Roman" w:cs="Times New Roman" w:hAnsi="Times New Roman" w:eastAsia="Times New Roman"/>
          <w:b w:val="0"/>
          <w:bCs w:val="0"/>
          <w:i w:val="0"/>
          <w:iCs w:val="0"/>
          <w:vertAlign w:val="superscript"/>
        </w:rPr>
        <w:footnoteReference w:id="6"/>
      </w:r>
      <w:r>
        <w:rPr>
          <w:rtl w:val="0"/>
        </w:rPr>
        <w:t xml:space="preserve"> In Pre-Columbian archaeology, these centres were an enclave of public buildings, including shrines and market places, where scattered populations converged seasonally to feast, dance, and have cultic processions.</w:t>
      </w:r>
      <w:r>
        <w:rPr>
          <w:rFonts w:ascii="Times New Roman" w:cs="Times New Roman" w:hAnsi="Times New Roman" w:eastAsia="Times New Roman"/>
          <w:b w:val="0"/>
          <w:bCs w:val="0"/>
          <w:i w:val="0"/>
          <w:iCs w:val="0"/>
          <w:vertAlign w:val="superscript"/>
        </w:rPr>
        <w:footnoteReference w:id="7"/>
      </w:r>
      <w:r>
        <w:rPr>
          <w:rtl w:val="0"/>
        </w:rPr>
        <w:t xml:space="preserve"> According to Warren DeBoer and John Blitz these centres were </w:t>
      </w:r>
      <w:r>
        <w:rPr>
          <w:rtl w:val="0"/>
        </w:rPr>
        <w:t>‘</w:t>
      </w:r>
      <w:r>
        <w:rPr>
          <w:rtl w:val="0"/>
        </w:rPr>
        <w:t>a calendar, court, church, and necropolis all wrapped up in one</w:t>
      </w:r>
      <w:r>
        <w:rPr>
          <w:rtl w:val="1"/>
        </w:rPr>
        <w:t>’</w:t>
      </w:r>
      <w:r>
        <w:rPr>
          <w:rtl w:val="0"/>
        </w:rPr>
        <w:t>.</w:t>
      </w:r>
      <w:r>
        <w:rPr>
          <w:rFonts w:ascii="Times New Roman" w:cs="Times New Roman" w:hAnsi="Times New Roman" w:eastAsia="Times New Roman"/>
          <w:b w:val="0"/>
          <w:bCs w:val="0"/>
          <w:i w:val="0"/>
          <w:iCs w:val="0"/>
          <w:vertAlign w:val="superscript"/>
        </w:rPr>
        <w:footnoteReference w:id="8"/>
      </w:r>
      <w:r>
        <w:rPr>
          <w:rtl w:val="0"/>
        </w:rPr>
        <w:t xml:space="preserve"> Driessen observes how the Protopalatial raised walkways orchestrated ritual circulation patterns that culminated in the central courtyard.</w:t>
      </w:r>
      <w:r>
        <w:rPr>
          <w:rFonts w:ascii="Times New Roman" w:cs="Times New Roman" w:hAnsi="Times New Roman" w:eastAsia="Times New Roman"/>
          <w:b w:val="0"/>
          <w:bCs w:val="0"/>
          <w:i w:val="0"/>
          <w:iCs w:val="0"/>
          <w:vertAlign w:val="superscript"/>
        </w:rPr>
        <w:footnoteReference w:id="9"/>
      </w:r>
      <w:r>
        <w:rPr>
          <w:rtl w:val="0"/>
        </w:rPr>
        <w:t xml:space="preserve"> Nanno Marinatos argues that ideological considerations inspired the architectural uniformity of the nucleic courtyards which functioned as an </w:t>
      </w:r>
      <w:r>
        <w:rPr>
          <w:i w:val="1"/>
          <w:iCs w:val="1"/>
          <w:rtl w:val="0"/>
          <w:lang w:val="en-US"/>
        </w:rPr>
        <w:t>imago mundi</w:t>
      </w:r>
      <w:r>
        <w:rPr>
          <w:rtl w:val="0"/>
        </w:rPr>
        <w:t>.</w:t>
      </w:r>
      <w:r>
        <w:rPr>
          <w:rFonts w:ascii="Times New Roman" w:cs="Times New Roman" w:hAnsi="Times New Roman" w:eastAsia="Times New Roman"/>
          <w:b w:val="0"/>
          <w:bCs w:val="0"/>
          <w:i w:val="0"/>
          <w:iCs w:val="0"/>
          <w:vertAlign w:val="superscript"/>
        </w:rPr>
        <w:footnoteReference w:id="10"/>
      </w:r>
    </w:p>
    <w:p>
      <w:pPr>
        <w:pStyle w:val="Body A"/>
      </w:pPr>
      <w:r>
        <w:rPr>
          <w:rtl w:val="0"/>
        </w:rPr>
        <w:t>The c</w:t>
      </w:r>
      <w:r>
        <w:rPr>
          <w:rtl w:val="0"/>
          <w:lang w:val="es-ES_tradnl"/>
        </w:rPr>
        <w:t xml:space="preserve">entral </w:t>
      </w:r>
      <w:r>
        <w:rPr>
          <w:rtl w:val="0"/>
        </w:rPr>
        <w:t>c</w:t>
      </w:r>
      <w:r>
        <w:rPr>
          <w:rtl w:val="0"/>
          <w:lang w:val="fr-FR"/>
        </w:rPr>
        <w:t>ourt</w:t>
      </w:r>
      <w:r>
        <w:rPr>
          <w:rtl w:val="0"/>
        </w:rPr>
        <w:t>yard</w:t>
      </w:r>
      <w:r>
        <w:rPr>
          <w:rtl w:val="0"/>
        </w:rPr>
        <w:t xml:space="preserve"> </w:t>
      </w:r>
      <w:r>
        <w:rPr>
          <w:rtl w:val="0"/>
        </w:rPr>
        <w:t>of the Palace of Minos at Knossos is a monumental</w:t>
      </w:r>
      <w:r>
        <w:rPr>
          <w:rtl w:val="0"/>
          <w:lang w:val="nl-NL"/>
        </w:rPr>
        <w:t xml:space="preserve"> open </w:t>
      </w:r>
      <w:r>
        <w:rPr>
          <w:rtl w:val="0"/>
        </w:rPr>
        <w:t>quadrangle</w:t>
      </w:r>
      <w:r>
        <w:rPr>
          <w:rtl w:val="0"/>
        </w:rPr>
        <w:t xml:space="preserve"> of almost 54 by 28 m.</w:t>
      </w:r>
      <w:r>
        <w:rPr>
          <w:rFonts w:ascii="Times New Roman" w:cs="Times New Roman" w:hAnsi="Times New Roman" w:eastAsia="Times New Roman"/>
          <w:b w:val="0"/>
          <w:bCs w:val="0"/>
          <w:i w:val="0"/>
          <w:iCs w:val="0"/>
          <w:vertAlign w:val="superscript"/>
        </w:rPr>
        <w:footnoteReference w:id="11"/>
      </w:r>
      <w:r>
        <w:rPr>
          <w:rtl w:val="0"/>
        </w:rPr>
        <w:t xml:space="preserve"> Once ruled by the legendary King Minos, t</w:t>
      </w:r>
      <w:r>
        <w:rPr>
          <w:rtl w:val="0"/>
        </w:rPr>
        <w:t>he complex was the most sprawling of the palaces in Bronze Age Crete</w:t>
      </w:r>
      <w:r>
        <w:rPr>
          <w:rtl w:val="0"/>
        </w:rPr>
        <w:t>. Minos was so revered in ancient Greece, he was mythologized as one of the judges of Hades.</w:t>
      </w:r>
      <w:r>
        <w:rPr>
          <w:rFonts w:ascii="Times New Roman" w:cs="Times New Roman" w:hAnsi="Times New Roman" w:eastAsia="Times New Roman"/>
          <w:b w:val="0"/>
          <w:bCs w:val="0"/>
          <w:i w:val="0"/>
          <w:iCs w:val="0"/>
          <w:vertAlign w:val="superscript"/>
        </w:rPr>
        <w:footnoteReference w:id="12"/>
      </w:r>
      <w:r>
        <w:rPr>
          <w:rtl w:val="0"/>
        </w:rPr>
        <w:t xml:space="preserve"> While Homer and Hesiod wrote of only one Minos, later accounts also name his grandson Minos, who like his grandfather was occasionally christened the son of Zeus.</w:t>
      </w:r>
      <w:r>
        <w:rPr>
          <w:rFonts w:ascii="Times New Roman" w:cs="Times New Roman" w:hAnsi="Times New Roman" w:eastAsia="Times New Roman"/>
          <w:b w:val="0"/>
          <w:bCs w:val="0"/>
          <w:i w:val="0"/>
          <w:iCs w:val="0"/>
          <w:vertAlign w:val="superscript"/>
        </w:rPr>
        <w:footnoteReference w:id="13"/>
      </w:r>
      <w:r>
        <w:rPr>
          <w:rtl w:val="0"/>
        </w:rPr>
        <w:t xml:space="preserve"> The second Minos commanded the powerful Minoan navy and was associated with the legends of the Minotaur and the labyrinth.</w:t>
      </w:r>
    </w:p>
    <w:p>
      <w:pPr>
        <w:pStyle w:val="Body A"/>
        <w:rPr>
          <w:shd w:val="clear" w:color="auto" w:fill="ffffff"/>
        </w:rPr>
      </w:pPr>
      <w:r>
        <w:rPr>
          <w:rtl w:val="0"/>
        </w:rPr>
        <w:t>Phaistos</w:t>
      </w:r>
      <w:r>
        <w:rPr>
          <w:rFonts w:ascii="Times Roman" w:hAnsi="Times Roman"/>
          <w:rtl w:val="0"/>
          <w:lang w:val="en-US"/>
        </w:rPr>
        <w:t xml:space="preserve">, </w:t>
      </w:r>
      <w:r>
        <w:rPr>
          <w:rFonts w:ascii="Times Roman" w:hAnsi="Times Roman"/>
          <w:rtl w:val="0"/>
          <w:lang w:val="en-US"/>
        </w:rPr>
        <w:t>the legendary home of Minos</w:t>
      </w:r>
      <w:r>
        <w:rPr>
          <w:rFonts w:ascii="Times Roman" w:hAnsi="Times Roman" w:hint="default"/>
          <w:rtl w:val="1"/>
        </w:rPr>
        <w:t xml:space="preserve">’ </w:t>
      </w:r>
      <w:r>
        <w:rPr>
          <w:rFonts w:ascii="Times Roman" w:hAnsi="Times Roman"/>
          <w:rtl w:val="0"/>
          <w:lang w:val="en-US"/>
        </w:rPr>
        <w:t>brother Rhadamanthys</w:t>
      </w:r>
      <w:r>
        <w:rPr>
          <w:rFonts w:ascii="Times Roman" w:hAnsi="Times Roman"/>
          <w:rtl w:val="0"/>
          <w:lang w:val="en-US"/>
        </w:rPr>
        <w:t xml:space="preserve">, </w:t>
      </w:r>
      <w:r>
        <w:rPr>
          <w:rtl w:val="0"/>
        </w:rPr>
        <w:t>was one of the principal palaces of Bronze Age Crete, second only to Knossos. The site</w:t>
      </w:r>
      <w:r>
        <w:rPr>
          <w:rtl w:val="0"/>
        </w:rPr>
        <w:t>’</w:t>
      </w:r>
      <w:r>
        <w:rPr>
          <w:rtl w:val="0"/>
        </w:rPr>
        <w:t>s chronology comprises of two principle building phases: the Old Palace period and the New Palace period. The Phaistos Old Palace apparently aligns to the sacred Kamares cave on the Psiloritis mountain range.</w:t>
      </w:r>
      <w:r>
        <w:rPr>
          <w:rFonts w:ascii="Times New Roman" w:cs="Times New Roman" w:hAnsi="Times New Roman" w:eastAsia="Times New Roman"/>
          <w:b w:val="0"/>
          <w:bCs w:val="0"/>
          <w:i w:val="0"/>
          <w:iCs w:val="0"/>
          <w:vertAlign w:val="superscript"/>
        </w:rPr>
        <w:footnoteReference w:id="14"/>
      </w:r>
      <w:r>
        <w:rPr>
          <w:rtl w:val="0"/>
        </w:rPr>
        <w:t xml:space="preserve"> Meanwhile, the palace of Malia was constructed as late as the Middle Minoan IIIB or the beginning of Late Minoan IA, however, the Central and West Court may have existed from Early Minoan IIB.</w:t>
      </w:r>
      <w:r>
        <w:rPr>
          <w:rFonts w:ascii="Times New Roman" w:cs="Times New Roman" w:hAnsi="Times New Roman" w:eastAsia="Times New Roman"/>
          <w:b w:val="0"/>
          <w:bCs w:val="0"/>
          <w:i w:val="0"/>
          <w:iCs w:val="0"/>
          <w:vertAlign w:val="superscript"/>
        </w:rPr>
        <w:footnoteReference w:id="15"/>
      </w:r>
      <w:r>
        <w:rPr>
          <w:rtl w:val="0"/>
        </w:rPr>
        <w:t xml:space="preserve"> In any case, according to Driessen, the original Early Minoan IIA architecture was simpler and oriented </w:t>
      </w:r>
      <w:r>
        <w:rPr>
          <w:rtl w:val="0"/>
        </w:rPr>
        <w:t>differently</w:t>
      </w:r>
      <w:r>
        <w:rPr>
          <w:rtl w:val="0"/>
        </w:rPr>
        <w:t>.</w:t>
      </w:r>
      <w:r>
        <w:rPr>
          <w:rFonts w:ascii="Times New Roman" w:cs="Times New Roman" w:hAnsi="Times New Roman" w:eastAsia="Times New Roman"/>
          <w:b w:val="0"/>
          <w:bCs w:val="0"/>
          <w:i w:val="0"/>
          <w:iCs w:val="0"/>
          <w:vertAlign w:val="superscript"/>
        </w:rPr>
        <w:footnoteReference w:id="16"/>
      </w:r>
      <w:r>
        <w:rPr>
          <w:rtl w:val="0"/>
        </w:rPr>
        <w:t xml:space="preserve"> An archaeological excavation at the courtyard penetrated as far down as a red earth floor at the Middle Minoan IA stratigraphy.</w:t>
      </w:r>
      <w:r>
        <w:rPr>
          <w:rFonts w:ascii="Times New Roman" w:cs="Times New Roman" w:hAnsi="Times New Roman" w:eastAsia="Times New Roman"/>
          <w:b w:val="0"/>
          <w:bCs w:val="0"/>
          <w:i w:val="0"/>
          <w:iCs w:val="0"/>
          <w:vertAlign w:val="superscript"/>
        </w:rPr>
        <w:footnoteReference w:id="17"/>
      </w:r>
      <w:r>
        <w:rPr>
          <w:rtl w:val="0"/>
        </w:rPr>
        <w:t xml:space="preserve"> Zakros, the fourth site, was constructed during the New Palace period</w:t>
      </w:r>
      <w:r>
        <w:rPr>
          <w:shd w:val="clear" w:color="auto" w:fill="ffffff"/>
          <w:rtl w:val="0"/>
          <w:lang w:val="en-US"/>
        </w:rPr>
        <w:t xml:space="preserve"> on the far eastern coast of Crete. With challenging terrestrial access, it may have acted as a significant hub of sea traffic from the East and the Southeast Mediterranean, which is highly indicative of mercantile relations with Egypt.</w:t>
      </w:r>
      <w:r>
        <w:rPr>
          <w:rFonts w:ascii="Times New Roman" w:cs="Times New Roman" w:hAnsi="Times New Roman" w:eastAsia="Times New Roman"/>
          <w:b w:val="0"/>
          <w:bCs w:val="0"/>
          <w:i w:val="0"/>
          <w:iCs w:val="0"/>
          <w:shd w:val="clear" w:color="auto" w:fill="ffffff"/>
          <w:vertAlign w:val="superscript"/>
        </w:rPr>
        <w:footnoteReference w:id="18"/>
      </w:r>
    </w:p>
    <w:p>
      <w:pPr>
        <w:pStyle w:val="Body A"/>
      </w:pPr>
    </w:p>
    <w:p>
      <w:pPr>
        <w:pStyle w:val="Image A"/>
      </w:pPr>
      <w:r>
        <w:drawing xmlns:a="http://schemas.openxmlformats.org/drawingml/2006/main">
          <wp:inline distT="0" distB="0" distL="0" distR="0">
            <wp:extent cx="4799748" cy="3227135"/>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rcRect l="0" t="0" r="0" b="0"/>
                    <a:stretch>
                      <a:fillRect/>
                    </a:stretch>
                  </pic:blipFill>
                  <pic:spPr>
                    <a:xfrm>
                      <a:off x="0" y="0"/>
                      <a:ext cx="4799748" cy="3227135"/>
                    </a:xfrm>
                    <a:prstGeom prst="rect">
                      <a:avLst/>
                    </a:prstGeom>
                    <a:ln w="12700" cap="flat">
                      <a:noFill/>
                      <a:miter lim="400000"/>
                    </a:ln>
                    <a:effectLst/>
                  </pic:spPr>
                </pic:pic>
              </a:graphicData>
            </a:graphic>
          </wp:inline>
        </w:drawing>
      </w:r>
    </w:p>
    <w:p>
      <w:pPr>
        <w:pStyle w:val="Image Caption"/>
      </w:pPr>
      <w:bookmarkStart w:name="_Toc6" w:id="6"/>
      <w:r>
        <w:rPr>
          <w:rFonts w:cs="Arial Unicode MS" w:eastAsia="Arial Unicode MS"/>
          <w:b w:val="1"/>
          <w:bCs w:val="1"/>
          <w:rtl w:val="0"/>
          <w:lang w:val="en-US"/>
        </w:rPr>
        <w:t>Fig. 1</w:t>
      </w:r>
      <w:r>
        <w:rPr>
          <w:rFonts w:cs="Arial Unicode MS" w:eastAsia="Arial Unicode MS"/>
          <w:rtl w:val="0"/>
        </w:rPr>
        <w:t xml:space="preserve"> Map of Minoan Crete with sites cited in the study. Google Earth Pro.</w:t>
      </w:r>
      <w:bookmarkEnd w:id="6"/>
    </w:p>
    <w:p>
      <w:pPr>
        <w:pStyle w:val="Heading Reg"/>
        <w:rPr>
          <w:shd w:val="clear" w:color="auto" w:fill="ffffff"/>
        </w:rPr>
      </w:pPr>
    </w:p>
    <w:p>
      <w:pPr>
        <w:pStyle w:val="Heading Reg"/>
      </w:pPr>
      <w:bookmarkStart w:name="_Toc7" w:id="7"/>
      <w:r>
        <w:rPr>
          <w:rFonts w:cs="Arial Unicode MS" w:eastAsia="Arial Unicode MS"/>
          <w:rtl w:val="0"/>
          <w:lang w:val="en-US"/>
        </w:rPr>
        <w:t>Minoan Palace Courtyards</w:t>
      </w:r>
      <w:bookmarkEnd w:id="7"/>
    </w:p>
    <w:p>
      <w:pPr>
        <w:pStyle w:val="Body A"/>
      </w:pPr>
    </w:p>
    <w:p>
      <w:pPr>
        <w:pStyle w:val="Body A"/>
      </w:pPr>
      <w:r>
        <w:rPr>
          <w:rtl w:val="0"/>
        </w:rPr>
        <w:t xml:space="preserve">An academic debate surrounding the motivations for the geometry and orientation of the Minoan palace courtyards has intensified over the last few decades. </w:t>
      </w:r>
      <w:r>
        <w:rPr>
          <w:rtl w:val="0"/>
        </w:rPr>
        <w:t xml:space="preserve">Although the courtyards are more extensive in the north-south direction, </w:t>
      </w:r>
      <w:r>
        <w:rPr>
          <w:rtl w:val="0"/>
        </w:rPr>
        <w:t>Evans advances the view that the rooms on the west side of the court served ceremonial functions; albeit, their specific purpose remains obscure to this day.</w:t>
      </w:r>
      <w:r>
        <w:rPr>
          <w:rFonts w:ascii="Times New Roman" w:cs="Times New Roman" w:hAnsi="Times New Roman" w:eastAsia="Times New Roman"/>
          <w:b w:val="0"/>
          <w:bCs w:val="0"/>
          <w:i w:val="0"/>
          <w:iCs w:val="0"/>
          <w:vertAlign w:val="superscript"/>
        </w:rPr>
        <w:footnoteReference w:id="19"/>
      </w:r>
      <w:r>
        <w:rPr>
          <w:rtl w:val="0"/>
        </w:rPr>
        <w:t xml:space="preserve"> Building on this theory, Joseph Shaw argues that the Minoans planned the palaces not with the long axis in mind, but for the shorter east-west orientation, due to the natural illumination entering the western fa</w:t>
      </w:r>
      <w:r>
        <w:rPr>
          <w:rtl w:val="0"/>
        </w:rPr>
        <w:t>ç</w:t>
      </w:r>
      <w:r>
        <w:rPr>
          <w:rtl w:val="0"/>
        </w:rPr>
        <w:t>ades where the supposed sacred structures were located.</w:t>
      </w:r>
      <w:r>
        <w:rPr>
          <w:rFonts w:ascii="Times New Roman" w:cs="Times New Roman" w:hAnsi="Times New Roman" w:eastAsia="Times New Roman"/>
          <w:b w:val="0"/>
          <w:bCs w:val="0"/>
          <w:i w:val="0"/>
          <w:iCs w:val="0"/>
          <w:vertAlign w:val="superscript"/>
        </w:rPr>
        <w:footnoteReference w:id="20"/>
      </w:r>
      <w:r>
        <w:rPr>
          <w:rtl w:val="0"/>
        </w:rPr>
        <w:t xml:space="preserve"> A</w:t>
      </w:r>
      <w:r>
        <w:rPr>
          <w:rtl w:val="0"/>
        </w:rPr>
        <w:t xml:space="preserve">s </w:t>
      </w:r>
      <w:r>
        <w:rPr>
          <w:rtl w:val="0"/>
        </w:rPr>
        <w:t xml:space="preserve">Dennis </w:t>
      </w:r>
      <w:r>
        <w:rPr>
          <w:rtl w:val="0"/>
        </w:rPr>
        <w:t>Dox</w:t>
      </w:r>
      <w:r>
        <w:rPr>
          <w:rtl w:val="0"/>
        </w:rPr>
        <w:t>t</w:t>
      </w:r>
      <w:r>
        <w:rPr>
          <w:rtl w:val="0"/>
        </w:rPr>
        <w:t xml:space="preserve">ater </w:t>
      </w:r>
      <w:r>
        <w:rPr>
          <w:rtl w:val="0"/>
        </w:rPr>
        <w:t>argues, however, Shaw does not arrive at any firm conclusions regarding his measurements, symbolic or otherwise.</w:t>
      </w:r>
      <w:r>
        <w:rPr>
          <w:rFonts w:ascii="Times New Roman" w:cs="Times New Roman" w:hAnsi="Times New Roman" w:eastAsia="Times New Roman"/>
          <w:b w:val="0"/>
          <w:bCs w:val="0"/>
          <w:i w:val="0"/>
          <w:iCs w:val="0"/>
          <w:vertAlign w:val="superscript"/>
        </w:rPr>
        <w:footnoteReference w:id="21"/>
      </w:r>
    </w:p>
    <w:p>
      <w:pPr>
        <w:pStyle w:val="Body A"/>
      </w:pPr>
      <w:r>
        <w:rPr>
          <w:rtl w:val="0"/>
        </w:rPr>
        <w:t>T</w:t>
      </w:r>
      <w:r>
        <w:rPr>
          <w:rtl w:val="0"/>
        </w:rPr>
        <w:t xml:space="preserve">he </w:t>
      </w:r>
      <w:r>
        <w:rPr>
          <w:rtl w:val="0"/>
        </w:rPr>
        <w:t>initial</w:t>
      </w:r>
      <w:r>
        <w:rPr>
          <w:rtl w:val="0"/>
        </w:rPr>
        <w:t xml:space="preserve"> suggestion that the palaces were oriented toward distant geographies</w:t>
      </w:r>
      <w:r>
        <w:rPr>
          <w:rtl w:val="0"/>
        </w:rPr>
        <w:t xml:space="preserve"> was put forth by W.E. Belknap in 1973, in the now unavailable paper, </w:t>
      </w:r>
      <w:r>
        <w:rPr>
          <w:rtl w:val="0"/>
        </w:rPr>
        <w:t>‘</w:t>
      </w:r>
      <w:r>
        <w:rPr>
          <w:rtl w:val="0"/>
        </w:rPr>
        <w:t>A Guide to Cretan Sunrises</w:t>
      </w:r>
      <w:r>
        <w:rPr>
          <w:rtl w:val="0"/>
        </w:rPr>
        <w:t>’</w:t>
      </w:r>
      <w:r>
        <w:rPr>
          <w:rtl w:val="0"/>
        </w:rPr>
        <w:t>. A</w:t>
      </w:r>
      <w:r>
        <w:rPr>
          <w:rtl w:val="0"/>
        </w:rPr>
        <w:t>s cited by Shaw,</w:t>
      </w:r>
      <w:r>
        <w:rPr>
          <w:rtl w:val="0"/>
        </w:rPr>
        <w:t xml:space="preserve"> Belknap proposed the courtyard axes of Tiryns, Phaistos, Knossos, and Malia aimed at the same location on the coast of Northern Africa, </w:t>
      </w:r>
      <w:r>
        <w:rPr>
          <w:rtl w:val="0"/>
        </w:rPr>
        <w:t>near Tobruk</w:t>
      </w:r>
      <w:r>
        <w:rPr>
          <w:rtl w:val="0"/>
        </w:rPr>
        <w:t xml:space="preserve"> at 32</w:t>
      </w:r>
      <w:r>
        <w:rPr>
          <w:rtl w:val="0"/>
        </w:rPr>
        <w:t>°</w:t>
      </w:r>
      <w:r>
        <w:rPr>
          <w:rtl w:val="0"/>
        </w:rPr>
        <w:t>N latitude.</w:t>
      </w:r>
      <w:r>
        <w:rPr>
          <w:rFonts w:ascii="Times New Roman" w:cs="Times New Roman" w:hAnsi="Times New Roman" w:eastAsia="Times New Roman"/>
          <w:b w:val="0"/>
          <w:bCs w:val="0"/>
          <w:i w:val="0"/>
          <w:iCs w:val="0"/>
          <w:vertAlign w:val="superscript"/>
        </w:rPr>
        <w:footnoteReference w:id="22"/>
      </w:r>
      <w:r>
        <w:rPr>
          <w:rtl w:val="0"/>
        </w:rPr>
        <w:t xml:space="preserve"> According to this same theory, Gournia directed its courtyard toward Delos.</w:t>
      </w:r>
      <w:r>
        <w:rPr>
          <w:rFonts w:ascii="Times New Roman" w:cs="Times New Roman" w:hAnsi="Times New Roman" w:eastAsia="Times New Roman"/>
          <w:b w:val="0"/>
          <w:bCs w:val="0"/>
          <w:i w:val="0"/>
          <w:iCs w:val="0"/>
          <w:vertAlign w:val="superscript"/>
        </w:rPr>
        <w:footnoteReference w:id="23"/>
      </w:r>
      <w:r>
        <w:rPr>
          <w:rtl w:val="0"/>
        </w:rPr>
        <w:t xml:space="preserve"> Shaw criticises this hypothesis: </w:t>
      </w:r>
    </w:p>
    <w:p>
      <w:pPr>
        <w:pStyle w:val="Quote"/>
        <w:ind w:left="720"/>
      </w:pPr>
    </w:p>
    <w:p>
      <w:pPr>
        <w:pStyle w:val="Quote"/>
        <w:ind w:left="720"/>
      </w:pPr>
      <w:r>
        <w:rPr>
          <w:rFonts w:cs="Arial Unicode MS" w:eastAsia="Arial Unicode MS"/>
          <w:rtl w:val="0"/>
          <w:lang w:val="en-US"/>
        </w:rPr>
        <w:t>Such a theory assumes, of course, that the Minoans were so skilled in astronomy and geography that they could make such a calculation, and also that they were quite knowledgeable about and concerned with the exact positions of Cycladic, Mainland, as well as North African sites, aside from certain omissions, archaeological incongruities, and certain errors in the method of estimating direction.</w:t>
      </w:r>
      <w:r>
        <w:rPr>
          <w:rFonts w:ascii="Times New Roman" w:cs="Times New Roman" w:hAnsi="Times New Roman" w:eastAsia="Times New Roman"/>
          <w:b w:val="0"/>
          <w:bCs w:val="0"/>
          <w:i w:val="0"/>
          <w:iCs w:val="0"/>
          <w:vertAlign w:val="superscript"/>
        </w:rPr>
        <w:footnoteReference w:id="24"/>
      </w:r>
      <w:r>
        <w:rPr>
          <w:rFonts w:cs="Arial Unicode MS" w:eastAsia="Arial Unicode MS"/>
          <w:rtl w:val="0"/>
          <w:lang w:val="en-US"/>
        </w:rPr>
        <w:t xml:space="preserve"> </w:t>
      </w:r>
    </w:p>
    <w:p>
      <w:pPr>
        <w:pStyle w:val="Body A"/>
      </w:pPr>
    </w:p>
    <w:p>
      <w:pPr>
        <w:pStyle w:val="Post QUOTE"/>
      </w:pPr>
      <w:r>
        <w:rPr>
          <w:rtl w:val="0"/>
        </w:rPr>
        <w:t>Belknap</w:t>
      </w:r>
      <w:r>
        <w:rPr>
          <w:rtl w:val="0"/>
        </w:rPr>
        <w:t>’</w:t>
      </w:r>
      <w:r>
        <w:rPr>
          <w:rtl w:val="0"/>
        </w:rPr>
        <w:t>s theory appears to have been hampered by faulty methodology, which Shaw criticised by pointing to errors in calculations and chronology.</w:t>
      </w:r>
      <w:r>
        <w:rPr>
          <w:rFonts w:ascii="Times New Roman" w:cs="Times New Roman" w:hAnsi="Times New Roman" w:eastAsia="Times New Roman"/>
          <w:b w:val="0"/>
          <w:bCs w:val="0"/>
          <w:i w:val="0"/>
          <w:iCs w:val="0"/>
          <w:vertAlign w:val="superscript"/>
        </w:rPr>
        <w:footnoteReference w:id="25"/>
      </w:r>
    </w:p>
    <w:p>
      <w:pPr>
        <w:pStyle w:val="Post QUOTE"/>
      </w:pPr>
    </w:p>
    <w:p>
      <w:pPr>
        <w:pStyle w:val="Image A"/>
      </w:pPr>
      <w:r>
        <w:drawing xmlns:a="http://schemas.openxmlformats.org/drawingml/2006/main">
          <wp:inline distT="0" distB="0" distL="0" distR="0">
            <wp:extent cx="4222642" cy="1648258"/>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rcRect l="0" t="0" r="0" b="0"/>
                    <a:stretch>
                      <a:fillRect/>
                    </a:stretch>
                  </pic:blipFill>
                  <pic:spPr>
                    <a:xfrm>
                      <a:off x="0" y="0"/>
                      <a:ext cx="4222642" cy="1648258"/>
                    </a:xfrm>
                    <a:prstGeom prst="rect">
                      <a:avLst/>
                    </a:prstGeom>
                    <a:ln w="12700" cap="flat">
                      <a:noFill/>
                      <a:miter lim="400000"/>
                    </a:ln>
                    <a:effectLst/>
                  </pic:spPr>
                </pic:pic>
              </a:graphicData>
            </a:graphic>
          </wp:inline>
        </w:drawing>
      </w:r>
    </w:p>
    <w:p>
      <w:pPr>
        <w:pStyle w:val="Image Caption"/>
      </w:pPr>
      <w:bookmarkStart w:name="_Toc8" w:id="8"/>
      <w:r>
        <w:rPr>
          <w:rFonts w:cs="Arial Unicode MS" w:eastAsia="Arial Unicode MS"/>
          <w:b w:val="1"/>
          <w:bCs w:val="1"/>
          <w:rtl w:val="0"/>
          <w:lang w:val="en-US"/>
        </w:rPr>
        <w:t>Fig. 2</w:t>
      </w:r>
      <w:r>
        <w:rPr>
          <w:rFonts w:cs="Arial Unicode MS" w:eastAsia="Arial Unicode MS"/>
          <w:rtl w:val="0"/>
        </w:rPr>
        <w:t xml:space="preserve"> </w:t>
      </w:r>
      <w:r>
        <w:rPr>
          <w:rFonts w:cs="Arial Unicode MS" w:eastAsia="Arial Unicode MS"/>
          <w:rtl w:val="0"/>
        </w:rPr>
        <w:t>Doxtater</w:t>
      </w:r>
      <w:r>
        <w:rPr>
          <w:rFonts w:cs="Arial Unicode MS" w:eastAsia="Arial Unicode MS" w:hint="default"/>
          <w:rtl w:val="0"/>
        </w:rPr>
        <w:t>’</w:t>
      </w:r>
      <w:r>
        <w:rPr>
          <w:rFonts w:cs="Arial Unicode MS" w:eastAsia="Arial Unicode MS"/>
          <w:rtl w:val="0"/>
        </w:rPr>
        <w:t xml:space="preserve">s proposal of geometric alignments between sites in Minoan Crete. </w:t>
      </w:r>
      <w:r>
        <w:rPr>
          <w:rFonts w:cs="Arial Unicode MS" w:eastAsia="Arial Unicode MS"/>
          <w:rtl w:val="0"/>
        </w:rPr>
        <w:t>Doxtater, p. 9</w:t>
      </w:r>
      <w:r>
        <w:rPr>
          <w:rFonts w:cs="Arial Unicode MS" w:eastAsia="Arial Unicode MS"/>
          <w:rtl w:val="0"/>
        </w:rPr>
        <w:t>.</w:t>
      </w:r>
      <w:bookmarkEnd w:id="8"/>
    </w:p>
    <w:p>
      <w:pPr>
        <w:pStyle w:val="Body A"/>
      </w:pPr>
    </w:p>
    <w:p>
      <w:pPr>
        <w:pStyle w:val="Body A"/>
      </w:pPr>
      <w:r>
        <w:rPr>
          <w:rtl w:val="0"/>
        </w:rPr>
        <w:t>More recently, Doxtater</w:t>
      </w:r>
      <w:r>
        <w:rPr>
          <w:rtl w:val="0"/>
        </w:rPr>
        <w:t>’</w:t>
      </w:r>
      <w:r>
        <w:rPr>
          <w:rtl w:val="0"/>
        </w:rPr>
        <w:t>s contemporary geospatial methodologies propose that the Minoans situated the palaces with intentional geometric relations to each other and the sacred caves interspersed on the island.</w:t>
      </w:r>
      <w:r>
        <w:rPr>
          <w:rFonts w:ascii="Times New Roman" w:cs="Times New Roman" w:hAnsi="Times New Roman" w:eastAsia="Times New Roman"/>
          <w:b w:val="0"/>
          <w:bCs w:val="0"/>
          <w:i w:val="0"/>
          <w:iCs w:val="0"/>
          <w:vertAlign w:val="superscript"/>
        </w:rPr>
        <w:footnoteReference w:id="26"/>
      </w:r>
      <w:r>
        <w:rPr>
          <w:rtl w:val="0"/>
        </w:rPr>
        <w:t xml:space="preserve"> The twelve points in his analysis have Knossos as the apex of an island-wide design with the presence of a right angle between Psychro, Malia, and Zakros</w:t>
      </w:r>
      <w:r>
        <w:rPr>
          <w:rtl w:val="0"/>
        </w:rPr>
        <w:t xml:space="preserve"> (Fig. </w:t>
      </w:r>
      <w:r>
        <w:rPr>
          <w:rtl w:val="0"/>
        </w:rPr>
        <w:t>2</w:t>
      </w:r>
      <w:r>
        <w:rPr>
          <w:rtl w:val="0"/>
        </w:rPr>
        <w:t>)</w:t>
      </w:r>
      <w:r>
        <w:rPr>
          <w:rtl w:val="0"/>
        </w:rPr>
        <w:t>.</w:t>
      </w:r>
      <w:r>
        <w:rPr>
          <w:rFonts w:ascii="Times New Roman" w:cs="Times New Roman" w:hAnsi="Times New Roman" w:eastAsia="Times New Roman"/>
          <w:b w:val="0"/>
          <w:bCs w:val="0"/>
          <w:i w:val="0"/>
          <w:iCs w:val="0"/>
          <w:vertAlign w:val="superscript"/>
        </w:rPr>
        <w:footnoteReference w:id="27"/>
      </w:r>
      <w:r>
        <w:rPr>
          <w:rtl w:val="0"/>
        </w:rPr>
        <w:t xml:space="preserve"> According to Shaw, there is </w:t>
      </w:r>
      <w:r>
        <w:rPr>
          <w:rtl w:val="0"/>
        </w:rPr>
        <w:t>‘</w:t>
      </w:r>
      <w:r>
        <w:rPr>
          <w:rtl w:val="0"/>
        </w:rPr>
        <w:t>little evidence to indicate Minoan expertise in long-range observation and complex geographical measurement</w:t>
      </w:r>
      <w:r>
        <w:rPr>
          <w:rtl w:val="1"/>
        </w:rPr>
        <w:t>’</w:t>
      </w:r>
      <w:r>
        <w:rPr>
          <w:rtl w:val="0"/>
        </w:rPr>
        <w:t>.</w:t>
      </w:r>
      <w:r>
        <w:rPr>
          <w:rFonts w:ascii="Times New Roman" w:cs="Times New Roman" w:hAnsi="Times New Roman" w:eastAsia="Times New Roman"/>
          <w:b w:val="0"/>
          <w:bCs w:val="0"/>
          <w:i w:val="0"/>
          <w:iCs w:val="0"/>
          <w:vertAlign w:val="superscript"/>
        </w:rPr>
        <w:footnoteReference w:id="28"/>
      </w:r>
      <w:r>
        <w:rPr>
          <w:rtl w:val="0"/>
        </w:rPr>
        <w:t xml:space="preserve"> Doxtater cites the signal fires lit 177 km apart as disclosed in Aeschylus</w:t>
      </w:r>
      <w:r>
        <w:rPr>
          <w:rtl w:val="0"/>
        </w:rPr>
        <w:t xml:space="preserve">’ </w:t>
      </w:r>
      <w:r>
        <w:rPr>
          <w:i w:val="1"/>
          <w:iCs w:val="1"/>
          <w:rtl w:val="0"/>
          <w:lang w:val="en-US"/>
        </w:rPr>
        <w:t>Agamemnon</w:t>
      </w:r>
      <w:r>
        <w:rPr>
          <w:rtl w:val="0"/>
        </w:rPr>
        <w:t xml:space="preserve"> as substantiating the feasibility of long-distance surveying.</w:t>
      </w:r>
      <w:r>
        <w:rPr>
          <w:rFonts w:ascii="Times New Roman" w:cs="Times New Roman" w:hAnsi="Times New Roman" w:eastAsia="Times New Roman"/>
          <w:b w:val="0"/>
          <w:bCs w:val="0"/>
          <w:i w:val="0"/>
          <w:iCs w:val="0"/>
          <w:vertAlign w:val="superscript"/>
        </w:rPr>
        <w:footnoteReference w:id="29"/>
      </w:r>
      <w:r>
        <w:rPr>
          <w:rtl w:val="0"/>
        </w:rPr>
        <w:t xml:space="preserve"> However, Doxtater does not go further in proposing an intentional geometric relationship between Crete and coastal sites around the Mediterranean.</w:t>
      </w:r>
    </w:p>
    <w:p>
      <w:pPr>
        <w:pStyle w:val="Body A"/>
      </w:pPr>
    </w:p>
    <w:p>
      <w:pPr>
        <w:pStyle w:val="Heading Reg"/>
      </w:pPr>
      <w:bookmarkStart w:name="_Toc9" w:id="9"/>
      <w:r>
        <w:rPr>
          <w:rFonts w:cs="Arial Unicode MS" w:eastAsia="Arial Unicode MS"/>
          <w:rtl w:val="0"/>
          <w:lang w:val="en-US"/>
        </w:rPr>
        <w:t>The Archaeoastronomy of Crete</w:t>
      </w:r>
      <w:bookmarkEnd w:id="9"/>
    </w:p>
    <w:p>
      <w:pPr>
        <w:pStyle w:val="Body A"/>
      </w:pPr>
    </w:p>
    <w:p>
      <w:pPr>
        <w:pStyle w:val="Body A"/>
      </w:pPr>
      <w:r>
        <w:rPr>
          <w:rtl w:val="0"/>
        </w:rPr>
        <w:t xml:space="preserve">The Uppsala Project, led </w:t>
      </w:r>
      <w:r>
        <w:rPr>
          <w:rtl w:val="0"/>
        </w:rPr>
        <w:t xml:space="preserve">by Mary Blomberg and </w:t>
      </w:r>
      <w:r>
        <w:rPr>
          <w:rtl w:val="0"/>
        </w:rPr>
        <w:t>G</w:t>
      </w:r>
      <w:r>
        <w:rPr>
          <w:rtl w:val="0"/>
          <w:lang w:val="sv-SE"/>
        </w:rPr>
        <w:t>ö</w:t>
      </w:r>
      <w:r>
        <w:rPr>
          <w:rtl w:val="0"/>
          <w:lang w:val="es-ES_tradnl"/>
        </w:rPr>
        <w:t xml:space="preserve">ran </w:t>
      </w:r>
      <w:r>
        <w:rPr>
          <w:rtl w:val="0"/>
        </w:rPr>
        <w:t xml:space="preserve">Henriksson, surveyed various Minoan sites around Crete. They propose that the slight variability in the orientation of the west and older side of the Phaistos palace courtyard, as compared to the New Palace orientation, </w:t>
      </w:r>
      <w:r>
        <w:rPr>
          <w:rtl w:val="0"/>
        </w:rPr>
        <w:t>‘</w:t>
      </w:r>
      <w:r>
        <w:rPr>
          <w:rtl w:val="0"/>
        </w:rPr>
        <w:t>is nearly equal to the rate of precession of the equinoxes in 150 years</w:t>
      </w:r>
      <w:r>
        <w:rPr>
          <w:rtl w:val="0"/>
        </w:rPr>
        <w:t>’</w:t>
      </w:r>
      <w:r>
        <w:rPr>
          <w:rtl w:val="0"/>
        </w:rPr>
        <w:t>.</w:t>
      </w:r>
      <w:r>
        <w:rPr>
          <w:rFonts w:ascii="Times New Roman" w:cs="Times New Roman" w:hAnsi="Times New Roman" w:eastAsia="Times New Roman"/>
          <w:b w:val="0"/>
          <w:bCs w:val="0"/>
          <w:i w:val="0"/>
          <w:iCs w:val="0"/>
          <w:vertAlign w:val="superscript"/>
        </w:rPr>
        <w:footnoteReference w:id="30"/>
      </w:r>
      <w:r>
        <w:rPr>
          <w:rtl w:val="0"/>
        </w:rPr>
        <w:t xml:space="preserve"> Notwithstanding that, they acknowledge the shift is eastwards while precession actually progresses westwards. They hypothesise that the long axis of the central courtyard of Phaistos was oriented toward the star Canopus (</w:t>
      </w:r>
      <w:r>
        <w:rPr>
          <w:rtl w:val="0"/>
        </w:rPr>
        <w:t xml:space="preserve">α </w:t>
      </w:r>
      <w:r>
        <w:rPr>
          <w:rtl w:val="0"/>
        </w:rPr>
        <w:t>Car</w:t>
      </w:r>
      <w:r>
        <w:rPr>
          <w:rtl w:val="0"/>
        </w:rPr>
        <w:t>) without direct sightline behind the mountains to the South of the palace.</w:t>
      </w:r>
      <w:r>
        <w:rPr>
          <w:rFonts w:ascii="Times New Roman" w:cs="Times New Roman" w:hAnsi="Times New Roman" w:eastAsia="Times New Roman"/>
          <w:b w:val="0"/>
          <w:bCs w:val="0"/>
          <w:i w:val="0"/>
          <w:iCs w:val="0"/>
          <w:vertAlign w:val="superscript"/>
        </w:rPr>
        <w:footnoteReference w:id="31"/>
      </w:r>
    </w:p>
    <w:p>
      <w:pPr>
        <w:pStyle w:val="Body A"/>
      </w:pPr>
      <w:r>
        <w:rPr>
          <w:rtl w:val="0"/>
        </w:rPr>
        <w:t>Blomberg and Henriksson</w:t>
      </w:r>
      <w:r>
        <w:rPr>
          <w:rtl w:val="0"/>
        </w:rPr>
        <w:t>’</w:t>
      </w:r>
      <w:r>
        <w:rPr>
          <w:rtl w:val="0"/>
        </w:rPr>
        <w:t xml:space="preserve">s survey of Minoan </w:t>
      </w:r>
      <w:r>
        <w:rPr>
          <w:rtl w:val="0"/>
        </w:rPr>
        <w:t>open-air mountain top temples</w:t>
      </w:r>
      <w:r>
        <w:rPr>
          <w:rtl w:val="0"/>
        </w:rPr>
        <w:t>,</w:t>
      </w:r>
      <w:r>
        <w:rPr>
          <w:rtl w:val="0"/>
        </w:rPr>
        <w:t xml:space="preserve"> known as peak sanctuaries</w:t>
      </w:r>
      <w:r>
        <w:rPr>
          <w:rtl w:val="0"/>
        </w:rPr>
        <w:t xml:space="preserve">, corroborate the link between the Minoan skyscape and celestial navigation. Their results constitute evidence that the </w:t>
      </w:r>
      <w:r>
        <w:rPr>
          <w:rtl w:val="0"/>
        </w:rPr>
        <w:t>peak sanctuaries o</w:t>
      </w:r>
      <w:r>
        <w:rPr>
          <w:rtl w:val="0"/>
        </w:rPr>
        <w:t>f</w:t>
      </w:r>
      <w:r>
        <w:rPr>
          <w:rtl w:val="0"/>
          <w:lang w:val="pt-PT"/>
        </w:rPr>
        <w:t xml:space="preserve"> Petsophas, Traostalos, Juktas, Pyrgos, Gonies, Vrysinas</w:t>
      </w:r>
      <w:r>
        <w:rPr>
          <w:rtl w:val="0"/>
        </w:rPr>
        <w:t>,</w:t>
      </w:r>
      <w:r>
        <w:rPr>
          <w:rtl w:val="0"/>
        </w:rPr>
        <w:t xml:space="preserve"> the palaces at Knossos, Gournia, Malia, Phaistos, Zakro</w:t>
      </w:r>
      <w:r>
        <w:rPr>
          <w:rtl w:val="0"/>
        </w:rPr>
        <w:t xml:space="preserve">s, and </w:t>
      </w:r>
      <w:r>
        <w:rPr>
          <w:rtl w:val="0"/>
        </w:rPr>
        <w:t>the villas at Agia Triada, Tylissos, Vathypetro</w:t>
      </w:r>
      <w:r>
        <w:rPr>
          <w:rtl w:val="0"/>
        </w:rPr>
        <w:t xml:space="preserve">, </w:t>
      </w:r>
      <w:r>
        <w:rPr>
          <w:rtl w:val="0"/>
        </w:rPr>
        <w:t>‘</w:t>
      </w:r>
      <w:r>
        <w:rPr>
          <w:rtl w:val="0"/>
        </w:rPr>
        <w:t>all show orientations to significant celestial events</w:t>
      </w:r>
      <w:r>
        <w:rPr>
          <w:rtl w:val="0"/>
        </w:rPr>
        <w:t>’</w:t>
      </w:r>
      <w:r>
        <w:rPr>
          <w:rtl w:val="0"/>
        </w:rPr>
        <w:t>.</w:t>
      </w:r>
      <w:r>
        <w:rPr>
          <w:rFonts w:ascii="Times New Roman" w:cs="Times New Roman" w:hAnsi="Times New Roman" w:eastAsia="Times New Roman"/>
          <w:b w:val="0"/>
          <w:bCs w:val="0"/>
          <w:i w:val="0"/>
          <w:iCs w:val="0"/>
          <w:vertAlign w:val="superscript"/>
        </w:rPr>
        <w:footnoteReference w:id="32"/>
      </w:r>
      <w:r>
        <w:rPr>
          <w:rtl w:val="0"/>
        </w:rPr>
        <w:t xml:space="preserve"> They indicate that a </w:t>
      </w:r>
      <w:r>
        <w:rPr>
          <w:rtl w:val="0"/>
        </w:rPr>
        <w:t>wall</w:t>
      </w:r>
      <w:r>
        <w:rPr>
          <w:rtl w:val="0"/>
        </w:rPr>
        <w:t xml:space="preserve"> at the peak sanctuary of Traostalos may be oriented toward the limits of the Northern circumpolar ring, composed of stars which never set below the horizon.</w:t>
      </w:r>
      <w:r>
        <w:rPr>
          <w:rFonts w:ascii="Times New Roman" w:cs="Times New Roman" w:hAnsi="Times New Roman" w:eastAsia="Times New Roman"/>
          <w:b w:val="0"/>
          <w:bCs w:val="0"/>
          <w:i w:val="0"/>
          <w:iCs w:val="0"/>
          <w:vertAlign w:val="superscript"/>
        </w:rPr>
        <w:footnoteReference w:id="33"/>
      </w:r>
      <w:r>
        <w:rPr>
          <w:rtl w:val="0"/>
        </w:rPr>
        <w:t xml:space="preserve"> </w:t>
      </w:r>
    </w:p>
    <w:p>
      <w:pPr>
        <w:pStyle w:val="Body A"/>
      </w:pPr>
      <w:r>
        <w:rPr>
          <w:rtl w:val="0"/>
        </w:rPr>
        <w:t>The researchers suggest that the walls at both Petsophas and Traostalos aimed toward Arcturus (</w:t>
      </w:r>
      <w:r>
        <w:rPr>
          <w:rtl w:val="0"/>
        </w:rPr>
        <w:t>α </w:t>
      </w:r>
      <w:r>
        <w:rPr>
          <w:rtl w:val="0"/>
        </w:rPr>
        <w:t>Bo</w:t>
      </w:r>
      <w:r>
        <w:rPr>
          <w:rtl w:val="0"/>
        </w:rPr>
        <w:t xml:space="preserve">o), which the </w:t>
      </w:r>
      <w:r>
        <w:rPr>
          <w:rtl w:val="0"/>
        </w:rPr>
        <w:t>third century</w:t>
      </w:r>
      <w:r>
        <w:rPr>
          <w:rtl w:val="0"/>
        </w:rPr>
        <w:t xml:space="preserve"> </w:t>
      </w:r>
      <w:r>
        <w:rPr>
          <w:smallCaps w:val="1"/>
          <w:rtl w:val="0"/>
          <w:lang w:val="en-US"/>
        </w:rPr>
        <w:t>bce</w:t>
      </w:r>
      <w:r>
        <w:rPr>
          <w:rtl w:val="0"/>
        </w:rPr>
        <w:t xml:space="preserve"> poet, Aratus, associated with tempestuous seas.</w:t>
      </w:r>
      <w:r>
        <w:rPr>
          <w:rFonts w:ascii="Times New Roman" w:cs="Times New Roman" w:hAnsi="Times New Roman" w:eastAsia="Times New Roman"/>
          <w:b w:val="0"/>
          <w:bCs w:val="0"/>
          <w:i w:val="0"/>
          <w:iCs w:val="0"/>
          <w:vertAlign w:val="superscript"/>
        </w:rPr>
        <w:footnoteReference w:id="34"/>
      </w:r>
      <w:r>
        <w:rPr>
          <w:rtl w:val="0"/>
        </w:rPr>
        <w:t xml:space="preserve"> According to Blomberg and Henriksson, the cosmical setting of Arcturus on the 11</w:t>
      </w:r>
      <w:r>
        <w:rPr>
          <w:vertAlign w:val="superscript"/>
          <w:rtl w:val="0"/>
          <w:lang w:val="en-US"/>
        </w:rPr>
        <w:t>th</w:t>
      </w:r>
      <w:r>
        <w:rPr>
          <w:rtl w:val="0"/>
        </w:rPr>
        <w:t xml:space="preserve"> of May and its heliacal setting on the 13</w:t>
      </w:r>
      <w:r>
        <w:rPr>
          <w:vertAlign w:val="superscript"/>
          <w:rtl w:val="0"/>
          <w:lang w:val="en-US"/>
        </w:rPr>
        <w:t>th</w:t>
      </w:r>
      <w:r>
        <w:rPr>
          <w:rtl w:val="0"/>
        </w:rPr>
        <w:t xml:space="preserve"> of October during the Middle Bronze Age, may have signaled the limits of the traditional sailing season as documented by Hesiod and Vegetius.</w:t>
      </w:r>
      <w:r>
        <w:rPr>
          <w:rFonts w:ascii="Times New Roman" w:cs="Times New Roman" w:hAnsi="Times New Roman" w:eastAsia="Times New Roman"/>
          <w:b w:val="0"/>
          <w:bCs w:val="0"/>
          <w:i w:val="0"/>
          <w:iCs w:val="0"/>
          <w:vertAlign w:val="superscript"/>
        </w:rPr>
        <w:footnoteReference w:id="35"/>
      </w:r>
      <w:r>
        <w:rPr>
          <w:rtl w:val="0"/>
        </w:rPr>
        <w:t xml:space="preserve"> They write that given the unimpeded view of the eastern horizon over the ocean from the mountain peak, and </w:t>
      </w:r>
      <w:r>
        <w:rPr>
          <w:rtl w:val="0"/>
        </w:rPr>
        <w:t>‘</w:t>
      </w:r>
      <w:r>
        <w:rPr>
          <w:rtl w:val="0"/>
        </w:rPr>
        <w:t>the absence of obvious orientations towards the sun and the moon, may indicate that the site was specialised to the study of the stars for navigation</w:t>
      </w:r>
      <w:r>
        <w:rPr>
          <w:rtl w:val="1"/>
        </w:rPr>
        <w:t>’</w:t>
      </w:r>
      <w:r>
        <w:rPr>
          <w:rtl w:val="0"/>
        </w:rPr>
        <w:t>.</w:t>
      </w:r>
      <w:r>
        <w:rPr>
          <w:rFonts w:ascii="Times New Roman" w:cs="Times New Roman" w:hAnsi="Times New Roman" w:eastAsia="Times New Roman"/>
          <w:b w:val="0"/>
          <w:bCs w:val="0"/>
          <w:i w:val="0"/>
          <w:iCs w:val="0"/>
          <w:vertAlign w:val="superscript"/>
        </w:rPr>
        <w:footnoteReference w:id="36"/>
      </w:r>
      <w:r>
        <w:rPr>
          <w:rtl w:val="0"/>
        </w:rPr>
        <w:t xml:space="preserve"> </w:t>
      </w:r>
      <w:r>
        <w:rPr>
          <w:rtl w:val="0"/>
          <w:lang w:val="en-US"/>
        </w:rPr>
        <w:t>With t</w:t>
      </w:r>
      <w:r>
        <w:rPr>
          <w:rtl w:val="0"/>
          <w:lang w:val="en-US"/>
        </w:rPr>
        <w:t xml:space="preserve">heir </w:t>
      </w:r>
      <w:r>
        <w:rPr>
          <w:rtl w:val="0"/>
          <w:lang w:val="en-US"/>
        </w:rPr>
        <w:t>towering</w:t>
      </w:r>
      <w:r>
        <w:rPr>
          <w:rtl w:val="0"/>
          <w:lang w:val="en-US"/>
        </w:rPr>
        <w:t xml:space="preserve"> vantage point</w:t>
      </w:r>
      <w:r>
        <w:rPr>
          <w:rtl w:val="0"/>
          <w:lang w:val="en-US"/>
        </w:rPr>
        <w:t>s</w:t>
      </w:r>
      <w:r>
        <w:rPr>
          <w:rtl w:val="0"/>
          <w:lang w:val="en-US"/>
        </w:rPr>
        <w:t xml:space="preserve">, </w:t>
      </w:r>
      <w:r>
        <w:rPr>
          <w:rtl w:val="0"/>
          <w:lang w:val="en-US"/>
        </w:rPr>
        <w:t xml:space="preserve">peak sanctuaries, </w:t>
      </w:r>
      <w:r>
        <w:rPr>
          <w:rtl w:val="0"/>
          <w:lang w:val="en-US"/>
        </w:rPr>
        <w:t>such as Mount Juktas overlooking Knossos,</w:t>
      </w:r>
      <w:r>
        <w:rPr>
          <w:rtl w:val="0"/>
          <w:lang w:val="en-US"/>
        </w:rPr>
        <w:t xml:space="preserve"> </w:t>
      </w:r>
      <w:r>
        <w:rPr>
          <w:rtl w:val="0"/>
          <w:lang w:val="en-US"/>
        </w:rPr>
        <w:t xml:space="preserve">provide a flat horizon profile </w:t>
      </w:r>
      <w:r>
        <w:rPr>
          <w:rtl w:val="0"/>
          <w:lang w:val="en-US"/>
        </w:rPr>
        <w:t>which</w:t>
      </w:r>
      <w:r>
        <w:rPr>
          <w:rtl w:val="0"/>
          <w:lang w:val="en-US"/>
        </w:rPr>
        <w:t xml:space="preserve"> mimics the </w:t>
      </w:r>
      <w:r>
        <w:rPr>
          <w:rtl w:val="0"/>
          <w:lang w:val="en-US"/>
        </w:rPr>
        <w:t>ocean</w:t>
      </w:r>
      <w:r>
        <w:rPr>
          <w:rtl w:val="0"/>
          <w:lang w:val="en-US"/>
        </w:rPr>
        <w:t>’</w:t>
      </w:r>
      <w:r>
        <w:rPr>
          <w:rtl w:val="0"/>
          <w:lang w:val="en-US"/>
        </w:rPr>
        <w:t>s</w:t>
      </w:r>
      <w:r>
        <w:rPr>
          <w:rtl w:val="0"/>
          <w:lang w:val="en-US"/>
        </w:rPr>
        <w:t xml:space="preserve"> expansiveness, </w:t>
      </w:r>
      <w:r>
        <w:rPr>
          <w:rtl w:val="0"/>
          <w:lang w:val="en-US"/>
        </w:rPr>
        <w:t>conditioning</w:t>
      </w:r>
      <w:r>
        <w:rPr>
          <w:rtl w:val="0"/>
          <w:lang w:val="en-US"/>
        </w:rPr>
        <w:t xml:space="preserve"> a </w:t>
      </w:r>
      <w:r>
        <w:rPr>
          <w:rtl w:val="0"/>
          <w:lang w:val="en-US"/>
        </w:rPr>
        <w:t>opportune circumstance</w:t>
      </w:r>
      <w:r>
        <w:rPr>
          <w:rtl w:val="0"/>
          <w:lang w:val="en-US"/>
        </w:rPr>
        <w:t xml:space="preserve"> for would-be celestial navigators to </w:t>
      </w:r>
      <w:r>
        <w:rPr>
          <w:rtl w:val="0"/>
          <w:lang w:val="en-US"/>
        </w:rPr>
        <w:t>contemplate</w:t>
      </w:r>
      <w:r>
        <w:rPr>
          <w:rtl w:val="0"/>
          <w:lang w:val="en-US"/>
        </w:rPr>
        <w:t xml:space="preserve"> and learn the stars during night</w:t>
      </w:r>
      <w:r>
        <w:rPr>
          <w:rtl w:val="0"/>
          <w:lang w:val="en-US"/>
        </w:rPr>
        <w:t>-</w:t>
      </w:r>
      <w:r>
        <w:rPr>
          <w:rtl w:val="0"/>
          <w:lang w:val="en-US"/>
        </w:rPr>
        <w:t>time rituals.</w:t>
      </w:r>
      <w:r>
        <w:rPr>
          <w:rtl w:val="0"/>
          <w:lang w:val="en-US"/>
        </w:rPr>
        <w:t xml:space="preserve"> However, Blomberg and Henriksson do not make an unambiguous connection between celestial navigation and the Minoan palace orientations.</w:t>
      </w:r>
    </w:p>
    <w:p>
      <w:pPr>
        <w:pStyle w:val="Post QUOTE"/>
      </w:pPr>
    </w:p>
    <w:p>
      <w:pPr>
        <w:pStyle w:val="Heading Reg"/>
      </w:pPr>
      <w:bookmarkStart w:name="_Toc10" w:id="10"/>
      <w:r>
        <w:rPr>
          <w:rFonts w:cs="Arial Unicode MS" w:eastAsia="Arial Unicode MS"/>
          <w:rtl w:val="0"/>
          <w:lang w:val="en-US"/>
        </w:rPr>
        <w:t>Summary</w:t>
      </w:r>
      <w:bookmarkEnd w:id="10"/>
    </w:p>
    <w:p>
      <w:pPr>
        <w:pStyle w:val="Heading Reg"/>
      </w:pPr>
    </w:p>
    <w:p>
      <w:pPr>
        <w:pStyle w:val="Body A"/>
      </w:pPr>
      <w:r>
        <w:rPr>
          <w:rtl w:val="0"/>
        </w:rPr>
        <w:t xml:space="preserve">The defining feature of Minoan palaces was the central courtyard, whose reasons for orientations are still debated. While </w:t>
      </w:r>
      <w:r>
        <w:rPr>
          <w:rtl w:val="0"/>
        </w:rPr>
        <w:t>Belknap</w:t>
      </w:r>
      <w:r>
        <w:rPr>
          <w:rtl w:val="0"/>
        </w:rPr>
        <w:t xml:space="preserve"> proposed that they pointed toward </w:t>
      </w:r>
      <w:r>
        <w:rPr>
          <w:rtl w:val="0"/>
        </w:rPr>
        <w:t>the coast of North Africa</w:t>
      </w:r>
      <w:r>
        <w:rPr>
          <w:rtl w:val="0"/>
        </w:rPr>
        <w:t>, Shaw insists this presumes the Minoans could make such calculations and were aware of these distant localities.</w:t>
      </w:r>
      <w:r>
        <w:rPr>
          <w:rFonts w:ascii="Times New Roman" w:cs="Times New Roman" w:hAnsi="Times New Roman" w:eastAsia="Times New Roman"/>
          <w:b w:val="0"/>
          <w:bCs w:val="0"/>
          <w:i w:val="0"/>
          <w:iCs w:val="0"/>
          <w:vertAlign w:val="superscript"/>
        </w:rPr>
        <w:footnoteReference w:id="37"/>
      </w:r>
      <w:r>
        <w:rPr>
          <w:rtl w:val="0"/>
        </w:rPr>
        <w:t xml:space="preserve"> Doxtater believes the palaces were laid out in geometrical relation to each other and to sacred caves around the island.</w:t>
      </w:r>
      <w:r>
        <w:rPr>
          <w:rFonts w:ascii="Times New Roman" w:cs="Times New Roman" w:hAnsi="Times New Roman" w:eastAsia="Times New Roman"/>
          <w:b w:val="0"/>
          <w:bCs w:val="0"/>
          <w:i w:val="0"/>
          <w:iCs w:val="0"/>
          <w:vertAlign w:val="superscript"/>
        </w:rPr>
        <w:footnoteReference w:id="38"/>
      </w:r>
      <w:r>
        <w:rPr>
          <w:rtl w:val="0"/>
        </w:rPr>
        <w:t xml:space="preserve"> Blomberg and Henriksson surveyed the peak sanctuary orientations and conclude that some mountain temples may have been associated with navigational stars.</w:t>
      </w:r>
      <w:r>
        <w:rPr>
          <w:rFonts w:ascii="Times New Roman" w:cs="Times New Roman" w:hAnsi="Times New Roman" w:eastAsia="Times New Roman"/>
          <w:b w:val="0"/>
          <w:bCs w:val="0"/>
          <w:i w:val="0"/>
          <w:iCs w:val="0"/>
          <w:vertAlign w:val="superscript"/>
        </w:rPr>
        <w:footnoteReference w:id="39"/>
      </w:r>
      <w:r>
        <w:rPr>
          <w:rFonts w:ascii="Arial Unicode MS" w:cs="Arial Unicode MS" w:hAnsi="Arial Unicode MS" w:eastAsia="Arial Unicode MS"/>
          <w:b w:val="0"/>
          <w:bCs w:val="0"/>
          <w:i w:val="0"/>
          <w:iCs w:val="0"/>
        </w:rPr>
        <w:br w:type="page"/>
      </w:r>
    </w:p>
    <w:p>
      <w:pPr>
        <w:pStyle w:val="Heading"/>
        <w:bidi w:val="0"/>
      </w:pPr>
      <w:bookmarkStart w:name="_Toc11" w:id="11"/>
      <w:r>
        <w:rPr>
          <w:rFonts w:cs="Arial Unicode MS" w:eastAsia="Arial Unicode MS"/>
          <w:rtl w:val="0"/>
        </w:rPr>
        <w:t>Minoan Maritime Trade</w:t>
      </w:r>
      <w:bookmarkEnd w:id="11"/>
    </w:p>
    <w:p>
      <w:pPr>
        <w:pStyle w:val="Body A"/>
      </w:pPr>
    </w:p>
    <w:p>
      <w:pPr>
        <w:pStyle w:val="Body A"/>
      </w:pPr>
      <w:r>
        <w:rPr>
          <w:rtl w:val="0"/>
        </w:rPr>
        <w:t xml:space="preserve">At the </w:t>
      </w:r>
      <w:r>
        <w:rPr>
          <w:rtl w:val="0"/>
        </w:rPr>
        <w:t>crux</w:t>
      </w:r>
      <w:r>
        <w:rPr>
          <w:rtl w:val="0"/>
        </w:rPr>
        <w:t xml:space="preserve"> of Minoan culture was its dependence on navigation and international trade. </w:t>
      </w:r>
      <w:r>
        <w:rPr>
          <w:rtl w:val="0"/>
        </w:rPr>
        <w:t xml:space="preserve">As Chryssolouaki writes, </w:t>
      </w:r>
      <w:r>
        <w:rPr>
          <w:rtl w:val="0"/>
        </w:rPr>
        <w:t>‘</w:t>
      </w:r>
      <w:r>
        <w:rPr>
          <w:rtl w:val="0"/>
        </w:rPr>
        <w:t>The island</w:t>
      </w:r>
      <w:r>
        <w:rPr>
          <w:rtl w:val="0"/>
        </w:rPr>
        <w:t>’</w:t>
      </w:r>
      <w:r>
        <w:rPr>
          <w:rtl w:val="0"/>
        </w:rPr>
        <w:t>s geopolitical location gave it the opportunity to participate in a kaleidoscope of local cultures, a laboratory of civili</w:t>
      </w:r>
      <w:r>
        <w:rPr>
          <w:rtl w:val="0"/>
        </w:rPr>
        <w:t>s</w:t>
      </w:r>
      <w:r>
        <w:rPr>
          <w:rtl w:val="0"/>
          <w:lang w:val="fr-FR"/>
        </w:rPr>
        <w:t>ations</w:t>
      </w:r>
      <w:r>
        <w:rPr>
          <w:rtl w:val="1"/>
        </w:rPr>
        <w:t>’</w:t>
      </w:r>
      <w:r>
        <w:rPr>
          <w:rtl w:val="0"/>
        </w:rPr>
        <w:t>.</w:t>
      </w:r>
      <w:r>
        <w:rPr>
          <w:rFonts w:ascii="Times New Roman" w:cs="Times New Roman" w:hAnsi="Times New Roman" w:eastAsia="Times New Roman"/>
          <w:b w:val="0"/>
          <w:bCs w:val="0"/>
          <w:i w:val="0"/>
          <w:iCs w:val="0"/>
          <w:vertAlign w:val="superscript"/>
        </w:rPr>
        <w:footnoteReference w:id="40"/>
      </w:r>
      <w:r>
        <w:rPr>
          <w:rtl w:val="0"/>
        </w:rPr>
        <w:t xml:space="preserve"> Crete was at a safe distance from the coast of three continents while being at the crossroads of sea routes between the Hellespont, Asia Minor, the Levant, and the Nile Delta.</w:t>
      </w:r>
      <w:r>
        <w:rPr>
          <w:rFonts w:ascii="Times New Roman" w:cs="Times New Roman" w:hAnsi="Times New Roman" w:eastAsia="Times New Roman"/>
          <w:b w:val="0"/>
          <w:bCs w:val="0"/>
          <w:i w:val="0"/>
          <w:iCs w:val="0"/>
          <w:vertAlign w:val="superscript"/>
        </w:rPr>
        <w:footnoteReference w:id="41"/>
      </w:r>
      <w:r>
        <w:rPr>
          <w:rtl w:val="0"/>
        </w:rPr>
        <w:t xml:space="preserve"> </w:t>
      </w:r>
      <w:r>
        <w:rPr>
          <w:rtl w:val="0"/>
        </w:rPr>
        <w:t xml:space="preserve">Maritime navigation </w:t>
      </w:r>
      <w:r>
        <w:rPr>
          <w:rtl w:val="0"/>
        </w:rPr>
        <w:t>has prehistoric</w:t>
      </w:r>
      <w:r>
        <w:rPr>
          <w:rtl w:val="0"/>
        </w:rPr>
        <w:t xml:space="preserve"> </w:t>
      </w:r>
      <w:r>
        <w:rPr>
          <w:rtl w:val="0"/>
        </w:rPr>
        <w:t>origins</w:t>
      </w:r>
      <w:r>
        <w:rPr>
          <w:rtl w:val="0"/>
        </w:rPr>
        <w:t xml:space="preserve"> in the </w:t>
      </w:r>
      <w:r>
        <w:rPr>
          <w:rtl w:val="0"/>
        </w:rPr>
        <w:t>I</w:t>
      </w:r>
      <w:r>
        <w:rPr>
          <w:rtl w:val="0"/>
        </w:rPr>
        <w:t xml:space="preserve">sland of Crete. </w:t>
      </w:r>
      <w:r>
        <w:rPr>
          <w:rtl w:val="0"/>
        </w:rPr>
        <w:t>Around</w:t>
      </w:r>
      <w:r>
        <w:rPr>
          <w:rtl w:val="0"/>
          <w:lang w:val="pt-PT"/>
        </w:rPr>
        <w:t xml:space="preserve"> 130,000 years ago, geologically dated </w:t>
      </w:r>
      <w:r>
        <w:rPr>
          <w:rtl w:val="0"/>
        </w:rPr>
        <w:t>Palaeolithic</w:t>
      </w:r>
      <w:r>
        <w:rPr>
          <w:rtl w:val="0"/>
          <w:lang w:val="pt-PT"/>
        </w:rPr>
        <w:t xml:space="preserve"> </w:t>
      </w:r>
      <w:r>
        <w:rPr>
          <w:rtl w:val="0"/>
        </w:rPr>
        <w:t>artefacts</w:t>
      </w:r>
      <w:r>
        <w:rPr>
          <w:rtl w:val="0"/>
          <w:lang w:val="pt-PT"/>
        </w:rPr>
        <w:t xml:space="preserve"> found in Crete </w:t>
      </w:r>
      <w:r>
        <w:rPr>
          <w:rtl w:val="0"/>
        </w:rPr>
        <w:t>suggest</w:t>
      </w:r>
      <w:r>
        <w:rPr>
          <w:rtl w:val="0"/>
          <w:lang w:val="pt-PT"/>
        </w:rPr>
        <w:t xml:space="preserve"> 15-20</w:t>
      </w:r>
      <w:r>
        <w:rPr>
          <w:rtl w:val="0"/>
        </w:rPr>
        <w:t xml:space="preserve"> kilometre</w:t>
      </w:r>
      <w:r>
        <w:rPr>
          <w:rtl w:val="0"/>
          <w:lang w:val="pt-PT"/>
        </w:rPr>
        <w:t xml:space="preserve"> sea crossing</w:t>
      </w:r>
      <w:r>
        <w:rPr>
          <w:rtl w:val="0"/>
        </w:rPr>
        <w:t>s</w:t>
      </w:r>
      <w:r>
        <w:rPr>
          <w:rtl w:val="0"/>
          <w:lang w:val="pt-PT"/>
        </w:rPr>
        <w:t xml:space="preserve"> </w:t>
      </w:r>
      <w:r>
        <w:rPr>
          <w:rtl w:val="0"/>
        </w:rPr>
        <w:t>occurred in</w:t>
      </w:r>
      <w:r>
        <w:rPr>
          <w:rtl w:val="0"/>
          <w:lang w:val="pt-PT"/>
        </w:rPr>
        <w:t xml:space="preserve"> the Mediterranean.</w:t>
      </w:r>
      <w:r>
        <w:rPr>
          <w:rFonts w:ascii="Times New Roman" w:cs="Times New Roman" w:hAnsi="Times New Roman" w:eastAsia="Times New Roman"/>
          <w:b w:val="0"/>
          <w:bCs w:val="0"/>
          <w:i w:val="0"/>
          <w:iCs w:val="0"/>
          <w:vertAlign w:val="superscript"/>
        </w:rPr>
        <w:footnoteReference w:id="42"/>
      </w:r>
      <w:r>
        <w:rPr>
          <w:rtl w:val="0"/>
          <w:lang w:val="pt-PT"/>
        </w:rPr>
        <w:t xml:space="preserve"> </w:t>
      </w:r>
      <w:r>
        <w:rPr>
          <w:rtl w:val="0"/>
        </w:rPr>
        <w:t>Bro</w:t>
      </w:r>
      <w:r>
        <w:rPr>
          <w:rtl w:val="0"/>
        </w:rPr>
        <w:t>odbank</w:t>
      </w:r>
      <w:r>
        <w:rPr>
          <w:rtl w:val="0"/>
        </w:rPr>
        <w:t xml:space="preserve"> and Strasser</w:t>
      </w:r>
      <w:r>
        <w:rPr>
          <w:rtl w:val="0"/>
        </w:rPr>
        <w:t xml:space="preserve"> argue that Crete itself was colonised between the 8</w:t>
      </w:r>
      <w:r>
        <w:rPr>
          <w:vertAlign w:val="superscript"/>
          <w:rtl w:val="0"/>
          <w:lang w:val="en-US"/>
        </w:rPr>
        <w:t>th</w:t>
      </w:r>
      <w:r>
        <w:rPr>
          <w:rtl w:val="0"/>
        </w:rPr>
        <w:t xml:space="preserve"> to 7</w:t>
      </w:r>
      <w:r>
        <w:rPr>
          <w:vertAlign w:val="superscript"/>
          <w:rtl w:val="0"/>
          <w:lang w:val="en-US"/>
        </w:rPr>
        <w:t>th</w:t>
      </w:r>
      <w:r>
        <w:rPr>
          <w:rtl w:val="0"/>
        </w:rPr>
        <w:t xml:space="preserve"> millennium </w:t>
      </w:r>
      <w:r>
        <w:rPr>
          <w:smallCaps w:val="1"/>
          <w:rtl w:val="0"/>
          <w:lang w:val="en-US"/>
        </w:rPr>
        <w:t>bce</w:t>
      </w:r>
      <w:r>
        <w:rPr>
          <w:rtl w:val="0"/>
        </w:rPr>
        <w:t xml:space="preserve"> as a seaborne migration from Anatolia, to establish farming communities.</w:t>
      </w:r>
      <w:r>
        <w:rPr>
          <w:rFonts w:ascii="Times New Roman" w:cs="Times New Roman" w:hAnsi="Times New Roman" w:eastAsia="Times New Roman"/>
          <w:b w:val="0"/>
          <w:bCs w:val="0"/>
          <w:i w:val="0"/>
          <w:iCs w:val="0"/>
          <w:vertAlign w:val="superscript"/>
        </w:rPr>
        <w:footnoteReference w:id="43"/>
      </w:r>
      <w:r>
        <w:rPr>
          <w:rtl w:val="0"/>
        </w:rPr>
        <w:t xml:space="preserve"> </w:t>
      </w:r>
      <w:r>
        <w:rPr>
          <w:rtl w:val="0"/>
          <w:lang w:val="pt-PT"/>
        </w:rPr>
        <w:t xml:space="preserve">There is evidence of </w:t>
      </w:r>
      <w:r>
        <w:rPr>
          <w:rtl w:val="0"/>
        </w:rPr>
        <w:t>15</w:t>
      </w:r>
      <w:r>
        <w:rPr>
          <w:rtl w:val="0"/>
        </w:rPr>
        <w:t>–</w:t>
      </w:r>
      <w:r>
        <w:rPr>
          <w:rtl w:val="0"/>
        </w:rPr>
        <w:t>20 km open sea journeys</w:t>
      </w:r>
      <w:r>
        <w:rPr>
          <w:rtl w:val="0"/>
          <w:lang w:val="pt-PT"/>
        </w:rPr>
        <w:t xml:space="preserve"> </w:t>
      </w:r>
      <w:r>
        <w:rPr>
          <w:rtl w:val="0"/>
        </w:rPr>
        <w:t>to pre-Neolithic</w:t>
      </w:r>
      <w:r>
        <w:rPr>
          <w:rtl w:val="0"/>
          <w:lang w:val="it-IT"/>
        </w:rPr>
        <w:t xml:space="preserve"> Crete</w:t>
      </w:r>
      <w:r>
        <w:rPr>
          <w:rtl w:val="0"/>
        </w:rPr>
        <w:t xml:space="preserve"> around</w:t>
      </w:r>
      <w:r>
        <w:rPr>
          <w:rtl w:val="0"/>
          <w:lang w:val="pt-PT"/>
        </w:rPr>
        <w:t xml:space="preserve"> 15,000 years ago.</w:t>
      </w:r>
      <w:r>
        <w:rPr>
          <w:rFonts w:ascii="Times New Roman" w:cs="Times New Roman" w:hAnsi="Times New Roman" w:eastAsia="Times New Roman"/>
          <w:b w:val="0"/>
          <w:bCs w:val="0"/>
          <w:i w:val="0"/>
          <w:iCs w:val="0"/>
          <w:vertAlign w:val="superscript"/>
        </w:rPr>
        <w:footnoteReference w:id="44"/>
      </w:r>
      <w:r>
        <w:rPr>
          <w:rtl w:val="0"/>
        </w:rPr>
        <w:t xml:space="preserve"> P</w:t>
      </w:r>
      <w:r>
        <w:rPr>
          <w:rtl w:val="0"/>
          <w:lang w:val="pt-PT"/>
        </w:rPr>
        <w:t xml:space="preserve">ieces of </w:t>
      </w:r>
      <w:r>
        <w:rPr>
          <w:rtl w:val="0"/>
        </w:rPr>
        <w:t>o</w:t>
      </w:r>
      <w:r>
        <w:rPr>
          <w:rtl w:val="0"/>
          <w:lang w:val="pt-PT"/>
        </w:rPr>
        <w:t xml:space="preserve">bsidian </w:t>
      </w:r>
      <w:r>
        <w:rPr>
          <w:rtl w:val="0"/>
        </w:rPr>
        <w:t xml:space="preserve">originating </w:t>
      </w:r>
      <w:r>
        <w:rPr>
          <w:rtl w:val="0"/>
          <w:lang w:val="pt-PT"/>
        </w:rPr>
        <w:t xml:space="preserve">from </w:t>
      </w:r>
      <w:r>
        <w:rPr>
          <w:rtl w:val="0"/>
        </w:rPr>
        <w:t>Melos, in the</w:t>
      </w:r>
      <w:r>
        <w:rPr>
          <w:rtl w:val="0"/>
          <w:lang w:val="pt-PT"/>
        </w:rPr>
        <w:t xml:space="preserve"> Cyclades, </w:t>
      </w:r>
      <w:r>
        <w:rPr>
          <w:rtl w:val="0"/>
        </w:rPr>
        <w:t xml:space="preserve">were </w:t>
      </w:r>
      <w:r>
        <w:rPr>
          <w:rtl w:val="0"/>
          <w:lang w:val="pt-PT"/>
        </w:rPr>
        <w:t xml:space="preserve">found in the </w:t>
      </w:r>
      <w:r>
        <w:rPr>
          <w:rtl w:val="0"/>
        </w:rPr>
        <w:t>Franchthi cave in the Argolid</w:t>
      </w:r>
      <w:r>
        <w:rPr>
          <w:rtl w:val="0"/>
          <w:lang w:val="pt-PT"/>
        </w:rPr>
        <w:t>, sugges</w:t>
      </w:r>
      <w:r>
        <w:rPr>
          <w:rtl w:val="0"/>
        </w:rPr>
        <w:t>ting maritime activity in the region</w:t>
      </w:r>
      <w:r>
        <w:rPr>
          <w:rtl w:val="0"/>
          <w:lang w:val="pt-PT"/>
        </w:rPr>
        <w:t xml:space="preserve"> dating to 11,000 years ago</w:t>
      </w:r>
      <w:r>
        <w:rPr>
          <w:rtl w:val="0"/>
        </w:rPr>
        <w:t xml:space="preserve"> (Fig. 6)</w:t>
      </w:r>
      <w:r>
        <w:rPr>
          <w:rtl w:val="0"/>
          <w:lang w:val="pt-PT"/>
        </w:rPr>
        <w:t>.</w:t>
      </w:r>
      <w:r>
        <w:rPr>
          <w:rFonts w:ascii="Times New Roman" w:cs="Times New Roman" w:hAnsi="Times New Roman" w:eastAsia="Times New Roman"/>
          <w:b w:val="0"/>
          <w:bCs w:val="0"/>
          <w:i w:val="0"/>
          <w:iCs w:val="0"/>
          <w:vertAlign w:val="superscript"/>
        </w:rPr>
        <w:footnoteReference w:id="45"/>
      </w:r>
    </w:p>
    <w:p>
      <w:pPr>
        <w:pStyle w:val="Body A"/>
      </w:pPr>
      <w:r>
        <w:rPr>
          <w:rtl w:val="0"/>
        </w:rPr>
        <w:t>Lionel Casson argues that the Minoan dominant navy and merchant marine may be deduced by the absence of fortifications on harbour cities and the extensive archaeological record of Minoan trade found throughout the Mediterranean.</w:t>
      </w:r>
      <w:r>
        <w:rPr>
          <w:rFonts w:ascii="Times New Roman" w:cs="Times New Roman" w:hAnsi="Times New Roman" w:eastAsia="Times New Roman"/>
          <w:b w:val="0"/>
          <w:bCs w:val="0"/>
          <w:i w:val="0"/>
          <w:iCs w:val="0"/>
          <w:vertAlign w:val="superscript"/>
        </w:rPr>
        <w:footnoteReference w:id="46"/>
      </w:r>
      <w:r>
        <w:rPr>
          <w:rtl w:val="0"/>
        </w:rPr>
        <w:t xml:space="preserve"> In his </w:t>
      </w:r>
      <w:r>
        <w:rPr>
          <w:i w:val="1"/>
          <w:iCs w:val="1"/>
          <w:rtl w:val="0"/>
          <w:lang w:val="en-US"/>
        </w:rPr>
        <w:t>History of the Peloponnesian War</w:t>
      </w:r>
      <w:r>
        <w:rPr>
          <w:rtl w:val="0"/>
        </w:rPr>
        <w:t xml:space="preserve">, Thucydides famously describes a Minoan thalassocracy: </w:t>
      </w:r>
    </w:p>
    <w:p>
      <w:pPr>
        <w:pStyle w:val="Body A"/>
      </w:pPr>
    </w:p>
    <w:p>
      <w:pPr>
        <w:pStyle w:val="Quote"/>
        <w:ind w:left="720"/>
      </w:pPr>
      <w:r>
        <w:rPr>
          <w:rFonts w:cs="Arial Unicode MS" w:eastAsia="Arial Unicode MS"/>
          <w:rtl w:val="0"/>
          <w:lang w:val="en-US"/>
        </w:rPr>
        <w:t>Minos is the first to whom tradition ascribes the possession of a navy. He made himself master of a great part of what is now termed the Hellenic sea; he conquered the Cyclades, and was the first coloniser of most of them, expelling the Carians and appointing his own sons to govern in them. Lastly, it was he who, from a natural desire to protect his growing revenues, sought, as far as he was able, to clear the sea of pirates.</w:t>
      </w:r>
      <w:r>
        <w:rPr>
          <w:rFonts w:ascii="Times New Roman" w:cs="Times New Roman" w:hAnsi="Times New Roman" w:eastAsia="Times New Roman"/>
          <w:b w:val="0"/>
          <w:bCs w:val="0"/>
          <w:i w:val="0"/>
          <w:iCs w:val="0"/>
          <w:vertAlign w:val="superscript"/>
        </w:rPr>
        <w:footnoteReference w:id="47"/>
      </w:r>
    </w:p>
    <w:p>
      <w:pPr>
        <w:pStyle w:val="Body A"/>
      </w:pPr>
    </w:p>
    <w:p>
      <w:pPr>
        <w:pStyle w:val="Post QUOTE"/>
        <w:rPr>
          <w:outline w:val="0"/>
          <w:color w:val="000000"/>
          <w:sz w:val="24"/>
          <w:szCs w:val="24"/>
          <w14:textFill>
            <w14:solidFill>
              <w14:srgbClr w14:val="000000"/>
            </w14:solidFill>
          </w14:textFill>
        </w:rPr>
      </w:pPr>
      <w:r>
        <w:rPr>
          <w:rtl w:val="0"/>
          <w:lang w:val="fr-FR"/>
        </w:rPr>
        <w:t xml:space="preserve">Claude Baurain </w:t>
      </w:r>
      <w:r>
        <w:rPr>
          <w:rtl w:val="0"/>
        </w:rPr>
        <w:t xml:space="preserve">questions </w:t>
      </w:r>
      <w:r>
        <w:rPr>
          <w:rtl w:val="0"/>
        </w:rPr>
        <w:t>Thucydides</w:t>
      </w:r>
      <w:r>
        <w:rPr>
          <w:rtl w:val="1"/>
        </w:rPr>
        <w:t xml:space="preserve">’ </w:t>
      </w:r>
      <w:r>
        <w:rPr>
          <w:rtl w:val="0"/>
        </w:rPr>
        <w:t xml:space="preserve">claim of a Minoan maritime empire </w:t>
      </w:r>
      <w:r>
        <w:rPr>
          <w:rtl w:val="0"/>
        </w:rPr>
        <w:t>by contextualising it within the naval imperialism of a democratic Athens.</w:t>
      </w:r>
      <w:r>
        <w:rPr>
          <w:rFonts w:ascii="Times New Roman" w:cs="Times New Roman" w:hAnsi="Times New Roman" w:eastAsia="Times New Roman"/>
          <w:b w:val="0"/>
          <w:bCs w:val="0"/>
          <w:i w:val="0"/>
          <w:iCs w:val="0"/>
          <w:vertAlign w:val="superscript"/>
        </w:rPr>
        <w:footnoteReference w:id="48"/>
      </w:r>
      <w:r>
        <w:rPr>
          <w:rtl w:val="0"/>
        </w:rPr>
        <w:t xml:space="preserve"> However, the notion of a naval superpower finds support in the phenomenon described as the </w:t>
      </w:r>
      <w:r>
        <w:rPr>
          <w:rtl w:val="0"/>
        </w:rPr>
        <w:t>‘</w:t>
      </w:r>
      <w:r>
        <w:rPr>
          <w:rtl w:val="0"/>
        </w:rPr>
        <w:t>Minoan Explosion</w:t>
      </w:r>
      <w:r>
        <w:rPr>
          <w:rtl w:val="0"/>
        </w:rPr>
        <w:t>’</w:t>
      </w:r>
      <w:r>
        <w:rPr>
          <w:rtl w:val="0"/>
        </w:rPr>
        <w:t>.</w:t>
      </w:r>
      <w:r>
        <w:rPr>
          <w:rFonts w:ascii="Times New Roman" w:cs="Times New Roman" w:hAnsi="Times New Roman" w:eastAsia="Times New Roman"/>
          <w:b w:val="0"/>
          <w:bCs w:val="0"/>
          <w:i w:val="0"/>
          <w:iCs w:val="0"/>
          <w:vertAlign w:val="superscript"/>
        </w:rPr>
        <w:footnoteReference w:id="49"/>
      </w:r>
      <w:r>
        <w:rPr>
          <w:rtl w:val="0"/>
        </w:rPr>
        <w:t xml:space="preserve"> </w:t>
      </w:r>
      <w:r>
        <w:rPr>
          <w:outline w:val="0"/>
          <w:color w:val="000000"/>
          <w:sz w:val="24"/>
          <w:szCs w:val="24"/>
          <w:rtl w:val="0"/>
          <w:lang w:val="en-US"/>
          <w14:textFill>
            <w14:solidFill>
              <w14:srgbClr w14:val="000000"/>
            </w14:solidFill>
          </w14:textFill>
        </w:rPr>
        <w:t xml:space="preserve">In addition, </w:t>
      </w:r>
      <w:r>
        <w:rPr>
          <w:rtl w:val="0"/>
        </w:rPr>
        <w:t>the island</w:t>
      </w:r>
      <w:r>
        <w:rPr>
          <w:rtl w:val="0"/>
        </w:rPr>
        <w:t>’</w:t>
      </w:r>
      <w:r>
        <w:rPr>
          <w:rtl w:val="0"/>
        </w:rPr>
        <w:t>s centrality may have been spurred by its active participation in the economic and cultural burgeoning of the Bronze Age, while being an impetus for the internal development of the palace system.</w:t>
      </w:r>
      <w:r>
        <w:rPr>
          <w:rFonts w:ascii="Times New Roman" w:cs="Times New Roman" w:hAnsi="Times New Roman" w:eastAsia="Times New Roman"/>
          <w:b w:val="0"/>
          <w:bCs w:val="0"/>
          <w:i w:val="0"/>
          <w:iCs w:val="0"/>
          <w:vertAlign w:val="superscript"/>
        </w:rPr>
        <w:footnoteReference w:id="50"/>
      </w:r>
    </w:p>
    <w:p>
      <w:pPr>
        <w:pStyle w:val="Body A"/>
      </w:pPr>
      <w:r>
        <w:rPr>
          <w:outline w:val="0"/>
          <w:color w:val="000000"/>
          <w:sz w:val="24"/>
          <w:szCs w:val="24"/>
          <w:rtl w:val="0"/>
          <w:lang w:val="en-US"/>
          <w14:textFill>
            <w14:solidFill>
              <w14:srgbClr w14:val="000000"/>
            </w14:solidFill>
          </w14:textFill>
        </w:rPr>
        <w:t xml:space="preserve">Thomas Tartaron coalesces the view that </w:t>
      </w:r>
      <w:r>
        <w:rPr>
          <w:rtl w:val="0"/>
        </w:rPr>
        <w:t xml:space="preserve">Minoans and Mycenaeans may have participated in bilateral maritime exchange cycles with the Eastern Mediterranean, unlike previous conceptions of </w:t>
      </w:r>
      <w:r>
        <w:rPr>
          <w:i w:val="1"/>
          <w:iCs w:val="1"/>
          <w:rtl w:val="0"/>
          <w:lang w:val="en-US"/>
        </w:rPr>
        <w:t>ex oriente lux</w:t>
      </w:r>
      <w:r>
        <w:rPr>
          <w:rtl w:val="0"/>
        </w:rPr>
        <w:t>, which proposed a unilateral influence from an advanced Near East to a barbaric Europe.</w:t>
      </w:r>
      <w:r>
        <w:rPr>
          <w:rFonts w:ascii="Times New Roman" w:cs="Times New Roman" w:hAnsi="Times New Roman" w:eastAsia="Times New Roman"/>
          <w:b w:val="0"/>
          <w:bCs w:val="0"/>
          <w:i w:val="0"/>
          <w:iCs w:val="0"/>
          <w:vertAlign w:val="superscript"/>
        </w:rPr>
        <w:footnoteReference w:id="51"/>
      </w:r>
      <w:r>
        <w:rPr>
          <w:rtl w:val="0"/>
        </w:rPr>
        <w:t xml:space="preserve"> Mediterranean Bronze Age trade was a multicultural and international affair with a </w:t>
      </w:r>
      <w:r>
        <w:rPr>
          <w:rtl w:val="0"/>
        </w:rPr>
        <w:t>‘</w:t>
      </w:r>
      <w:r>
        <w:rPr>
          <w:rtl w:val="0"/>
        </w:rPr>
        <w:t>wide variety of people, of varying nationalities</w:t>
      </w:r>
      <w:r>
        <w:rPr>
          <w:rtl w:val="0"/>
        </w:rPr>
        <w:t xml:space="preserve">’ </w:t>
      </w:r>
      <w:r>
        <w:rPr>
          <w:rtl w:val="0"/>
        </w:rPr>
        <w:t xml:space="preserve">spurred by long-distance voyages made by </w:t>
      </w:r>
      <w:r>
        <w:rPr>
          <w:rtl w:val="0"/>
          <w:lang w:val="it-IT"/>
        </w:rPr>
        <w:t>speciali</w:t>
      </w:r>
      <w:r>
        <w:rPr>
          <w:rtl w:val="0"/>
        </w:rPr>
        <w:t>s</w:t>
      </w:r>
      <w:r>
        <w:rPr>
          <w:rtl w:val="0"/>
          <w:lang w:val="fr-FR"/>
        </w:rPr>
        <w:t>ed merchants</w:t>
      </w:r>
      <w:r>
        <w:rPr>
          <w:rtl w:val="0"/>
        </w:rPr>
        <w:t>.</w:t>
      </w:r>
      <w:r>
        <w:rPr>
          <w:rFonts w:ascii="Times New Roman" w:cs="Times New Roman" w:hAnsi="Times New Roman" w:eastAsia="Times New Roman"/>
          <w:b w:val="0"/>
          <w:bCs w:val="0"/>
          <w:i w:val="0"/>
          <w:iCs w:val="0"/>
          <w:vertAlign w:val="superscript"/>
        </w:rPr>
        <w:footnoteReference w:id="52"/>
      </w:r>
      <w:r>
        <w:rPr>
          <w:rtl w:val="0"/>
        </w:rPr>
        <w:t xml:space="preserve"> This is exemplified by the </w:t>
      </w:r>
      <w:r>
        <w:rPr>
          <w:rtl w:val="0"/>
        </w:rPr>
        <w:t xml:space="preserve">14th century </w:t>
      </w:r>
      <w:r>
        <w:rPr>
          <w:smallCaps w:val="1"/>
          <w:rtl w:val="0"/>
          <w:lang w:val="en-US"/>
        </w:rPr>
        <w:t>bce</w:t>
      </w:r>
      <w:r>
        <w:rPr>
          <w:rtl w:val="0"/>
        </w:rPr>
        <w:t xml:space="preserve"> Ulu Burun shipwreck off the coast of Southern Turkey. It likely counted with two Mycenaean envoys aboard and was destined to the Aegean or the Mycenaean heartland on a circular trade route around the Mediterranean (Fig. 3).</w:t>
      </w:r>
      <w:r>
        <w:rPr>
          <w:rFonts w:ascii="Times New Roman" w:cs="Times New Roman" w:hAnsi="Times New Roman" w:eastAsia="Times New Roman"/>
          <w:b w:val="0"/>
          <w:bCs w:val="0"/>
          <w:i w:val="0"/>
          <w:iCs w:val="0"/>
          <w:vertAlign w:val="superscript"/>
        </w:rPr>
        <w:footnoteReference w:id="53"/>
      </w:r>
      <w:r>
        <w:rPr>
          <w:rtl w:val="0"/>
        </w:rPr>
        <w:t xml:space="preserve"> The exceptional discovery included: </w:t>
      </w:r>
    </w:p>
    <w:p>
      <w:pPr>
        <w:pStyle w:val="Body A"/>
      </w:pPr>
    </w:p>
    <w:p>
      <w:pPr>
        <w:pStyle w:val="Quote"/>
        <w:ind w:left="720"/>
      </w:pPr>
      <w:r>
        <w:rPr>
          <w:rFonts w:cs="Arial Unicode MS" w:eastAsia="Arial Unicode MS"/>
          <w:rtl w:val="0"/>
          <w:lang w:val="en-US"/>
        </w:rPr>
        <w:t>[</w:t>
      </w:r>
      <w:r>
        <w:rPr>
          <w:rFonts w:cs="Arial Unicode MS" w:eastAsia="Arial Unicode MS" w:hint="default"/>
          <w:rtl w:val="0"/>
          <w:lang w:val="en-US"/>
        </w:rPr>
        <w:t>…</w:t>
      </w:r>
      <w:r>
        <w:rPr>
          <w:rFonts w:cs="Arial Unicode MS" w:eastAsia="Arial Unicode MS"/>
          <w:rtl w:val="0"/>
          <w:lang w:val="en-US"/>
        </w:rPr>
        <w:t>]</w:t>
      </w:r>
      <w:r>
        <w:rPr>
          <w:rFonts w:cs="Arial Unicode MS" w:eastAsia="Arial Unicode MS"/>
          <w:rtl w:val="0"/>
          <w:lang w:val="en-US"/>
        </w:rPr>
        <w:t>ox-hide-shaped copper ingots, tin ingots, glass ingots, pieces of ebony, an elephant tusk and hippopotamus tusks, Cypriote, Mycenaean and other pottery, faience beads, amber beads, a bronze weight, and individual luxury items, such as gold vessels, gold and silver jewelry, an ivory box, a bronze and gold figurine, seals, and amulets.</w:t>
      </w:r>
      <w:r>
        <w:rPr>
          <w:rFonts w:ascii="Times New Roman" w:cs="Times New Roman" w:hAnsi="Times New Roman" w:eastAsia="Times New Roman"/>
          <w:b w:val="0"/>
          <w:bCs w:val="0"/>
          <w:i w:val="0"/>
          <w:iCs w:val="0"/>
          <w:vertAlign w:val="superscript"/>
        </w:rPr>
        <w:footnoteReference w:id="54"/>
      </w:r>
      <w:r>
        <w:rPr>
          <w:rFonts w:cs="Arial Unicode MS" w:eastAsia="Arial Unicode MS"/>
          <w:rtl w:val="0"/>
          <w:lang w:val="en-US"/>
        </w:rPr>
        <w:t xml:space="preserve"> </w:t>
      </w:r>
    </w:p>
    <w:p>
      <w:pPr>
        <w:pStyle w:val="Body A"/>
      </w:pPr>
    </w:p>
    <w:p>
      <w:pPr>
        <w:pStyle w:val="Post QUOTE"/>
      </w:pPr>
      <w:r>
        <w:rPr>
          <w:rtl w:val="0"/>
        </w:rPr>
        <w:t xml:space="preserve">The objects aboard, from ten different ancient cultures, the primary of which were Cypriot and Canaanite, also included </w:t>
      </w:r>
      <w:r>
        <w:rPr>
          <w:rtl w:val="0"/>
        </w:rPr>
        <w:t>‘</w:t>
      </w:r>
      <w:r>
        <w:rPr>
          <w:rtl w:val="0"/>
        </w:rPr>
        <w:t>northern Europe to tropical Africa and from Sicily in the west to Mesopotamia in the east</w:t>
      </w:r>
      <w:r>
        <w:rPr>
          <w:rtl w:val="0"/>
        </w:rPr>
        <w:t>’</w:t>
      </w:r>
      <w:r>
        <w:rPr>
          <w:rtl w:val="0"/>
        </w:rPr>
        <w:t>.</w:t>
      </w:r>
      <w:r>
        <w:rPr>
          <w:rFonts w:ascii="Times New Roman" w:cs="Times New Roman" w:hAnsi="Times New Roman" w:eastAsia="Times New Roman"/>
          <w:b w:val="0"/>
          <w:bCs w:val="0"/>
          <w:i w:val="0"/>
          <w:iCs w:val="0"/>
          <w:vertAlign w:val="superscript"/>
        </w:rPr>
        <w:footnoteReference w:id="55"/>
      </w:r>
      <w:r>
        <w:rPr>
          <w:rtl w:val="0"/>
        </w:rPr>
        <w:t xml:space="preserve"> The evidence points to multi-cultural and prosperous trade routes within the Bronze Age Mediterranean.</w:t>
      </w:r>
    </w:p>
    <w:p>
      <w:pPr>
        <w:pStyle w:val="Post QUOTE"/>
        <w:rPr>
          <w:sz w:val="24"/>
          <w:szCs w:val="24"/>
        </w:rPr>
      </w:pPr>
    </w:p>
    <w:p>
      <w:pPr>
        <w:pStyle w:val="Image A"/>
        <w:rPr>
          <w:sz w:val="24"/>
          <w:szCs w:val="24"/>
        </w:rPr>
      </w:pPr>
      <w:r>
        <w:rPr>
          <w:sz w:val="24"/>
          <w:szCs w:val="24"/>
        </w:rPr>
        <w:drawing xmlns:a="http://schemas.openxmlformats.org/drawingml/2006/main">
          <wp:inline distT="0" distB="0" distL="0" distR="0">
            <wp:extent cx="4317972" cy="2268276"/>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rcRect l="0" t="0" r="0" b="0"/>
                    <a:stretch>
                      <a:fillRect/>
                    </a:stretch>
                  </pic:blipFill>
                  <pic:spPr>
                    <a:xfrm>
                      <a:off x="0" y="0"/>
                      <a:ext cx="4317972" cy="2268276"/>
                    </a:xfrm>
                    <a:prstGeom prst="rect">
                      <a:avLst/>
                    </a:prstGeom>
                    <a:ln w="12700" cap="flat">
                      <a:noFill/>
                      <a:miter lim="400000"/>
                    </a:ln>
                    <a:effectLst/>
                  </pic:spPr>
                </pic:pic>
              </a:graphicData>
            </a:graphic>
          </wp:inline>
        </w:drawing>
      </w:r>
    </w:p>
    <w:p>
      <w:pPr>
        <w:pStyle w:val="Image Caption"/>
      </w:pPr>
      <w:bookmarkStart w:name="_Toc12" w:id="12"/>
      <w:r>
        <w:rPr>
          <w:rFonts w:cs="Arial Unicode MS" w:eastAsia="Arial Unicode MS"/>
          <w:b w:val="1"/>
          <w:bCs w:val="1"/>
          <w:rtl w:val="0"/>
          <w:lang w:val="en-US"/>
        </w:rPr>
        <w:t>Fig. 3</w:t>
      </w:r>
      <w:r>
        <w:rPr>
          <w:rFonts w:cs="Arial Unicode MS" w:eastAsia="Arial Unicode MS"/>
          <w:rtl w:val="0"/>
        </w:rPr>
        <w:t xml:space="preserve"> Circular Bronze Age trade route around the Mediterranean. </w:t>
      </w:r>
      <w:r>
        <w:rPr>
          <w:rFonts w:cs="Arial Unicode MS" w:eastAsia="Arial Unicode MS"/>
          <w:rtl w:val="0"/>
        </w:rPr>
        <w:t xml:space="preserve">Hesse, </w:t>
      </w:r>
      <w:r>
        <w:rPr>
          <w:rFonts w:cs="Arial Unicode MS" w:eastAsia="Arial Unicode MS"/>
          <w:rtl w:val="0"/>
        </w:rPr>
        <w:t xml:space="preserve">p. </w:t>
      </w:r>
      <w:r>
        <w:rPr>
          <w:rFonts w:cs="Arial Unicode MS" w:eastAsia="Arial Unicode MS"/>
          <w:rtl w:val="0"/>
        </w:rPr>
        <w:t>55</w:t>
      </w:r>
      <w:r>
        <w:rPr>
          <w:rFonts w:cs="Arial Unicode MS" w:eastAsia="Arial Unicode MS"/>
          <w:rtl w:val="0"/>
        </w:rPr>
        <w:t>.</w:t>
      </w:r>
      <w:bookmarkEnd w:id="12"/>
    </w:p>
    <w:p>
      <w:pPr>
        <w:pStyle w:val="Body A"/>
      </w:pPr>
    </w:p>
    <w:p>
      <w:pPr>
        <w:pStyle w:val="Body A"/>
      </w:pPr>
      <w:r>
        <w:rPr>
          <w:rtl w:val="0"/>
        </w:rPr>
        <w:t>At its essence, as Stella Chryssoulaki argues,</w:t>
      </w:r>
      <w:r>
        <w:rPr>
          <w:rtl w:val="0"/>
        </w:rPr>
        <w:t xml:space="preserve"> a thalassocracy</w:t>
      </w:r>
      <w:r>
        <w:rPr>
          <w:rtl w:val="0"/>
        </w:rPr>
        <w:t xml:space="preserve"> presupposes </w:t>
      </w:r>
      <w:r>
        <w:rPr>
          <w:rtl w:val="0"/>
        </w:rPr>
        <w:t>‘</w:t>
      </w:r>
      <w:r>
        <w:rPr>
          <w:rtl w:val="0"/>
        </w:rPr>
        <w:t>control, vigilance and defense of trade routes</w:t>
      </w:r>
      <w:r>
        <w:rPr>
          <w:rtl w:val="0"/>
        </w:rPr>
        <w:t>’</w:t>
      </w:r>
      <w:r>
        <w:rPr>
          <w:rtl w:val="0"/>
        </w:rPr>
        <w:t>, which included the maintenance of sea routes and the protection of harbours.</w:t>
      </w:r>
      <w:r>
        <w:rPr>
          <w:rFonts w:ascii="Times New Roman" w:cs="Times New Roman" w:hAnsi="Times New Roman" w:eastAsia="Times New Roman"/>
          <w:b w:val="0"/>
          <w:bCs w:val="0"/>
          <w:i w:val="0"/>
          <w:iCs w:val="0"/>
          <w:vertAlign w:val="superscript"/>
        </w:rPr>
        <w:footnoteReference w:id="56"/>
      </w:r>
      <w:r>
        <w:rPr>
          <w:rtl w:val="0"/>
        </w:rPr>
        <w:t xml:space="preserve"> Safe sea routes enabled Minoan merchants to cross the Mediterranean and reach the Euphrates to trade tin at Mari or sail toward Egypt, purveying their coveted </w:t>
      </w:r>
      <w:r>
        <w:rPr>
          <w:i w:val="1"/>
          <w:iCs w:val="1"/>
          <w:rtl w:val="0"/>
          <w:lang w:val="en-US"/>
        </w:rPr>
        <w:t>objets d</w:t>
      </w:r>
      <w:r>
        <w:rPr>
          <w:i w:val="1"/>
          <w:iCs w:val="1"/>
          <w:rtl w:val="0"/>
          <w:lang w:val="en-US"/>
        </w:rPr>
        <w:t>’</w:t>
      </w:r>
      <w:r>
        <w:rPr>
          <w:i w:val="1"/>
          <w:iCs w:val="1"/>
          <w:rtl w:val="0"/>
          <w:lang w:val="en-US"/>
        </w:rPr>
        <w:t>art.</w:t>
      </w:r>
      <w:r>
        <w:rPr>
          <w:rFonts w:ascii="Times New Roman" w:cs="Times New Roman" w:hAnsi="Times New Roman" w:eastAsia="Times New Roman"/>
          <w:b w:val="0"/>
          <w:bCs w:val="0"/>
          <w:i w:val="0"/>
          <w:iCs w:val="0"/>
          <w:vertAlign w:val="superscript"/>
        </w:rPr>
        <w:footnoteReference w:id="57"/>
      </w:r>
      <w:r>
        <w:rPr>
          <w:rtl w:val="0"/>
        </w:rPr>
        <w:t xml:space="preserve"> At the same time, skilful Cretan artisans painted vivid frescoes on palaces around the shores of the Mediterranean. The Minoan control of sea lanes and long distance trade networks persisted until the destruction of Crete during the Late Minoan IB ended the Neo-Palatial period, and </w:t>
      </w:r>
      <w:r>
        <w:rPr>
          <w:rtl w:val="0"/>
        </w:rPr>
        <w:t>Mycenaean elites</w:t>
      </w:r>
      <w:r>
        <w:rPr>
          <w:rtl w:val="0"/>
        </w:rPr>
        <w:t xml:space="preserve"> overtook Knossos, the only </w:t>
      </w:r>
      <w:r>
        <w:rPr>
          <w:rtl w:val="0"/>
        </w:rPr>
        <w:t>functioning palace</w:t>
      </w:r>
      <w:r>
        <w:rPr>
          <w:rtl w:val="0"/>
        </w:rPr>
        <w:t xml:space="preserve"> at the time.</w:t>
      </w:r>
      <w:r>
        <w:rPr>
          <w:rFonts w:ascii="Times New Roman" w:cs="Times New Roman" w:hAnsi="Times New Roman" w:eastAsia="Times New Roman"/>
          <w:b w:val="0"/>
          <w:bCs w:val="0"/>
          <w:i w:val="0"/>
          <w:iCs w:val="0"/>
          <w:vertAlign w:val="superscript"/>
        </w:rPr>
        <w:footnoteReference w:id="58"/>
      </w:r>
    </w:p>
    <w:p>
      <w:pPr>
        <w:pStyle w:val="Heading Reg"/>
      </w:pPr>
    </w:p>
    <w:p>
      <w:pPr>
        <w:pStyle w:val="Heading Reg"/>
        <w:rPr>
          <w:u w:val="single"/>
        </w:rPr>
      </w:pPr>
      <w:bookmarkStart w:name="_Toc13" w:id="13"/>
      <w:r>
        <w:rPr>
          <w:rFonts w:cs="Arial Unicode MS" w:eastAsia="Arial Unicode MS"/>
          <w:rtl w:val="0"/>
          <w:lang w:val="en-US"/>
        </w:rPr>
        <w:t>Minoan Trade Routes</w:t>
      </w:r>
      <w:bookmarkEnd w:id="13"/>
    </w:p>
    <w:p>
      <w:pPr>
        <w:pStyle w:val="Body A"/>
        <w:rPr>
          <w:u w:val="single"/>
        </w:rPr>
      </w:pPr>
    </w:p>
    <w:p>
      <w:pPr>
        <w:pStyle w:val="Quote"/>
      </w:pPr>
      <w:r>
        <w:rPr>
          <w:rFonts w:cs="Arial Unicode MS" w:eastAsia="Arial Unicode MS" w:hint="default"/>
          <w:rtl w:val="0"/>
          <w:lang w:val="en-US"/>
        </w:rPr>
        <w:t>‘</w:t>
      </w:r>
      <w:r>
        <w:rPr>
          <w:rFonts w:cs="Arial Unicode MS" w:eastAsia="Arial Unicode MS"/>
          <w:rtl w:val="0"/>
          <w:lang w:val="en-US"/>
        </w:rPr>
        <w:t>Life is lived, I reasoned, along paths, not just in places, and paths are lines of a sort. It is along paths, too, that people grow into a knowledge of the world around them, and describe this world in the stories they tell</w:t>
      </w:r>
      <w:r>
        <w:rPr>
          <w:rFonts w:cs="Arial Unicode MS" w:eastAsia="Arial Unicode MS" w:hint="default"/>
          <w:rtl w:val="1"/>
        </w:rPr>
        <w:t>’</w:t>
      </w:r>
      <w:r>
        <w:rPr>
          <w:rFonts w:cs="Arial Unicode MS" w:eastAsia="Arial Unicode MS"/>
          <w:rtl w:val="0"/>
        </w:rPr>
        <w:t>.</w:t>
      </w:r>
      <w:r>
        <w:rPr>
          <w:rFonts w:ascii="Times New Roman" w:cs="Times New Roman" w:hAnsi="Times New Roman" w:eastAsia="Times New Roman"/>
          <w:b w:val="0"/>
          <w:bCs w:val="0"/>
          <w:i w:val="0"/>
          <w:iCs w:val="0"/>
          <w:vertAlign w:val="superscript"/>
        </w:rPr>
        <w:footnoteReference w:id="59"/>
      </w:r>
      <w:r>
        <w:rPr>
          <w:rFonts w:cs="Arial Unicode MS" w:eastAsia="Arial Unicode MS"/>
          <w:rtl w:val="0"/>
          <w:lang w:val="en-US"/>
        </w:rPr>
        <w:t xml:space="preserve"> </w:t>
      </w:r>
      <w:r>
        <w:rPr>
          <w:rFonts w:cs="Arial Unicode MS" w:eastAsia="Arial Unicode MS"/>
          <w:rtl w:val="0"/>
          <w:lang w:val="de-DE"/>
        </w:rPr>
        <w:t>Tim Ingold</w:t>
      </w:r>
    </w:p>
    <w:p>
      <w:pPr>
        <w:pStyle w:val="Body A"/>
      </w:pPr>
    </w:p>
    <w:p>
      <w:pPr>
        <w:pStyle w:val="Body A"/>
      </w:pPr>
      <w:r>
        <w:rPr>
          <w:rtl w:val="0"/>
        </w:rPr>
        <w:t>R</w:t>
      </w:r>
      <w:r>
        <w:rPr>
          <w:rtl w:val="0"/>
        </w:rPr>
        <w:t>ather than</w:t>
      </w:r>
      <w:r>
        <w:rPr>
          <w:rtl w:val="0"/>
        </w:rPr>
        <w:t xml:space="preserve"> focusing on</w:t>
      </w:r>
      <w:r>
        <w:rPr>
          <w:rtl w:val="0"/>
        </w:rPr>
        <w:t xml:space="preserve"> the </w:t>
      </w:r>
      <w:r>
        <w:rPr>
          <w:rtl w:val="0"/>
        </w:rPr>
        <w:t>actual paths</w:t>
      </w:r>
      <w:r>
        <w:rPr>
          <w:rtl w:val="0"/>
        </w:rPr>
        <w:t xml:space="preserve"> </w:t>
      </w:r>
      <w:r>
        <w:rPr>
          <w:rtl w:val="0"/>
        </w:rPr>
        <w:t>navigated, discussions concerning the hypothetical shipping routes of the Bronze Age Mediterranean have centred on the locations where raw materials could be acquired, coastal locations where supplies were refreshed, and the final emporia where goods would be traded.</w:t>
      </w:r>
      <w:r>
        <w:rPr>
          <w:rFonts w:ascii="Times New Roman" w:cs="Times New Roman" w:hAnsi="Times New Roman" w:eastAsia="Times New Roman"/>
          <w:b w:val="0"/>
          <w:bCs w:val="0"/>
          <w:i w:val="0"/>
          <w:iCs w:val="0"/>
          <w:vertAlign w:val="superscript"/>
        </w:rPr>
        <w:footnoteReference w:id="60"/>
      </w:r>
      <w:r>
        <w:rPr>
          <w:rtl w:val="0"/>
        </w:rPr>
        <w:t xml:space="preserve"> To trace these navigation routes, as Chryssoulaki states, it is not enough to only calculate nautical distances between destinations, but also to analyse environmental factors, such as currents and winds, and also the political and economic factors (Fig. 4).</w:t>
      </w:r>
      <w:r>
        <w:rPr>
          <w:rFonts w:ascii="Times New Roman" w:cs="Times New Roman" w:hAnsi="Times New Roman" w:eastAsia="Times New Roman"/>
          <w:b w:val="0"/>
          <w:bCs w:val="0"/>
          <w:i w:val="0"/>
          <w:iCs w:val="0"/>
          <w:vertAlign w:val="superscript"/>
        </w:rPr>
        <w:footnoteReference w:id="61"/>
      </w:r>
      <w:r>
        <w:rPr>
          <w:rtl w:val="0"/>
        </w:rPr>
        <w:t xml:space="preserve"> Furthermore, to understand the Minoan maritime trade routes, one must understand the actual paths navigated and how they might have been sailed.</w:t>
      </w:r>
    </w:p>
    <w:p>
      <w:pPr>
        <w:pStyle w:val="Body A"/>
        <w:rPr>
          <w:u w:val="single"/>
        </w:rPr>
      </w:pPr>
    </w:p>
    <w:p>
      <w:pPr>
        <w:pStyle w:val="Image A"/>
      </w:pPr>
      <w:r>
        <w:rPr>
          <w:u w:val="single"/>
        </w:rPr>
        <w:drawing xmlns:a="http://schemas.openxmlformats.org/drawingml/2006/main">
          <wp:inline distT="0" distB="0" distL="0" distR="0">
            <wp:extent cx="4216693" cy="2675313"/>
            <wp:effectExtent l="0" t="0" r="0" b="0"/>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8">
                      <a:extLst/>
                    </a:blip>
                    <a:srcRect l="0" t="0" r="0" b="0"/>
                    <a:stretch>
                      <a:fillRect/>
                    </a:stretch>
                  </pic:blipFill>
                  <pic:spPr>
                    <a:xfrm>
                      <a:off x="0" y="0"/>
                      <a:ext cx="4216693" cy="2675313"/>
                    </a:xfrm>
                    <a:prstGeom prst="rect">
                      <a:avLst/>
                    </a:prstGeom>
                    <a:ln w="12700" cap="flat">
                      <a:noFill/>
                      <a:miter lim="400000"/>
                    </a:ln>
                    <a:effectLst/>
                  </pic:spPr>
                </pic:pic>
              </a:graphicData>
            </a:graphic>
          </wp:inline>
        </w:drawing>
      </w:r>
    </w:p>
    <w:p>
      <w:pPr>
        <w:pStyle w:val="Image Caption"/>
      </w:pPr>
      <w:bookmarkStart w:name="_Toc14" w:id="14"/>
      <w:r>
        <w:rPr>
          <w:rFonts w:cs="Arial Unicode MS" w:eastAsia="Arial Unicode MS"/>
          <w:b w:val="1"/>
          <w:bCs w:val="1"/>
          <w:rtl w:val="0"/>
          <w:lang w:val="en-US"/>
        </w:rPr>
        <w:t>Fig. 4</w:t>
      </w:r>
      <w:r>
        <w:rPr>
          <w:rFonts w:cs="Arial Unicode MS" w:eastAsia="Arial Unicode MS"/>
          <w:rtl w:val="0"/>
        </w:rPr>
        <w:t xml:space="preserve"> Predominant surface currents of the Mediterranean. </w:t>
      </w:r>
      <w:r>
        <w:rPr>
          <w:rFonts w:cs="Arial Unicode MS" w:eastAsia="Arial Unicode MS"/>
          <w:rtl w:val="0"/>
        </w:rPr>
        <w:t>Hesse, p. 54</w:t>
      </w:r>
      <w:r>
        <w:rPr>
          <w:rFonts w:cs="Arial Unicode MS" w:eastAsia="Arial Unicode MS"/>
          <w:rtl w:val="0"/>
        </w:rPr>
        <w:t>.</w:t>
      </w:r>
      <w:bookmarkEnd w:id="14"/>
    </w:p>
    <w:p>
      <w:pPr>
        <w:pStyle w:val="Image Caption"/>
        <w:rPr>
          <w:u w:val="single"/>
        </w:rPr>
      </w:pPr>
    </w:p>
    <w:p>
      <w:pPr>
        <w:pStyle w:val="Body A"/>
      </w:pPr>
      <w:r>
        <w:rPr>
          <w:rtl w:val="0"/>
        </w:rPr>
        <w:t>Traditionally, it is believed that there were two main trade routes in the Eastern Mediterranean. Kristina Hesse explains:</w:t>
      </w:r>
    </w:p>
    <w:p>
      <w:pPr>
        <w:pStyle w:val="Body A"/>
      </w:pPr>
    </w:p>
    <w:p>
      <w:pPr>
        <w:pStyle w:val="Quote"/>
        <w:ind w:left="720"/>
      </w:pPr>
      <w:r>
        <w:rPr>
          <w:rFonts w:cs="Arial Unicode MS" w:eastAsia="Arial Unicode MS"/>
          <w:rtl w:val="0"/>
          <w:lang w:val="en-US"/>
        </w:rPr>
        <w:t xml:space="preserve">The traditional view of the counter clockwise sea routes in the Eastern Mediterranean goes from the Greek mainland to Crete, south to Egypt, north to Syria-Palestine and Cyprus then completing the circle via the southern coast of Anatolia, Rhodes and the Cyclades. The clockwise route departs from Egypt to Crete and further </w:t>
      </w:r>
      <w:r>
        <w:rPr>
          <w:rFonts w:cs="Arial Unicode MS" w:eastAsia="Arial Unicode MS"/>
          <w:rtl w:val="0"/>
          <w:lang w:val="en-US"/>
        </w:rPr>
        <w:t>in</w:t>
      </w:r>
      <w:r>
        <w:rPr>
          <w:rFonts w:cs="Arial Unicode MS" w:eastAsia="Arial Unicode MS"/>
          <w:rtl w:val="0"/>
          <w:lang w:val="en-US"/>
        </w:rPr>
        <w:t xml:space="preserve">to </w:t>
      </w:r>
      <w:r>
        <w:rPr>
          <w:rFonts w:cs="Arial Unicode MS" w:eastAsia="Arial Unicode MS"/>
          <w:rtl w:val="0"/>
          <w:lang w:val="en-US"/>
        </w:rPr>
        <w:t>M</w:t>
      </w:r>
      <w:r>
        <w:rPr>
          <w:rFonts w:cs="Arial Unicode MS" w:eastAsia="Arial Unicode MS"/>
          <w:rtl w:val="0"/>
          <w:lang w:val="en-US"/>
        </w:rPr>
        <w:t>ainland Greece. From there the journey continues via the Cyclades, Rhodes, Anatolia, Cyprus, Syria-Palestine and back to Egypt.</w:t>
      </w:r>
      <w:r>
        <w:rPr>
          <w:rFonts w:ascii="Times New Roman" w:cs="Times New Roman" w:hAnsi="Times New Roman" w:eastAsia="Times New Roman"/>
          <w:b w:val="0"/>
          <w:bCs w:val="0"/>
          <w:i w:val="0"/>
          <w:iCs w:val="0"/>
          <w:vertAlign w:val="superscript"/>
        </w:rPr>
        <w:footnoteReference w:id="62"/>
      </w:r>
      <w:r>
        <w:rPr>
          <w:rFonts w:cs="Arial Unicode MS" w:eastAsia="Arial Unicode MS"/>
          <w:rtl w:val="0"/>
          <w:lang w:val="en-US"/>
        </w:rPr>
        <w:t xml:space="preserve"> </w:t>
      </w:r>
    </w:p>
    <w:p>
      <w:pPr>
        <w:pStyle w:val="Post QUOTE"/>
      </w:pPr>
    </w:p>
    <w:p>
      <w:pPr>
        <w:pStyle w:val="Post QUOTE"/>
      </w:pPr>
      <w:r>
        <w:rPr>
          <w:rtl w:val="0"/>
        </w:rPr>
        <w:t>A third conjectured Minoan route went from Crete directly to Cyprus and then circled the island, following the coast of Anatolia, to</w:t>
      </w:r>
      <w:r>
        <w:rPr>
          <w:rtl w:val="0"/>
        </w:rPr>
        <w:t xml:space="preserve"> Rhodes</w:t>
      </w:r>
      <w:r>
        <w:rPr>
          <w:rtl w:val="0"/>
        </w:rPr>
        <w:t xml:space="preserve"> and back to Crete (Fig. 5).</w:t>
      </w:r>
      <w:r>
        <w:rPr>
          <w:rFonts w:ascii="Times New Roman" w:cs="Times New Roman" w:hAnsi="Times New Roman" w:eastAsia="Times New Roman"/>
          <w:b w:val="0"/>
          <w:bCs w:val="0"/>
          <w:i w:val="0"/>
          <w:iCs w:val="0"/>
          <w:vertAlign w:val="superscript"/>
        </w:rPr>
        <w:footnoteReference w:id="63"/>
      </w:r>
    </w:p>
    <w:p>
      <w:pPr>
        <w:pStyle w:val="Image A"/>
      </w:pPr>
      <w:r>
        <w:drawing xmlns:a="http://schemas.openxmlformats.org/drawingml/2006/main">
          <wp:inline distT="0" distB="0" distL="0" distR="0">
            <wp:extent cx="4575816" cy="2798191"/>
            <wp:effectExtent l="0" t="0" r="0" b="0"/>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9">
                      <a:extLst/>
                    </a:blip>
                    <a:srcRect l="0" t="0" r="0" b="0"/>
                    <a:stretch>
                      <a:fillRect/>
                    </a:stretch>
                  </pic:blipFill>
                  <pic:spPr>
                    <a:xfrm>
                      <a:off x="0" y="0"/>
                      <a:ext cx="4575816" cy="2798191"/>
                    </a:xfrm>
                    <a:prstGeom prst="rect">
                      <a:avLst/>
                    </a:prstGeom>
                    <a:ln w="12700" cap="flat">
                      <a:noFill/>
                      <a:miter lim="400000"/>
                    </a:ln>
                    <a:effectLst/>
                  </pic:spPr>
                </pic:pic>
              </a:graphicData>
            </a:graphic>
          </wp:inline>
        </w:drawing>
      </w:r>
    </w:p>
    <w:p>
      <w:pPr>
        <w:pStyle w:val="Image Caption"/>
      </w:pPr>
      <w:bookmarkStart w:name="_Toc15" w:id="15"/>
      <w:r>
        <w:rPr>
          <w:rFonts w:cs="Arial Unicode MS" w:eastAsia="Arial Unicode MS"/>
          <w:b w:val="1"/>
          <w:bCs w:val="1"/>
          <w:rtl w:val="0"/>
          <w:lang w:val="en-US"/>
        </w:rPr>
        <w:t xml:space="preserve">Fig. 5 </w:t>
      </w:r>
      <w:r>
        <w:rPr>
          <w:rFonts w:cs="Arial Unicode MS" w:eastAsia="Arial Unicode MS"/>
          <w:rtl w:val="0"/>
        </w:rPr>
        <w:t xml:space="preserve">Sea routes between the Aegean and Cyprus as conjectured by Davis. </w:t>
      </w:r>
      <w:r>
        <w:rPr>
          <w:rFonts w:cs="Arial Unicode MS" w:eastAsia="Arial Unicode MS"/>
          <w:rtl w:val="0"/>
        </w:rPr>
        <w:t>Davis, p. 68</w:t>
      </w:r>
      <w:r>
        <w:rPr>
          <w:rFonts w:cs="Arial Unicode MS" w:eastAsia="Arial Unicode MS"/>
          <w:rtl w:val="0"/>
        </w:rPr>
        <w:t>.</w:t>
      </w:r>
      <w:bookmarkEnd w:id="15"/>
    </w:p>
    <w:p>
      <w:pPr>
        <w:pStyle w:val="Body A"/>
      </w:pPr>
    </w:p>
    <w:p>
      <w:pPr>
        <w:pStyle w:val="Body A"/>
      </w:pPr>
      <w:r>
        <w:rPr>
          <w:rtl w:val="0"/>
        </w:rPr>
        <w:t>Despite these reconstructed circular</w:t>
      </w:r>
      <w:r>
        <w:rPr>
          <w:rtl w:val="0"/>
          <w:lang w:val="pt-PT"/>
        </w:rPr>
        <w:t xml:space="preserve"> </w:t>
      </w:r>
      <w:r>
        <w:rPr>
          <w:rtl w:val="0"/>
        </w:rPr>
        <w:t xml:space="preserve">itineraries, it is plausible that Bronze Age </w:t>
      </w:r>
      <w:r>
        <w:rPr>
          <w:rtl w:val="0"/>
        </w:rPr>
        <w:t xml:space="preserve">mediterranean sailors </w:t>
      </w:r>
      <w:r>
        <w:rPr>
          <w:rtl w:val="0"/>
        </w:rPr>
        <w:t>plotted</w:t>
      </w:r>
      <w:r>
        <w:rPr>
          <w:rtl w:val="0"/>
        </w:rPr>
        <w:t xml:space="preserve"> direct routes to their destinations. </w:t>
      </w:r>
      <w:r>
        <w:rPr>
          <w:rtl w:val="0"/>
        </w:rPr>
        <w:t>Neil Puckett</w:t>
      </w:r>
      <w:r>
        <w:rPr>
          <w:rtl w:val="0"/>
        </w:rPr>
        <w:t xml:space="preserve"> </w:t>
      </w:r>
      <w:r>
        <w:rPr>
          <w:rtl w:val="0"/>
        </w:rPr>
        <w:t xml:space="preserve">argues that coastal journeys may have been less efficient than direct lines toward destinations. He writes, </w:t>
      </w:r>
      <w:r>
        <w:rPr>
          <w:rtl w:val="0"/>
        </w:rPr>
        <w:t>‘</w:t>
      </w:r>
      <w:r>
        <w:rPr>
          <w:rtl w:val="0"/>
        </w:rPr>
        <w:t>Unless the winds failed to cooperate, travelling directly to one</w:t>
      </w:r>
      <w:r>
        <w:rPr>
          <w:rtl w:val="1"/>
        </w:rPr>
        <w:t>’</w:t>
      </w:r>
      <w:r>
        <w:rPr>
          <w:rtl w:val="0"/>
        </w:rPr>
        <w:t>s destination would have been considerable faster. There are numerous ancient accounts of Mediterranean seamen sailing for multiple days in order to take direct routes from one point to another.</w:t>
      </w:r>
      <w:r>
        <w:rPr>
          <w:rtl w:val="0"/>
        </w:rPr>
        <w:t>’</w:t>
      </w:r>
      <w:r>
        <w:rPr>
          <w:rFonts w:ascii="Times New Roman" w:cs="Times New Roman" w:hAnsi="Times New Roman" w:eastAsia="Times New Roman"/>
          <w:b w:val="0"/>
          <w:bCs w:val="0"/>
          <w:i w:val="0"/>
          <w:iCs w:val="0"/>
          <w:vertAlign w:val="superscript"/>
        </w:rPr>
        <w:footnoteReference w:id="64"/>
      </w:r>
      <w:r>
        <w:rPr>
          <w:rtl w:val="0"/>
        </w:rPr>
        <w:t xml:space="preserve"> It has been argued, although inconclusively, that the Minoans and Mycenaeans had the navigational and organisational skills to make direct voyages to Egypt and the Levant.</w:t>
      </w:r>
      <w:r>
        <w:rPr>
          <w:rFonts w:ascii="Times New Roman" w:cs="Times New Roman" w:hAnsi="Times New Roman" w:eastAsia="Times New Roman"/>
          <w:b w:val="0"/>
          <w:bCs w:val="0"/>
          <w:i w:val="0"/>
          <w:iCs w:val="0"/>
          <w:vertAlign w:val="superscript"/>
        </w:rPr>
        <w:footnoteReference w:id="65"/>
      </w:r>
      <w:r>
        <w:rPr>
          <w:rtl w:val="0"/>
        </w:rPr>
        <w:t xml:space="preserve"> The potential use of sea circulation, for instance, favoured voyages on the open sea, which were not necessarily even limited to summertime.</w:t>
      </w:r>
      <w:r>
        <w:rPr>
          <w:rFonts w:ascii="Times New Roman" w:cs="Times New Roman" w:hAnsi="Times New Roman" w:eastAsia="Times New Roman"/>
          <w:b w:val="0"/>
          <w:bCs w:val="0"/>
          <w:i w:val="0"/>
          <w:iCs w:val="0"/>
          <w:vertAlign w:val="superscript"/>
        </w:rPr>
        <w:footnoteReference w:id="66"/>
      </w:r>
      <w:r>
        <w:rPr>
          <w:rtl w:val="0"/>
        </w:rPr>
        <w:t xml:space="preserve"> Furthermore, Homeric characters often strayed from specific sea routes and got lost in meandering adventures, implying the existence of direct lanes toward destinations.</w:t>
      </w:r>
      <w:r>
        <w:rPr>
          <w:rFonts w:ascii="Times New Roman" w:cs="Times New Roman" w:hAnsi="Times New Roman" w:eastAsia="Times New Roman"/>
          <w:b w:val="0"/>
          <w:bCs w:val="0"/>
          <w:i w:val="0"/>
          <w:iCs w:val="0"/>
          <w:vertAlign w:val="superscript"/>
        </w:rPr>
        <w:footnoteReference w:id="67"/>
      </w:r>
      <w:r>
        <w:rPr>
          <w:rtl w:val="0"/>
        </w:rPr>
        <w:t xml:space="preserve"> Even the notion that ancient sailors stayed on land during the winter months, apprehensive of tempestuous weather, may be a modern fallacy as Puckett argues, since active winter voyaging is mentioned by </w:t>
      </w:r>
      <w:r>
        <w:rPr>
          <w:rtl w:val="0"/>
        </w:rPr>
        <w:t xml:space="preserve">Thucydides, Andocides, and </w:t>
      </w:r>
      <w:r>
        <w:rPr>
          <w:rtl w:val="0"/>
        </w:rPr>
        <w:t xml:space="preserve">in </w:t>
      </w:r>
      <w:r>
        <w:rPr>
          <w:rtl w:val="0"/>
        </w:rPr>
        <w:t>the Ahiqar text</w:t>
      </w:r>
      <w:r>
        <w:rPr>
          <w:rtl w:val="0"/>
        </w:rPr>
        <w:t>.</w:t>
      </w:r>
      <w:r>
        <w:rPr>
          <w:rFonts w:ascii="Times New Roman" w:cs="Times New Roman" w:hAnsi="Times New Roman" w:eastAsia="Times New Roman"/>
          <w:b w:val="0"/>
          <w:bCs w:val="0"/>
          <w:i w:val="0"/>
          <w:iCs w:val="0"/>
          <w:vertAlign w:val="superscript"/>
        </w:rPr>
        <w:footnoteReference w:id="68"/>
      </w:r>
      <w:r>
        <w:rPr>
          <w:rtl w:val="0"/>
        </w:rPr>
        <w:t xml:space="preserve"> Therefore, it may be conjectured that direct sea routes from Crete toward the Eastern Mediterranean may have been active.</w:t>
      </w:r>
    </w:p>
    <w:p>
      <w:pPr>
        <w:pStyle w:val="Heading Reg"/>
      </w:pPr>
    </w:p>
    <w:p>
      <w:pPr>
        <w:pStyle w:val="Heading Reg 1"/>
      </w:pPr>
      <w:bookmarkStart w:name="_Toc16" w:id="16"/>
      <w:r>
        <w:rPr>
          <w:rFonts w:cs="Arial Unicode MS" w:eastAsia="Arial Unicode MS"/>
          <w:rtl w:val="0"/>
          <w:lang w:val="en-US"/>
        </w:rPr>
        <w:t>Egyptian Trade</w:t>
      </w:r>
      <w:bookmarkEnd w:id="16"/>
    </w:p>
    <w:p>
      <w:pPr>
        <w:pStyle w:val="Default"/>
        <w:bidi w:val="0"/>
        <w:spacing w:before="0" w:after="240"/>
        <w:ind w:left="0" w:right="0" w:firstLine="0"/>
        <w:jc w:val="left"/>
        <w:rPr>
          <w:rFonts w:ascii="Times Roman" w:cs="Times Roman" w:hAnsi="Times Roman" w:eastAsia="Times Roman"/>
          <w:sz w:val="24"/>
          <w:szCs w:val="24"/>
          <w:rtl w:val="0"/>
        </w:rPr>
      </w:pPr>
    </w:p>
    <w:p>
      <w:pPr>
        <w:pStyle w:val="Body A"/>
      </w:pPr>
      <w:r>
        <w:rPr>
          <w:rtl w:val="0"/>
        </w:rPr>
        <w:t xml:space="preserve">Egyptian ware excavated in Crete indicates maritime </w:t>
      </w:r>
      <w:r>
        <w:rPr>
          <w:rtl w:val="0"/>
        </w:rPr>
        <w:t>crossings and trade</w:t>
      </w:r>
      <w:r>
        <w:rPr>
          <w:rtl w:val="0"/>
        </w:rPr>
        <w:t xml:space="preserve"> relations between the two coasts at the culmination of the Aegean Neolithic.</w:t>
      </w:r>
      <w:r>
        <w:rPr>
          <w:rFonts w:ascii="Times New Roman" w:cs="Times New Roman" w:hAnsi="Times New Roman" w:eastAsia="Times New Roman"/>
          <w:b w:val="0"/>
          <w:bCs w:val="0"/>
          <w:i w:val="0"/>
          <w:iCs w:val="0"/>
          <w:vertAlign w:val="superscript"/>
        </w:rPr>
        <w:footnoteReference w:id="69"/>
      </w:r>
      <w:r>
        <w:rPr>
          <w:rtl w:val="0"/>
        </w:rPr>
        <w:t xml:space="preserve"> Native Cretans adopted the sail probably via contact with Egypt between 2200-1950 </w:t>
      </w:r>
      <w:r>
        <w:rPr>
          <w:smallCaps w:val="1"/>
          <w:rtl w:val="0"/>
          <w:lang w:val="en-US"/>
        </w:rPr>
        <w:t>bce.</w:t>
      </w:r>
      <w:r>
        <w:rPr>
          <w:rFonts w:ascii="Times New Roman" w:cs="Times New Roman" w:hAnsi="Times New Roman" w:eastAsia="Times New Roman"/>
          <w:b w:val="0"/>
          <w:bCs w:val="0"/>
          <w:i w:val="0"/>
          <w:iCs w:val="0"/>
          <w:smallCaps w:val="1"/>
          <w:vertAlign w:val="superscript"/>
        </w:rPr>
        <w:footnoteReference w:id="70"/>
      </w:r>
      <w:r>
        <w:rPr>
          <w:rtl w:val="0"/>
        </w:rPr>
        <w:t xml:space="preserve"> A</w:t>
      </w:r>
      <w:r>
        <w:rPr>
          <w:rtl w:val="0"/>
        </w:rPr>
        <w:t xml:space="preserve">lthough the possibility </w:t>
      </w:r>
      <w:r>
        <w:rPr>
          <w:rtl w:val="0"/>
        </w:rPr>
        <w:t>of</w:t>
      </w:r>
      <w:r>
        <w:rPr>
          <w:rtl w:val="0"/>
        </w:rPr>
        <w:t xml:space="preserve"> their </w:t>
      </w:r>
      <w:r>
        <w:rPr>
          <w:rtl w:val="0"/>
        </w:rPr>
        <w:t>utilisation</w:t>
      </w:r>
      <w:r>
        <w:rPr>
          <w:rtl w:val="0"/>
        </w:rPr>
        <w:t xml:space="preserve"> prior to this date cannot be excluded</w:t>
      </w:r>
      <w:r>
        <w:rPr>
          <w:rtl w:val="0"/>
        </w:rPr>
        <w:t>,</w:t>
      </w:r>
      <w:r>
        <w:rPr>
          <w:rtl w:val="0"/>
        </w:rPr>
        <w:t xml:space="preserve"> according to </w:t>
      </w:r>
      <w:r>
        <w:rPr>
          <w:rtl w:val="0"/>
        </w:rPr>
        <w:t xml:space="preserve">Cyprian </w:t>
      </w:r>
      <w:r>
        <w:rPr>
          <w:rtl w:val="0"/>
          <w:lang w:val="nl-NL"/>
        </w:rPr>
        <w:t xml:space="preserve">Broodbank, </w:t>
      </w:r>
      <w:r>
        <w:rPr>
          <w:rtl w:val="0"/>
        </w:rPr>
        <w:t xml:space="preserve">the sail </w:t>
      </w:r>
      <w:r>
        <w:rPr>
          <w:rtl w:val="0"/>
        </w:rPr>
        <w:t>transformed Aegean interactions with the East</w:t>
      </w:r>
      <w:r>
        <w:rPr>
          <w:rtl w:val="0"/>
        </w:rPr>
        <w:t>.</w:t>
      </w:r>
      <w:r>
        <w:rPr>
          <w:rFonts w:ascii="Times New Roman" w:cs="Times New Roman" w:hAnsi="Times New Roman" w:eastAsia="Times New Roman"/>
          <w:b w:val="0"/>
          <w:bCs w:val="0"/>
          <w:i w:val="0"/>
          <w:iCs w:val="0"/>
          <w:vertAlign w:val="superscript"/>
        </w:rPr>
        <w:footnoteReference w:id="71"/>
      </w:r>
      <w:r>
        <w:rPr>
          <w:rtl w:val="0"/>
        </w:rPr>
        <w:t xml:space="preserve"> The 12</w:t>
      </w:r>
      <w:r>
        <w:rPr>
          <w:vertAlign w:val="superscript"/>
          <w:rtl w:val="0"/>
          <w:lang w:val="en-US"/>
        </w:rPr>
        <w:t>th</w:t>
      </w:r>
      <w:r>
        <w:rPr>
          <w:rtl w:val="0"/>
        </w:rPr>
        <w:t xml:space="preserve"> Dynasty </w:t>
      </w:r>
      <w:r>
        <w:rPr>
          <w:rtl w:val="0"/>
        </w:rPr>
        <w:t>‘</w:t>
      </w:r>
      <w:r>
        <w:rPr>
          <w:rtl w:val="0"/>
        </w:rPr>
        <w:t>Mit Rahineh</w:t>
      </w:r>
      <w:r>
        <w:rPr>
          <w:rtl w:val="0"/>
        </w:rPr>
        <w:t xml:space="preserve">’ </w:t>
      </w:r>
      <w:r>
        <w:rPr>
          <w:rtl w:val="0"/>
        </w:rPr>
        <w:t>inscription attests to distant sea voyages undertaken by the Egyptians of 20</w:t>
      </w:r>
      <w:r>
        <w:rPr>
          <w:vertAlign w:val="superscript"/>
          <w:rtl w:val="0"/>
          <w:lang w:val="en-US"/>
        </w:rPr>
        <w:t>th</w:t>
      </w:r>
      <w:r>
        <w:rPr>
          <w:rtl w:val="0"/>
        </w:rPr>
        <w:t xml:space="preserve"> century </w:t>
      </w:r>
      <w:r>
        <w:rPr>
          <w:smallCaps w:val="1"/>
          <w:rtl w:val="0"/>
          <w:lang w:val="en-US"/>
        </w:rPr>
        <w:t>bce</w:t>
      </w:r>
      <w:r>
        <w:rPr>
          <w:rtl w:val="0"/>
        </w:rPr>
        <w:t xml:space="preserve">, while early Minoan boats depicted on seals resemble the </w:t>
      </w:r>
      <w:r>
        <w:rPr>
          <w:i w:val="1"/>
          <w:iCs w:val="1"/>
          <w:rtl w:val="0"/>
          <w:lang w:val="pt-PT"/>
        </w:rPr>
        <w:t>kbnt</w:t>
      </w:r>
      <w:r>
        <w:rPr>
          <w:rtl w:val="0"/>
        </w:rPr>
        <w:t xml:space="preserve"> </w:t>
      </w:r>
      <w:r>
        <w:drawing xmlns:a="http://schemas.openxmlformats.org/drawingml/2006/main">
          <wp:inline distT="0" distB="0" distL="0" distR="0">
            <wp:extent cx="924408" cy="273253"/>
            <wp:effectExtent l="0" t="0" r="0" b="0"/>
            <wp:docPr id="1073741831" name="officeArt object" descr="Image"/>
            <wp:cNvGraphicFramePr/>
            <a:graphic xmlns:a="http://schemas.openxmlformats.org/drawingml/2006/main">
              <a:graphicData uri="http://schemas.openxmlformats.org/drawingml/2006/picture">
                <pic:pic xmlns:pic="http://schemas.openxmlformats.org/drawingml/2006/picture">
                  <pic:nvPicPr>
                    <pic:cNvPr id="1073741831" name="Image" descr="Image"/>
                    <pic:cNvPicPr>
                      <a:picLocks noChangeAspect="1"/>
                    </pic:cNvPicPr>
                  </pic:nvPicPr>
                  <pic:blipFill>
                    <a:blip r:embed="rId10">
                      <a:extLst/>
                    </a:blip>
                    <a:stretch>
                      <a:fillRect/>
                    </a:stretch>
                  </pic:blipFill>
                  <pic:spPr>
                    <a:xfrm>
                      <a:off x="0" y="0"/>
                      <a:ext cx="924408" cy="273253"/>
                    </a:xfrm>
                    <a:prstGeom prst="rect">
                      <a:avLst/>
                    </a:prstGeom>
                    <a:ln w="12700" cap="flat">
                      <a:noFill/>
                      <a:miter lim="400000"/>
                    </a:ln>
                    <a:effectLst/>
                  </pic:spPr>
                </pic:pic>
              </a:graphicData>
            </a:graphic>
          </wp:inline>
        </w:drawing>
      </w:r>
      <w:r>
        <w:rPr>
          <w:rtl w:val="0"/>
        </w:rPr>
        <w:t xml:space="preserve">, </w:t>
      </w:r>
      <w:r>
        <w:rPr>
          <w:rtl w:val="0"/>
        </w:rPr>
        <w:t>‘</w:t>
      </w:r>
      <w:r>
        <w:rPr>
          <w:rtl w:val="0"/>
        </w:rPr>
        <w:t>Byblos</w:t>
      </w:r>
      <w:r>
        <w:rPr>
          <w:rtl w:val="0"/>
        </w:rPr>
        <w:t xml:space="preserve">’ </w:t>
      </w:r>
      <w:r>
        <w:rPr>
          <w:rtl w:val="0"/>
        </w:rPr>
        <w:t>ships.</w:t>
      </w:r>
      <w:r>
        <w:rPr>
          <w:rFonts w:ascii="Times New Roman" w:cs="Times New Roman" w:hAnsi="Times New Roman" w:eastAsia="Times New Roman"/>
          <w:b w:val="0"/>
          <w:bCs w:val="0"/>
          <w:i w:val="0"/>
          <w:iCs w:val="0"/>
          <w:vertAlign w:val="superscript"/>
        </w:rPr>
        <w:footnoteReference w:id="72"/>
      </w:r>
      <w:r>
        <w:rPr>
          <w:rtl w:val="0"/>
        </w:rPr>
        <w:t xml:space="preserve"> Direct trade between Crete and Egypt is evidenced by Egyptian pottery excavated at the Minoan site of Kommos, on the southern coast of the Crete, and Minoan sherds found at Marsa Matruh, on the coast of the Egyptian-Libyan border.</w:t>
      </w:r>
      <w:r>
        <w:rPr>
          <w:rFonts w:ascii="Times New Roman" w:cs="Times New Roman" w:hAnsi="Times New Roman" w:eastAsia="Times New Roman"/>
          <w:b w:val="0"/>
          <w:bCs w:val="0"/>
          <w:i w:val="0"/>
          <w:iCs w:val="0"/>
          <w:vertAlign w:val="superscript"/>
        </w:rPr>
        <w:footnoteReference w:id="73"/>
      </w:r>
    </w:p>
    <w:p>
      <w:pPr>
        <w:pStyle w:val="Body A"/>
      </w:pPr>
      <w:r>
        <w:rPr>
          <w:rtl w:val="0"/>
        </w:rPr>
        <w:t>Depicted on the tombs of nobles from Thebes, d</w:t>
      </w:r>
      <w:r>
        <w:rPr>
          <w:rtl w:val="0"/>
        </w:rPr>
        <w:t>ating to the reigns of Hatshepsut and Thutmose III</w:t>
      </w:r>
      <w:r>
        <w:rPr>
          <w:rtl w:val="0"/>
        </w:rPr>
        <w:t>,</w:t>
      </w:r>
      <w:r>
        <w:rPr>
          <w:rtl w:val="0"/>
        </w:rPr>
        <w:t xml:space="preserve"> </w:t>
      </w:r>
      <w:r>
        <w:rPr>
          <w:rtl w:val="0"/>
        </w:rPr>
        <w:t xml:space="preserve">are a procession of inhabitants from </w:t>
      </w:r>
      <w:r>
        <w:rPr>
          <w:i w:val="1"/>
          <w:iCs w:val="1"/>
          <w:rtl w:val="0"/>
          <w:lang w:val="en-US"/>
        </w:rPr>
        <w:t>kftyw</w:t>
      </w:r>
      <w:r>
        <w:rPr>
          <w:rtl w:val="0"/>
        </w:rPr>
        <w:t xml:space="preserve"> </w:t>
      </w:r>
      <w:r>
        <w:drawing xmlns:a="http://schemas.openxmlformats.org/drawingml/2006/main">
          <wp:inline distT="0" distB="0" distL="0" distR="0">
            <wp:extent cx="723268" cy="263007"/>
            <wp:effectExtent l="0" t="0" r="0" b="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11">
                      <a:extLst/>
                    </a:blip>
                    <a:stretch>
                      <a:fillRect/>
                    </a:stretch>
                  </pic:blipFill>
                  <pic:spPr>
                    <a:xfrm>
                      <a:off x="0" y="0"/>
                      <a:ext cx="723268" cy="263007"/>
                    </a:xfrm>
                    <a:prstGeom prst="rect">
                      <a:avLst/>
                    </a:prstGeom>
                    <a:ln w="12700" cap="flat">
                      <a:noFill/>
                      <a:miter lim="400000"/>
                    </a:ln>
                    <a:effectLst/>
                  </pic:spPr>
                </pic:pic>
              </a:graphicData>
            </a:graphic>
          </wp:inline>
        </w:drawing>
      </w:r>
      <w:r>
        <w:rPr>
          <w:rtl w:val="0"/>
        </w:rPr>
        <w:t xml:space="preserve"> (Crete) and from the </w:t>
      </w:r>
      <w:r>
        <w:rPr>
          <w:rtl w:val="0"/>
        </w:rPr>
        <w:t>‘</w:t>
      </w:r>
      <w:r>
        <w:rPr>
          <w:rtl w:val="0"/>
        </w:rPr>
        <w:t>The Isles in the Midst of the Sea</w:t>
      </w:r>
      <w:r>
        <w:rPr>
          <w:rtl w:val="0"/>
        </w:rPr>
        <w:t xml:space="preserve">’ </w:t>
      </w:r>
      <w:r>
        <w:rPr>
          <w:rtl w:val="0"/>
        </w:rPr>
        <w:t>bearing ornate tributes and royal gifts.</w:t>
      </w:r>
      <w:r>
        <w:rPr>
          <w:rFonts w:ascii="Times New Roman" w:cs="Times New Roman" w:hAnsi="Times New Roman" w:eastAsia="Times New Roman"/>
          <w:b w:val="0"/>
          <w:bCs w:val="0"/>
          <w:i w:val="0"/>
          <w:iCs w:val="0"/>
          <w:vertAlign w:val="superscript"/>
        </w:rPr>
        <w:footnoteReference w:id="74"/>
      </w:r>
      <w:r>
        <w:rPr>
          <w:rtl w:val="0"/>
        </w:rPr>
        <w:t xml:space="preserve"> There is also textual evidence of direct contact between the two cultures, from the so-called Aegean List inscribed on five statue bases on the </w:t>
      </w:r>
      <w:r>
        <w:rPr>
          <w:rtl w:val="0"/>
        </w:rPr>
        <w:t>mortuary temple complex of Amenhotep III (circa 1390</w:t>
      </w:r>
      <w:r>
        <w:rPr>
          <w:rtl w:val="0"/>
        </w:rPr>
        <w:t>–</w:t>
      </w:r>
      <w:r>
        <w:rPr>
          <w:rtl w:val="0"/>
        </w:rPr>
        <w:t>1352</w:t>
      </w:r>
      <w:r>
        <w:rPr>
          <w:rtl w:val="0"/>
        </w:rPr>
        <w:t xml:space="preserve"> </w:t>
      </w:r>
      <w:r>
        <w:rPr>
          <w:smallCaps w:val="1"/>
          <w:rtl w:val="0"/>
          <w:lang w:val="en-US"/>
        </w:rPr>
        <w:t>bce</w:t>
      </w:r>
      <w:r>
        <w:rPr>
          <w:rtl w:val="0"/>
        </w:rPr>
        <w:t>)</w:t>
      </w:r>
      <w:r>
        <w:rPr>
          <w:rtl w:val="0"/>
        </w:rPr>
        <w:t>.</w:t>
      </w:r>
      <w:r>
        <w:rPr>
          <w:rFonts w:ascii="Times New Roman" w:cs="Times New Roman" w:hAnsi="Times New Roman" w:eastAsia="Times New Roman"/>
          <w:b w:val="0"/>
          <w:bCs w:val="0"/>
          <w:i w:val="0"/>
          <w:iCs w:val="0"/>
          <w:vertAlign w:val="superscript"/>
        </w:rPr>
        <w:footnoteReference w:id="75"/>
      </w:r>
      <w:r>
        <w:rPr>
          <w:rtl w:val="0"/>
        </w:rPr>
        <w:t xml:space="preserve"> The list includes the ethnic identities: </w:t>
      </w:r>
      <w:r>
        <w:rPr>
          <w:rtl w:val="0"/>
        </w:rPr>
        <w:t>Tanaja (</w:t>
      </w:r>
      <w:r>
        <w:rPr>
          <w:rtl w:val="0"/>
        </w:rPr>
        <w:t xml:space="preserve">perhaps </w:t>
      </w:r>
      <w:r>
        <w:rPr>
          <w:rtl w:val="0"/>
        </w:rPr>
        <w:t>mainland Greece)</w:t>
      </w:r>
      <w:r>
        <w:rPr>
          <w:rtl w:val="0"/>
        </w:rPr>
        <w:t xml:space="preserve"> and </w:t>
      </w:r>
      <w:r>
        <w:rPr>
          <w:rtl w:val="0"/>
        </w:rPr>
        <w:t>Keftiu</w:t>
      </w:r>
      <w:r>
        <w:rPr>
          <w:rtl w:val="0"/>
        </w:rPr>
        <w:t>. Then it lists the Cretan cities:</w:t>
      </w:r>
      <w:r>
        <w:rPr>
          <w:rtl w:val="0"/>
          <w:lang w:val="pt-PT"/>
        </w:rPr>
        <w:t xml:space="preserve"> Amnisos, Phaistos, Kydonia, Mycenae, Thebes, Kato Zakro, Methana, Messana, Nauplion, Kythera, Ilios (Troy), Knossos, Amnisos again, and Lyktos.</w:t>
      </w:r>
      <w:r>
        <w:rPr>
          <w:rFonts w:ascii="Times New Roman" w:cs="Times New Roman" w:hAnsi="Times New Roman" w:eastAsia="Times New Roman"/>
          <w:b w:val="0"/>
          <w:bCs w:val="0"/>
          <w:i w:val="0"/>
          <w:iCs w:val="0"/>
          <w:vertAlign w:val="superscript"/>
        </w:rPr>
        <w:footnoteReference w:id="76"/>
      </w:r>
    </w:p>
    <w:p>
      <w:pPr>
        <w:pStyle w:val="Body A"/>
        <w:rPr>
          <w:sz w:val="24"/>
          <w:szCs w:val="24"/>
        </w:rPr>
      </w:pPr>
      <w:r>
        <w:rPr>
          <w:rtl w:val="0"/>
        </w:rPr>
        <w:t xml:space="preserve">There is evidence of palatial gift exchanges from the Old Palace period with Egypt and the Near East, such as palatial </w:t>
      </w:r>
      <w:r>
        <w:rPr>
          <w:rtl w:val="0"/>
          <w:lang w:val="pt-PT"/>
        </w:rPr>
        <w:t xml:space="preserve">Kamares </w:t>
      </w:r>
      <w:r>
        <w:rPr>
          <w:rtl w:val="0"/>
        </w:rPr>
        <w:t>ceramics</w:t>
      </w:r>
      <w:r>
        <w:rPr>
          <w:rtl w:val="0"/>
        </w:rPr>
        <w:t>, precious metal</w:t>
      </w:r>
      <w:r>
        <w:rPr>
          <w:rtl w:val="0"/>
        </w:rPr>
        <w:t xml:space="preserve"> cups</w:t>
      </w:r>
      <w:r>
        <w:rPr>
          <w:rtl w:val="0"/>
        </w:rPr>
        <w:t xml:space="preserve">, </w:t>
      </w:r>
      <w:r>
        <w:rPr>
          <w:rtl w:val="0"/>
        </w:rPr>
        <w:t>fine</w:t>
      </w:r>
      <w:r>
        <w:rPr>
          <w:rtl w:val="0"/>
        </w:rPr>
        <w:t xml:space="preserve"> textiles, and </w:t>
      </w:r>
      <w:r>
        <w:rPr>
          <w:rtl w:val="0"/>
        </w:rPr>
        <w:t>gold jewellery</w:t>
      </w:r>
      <w:r>
        <w:rPr>
          <w:rtl w:val="0"/>
        </w:rPr>
        <w:t>.</w:t>
      </w:r>
      <w:r>
        <w:rPr>
          <w:rFonts w:ascii="Times New Roman" w:cs="Times New Roman" w:hAnsi="Times New Roman" w:eastAsia="Times New Roman"/>
          <w:b w:val="0"/>
          <w:bCs w:val="0"/>
          <w:i w:val="0"/>
          <w:iCs w:val="0"/>
          <w:vertAlign w:val="superscript"/>
        </w:rPr>
        <w:footnoteReference w:id="77"/>
      </w:r>
      <w:r>
        <w:rPr>
          <w:rtl w:val="0"/>
        </w:rPr>
        <w:t xml:space="preserve"> The Minoans themselves were conferred royal gifts, such as an alabaster vase lid inscribed with the cartouche of Khyan, the Hyksos pharaoh of Avaris sent to the monarchs of Knossos.</w:t>
      </w:r>
      <w:r>
        <w:rPr>
          <w:rFonts w:ascii="Times New Roman" w:cs="Times New Roman" w:hAnsi="Times New Roman" w:eastAsia="Times New Roman"/>
          <w:b w:val="0"/>
          <w:bCs w:val="0"/>
          <w:i w:val="0"/>
          <w:iCs w:val="0"/>
          <w:vertAlign w:val="superscript"/>
        </w:rPr>
        <w:footnoteReference w:id="78"/>
      </w:r>
      <w:r>
        <w:rPr>
          <w:rtl w:val="0"/>
        </w:rPr>
        <w:t xml:space="preserve"> </w:t>
      </w:r>
      <w:r>
        <w:rPr>
          <w:rtl w:val="0"/>
        </w:rPr>
        <w:t xml:space="preserve">There is both archaeological and textual evidence attesting to diplomatic and mercantile relations between both </w:t>
      </w:r>
      <w:r>
        <w:rPr>
          <w:rtl w:val="0"/>
        </w:rPr>
        <w:t>Egypt and Crete</w:t>
      </w:r>
      <w:r>
        <w:rPr>
          <w:rtl w:val="0"/>
        </w:rPr>
        <w:t>.</w:t>
      </w:r>
    </w:p>
    <w:p>
      <w:pPr>
        <w:pStyle w:val="Body A"/>
        <w:rPr>
          <w:b w:val="1"/>
          <w:bCs w:val="1"/>
        </w:rPr>
      </w:pPr>
    </w:p>
    <w:p>
      <w:pPr>
        <w:pStyle w:val="Heading Reg 1"/>
      </w:pPr>
      <w:bookmarkStart w:name="_Toc17" w:id="17"/>
      <w:r>
        <w:rPr>
          <w:rFonts w:cs="Arial Unicode MS" w:eastAsia="Arial Unicode MS"/>
          <w:rtl w:val="0"/>
          <w:lang w:val="en-US"/>
        </w:rPr>
        <w:t>Levantine Contacts</w:t>
      </w:r>
      <w:bookmarkEnd w:id="17"/>
    </w:p>
    <w:p>
      <w:pPr>
        <w:pStyle w:val="Body A"/>
      </w:pPr>
    </w:p>
    <w:p>
      <w:pPr>
        <w:pStyle w:val="Body A"/>
      </w:pPr>
      <w:r>
        <w:rPr>
          <w:rtl w:val="0"/>
        </w:rPr>
        <w:t xml:space="preserve">The reconstruction of Bronze Age maritime trade networks in the East Mediterranean is founded on speculation of presumed </w:t>
      </w:r>
      <w:r>
        <w:rPr>
          <w:rtl w:val="0"/>
        </w:rPr>
        <w:t>redistribution and reciprocity (gift exchange),</w:t>
      </w:r>
      <w:r>
        <w:rPr>
          <w:rtl w:val="0"/>
        </w:rPr>
        <w:t xml:space="preserve"> rather than archaeological evidence of ports and naval yards.</w:t>
      </w:r>
      <w:r>
        <w:rPr>
          <w:rFonts w:ascii="Times New Roman" w:cs="Times New Roman" w:hAnsi="Times New Roman" w:eastAsia="Times New Roman"/>
          <w:b w:val="0"/>
          <w:bCs w:val="0"/>
          <w:i w:val="0"/>
          <w:iCs w:val="0"/>
          <w:vertAlign w:val="superscript"/>
        </w:rPr>
        <w:footnoteReference w:id="79"/>
      </w:r>
      <w:r>
        <w:rPr>
          <w:rtl w:val="0"/>
        </w:rPr>
        <w:t xml:space="preserve"> Nonetheless, by the Early Minoan II period, Crete had direct or indirect contact with the Levant, probably in search of natural resources with a likely primary destination of Byblos due to its substantial link with Egypt.</w:t>
      </w:r>
      <w:r>
        <w:rPr>
          <w:rFonts w:ascii="Times New Roman" w:cs="Times New Roman" w:hAnsi="Times New Roman" w:eastAsia="Times New Roman"/>
          <w:b w:val="0"/>
          <w:bCs w:val="0"/>
          <w:i w:val="0"/>
          <w:iCs w:val="0"/>
          <w:vertAlign w:val="superscript"/>
        </w:rPr>
        <w:footnoteReference w:id="80"/>
      </w:r>
      <w:r>
        <w:rPr>
          <w:rtl w:val="0"/>
        </w:rPr>
        <w:t xml:space="preserve"> Annette </w:t>
      </w:r>
      <w:r>
        <w:rPr>
          <w:rtl w:val="0"/>
        </w:rPr>
        <w:t>S</w:t>
      </w:r>
      <w:r>
        <w:rPr>
          <w:rtl w:val="0"/>
          <w:lang w:val="da-DK"/>
        </w:rPr>
        <w:t>ø</w:t>
      </w:r>
      <w:r>
        <w:rPr>
          <w:rtl w:val="0"/>
        </w:rPr>
        <w:t>rensen</w:t>
      </w:r>
      <w:r>
        <w:rPr>
          <w:rtl w:val="0"/>
        </w:rPr>
        <w:t xml:space="preserve"> compiles the current archaeological record of Minoica uncovered throughout the Near East, perhaps distributed from coastal emporia inland via intermediaries.</w:t>
      </w:r>
      <w:r>
        <w:rPr>
          <w:rFonts w:ascii="Times New Roman" w:cs="Times New Roman" w:hAnsi="Times New Roman" w:eastAsia="Times New Roman"/>
          <w:b w:val="0"/>
          <w:bCs w:val="0"/>
          <w:i w:val="0"/>
          <w:iCs w:val="0"/>
          <w:vertAlign w:val="superscript"/>
        </w:rPr>
        <w:footnoteReference w:id="81"/>
      </w:r>
      <w:r>
        <w:rPr>
          <w:rtl w:val="0"/>
        </w:rPr>
        <w:t xml:space="preserve"> The list should is not definitive, since </w:t>
      </w:r>
      <w:r>
        <w:rPr>
          <w:rtl w:val="0"/>
        </w:rPr>
        <w:t>the archaeological record</w:t>
      </w:r>
      <w:r>
        <w:rPr>
          <w:rtl w:val="0"/>
        </w:rPr>
        <w:t xml:space="preserve"> may underrepresent trading colonies and networks. Nonetheless, Byblos tops the inventory with the largest surviving Minoan archive.</w:t>
      </w:r>
    </w:p>
    <w:p>
      <w:pPr>
        <w:pStyle w:val="Body A"/>
      </w:pPr>
      <w:r>
        <w:rPr>
          <w:rtl w:val="0"/>
        </w:rPr>
        <w:t>A tin inventory from Mari, dating to  Zimri-Lim</w:t>
      </w:r>
      <w:r>
        <w:rPr>
          <w:rtl w:val="0"/>
        </w:rPr>
        <w:t>’</w:t>
      </w:r>
      <w:r>
        <w:rPr>
          <w:rtl w:val="0"/>
        </w:rPr>
        <w:t xml:space="preserve">s reign (circa 1780-1760 </w:t>
      </w:r>
      <w:r>
        <w:rPr>
          <w:smallCaps w:val="1"/>
          <w:rtl w:val="0"/>
          <w:lang w:val="en-US"/>
        </w:rPr>
        <w:t>bce</w:t>
      </w:r>
      <w:r>
        <w:rPr>
          <w:rtl w:val="0"/>
        </w:rPr>
        <w:t>), is the</w:t>
      </w:r>
      <w:r>
        <w:rPr>
          <w:outline w:val="0"/>
          <w:color w:val="000000"/>
          <w:sz w:val="24"/>
          <w:szCs w:val="24"/>
          <w:rtl w:val="0"/>
          <w:lang w:val="en-US"/>
          <w14:textFill>
            <w14:solidFill>
              <w14:srgbClr w14:val="000000"/>
            </w14:solidFill>
          </w14:textFill>
        </w:rPr>
        <w:t xml:space="preserve"> first textual evidence of Minoan contact in the Levant.</w:t>
      </w:r>
      <w:r>
        <w:rPr>
          <w:rFonts w:ascii="Times New Roman" w:cs="Times New Roman" w:hAnsi="Times New Roman" w:eastAsia="Times New Roman"/>
          <w:b w:val="0"/>
          <w:bCs w:val="0"/>
          <w:i w:val="0"/>
          <w:iCs w:val="0"/>
          <w:sz w:val="24"/>
          <w:szCs w:val="24"/>
          <w:vertAlign w:val="superscript"/>
        </w:rPr>
        <w:footnoteReference w:id="82"/>
      </w:r>
      <w:r>
        <w:rPr>
          <w:outline w:val="0"/>
          <w:color w:val="000000"/>
          <w:sz w:val="24"/>
          <w:szCs w:val="24"/>
          <w:rtl w:val="0"/>
          <w:lang w:val="en-US"/>
          <w14:textFill>
            <w14:solidFill>
              <w14:srgbClr w14:val="000000"/>
            </w14:solidFill>
          </w14:textFill>
        </w:rPr>
        <w:t xml:space="preserve"> Shelley Wachsmann suggests that the presence of a bilingual Ugaritian interpreter conversing with a Caphtorite (Minoan) may indicate stronger ties between the two cultures than is currently understood.</w:t>
      </w:r>
      <w:r>
        <w:rPr>
          <w:rFonts w:ascii="Times New Roman" w:cs="Times New Roman" w:hAnsi="Times New Roman" w:eastAsia="Times New Roman"/>
          <w:b w:val="0"/>
          <w:bCs w:val="0"/>
          <w:i w:val="0"/>
          <w:iCs w:val="0"/>
          <w:vertAlign w:val="superscript"/>
        </w:rPr>
        <w:footnoteReference w:id="83"/>
      </w:r>
      <w:r>
        <w:rPr>
          <w:outline w:val="0"/>
          <w:color w:val="000000"/>
          <w:sz w:val="24"/>
          <w:szCs w:val="24"/>
          <w:rtl w:val="0"/>
          <w:lang w:val="en-US"/>
          <w14:textFill>
            <w14:solidFill>
              <w14:srgbClr w14:val="000000"/>
            </w14:solidFill>
          </w14:textFill>
        </w:rPr>
        <w:t xml:space="preserve"> </w:t>
      </w:r>
      <w:r>
        <w:rPr>
          <w:rtl w:val="0"/>
        </w:rPr>
        <w:t xml:space="preserve">The Ugaritic god of handicrafts, </w:t>
      </w:r>
      <w:r>
        <w:rPr>
          <w:rtl w:val="0"/>
        </w:rPr>
        <w:t>Kothar-wa-Khasis</w:t>
      </w:r>
      <w:r>
        <w:rPr>
          <w:rtl w:val="0"/>
        </w:rPr>
        <w:t>, who constructed the legendary palace for the god Baal, was said to reside in Crete, perhaps confirming the high value prescribed to Minoan craftsmanship.</w:t>
      </w:r>
      <w:r>
        <w:rPr>
          <w:rFonts w:ascii="Times New Roman" w:cs="Times New Roman" w:hAnsi="Times New Roman" w:eastAsia="Times New Roman"/>
          <w:b w:val="0"/>
          <w:bCs w:val="0"/>
          <w:i w:val="0"/>
          <w:iCs w:val="0"/>
          <w:vertAlign w:val="superscript"/>
        </w:rPr>
        <w:footnoteReference w:id="84"/>
      </w:r>
    </w:p>
    <w:p>
      <w:pPr>
        <w:pStyle w:val="Body A"/>
      </w:pPr>
      <w:r>
        <w:rPr>
          <w:rtl w:val="0"/>
        </w:rPr>
        <w:t xml:space="preserve">Archaeologists have uncovered Minoan-style murals painted on the palace walls of various locations across the Eastern Mediterranean and Egypt. These appear to embody a </w:t>
      </w:r>
      <w:r>
        <w:rPr>
          <w:rtl w:val="1"/>
        </w:rPr>
        <w:t>‘</w:t>
      </w:r>
      <w:r>
        <w:rPr>
          <w:rtl w:val="0"/>
        </w:rPr>
        <w:t>trans-regional elite network</w:t>
      </w:r>
      <w:r>
        <w:rPr>
          <w:rtl w:val="1"/>
        </w:rPr>
        <w:t>’</w:t>
      </w:r>
      <w:r>
        <w:rPr>
          <w:rtl w:val="0"/>
        </w:rPr>
        <w:t xml:space="preserve"> which include discoveries at Tel Kabri, Alalakh, Qatna, and </w:t>
      </w:r>
      <w:r>
        <w:rPr>
          <w:rtl w:val="0"/>
          <w:lang w:val="es-ES_tradnl"/>
        </w:rPr>
        <w:t>Tell el Dab</w:t>
      </w:r>
      <w:r>
        <w:rPr>
          <w:rtl w:val="0"/>
        </w:rPr>
        <w:t>’</w:t>
      </w:r>
      <w:r>
        <w:rPr>
          <w:rtl w:val="0"/>
        </w:rPr>
        <w:t>a</w:t>
      </w:r>
      <w:r>
        <w:rPr>
          <w:rtl w:val="0"/>
        </w:rPr>
        <w:t xml:space="preserve"> (Avaris) in the Nile Delta.</w:t>
      </w:r>
      <w:r>
        <w:rPr>
          <w:rFonts w:ascii="Times New Roman" w:cs="Times New Roman" w:hAnsi="Times New Roman" w:eastAsia="Times New Roman"/>
          <w:b w:val="0"/>
          <w:bCs w:val="0"/>
          <w:i w:val="0"/>
          <w:iCs w:val="0"/>
          <w:vertAlign w:val="superscript"/>
        </w:rPr>
        <w:footnoteReference w:id="85"/>
      </w:r>
      <w:r>
        <w:rPr>
          <w:rtl w:val="0"/>
        </w:rPr>
        <w:t xml:space="preserve"> The sites appear to be at the western end of a sequence of palaces that stretch as far East as the Euphrates and the Tigris, suggesting the extensiveness of Minoan diplomatic relations</w:t>
      </w:r>
      <w:r>
        <w:rPr>
          <w:rtl w:val="0"/>
        </w:rPr>
        <w:t>.</w:t>
      </w:r>
      <w:r>
        <w:rPr>
          <w:rFonts w:ascii="Times New Roman" w:cs="Times New Roman" w:hAnsi="Times New Roman" w:eastAsia="Times New Roman"/>
          <w:b w:val="0"/>
          <w:bCs w:val="0"/>
          <w:i w:val="0"/>
          <w:iCs w:val="0"/>
          <w:vertAlign w:val="superscript"/>
        </w:rPr>
        <w:footnoteReference w:id="86"/>
      </w:r>
      <w:r>
        <w:rPr>
          <w:rtl w:val="0"/>
        </w:rPr>
        <w:t xml:space="preserve"> While it was initially believed the Alalakh murals were the work of travelling </w:t>
      </w:r>
      <w:r>
        <w:rPr>
          <w:rtl w:val="0"/>
        </w:rPr>
        <w:t>‘</w:t>
      </w:r>
      <w:r>
        <w:rPr>
          <w:rtl w:val="0"/>
        </w:rPr>
        <w:t>Asian</w:t>
      </w:r>
      <w:r>
        <w:rPr>
          <w:rtl w:val="0"/>
        </w:rPr>
        <w:t xml:space="preserve">’ </w:t>
      </w:r>
      <w:r>
        <w:rPr>
          <w:rtl w:val="0"/>
        </w:rPr>
        <w:t>craftsmen, the discovery of the other murals has since returned agency to the Aegean by being considered technically and iconographically</w:t>
      </w:r>
      <w:r>
        <w:rPr>
          <w:rtl w:val="0"/>
        </w:rPr>
        <w:t xml:space="preserve"> Minoan</w:t>
      </w:r>
      <w:r>
        <w:rPr>
          <w:rtl w:val="0"/>
        </w:rPr>
        <w:t>.</w:t>
      </w:r>
      <w:r>
        <w:rPr>
          <w:rFonts w:ascii="Times New Roman" w:cs="Times New Roman" w:hAnsi="Times New Roman" w:eastAsia="Times New Roman"/>
          <w:b w:val="0"/>
          <w:bCs w:val="0"/>
          <w:i w:val="0"/>
          <w:iCs w:val="0"/>
          <w:vertAlign w:val="superscript"/>
        </w:rPr>
        <w:footnoteReference w:id="87"/>
      </w:r>
      <w:r>
        <w:rPr>
          <w:rtl w:val="0"/>
        </w:rPr>
        <w:t xml:space="preserve">  Niemeier and Niemeier argue that the lack of archival evidence of inter-palatial exchange between Crete and the Near East, may be due to the fact that the Minoan Hieroglyphic and Linear A writing systems remain undeciphered.</w:t>
      </w:r>
      <w:r>
        <w:rPr>
          <w:rFonts w:ascii="Times New Roman" w:cs="Times New Roman" w:hAnsi="Times New Roman" w:eastAsia="Times New Roman"/>
          <w:b w:val="0"/>
          <w:bCs w:val="0"/>
          <w:i w:val="0"/>
          <w:iCs w:val="0"/>
          <w:vertAlign w:val="superscript"/>
        </w:rPr>
        <w:footnoteReference w:id="88"/>
      </w:r>
    </w:p>
    <w:p>
      <w:pPr>
        <w:pStyle w:val="Body A"/>
      </w:pPr>
    </w:p>
    <w:p>
      <w:pPr>
        <w:pStyle w:val="Heading Reg"/>
      </w:pPr>
      <w:bookmarkStart w:name="_Toc18" w:id="18"/>
      <w:r>
        <w:rPr>
          <w:rFonts w:cs="Arial Unicode MS" w:eastAsia="Arial Unicode MS"/>
          <w:sz w:val="24"/>
          <w:szCs w:val="24"/>
          <w:rtl w:val="0"/>
          <w:lang w:val="en-US"/>
        </w:rPr>
        <w:t>Maritime Proficiency</w:t>
      </w:r>
      <w:bookmarkEnd w:id="18"/>
    </w:p>
    <w:p>
      <w:pPr>
        <w:pStyle w:val="Image Caption"/>
      </w:pPr>
    </w:p>
    <w:p>
      <w:pPr>
        <w:pStyle w:val="Body A"/>
      </w:pPr>
      <w:r>
        <w:rPr>
          <w:rtl w:val="0"/>
        </w:rPr>
        <w:t>Considering</w:t>
      </w:r>
      <w:r>
        <w:rPr>
          <w:rtl w:val="0"/>
        </w:rPr>
        <w:t xml:space="preserve"> the </w:t>
      </w:r>
      <w:r>
        <w:rPr>
          <w:rtl w:val="0"/>
        </w:rPr>
        <w:t>extensive</w:t>
      </w:r>
      <w:r>
        <w:rPr>
          <w:rtl w:val="0"/>
        </w:rPr>
        <w:t xml:space="preserve"> Minoan seaborne trade network, </w:t>
      </w:r>
      <w:r>
        <w:rPr>
          <w:rtl w:val="0"/>
        </w:rPr>
        <w:t xml:space="preserve">the question remains </w:t>
      </w:r>
      <w:r>
        <w:rPr>
          <w:rtl w:val="0"/>
        </w:rPr>
        <w:t xml:space="preserve">how the Minoans may have reached these </w:t>
      </w:r>
      <w:r>
        <w:rPr>
          <w:rtl w:val="0"/>
        </w:rPr>
        <w:t>remote</w:t>
      </w:r>
      <w:r>
        <w:rPr>
          <w:rtl w:val="0"/>
        </w:rPr>
        <w:t xml:space="preserve"> locations. </w:t>
      </w:r>
      <w:r>
        <w:rPr>
          <w:rtl w:val="0"/>
        </w:rPr>
        <w:t>Until recently, h</w:t>
      </w:r>
      <w:r>
        <w:rPr>
          <w:rtl w:val="0"/>
        </w:rPr>
        <w:t xml:space="preserve">istorians discounted </w:t>
      </w:r>
      <w:r>
        <w:rPr>
          <w:rtl w:val="0"/>
        </w:rPr>
        <w:t>the possibility</w:t>
      </w:r>
      <w:r>
        <w:rPr>
          <w:rtl w:val="0"/>
        </w:rPr>
        <w:t xml:space="preserve"> </w:t>
      </w:r>
      <w:r>
        <w:rPr>
          <w:rtl w:val="0"/>
        </w:rPr>
        <w:t xml:space="preserve">that </w:t>
      </w:r>
      <w:r>
        <w:rPr>
          <w:rtl w:val="0"/>
        </w:rPr>
        <w:t xml:space="preserve">ancient navigators </w:t>
      </w:r>
      <w:r>
        <w:rPr>
          <w:rtl w:val="0"/>
        </w:rPr>
        <w:t>could</w:t>
      </w:r>
      <w:r>
        <w:rPr>
          <w:rtl w:val="0"/>
        </w:rPr>
        <w:t xml:space="preserve"> sail the </w:t>
      </w:r>
      <w:r>
        <w:rPr>
          <w:rtl w:val="0"/>
        </w:rPr>
        <w:t xml:space="preserve">open </w:t>
      </w:r>
      <w:r>
        <w:rPr>
          <w:rtl w:val="0"/>
        </w:rPr>
        <w:t>seas</w:t>
      </w:r>
      <w:r>
        <w:rPr>
          <w:rtl w:val="0"/>
        </w:rPr>
        <w:t>, much less at night.</w:t>
      </w:r>
      <w:r>
        <w:rPr>
          <w:rtl w:val="0"/>
          <w:lang w:val="pt-PT"/>
        </w:rPr>
        <w:t xml:space="preserve"> This was</w:t>
      </w:r>
      <w:r>
        <w:rPr>
          <w:b w:val="1"/>
          <w:bCs w:val="1"/>
          <w:rtl w:val="0"/>
          <w:lang w:val="pt-PT"/>
        </w:rPr>
        <w:t xml:space="preserve"> </w:t>
      </w:r>
      <w:r>
        <w:rPr>
          <w:rtl w:val="0"/>
        </w:rPr>
        <w:t>a standard view as exemplified by</w:t>
      </w:r>
      <w:r>
        <w:rPr>
          <w:rtl w:val="0"/>
          <w:lang w:val="pt-PT"/>
        </w:rPr>
        <w:t xml:space="preserve"> Thomazi</w:t>
      </w:r>
      <w:r>
        <w:rPr>
          <w:rtl w:val="0"/>
          <w:lang w:val="pt-PT"/>
        </w:rPr>
        <w:t>’</w:t>
      </w:r>
      <w:r>
        <w:rPr>
          <w:rtl w:val="0"/>
          <w:lang w:val="pt-PT"/>
        </w:rPr>
        <w:t xml:space="preserve">s </w:t>
      </w:r>
      <w:r>
        <w:rPr>
          <w:rtl w:val="0"/>
        </w:rPr>
        <w:t xml:space="preserve">1947, </w:t>
      </w:r>
      <w:r>
        <w:rPr>
          <w:i w:val="1"/>
          <w:iCs w:val="1"/>
          <w:rtl w:val="0"/>
          <w:lang w:val="pt-PT"/>
        </w:rPr>
        <w:t>Histoire de la</w:t>
      </w:r>
      <w:r>
        <w:rPr>
          <w:i w:val="1"/>
          <w:iCs w:val="1"/>
          <w:rtl w:val="0"/>
          <w:lang w:val="en-US"/>
        </w:rPr>
        <w:t xml:space="preserve"> N</w:t>
      </w:r>
      <w:r>
        <w:rPr>
          <w:i w:val="1"/>
          <w:iCs w:val="1"/>
          <w:rtl w:val="0"/>
          <w:lang w:val="pt-PT"/>
        </w:rPr>
        <w:t>avigation</w:t>
      </w:r>
      <w:r>
        <w:rPr>
          <w:rtl w:val="0"/>
        </w:rPr>
        <w:t xml:space="preserve">, </w:t>
      </w:r>
      <w:r>
        <w:rPr>
          <w:rtl w:val="0"/>
        </w:rPr>
        <w:t>‘</w:t>
      </w:r>
      <w:r>
        <w:rPr>
          <w:rtl w:val="0"/>
          <w:lang w:val="pt-PT"/>
        </w:rPr>
        <w:t>Ancient peoples were mediocre sailors who were so afraid of the sea that they took every possible opportunity to travel by land. They would never sail at night unless they absolutely had to</w:t>
      </w:r>
      <w:r>
        <w:rPr>
          <w:rtl w:val="0"/>
        </w:rPr>
        <w:t>’</w:t>
      </w:r>
      <w:r>
        <w:rPr>
          <w:rtl w:val="0"/>
          <w:lang w:val="pt-PT"/>
        </w:rPr>
        <w:t>.</w:t>
      </w:r>
      <w:r>
        <w:rPr>
          <w:rFonts w:ascii="Times New Roman" w:cs="Times New Roman" w:hAnsi="Times New Roman" w:eastAsia="Times New Roman"/>
          <w:b w:val="0"/>
          <w:bCs w:val="0"/>
          <w:i w:val="0"/>
          <w:iCs w:val="0"/>
          <w:vertAlign w:val="superscript"/>
        </w:rPr>
        <w:footnoteReference w:id="89"/>
      </w:r>
      <w:r>
        <w:rPr>
          <w:rtl w:val="0"/>
        </w:rPr>
        <w:t xml:space="preserve"> Chryssoulaki also believes that due to the possible limitations of Late Minoan I shipbuilding, long-distance travels far from shore and overnight sea voyages were unlikely.</w:t>
      </w:r>
      <w:r>
        <w:rPr>
          <w:rFonts w:ascii="Times New Roman" w:cs="Times New Roman" w:hAnsi="Times New Roman" w:eastAsia="Times New Roman"/>
          <w:b w:val="0"/>
          <w:bCs w:val="0"/>
          <w:i w:val="0"/>
          <w:iCs w:val="0"/>
          <w:vertAlign w:val="superscript"/>
        </w:rPr>
        <w:footnoteReference w:id="90"/>
      </w:r>
    </w:p>
    <w:p>
      <w:pPr>
        <w:pStyle w:val="Body A"/>
      </w:pPr>
      <w:r>
        <w:rPr>
          <w:rtl w:val="0"/>
        </w:rPr>
        <w:t>However, contrary to earlier assessments, neolithic sailors already braved nocturnal sea journeys. During the later Palaeolithic and Mesolithic, paddled boats regularly crossed from the Argolid to Melos on open sea in stretches of 10 to 20 nautical miles.</w:t>
      </w:r>
      <w:r>
        <w:rPr>
          <w:rFonts w:ascii="Times New Roman" w:cs="Times New Roman" w:hAnsi="Times New Roman" w:eastAsia="Times New Roman"/>
          <w:b w:val="0"/>
          <w:bCs w:val="0"/>
          <w:i w:val="0"/>
          <w:iCs w:val="0"/>
          <w:vertAlign w:val="superscript"/>
        </w:rPr>
        <w:footnoteReference w:id="91"/>
      </w:r>
      <w:r>
        <w:rPr>
          <w:rtl w:val="0"/>
        </w:rPr>
        <w:t xml:space="preserve"> These voyages edged the limits of daylight, indicating nighttime sailing.</w:t>
      </w:r>
      <w:r>
        <w:rPr>
          <w:rFonts w:ascii="Times New Roman" w:cs="Times New Roman" w:hAnsi="Times New Roman" w:eastAsia="Times New Roman"/>
          <w:b w:val="0"/>
          <w:bCs w:val="0"/>
          <w:i w:val="0"/>
          <w:iCs w:val="0"/>
          <w:vertAlign w:val="superscript"/>
        </w:rPr>
        <w:footnoteReference w:id="92"/>
      </w:r>
      <w:r>
        <w:rPr>
          <w:rtl w:val="0"/>
        </w:rPr>
        <w:t xml:space="preserve"> According to Davis, the constraints of paddled craft and the maintenance of colonies on the Aegean Islands and Cyprus in the Final Neolithic suggest a </w:t>
      </w:r>
      <w:r>
        <w:rPr>
          <w:rtl w:val="0"/>
        </w:rPr>
        <w:t>‘</w:t>
      </w:r>
      <w:r>
        <w:rPr>
          <w:rtl w:val="0"/>
        </w:rPr>
        <w:t>celestial navigation system embracing celestial observation was in place this early</w:t>
      </w:r>
      <w:r>
        <w:rPr>
          <w:rtl w:val="1"/>
        </w:rPr>
        <w:t>’</w:t>
      </w:r>
      <w:r>
        <w:rPr>
          <w:rtl w:val="0"/>
        </w:rPr>
        <w:t>.</w:t>
      </w:r>
      <w:r>
        <w:rPr>
          <w:rFonts w:ascii="Times New Roman" w:cs="Times New Roman" w:hAnsi="Times New Roman" w:eastAsia="Times New Roman"/>
          <w:b w:val="0"/>
          <w:bCs w:val="0"/>
          <w:i w:val="0"/>
          <w:iCs w:val="0"/>
          <w:vertAlign w:val="superscript"/>
        </w:rPr>
        <w:footnoteReference w:id="93"/>
      </w:r>
      <w:r>
        <w:rPr>
          <w:rtl w:val="0"/>
        </w:rPr>
        <w:t xml:space="preserve"> He points to the voyages from Crete to Thera, the closest Cycladic Island, whose distance of 50 nautical miles, suggests at least one overnight voyage.</w:t>
      </w:r>
      <w:r>
        <w:rPr>
          <w:rFonts w:ascii="Times New Roman" w:cs="Times New Roman" w:hAnsi="Times New Roman" w:eastAsia="Times New Roman"/>
          <w:b w:val="0"/>
          <w:bCs w:val="0"/>
          <w:i w:val="0"/>
          <w:iCs w:val="0"/>
          <w:vertAlign w:val="superscript"/>
        </w:rPr>
        <w:footnoteReference w:id="94"/>
      </w:r>
      <w:r>
        <w:rPr>
          <w:rtl w:val="0"/>
        </w:rPr>
        <w:t xml:space="preserve"> Due to the paucity of textual evidence, any understanding of possible Minoan celestial navigation techniques will have to be inferred from ethnographic parallels, iconographic representations, or posterior historical records from the Greek age.</w:t>
      </w:r>
    </w:p>
    <w:p>
      <w:pPr>
        <w:pStyle w:val="Heading Reg"/>
      </w:pPr>
    </w:p>
    <w:p>
      <w:pPr>
        <w:pStyle w:val="Heading Reg"/>
      </w:pPr>
      <w:bookmarkStart w:name="_Toc19" w:id="19"/>
      <w:r>
        <w:rPr>
          <w:rFonts w:cs="Arial Unicode MS" w:eastAsia="Arial Unicode MS"/>
          <w:rtl w:val="0"/>
          <w:lang w:val="en-US"/>
        </w:rPr>
        <w:t>Summary</w:t>
      </w:r>
      <w:bookmarkEnd w:id="19"/>
    </w:p>
    <w:p>
      <w:pPr>
        <w:pStyle w:val="Body"/>
        <w:spacing w:line="360" w:lineRule="auto"/>
        <w:ind w:firstLine="540"/>
        <w:rPr>
          <w14:textOutline w14:w="12700" w14:cap="flat">
            <w14:noFill/>
            <w14:miter w14:lim="400000"/>
          </w14:textOutline>
        </w:rPr>
      </w:pPr>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Located at the crossroads of various sea routes, Crete has an ancient navigation tradition going back at least 15,000 years.</w:t>
      </w:r>
      <w:r>
        <w:rPr>
          <w:rFonts w:ascii="Times New Roman" w:cs="Times New Roman" w:hAnsi="Times New Roman" w:eastAsia="Times New Roman"/>
          <w:u w:color="000000"/>
          <w:vertAlign w:val="superscript"/>
          <w:rtl w:val="0"/>
          <w14:textOutline w14:w="12700" w14:cap="flat">
            <w14:noFill/>
            <w14:miter w14:lim="400000"/>
          </w14:textOutline>
        </w:rPr>
        <w:footnoteReference w:id="95"/>
      </w:r>
      <w:r>
        <w:rPr>
          <w:rFonts w:ascii="Times New Roman" w:hAnsi="Times New Roman"/>
          <w:u w:color="000000"/>
          <w:rtl w:val="0"/>
          <w:lang w:val="en-US"/>
          <w14:textOutline w14:w="12700" w14:cap="flat">
            <w14:noFill/>
            <w14:miter w14:lim="400000"/>
          </w14:textOutline>
        </w:rPr>
        <w:t xml:space="preserve"> The Minoans, with their naval supremacy, participated in exchange cycles with the Eastern Mediterranean. The Ulu Burun shipwreck from the Mycenaean age attests to the international multi-cultural trade networks. The control of these prosperous sea-lanes probably involved a counter-clockwise route from Crete to Egypt around Cyprus and back. However, a direct route from Crete to Cyprus and to other locations is also possible. Trade with ancient Egypt from Crete has a long history, with evidence dating as early as the Aegean Neolithic and the Middle Kingdom of Egypt.</w:t>
      </w:r>
      <w:r>
        <w:rPr>
          <w:rFonts w:ascii="Times New Roman" w:cs="Times New Roman" w:hAnsi="Times New Roman" w:eastAsia="Times New Roman"/>
          <w:u w:color="000000"/>
          <w:vertAlign w:val="superscript"/>
          <w:rtl w:val="0"/>
          <w14:textOutline w14:w="12700" w14:cap="flat">
            <w14:noFill/>
            <w14:miter w14:lim="400000"/>
          </w14:textOutline>
        </w:rPr>
        <w:footnoteReference w:id="96"/>
      </w:r>
      <w:r>
        <w:rPr>
          <w:rFonts w:ascii="Times New Roman" w:hAnsi="Times New Roman"/>
          <w:u w:color="000000"/>
          <w:rtl w:val="0"/>
          <w:lang w:val="en-US"/>
          <w14:textOutline w14:w="12700" w14:cap="flat">
            <w14:noFill/>
            <w14:miter w14:lim="400000"/>
          </w14:textOutline>
        </w:rPr>
        <w:t xml:space="preserve"> Minoica have been uncovered through the Near East, along with remnants of Minoan-style frescos in various foreign palaces.</w:t>
      </w:r>
      <w:r>
        <w:rPr>
          <w:rFonts w:ascii="Times New Roman" w:cs="Times New Roman" w:hAnsi="Times New Roman" w:eastAsia="Times New Roman"/>
          <w:u w:color="000000"/>
          <w:vertAlign w:val="superscript"/>
          <w:rtl w:val="0"/>
          <w14:textOutline w14:w="12700" w14:cap="flat">
            <w14:noFill/>
            <w14:miter w14:lim="400000"/>
          </w14:textOutline>
        </w:rPr>
        <w:footnoteReference w:id="97"/>
      </w:r>
      <w:r>
        <w:rPr>
          <w:rFonts w:ascii="Times New Roman" w:hAnsi="Times New Roman"/>
          <w:u w:color="000000"/>
          <w:rtl w:val="0"/>
          <w:lang w:val="en-US"/>
          <w14:textOutline w14:w="12700" w14:cap="flat">
            <w14:noFill/>
            <w14:miter w14:lim="400000"/>
          </w14:textOutline>
        </w:rPr>
        <w:t xml:space="preserve"> </w:t>
      </w:r>
      <w:r>
        <w:rPr>
          <w:rFonts w:ascii="Times New Roman" w:cs="Times New Roman" w:hAnsi="Times New Roman" w:eastAsia="Times New Roman"/>
          <w:u w:color="000000"/>
          <w:vertAlign w:val="superscript"/>
          <w:rtl w:val="0"/>
          <w14:textOutline w14:w="12700" w14:cap="flat">
            <w14:noFill/>
            <w14:miter w14:lim="400000"/>
          </w14:textOutline>
        </w:rPr>
        <w:footnoteReference w:id="98"/>
      </w:r>
      <w:r>
        <w:rPr>
          <w:rFonts w:ascii="Times New Roman" w:hAnsi="Times New Roman"/>
          <w:u w:color="000000"/>
          <w:rtl w:val="0"/>
          <w:lang w:val="en-US"/>
          <w14:textOutline w14:w="12700" w14:cap="flat">
            <w14:noFill/>
            <w14:miter w14:lim="400000"/>
          </w14:textOutline>
        </w:rPr>
        <w:t xml:space="preserve"> The prospect that Minoans had the proficiency to embark on direct voyages to Egypt and the Levant may be evidenced by later historical records of night time sailing and the fact that by the Neolithic sailors were already braving nocturnal sea crossings.</w:t>
      </w:r>
      <w:r>
        <w:rPr>
          <w:rFonts w:ascii="Times New Roman" w:cs="Times New Roman" w:hAnsi="Times New Roman" w:eastAsia="Times New Roman"/>
          <w:u w:color="000000"/>
          <w:vertAlign w:val="superscript"/>
          <w:rtl w:val="0"/>
          <w14:textOutline w14:w="12700" w14:cap="flat">
            <w14:noFill/>
            <w14:miter w14:lim="400000"/>
          </w14:textOutline>
        </w:rPr>
        <w:footnoteReference w:id="99"/>
      </w:r>
      <w:r>
        <w:rPr>
          <w:rFonts w:ascii="Times New Roman" w:hAnsi="Times New Roman"/>
          <w:u w:color="000000"/>
          <w:rtl w:val="0"/>
          <w:lang w:val="en-US"/>
          <w14:textOutline w14:w="12700" w14:cap="flat">
            <w14:noFill/>
            <w14:miter w14:lim="400000"/>
          </w14:textOutline>
        </w:rPr>
        <w:t xml:space="preserve"> </w:t>
      </w:r>
    </w:p>
    <w:p>
      <w:pPr>
        <w:pStyle w:val="Default"/>
        <w:bidi w:val="0"/>
        <w:spacing w:before="0" w:line="360" w:lineRule="auto"/>
        <w:ind w:left="0" w:right="0" w:firstLine="540"/>
        <w:jc w:val="left"/>
        <w:rPr>
          <w:rtl w:val="0"/>
        </w:rPr>
      </w:pPr>
      <w:r>
        <w:rPr>
          <w:rFonts w:ascii="Arial Unicode MS" w:cs="Arial Unicode MS" w:hAnsi="Arial Unicode MS" w:eastAsia="Arial Unicode MS"/>
          <w:b w:val="0"/>
          <w:bCs w:val="0"/>
          <w:i w:val="0"/>
          <w:iCs w:val="0"/>
          <w:u w:val="single" w:color="000000"/>
          <w:rtl w:val="0"/>
          <w14:textOutline w14:w="12700" w14:cap="flat">
            <w14:noFill/>
            <w14:miter w14:lim="400000"/>
          </w14:textOutline>
        </w:rPr>
        <w:br w:type="page"/>
      </w:r>
    </w:p>
    <w:p>
      <w:pPr>
        <w:pStyle w:val="Heading"/>
        <w:bidi w:val="0"/>
      </w:pPr>
      <w:bookmarkStart w:name="_Toc20" w:id="20"/>
      <w:r>
        <w:rPr>
          <w:rFonts w:cs="Arial Unicode MS" w:eastAsia="Arial Unicode MS"/>
          <w:rtl w:val="0"/>
          <w:lang w:val="en-US"/>
        </w:rPr>
        <w:t>Ethnographic Parallels</w:t>
      </w:r>
      <w:bookmarkEnd w:id="20"/>
    </w:p>
    <w:p>
      <w:pPr>
        <w:pStyle w:val="Body A"/>
      </w:pPr>
    </w:p>
    <w:p>
      <w:pPr>
        <w:pStyle w:val="Body A"/>
        <w:jc w:val="center"/>
      </w:pPr>
      <w:r>
        <w:rPr>
          <w:rtl w:val="1"/>
        </w:rPr>
        <w:t>‘</w:t>
      </w:r>
      <w:r>
        <w:rPr>
          <w:rtl w:val="0"/>
          <w:lang w:val="en-US"/>
        </w:rPr>
        <w:t>A word of ethnography is worth a thousand alignments</w:t>
      </w:r>
      <w:r>
        <w:rPr>
          <w:rtl w:val="0"/>
          <w:lang w:val="en-US"/>
        </w:rPr>
        <w:t>,</w:t>
      </w:r>
      <w:r>
        <w:rPr>
          <w:rtl w:val="0"/>
          <w:lang w:val="en-US"/>
        </w:rPr>
        <w:t xml:space="preserve">’ </w:t>
      </w:r>
      <w:r>
        <w:rPr>
          <w:rtl w:val="0"/>
          <w:lang w:val="en-US"/>
        </w:rPr>
        <w:t>Clive Ruggles.</w:t>
      </w:r>
      <w:r>
        <w:rPr>
          <w:vertAlign w:val="superscript"/>
        </w:rPr>
        <w:footnoteReference w:id="100"/>
      </w:r>
      <w:r>
        <w:rPr>
          <w:rtl w:val="0"/>
          <w:lang w:val="en-US"/>
        </w:rPr>
        <w:t xml:space="preserve"> </w:t>
      </w:r>
    </w:p>
    <w:p>
      <w:pPr>
        <w:pStyle w:val="Body A"/>
      </w:pPr>
    </w:p>
    <w:p>
      <w:pPr>
        <w:pStyle w:val="Body A"/>
      </w:pPr>
      <w:r>
        <w:rPr>
          <w:rtl w:val="0"/>
        </w:rPr>
        <w:t xml:space="preserve">Despite centuries of acculturation, ethnographic data confirms the presence of traditional star navigation in </w:t>
      </w:r>
      <w:r>
        <w:rPr>
          <w:rtl w:val="0"/>
        </w:rPr>
        <w:t>‘</w:t>
      </w:r>
      <w:r>
        <w:rPr>
          <w:rtl w:val="0"/>
        </w:rPr>
        <w:t>Central Carolines and, to varying degrees, in the Santa Cruz Outer Reef Islands, Tikopia, Ninigo, the Gilberts and Tonga</w:t>
      </w:r>
      <w:r>
        <w:rPr>
          <w:rtl w:val="1"/>
        </w:rPr>
        <w:t>’</w:t>
      </w:r>
      <w:r>
        <w:rPr>
          <w:rtl w:val="0"/>
        </w:rPr>
        <w:t>.</w:t>
      </w:r>
      <w:r>
        <w:rPr>
          <w:rFonts w:ascii="Times New Roman" w:cs="Times New Roman" w:hAnsi="Times New Roman" w:eastAsia="Times New Roman"/>
          <w:b w:val="0"/>
          <w:bCs w:val="0"/>
          <w:i w:val="0"/>
          <w:iCs w:val="0"/>
          <w:vertAlign w:val="superscript"/>
        </w:rPr>
        <w:footnoteReference w:id="101"/>
      </w:r>
      <w:r>
        <w:rPr>
          <w:rtl w:val="0"/>
        </w:rPr>
        <w:t xml:space="preserve"> </w:t>
      </w:r>
      <w:r>
        <w:rPr>
          <w:rtl w:val="0"/>
        </w:rPr>
        <w:t xml:space="preserve">Getting their bearings by the stars, sun, wind and currents, </w:t>
      </w:r>
      <w:r>
        <w:rPr>
          <w:rtl w:val="0"/>
        </w:rPr>
        <w:t xml:space="preserve">Pacific Islanders sailed 50-200 nautical miles, distances comparable to those </w:t>
      </w:r>
      <w:r>
        <w:rPr>
          <w:rtl w:val="0"/>
        </w:rPr>
        <w:t xml:space="preserve">traveled by </w:t>
      </w:r>
      <w:r>
        <w:rPr>
          <w:rtl w:val="0"/>
          <w:lang w:val="it-IT"/>
        </w:rPr>
        <w:t xml:space="preserve">Mediterranean sailors. </w:t>
      </w:r>
      <w:r>
        <w:rPr>
          <w:rtl w:val="0"/>
        </w:rPr>
        <w:t>The hypothesis that Polynesia may have been settled by accident and not intentional star navigation, thereby undervaluing traditional techniques, was put forth by Andrew Sharp in the 1960</w:t>
      </w:r>
      <w:r>
        <w:rPr>
          <w:rtl w:val="0"/>
        </w:rPr>
        <w:t>’</w:t>
      </w:r>
      <w:r>
        <w:rPr>
          <w:rtl w:val="0"/>
        </w:rPr>
        <w:t>s.</w:t>
      </w:r>
      <w:r>
        <w:rPr>
          <w:rFonts w:ascii="Times New Roman" w:cs="Times New Roman" w:hAnsi="Times New Roman" w:eastAsia="Times New Roman"/>
          <w:b w:val="0"/>
          <w:bCs w:val="0"/>
          <w:i w:val="0"/>
          <w:iCs w:val="0"/>
          <w:vertAlign w:val="superscript"/>
        </w:rPr>
        <w:footnoteReference w:id="102"/>
      </w:r>
      <w:r>
        <w:rPr>
          <w:rtl w:val="0"/>
        </w:rPr>
        <w:t xml:space="preserve"> Computer modelling by Irwin </w:t>
      </w:r>
      <w:r>
        <w:rPr>
          <w:rtl w:val="0"/>
        </w:rPr>
        <w:t>and others</w:t>
      </w:r>
      <w:r>
        <w:rPr>
          <w:rtl w:val="0"/>
        </w:rPr>
        <w:t xml:space="preserve"> have shown the unlikelihood of accidental colonisation of the Pacific Islands, underpinning</w:t>
      </w:r>
      <w:r>
        <w:rPr>
          <w:rtl w:val="0"/>
        </w:rPr>
        <w:t xml:space="preserve"> the efficacy of stellar wayfinding techniques</w:t>
      </w:r>
      <w:r>
        <w:rPr>
          <w:rtl w:val="0"/>
        </w:rPr>
        <w:t>.</w:t>
      </w:r>
      <w:r>
        <w:rPr>
          <w:rFonts w:ascii="Times New Roman" w:cs="Times New Roman" w:hAnsi="Times New Roman" w:eastAsia="Times New Roman"/>
          <w:b w:val="0"/>
          <w:bCs w:val="0"/>
          <w:i w:val="0"/>
          <w:iCs w:val="0"/>
          <w:vertAlign w:val="superscript"/>
        </w:rPr>
        <w:footnoteReference w:id="103"/>
      </w:r>
      <w:r>
        <w:rPr>
          <w:rtl w:val="0"/>
        </w:rPr>
        <w:t xml:space="preserve"> Experiential archaeologists and anthropologists have also shown the viability of navigating by the stars in ancient water craft. For instance, anthropologist Marianne George documented the creation of traditional Polynesian voyaging canoe, the Vaka Taumako.</w:t>
      </w:r>
      <w:r>
        <w:rPr>
          <w:rFonts w:ascii="Times New Roman" w:cs="Times New Roman" w:hAnsi="Times New Roman" w:eastAsia="Times New Roman"/>
          <w:b w:val="0"/>
          <w:bCs w:val="0"/>
          <w:i w:val="0"/>
          <w:iCs w:val="0"/>
          <w:vertAlign w:val="superscript"/>
        </w:rPr>
        <w:footnoteReference w:id="104"/>
      </w:r>
      <w:r>
        <w:rPr>
          <w:rtl w:val="0"/>
        </w:rPr>
        <w:t xml:space="preserve"> Unlike previous reconstructions made since the 1960</w:t>
      </w:r>
      <w:r>
        <w:rPr>
          <w:rtl w:val="0"/>
        </w:rPr>
        <w:t>’</w:t>
      </w:r>
      <w:r>
        <w:rPr>
          <w:rtl w:val="0"/>
        </w:rPr>
        <w:t xml:space="preserve">s, </w:t>
      </w:r>
      <w:r>
        <w:rPr>
          <w:rtl w:val="0"/>
        </w:rPr>
        <w:t>Vaka Taumako</w:t>
      </w:r>
      <w:r>
        <w:rPr>
          <w:rtl w:val="0"/>
        </w:rPr>
        <w:t xml:space="preserve"> was composed of only ancient materials, tools, and methods, allowing them to teach and preserve the dwindling art of star navigation.</w:t>
      </w:r>
    </w:p>
    <w:p>
      <w:pPr>
        <w:pStyle w:val="Body A"/>
      </w:pPr>
      <w:r>
        <w:rPr>
          <w:rtl w:val="0"/>
        </w:rPr>
        <w:t>A</w:t>
      </w:r>
      <w:r>
        <w:rPr>
          <w:rtl w:val="0"/>
        </w:rPr>
        <w:t xml:space="preserve"> comparative analysis of surviving navigation traditions </w:t>
      </w:r>
      <w:r>
        <w:rPr>
          <w:rtl w:val="0"/>
        </w:rPr>
        <w:t>from</w:t>
      </w:r>
      <w:r>
        <w:rPr>
          <w:rtl w:val="0"/>
        </w:rPr>
        <w:t xml:space="preserve"> the Pacific</w:t>
      </w:r>
      <w:r>
        <w:rPr>
          <w:rtl w:val="0"/>
        </w:rPr>
        <w:t xml:space="preserve"> may illustrate </w:t>
      </w:r>
      <w:r>
        <w:rPr>
          <w:rtl w:val="0"/>
        </w:rPr>
        <w:t xml:space="preserve">how the Minoans </w:t>
      </w:r>
      <w:r>
        <w:rPr>
          <w:rtl w:val="0"/>
        </w:rPr>
        <w:t xml:space="preserve">may have </w:t>
      </w:r>
      <w:r>
        <w:rPr>
          <w:rtl w:val="0"/>
          <w:lang w:val="it-IT"/>
        </w:rPr>
        <w:t>navigate</w:t>
      </w:r>
      <w:r>
        <w:rPr>
          <w:rtl w:val="0"/>
        </w:rPr>
        <w:t xml:space="preserve">d the Aegean and the Mediterranean. Puckett writes, </w:t>
      </w:r>
      <w:r>
        <w:rPr>
          <w:rtl w:val="0"/>
        </w:rPr>
        <w:t>‘</w:t>
      </w:r>
      <w:r>
        <w:rPr>
          <w:rtl w:val="0"/>
        </w:rPr>
        <w:t>A comparable contemporary skillset used by Polynesian seafarers helps to identify techniques that may have been useful for the Phoenicians</w:t>
      </w:r>
      <w:r>
        <w:rPr>
          <w:rtl w:val="1"/>
        </w:rPr>
        <w:t>’</w:t>
      </w:r>
      <w:r>
        <w:rPr>
          <w:rtl w:val="0"/>
        </w:rPr>
        <w:t>.</w:t>
      </w:r>
      <w:r>
        <w:rPr>
          <w:rFonts w:ascii="Times New Roman" w:cs="Times New Roman" w:hAnsi="Times New Roman" w:eastAsia="Times New Roman"/>
          <w:b w:val="0"/>
          <w:bCs w:val="0"/>
          <w:i w:val="0"/>
          <w:iCs w:val="0"/>
          <w:vertAlign w:val="superscript"/>
        </w:rPr>
        <w:footnoteReference w:id="105"/>
      </w:r>
      <w:r>
        <w:rPr>
          <w:rtl w:val="0"/>
        </w:rPr>
        <w:t xml:space="preserve"> Davis proposes</w:t>
      </w:r>
      <w:r>
        <w:rPr>
          <w:rtl w:val="0"/>
        </w:rPr>
        <w:t xml:space="preserve"> that ethnographic reports of time</w:t>
      </w:r>
      <w:r>
        <w:rPr>
          <w:rtl w:val="0"/>
        </w:rPr>
        <w:t>-</w:t>
      </w:r>
      <w:r>
        <w:rPr>
          <w:rtl w:val="0"/>
        </w:rPr>
        <w:t xml:space="preserve">tested celestial navigation techniques from Polynesia and Micronesia can be </w:t>
      </w:r>
      <w:r>
        <w:rPr>
          <w:rtl w:val="0"/>
        </w:rPr>
        <w:t>‘</w:t>
      </w:r>
      <w:r>
        <w:rPr>
          <w:rtl w:val="0"/>
        </w:rPr>
        <w:t>productive and relevant</w:t>
      </w:r>
      <w:r>
        <w:rPr>
          <w:rtl w:val="0"/>
        </w:rPr>
        <w:t xml:space="preserve">’ </w:t>
      </w:r>
      <w:r>
        <w:rPr>
          <w:rtl w:val="0"/>
        </w:rPr>
        <w:t>comparisons</w:t>
      </w:r>
      <w:r>
        <w:rPr>
          <w:rtl w:val="0"/>
        </w:rPr>
        <w:t xml:space="preserve"> </w:t>
      </w:r>
      <w:r>
        <w:rPr>
          <w:rtl w:val="0"/>
        </w:rPr>
        <w:t>that</w:t>
      </w:r>
      <w:r>
        <w:rPr>
          <w:rtl w:val="0"/>
        </w:rPr>
        <w:t xml:space="preserve"> further our understanding of ancient mediterranean sailing techniques</w:t>
      </w:r>
      <w:r>
        <w:rPr>
          <w:rtl w:val="0"/>
        </w:rPr>
        <w:t xml:space="preserve">, since Pacific </w:t>
      </w:r>
      <w:r>
        <w:rPr>
          <w:rtl w:val="1"/>
        </w:rPr>
        <w:t>‘</w:t>
      </w:r>
      <w:r>
        <w:rPr>
          <w:rtl w:val="0"/>
        </w:rPr>
        <w:t>inter island distances mirror those of the Eastern Mediterranean</w:t>
      </w:r>
      <w:r>
        <w:rPr>
          <w:rtl w:val="1"/>
        </w:rPr>
        <w:t>’</w:t>
      </w:r>
      <w:r>
        <w:rPr>
          <w:rtl w:val="0"/>
        </w:rPr>
        <w:t>.</w:t>
      </w:r>
      <w:r>
        <w:rPr>
          <w:rFonts w:ascii="Times New Roman" w:cs="Times New Roman" w:hAnsi="Times New Roman" w:eastAsia="Times New Roman"/>
          <w:b w:val="0"/>
          <w:bCs w:val="0"/>
          <w:i w:val="0"/>
          <w:iCs w:val="0"/>
          <w:vertAlign w:val="superscript"/>
        </w:rPr>
        <w:footnoteReference w:id="106"/>
      </w:r>
      <w:r>
        <w:rPr>
          <w:rtl w:val="0"/>
        </w:rPr>
        <w:t xml:space="preserve"> Likewise, Tartaron argues that </w:t>
      </w:r>
      <w:r>
        <w:rPr>
          <w:rtl w:val="0"/>
        </w:rPr>
        <w:t>‘</w:t>
      </w:r>
      <w:r>
        <w:rPr>
          <w:rtl w:val="0"/>
        </w:rPr>
        <w:t>Ethnographic studies of seafaring in the Pacific are a good point of departure</w:t>
      </w:r>
      <w:r>
        <w:rPr>
          <w:rtl w:val="0"/>
        </w:rPr>
        <w:t xml:space="preserve"> </w:t>
      </w:r>
      <w:r>
        <w:rPr>
          <w:rtl w:val="0"/>
        </w:rPr>
        <w:t>since they offer detailed reconstructions of maritime knowledge and its transmission in a nonliterate society</w:t>
      </w:r>
      <w:r>
        <w:rPr>
          <w:rtl w:val="1"/>
        </w:rPr>
        <w:t>’</w:t>
      </w:r>
      <w:r>
        <w:rPr>
          <w:rtl w:val="0"/>
        </w:rPr>
        <w:t>.</w:t>
      </w:r>
      <w:r>
        <w:rPr>
          <w:rFonts w:ascii="Times New Roman" w:cs="Times New Roman" w:hAnsi="Times New Roman" w:eastAsia="Times New Roman"/>
          <w:b w:val="0"/>
          <w:bCs w:val="0"/>
          <w:i w:val="0"/>
          <w:iCs w:val="0"/>
          <w:vertAlign w:val="superscript"/>
        </w:rPr>
        <w:footnoteReference w:id="107"/>
      </w:r>
      <w:r>
        <w:rPr>
          <w:rtl w:val="0"/>
        </w:rPr>
        <w:t xml:space="preserve"> These citations confirm the value of comparing Pacific navigation techniques with those from the ancient Mediterranean.</w:t>
      </w:r>
    </w:p>
    <w:p>
      <w:pPr>
        <w:pStyle w:val="Image Caption"/>
      </w:pPr>
    </w:p>
    <w:p>
      <w:pPr>
        <w:pStyle w:val="Heading Reg"/>
      </w:pPr>
      <w:bookmarkStart w:name="_Toc21" w:id="21"/>
      <w:r>
        <w:rPr>
          <w:rFonts w:cs="Arial Unicode MS" w:eastAsia="Arial Unicode MS"/>
          <w:rtl w:val="0"/>
          <w:lang w:val="en-US"/>
        </w:rPr>
        <w:t>The Basics of Star Path Sailing</w:t>
      </w:r>
      <w:bookmarkEnd w:id="21"/>
    </w:p>
    <w:p>
      <w:pPr>
        <w:pStyle w:val="Body A"/>
      </w:pPr>
    </w:p>
    <w:p>
      <w:pPr>
        <w:pStyle w:val="Body A"/>
      </w:pPr>
      <w:r>
        <w:rPr>
          <w:rtl w:val="0"/>
        </w:rPr>
        <w:t xml:space="preserve">Fundamental to </w:t>
      </w:r>
      <w:r>
        <w:rPr>
          <w:rtl w:val="0"/>
        </w:rPr>
        <w:t>maintaining course by the stars</w:t>
      </w:r>
      <w:r>
        <w:rPr>
          <w:rtl w:val="0"/>
        </w:rPr>
        <w:t xml:space="preserve"> is the observance of horizon stars as they rise or set. By memorising the stars on the same declinations, </w:t>
      </w:r>
      <w:r>
        <w:rPr>
          <w:rtl w:val="0"/>
        </w:rPr>
        <w:t>‘</w:t>
      </w:r>
      <w:r>
        <w:rPr>
          <w:rtl w:val="0"/>
        </w:rPr>
        <w:t>star paths</w:t>
      </w:r>
      <w:r>
        <w:rPr>
          <w:rtl w:val="0"/>
        </w:rPr>
        <w:t xml:space="preserve">’ </w:t>
      </w:r>
      <w:r>
        <w:rPr>
          <w:rtl w:val="0"/>
        </w:rPr>
        <w:t>or linear constellations</w:t>
      </w:r>
      <w:r>
        <w:rPr>
          <w:rtl w:val="0"/>
        </w:rPr>
        <w:t xml:space="preserve"> could be established to represent directions and facilitate recognition throughout the night.</w:t>
      </w:r>
      <w:r>
        <w:rPr>
          <w:rFonts w:ascii="Times New Roman" w:cs="Times New Roman" w:hAnsi="Times New Roman" w:eastAsia="Times New Roman"/>
          <w:b w:val="0"/>
          <w:bCs w:val="0"/>
          <w:i w:val="0"/>
          <w:iCs w:val="0"/>
          <w:vertAlign w:val="superscript"/>
        </w:rPr>
        <w:footnoteReference w:id="108"/>
      </w:r>
      <w:r>
        <w:rPr>
          <w:rtl w:val="0"/>
        </w:rPr>
        <w:t xml:space="preserve"> Lewis explains:</w:t>
      </w:r>
    </w:p>
    <w:p>
      <w:pPr>
        <w:pStyle w:val="Body A"/>
      </w:pPr>
    </w:p>
    <w:p>
      <w:pPr>
        <w:pStyle w:val="Quote"/>
        <w:ind w:left="720"/>
      </w:pPr>
      <w:r>
        <w:rPr>
          <w:rFonts w:cs="Arial Unicode MS" w:eastAsia="Arial Unicode MS"/>
          <w:rtl w:val="0"/>
          <w:lang w:val="en-US"/>
        </w:rPr>
        <w:t>The most accurate direction indicators for Pacific Islanders, still used in many parts of the Oceania, are stars low in the sky that have either just risen or are about to set, that is, horizon or guiding stars. You steer toward whichever star rises or sets in the direction of the island you wish to visit. In more technical terms, the direction or bearing of your objective, that is, the course you must follow, is the direction (azimuth or bearing) of its guiding star, at rise if the course be an easterly one, at set if it be westerly.</w:t>
      </w:r>
      <w:r>
        <w:rPr>
          <w:rFonts w:ascii="Times New Roman" w:cs="Times New Roman" w:hAnsi="Times New Roman" w:eastAsia="Times New Roman"/>
          <w:b w:val="0"/>
          <w:bCs w:val="0"/>
          <w:i w:val="0"/>
          <w:iCs w:val="0"/>
          <w:vertAlign w:val="superscript"/>
        </w:rPr>
        <w:footnoteReference w:id="109"/>
      </w:r>
      <w:r>
        <w:rPr>
          <w:rFonts w:cs="Arial Unicode MS" w:eastAsia="Arial Unicode MS"/>
          <w:rtl w:val="0"/>
          <w:lang w:val="en-US"/>
        </w:rPr>
        <w:t xml:space="preserve"> </w:t>
      </w:r>
    </w:p>
    <w:p>
      <w:pPr>
        <w:pStyle w:val="Body A"/>
      </w:pPr>
    </w:p>
    <w:p>
      <w:pPr>
        <w:pStyle w:val="Post QUOTE"/>
      </w:pPr>
      <w:r>
        <w:rPr>
          <w:rtl w:val="0"/>
        </w:rPr>
        <w:t xml:space="preserve">When a star had risen too far up in altitude, the next star in a similar bearing was used in its location, thus creating a star path, known as </w:t>
      </w:r>
      <w:r>
        <w:rPr>
          <w:i w:val="1"/>
          <w:iCs w:val="1"/>
          <w:rtl w:val="1"/>
        </w:rPr>
        <w:t>‘</w:t>
      </w:r>
      <w:r>
        <w:rPr>
          <w:i w:val="1"/>
          <w:iCs w:val="1"/>
          <w:rtl w:val="0"/>
          <w:lang w:val="nl-NL"/>
        </w:rPr>
        <w:t>avei</w:t>
      </w:r>
      <w:r>
        <w:rPr>
          <w:i w:val="1"/>
          <w:iCs w:val="1"/>
          <w:rtl w:val="1"/>
        </w:rPr>
        <w:t>‘</w:t>
      </w:r>
      <w:r>
        <w:rPr>
          <w:i w:val="1"/>
          <w:iCs w:val="1"/>
          <w:rtl w:val="0"/>
        </w:rPr>
        <w:t>a</w:t>
      </w:r>
      <w:r>
        <w:rPr>
          <w:rtl w:val="0"/>
        </w:rPr>
        <w:t xml:space="preserve"> </w:t>
      </w:r>
      <w:r>
        <w:rPr>
          <w:rtl w:val="0"/>
        </w:rPr>
        <w:t xml:space="preserve">by the Tahitians, as </w:t>
      </w:r>
      <w:r>
        <w:rPr>
          <w:i w:val="1"/>
          <w:iCs w:val="1"/>
          <w:rtl w:val="0"/>
        </w:rPr>
        <w:t>kaveinga</w:t>
      </w:r>
      <w:r>
        <w:rPr>
          <w:rtl w:val="0"/>
        </w:rPr>
        <w:t xml:space="preserve"> (*</w:t>
      </w:r>
      <w:r>
        <w:rPr>
          <w:i w:val="1"/>
          <w:iCs w:val="1"/>
          <w:rtl w:val="1"/>
        </w:rPr>
        <w:t>‘</w:t>
      </w:r>
      <w:r>
        <w:rPr>
          <w:i w:val="1"/>
          <w:iCs w:val="1"/>
          <w:rtl w:val="0"/>
          <w:lang w:val="en-US"/>
        </w:rPr>
        <w:t xml:space="preserve"> </w:t>
      </w:r>
      <w:r>
        <w:rPr>
          <w:rtl w:val="0"/>
        </w:rPr>
        <w:t>&gt; k, *</w:t>
      </w:r>
      <w:r>
        <w:rPr>
          <w:i w:val="1"/>
          <w:iCs w:val="1"/>
          <w:rtl w:val="1"/>
        </w:rPr>
        <w:t>‘</w:t>
      </w:r>
      <w:r>
        <w:rPr>
          <w:i w:val="1"/>
          <w:iCs w:val="1"/>
          <w:rtl w:val="0"/>
          <w:lang w:val="en-US"/>
        </w:rPr>
        <w:t xml:space="preserve"> </w:t>
      </w:r>
      <w:r>
        <w:rPr>
          <w:rtl w:val="0"/>
        </w:rPr>
        <w:t xml:space="preserve">&gt;ng) by the </w:t>
      </w:r>
      <w:r>
        <w:rPr>
          <w:rtl w:val="0"/>
        </w:rPr>
        <w:t xml:space="preserve">Tongans and </w:t>
      </w:r>
      <w:r>
        <w:rPr>
          <w:i w:val="1"/>
          <w:iCs w:val="1"/>
          <w:rtl w:val="0"/>
        </w:rPr>
        <w:t>kavenga</w:t>
      </w:r>
      <w:r>
        <w:rPr>
          <w:rtl w:val="0"/>
        </w:rPr>
        <w:t xml:space="preserve"> </w:t>
      </w:r>
      <w:r>
        <w:rPr>
          <w:rtl w:val="0"/>
        </w:rPr>
        <w:t>by</w:t>
      </w:r>
      <w:r>
        <w:rPr>
          <w:rtl w:val="0"/>
        </w:rPr>
        <w:t xml:space="preserve"> the Tikopiam</w:t>
      </w:r>
      <w:r>
        <w:rPr>
          <w:rtl w:val="0"/>
        </w:rPr>
        <w:t xml:space="preserve"> (whose island lie 2,500 miles westward from Tahiti).</w:t>
      </w:r>
      <w:r>
        <w:rPr>
          <w:rFonts w:ascii="Times New Roman" w:cs="Times New Roman" w:hAnsi="Times New Roman" w:eastAsia="Times New Roman"/>
          <w:b w:val="0"/>
          <w:bCs w:val="0"/>
          <w:i w:val="0"/>
          <w:iCs w:val="0"/>
          <w:vertAlign w:val="superscript"/>
        </w:rPr>
        <w:footnoteReference w:id="110"/>
      </w:r>
      <w:r>
        <w:rPr>
          <w:rtl w:val="0"/>
        </w:rPr>
        <w:t xml:space="preserve"> Compensating for winds and currents, navigators would use the boat</w:t>
      </w:r>
      <w:r>
        <w:rPr>
          <w:rtl w:val="0"/>
        </w:rPr>
        <w:t>’</w:t>
      </w:r>
      <w:r>
        <w:rPr>
          <w:rtl w:val="0"/>
        </w:rPr>
        <w:t>s rigging to maintain the guide stars on either bow or quarter, aligning toward the proper destination.</w:t>
      </w:r>
      <w:r>
        <w:rPr>
          <w:rFonts w:ascii="Times New Roman" w:cs="Times New Roman" w:hAnsi="Times New Roman" w:eastAsia="Times New Roman"/>
          <w:b w:val="0"/>
          <w:bCs w:val="0"/>
          <w:i w:val="0"/>
          <w:iCs w:val="0"/>
          <w:vertAlign w:val="superscript"/>
        </w:rPr>
        <w:footnoteReference w:id="111"/>
      </w:r>
      <w:r>
        <w:rPr>
          <w:rtl w:val="0"/>
        </w:rPr>
        <w:t xml:space="preserve"> Although a unique named star was used to identify and denote a star path, such as was the case in the Carolines, it would not connote the sum of the sailing directions to reach a location.</w:t>
      </w:r>
      <w:r>
        <w:rPr>
          <w:rFonts w:ascii="Times New Roman" w:cs="Times New Roman" w:hAnsi="Times New Roman" w:eastAsia="Times New Roman"/>
          <w:b w:val="0"/>
          <w:bCs w:val="0"/>
          <w:i w:val="0"/>
          <w:iCs w:val="0"/>
          <w:vertAlign w:val="superscript"/>
        </w:rPr>
        <w:footnoteReference w:id="112"/>
      </w:r>
      <w:r>
        <w:rPr>
          <w:rtl w:val="0"/>
        </w:rPr>
        <w:t xml:space="preserve">  However, it is rare for night voyages to require more than 10 guide stars, or circa 12 hours in the tropics.</w:t>
      </w:r>
      <w:r>
        <w:rPr>
          <w:rFonts w:ascii="Times New Roman" w:cs="Times New Roman" w:hAnsi="Times New Roman" w:eastAsia="Times New Roman"/>
          <w:b w:val="0"/>
          <w:bCs w:val="0"/>
          <w:i w:val="0"/>
          <w:iCs w:val="0"/>
          <w:vertAlign w:val="superscript"/>
        </w:rPr>
        <w:footnoteReference w:id="113"/>
      </w:r>
      <w:r>
        <w:rPr>
          <w:rtl w:val="0"/>
        </w:rPr>
        <w:t xml:space="preserve"> The star courses also represented geographic rather than actual navigation courses since they did not account for winds, currents and other ephemeral factors.</w:t>
      </w:r>
      <w:r>
        <w:rPr>
          <w:rFonts w:ascii="Times New Roman" w:cs="Times New Roman" w:hAnsi="Times New Roman" w:eastAsia="Times New Roman"/>
          <w:b w:val="0"/>
          <w:bCs w:val="0"/>
          <w:i w:val="0"/>
          <w:iCs w:val="0"/>
          <w:vertAlign w:val="superscript"/>
        </w:rPr>
        <w:footnoteReference w:id="114"/>
      </w:r>
    </w:p>
    <w:p>
      <w:pPr>
        <w:pStyle w:val="Body A"/>
      </w:pPr>
      <w:r>
        <w:rPr>
          <w:rtl w:val="0"/>
        </w:rPr>
        <w:t xml:space="preserve">Due to shifting winds or the need to travel upwind, a sailor often maintains an irregular course, or a </w:t>
      </w:r>
      <w:r>
        <w:rPr>
          <w:rtl w:val="0"/>
        </w:rPr>
        <w:t>‘</w:t>
      </w:r>
      <w:r>
        <w:rPr>
          <w:rtl w:val="0"/>
        </w:rPr>
        <w:t>traverse</w:t>
      </w:r>
      <w:r>
        <w:rPr>
          <w:rtl w:val="0"/>
        </w:rPr>
        <w:t>’</w:t>
      </w:r>
      <w:r>
        <w:rPr>
          <w:rtl w:val="0"/>
        </w:rPr>
        <w:t>, d</w:t>
      </w:r>
      <w:r>
        <w:rPr>
          <w:rtl w:val="0"/>
        </w:rPr>
        <w:t>uring a journey</w:t>
      </w:r>
      <w:r>
        <w:rPr>
          <w:rtl w:val="0"/>
        </w:rPr>
        <w:t>.</w:t>
      </w:r>
      <w:r>
        <w:rPr>
          <w:rFonts w:ascii="Times New Roman" w:cs="Times New Roman" w:hAnsi="Times New Roman" w:eastAsia="Times New Roman"/>
          <w:b w:val="0"/>
          <w:bCs w:val="0"/>
          <w:i w:val="0"/>
          <w:iCs w:val="0"/>
          <w:vertAlign w:val="superscript"/>
        </w:rPr>
        <w:footnoteReference w:id="115"/>
      </w:r>
      <w:r>
        <w:rPr>
          <w:rtl w:val="0"/>
        </w:rPr>
        <w:t xml:space="preserve"> Goodenough and Thomas describe how skilful Micronesian sailors dealt with this situation: </w:t>
      </w:r>
      <w:r>
        <w:rPr>
          <w:rtl w:val="0"/>
        </w:rPr>
        <w:t>‘</w:t>
      </w:r>
      <w:r>
        <w:rPr>
          <w:rtl w:val="0"/>
        </w:rPr>
        <w:t>Navigators take advantage of opportunities to check the direction of swells against the stars. [</w:t>
      </w:r>
      <w:r>
        <w:rPr>
          <w:rtl w:val="0"/>
        </w:rPr>
        <w:t>…</w:t>
      </w:r>
      <w:r>
        <w:rPr>
          <w:rtl w:val="0"/>
        </w:rPr>
        <w:t xml:space="preserve">] The navigator can steer by the alignment of these peaks or </w:t>
      </w:r>
      <w:r>
        <w:rPr>
          <w:rtl w:val="0"/>
        </w:rPr>
        <w:t>“</w:t>
      </w:r>
      <w:r>
        <w:rPr>
          <w:rtl w:val="0"/>
        </w:rPr>
        <w:t>wave nodes,</w:t>
      </w:r>
      <w:r>
        <w:rPr>
          <w:rtl w:val="0"/>
        </w:rPr>
        <w:t>”</w:t>
      </w:r>
      <w:r>
        <w:rPr>
          <w:rtl w:val="0"/>
        </w:rPr>
        <w:t xml:space="preserve"> as he calls them</w:t>
      </w:r>
      <w:r>
        <w:rPr>
          <w:rtl w:val="1"/>
        </w:rPr>
        <w:t>’</w:t>
      </w:r>
      <w:r>
        <w:rPr>
          <w:rtl w:val="0"/>
        </w:rPr>
        <w:t>.</w:t>
      </w:r>
      <w:r>
        <w:rPr>
          <w:rFonts w:ascii="Times New Roman" w:cs="Times New Roman" w:hAnsi="Times New Roman" w:eastAsia="Times New Roman"/>
          <w:b w:val="0"/>
          <w:bCs w:val="0"/>
          <w:i w:val="0"/>
          <w:iCs w:val="0"/>
          <w:vertAlign w:val="superscript"/>
        </w:rPr>
        <w:footnoteReference w:id="116"/>
      </w:r>
      <w:r>
        <w:rPr>
          <w:rtl w:val="0"/>
        </w:rPr>
        <w:t xml:space="preserve"> </w:t>
      </w:r>
      <w:r>
        <w:rPr>
          <w:rtl w:val="0"/>
        </w:rPr>
        <w:t xml:space="preserve">By measuring their leeway angle, Micronesian navigators demonstrate how ancient sailors may have adjusted their course by aiming toward a particular star path, then depending on the currents, aim at another star, until correcting back later (Fig. 6).  This fusion of skyscape and seascape in the Polynesian worldview is encapsulated by the language of the Gilbert Islands, which has no word for </w:t>
      </w:r>
      <w:r>
        <w:rPr>
          <w:rtl w:val="0"/>
        </w:rPr>
        <w:t>‘</w:t>
      </w:r>
      <w:r>
        <w:rPr>
          <w:rtl w:val="0"/>
        </w:rPr>
        <w:t>astronomer</w:t>
      </w:r>
      <w:r>
        <w:rPr>
          <w:rtl w:val="0"/>
        </w:rPr>
        <w:t>’</w:t>
      </w:r>
      <w:r>
        <w:rPr>
          <w:rtl w:val="0"/>
        </w:rPr>
        <w:t xml:space="preserve">, as Grimble records, instead </w:t>
      </w:r>
      <w:r>
        <w:rPr>
          <w:rtl w:val="1"/>
        </w:rPr>
        <w:t>‘</w:t>
      </w:r>
      <w:r>
        <w:rPr>
          <w:rtl w:val="0"/>
        </w:rPr>
        <w:t xml:space="preserve">If you would find an expert on stars, you must ask for a </w:t>
      </w:r>
      <w:r>
        <w:rPr>
          <w:i w:val="1"/>
          <w:iCs w:val="1"/>
          <w:rtl w:val="0"/>
          <w:lang w:val="de-DE"/>
        </w:rPr>
        <w:t>tiaborau</w:t>
      </w:r>
      <w:r>
        <w:rPr>
          <w:rtl w:val="0"/>
        </w:rPr>
        <w:t xml:space="preserve"> or navigator</w:t>
      </w:r>
      <w:r>
        <w:rPr>
          <w:rtl w:val="1"/>
        </w:rPr>
        <w:t>’</w:t>
      </w:r>
      <w:r>
        <w:rPr>
          <w:rtl w:val="0"/>
        </w:rPr>
        <w:t>.</w:t>
      </w:r>
      <w:r>
        <w:rPr>
          <w:rFonts w:ascii="Times New Roman" w:cs="Times New Roman" w:hAnsi="Times New Roman" w:eastAsia="Times New Roman"/>
          <w:b w:val="0"/>
          <w:bCs w:val="0"/>
          <w:i w:val="0"/>
          <w:iCs w:val="0"/>
          <w:vertAlign w:val="superscript"/>
        </w:rPr>
        <w:footnoteReference w:id="117"/>
      </w:r>
    </w:p>
    <w:p>
      <w:pPr>
        <w:pStyle w:val="Body A"/>
      </w:pPr>
    </w:p>
    <w:p>
      <w:pPr>
        <w:pStyle w:val="Image A"/>
      </w:pPr>
      <w:r>
        <w:drawing xmlns:a="http://schemas.openxmlformats.org/drawingml/2006/main">
          <wp:inline distT="0" distB="0" distL="0" distR="0">
            <wp:extent cx="5942907" cy="1366392"/>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12">
                      <a:extLst/>
                    </a:blip>
                    <a:srcRect l="0" t="0" r="0" b="0"/>
                    <a:stretch>
                      <a:fillRect/>
                    </a:stretch>
                  </pic:blipFill>
                  <pic:spPr>
                    <a:xfrm>
                      <a:off x="0" y="0"/>
                      <a:ext cx="5942907" cy="1366392"/>
                    </a:xfrm>
                    <a:prstGeom prst="rect">
                      <a:avLst/>
                    </a:prstGeom>
                    <a:ln w="12700" cap="flat">
                      <a:noFill/>
                      <a:miter lim="400000"/>
                    </a:ln>
                    <a:effectLst/>
                  </pic:spPr>
                </pic:pic>
              </a:graphicData>
            </a:graphic>
          </wp:inline>
        </w:drawing>
      </w:r>
    </w:p>
    <w:p>
      <w:pPr>
        <w:pStyle w:val="Image Caption"/>
      </w:pPr>
      <w:bookmarkStart w:name="_Toc22" w:id="22"/>
      <w:r>
        <w:rPr>
          <w:rFonts w:cs="Arial Unicode MS" w:eastAsia="Arial Unicode MS"/>
          <w:rtl w:val="0"/>
        </w:rPr>
        <w:t xml:space="preserve">Fig. 6 Star path steering for course adjustments due to currents. </w:t>
      </w:r>
      <w:r>
        <w:rPr>
          <w:rFonts w:cs="Arial Unicode MS" w:eastAsia="Arial Unicode MS"/>
          <w:rtl w:val="0"/>
        </w:rPr>
        <w:t>Goodenough and Thomas, p. 13</w:t>
      </w:r>
      <w:bookmarkEnd w:id="22"/>
    </w:p>
    <w:p>
      <w:pPr>
        <w:pStyle w:val="Body A"/>
      </w:pPr>
    </w:p>
    <w:p>
      <w:pPr>
        <w:pStyle w:val="Body A"/>
      </w:pPr>
      <w:r>
        <w:rPr>
          <w:rtl w:val="0"/>
        </w:rPr>
        <w:t>There is some evidence that the Greeks were familiar with a concept analogous to star paths. Sergey Zhitomirsky</w:t>
      </w:r>
      <w:r>
        <w:rPr>
          <w:rtl w:val="0"/>
        </w:rPr>
        <w:t>’</w:t>
      </w:r>
      <w:r>
        <w:rPr>
          <w:rtl w:val="0"/>
        </w:rPr>
        <w:t>s analysis of Aratus</w:t>
      </w:r>
      <w:r>
        <w:rPr>
          <w:rtl w:val="0"/>
        </w:rPr>
        <w:t xml:space="preserve">’ </w:t>
      </w:r>
      <w:r>
        <w:rPr>
          <w:rtl w:val="0"/>
        </w:rPr>
        <w:t>3</w:t>
      </w:r>
      <w:r>
        <w:rPr>
          <w:vertAlign w:val="superscript"/>
          <w:rtl w:val="0"/>
          <w:lang w:val="en-US"/>
        </w:rPr>
        <w:t>rd</w:t>
      </w:r>
      <w:r>
        <w:rPr>
          <w:rtl w:val="0"/>
        </w:rPr>
        <w:t xml:space="preserve"> century BC, </w:t>
      </w:r>
      <w:r>
        <w:rPr>
          <w:rtl w:val="0"/>
        </w:rPr>
        <w:t>‘</w:t>
      </w:r>
      <w:r>
        <w:rPr>
          <w:rtl w:val="0"/>
        </w:rPr>
        <w:t>Phaenomena</w:t>
      </w:r>
      <w:r>
        <w:rPr>
          <w:rtl w:val="0"/>
        </w:rPr>
        <w:t xml:space="preserve">’ </w:t>
      </w:r>
      <w:r>
        <w:rPr>
          <w:rtl w:val="0"/>
        </w:rPr>
        <w:t>confirms that the poem</w:t>
      </w:r>
      <w:r>
        <w:rPr>
          <w:rtl w:val="0"/>
        </w:rPr>
        <w:t>’</w:t>
      </w:r>
      <w:r>
        <w:rPr>
          <w:rtl w:val="0"/>
        </w:rPr>
        <w:t xml:space="preserve">s descriptions of the </w:t>
      </w:r>
      <w:r>
        <w:rPr>
          <w:rtl w:val="0"/>
        </w:rPr>
        <w:t xml:space="preserve">intersections of the celestial tropics and equator with the constellations </w:t>
      </w:r>
      <w:r>
        <w:rPr>
          <w:rtl w:val="0"/>
        </w:rPr>
        <w:t>were based on real-world observations. This indicates that at least as far as the Hellenistic age, knowledge of these celestial circles was available.</w:t>
      </w:r>
      <w:r>
        <w:rPr>
          <w:rFonts w:ascii="Times New Roman" w:cs="Times New Roman" w:hAnsi="Times New Roman" w:eastAsia="Times New Roman"/>
          <w:b w:val="0"/>
          <w:bCs w:val="0"/>
          <w:i w:val="0"/>
          <w:iCs w:val="0"/>
          <w:vertAlign w:val="superscript"/>
        </w:rPr>
        <w:footnoteReference w:id="118"/>
      </w:r>
      <w:r>
        <w:rPr>
          <w:rtl w:val="0"/>
        </w:rPr>
        <w:t xml:space="preserve"> The tropic of Capricorn and Cancer can be understood as star paths at their particular latitudes. Zhitomirsky writes that star paths may </w:t>
      </w:r>
      <w:r>
        <w:rPr>
          <w:rtl w:val="0"/>
        </w:rPr>
        <w:t>‘</w:t>
      </w:r>
      <w:r>
        <w:rPr>
          <w:rtl w:val="0"/>
        </w:rPr>
        <w:t>have been useful not only to seamen but to nomad cattlebreeders</w:t>
      </w:r>
      <w:r>
        <w:rPr>
          <w:rtl w:val="0"/>
        </w:rPr>
        <w:t xml:space="preserve"> as</w:t>
      </w:r>
      <w:r>
        <w:rPr>
          <w:sz w:val="29"/>
          <w:szCs w:val="29"/>
          <w:rtl w:val="0"/>
        </w:rPr>
        <w:t xml:space="preserve"> </w:t>
      </w:r>
      <w:r>
        <w:rPr>
          <w:rtl w:val="0"/>
        </w:rPr>
        <w:t>well</w:t>
      </w:r>
      <w:r>
        <w:rPr>
          <w:rtl w:val="0"/>
        </w:rPr>
        <w:t>’</w:t>
      </w:r>
      <w:r>
        <w:rPr>
          <w:rtl w:val="0"/>
        </w:rPr>
        <w:t>.</w:t>
      </w:r>
      <w:r>
        <w:rPr>
          <w:rFonts w:ascii="Times New Roman" w:cs="Times New Roman" w:hAnsi="Times New Roman" w:eastAsia="Times New Roman"/>
          <w:b w:val="0"/>
          <w:bCs w:val="0"/>
          <w:i w:val="0"/>
          <w:iCs w:val="0"/>
          <w:vertAlign w:val="superscript"/>
        </w:rPr>
        <w:footnoteReference w:id="119"/>
      </w:r>
      <w:r>
        <w:rPr>
          <w:rtl w:val="0"/>
        </w:rPr>
        <w:t xml:space="preserve"> Blomberg and Henriksson agree, suggesting that the descriptions of setting and rising constellations in the Phaenomena would be more beneficial to sailors than for calendrics.</w:t>
      </w:r>
      <w:r>
        <w:rPr>
          <w:rFonts w:ascii="Times New Roman" w:cs="Times New Roman" w:hAnsi="Times New Roman" w:eastAsia="Times New Roman"/>
          <w:b w:val="0"/>
          <w:bCs w:val="0"/>
          <w:i w:val="0"/>
          <w:iCs w:val="0"/>
          <w:vertAlign w:val="superscript"/>
        </w:rPr>
        <w:footnoteReference w:id="120"/>
      </w:r>
      <w:r>
        <w:rPr>
          <w:rtl w:val="0"/>
        </w:rPr>
        <w:t xml:space="preserve"> According to Bernadette Brady, the poem infers that </w:t>
      </w:r>
      <w:r>
        <w:rPr>
          <w:rtl w:val="0"/>
        </w:rPr>
        <w:t>Neolithic and Bronze Age</w:t>
      </w:r>
      <w:r>
        <w:rPr>
          <w:rtl w:val="0"/>
        </w:rPr>
        <w:t xml:space="preserve"> observers of the night sky </w:t>
      </w:r>
      <w:r>
        <w:rPr>
          <w:rtl w:val="0"/>
        </w:rPr>
        <w:t>‘</w:t>
      </w:r>
      <w:r>
        <w:rPr>
          <w:rtl w:val="0"/>
        </w:rPr>
        <w:t>s</w:t>
      </w:r>
      <w:r>
        <w:rPr>
          <w:rtl w:val="0"/>
        </w:rPr>
        <w:t>aw groups of stars on pathways or lines which were defined by the horizon calendar events</w:t>
      </w:r>
      <w:r>
        <w:rPr>
          <w:rtl w:val="0"/>
        </w:rPr>
        <w:t>’</w:t>
      </w:r>
      <w:r>
        <w:rPr>
          <w:rtl w:val="0"/>
        </w:rPr>
        <w:t>.</w:t>
      </w:r>
      <w:r>
        <w:rPr>
          <w:rFonts w:ascii="Times New Roman" w:cs="Times New Roman" w:hAnsi="Times New Roman" w:eastAsia="Times New Roman"/>
          <w:b w:val="0"/>
          <w:bCs w:val="0"/>
          <w:i w:val="0"/>
          <w:iCs w:val="0"/>
          <w:vertAlign w:val="superscript"/>
        </w:rPr>
        <w:footnoteReference w:id="121"/>
      </w:r>
      <w:r>
        <w:rPr>
          <w:rtl w:val="0"/>
        </w:rPr>
        <w:t xml:space="preserve"> Therefore, the notion of linear constellations, or star paths, may have been already been present in ancient Greece. Given the well-established practicality of such sailing techniques, as recorded ethnographically in Polynesia and Micronesia, it can be conjectured that hypothetical analogous methods of nocturnal wayfinding may have existed in Bronze Age Mediterranean.</w:t>
      </w:r>
    </w:p>
    <w:p>
      <w:pPr>
        <w:pStyle w:val="Body A"/>
      </w:pPr>
    </w:p>
    <w:p>
      <w:pPr>
        <w:pStyle w:val="Body A"/>
      </w:pPr>
    </w:p>
    <w:p>
      <w:pPr>
        <w:pStyle w:val="Body A"/>
      </w:pPr>
    </w:p>
    <w:p>
      <w:pPr>
        <w:pStyle w:val="Heading Reg 1"/>
      </w:pPr>
      <w:bookmarkStart w:name="_Toc23" w:id="23"/>
      <w:r>
        <w:rPr>
          <w:rFonts w:cs="Arial Unicode MS" w:eastAsia="Arial Unicode MS"/>
          <w:rtl w:val="0"/>
          <w:lang w:val="en-US"/>
        </w:rPr>
        <w:t>Using The Sidereal</w:t>
      </w:r>
      <w:r>
        <w:rPr>
          <w:rFonts w:cs="Arial Unicode MS" w:eastAsia="Arial Unicode MS"/>
          <w:rtl w:val="0"/>
          <w:lang w:val="pt-PT"/>
        </w:rPr>
        <w:t xml:space="preserve"> Compass</w:t>
      </w:r>
      <w:bookmarkEnd w:id="23"/>
    </w:p>
    <w:p>
      <w:pPr>
        <w:pStyle w:val="Heading Reg"/>
      </w:pPr>
    </w:p>
    <w:p>
      <w:pPr>
        <w:pStyle w:val="Body A"/>
      </w:pPr>
      <w:r>
        <w:rPr>
          <w:rtl w:val="0"/>
        </w:rPr>
        <w:t>The notion of directionality, cardinal or otherwise, is intrinsic to ancient native cosmologies worldwide. In the Carolines, the directions took on a more detailed and practical refinement, in the form of a sidereal compass which survived to this day unaltered.</w:t>
      </w:r>
      <w:r>
        <w:rPr>
          <w:rFonts w:ascii="Times New Roman" w:cs="Times New Roman" w:hAnsi="Times New Roman" w:eastAsia="Times New Roman"/>
          <w:b w:val="0"/>
          <w:bCs w:val="0"/>
          <w:i w:val="0"/>
          <w:iCs w:val="0"/>
          <w:vertAlign w:val="superscript"/>
        </w:rPr>
        <w:footnoteReference w:id="122"/>
      </w:r>
      <w:r>
        <w:rPr>
          <w:rtl w:val="0"/>
        </w:rPr>
        <w:t xml:space="preserve"> It was named a </w:t>
      </w:r>
      <w:r>
        <w:rPr>
          <w:rtl w:val="0"/>
        </w:rPr>
        <w:t>‘</w:t>
      </w:r>
      <w:r>
        <w:rPr>
          <w:rtl w:val="0"/>
        </w:rPr>
        <w:t>sidereal compass</w:t>
      </w:r>
      <w:r>
        <w:rPr>
          <w:rtl w:val="0"/>
        </w:rPr>
        <w:t xml:space="preserve">’ </w:t>
      </w:r>
      <w:r>
        <w:rPr>
          <w:rtl w:val="0"/>
        </w:rPr>
        <w:t>by contemporary anthropologists since it is analogous to a mariner</w:t>
      </w:r>
      <w:r>
        <w:rPr>
          <w:rtl w:val="0"/>
        </w:rPr>
        <w:t>’</w:t>
      </w:r>
      <w:r>
        <w:rPr>
          <w:rtl w:val="0"/>
        </w:rPr>
        <w:t>s compass.</w:t>
      </w:r>
      <w:r>
        <w:rPr>
          <w:rFonts w:ascii="Times New Roman" w:cs="Times New Roman" w:hAnsi="Times New Roman" w:eastAsia="Times New Roman"/>
          <w:b w:val="0"/>
          <w:bCs w:val="0"/>
          <w:i w:val="0"/>
          <w:iCs w:val="0"/>
          <w:vertAlign w:val="superscript"/>
        </w:rPr>
        <w:footnoteReference w:id="123"/>
      </w:r>
      <w:r>
        <w:rPr>
          <w:rtl w:val="0"/>
        </w:rPr>
        <w:t xml:space="preserve"> Thomas Gladwin writes, </w:t>
      </w:r>
      <w:r>
        <w:rPr>
          <w:rtl w:val="0"/>
        </w:rPr>
        <w:t>‘</w:t>
      </w:r>
      <w:r>
        <w:rPr>
          <w:rtl w:val="0"/>
        </w:rPr>
        <w:t>In this way the sky on a clear night becomes a vast compass, the various headings picked out by familiar stars as they move up and down near the horizon</w:t>
      </w:r>
      <w:r>
        <w:rPr>
          <w:rtl w:val="1"/>
        </w:rPr>
        <w:t>’</w:t>
      </w:r>
      <w:r>
        <w:rPr>
          <w:rtl w:val="0"/>
        </w:rPr>
        <w:t>.</w:t>
      </w:r>
      <w:r>
        <w:rPr>
          <w:rFonts w:ascii="Times New Roman" w:cs="Times New Roman" w:hAnsi="Times New Roman" w:eastAsia="Times New Roman"/>
          <w:b w:val="0"/>
          <w:bCs w:val="0"/>
          <w:i w:val="0"/>
          <w:iCs w:val="0"/>
          <w:vertAlign w:val="superscript"/>
        </w:rPr>
        <w:footnoteReference w:id="124"/>
      </w:r>
      <w:r>
        <w:rPr>
          <w:rtl w:val="0"/>
        </w:rPr>
        <w:t xml:space="preserve"> Ethnographic records from other Indo-Pacific peoples attest to a sidereal compass navigation system that seems to have been widespread beyond the Carolines.</w:t>
      </w:r>
      <w:r>
        <w:rPr>
          <w:rFonts w:ascii="Times New Roman" w:cs="Times New Roman" w:hAnsi="Times New Roman" w:eastAsia="Times New Roman"/>
          <w:b w:val="0"/>
          <w:bCs w:val="0"/>
          <w:i w:val="0"/>
          <w:iCs w:val="0"/>
          <w:vertAlign w:val="superscript"/>
        </w:rPr>
        <w:footnoteReference w:id="125"/>
      </w:r>
      <w:r>
        <w:rPr>
          <w:rtl w:val="0"/>
        </w:rPr>
        <w:t xml:space="preserve"> </w:t>
      </w:r>
      <w:r>
        <w:rPr>
          <w:rtl w:val="0"/>
        </w:rPr>
        <w:t>The 15</w:t>
      </w:r>
      <w:r>
        <w:rPr>
          <w:vertAlign w:val="superscript"/>
          <w:rtl w:val="0"/>
          <w:lang w:val="en-US"/>
        </w:rPr>
        <w:t>th</w:t>
      </w:r>
      <w:r>
        <w:rPr>
          <w:rtl w:val="0"/>
        </w:rPr>
        <w:t xml:space="preserve"> century Arab navigat</w:t>
      </w:r>
      <w:r>
        <w:rPr>
          <w:rtl w:val="0"/>
        </w:rPr>
        <w:t>ion treatise</w:t>
      </w:r>
      <w:r>
        <w:rPr>
          <w:rtl w:val="0"/>
        </w:rPr>
        <w:t xml:space="preserve">, </w:t>
      </w:r>
      <w:r>
        <w:rPr>
          <w:i w:val="1"/>
          <w:iCs w:val="1"/>
          <w:rtl w:val="0"/>
        </w:rPr>
        <w:t>Fawa</w:t>
      </w:r>
      <w:r>
        <w:rPr>
          <w:i w:val="1"/>
          <w:iCs w:val="1"/>
          <w:rtl w:val="1"/>
        </w:rPr>
        <w:t>’</w:t>
      </w:r>
      <w:r>
        <w:rPr>
          <w:i w:val="1"/>
          <w:iCs w:val="1"/>
          <w:rtl w:val="0"/>
        </w:rPr>
        <w:t>id</w:t>
      </w:r>
      <w:r>
        <w:rPr>
          <w:i w:val="1"/>
          <w:iCs w:val="1"/>
          <w:rtl w:val="0"/>
          <w:lang w:val="en-US"/>
        </w:rPr>
        <w:t>,</w:t>
      </w:r>
      <w:r>
        <w:rPr>
          <w:rtl w:val="0"/>
        </w:rPr>
        <w:t xml:space="preserve"> by Ibn Majid</w:t>
      </w:r>
      <w:r>
        <w:rPr>
          <w:rtl w:val="0"/>
        </w:rPr>
        <w:t xml:space="preserve">, describes an </w:t>
      </w:r>
      <w:r>
        <w:rPr>
          <w:rtl w:val="0"/>
          <w:lang w:val="it-IT"/>
        </w:rPr>
        <w:t>Arab stellar compass</w:t>
      </w:r>
      <w:r>
        <w:rPr>
          <w:rtl w:val="0"/>
        </w:rPr>
        <w:t xml:space="preserve"> used from at least 840 </w:t>
      </w:r>
      <w:r>
        <w:rPr>
          <w:smallCaps w:val="1"/>
          <w:rtl w:val="0"/>
          <w:lang w:val="en-US"/>
        </w:rPr>
        <w:t>ce</w:t>
      </w:r>
      <w:r>
        <w:rPr>
          <w:rtl w:val="0"/>
        </w:rPr>
        <w:t xml:space="preserve"> in the Indian Ocean.</w:t>
      </w:r>
      <w:r>
        <w:rPr>
          <w:rFonts w:ascii="Times New Roman" w:cs="Times New Roman" w:hAnsi="Times New Roman" w:eastAsia="Times New Roman"/>
          <w:b w:val="0"/>
          <w:bCs w:val="0"/>
          <w:i w:val="0"/>
          <w:iCs w:val="0"/>
          <w:vertAlign w:val="superscript"/>
        </w:rPr>
        <w:footnoteReference w:id="126"/>
      </w:r>
      <w:r>
        <w:rPr>
          <w:rtl w:val="0"/>
        </w:rPr>
        <w:t xml:space="preserve"> Fernando Pimenta suggests that when comparing the Middle Eastern with the Indo-Pacific sidereal compass, its </w:t>
      </w:r>
      <w:r>
        <w:rPr>
          <w:rtl w:val="0"/>
        </w:rPr>
        <w:t>‘</w:t>
      </w:r>
      <w:r>
        <w:rPr>
          <w:rtl w:val="0"/>
        </w:rPr>
        <w:t>replacement of the Southern Cross by Canopus in the Arab stellar compass may indicate its northern derivation or adaptatio</w:t>
      </w:r>
      <w:r>
        <w:rPr>
          <w:rtl w:val="0"/>
        </w:rPr>
        <w:t>n</w:t>
      </w:r>
      <w:r>
        <w:rPr>
          <w:rtl w:val="1"/>
        </w:rPr>
        <w:t>’</w:t>
      </w:r>
      <w:r>
        <w:rPr>
          <w:rtl w:val="0"/>
        </w:rPr>
        <w:t>.</w:t>
      </w:r>
      <w:r>
        <w:rPr>
          <w:rFonts w:ascii="Times New Roman" w:cs="Times New Roman" w:hAnsi="Times New Roman" w:eastAsia="Times New Roman"/>
          <w:b w:val="0"/>
          <w:bCs w:val="0"/>
          <w:i w:val="0"/>
          <w:iCs w:val="0"/>
          <w:vertAlign w:val="superscript"/>
        </w:rPr>
        <w:footnoteReference w:id="127"/>
      </w:r>
      <w:r>
        <w:rPr>
          <w:rtl w:val="0"/>
        </w:rPr>
        <w:t xml:space="preserve"> This may demonstrate that the practicality of the sidereal compass as a primordial wayfinding technique may not have been exclusive to one culture alone.</w:t>
      </w:r>
    </w:p>
    <w:p>
      <w:pPr>
        <w:pStyle w:val="Body A"/>
      </w:pPr>
      <w:r>
        <w:rPr>
          <w:rtl w:val="0"/>
        </w:rPr>
        <w:t>In the Carolin</w:t>
      </w:r>
      <w:r>
        <w:rPr>
          <w:rtl w:val="0"/>
        </w:rPr>
        <w:t>i</w:t>
      </w:r>
      <w:r>
        <w:rPr>
          <w:rtl w:val="0"/>
        </w:rPr>
        <w:t xml:space="preserve">an </w:t>
      </w:r>
      <w:r>
        <w:rPr>
          <w:rtl w:val="1"/>
        </w:rPr>
        <w:t>‘</w:t>
      </w:r>
      <w:r>
        <w:rPr>
          <w:rtl w:val="0"/>
        </w:rPr>
        <w:t>star structure</w:t>
      </w:r>
      <w:r>
        <w:rPr>
          <w:rtl w:val="1"/>
        </w:rPr>
        <w:t>’</w:t>
      </w:r>
      <w:r>
        <w:rPr>
          <w:rtl w:val="0"/>
        </w:rPr>
        <w:t>,</w:t>
      </w:r>
      <w:r>
        <w:rPr>
          <w:rtl w:val="0"/>
        </w:rPr>
        <w:t xml:space="preserve"> each axis of the sidereal compass corresponded to an outlying island which was reachable via </w:t>
      </w:r>
      <w:r>
        <w:rPr>
          <w:rtl w:val="0"/>
        </w:rPr>
        <w:t>that</w:t>
      </w:r>
      <w:r>
        <w:rPr>
          <w:rtl w:val="0"/>
        </w:rPr>
        <w:t xml:space="preserve"> azimuth</w:t>
      </w:r>
      <w:r>
        <w:rPr>
          <w:rtl w:val="0"/>
        </w:rPr>
        <w:t xml:space="preserve"> (Fig. 7)</w:t>
      </w:r>
      <w:r>
        <w:rPr>
          <w:rtl w:val="0"/>
        </w:rPr>
        <w:t>.</w:t>
      </w:r>
      <w:r>
        <w:rPr>
          <w:rtl w:val="0"/>
        </w:rPr>
        <w:t xml:space="preserve"> Thirty-two unevenly spaced points, drawn with sticks and stones on a square on the floor, marked the rising and setting of stars used for navigation (Fig. 8).</w:t>
      </w:r>
      <w:r>
        <w:rPr>
          <w:rFonts w:ascii="Times New Roman" w:cs="Times New Roman" w:hAnsi="Times New Roman" w:eastAsia="Times New Roman"/>
          <w:b w:val="0"/>
          <w:bCs w:val="0"/>
          <w:i w:val="0"/>
          <w:iCs w:val="0"/>
          <w:vertAlign w:val="superscript"/>
        </w:rPr>
        <w:footnoteReference w:id="128"/>
      </w:r>
      <w:r>
        <w:rPr>
          <w:rtl w:val="0"/>
        </w:rPr>
        <w:t xml:space="preserve"> </w:t>
      </w:r>
      <w:r>
        <w:rPr>
          <w:rtl w:val="0"/>
        </w:rPr>
        <w:t>Pimenta writes:</w:t>
      </w:r>
    </w:p>
    <w:p>
      <w:pPr>
        <w:pStyle w:val="Quote"/>
        <w:ind w:left="720"/>
      </w:pPr>
    </w:p>
    <w:p>
      <w:pPr>
        <w:pStyle w:val="Quote"/>
        <w:ind w:left="720"/>
      </w:pPr>
      <w:r>
        <w:rPr>
          <w:rFonts w:cs="Arial Unicode MS" w:eastAsia="Arial Unicode MS"/>
          <w:rtl w:val="0"/>
          <w:lang w:val="en-US"/>
        </w:rPr>
        <w:t xml:space="preserve">With the exception of Polaris, which indicates north, and the Southern Cross, each star is used to identify two directions: one at rising and another at setting. The Southern Cross is used to </w:t>
      </w:r>
      <w:r>
        <w:rPr>
          <w:rFonts w:cs="Arial Unicode MS" w:eastAsia="Arial Unicode MS"/>
          <w:rtl w:val="0"/>
          <w:lang w:val="en-US"/>
        </w:rPr>
        <w:t xml:space="preserve"> </w:t>
      </w:r>
      <w:r>
        <w:rPr>
          <w:rFonts w:cs="Arial Unicode MS" w:eastAsia="Arial Unicode MS"/>
          <w:rtl w:val="0"/>
          <w:lang w:val="en-US"/>
        </w:rPr>
        <w:t>identify five directions in the south: b Cru rising, the Southern Cross direction when a Cen is rising, the Southern Cross in the vertical position, the Southern Cross direction when a Cen is at the meridian, and d Cru setting.</w:t>
      </w:r>
      <w:r>
        <w:rPr>
          <w:rFonts w:ascii="Times New Roman" w:cs="Times New Roman" w:hAnsi="Times New Roman" w:eastAsia="Times New Roman"/>
          <w:b w:val="0"/>
          <w:bCs w:val="0"/>
          <w:i w:val="0"/>
          <w:iCs w:val="0"/>
          <w:vertAlign w:val="superscript"/>
        </w:rPr>
        <w:footnoteReference w:id="129"/>
      </w:r>
    </w:p>
    <w:p>
      <w:pPr>
        <w:pStyle w:val="Image A"/>
      </w:pPr>
    </w:p>
    <w:p>
      <w:pPr>
        <w:pStyle w:val="Image A"/>
      </w:pPr>
      <w:r>
        <w:drawing xmlns:a="http://schemas.openxmlformats.org/drawingml/2006/main">
          <wp:inline distT="0" distB="0" distL="0" distR="0">
            <wp:extent cx="2482381" cy="3015509"/>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13">
                      <a:extLst/>
                    </a:blip>
                    <a:srcRect l="0" t="0" r="0" b="0"/>
                    <a:stretch>
                      <a:fillRect/>
                    </a:stretch>
                  </pic:blipFill>
                  <pic:spPr>
                    <a:xfrm>
                      <a:off x="0" y="0"/>
                      <a:ext cx="2482381" cy="3015509"/>
                    </a:xfrm>
                    <a:prstGeom prst="rect">
                      <a:avLst/>
                    </a:prstGeom>
                    <a:ln w="12700" cap="flat">
                      <a:noFill/>
                      <a:miter lim="400000"/>
                    </a:ln>
                    <a:effectLst/>
                  </pic:spPr>
                </pic:pic>
              </a:graphicData>
            </a:graphic>
          </wp:inline>
        </w:drawing>
      </w:r>
    </w:p>
    <w:p>
      <w:pPr>
        <w:pStyle w:val="Image Caption"/>
      </w:pPr>
      <w:bookmarkStart w:name="_Toc24" w:id="24"/>
      <w:r>
        <w:rPr>
          <w:rFonts w:cs="Arial Unicode MS" w:eastAsia="Arial Unicode MS"/>
          <w:rtl w:val="0"/>
        </w:rPr>
        <w:t>Fig. 7 Carolinean sidereal compass with orientations toward islands.</w:t>
      </w:r>
      <w:r>
        <w:rPr>
          <w:rFonts w:cs="Arial Unicode MS" w:eastAsia="Arial Unicode MS"/>
          <w:rtl w:val="0"/>
        </w:rPr>
        <w:t xml:space="preserve"> Lewis, </w:t>
      </w:r>
      <w:r>
        <w:rPr>
          <w:rFonts w:cs="Arial Unicode MS" w:eastAsia="Arial Unicode MS" w:hint="default"/>
          <w:rtl w:val="0"/>
        </w:rPr>
        <w:t>‘</w:t>
      </w:r>
      <w:r>
        <w:rPr>
          <w:rFonts w:cs="Arial Unicode MS" w:eastAsia="Arial Unicode MS"/>
          <w:rtl w:val="0"/>
        </w:rPr>
        <w:t>Navigators</w:t>
      </w:r>
      <w:r>
        <w:rPr>
          <w:rFonts w:cs="Arial Unicode MS" w:eastAsia="Arial Unicode MS" w:hint="default"/>
          <w:rtl w:val="0"/>
        </w:rPr>
        <w:t>’</w:t>
      </w:r>
      <w:r>
        <w:rPr>
          <w:rFonts w:cs="Arial Unicode MS" w:eastAsia="Arial Unicode MS"/>
          <w:rtl w:val="0"/>
        </w:rPr>
        <w:t xml:space="preserve">, </w:t>
      </w:r>
      <w:r>
        <w:rPr>
          <w:rFonts w:cs="Arial Unicode MS" w:eastAsia="Arial Unicode MS"/>
          <w:rtl w:val="0"/>
        </w:rPr>
        <w:t>p. 108</w:t>
      </w:r>
      <w:r>
        <w:rPr>
          <w:rFonts w:cs="Arial Unicode MS" w:eastAsia="Arial Unicode MS"/>
          <w:rtl w:val="0"/>
        </w:rPr>
        <w:t>.</w:t>
      </w:r>
      <w:bookmarkEnd w:id="24"/>
    </w:p>
    <w:p>
      <w:pPr>
        <w:pStyle w:val="Body A"/>
      </w:pPr>
    </w:p>
    <w:p>
      <w:pPr>
        <w:pStyle w:val="Post QUOTE"/>
      </w:pPr>
      <w:r>
        <w:rPr>
          <w:rtl w:val="0"/>
        </w:rPr>
        <w:t xml:space="preserve">Gladwin also points out that the northern points were indicated by constellations (Ursa Major, Ursa Minor and Cassiopeia) </w:t>
      </w:r>
      <w:r>
        <w:rPr>
          <w:rtl w:val="0"/>
        </w:rPr>
        <w:t>rather than</w:t>
      </w:r>
      <w:r>
        <w:rPr>
          <w:rtl w:val="0"/>
        </w:rPr>
        <w:t xml:space="preserve"> the single stars of the other directions.</w:t>
      </w:r>
      <w:r>
        <w:rPr>
          <w:rFonts w:ascii="Times New Roman" w:cs="Times New Roman" w:hAnsi="Times New Roman" w:eastAsia="Times New Roman"/>
          <w:b w:val="0"/>
          <w:bCs w:val="0"/>
          <w:i w:val="0"/>
          <w:iCs w:val="0"/>
          <w:vertAlign w:val="superscript"/>
        </w:rPr>
        <w:footnoteReference w:id="130"/>
      </w:r>
      <w:r>
        <w:rPr>
          <w:rtl w:val="0"/>
        </w:rPr>
        <w:t xml:space="preserve"> In most of the Carolinian Islands, 32 points are defined, although </w:t>
      </w:r>
      <w:r>
        <w:rPr>
          <w:rtl w:val="0"/>
        </w:rPr>
        <w:t>extra gradations are employed</w:t>
      </w:r>
      <w:r>
        <w:rPr>
          <w:rtl w:val="0"/>
        </w:rPr>
        <w:t xml:space="preserve"> in Sonsorol, Pulo Anna, and Merir.</w:t>
      </w:r>
      <w:r>
        <w:rPr>
          <w:rFonts w:ascii="Times New Roman" w:cs="Times New Roman" w:hAnsi="Times New Roman" w:eastAsia="Times New Roman"/>
          <w:b w:val="0"/>
          <w:bCs w:val="0"/>
          <w:i w:val="0"/>
          <w:iCs w:val="0"/>
          <w:vertAlign w:val="superscript"/>
        </w:rPr>
        <w:footnoteReference w:id="131"/>
      </w:r>
      <w:r>
        <w:rPr>
          <w:rtl w:val="0"/>
        </w:rPr>
        <w:t xml:space="preserve"> Coincidentally, the European mariner</w:t>
      </w:r>
      <w:r>
        <w:rPr>
          <w:rtl w:val="0"/>
        </w:rPr>
        <w:t>’</w:t>
      </w:r>
      <w:r>
        <w:rPr>
          <w:rtl w:val="0"/>
        </w:rPr>
        <w:t>s compass also utilises 32 points since the total is a factor of 4 (the sum of the cardinal directions: 4,8,16,32). Although not sidereal, the T</w:t>
      </w:r>
      <w:r>
        <w:rPr>
          <w:rtl w:val="0"/>
        </w:rPr>
        <w:t>ahitian sun-wind compass had 16</w:t>
      </w:r>
      <w:r>
        <w:rPr>
          <w:rtl w:val="0"/>
        </w:rPr>
        <w:t xml:space="preserve"> points.</w:t>
      </w:r>
      <w:r>
        <w:rPr>
          <w:rFonts w:ascii="Times New Roman" w:cs="Times New Roman" w:hAnsi="Times New Roman" w:eastAsia="Times New Roman"/>
          <w:b w:val="0"/>
          <w:bCs w:val="0"/>
          <w:i w:val="0"/>
          <w:iCs w:val="0"/>
          <w:vertAlign w:val="superscript"/>
        </w:rPr>
        <w:footnoteReference w:id="132"/>
      </w:r>
      <w:r>
        <w:rPr>
          <w:rtl w:val="0"/>
        </w:rPr>
        <w:t xml:space="preserve"> A comparison may be made with Zhitomirsky</w:t>
      </w:r>
      <w:r>
        <w:rPr>
          <w:rtl w:val="0"/>
        </w:rPr>
        <w:t>’</w:t>
      </w:r>
      <w:r>
        <w:rPr>
          <w:rtl w:val="0"/>
        </w:rPr>
        <w:t>s observation</w:t>
      </w:r>
      <w:r>
        <w:rPr>
          <w:rtl w:val="0"/>
          <w:lang w:val="fr-FR"/>
        </w:rPr>
        <w:t xml:space="preserve"> regard</w:t>
      </w:r>
      <w:r>
        <w:rPr>
          <w:rtl w:val="0"/>
        </w:rPr>
        <w:t>ing</w:t>
      </w:r>
      <w:r>
        <w:rPr>
          <w:rtl w:val="0"/>
        </w:rPr>
        <w:t xml:space="preserve"> </w:t>
      </w:r>
      <w:r>
        <w:rPr>
          <w:rtl w:val="0"/>
        </w:rPr>
        <w:t xml:space="preserve">Aratus that </w:t>
      </w:r>
      <w:r>
        <w:rPr>
          <w:rtl w:val="0"/>
        </w:rPr>
        <w:t>‘</w:t>
      </w:r>
      <w:r>
        <w:rPr>
          <w:rtl w:val="0"/>
        </w:rPr>
        <w:t xml:space="preserve">Calling </w:t>
      </w:r>
      <w:r>
        <w:rPr>
          <w:rtl w:val="0"/>
        </w:rPr>
        <w:t>for attention is also the rough division of the celestial circles into eight parts, rather unusual for the astronomy of later times</w:t>
      </w:r>
      <w:r>
        <w:rPr>
          <w:rtl w:val="1"/>
        </w:rPr>
        <w:t>’</w:t>
      </w:r>
      <w:r>
        <w:rPr>
          <w:rtl w:val="0"/>
        </w:rPr>
        <w:t>.</w:t>
      </w:r>
      <w:r>
        <w:rPr>
          <w:rFonts w:ascii="Times New Roman" w:cs="Times New Roman" w:hAnsi="Times New Roman" w:eastAsia="Times New Roman"/>
          <w:b w:val="0"/>
          <w:bCs w:val="0"/>
          <w:i w:val="0"/>
          <w:iCs w:val="0"/>
          <w:vertAlign w:val="superscript"/>
        </w:rPr>
        <w:footnoteReference w:id="133"/>
      </w:r>
      <w:r>
        <w:rPr>
          <w:rtl w:val="0"/>
        </w:rPr>
        <w:t xml:space="preserve"> As he suggests, it is intriguing then that this Greek tradition was concerned with dividing star paths by a factor of 4.</w:t>
      </w:r>
    </w:p>
    <w:p>
      <w:pPr>
        <w:pStyle w:val="Image Caption"/>
      </w:pPr>
    </w:p>
    <w:p>
      <w:pPr>
        <w:pStyle w:val="Image Caption"/>
      </w:pPr>
      <w:r>
        <w:drawing xmlns:a="http://schemas.openxmlformats.org/drawingml/2006/main">
          <wp:inline distT="0" distB="0" distL="0" distR="0">
            <wp:extent cx="2857631" cy="3299313"/>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14">
                      <a:extLst/>
                    </a:blip>
                    <a:srcRect l="0" t="0" r="0" b="0"/>
                    <a:stretch>
                      <a:fillRect/>
                    </a:stretch>
                  </pic:blipFill>
                  <pic:spPr>
                    <a:xfrm>
                      <a:off x="0" y="0"/>
                      <a:ext cx="2857631" cy="3299313"/>
                    </a:xfrm>
                    <a:prstGeom prst="rect">
                      <a:avLst/>
                    </a:prstGeom>
                    <a:ln w="12700" cap="flat">
                      <a:noFill/>
                      <a:miter lim="400000"/>
                    </a:ln>
                    <a:effectLst/>
                  </pic:spPr>
                </pic:pic>
              </a:graphicData>
            </a:graphic>
          </wp:inline>
        </w:drawing>
      </w:r>
    </w:p>
    <w:p>
      <w:pPr>
        <w:pStyle w:val="Image Caption"/>
      </w:pPr>
      <w:bookmarkStart w:name="_Toc25" w:id="25"/>
      <w:r>
        <w:rPr>
          <w:rFonts w:cs="Arial Unicode MS" w:eastAsia="Arial Unicode MS"/>
          <w:b w:val="1"/>
          <w:bCs w:val="1"/>
          <w:rtl w:val="0"/>
          <w:lang w:val="en-US"/>
        </w:rPr>
        <w:t>Fig. 8</w:t>
      </w:r>
      <w:r>
        <w:rPr>
          <w:rFonts w:cs="Arial Unicode MS" w:eastAsia="Arial Unicode MS"/>
          <w:rtl w:val="0"/>
        </w:rPr>
        <w:t xml:space="preserve"> Carolinian star compass. </w:t>
      </w:r>
      <w:r>
        <w:rPr>
          <w:rFonts w:cs="Arial Unicode MS" w:eastAsia="Arial Unicode MS"/>
          <w:rtl w:val="0"/>
        </w:rPr>
        <w:t xml:space="preserve">Lewis,  </w:t>
      </w:r>
      <w:r>
        <w:rPr>
          <w:rFonts w:cs="Arial Unicode MS" w:eastAsia="Arial Unicode MS" w:hint="default"/>
          <w:rtl w:val="0"/>
        </w:rPr>
        <w:t>‘</w:t>
      </w:r>
      <w:r>
        <w:rPr>
          <w:rFonts w:cs="Arial Unicode MS" w:eastAsia="Arial Unicode MS"/>
          <w:rtl w:val="0"/>
        </w:rPr>
        <w:t>Navigators</w:t>
      </w:r>
      <w:r>
        <w:rPr>
          <w:rFonts w:cs="Arial Unicode MS" w:eastAsia="Arial Unicode MS" w:hint="default"/>
          <w:rtl w:val="0"/>
        </w:rPr>
        <w:t>’</w:t>
      </w:r>
      <w:r>
        <w:rPr>
          <w:rFonts w:cs="Arial Unicode MS" w:eastAsia="Arial Unicode MS"/>
          <w:rtl w:val="0"/>
        </w:rPr>
        <w:t xml:space="preserve">, </w:t>
      </w:r>
      <w:r>
        <w:rPr>
          <w:rFonts w:cs="Arial Unicode MS" w:eastAsia="Arial Unicode MS"/>
          <w:rtl w:val="0"/>
        </w:rPr>
        <w:t>p. 142</w:t>
      </w:r>
      <w:r>
        <w:rPr>
          <w:rFonts w:cs="Arial Unicode MS" w:eastAsia="Arial Unicode MS"/>
          <w:rtl w:val="0"/>
        </w:rPr>
        <w:t>.</w:t>
      </w:r>
      <w:bookmarkEnd w:id="25"/>
    </w:p>
    <w:p>
      <w:pPr>
        <w:pStyle w:val="Image Caption"/>
      </w:pPr>
    </w:p>
    <w:p>
      <w:pPr>
        <w:pStyle w:val="Body A"/>
      </w:pPr>
      <w:r>
        <w:rPr>
          <w:rtl w:val="0"/>
        </w:rPr>
        <w:t xml:space="preserve">In practicality, Lewis record that navigators used </w:t>
      </w:r>
      <w:r>
        <w:rPr>
          <w:rtl w:val="0"/>
        </w:rPr>
        <w:t>‘</w:t>
      </w:r>
      <w:r>
        <w:rPr>
          <w:rtl w:val="0"/>
        </w:rPr>
        <w:t>stars abeam, behind, or at any angle to the actual track, either in default of a suitable star in front or because clouds obscure part of the sky</w:t>
      </w:r>
      <w:r>
        <w:rPr>
          <w:rtl w:val="0"/>
        </w:rPr>
        <w:t>’</w:t>
      </w:r>
      <w:r>
        <w:rPr>
          <w:rtl w:val="0"/>
        </w:rPr>
        <w:t>.</w:t>
      </w:r>
      <w:r>
        <w:rPr>
          <w:rFonts w:ascii="Times New Roman" w:cs="Times New Roman" w:hAnsi="Times New Roman" w:eastAsia="Times New Roman"/>
          <w:b w:val="0"/>
          <w:bCs w:val="0"/>
          <w:i w:val="0"/>
          <w:iCs w:val="0"/>
          <w:vertAlign w:val="superscript"/>
        </w:rPr>
        <w:footnoteReference w:id="134"/>
      </w:r>
      <w:r>
        <w:rPr>
          <w:rtl w:val="0"/>
        </w:rPr>
        <w:t xml:space="preserve"> Wayfinding by the stars then was a dynamic endeavour. Goodenough and Thomas wri</w:t>
      </w:r>
      <w:r>
        <w:rPr>
          <w:rtl w:val="0"/>
          <w:lang w:val="pt-PT"/>
        </w:rPr>
        <w:t>te</w:t>
      </w:r>
      <w:r>
        <w:rPr>
          <w:rtl w:val="0"/>
        </w:rPr>
        <w:t xml:space="preserve">, </w:t>
      </w:r>
      <w:r>
        <w:rPr>
          <w:rtl w:val="0"/>
        </w:rPr>
        <w:t>‘</w:t>
      </w:r>
      <w:r>
        <w:rPr>
          <w:rtl w:val="0"/>
        </w:rPr>
        <w:t>After learning the compass points, a student of navigation is taught all their reciprocals. The reciprocal of the rising of Vega in the northeast, for example, is the setting of Antares in the southwest. For every reciprocal pair a student must then learn what other reciprocal pair lies at right angle to it</w:t>
      </w:r>
      <w:r>
        <w:rPr>
          <w:rtl w:val="1"/>
        </w:rPr>
        <w:t>’</w:t>
      </w:r>
      <w:r>
        <w:rPr>
          <w:rtl w:val="0"/>
        </w:rPr>
        <w:t>.</w:t>
      </w:r>
      <w:r>
        <w:rPr>
          <w:rFonts w:ascii="Times New Roman" w:cs="Times New Roman" w:hAnsi="Times New Roman" w:eastAsia="Times New Roman"/>
          <w:b w:val="0"/>
          <w:bCs w:val="0"/>
          <w:i w:val="0"/>
          <w:iCs w:val="0"/>
          <w:vertAlign w:val="superscript"/>
        </w:rPr>
        <w:footnoteReference w:id="135"/>
      </w:r>
      <w:r>
        <w:rPr>
          <w:rtl w:val="0"/>
        </w:rPr>
        <w:t xml:space="preserve"> </w:t>
      </w:r>
      <w:r>
        <w:rPr>
          <w:rtl w:val="0"/>
        </w:rPr>
        <w:t>Traditional Micronesian navigators see themselves at the epicentre of the star compass, so whichever way they are facing, they are aware of the direction diametrically opposed, the reciprocal point behind them.</w:t>
      </w:r>
      <w:r>
        <w:rPr>
          <w:rFonts w:ascii="Times New Roman" w:cs="Times New Roman" w:hAnsi="Times New Roman" w:eastAsia="Times New Roman"/>
          <w:b w:val="0"/>
          <w:bCs w:val="0"/>
          <w:i w:val="0"/>
          <w:iCs w:val="0"/>
          <w:vertAlign w:val="superscript"/>
        </w:rPr>
        <w:footnoteReference w:id="136"/>
      </w:r>
      <w:r>
        <w:rPr>
          <w:rtl w:val="0"/>
        </w:rPr>
        <w:t xml:space="preserve"> Star compass points and their opposite reciprocals were specifically memorised by Micronesian sailors. The Carolinian sidereal compass embodies a highly developed and intricate knowledge system of star path steering, which relied on the methodical memorisation of stars azimuths and their corresponding maritime routes.</w:t>
      </w:r>
    </w:p>
    <w:p>
      <w:pPr>
        <w:pStyle w:val="Body A"/>
      </w:pPr>
    </w:p>
    <w:p>
      <w:pPr>
        <w:pStyle w:val="Heading Reg"/>
      </w:pPr>
      <w:bookmarkStart w:name="_Toc26" w:id="26"/>
      <w:r>
        <w:rPr>
          <w:rFonts w:cs="Arial Unicode MS" w:eastAsia="Arial Unicode MS"/>
          <w:rtl w:val="0"/>
          <w:lang w:val="en-US"/>
        </w:rPr>
        <w:t>Azimuths Not Declinations</w:t>
      </w:r>
      <w:bookmarkEnd w:id="26"/>
    </w:p>
    <w:p>
      <w:pPr>
        <w:pStyle w:val="Heading Reg"/>
      </w:pPr>
    </w:p>
    <w:p>
      <w:pPr>
        <w:pStyle w:val="Body A"/>
      </w:pPr>
      <w:r>
        <w:rPr>
          <w:rtl w:val="0"/>
        </w:rPr>
        <w:t xml:space="preserve">The proven viability of </w:t>
      </w:r>
      <w:r>
        <w:rPr>
          <w:rtl w:val="0"/>
        </w:rPr>
        <w:t xml:space="preserve">Pacific </w:t>
      </w:r>
      <w:r>
        <w:rPr>
          <w:rtl w:val="0"/>
        </w:rPr>
        <w:t>Is</w:t>
      </w:r>
      <w:r>
        <w:rPr>
          <w:rtl w:val="0"/>
          <w:lang w:val="de-DE"/>
        </w:rPr>
        <w:t xml:space="preserve">lander </w:t>
      </w:r>
      <w:r>
        <w:rPr>
          <w:rtl w:val="0"/>
        </w:rPr>
        <w:t xml:space="preserve">star sailing </w:t>
      </w:r>
      <w:r>
        <w:rPr>
          <w:rtl w:val="0"/>
          <w:lang w:val="fr-FR"/>
        </w:rPr>
        <w:t>techniques</w:t>
      </w:r>
      <w:r>
        <w:rPr>
          <w:rtl w:val="0"/>
        </w:rPr>
        <w:t xml:space="preserve"> may inform the current examination into how the Minoans may have embedded skyscape and seascape within their architectural landscape. One of the tenets of archaeoastronomical research is the pursuit of </w:t>
      </w:r>
      <w:r>
        <w:rPr>
          <w:rtl w:val="0"/>
        </w:rPr>
        <w:t>‘</w:t>
      </w:r>
      <w:r>
        <w:rPr>
          <w:rtl w:val="0"/>
        </w:rPr>
        <w:t>alignments</w:t>
      </w:r>
      <w:r>
        <w:rPr>
          <w:rtl w:val="0"/>
        </w:rPr>
        <w:t xml:space="preserve">’ </w:t>
      </w:r>
      <w:r>
        <w:rPr>
          <w:rtl w:val="0"/>
        </w:rPr>
        <w:t>established by the declination of celestial bodies. Frank Pendergast explains:</w:t>
      </w:r>
    </w:p>
    <w:p>
      <w:pPr>
        <w:pStyle w:val="Body A"/>
      </w:pPr>
    </w:p>
    <w:p>
      <w:pPr>
        <w:pStyle w:val="Quote"/>
        <w:ind w:left="720"/>
      </w:pPr>
      <w:r>
        <w:rPr>
          <w:rFonts w:cs="Arial Unicode MS" w:eastAsia="Arial Unicode MS"/>
          <w:rtl w:val="0"/>
          <w:lang w:val="en-US"/>
        </w:rPr>
        <w:t xml:space="preserve">The majority of archaeoastronomical surveys are undertaken to initially determine, </w:t>
      </w:r>
      <w:r>
        <w:rPr>
          <w:rFonts w:cs="Arial Unicode MS" w:eastAsia="Arial Unicode MS"/>
          <w:i w:val="1"/>
          <w:iCs w:val="1"/>
          <w:rtl w:val="0"/>
          <w:lang w:val="pt-PT"/>
        </w:rPr>
        <w:t>inter alia</w:t>
      </w:r>
      <w:r>
        <w:rPr>
          <w:rFonts w:cs="Arial Unicode MS" w:eastAsia="Arial Unicode MS"/>
          <w:rtl w:val="0"/>
          <w:lang w:val="en-US"/>
        </w:rPr>
        <w:t xml:space="preserve">, the orientation of a site, monument, or tomb. When combined with location (latitude) and profiles of the local horizon (azimuth and altitude), these data computationally yield astronomical declinations of the indicated positions of prominent celestial bodies of interest </w:t>
      </w:r>
      <w:r>
        <w:rPr>
          <w:rFonts w:cs="Arial Unicode MS" w:eastAsia="Arial Unicode MS" w:hint="default"/>
          <w:rtl w:val="0"/>
        </w:rPr>
        <w:t xml:space="preserve">– </w:t>
      </w:r>
      <w:r>
        <w:rPr>
          <w:rFonts w:cs="Arial Unicode MS" w:eastAsia="Arial Unicode MS"/>
          <w:rtl w:val="0"/>
          <w:lang w:val="en-US"/>
        </w:rPr>
        <w:t>either on the local horizon (rise/set), or of non-horizon events such as a transit phenomenon</w:t>
      </w:r>
      <w:r>
        <w:rPr>
          <w:rFonts w:cs="Arial Unicode MS" w:eastAsia="Arial Unicode MS"/>
          <w:rtl w:val="0"/>
          <w:lang w:val="en-US"/>
        </w:rPr>
        <w:t xml:space="preserve"> (Fig. 9)</w:t>
      </w:r>
      <w:r>
        <w:rPr>
          <w:rFonts w:cs="Arial Unicode MS" w:eastAsia="Arial Unicode MS"/>
          <w:rtl w:val="0"/>
        </w:rPr>
        <w:t>.</w:t>
      </w:r>
      <w:r>
        <w:rPr>
          <w:rFonts w:ascii="Times New Roman" w:cs="Times New Roman" w:hAnsi="Times New Roman" w:eastAsia="Times New Roman"/>
          <w:b w:val="0"/>
          <w:bCs w:val="0"/>
          <w:i w:val="0"/>
          <w:iCs w:val="0"/>
          <w:vertAlign w:val="superscript"/>
        </w:rPr>
        <w:footnoteReference w:id="137"/>
      </w:r>
    </w:p>
    <w:p>
      <w:pPr>
        <w:pStyle w:val="Quote"/>
        <w:ind w:left="720"/>
      </w:pPr>
    </w:p>
    <w:p>
      <w:pPr>
        <w:pStyle w:val="Post QUOTE"/>
      </w:pPr>
      <w:r>
        <w:rPr>
          <w:rtl w:val="0"/>
          <w:lang w:val="pt-PT"/>
        </w:rPr>
        <w:t>In</w:t>
      </w:r>
      <w:r>
        <w:rPr>
          <w:rtl w:val="0"/>
        </w:rPr>
        <w:t xml:space="preserve"> the case of traditional star navigation,</w:t>
      </w:r>
      <w:r>
        <w:rPr>
          <w:rtl w:val="0"/>
          <w:lang w:val="pt-PT"/>
        </w:rPr>
        <w:t xml:space="preserve"> </w:t>
      </w:r>
      <w:r>
        <w:rPr>
          <w:rtl w:val="0"/>
        </w:rPr>
        <w:t xml:space="preserve">as documented in Polynesia and Micronesia, </w:t>
      </w:r>
      <w:r>
        <w:rPr>
          <w:rtl w:val="0"/>
          <w:lang w:val="pt-PT"/>
        </w:rPr>
        <w:t xml:space="preserve">there is a reliance </w:t>
      </w:r>
      <w:r>
        <w:rPr>
          <w:rtl w:val="0"/>
        </w:rPr>
        <w:t xml:space="preserve">on azimuths </w:t>
      </w:r>
      <w:r>
        <w:rPr>
          <w:rtl w:val="0"/>
          <w:lang w:val="pt-PT"/>
        </w:rPr>
        <w:t>rather</w:t>
      </w:r>
      <w:r>
        <w:rPr>
          <w:rtl w:val="0"/>
        </w:rPr>
        <w:t xml:space="preserve"> </w:t>
      </w:r>
      <w:r>
        <w:rPr>
          <w:rtl w:val="0"/>
          <w:lang w:val="pt-PT"/>
        </w:rPr>
        <w:t xml:space="preserve">than </w:t>
      </w:r>
      <w:r>
        <w:rPr>
          <w:rtl w:val="0"/>
        </w:rPr>
        <w:t xml:space="preserve">declinations </w:t>
      </w:r>
      <w:r>
        <w:rPr>
          <w:rtl w:val="0"/>
        </w:rPr>
        <w:t>due to the level surface of the ocean</w:t>
      </w:r>
      <w:r>
        <w:rPr>
          <w:rtl w:val="1"/>
        </w:rPr>
        <w:t>’</w:t>
      </w:r>
      <w:r>
        <w:rPr>
          <w:rtl w:val="0"/>
          <w:lang w:val="pt-PT"/>
        </w:rPr>
        <w:t>s horizon</w:t>
      </w:r>
      <w:r>
        <w:rPr>
          <w:rtl w:val="0"/>
        </w:rPr>
        <w:t xml:space="preserve">. Charlotte Kursh and Theodora Kreps write, </w:t>
      </w:r>
      <w:r>
        <w:rPr>
          <w:rtl w:val="0"/>
        </w:rPr>
        <w:t>‘</w:t>
      </w:r>
      <w:r>
        <w:rPr>
          <w:rtl w:val="0"/>
        </w:rPr>
        <w:t>In the starpath system, on the contrary, the horizon line is of central importance in the determination of space as well as time. It is thus characteristically a sea-level system, since the sea-level horizon can be depended on to remain stable</w:t>
      </w:r>
      <w:r>
        <w:rPr>
          <w:rtl w:val="1"/>
        </w:rPr>
        <w:t>’</w:t>
      </w:r>
      <w:r>
        <w:rPr>
          <w:rtl w:val="0"/>
        </w:rPr>
        <w:t>.</w:t>
      </w:r>
      <w:r>
        <w:rPr>
          <w:rFonts w:ascii="Times New Roman" w:cs="Times New Roman" w:hAnsi="Times New Roman" w:eastAsia="Times New Roman"/>
          <w:b w:val="0"/>
          <w:bCs w:val="0"/>
          <w:i w:val="0"/>
          <w:iCs w:val="0"/>
          <w:vertAlign w:val="superscript"/>
        </w:rPr>
        <w:footnoteReference w:id="138"/>
      </w:r>
      <w:r>
        <w:rPr>
          <w:rtl w:val="0"/>
        </w:rPr>
        <w:t xml:space="preserve"> </w:t>
      </w:r>
      <w:r>
        <w:rPr>
          <w:rtl w:val="0"/>
        </w:rPr>
        <w:t xml:space="preserve">Therefore, astronautical orientations which rely on azimuths instead of declinations, may be underrepresented or </w:t>
      </w:r>
      <w:r>
        <w:rPr>
          <w:rtl w:val="0"/>
        </w:rPr>
        <w:t>unrecognised</w:t>
      </w:r>
      <w:r>
        <w:rPr>
          <w:rtl w:val="0"/>
        </w:rPr>
        <w:t xml:space="preserve"> in the archaeological datum. </w:t>
      </w:r>
      <w:r>
        <w:rPr>
          <w:rtl w:val="0"/>
        </w:rPr>
        <w:t>Circumstantially, star path steering may require observing a star</w:t>
      </w:r>
      <w:r>
        <w:rPr>
          <w:rtl w:val="0"/>
        </w:rPr>
        <w:t>’</w:t>
      </w:r>
      <w:r>
        <w:rPr>
          <w:rtl w:val="0"/>
        </w:rPr>
        <w:t>s course as it rises many degrees of altitude until another suitable star on the horizon is available;</w:t>
      </w:r>
      <w:r>
        <w:rPr>
          <w:rtl w:val="0"/>
          <w:lang w:val="pt-PT"/>
        </w:rPr>
        <w:t xml:space="preserve"> however</w:t>
      </w:r>
      <w:r>
        <w:rPr>
          <w:rtl w:val="0"/>
        </w:rPr>
        <w:t>,</w:t>
      </w:r>
      <w:r>
        <w:rPr>
          <w:rtl w:val="0"/>
          <w:lang w:val="pt-PT"/>
        </w:rPr>
        <w:t xml:space="preserve"> its azimuth is the starting point of any route</w:t>
      </w:r>
      <w:r>
        <w:rPr>
          <w:rtl w:val="0"/>
        </w:rPr>
        <w:t>.</w:t>
      </w:r>
    </w:p>
    <w:p>
      <w:pPr>
        <w:pStyle w:val="Post QUOTE"/>
      </w:pPr>
    </w:p>
    <w:p>
      <w:pPr>
        <w:pStyle w:val="Image A"/>
        <w:ind w:left="720"/>
      </w:pPr>
      <w:r>
        <w:drawing xmlns:a="http://schemas.openxmlformats.org/drawingml/2006/main">
          <wp:inline distT="0" distB="0" distL="0" distR="0">
            <wp:extent cx="1835765" cy="1798301"/>
            <wp:effectExtent l="0" t="0" r="0" b="0"/>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15">
                      <a:extLst/>
                    </a:blip>
                    <a:srcRect l="0" t="0" r="0" b="0"/>
                    <a:stretch>
                      <a:fillRect/>
                    </a:stretch>
                  </pic:blipFill>
                  <pic:spPr>
                    <a:xfrm>
                      <a:off x="0" y="0"/>
                      <a:ext cx="1835765" cy="1798301"/>
                    </a:xfrm>
                    <a:prstGeom prst="rect">
                      <a:avLst/>
                    </a:prstGeom>
                    <a:ln w="12700" cap="flat">
                      <a:noFill/>
                      <a:miter lim="400000"/>
                    </a:ln>
                    <a:effectLst/>
                  </pic:spPr>
                </pic:pic>
              </a:graphicData>
            </a:graphic>
          </wp:inline>
        </w:drawing>
      </w:r>
    </w:p>
    <w:p>
      <w:pPr>
        <w:pStyle w:val="Image Caption"/>
      </w:pPr>
      <w:bookmarkStart w:name="_Toc27" w:id="27"/>
      <w:r>
        <w:rPr>
          <w:rFonts w:cs="Arial Unicode MS" w:eastAsia="Arial Unicode MS"/>
          <w:b w:val="1"/>
          <w:bCs w:val="1"/>
          <w:rtl w:val="0"/>
          <w:lang w:val="en-US"/>
        </w:rPr>
        <w:t>Fig. 9</w:t>
      </w:r>
      <w:r>
        <w:rPr>
          <w:rFonts w:cs="Arial Unicode MS" w:eastAsia="Arial Unicode MS"/>
          <w:rtl w:val="0"/>
        </w:rPr>
        <w:t xml:space="preserve"> Celestial coordinate system with the azimuth and altitude centered on the observer. </w:t>
      </w:r>
      <w:r>
        <w:rPr>
          <w:rFonts w:cs="Arial Unicode MS" w:eastAsia="Arial Unicode MS"/>
          <w:rtl w:val="0"/>
        </w:rPr>
        <w:t xml:space="preserve">Markus Nielbock, </w:t>
      </w:r>
      <w:r>
        <w:rPr>
          <w:rFonts w:cs="Arial Unicode MS" w:eastAsia="Arial Unicode MS" w:hint="default"/>
          <w:rtl w:val="0"/>
        </w:rPr>
        <w:t>‘</w:t>
      </w:r>
      <w:r>
        <w:rPr>
          <w:rFonts w:cs="Arial Unicode MS" w:eastAsia="Arial Unicode MS"/>
          <w:rtl w:val="0"/>
        </w:rPr>
        <w:t>Navigation in the Ancient Mediterranean and Beyond</w:t>
      </w:r>
      <w:r>
        <w:rPr>
          <w:rFonts w:cs="Arial Unicode MS" w:eastAsia="Arial Unicode MS" w:hint="default"/>
          <w:rtl w:val="0"/>
        </w:rPr>
        <w:t>’</w:t>
      </w:r>
      <w:r>
        <w:rPr>
          <w:rFonts w:cs="Arial Unicode MS" w:eastAsia="Arial Unicode MS"/>
          <w:rtl w:val="0"/>
        </w:rPr>
        <w:t>, arXiv preprint arXiv:1708.07700: (2017), p. 2</w:t>
      </w:r>
      <w:bookmarkEnd w:id="27"/>
    </w:p>
    <w:p>
      <w:pPr>
        <w:pStyle w:val="Image Caption"/>
      </w:pPr>
    </w:p>
    <w:p>
      <w:pPr>
        <w:pStyle w:val="Body A"/>
      </w:pPr>
      <w:r>
        <w:rPr>
          <w:rtl w:val="0"/>
        </w:rPr>
        <w:t xml:space="preserve">The potential underrepresentation of astronautical orientations may have a corollary with some structures not incorporating observable sight lines to horizon events. Given the often tenuous meteorological conditions at sea, successful </w:t>
      </w:r>
      <w:r>
        <w:rPr>
          <w:rtl w:val="0"/>
        </w:rPr>
        <w:t xml:space="preserve">star sailors need to </w:t>
      </w:r>
      <w:r>
        <w:rPr>
          <w:rtl w:val="0"/>
        </w:rPr>
        <w:t>memorise</w:t>
      </w:r>
      <w:r>
        <w:rPr>
          <w:rtl w:val="0"/>
        </w:rPr>
        <w:t xml:space="preserve"> the </w:t>
      </w:r>
      <w:r>
        <w:rPr>
          <w:rtl w:val="0"/>
        </w:rPr>
        <w:t>appropriate</w:t>
      </w:r>
      <w:r>
        <w:rPr>
          <w:rtl w:val="0"/>
        </w:rPr>
        <w:t xml:space="preserve"> </w:t>
      </w:r>
      <w:r>
        <w:rPr>
          <w:rtl w:val="0"/>
        </w:rPr>
        <w:t>directions</w:t>
      </w:r>
      <w:r>
        <w:rPr>
          <w:rtl w:val="0"/>
        </w:rPr>
        <w:t xml:space="preserve"> of </w:t>
      </w:r>
      <w:r>
        <w:rPr>
          <w:rtl w:val="0"/>
        </w:rPr>
        <w:t xml:space="preserve">rising and setting </w:t>
      </w:r>
      <w:r>
        <w:rPr>
          <w:rtl w:val="0"/>
        </w:rPr>
        <w:t>stars</w:t>
      </w:r>
      <w:r>
        <w:rPr>
          <w:rtl w:val="0"/>
        </w:rPr>
        <w:t xml:space="preserve"> by foregoing direct visibility. Anecdotally, from the Kerkennah Islands near Tunisia to the Moce Islands of Fiji, ubiquitous</w:t>
      </w:r>
      <w:r>
        <w:rPr>
          <w:rtl w:val="0"/>
        </w:rPr>
        <w:t xml:space="preserve"> </w:t>
      </w:r>
      <w:r>
        <w:rPr>
          <w:rtl w:val="0"/>
        </w:rPr>
        <w:t>folktales</w:t>
      </w:r>
      <w:r>
        <w:rPr>
          <w:rtl w:val="0"/>
        </w:rPr>
        <w:t xml:space="preserve"> </w:t>
      </w:r>
      <w:r>
        <w:rPr>
          <w:rtl w:val="0"/>
        </w:rPr>
        <w:t>narrate how legendary sailors could navigate blindly.</w:t>
      </w:r>
      <w:r>
        <w:rPr>
          <w:rFonts w:ascii="Times New Roman" w:cs="Times New Roman" w:hAnsi="Times New Roman" w:eastAsia="Times New Roman"/>
          <w:b w:val="0"/>
          <w:bCs w:val="0"/>
          <w:i w:val="0"/>
          <w:iCs w:val="0"/>
          <w:vertAlign w:val="superscript"/>
        </w:rPr>
        <w:footnoteReference w:id="139"/>
      </w:r>
      <w:r>
        <w:rPr>
          <w:rtl w:val="0"/>
        </w:rPr>
        <w:t xml:space="preserve"> According to David Lewis, Gilbertese navigators were not educated regarding the stars under the open sky, but in roofed meeting-houses called </w:t>
      </w:r>
      <w:r>
        <w:rPr>
          <w:i w:val="1"/>
          <w:iCs w:val="1"/>
          <w:rtl w:val="0"/>
          <w:lang w:val="en-US"/>
        </w:rPr>
        <w:t xml:space="preserve">maneabas </w:t>
      </w:r>
      <w:r>
        <w:rPr>
          <w:rtl w:val="0"/>
        </w:rPr>
        <w:t>(Fig. 10):</w:t>
      </w:r>
    </w:p>
    <w:p>
      <w:pPr>
        <w:pStyle w:val="Body A"/>
      </w:pPr>
    </w:p>
    <w:p>
      <w:pPr>
        <w:pStyle w:val="Quote"/>
        <w:ind w:left="720"/>
      </w:pPr>
      <w:r>
        <w:rPr>
          <w:rFonts w:cs="Arial Unicode MS" w:eastAsia="Arial Unicode MS"/>
          <w:rtl w:val="0"/>
          <w:lang w:val="en-US"/>
        </w:rPr>
        <w:t xml:space="preserve">As a pupil he had been seated at the base of the central pillar, supporting the ridge pole of the </w:t>
      </w:r>
      <w:r>
        <w:rPr>
          <w:rFonts w:cs="Arial Unicode MS" w:eastAsia="Arial Unicode MS"/>
          <w:i w:val="1"/>
          <w:iCs w:val="1"/>
          <w:rtl w:val="0"/>
          <w:lang w:val="es-ES_tradnl"/>
        </w:rPr>
        <w:t>maneaba</w:t>
      </w:r>
      <w:r>
        <w:rPr>
          <w:rFonts w:cs="Arial Unicode MS" w:eastAsia="Arial Unicode MS"/>
          <w:rtl w:val="0"/>
          <w:lang w:val="en-US"/>
        </w:rPr>
        <w:t>, facing the eastern slope of the roof, which represented the eastern sky. The ridgepole was the meridian, and the central pillar, by which he sat, the star Rigel.</w:t>
      </w:r>
      <w:r>
        <w:rPr>
          <w:rFonts w:cs="Arial Unicode MS" w:eastAsia="Arial Unicode MS"/>
          <w:rtl w:val="0"/>
          <w:lang w:val="en-US"/>
        </w:rPr>
        <w:t xml:space="preserve"> </w:t>
      </w:r>
      <w:r>
        <w:rPr>
          <w:rFonts w:cs="Arial Unicode MS" w:eastAsia="Arial Unicode MS"/>
          <w:rtl w:val="0"/>
          <w:lang w:val="en-US"/>
        </w:rPr>
        <w:t>Stars and constellations were allotted places on the thatch north and south of the pillar.</w:t>
      </w:r>
      <w:r>
        <w:rPr>
          <w:rFonts w:ascii="Times New Roman" w:cs="Times New Roman" w:hAnsi="Times New Roman" w:eastAsia="Times New Roman"/>
          <w:b w:val="0"/>
          <w:bCs w:val="0"/>
          <w:i w:val="0"/>
          <w:iCs w:val="0"/>
          <w:vertAlign w:val="superscript"/>
        </w:rPr>
        <w:footnoteReference w:id="140"/>
      </w:r>
    </w:p>
    <w:p>
      <w:pPr>
        <w:pStyle w:val="Quote"/>
        <w:ind w:left="720"/>
      </w:pPr>
    </w:p>
    <w:p>
      <w:pPr>
        <w:pStyle w:val="Image A"/>
        <w:rPr>
          <w:rFonts w:ascii="Lora Bold" w:cs="Lora Bold" w:hAnsi="Lora Bold" w:eastAsia="Lora Bold"/>
        </w:rPr>
      </w:pPr>
      <w:r>
        <w:drawing xmlns:a="http://schemas.openxmlformats.org/drawingml/2006/main">
          <wp:inline distT="0" distB="0" distL="0" distR="0">
            <wp:extent cx="2815690" cy="1598549"/>
            <wp:effectExtent l="0" t="0" r="0" b="0"/>
            <wp:docPr id="1073741837" name="officeArt object" descr="Image"/>
            <wp:cNvGraphicFramePr/>
            <a:graphic xmlns:a="http://schemas.openxmlformats.org/drawingml/2006/main">
              <a:graphicData uri="http://schemas.openxmlformats.org/drawingml/2006/picture">
                <pic:pic xmlns:pic="http://schemas.openxmlformats.org/drawingml/2006/picture">
                  <pic:nvPicPr>
                    <pic:cNvPr id="1073741837" name="Image" descr="Image"/>
                    <pic:cNvPicPr>
                      <a:picLocks noChangeAspect="1"/>
                    </pic:cNvPicPr>
                  </pic:nvPicPr>
                  <pic:blipFill>
                    <a:blip r:embed="rId16">
                      <a:extLst/>
                    </a:blip>
                    <a:srcRect l="0" t="0" r="0" b="0"/>
                    <a:stretch>
                      <a:fillRect/>
                    </a:stretch>
                  </pic:blipFill>
                  <pic:spPr>
                    <a:xfrm>
                      <a:off x="0" y="0"/>
                      <a:ext cx="2815690" cy="1598549"/>
                    </a:xfrm>
                    <a:prstGeom prst="rect">
                      <a:avLst/>
                    </a:prstGeom>
                    <a:ln w="12700" cap="flat">
                      <a:noFill/>
                      <a:miter lim="400000"/>
                    </a:ln>
                    <a:effectLst/>
                  </pic:spPr>
                </pic:pic>
              </a:graphicData>
            </a:graphic>
          </wp:inline>
        </w:drawing>
      </w:r>
    </w:p>
    <w:p>
      <w:pPr>
        <w:pStyle w:val="Image Caption"/>
      </w:pPr>
      <w:bookmarkStart w:name="_Toc28" w:id="28"/>
      <w:r>
        <w:rPr>
          <w:rFonts w:cs="Arial Unicode MS" w:eastAsia="Arial Unicode MS"/>
          <w:b w:val="1"/>
          <w:bCs w:val="1"/>
          <w:rtl w:val="0"/>
          <w:lang w:val="en-US"/>
        </w:rPr>
        <w:t>Fig. 10</w:t>
      </w:r>
      <w:r>
        <w:rPr>
          <w:rFonts w:cs="Arial Unicode MS" w:eastAsia="Arial Unicode MS"/>
          <w:rtl w:val="0"/>
        </w:rPr>
        <w:t xml:space="preserve"> A Gilbertese sky dome. Lewis, </w:t>
      </w:r>
      <w:r>
        <w:rPr>
          <w:rFonts w:cs="Arial Unicode MS" w:eastAsia="Arial Unicode MS" w:hint="default"/>
          <w:rtl w:val="0"/>
        </w:rPr>
        <w:t>‘</w:t>
      </w:r>
      <w:r>
        <w:rPr>
          <w:rFonts w:cs="Arial Unicode MS" w:eastAsia="Arial Unicode MS"/>
          <w:rtl w:val="0"/>
        </w:rPr>
        <w:t>Voyaging</w:t>
      </w:r>
      <w:r>
        <w:rPr>
          <w:rFonts w:cs="Arial Unicode MS" w:eastAsia="Arial Unicode MS" w:hint="default"/>
          <w:rtl w:val="0"/>
        </w:rPr>
        <w:t>’</w:t>
      </w:r>
      <w:r>
        <w:rPr>
          <w:rFonts w:cs="Arial Unicode MS" w:eastAsia="Arial Unicode MS"/>
          <w:rtl w:val="0"/>
        </w:rPr>
        <w:t>, p. 9</w:t>
      </w:r>
      <w:bookmarkEnd w:id="28"/>
    </w:p>
    <w:p>
      <w:pPr>
        <w:pStyle w:val="Image Caption"/>
      </w:pPr>
    </w:p>
    <w:p>
      <w:pPr>
        <w:pStyle w:val="Post QUOTE"/>
        <w:rPr>
          <w:u w:val="single"/>
        </w:rPr>
      </w:pPr>
      <w:r>
        <w:rPr>
          <w:rtl w:val="0"/>
        </w:rPr>
        <w:t xml:space="preserve">In such cases, the structural syntax of the site serves as a metaphor for the vaulted sky, with the student at the epicentre. Such constructions forego the necessity for direct </w:t>
      </w:r>
      <w:r>
        <w:rPr>
          <w:rtl w:val="0"/>
        </w:rPr>
        <w:t>astronomical sightlines</w:t>
      </w:r>
      <w:r>
        <w:rPr>
          <w:rtl w:val="0"/>
        </w:rPr>
        <w:t>, as is traditionally investigated in archaeoastronomy. Logically, without such ethnographic reports, the lack of a direct sight line provides less satisfying and provable conclusions to such examinations. Although, it can be argued, this absence may be supplanted by the discovery of orientations toward long-distance localities.</w:t>
      </w:r>
    </w:p>
    <w:p>
      <w:pPr>
        <w:pStyle w:val="Body A"/>
      </w:pPr>
    </w:p>
    <w:p>
      <w:pPr>
        <w:pStyle w:val="Heading Reg"/>
      </w:pPr>
      <w:bookmarkStart w:name="_Toc29" w:id="29"/>
      <w:r>
        <w:rPr>
          <w:rFonts w:cs="Arial Unicode MS" w:eastAsia="Arial Unicode MS"/>
          <w:rtl w:val="0"/>
          <w:lang w:val="en-US"/>
        </w:rPr>
        <w:t>Astronautical Orientations</w:t>
      </w:r>
      <w:bookmarkEnd w:id="29"/>
    </w:p>
    <w:p>
      <w:pPr>
        <w:pStyle w:val="Heading Reg"/>
      </w:pPr>
    </w:p>
    <w:p>
      <w:pPr>
        <w:pStyle w:val="Body A"/>
      </w:pPr>
      <w:r>
        <w:rPr>
          <w:rtl w:val="0"/>
        </w:rPr>
        <w:t xml:space="preserve">The unique Minoan maritime prowess and their likely reliance on stellar wayfinding, suggests that Minoan worldview may have been a convergence of landscape, seascape, </w:t>
      </w:r>
      <w:r>
        <w:rPr>
          <w:i w:val="1"/>
          <w:iCs w:val="1"/>
          <w:rtl w:val="0"/>
          <w:lang w:val="en-US"/>
        </w:rPr>
        <w:t>and</w:t>
      </w:r>
      <w:r>
        <w:rPr>
          <w:rtl w:val="0"/>
        </w:rPr>
        <w:t xml:space="preserve"> skyscape. Besides the previously discussed evidence suggested by Blomberg and Henriksson, there are examples of structures worldwide that embedded astronautical orientations. The </w:t>
      </w:r>
      <w:r>
        <w:rPr>
          <w:rtl w:val="0"/>
        </w:rPr>
        <w:t>Temple of Apollo at Delphi wa</w:t>
      </w:r>
      <w:r>
        <w:rPr>
          <w:rtl w:val="0"/>
        </w:rPr>
        <w:t xml:space="preserve">s ostensibly </w:t>
      </w:r>
      <w:r>
        <w:rPr>
          <w:rtl w:val="0"/>
        </w:rPr>
        <w:t xml:space="preserve">aligned to </w:t>
      </w:r>
      <w:r>
        <w:rPr>
          <w:rtl w:val="0"/>
        </w:rPr>
        <w:t>Delphinus, a</w:t>
      </w:r>
      <w:r>
        <w:rPr>
          <w:rtl w:val="0"/>
        </w:rPr>
        <w:t xml:space="preserve"> constellation associated with stellar nav</w:t>
      </w:r>
      <w:r>
        <w:rPr>
          <w:rtl w:val="0"/>
        </w:rPr>
        <w:t>i</w:t>
      </w:r>
      <w:r>
        <w:rPr>
          <w:rtl w:val="0"/>
          <w:lang w:val="fr-FR"/>
        </w:rPr>
        <w:t>gation</w:t>
      </w:r>
      <w:r>
        <w:rPr>
          <w:rtl w:val="0"/>
        </w:rPr>
        <w:t xml:space="preserve"> in Greek mythology</w:t>
      </w:r>
      <w:r>
        <w:rPr>
          <w:rtl w:val="0"/>
        </w:rPr>
        <w:t xml:space="preserve">. </w:t>
      </w:r>
      <w:r>
        <w:rPr>
          <w:rtl w:val="0"/>
        </w:rPr>
        <w:t>A</w:t>
      </w:r>
      <w:r>
        <w:rPr>
          <w:rtl w:val="0"/>
        </w:rPr>
        <w:t>ccording to</w:t>
      </w:r>
      <w:r>
        <w:rPr>
          <w:rtl w:val="0"/>
        </w:rPr>
        <w:t xml:space="preserve"> Efrosyni</w:t>
      </w:r>
      <w:r>
        <w:rPr>
          <w:rtl w:val="0"/>
          <w:lang w:val="fr-FR"/>
        </w:rPr>
        <w:t xml:space="preserve"> Boutsikas</w:t>
      </w:r>
      <w:r>
        <w:rPr>
          <w:rtl w:val="0"/>
        </w:rPr>
        <w:t>, the</w:t>
      </w:r>
      <w:r>
        <w:rPr>
          <w:rtl w:val="0"/>
          <w:lang w:val="fr-FR"/>
        </w:rPr>
        <w:t xml:space="preserve"> temple faces a</w:t>
      </w:r>
      <w:r>
        <w:rPr>
          <w:rtl w:val="0"/>
        </w:rPr>
        <w:t>n atypical</w:t>
      </w:r>
      <w:r>
        <w:rPr>
          <w:rtl w:val="0"/>
        </w:rPr>
        <w:t xml:space="preserve"> </w:t>
      </w:r>
      <w:r>
        <w:rPr>
          <w:rtl w:val="0"/>
        </w:rPr>
        <w:t>elevated</w:t>
      </w:r>
      <w:r>
        <w:rPr>
          <w:rtl w:val="0"/>
        </w:rPr>
        <w:t xml:space="preserve"> horizon </w:t>
      </w:r>
      <w:r>
        <w:rPr>
          <w:rtl w:val="0"/>
        </w:rPr>
        <w:t xml:space="preserve">that by delaying the heliacal rising of the constellation by two weeks, </w:t>
      </w:r>
      <w:r>
        <w:rPr>
          <w:rtl w:val="0"/>
        </w:rPr>
        <w:t>‘</w:t>
      </w:r>
      <w:r>
        <w:rPr>
          <w:rtl w:val="0"/>
        </w:rPr>
        <w:t>would offer advance warning for visitors travelling from across the Greek world to consult the oracle, in order to arrive at the oracle on time for the annual consultation</w:t>
      </w:r>
      <w:r>
        <w:rPr>
          <w:rtl w:val="1"/>
        </w:rPr>
        <w:t>’</w:t>
      </w:r>
      <w:r>
        <w:rPr>
          <w:rtl w:val="0"/>
        </w:rPr>
        <w:t>.</w:t>
      </w:r>
      <w:r>
        <w:rPr>
          <w:rFonts w:ascii="Times New Roman" w:cs="Times New Roman" w:hAnsi="Times New Roman" w:eastAsia="Times New Roman"/>
          <w:b w:val="0"/>
          <w:bCs w:val="0"/>
          <w:i w:val="0"/>
          <w:iCs w:val="0"/>
          <w:vertAlign w:val="superscript"/>
        </w:rPr>
        <w:footnoteReference w:id="141"/>
      </w:r>
      <w:r>
        <w:rPr>
          <w:rtl w:val="0"/>
        </w:rPr>
        <w:t xml:space="preserve"> The </w:t>
      </w:r>
      <w:r>
        <w:rPr>
          <w:rtl w:val="0"/>
        </w:rPr>
        <w:t>‘</w:t>
      </w:r>
      <w:r>
        <w:rPr>
          <w:rtl w:val="0"/>
        </w:rPr>
        <w:t>Homeric Hymns to Apollo</w:t>
      </w:r>
      <w:r>
        <w:rPr>
          <w:rtl w:val="0"/>
        </w:rPr>
        <w:t>’</w:t>
      </w:r>
      <w:r>
        <w:rPr>
          <w:rtl w:val="0"/>
        </w:rPr>
        <w:t xml:space="preserve"> </w:t>
      </w:r>
      <w:r>
        <w:rPr>
          <w:rtl w:val="0"/>
        </w:rPr>
        <w:t>chronicle</w:t>
      </w:r>
      <w:r>
        <w:rPr>
          <w:rtl w:val="0"/>
        </w:rPr>
        <w:t xml:space="preserve"> how Apollo </w:t>
      </w:r>
      <w:r>
        <w:rPr>
          <w:rtl w:val="0"/>
        </w:rPr>
        <w:t>metamorphosed</w:t>
      </w:r>
      <w:r>
        <w:rPr>
          <w:rtl w:val="0"/>
        </w:rPr>
        <w:t xml:space="preserve"> into </w:t>
      </w:r>
      <w:r>
        <w:rPr>
          <w:rtl w:val="0"/>
        </w:rPr>
        <w:t>the</w:t>
      </w:r>
      <w:r>
        <w:rPr>
          <w:rtl w:val="0"/>
        </w:rPr>
        <w:t xml:space="preserve"> dolphin that was </w:t>
      </w:r>
      <w:r>
        <w:rPr>
          <w:rtl w:val="0"/>
        </w:rPr>
        <w:t>consequently</w:t>
      </w:r>
      <w:r>
        <w:rPr>
          <w:rtl w:val="0"/>
        </w:rPr>
        <w:t xml:space="preserve"> </w:t>
      </w:r>
      <w:r>
        <w:rPr>
          <w:rtl w:val="0"/>
        </w:rPr>
        <w:t>positioned</w:t>
      </w:r>
      <w:r>
        <w:rPr>
          <w:rtl w:val="0"/>
        </w:rPr>
        <w:t xml:space="preserve"> among the stars</w:t>
      </w:r>
      <w:r>
        <w:rPr>
          <w:rtl w:val="0"/>
        </w:rPr>
        <w:t xml:space="preserve"> </w:t>
      </w:r>
      <w:r>
        <w:rPr>
          <w:rtl w:val="0"/>
        </w:rPr>
        <w:t xml:space="preserve">to guide </w:t>
      </w:r>
      <w:r>
        <w:rPr>
          <w:rtl w:val="0"/>
        </w:rPr>
        <w:t>sailors to his oracle.</w:t>
      </w:r>
      <w:r>
        <w:rPr>
          <w:rFonts w:ascii="Times New Roman" w:cs="Times New Roman" w:hAnsi="Times New Roman" w:eastAsia="Times New Roman"/>
          <w:b w:val="0"/>
          <w:bCs w:val="0"/>
          <w:i w:val="0"/>
          <w:iCs w:val="0"/>
          <w:vertAlign w:val="superscript"/>
        </w:rPr>
        <w:footnoteReference w:id="142"/>
      </w:r>
    </w:p>
    <w:p>
      <w:pPr>
        <w:pStyle w:val="Body A"/>
      </w:pPr>
      <w:r>
        <w:rPr>
          <w:rtl w:val="0"/>
        </w:rPr>
        <w:t xml:space="preserve">The </w:t>
      </w:r>
      <w:r>
        <w:rPr>
          <w:rtl w:val="1"/>
        </w:rPr>
        <w:t>‘</w:t>
      </w:r>
      <w:r>
        <w:rPr>
          <w:rtl w:val="0"/>
        </w:rPr>
        <w:t>sighting wall</w:t>
      </w:r>
      <w:r>
        <w:rPr>
          <w:rtl w:val="1"/>
        </w:rPr>
        <w:t xml:space="preserve">’ </w:t>
      </w:r>
      <w:r>
        <w:rPr>
          <w:rtl w:val="0"/>
        </w:rPr>
        <w:t xml:space="preserve">in the southernmost point of the Hawaiian </w:t>
      </w:r>
      <w:r>
        <w:rPr>
          <w:rtl w:val="0"/>
        </w:rPr>
        <w:t>I</w:t>
      </w:r>
      <w:r>
        <w:rPr>
          <w:rtl w:val="0"/>
        </w:rPr>
        <w:t>sland of Maui, through which the Southern Cross could be seen when it was upright</w:t>
      </w:r>
      <w:r>
        <w:rPr>
          <w:rtl w:val="0"/>
        </w:rPr>
        <w:t>, may be another case of an</w:t>
      </w:r>
      <w:r>
        <w:rPr>
          <w:rtl w:val="0"/>
        </w:rPr>
        <w:t xml:space="preserve"> </w:t>
      </w:r>
      <w:r>
        <w:rPr>
          <w:rtl w:val="0"/>
        </w:rPr>
        <w:t>astronautical</w:t>
      </w:r>
      <w:r>
        <w:rPr>
          <w:rtl w:val="0"/>
        </w:rPr>
        <w:t xml:space="preserve"> structure that embodied celestial alignments used in maritime navigation</w:t>
      </w:r>
      <w:r>
        <w:rPr>
          <w:rtl w:val="0"/>
        </w:rPr>
        <w:t>.</w:t>
      </w:r>
      <w:r>
        <w:rPr>
          <w:rFonts w:ascii="Times New Roman" w:cs="Times New Roman" w:hAnsi="Times New Roman" w:eastAsia="Times New Roman"/>
          <w:b w:val="0"/>
          <w:bCs w:val="0"/>
          <w:i w:val="0"/>
          <w:iCs w:val="0"/>
          <w:vertAlign w:val="superscript"/>
        </w:rPr>
        <w:footnoteReference w:id="143"/>
      </w:r>
      <w:r>
        <w:rPr>
          <w:rtl w:val="0"/>
        </w:rPr>
        <w:t xml:space="preserve"> According to Ruggles, </w:t>
      </w:r>
      <w:r>
        <w:rPr>
          <w:rtl w:val="1"/>
        </w:rPr>
        <w:t>‘</w:t>
      </w:r>
      <w:r>
        <w:rPr>
          <w:rtl w:val="0"/>
        </w:rPr>
        <w:t xml:space="preserve">Various linguistic, ethnohistoric, and ethnographic arguments combine to suggest that this was a symbolic alignment </w:t>
      </w:r>
      <w:r>
        <w:rPr>
          <w:rtl w:val="0"/>
        </w:rPr>
        <w:t>memorialising</w:t>
      </w:r>
      <w:r>
        <w:rPr>
          <w:rtl w:val="0"/>
          <w:lang w:val="fr-FR"/>
        </w:rPr>
        <w:t xml:space="preserve"> voyaging traditions</w:t>
      </w:r>
      <w:r>
        <w:rPr>
          <w:rtl w:val="1"/>
        </w:rPr>
        <w:t>’</w:t>
      </w:r>
      <w:r>
        <w:rPr>
          <w:rtl w:val="0"/>
        </w:rPr>
        <w:t>.</w:t>
      </w:r>
      <w:r>
        <w:rPr>
          <w:rFonts w:ascii="Times New Roman" w:cs="Times New Roman" w:hAnsi="Times New Roman" w:eastAsia="Times New Roman"/>
          <w:b w:val="0"/>
          <w:bCs w:val="0"/>
          <w:i w:val="0"/>
          <w:iCs w:val="0"/>
          <w:vertAlign w:val="superscript"/>
        </w:rPr>
        <w:footnoteReference w:id="144"/>
      </w:r>
      <w:r>
        <w:rPr>
          <w:rtl w:val="0"/>
        </w:rPr>
        <w:t xml:space="preserve"> According to Patrick Kirch and Ruggles, the Hawaiian </w:t>
      </w:r>
      <w:r>
        <w:rPr>
          <w:i w:val="1"/>
          <w:iCs w:val="1"/>
          <w:rtl w:val="0"/>
          <w:lang w:val="en-US"/>
        </w:rPr>
        <w:t>heiau</w:t>
      </w:r>
      <w:r>
        <w:rPr>
          <w:rtl w:val="0"/>
        </w:rPr>
        <w:t xml:space="preserve"> temple system, which is a descendant of the Polynesian </w:t>
      </w:r>
      <w:r>
        <w:rPr>
          <w:i w:val="1"/>
          <w:iCs w:val="1"/>
          <w:rtl w:val="0"/>
          <w:lang w:val="en-US"/>
        </w:rPr>
        <w:t>Marae</w:t>
      </w:r>
      <w:r>
        <w:rPr>
          <w:rtl w:val="0"/>
        </w:rPr>
        <w:t xml:space="preserve"> sacred places, and dates as far back as the 12</w:t>
      </w:r>
      <w:r>
        <w:rPr>
          <w:vertAlign w:val="superscript"/>
          <w:rtl w:val="0"/>
          <w:lang w:val="en-US"/>
        </w:rPr>
        <w:t>th</w:t>
      </w:r>
      <w:r>
        <w:rPr>
          <w:rtl w:val="0"/>
        </w:rPr>
        <w:t xml:space="preserve"> century </w:t>
      </w:r>
      <w:r>
        <w:rPr>
          <w:smallCaps w:val="1"/>
          <w:rtl w:val="0"/>
          <w:lang w:val="en-US"/>
        </w:rPr>
        <w:t>ad</w:t>
      </w:r>
      <w:r>
        <w:rPr>
          <w:rtl w:val="0"/>
        </w:rPr>
        <w:t>, contained stellar alignments to the rising of stars such as the Pleiades, and in some instances, was oriented toward topographic targets on other islands, such as enemy territories.</w:t>
      </w:r>
      <w:r>
        <w:rPr>
          <w:rFonts w:ascii="Times New Roman" w:cs="Times New Roman" w:hAnsi="Times New Roman" w:eastAsia="Times New Roman"/>
          <w:b w:val="0"/>
          <w:bCs w:val="0"/>
          <w:i w:val="0"/>
          <w:iCs w:val="0"/>
          <w:vertAlign w:val="superscript"/>
        </w:rPr>
        <w:footnoteReference w:id="145"/>
      </w:r>
    </w:p>
    <w:p>
      <w:pPr>
        <w:pStyle w:val="Body A"/>
      </w:pPr>
      <w:r>
        <w:rPr>
          <w:rtl w:val="0"/>
        </w:rPr>
        <w:t>In Micronesia, there is an important surviving example of stones that were astronautically orientated toward neighbouring islands (Fig. 11).</w:t>
      </w:r>
      <w:r>
        <w:rPr>
          <w:rFonts w:ascii="Times New Roman" w:cs="Times New Roman" w:hAnsi="Times New Roman" w:eastAsia="Times New Roman"/>
          <w:b w:val="0"/>
          <w:bCs w:val="0"/>
          <w:i w:val="0"/>
          <w:iCs w:val="0"/>
          <w:vertAlign w:val="superscript"/>
        </w:rPr>
        <w:footnoteReference w:id="146"/>
      </w:r>
      <w:r>
        <w:rPr>
          <w:rtl w:val="0"/>
        </w:rPr>
        <w:t xml:space="preserve"> In the</w:t>
      </w:r>
      <w:r>
        <w:rPr>
          <w:rtl w:val="0"/>
        </w:rPr>
        <w:t xml:space="preserve"> Arorae Island, southern Kiribati</w:t>
      </w:r>
      <w:r>
        <w:rPr>
          <w:rtl w:val="0"/>
        </w:rPr>
        <w:t xml:space="preserve">, the so-called </w:t>
      </w:r>
      <w:r>
        <w:rPr>
          <w:rtl w:val="0"/>
        </w:rPr>
        <w:t>‘</w:t>
      </w:r>
      <w:r>
        <w:rPr>
          <w:rtl w:val="0"/>
        </w:rPr>
        <w:t>navigation stones</w:t>
      </w:r>
      <w:r>
        <w:rPr>
          <w:rtl w:val="0"/>
        </w:rPr>
        <w:t>’</w:t>
      </w:r>
      <w:r>
        <w:rPr>
          <w:rtl w:val="0"/>
        </w:rPr>
        <w:t>,</w:t>
      </w:r>
      <w:r>
        <w:rPr>
          <w:rFonts w:ascii="Times Roman" w:hAnsi="Times Roman"/>
          <w:rtl w:val="0"/>
          <w:lang w:val="en-US"/>
        </w:rPr>
        <w:t xml:space="preserve"> </w:t>
      </w:r>
      <w:r>
        <w:rPr>
          <w:rFonts w:ascii="Times Roman" w:hAnsi="Times Roman"/>
          <w:i w:val="1"/>
          <w:iCs w:val="1"/>
          <w:rtl w:val="0"/>
        </w:rPr>
        <w:t>Te Atibu ni Borau</w:t>
      </w:r>
      <w:r>
        <w:rPr>
          <w:rFonts w:ascii="Times Roman" w:hAnsi="Times Roman"/>
          <w:i w:val="1"/>
          <w:iCs w:val="1"/>
          <w:rtl w:val="0"/>
          <w:lang w:val="en-US"/>
        </w:rPr>
        <w:t xml:space="preserve">, </w:t>
      </w:r>
      <w:r>
        <w:rPr>
          <w:rtl w:val="0"/>
        </w:rPr>
        <w:t xml:space="preserve">aimed at shores </w:t>
      </w:r>
      <w:r>
        <w:rPr>
          <w:rtl w:val="0"/>
        </w:rPr>
        <w:t>more than 80 miles away</w:t>
      </w:r>
      <w:r>
        <w:rPr>
          <w:rtl w:val="0"/>
        </w:rPr>
        <w:t>.</w:t>
      </w:r>
      <w:r>
        <w:rPr>
          <w:rFonts w:ascii="Times Roman" w:hAnsi="Times Roman"/>
          <w:rtl w:val="0"/>
        </w:rPr>
        <w:t xml:space="preserve"> </w:t>
      </w:r>
      <w:r>
        <w:rPr>
          <w:rtl w:val="0"/>
        </w:rPr>
        <w:t>They were originally surveyed and documented ethnographically by Brett Hilder in 1957, who estimates that the orientations were intentionally askew by about 5</w:t>
      </w:r>
      <w:r>
        <w:rPr>
          <w:rtl w:val="0"/>
        </w:rPr>
        <w:t xml:space="preserve">° </w:t>
      </w:r>
      <w:r>
        <w:rPr>
          <w:rtl w:val="0"/>
        </w:rPr>
        <w:t>from each island due to Equatorial Currents.</w:t>
      </w:r>
      <w:r>
        <w:rPr>
          <w:rFonts w:ascii="Times New Roman" w:cs="Times New Roman" w:hAnsi="Times New Roman" w:eastAsia="Times New Roman"/>
          <w:b w:val="0"/>
          <w:bCs w:val="0"/>
          <w:i w:val="0"/>
          <w:iCs w:val="0"/>
          <w:vertAlign w:val="superscript"/>
        </w:rPr>
        <w:footnoteReference w:id="147"/>
      </w:r>
      <w:r>
        <w:rPr>
          <w:rtl w:val="0"/>
        </w:rPr>
        <w:t xml:space="preserve"> Brett Hilder supposes they were </w:t>
      </w:r>
      <w:r>
        <w:rPr>
          <w:rtl w:val="0"/>
        </w:rPr>
        <w:t>‘</w:t>
      </w:r>
      <w:r>
        <w:rPr>
          <w:i w:val="1"/>
          <w:iCs w:val="1"/>
          <w:rtl w:val="0"/>
          <w:lang w:val="fr-FR"/>
        </w:rPr>
        <w:t>aides-memoire</w:t>
      </w:r>
      <w:r>
        <w:rPr>
          <w:rFonts w:ascii="Times Roman" w:hAnsi="Times Roman"/>
          <w:rtl w:val="0"/>
          <w:lang w:val="en-US"/>
        </w:rPr>
        <w:t xml:space="preserve">, or sailing directions, used in the Polynesian lore of navigation as well as being used to set departure courses from a standard </w:t>
      </w:r>
      <w:r>
        <w:rPr>
          <w:rFonts w:ascii="Times Roman" w:hAnsi="Times Roman" w:hint="default"/>
          <w:rtl w:val="0"/>
          <w:lang w:val="en-US"/>
        </w:rPr>
        <w:t>“</w:t>
      </w:r>
      <w:r>
        <w:rPr>
          <w:rFonts w:ascii="Times Roman" w:hAnsi="Times Roman"/>
          <w:rtl w:val="0"/>
          <w:lang w:val="en-US"/>
        </w:rPr>
        <w:t>starting-point</w:t>
      </w:r>
      <w:r>
        <w:rPr>
          <w:rFonts w:ascii="Times Roman" w:hAnsi="Times Roman" w:hint="default"/>
          <w:rtl w:val="0"/>
          <w:lang w:val="en-US"/>
        </w:rPr>
        <w:t>”</w:t>
      </w:r>
      <w:r>
        <w:rPr>
          <w:rFonts w:ascii="Times Roman" w:hAnsi="Times Roman" w:hint="default"/>
          <w:rtl w:val="1"/>
        </w:rPr>
        <w:t>’</w:t>
      </w:r>
      <w:r>
        <w:rPr>
          <w:rFonts w:ascii="Times Roman" w:hAnsi="Times Roman"/>
          <w:rtl w:val="0"/>
        </w:rPr>
        <w:t>.</w:t>
      </w:r>
      <w:r>
        <w:rPr>
          <w:rFonts w:ascii="Times Roman" w:cs="Times Roman" w:hAnsi="Times Roman" w:eastAsia="Times Roman"/>
          <w:vertAlign w:val="superscript"/>
        </w:rPr>
        <w:footnoteReference w:id="148"/>
      </w:r>
      <w:r>
        <w:rPr>
          <w:rFonts w:ascii="Times Roman" w:hAnsi="Times Roman"/>
          <w:rtl w:val="0"/>
          <w:lang w:val="en-US"/>
        </w:rPr>
        <w:t xml:space="preserve"> </w:t>
      </w:r>
      <w:r>
        <w:rPr>
          <w:rFonts w:ascii="Times Roman" w:hAnsi="Times Roman"/>
          <w:rtl w:val="0"/>
          <w:lang w:val="en-US"/>
        </w:rPr>
        <w:t xml:space="preserve">Through the use of sighting stones they </w:t>
      </w:r>
      <w:r>
        <w:rPr>
          <w:rFonts w:ascii="Times Roman" w:hAnsi="Times Roman"/>
          <w:rtl w:val="0"/>
          <w:lang w:val="en-US"/>
        </w:rPr>
        <w:t xml:space="preserve">may have </w:t>
      </w:r>
      <w:r>
        <w:rPr>
          <w:rFonts w:ascii="Times Roman" w:hAnsi="Times Roman"/>
          <w:rtl w:val="0"/>
          <w:lang w:val="en-US"/>
        </w:rPr>
        <w:t xml:space="preserve">functioned as training devices for </w:t>
      </w:r>
      <w:r>
        <w:rPr>
          <w:rFonts w:ascii="Times Roman" w:hAnsi="Times Roman"/>
          <w:rtl w:val="0"/>
          <w:lang w:val="en-US"/>
        </w:rPr>
        <w:t xml:space="preserve">regional </w:t>
      </w:r>
      <w:r>
        <w:rPr>
          <w:rFonts w:ascii="Times Roman" w:hAnsi="Times Roman"/>
          <w:rtl w:val="0"/>
          <w:lang w:val="en-US"/>
        </w:rPr>
        <w:t>star path navigation.</w:t>
      </w:r>
    </w:p>
    <w:p>
      <w:pPr>
        <w:pStyle w:val="Body A"/>
      </w:pPr>
      <w:r>
        <w:rPr>
          <w:rtl w:val="0"/>
        </w:rPr>
        <w:t>The stones were immune to the unhurried spin of the earth</w:t>
      </w:r>
      <w:r>
        <w:rPr>
          <w:rtl w:val="0"/>
        </w:rPr>
        <w:t>’</w:t>
      </w:r>
      <w:r>
        <w:rPr>
          <w:rtl w:val="0"/>
        </w:rPr>
        <w:t xml:space="preserve">s axial precession. As such, they may have solidified oral traditions for succeeding generations in what Brady terms a </w:t>
      </w:r>
      <w:r>
        <w:rPr>
          <w:rtl w:val="0"/>
        </w:rPr>
        <w:t>‘</w:t>
      </w:r>
      <w:r>
        <w:rPr>
          <w:rtl w:val="0"/>
        </w:rPr>
        <w:t>knowledge-based compass</w:t>
      </w:r>
      <w:r>
        <w:rPr>
          <w:rtl w:val="0"/>
        </w:rPr>
        <w:t>’</w:t>
      </w:r>
      <w:r>
        <w:rPr>
          <w:rtl w:val="0"/>
        </w:rPr>
        <w:t>.</w:t>
      </w:r>
      <w:r>
        <w:rPr>
          <w:rFonts w:ascii="Times New Roman" w:cs="Times New Roman" w:hAnsi="Times New Roman" w:eastAsia="Times New Roman"/>
          <w:b w:val="0"/>
          <w:bCs w:val="0"/>
          <w:i w:val="0"/>
          <w:iCs w:val="0"/>
          <w:vertAlign w:val="superscript"/>
        </w:rPr>
        <w:footnoteReference w:id="149"/>
      </w:r>
      <w:r>
        <w:rPr>
          <w:rtl w:val="0"/>
        </w:rPr>
        <w:t xml:space="preserve"> Recently, Akira </w:t>
      </w:r>
      <w:r>
        <w:rPr>
          <w:rtl w:val="0"/>
        </w:rPr>
        <w:t>and others</w:t>
      </w:r>
      <w:r>
        <w:rPr>
          <w:rtl w:val="0"/>
        </w:rPr>
        <w:t xml:space="preserve"> have confirmed the stones</w:t>
      </w:r>
      <w:r>
        <w:rPr>
          <w:rtl w:val="0"/>
        </w:rPr>
        <w:t xml:space="preserve">’ </w:t>
      </w:r>
      <w:r>
        <w:rPr>
          <w:rtl w:val="0"/>
        </w:rPr>
        <w:t>functions as pedagogical tools for instructing navigation and indigenous calendar centred on the constellations.</w:t>
      </w:r>
      <w:r>
        <w:rPr>
          <w:rFonts w:ascii="Times New Roman" w:cs="Times New Roman" w:hAnsi="Times New Roman" w:eastAsia="Times New Roman"/>
          <w:b w:val="0"/>
          <w:bCs w:val="0"/>
          <w:i w:val="0"/>
          <w:iCs w:val="0"/>
          <w:vertAlign w:val="superscript"/>
        </w:rPr>
        <w:footnoteReference w:id="150"/>
      </w:r>
      <w:r>
        <w:rPr>
          <w:rtl w:val="0"/>
        </w:rPr>
        <w:t xml:space="preserve"> Hilder conjectures that the absence of similar navigation stones in the other islands may be due to </w:t>
      </w:r>
      <w:r>
        <w:rPr>
          <w:rtl w:val="0"/>
        </w:rPr>
        <w:t>European colonial explorers</w:t>
      </w:r>
      <w:r>
        <w:rPr>
          <w:rtl w:val="0"/>
        </w:rPr>
        <w:t xml:space="preserve"> overlooking solitary stone or wood markers.</w:t>
      </w:r>
      <w:r>
        <w:rPr>
          <w:rFonts w:ascii="Times New Roman" w:cs="Times New Roman" w:hAnsi="Times New Roman" w:eastAsia="Times New Roman"/>
          <w:b w:val="0"/>
          <w:bCs w:val="0"/>
          <w:i w:val="0"/>
          <w:iCs w:val="0"/>
          <w:vertAlign w:val="superscript"/>
        </w:rPr>
        <w:footnoteReference w:id="151"/>
      </w:r>
    </w:p>
    <w:p>
      <w:pPr>
        <w:pStyle w:val="Body A"/>
      </w:pPr>
    </w:p>
    <w:p>
      <w:pPr>
        <w:pStyle w:val="Image A"/>
        <w:rPr>
          <w:rFonts w:ascii="Times Roman" w:cs="Times Roman" w:hAnsi="Times Roman" w:eastAsia="Times Roman"/>
          <w:sz w:val="24"/>
          <w:szCs w:val="24"/>
        </w:rPr>
      </w:pPr>
      <w:r>
        <w:drawing xmlns:a="http://schemas.openxmlformats.org/drawingml/2006/main">
          <wp:inline distT="0" distB="0" distL="0" distR="0">
            <wp:extent cx="2161872" cy="2069341"/>
            <wp:effectExtent l="0" t="0" r="0" b="0"/>
            <wp:docPr id="1073741838" name="officeArt object" descr="Image"/>
            <wp:cNvGraphicFramePr/>
            <a:graphic xmlns:a="http://schemas.openxmlformats.org/drawingml/2006/main">
              <a:graphicData uri="http://schemas.openxmlformats.org/drawingml/2006/picture">
                <pic:pic xmlns:pic="http://schemas.openxmlformats.org/drawingml/2006/picture">
                  <pic:nvPicPr>
                    <pic:cNvPr id="1073741838" name="Image" descr="Image"/>
                    <pic:cNvPicPr>
                      <a:picLocks noChangeAspect="1"/>
                    </pic:cNvPicPr>
                  </pic:nvPicPr>
                  <pic:blipFill>
                    <a:blip r:embed="rId17">
                      <a:extLst/>
                    </a:blip>
                    <a:srcRect l="0" t="0" r="0" b="0"/>
                    <a:stretch>
                      <a:fillRect/>
                    </a:stretch>
                  </pic:blipFill>
                  <pic:spPr>
                    <a:xfrm>
                      <a:off x="0" y="0"/>
                      <a:ext cx="2161872" cy="2069341"/>
                    </a:xfrm>
                    <a:prstGeom prst="rect">
                      <a:avLst/>
                    </a:prstGeom>
                    <a:ln w="12700" cap="flat">
                      <a:noFill/>
                      <a:miter lim="400000"/>
                    </a:ln>
                    <a:effectLst/>
                  </pic:spPr>
                </pic:pic>
              </a:graphicData>
            </a:graphic>
          </wp:inline>
        </w:drawing>
      </w:r>
      <w:r>
        <w:rPr>
          <w:rFonts w:cs="Arial Unicode MS" w:eastAsia="Arial Unicode MS"/>
          <w:rtl w:val="0"/>
        </w:rPr>
        <w:t xml:space="preserve"> </w:t>
      </w:r>
    </w:p>
    <w:p>
      <w:pPr>
        <w:pStyle w:val="Image Caption"/>
      </w:pPr>
      <w:bookmarkStart w:name="_Toc30" w:id="30"/>
      <w:r>
        <w:rPr>
          <w:rFonts w:cs="Arial Unicode MS" w:eastAsia="Arial Unicode MS"/>
          <w:b w:val="1"/>
          <w:bCs w:val="1"/>
          <w:rtl w:val="0"/>
          <w:lang w:val="en-US"/>
        </w:rPr>
        <w:t xml:space="preserve">Fig. </w:t>
      </w:r>
      <w:r>
        <w:rPr>
          <w:rFonts w:cs="Arial Unicode MS" w:eastAsia="Arial Unicode MS"/>
          <w:b w:val="1"/>
          <w:bCs w:val="1"/>
          <w:rtl w:val="0"/>
          <w:lang w:val="en-US"/>
        </w:rPr>
        <w:t>11</w:t>
      </w:r>
      <w:r>
        <w:rPr>
          <w:rFonts w:cs="Arial Unicode MS" w:eastAsia="Arial Unicode MS"/>
          <w:rtl w:val="0"/>
        </w:rPr>
        <w:t xml:space="preserve"> Aurorae navigation stone orientations with estimated target islands. Akira </w:t>
      </w:r>
      <w:r>
        <w:rPr>
          <w:rFonts w:cs="Arial Unicode MS" w:eastAsia="Arial Unicode MS"/>
          <w:rtl w:val="0"/>
        </w:rPr>
        <w:t>and others</w:t>
      </w:r>
      <w:r>
        <w:rPr>
          <w:rFonts w:cs="Arial Unicode MS" w:eastAsia="Arial Unicode MS"/>
          <w:rtl w:val="0"/>
        </w:rPr>
        <w:t>, p. 114.</w:t>
      </w:r>
      <w:bookmarkEnd w:id="30"/>
    </w:p>
    <w:p>
      <w:pPr>
        <w:pStyle w:val="Body A"/>
      </w:pPr>
    </w:p>
    <w:p>
      <w:pPr>
        <w:pStyle w:val="Body A"/>
      </w:pPr>
      <w:r>
        <w:rPr>
          <w:rtl w:val="0"/>
        </w:rPr>
        <w:t xml:space="preserve">Finally, at the heart of the Inca empire was the religious complex of </w:t>
      </w:r>
      <w:r>
        <w:rPr>
          <w:rtl w:val="0"/>
          <w:lang w:val="it-IT"/>
        </w:rPr>
        <w:t>Coricancha</w:t>
      </w:r>
      <w:r>
        <w:rPr>
          <w:rtl w:val="0"/>
        </w:rPr>
        <w:t xml:space="preserve"> in the capital Cuzco from which all 41 or 42 </w:t>
      </w:r>
      <w:r>
        <w:rPr>
          <w:i w:val="1"/>
          <w:iCs w:val="1"/>
          <w:rtl w:val="0"/>
          <w:lang w:val="en-US"/>
        </w:rPr>
        <w:t>ceque</w:t>
      </w:r>
      <w:r>
        <w:rPr>
          <w:rtl w:val="0"/>
        </w:rPr>
        <w:t xml:space="preserve"> lines radiated outward like solar rays. Sacrificial victims were prepared within the central courtyard and then marched outward along one of the </w:t>
      </w:r>
      <w:r>
        <w:rPr>
          <w:i w:val="1"/>
          <w:iCs w:val="1"/>
          <w:rtl w:val="0"/>
          <w:lang w:val="en-US"/>
        </w:rPr>
        <w:t>ceque</w:t>
      </w:r>
      <w:r>
        <w:rPr>
          <w:rtl w:val="0"/>
        </w:rPr>
        <w:t xml:space="preserve"> paths.</w:t>
      </w:r>
      <w:r>
        <w:rPr>
          <w:rFonts w:ascii="Times New Roman" w:cs="Times New Roman" w:hAnsi="Times New Roman" w:eastAsia="Times New Roman"/>
          <w:b w:val="0"/>
          <w:bCs w:val="0"/>
          <w:i w:val="0"/>
          <w:iCs w:val="0"/>
          <w:vertAlign w:val="superscript"/>
        </w:rPr>
        <w:footnoteReference w:id="152"/>
      </w:r>
      <w:r>
        <w:rPr>
          <w:rtl w:val="0"/>
        </w:rPr>
        <w:t xml:space="preserve"> The Inca </w:t>
      </w:r>
      <w:r>
        <w:rPr>
          <w:i w:val="1"/>
          <w:iCs w:val="1"/>
          <w:rtl w:val="0"/>
          <w:lang w:val="en-US"/>
        </w:rPr>
        <w:t>ceque</w:t>
      </w:r>
      <w:r>
        <w:rPr>
          <w:rtl w:val="0"/>
        </w:rPr>
        <w:t xml:space="preserve"> system consolidated cosmology, long-distance orientations, and sidereal calendrics. As Ruggles writes:</w:t>
      </w:r>
    </w:p>
    <w:p>
      <w:pPr>
        <w:pStyle w:val="Body A"/>
      </w:pPr>
    </w:p>
    <w:p>
      <w:pPr>
        <w:pStyle w:val="Quote"/>
        <w:ind w:left="720"/>
      </w:pPr>
      <w:r>
        <w:rPr>
          <w:rFonts w:cs="Arial Unicode MS" w:eastAsia="Arial Unicode MS"/>
          <w:rtl w:val="0"/>
          <w:lang w:val="en-US"/>
        </w:rPr>
        <w:t>T</w:t>
      </w:r>
      <w:r>
        <w:rPr>
          <w:rFonts w:cs="Arial Unicode MS" w:eastAsia="Arial Unicode MS"/>
          <w:rtl w:val="0"/>
          <w:lang w:val="en-US"/>
        </w:rPr>
        <w:t>he broad conception of dividing the landscape using straight lines radiating out from a center is evident in the Andes in later Inca times (AD 1438</w:t>
      </w:r>
      <w:r>
        <w:rPr>
          <w:rFonts w:cs="Arial Unicode MS" w:eastAsia="Arial Unicode MS" w:hint="default"/>
          <w:rtl w:val="0"/>
        </w:rPr>
        <w:t>–</w:t>
      </w:r>
      <w:r>
        <w:rPr>
          <w:rFonts w:cs="Arial Unicode MS" w:eastAsia="Arial Unicode MS"/>
          <w:rtl w:val="0"/>
          <w:lang w:val="en-US"/>
        </w:rPr>
        <w:t xml:space="preserve">1532) in the </w:t>
      </w:r>
      <w:r>
        <w:rPr>
          <w:rFonts w:cs="Arial Unicode MS" w:eastAsia="Arial Unicode MS" w:hint="default"/>
          <w:rtl w:val="1"/>
          <w:lang w:val="ar-SA" w:bidi="ar-SA"/>
        </w:rPr>
        <w:t>“</w:t>
      </w:r>
      <w:r>
        <w:rPr>
          <w:rFonts w:cs="Arial Unicode MS" w:eastAsia="Arial Unicode MS"/>
          <w:rtl w:val="0"/>
          <w:lang w:val="pt-PT"/>
        </w:rPr>
        <w:t>ceque</w:t>
      </w:r>
      <w:r>
        <w:rPr>
          <w:rFonts w:cs="Arial Unicode MS" w:eastAsia="Arial Unicode MS" w:hint="default"/>
          <w:rtl w:val="0"/>
        </w:rPr>
        <w:t xml:space="preserve">” </w:t>
      </w:r>
      <w:r>
        <w:rPr>
          <w:rFonts w:cs="Arial Unicode MS" w:eastAsia="Arial Unicode MS"/>
          <w:rtl w:val="0"/>
          <w:lang w:val="en-US"/>
        </w:rPr>
        <w:t>system centered upon Cusco. Numerous straight lines in the Bolivian and Chilean altiplano region radiate out from villages, connecting them to distant shrines on hilltops or remote plains. Some of these were used for ceremonial processions until at least the 1980s, and some continue</w:t>
      </w:r>
      <w:r>
        <w:rPr>
          <w:rFonts w:cs="Arial Unicode MS" w:eastAsia="Arial Unicode MS"/>
          <w:b w:val="1"/>
          <w:bCs w:val="1"/>
          <w:rtl w:val="0"/>
        </w:rPr>
        <w:t xml:space="preserve"> </w:t>
      </w:r>
      <w:r>
        <w:rPr>
          <w:rFonts w:cs="Arial Unicode MS" w:eastAsia="Arial Unicode MS"/>
          <w:rtl w:val="0"/>
          <w:lang w:val="en-US"/>
        </w:rPr>
        <w:t>to be walked in the course of specific rituals.</w:t>
      </w:r>
      <w:r>
        <w:rPr>
          <w:rFonts w:ascii="Times New Roman" w:cs="Times New Roman" w:hAnsi="Times New Roman" w:eastAsia="Times New Roman"/>
          <w:b w:val="0"/>
          <w:bCs w:val="0"/>
          <w:i w:val="0"/>
          <w:iCs w:val="0"/>
          <w:vertAlign w:val="superscript"/>
        </w:rPr>
        <w:footnoteReference w:id="153"/>
      </w:r>
      <w:r>
        <w:rPr>
          <w:rFonts w:cs="Arial Unicode MS" w:eastAsia="Arial Unicode MS"/>
          <w:rtl w:val="0"/>
          <w:lang w:val="en-US"/>
        </w:rPr>
        <w:t xml:space="preserve"> </w:t>
      </w:r>
    </w:p>
    <w:p>
      <w:pPr>
        <w:pStyle w:val="Body A"/>
      </w:pPr>
    </w:p>
    <w:p>
      <w:pPr>
        <w:pStyle w:val="Post QUOTE"/>
      </w:pPr>
      <w:r>
        <w:rPr>
          <w:rtl w:val="0"/>
        </w:rPr>
        <w:t>While the</w:t>
      </w:r>
      <w:r>
        <w:rPr>
          <w:rtl w:val="0"/>
        </w:rPr>
        <w:t xml:space="preserve"> Incan </w:t>
      </w:r>
      <w:r>
        <w:rPr>
          <w:i w:val="1"/>
          <w:iCs w:val="1"/>
          <w:rtl w:val="0"/>
          <w:lang w:val="pt-PT"/>
        </w:rPr>
        <w:t>ceque</w:t>
      </w:r>
      <w:r>
        <w:rPr>
          <w:rtl w:val="0"/>
        </w:rPr>
        <w:t xml:space="preserve"> system </w:t>
      </w:r>
      <w:r>
        <w:rPr>
          <w:rtl w:val="0"/>
        </w:rPr>
        <w:t xml:space="preserve">is not maritime, like the Aurorae navigation stones and the Hawaiian </w:t>
      </w:r>
      <w:r>
        <w:rPr>
          <w:i w:val="1"/>
          <w:iCs w:val="1"/>
          <w:rtl w:val="0"/>
          <w:lang w:val="en-US"/>
        </w:rPr>
        <w:t>heiaus</w:t>
      </w:r>
      <w:r>
        <w:rPr>
          <w:rtl w:val="0"/>
        </w:rPr>
        <w:t>, it may have been composed</w:t>
      </w:r>
      <w:r>
        <w:rPr>
          <w:rtl w:val="0"/>
        </w:rPr>
        <w:t xml:space="preserve"> of lun</w:t>
      </w:r>
      <w:r>
        <w:rPr>
          <w:rtl w:val="0"/>
        </w:rPr>
        <w:t>i</w:t>
      </w:r>
      <w:r>
        <w:rPr>
          <w:rtl w:val="0"/>
          <w:lang w:val="it-IT"/>
        </w:rPr>
        <w:t xml:space="preserve">-stellar </w:t>
      </w:r>
      <w:r>
        <w:rPr>
          <w:rtl w:val="0"/>
        </w:rPr>
        <w:t>orientations</w:t>
      </w:r>
      <w:r>
        <w:rPr>
          <w:rtl w:val="0"/>
        </w:rPr>
        <w:t xml:space="preserve"> </w:t>
      </w:r>
      <w:r>
        <w:rPr>
          <w:rtl w:val="0"/>
        </w:rPr>
        <w:t>toward</w:t>
      </w:r>
      <w:r>
        <w:rPr>
          <w:rtl w:val="0"/>
          <w:lang w:val="de-DE"/>
        </w:rPr>
        <w:t xml:space="preserve"> far-flung </w:t>
      </w:r>
      <w:r>
        <w:rPr>
          <w:rtl w:val="0"/>
        </w:rPr>
        <w:t>destinations</w:t>
      </w:r>
      <w:r>
        <w:rPr>
          <w:rtl w:val="0"/>
        </w:rPr>
        <w:t>.</w:t>
      </w:r>
      <w:r>
        <w:rPr>
          <w:rtl w:val="0"/>
        </w:rPr>
        <w:t xml:space="preserve"> These examples elucidate if and how ancient structures, perhaps unrecognised until now, may have embedded astronautical orientations.</w:t>
      </w:r>
    </w:p>
    <w:p>
      <w:pPr>
        <w:pStyle w:val="Body A"/>
      </w:pPr>
    </w:p>
    <w:p>
      <w:pPr>
        <w:pStyle w:val="Heading Reg"/>
      </w:pPr>
      <w:bookmarkStart w:name="_Toc31" w:id="31"/>
      <w:r>
        <w:rPr>
          <w:rFonts w:cs="Arial Unicode MS" w:eastAsia="Arial Unicode MS"/>
          <w:rtl w:val="0"/>
          <w:lang w:val="en-US"/>
        </w:rPr>
        <w:t>Summary</w:t>
      </w:r>
      <w:bookmarkEnd w:id="31"/>
    </w:p>
    <w:p>
      <w:pPr>
        <w:pStyle w:val="Body A"/>
      </w:pPr>
    </w:p>
    <w:p>
      <w:pPr>
        <w:pStyle w:val="Default"/>
        <w:bidi w:val="0"/>
        <w:spacing w:before="0" w:line="360" w:lineRule="auto"/>
        <w:ind w:left="0" w:right="0" w:firstLine="540"/>
        <w:jc w:val="left"/>
        <w:rPr>
          <w:rtl w:val="0"/>
        </w:rPr>
      </w:pPr>
      <w:r>
        <w:rPr>
          <w:rFonts w:ascii="Times New Roman" w:hAnsi="Times New Roman"/>
          <w:u w:color="000000"/>
          <w:rtl w:val="0"/>
          <w:lang w:val="en-US"/>
          <w14:textOutline w14:w="12700" w14:cap="flat">
            <w14:noFill/>
            <w14:miter w14:lim="400000"/>
          </w14:textOutline>
        </w:rPr>
        <w:t xml:space="preserve">A comparison of traditional star sailing techniques from the Pacific may inform how the Minoans reached the distant shores of Egypt and the Eastern Mediterranean. Pacific Islanders used star paths as a sidereal compass to navigate toward islands sometimes hundreds of nautical miles away. The concept of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star paths</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may have been present at least by the Greek classical age as recorded in Aratus. The Carolinian sidereal compass divided the horizon into 32 rising and setting stars that associated azimuths with routes toward distant shores. The </w:t>
      </w:r>
      <w:r>
        <w:rPr>
          <w:rFonts w:ascii="Times New Roman" w:hAnsi="Times New Roman"/>
          <w:u w:color="000000"/>
          <w:rtl w:val="0"/>
          <w:lang w:val="de-DE"/>
          <w14:textOutline w14:w="12700" w14:cap="flat">
            <w14:noFill/>
            <w14:miter w14:lim="400000"/>
          </w14:textOutline>
        </w:rPr>
        <w:t xml:space="preserve">Aurorae Island </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navigation stones</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are a model example of star path orientations, which guided itinerant sailors toward neighbouring islands.</w:t>
      </w:r>
      <w:r>
        <w:rPr>
          <w:rFonts w:ascii="Times New Roman" w:cs="Times New Roman" w:hAnsi="Times New Roman" w:eastAsia="Times New Roman"/>
          <w:u w:color="000000"/>
          <w:vertAlign w:val="superscript"/>
          <w:rtl w:val="0"/>
          <w14:textOutline w14:w="12700" w14:cap="flat">
            <w14:noFill/>
            <w14:miter w14:lim="400000"/>
          </w14:textOutline>
        </w:rPr>
        <w:footnoteReference w:id="154"/>
      </w:r>
      <w:r>
        <w:rPr>
          <w:rFonts w:ascii="Times New Roman" w:hAnsi="Times New Roman"/>
          <w:u w:color="000000"/>
          <w:rtl w:val="0"/>
          <w:lang w:val="en-US"/>
          <w14:textOutline w14:w="12700" w14:cap="flat">
            <w14:noFill/>
            <w14:miter w14:lim="400000"/>
          </w14:textOutline>
        </w:rPr>
        <w:t xml:space="preserve"> Other examples of stellar alignments associated with navigation exist, from the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sighting wall</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in Hawai</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i to the Temple of Delphi in Greece. In</w:t>
      </w:r>
      <w:r>
        <w:rPr>
          <w:rFonts w:ascii="Times New Roman" w:hAnsi="Times New Roman"/>
          <w:u w:color="000000"/>
          <w:rtl w:val="0"/>
          <w:lang w:val="en-US"/>
          <w14:textOutline w14:w="12700" w14:cap="flat">
            <w14:noFill/>
            <w14:miter w14:lim="400000"/>
          </w14:textOutline>
        </w:rPr>
        <w:t xml:space="preserve"> some instances</w:t>
      </w:r>
      <w:r>
        <w:rPr>
          <w:rFonts w:ascii="Times New Roman" w:hAnsi="Times New Roman"/>
          <w:u w:color="000000"/>
          <w:rtl w:val="0"/>
          <w:lang w:val="en-US"/>
          <w14:textOutline w14:w="12700" w14:cap="flat">
            <w14:noFill/>
            <w14:miter w14:lim="400000"/>
          </w14:textOutline>
        </w:rPr>
        <w:t xml:space="preserve">, the Hawaiian </w:t>
      </w:r>
      <w:r>
        <w:rPr>
          <w:rFonts w:ascii="Times New Roman" w:hAnsi="Times New Roman"/>
          <w:i w:val="1"/>
          <w:iCs w:val="1"/>
          <w:u w:color="000000"/>
          <w:rtl w:val="0"/>
          <w:lang w:val="en-US"/>
          <w14:textOutline w14:w="12700" w14:cap="flat">
            <w14:noFill/>
            <w14:miter w14:lim="400000"/>
          </w14:textOutline>
        </w:rPr>
        <w:t>heiau</w:t>
      </w:r>
      <w:r>
        <w:rPr>
          <w:rFonts w:ascii="Times New Roman" w:hAnsi="Times New Roman"/>
          <w:u w:color="000000"/>
          <w:rtl w:val="0"/>
          <w:lang w:val="en-US"/>
          <w14:textOutline w14:w="12700" w14:cap="flat">
            <w14:noFill/>
            <w14:miter w14:lim="400000"/>
          </w14:textOutline>
        </w:rPr>
        <w:t xml:space="preserve"> temple system incorporated stellar alignments, and was oriented toward distant topographies, such as other locations on the archipelago. The Inca </w:t>
      </w:r>
      <w:r>
        <w:rPr>
          <w:rFonts w:ascii="Times New Roman" w:hAnsi="Times New Roman"/>
          <w:i w:val="1"/>
          <w:iCs w:val="1"/>
          <w:u w:color="000000"/>
          <w:rtl w:val="0"/>
          <w:lang w:val="en-US"/>
          <w14:textOutline w14:w="12700" w14:cap="flat">
            <w14:noFill/>
            <w14:miter w14:lim="400000"/>
          </w14:textOutline>
        </w:rPr>
        <w:t>ceque</w:t>
      </w:r>
      <w:r>
        <w:rPr>
          <w:rFonts w:ascii="Times New Roman" w:hAnsi="Times New Roman"/>
          <w:u w:color="000000"/>
          <w:rtl w:val="0"/>
          <w:lang w:val="en-US"/>
          <w14:textOutline w14:w="12700" w14:cap="flat">
            <w14:noFill/>
            <w14:miter w14:lim="400000"/>
          </w14:textOutline>
        </w:rPr>
        <w:t xml:space="preserve"> system linked long-distance orientations with a ritual sidereal calendar.</w:t>
      </w:r>
      <w:r>
        <w:rPr>
          <w:rFonts w:ascii="Arial Unicode MS" w:cs="Arial Unicode MS" w:hAnsi="Arial Unicode MS" w:eastAsia="Arial Unicode MS"/>
          <w:b w:val="0"/>
          <w:bCs w:val="0"/>
          <w:i w:val="0"/>
          <w:iCs w:val="0"/>
          <w:u w:color="000000"/>
          <w:rtl w:val="0"/>
          <w14:textOutline w14:w="12700" w14:cap="flat">
            <w14:noFill/>
            <w14:miter w14:lim="400000"/>
          </w14:textOutline>
        </w:rPr>
        <w:br w:type="page"/>
      </w:r>
    </w:p>
    <w:p>
      <w:pPr>
        <w:pStyle w:val="Heading"/>
        <w:bidi w:val="0"/>
      </w:pPr>
      <w:bookmarkStart w:name="_Toc32" w:id="32"/>
      <w:r>
        <w:rPr>
          <w:rFonts w:cs="Arial Unicode MS" w:eastAsia="Arial Unicode MS"/>
          <w:rtl w:val="0"/>
          <w:lang w:val="en-US"/>
        </w:rPr>
        <w:t>Star Sailing in the Aegean</w:t>
      </w:r>
      <w:bookmarkEnd w:id="32"/>
    </w:p>
    <w:p>
      <w:pPr>
        <w:pStyle w:val="Image A"/>
      </w:pPr>
    </w:p>
    <w:p>
      <w:pPr>
        <w:pStyle w:val="Body A"/>
      </w:pPr>
      <w:r>
        <w:rPr>
          <w:rtl w:val="0"/>
        </w:rPr>
        <w:t>The appearance of astronautical motifs in Minoan art coincides with the advent of the sail in the Aegean, spurred by the flourishing of maritime trade during the Bronze Age.</w:t>
      </w:r>
      <w:r>
        <w:rPr>
          <w:rFonts w:ascii="Times New Roman" w:cs="Times New Roman" w:hAnsi="Times New Roman" w:eastAsia="Times New Roman"/>
          <w:b w:val="0"/>
          <w:bCs w:val="0"/>
          <w:i w:val="0"/>
          <w:iCs w:val="0"/>
          <w:vertAlign w:val="superscript"/>
        </w:rPr>
        <w:footnoteReference w:id="155"/>
      </w:r>
      <w:r>
        <w:rPr>
          <w:rtl w:val="0"/>
        </w:rPr>
        <w:t xml:space="preserve"> O</w:t>
      </w:r>
      <w:r>
        <w:rPr>
          <w:rtl w:val="0"/>
        </w:rPr>
        <w:t xml:space="preserve">n </w:t>
      </w:r>
      <w:r>
        <w:rPr>
          <w:rtl w:val="0"/>
        </w:rPr>
        <w:t xml:space="preserve">the </w:t>
      </w:r>
      <w:r>
        <w:rPr>
          <w:rtl w:val="0"/>
        </w:rPr>
        <w:t xml:space="preserve">Cycladic </w:t>
      </w:r>
      <w:r>
        <w:rPr>
          <w:rtl w:val="0"/>
        </w:rPr>
        <w:t>I</w:t>
      </w:r>
      <w:r>
        <w:rPr>
          <w:rtl w:val="0"/>
        </w:rPr>
        <w:t>sland of Thera</w:t>
      </w:r>
      <w:r>
        <w:rPr>
          <w:rtl w:val="0"/>
        </w:rPr>
        <w:t>,</w:t>
      </w:r>
      <w:r>
        <w:rPr>
          <w:rtl w:val="0"/>
        </w:rPr>
        <w:t xml:space="preserve"> </w:t>
      </w:r>
      <w:r>
        <w:rPr>
          <w:rtl w:val="0"/>
        </w:rPr>
        <w:t>a devastating</w:t>
      </w:r>
      <w:r>
        <w:rPr>
          <w:rtl w:val="0"/>
        </w:rPr>
        <w:t xml:space="preserve"> </w:t>
      </w:r>
      <w:r>
        <w:rPr>
          <w:rtl w:val="0"/>
        </w:rPr>
        <w:t xml:space="preserve">volcanic </w:t>
      </w:r>
      <w:r>
        <w:rPr>
          <w:rtl w:val="0"/>
        </w:rPr>
        <w:t xml:space="preserve">explosion around </w:t>
      </w:r>
      <w:r>
        <w:rPr>
          <w:rtl w:val="0"/>
        </w:rPr>
        <w:t xml:space="preserve">Late Minoan 1A (circa 1600-1500 </w:t>
      </w:r>
      <w:r>
        <w:rPr>
          <w:smallCaps w:val="1"/>
          <w:rtl w:val="0"/>
          <w:lang w:val="en-US"/>
        </w:rPr>
        <w:t>bce)</w:t>
      </w:r>
      <w:r>
        <w:rPr>
          <w:rtl w:val="0"/>
        </w:rPr>
        <w:t xml:space="preserve"> buried t</w:t>
      </w:r>
      <w:r>
        <w:rPr>
          <w:rtl w:val="0"/>
        </w:rPr>
        <w:t>he Minoan village of Akrotiri</w:t>
      </w:r>
      <w:r>
        <w:rPr>
          <w:rtl w:val="0"/>
        </w:rPr>
        <w:t xml:space="preserve">. Preserved beneath the volcanic ash were richly colored </w:t>
      </w:r>
      <w:r>
        <w:rPr>
          <w:rtl w:val="0"/>
        </w:rPr>
        <w:t>wall paintings of</w:t>
      </w:r>
      <w:r>
        <w:rPr>
          <w:rtl w:val="0"/>
        </w:rPr>
        <w:t xml:space="preserve"> a cultic water procession. On the larger vessels, sixteen-pointed stars adorned the bowsprits (Fig. 12). </w:t>
      </w:r>
      <w:r>
        <w:rPr>
          <w:rtl w:val="0"/>
          <w:lang w:val="da-DK"/>
        </w:rPr>
        <w:t xml:space="preserve">Davis </w:t>
      </w:r>
      <w:r>
        <w:rPr>
          <w:rtl w:val="0"/>
        </w:rPr>
        <w:t>suggests they may have symbolised heavenly bodies.</w:t>
      </w:r>
      <w:r>
        <w:rPr>
          <w:rFonts w:ascii="Times New Roman" w:cs="Times New Roman" w:hAnsi="Times New Roman" w:eastAsia="Times New Roman"/>
          <w:b w:val="0"/>
          <w:bCs w:val="0"/>
          <w:i w:val="0"/>
          <w:iCs w:val="0"/>
          <w:vertAlign w:val="superscript"/>
        </w:rPr>
        <w:footnoteReference w:id="156"/>
      </w:r>
      <w:r>
        <w:rPr>
          <w:rtl w:val="0"/>
        </w:rPr>
        <w:t xml:space="preserve"> Its placement at the front of the bowsprit may have signified its function as a </w:t>
      </w:r>
      <w:r>
        <w:rPr>
          <w:rtl w:val="0"/>
        </w:rPr>
        <w:t>‘</w:t>
      </w:r>
      <w:r>
        <w:rPr>
          <w:rtl w:val="0"/>
        </w:rPr>
        <w:t>guide</w:t>
      </w:r>
      <w:r>
        <w:rPr>
          <w:rtl w:val="0"/>
        </w:rPr>
        <w:t xml:space="preserve">’ </w:t>
      </w:r>
      <w:r>
        <w:rPr>
          <w:rtl w:val="0"/>
        </w:rPr>
        <w:t xml:space="preserve">to the navigators. </w:t>
      </w:r>
      <w:r>
        <w:rPr>
          <w:rtl w:val="0"/>
        </w:rPr>
        <w:t xml:space="preserve">The </w:t>
      </w:r>
      <w:r>
        <w:rPr>
          <w:rtl w:val="0"/>
        </w:rPr>
        <w:t xml:space="preserve">standard </w:t>
      </w:r>
      <w:r>
        <w:rPr>
          <w:rtl w:val="0"/>
        </w:rPr>
        <w:t xml:space="preserve">16 points could </w:t>
      </w:r>
      <w:r>
        <w:rPr>
          <w:rtl w:val="0"/>
        </w:rPr>
        <w:t xml:space="preserve">also </w:t>
      </w:r>
      <w:r>
        <w:rPr>
          <w:rtl w:val="0"/>
        </w:rPr>
        <w:t>be based on a numerical factor of the 4 cardinal directions (4, 8, 16, 32</w:t>
      </w:r>
      <w:r>
        <w:rPr>
          <w:rtl w:val="0"/>
        </w:rPr>
        <w:t>…</w:t>
      </w:r>
      <w:r>
        <w:rPr>
          <w:rtl w:val="0"/>
        </w:rPr>
        <w:t xml:space="preserve">). </w:t>
      </w:r>
      <w:r>
        <w:rPr>
          <w:rtl w:val="0"/>
        </w:rPr>
        <w:t>Fragments of a painting from Pylos, depicts an 8-pointed starburst on the bow of the ship.</w:t>
      </w:r>
      <w:r>
        <w:rPr>
          <w:rFonts w:ascii="Times New Roman" w:cs="Times New Roman" w:hAnsi="Times New Roman" w:eastAsia="Times New Roman"/>
          <w:b w:val="0"/>
          <w:bCs w:val="0"/>
          <w:i w:val="0"/>
          <w:iCs w:val="0"/>
          <w:vertAlign w:val="superscript"/>
        </w:rPr>
        <w:footnoteReference w:id="157"/>
      </w:r>
      <w:r>
        <w:rPr>
          <w:rtl w:val="0"/>
        </w:rPr>
        <w:t xml:space="preserve"> A </w:t>
      </w:r>
      <w:r>
        <w:rPr>
          <w:rtl w:val="0"/>
        </w:rPr>
        <w:t xml:space="preserve">Late Minoan </w:t>
      </w:r>
      <w:r>
        <w:rPr>
          <w:rtl w:val="0"/>
        </w:rPr>
        <w:t xml:space="preserve">I or </w:t>
      </w:r>
      <w:r>
        <w:rPr>
          <w:rtl w:val="0"/>
        </w:rPr>
        <w:t xml:space="preserve">Late Minoan </w:t>
      </w:r>
      <w:r>
        <w:rPr>
          <w:rtl w:val="0"/>
        </w:rPr>
        <w:t>I</w:t>
      </w:r>
      <w:r>
        <w:rPr>
          <w:rtl w:val="0"/>
        </w:rPr>
        <w:t>A</w:t>
      </w:r>
      <w:r>
        <w:rPr>
          <w:rtl w:val="0"/>
        </w:rPr>
        <w:t xml:space="preserve"> fresco from Ayia Irini on Kea, also represents a stellar symbol above the ships</w:t>
      </w:r>
      <w:r>
        <w:rPr>
          <w:rtl w:val="0"/>
        </w:rPr>
        <w:t xml:space="preserve">’ </w:t>
      </w:r>
      <w:r>
        <w:rPr>
          <w:rtl w:val="0"/>
        </w:rPr>
        <w:t>bows.</w:t>
      </w:r>
      <w:r>
        <w:rPr>
          <w:rFonts w:ascii="Times New Roman" w:cs="Times New Roman" w:hAnsi="Times New Roman" w:eastAsia="Times New Roman"/>
          <w:b w:val="0"/>
          <w:bCs w:val="0"/>
          <w:i w:val="0"/>
          <w:iCs w:val="0"/>
          <w:vertAlign w:val="superscript"/>
        </w:rPr>
        <w:footnoteReference w:id="158"/>
      </w:r>
      <w:r>
        <w:rPr>
          <w:rtl w:val="0"/>
        </w:rPr>
        <w:t xml:space="preserve"> </w:t>
      </w:r>
    </w:p>
    <w:p>
      <w:pPr>
        <w:pStyle w:val="Image A"/>
      </w:pPr>
      <w:r>
        <w:drawing xmlns:a="http://schemas.openxmlformats.org/drawingml/2006/main">
          <wp:inline distT="0" distB="0" distL="0" distR="0">
            <wp:extent cx="4585305" cy="1775622"/>
            <wp:effectExtent l="0" t="0" r="0" b="0"/>
            <wp:docPr id="1073741839" name="officeArt object" descr="Image"/>
            <wp:cNvGraphicFramePr/>
            <a:graphic xmlns:a="http://schemas.openxmlformats.org/drawingml/2006/main">
              <a:graphicData uri="http://schemas.openxmlformats.org/drawingml/2006/picture">
                <pic:pic xmlns:pic="http://schemas.openxmlformats.org/drawingml/2006/picture">
                  <pic:nvPicPr>
                    <pic:cNvPr id="1073741839" name="Image" descr="Image"/>
                    <pic:cNvPicPr>
                      <a:picLocks noChangeAspect="1"/>
                    </pic:cNvPicPr>
                  </pic:nvPicPr>
                  <pic:blipFill>
                    <a:blip r:embed="rId18">
                      <a:extLst/>
                    </a:blip>
                    <a:srcRect l="0" t="0" r="0" b="0"/>
                    <a:stretch>
                      <a:fillRect/>
                    </a:stretch>
                  </pic:blipFill>
                  <pic:spPr>
                    <a:xfrm>
                      <a:off x="0" y="0"/>
                      <a:ext cx="4585305" cy="1775622"/>
                    </a:xfrm>
                    <a:prstGeom prst="rect">
                      <a:avLst/>
                    </a:prstGeom>
                    <a:ln w="12700" cap="flat">
                      <a:noFill/>
                      <a:miter lim="400000"/>
                    </a:ln>
                    <a:effectLst/>
                  </pic:spPr>
                </pic:pic>
              </a:graphicData>
            </a:graphic>
          </wp:inline>
        </w:drawing>
      </w:r>
    </w:p>
    <w:p>
      <w:pPr>
        <w:pStyle w:val="Image A"/>
      </w:pPr>
    </w:p>
    <w:p>
      <w:pPr>
        <w:pStyle w:val="Image Caption"/>
      </w:pPr>
      <w:bookmarkStart w:name="_Toc33" w:id="33"/>
      <w:r>
        <w:rPr>
          <w:rFonts w:cs="Arial Unicode MS" w:eastAsia="Arial Unicode MS"/>
          <w:b w:val="1"/>
          <w:bCs w:val="1"/>
          <w:rtl w:val="0"/>
          <w:lang w:val="en-US"/>
        </w:rPr>
        <w:t>Fig. 12</w:t>
      </w:r>
      <w:r>
        <w:rPr>
          <w:rFonts w:cs="Arial Unicode MS" w:eastAsia="Arial Unicode MS"/>
          <w:rtl w:val="0"/>
        </w:rPr>
        <w:t xml:space="preserve"> Line drawing detail of the ship procession fresco at Thera after Wachsmann.</w:t>
      </w:r>
      <w:r>
        <w:rPr>
          <w:rFonts w:cs="Arial Unicode MS" w:eastAsia="Arial Unicode MS"/>
          <w:rtl w:val="0"/>
        </w:rPr>
        <w:t xml:space="preserve"> Wachsmann, p. 92</w:t>
      </w:r>
      <w:r>
        <w:rPr>
          <w:rFonts w:cs="Arial Unicode MS" w:eastAsia="Arial Unicode MS"/>
          <w:rtl w:val="0"/>
        </w:rPr>
        <w:t>.</w:t>
      </w:r>
      <w:bookmarkEnd w:id="33"/>
    </w:p>
    <w:p>
      <w:pPr>
        <w:pStyle w:val="Image Caption"/>
      </w:pPr>
    </w:p>
    <w:p>
      <w:pPr>
        <w:pStyle w:val="Body A"/>
      </w:pPr>
      <w:r>
        <w:rPr>
          <w:rtl w:val="0"/>
        </w:rPr>
        <w:t xml:space="preserve">Astronautical motifs, such as stars, spirals, and paddled boats, appear on the so-called </w:t>
      </w:r>
      <w:r>
        <w:rPr>
          <w:rtl w:val="0"/>
        </w:rPr>
        <w:t>‘</w:t>
      </w:r>
      <w:r>
        <w:rPr>
          <w:rtl w:val="0"/>
        </w:rPr>
        <w:t>frying pan</w:t>
      </w:r>
      <w:r>
        <w:rPr>
          <w:rtl w:val="0"/>
        </w:rPr>
        <w:t xml:space="preserve">’ </w:t>
      </w:r>
      <w:r>
        <w:rPr>
          <w:rtl w:val="0"/>
        </w:rPr>
        <w:t>artefacts from the Early Cycladic II period.</w:t>
      </w:r>
      <w:r>
        <w:rPr>
          <w:rFonts w:ascii="Times New Roman" w:cs="Times New Roman" w:hAnsi="Times New Roman" w:eastAsia="Times New Roman"/>
          <w:b w:val="0"/>
          <w:bCs w:val="0"/>
          <w:i w:val="0"/>
          <w:iCs w:val="0"/>
          <w:vertAlign w:val="superscript"/>
        </w:rPr>
        <w:footnoteReference w:id="159"/>
      </w:r>
      <w:r>
        <w:rPr>
          <w:rtl w:val="0"/>
        </w:rPr>
        <w:t xml:space="preserve"> The symbolism of the iconography on the </w:t>
      </w:r>
      <w:r>
        <w:rPr>
          <w:rtl w:val="0"/>
        </w:rPr>
        <w:t>‘</w:t>
      </w:r>
      <w:r>
        <w:rPr>
          <w:rtl w:val="0"/>
        </w:rPr>
        <w:t>frying pans</w:t>
      </w:r>
      <w:r>
        <w:rPr>
          <w:rtl w:val="0"/>
        </w:rPr>
        <w:t xml:space="preserve">’ </w:t>
      </w:r>
      <w:r>
        <w:rPr>
          <w:rtl w:val="0"/>
        </w:rPr>
        <w:t>may have represented life and death, the cycle of day and night, and</w:t>
      </w:r>
      <w:r>
        <w:rPr>
          <w:rtl w:val="0"/>
          <w:lang w:val="en-US"/>
        </w:rPr>
        <w:t xml:space="preserve"> fertility.</w:t>
      </w:r>
      <w:r>
        <w:rPr>
          <w:rFonts w:ascii="Times New Roman" w:cs="Times New Roman" w:hAnsi="Times New Roman" w:eastAsia="Times New Roman"/>
          <w:b w:val="0"/>
          <w:bCs w:val="0"/>
          <w:i w:val="0"/>
          <w:iCs w:val="0"/>
          <w:vertAlign w:val="superscript"/>
          <w:lang w:val="en-US"/>
        </w:rPr>
        <w:footnoteReference w:id="160"/>
      </w:r>
      <w:r>
        <w:rPr>
          <w:rtl w:val="0"/>
          <w:lang w:val="en-US"/>
        </w:rPr>
        <w:t xml:space="preserve"> </w:t>
      </w:r>
      <w:r>
        <w:rPr>
          <w:rtl w:val="0"/>
        </w:rPr>
        <w:t>Cretan hieroglyphic seal depicts what appear to be full moons, lunar crescents, or floating disks which could potentially be stars, above the sheer of the ships (Fig. 13).</w:t>
      </w:r>
      <w:r>
        <w:rPr>
          <w:rFonts w:ascii="Times New Roman" w:cs="Times New Roman" w:hAnsi="Times New Roman" w:eastAsia="Times New Roman"/>
          <w:b w:val="0"/>
          <w:bCs w:val="0"/>
          <w:i w:val="0"/>
          <w:iCs w:val="0"/>
          <w:vertAlign w:val="superscript"/>
        </w:rPr>
        <w:footnoteReference w:id="161"/>
      </w:r>
      <w:r>
        <w:rPr>
          <w:rtl w:val="0"/>
        </w:rPr>
        <w:t xml:space="preserve"> Evans speculated that the glyptic symbols </w:t>
      </w:r>
      <w:r>
        <w:rPr>
          <w:rtl w:val="0"/>
        </w:rPr>
        <w:t>‘</w:t>
      </w:r>
      <w:r>
        <w:rPr>
          <w:rtl w:val="0"/>
        </w:rPr>
        <w:t>refer to the duration of the voyages undertaken; the crescent moons would in this case mean two month [sic] and the disk a still longer voyage</w:t>
      </w:r>
      <w:r>
        <w:rPr>
          <w:rtl w:val="1"/>
        </w:rPr>
        <w:t>’</w:t>
      </w:r>
      <w:r>
        <w:rPr>
          <w:rtl w:val="0"/>
        </w:rPr>
        <w:t>.</w:t>
      </w:r>
      <w:r>
        <w:rPr>
          <w:rFonts w:ascii="Times New Roman" w:cs="Times New Roman" w:hAnsi="Times New Roman" w:eastAsia="Times New Roman"/>
          <w:b w:val="0"/>
          <w:bCs w:val="0"/>
          <w:i w:val="0"/>
          <w:iCs w:val="0"/>
          <w:vertAlign w:val="superscript"/>
        </w:rPr>
        <w:footnoteReference w:id="162"/>
      </w:r>
      <w:r>
        <w:rPr>
          <w:rtl w:val="0"/>
        </w:rPr>
        <w:t xml:space="preserve"> The profusion of astronautical iconography in Aegean art suggests that the </w:t>
      </w:r>
      <w:r>
        <w:rPr>
          <w:rtl w:val="0"/>
          <w:lang w:val="nl-NL"/>
        </w:rPr>
        <w:t>Bronze Age</w:t>
      </w:r>
      <w:r>
        <w:rPr>
          <w:rtl w:val="0"/>
        </w:rPr>
        <w:t xml:space="preserve"> trade explosion may have been spurred in part by advances in night-time sailing techniques.</w:t>
      </w:r>
    </w:p>
    <w:p>
      <w:pPr>
        <w:pStyle w:val="Image Caption"/>
      </w:pPr>
    </w:p>
    <w:p>
      <w:pPr>
        <w:pStyle w:val="Image A"/>
      </w:pPr>
      <w:r>
        <w:drawing xmlns:a="http://schemas.openxmlformats.org/drawingml/2006/main">
          <wp:inline distT="0" distB="0" distL="0" distR="0">
            <wp:extent cx="2394911" cy="735786"/>
            <wp:effectExtent l="0" t="0" r="0" b="0"/>
            <wp:docPr id="1073741840" name="officeArt object" descr="Image"/>
            <wp:cNvGraphicFramePr/>
            <a:graphic xmlns:a="http://schemas.openxmlformats.org/drawingml/2006/main">
              <a:graphicData uri="http://schemas.openxmlformats.org/drawingml/2006/picture">
                <pic:pic xmlns:pic="http://schemas.openxmlformats.org/drawingml/2006/picture">
                  <pic:nvPicPr>
                    <pic:cNvPr id="1073741840" name="Image" descr="Image"/>
                    <pic:cNvPicPr>
                      <a:picLocks noChangeAspect="1"/>
                    </pic:cNvPicPr>
                  </pic:nvPicPr>
                  <pic:blipFill>
                    <a:blip r:embed="rId19">
                      <a:extLst/>
                    </a:blip>
                    <a:stretch>
                      <a:fillRect/>
                    </a:stretch>
                  </pic:blipFill>
                  <pic:spPr>
                    <a:xfrm>
                      <a:off x="0" y="0"/>
                      <a:ext cx="2394911" cy="735786"/>
                    </a:xfrm>
                    <a:prstGeom prst="rect">
                      <a:avLst/>
                    </a:prstGeom>
                    <a:ln w="12700" cap="flat">
                      <a:noFill/>
                      <a:miter lim="400000"/>
                    </a:ln>
                    <a:effectLst/>
                  </pic:spPr>
                </pic:pic>
              </a:graphicData>
            </a:graphic>
          </wp:inline>
        </w:drawing>
      </w:r>
    </w:p>
    <w:p>
      <w:pPr>
        <w:pStyle w:val="Image Caption"/>
      </w:pPr>
      <w:bookmarkStart w:name="_Toc34" w:id="34"/>
      <w:r>
        <w:rPr>
          <w:rFonts w:cs="Arial Unicode MS" w:eastAsia="Arial Unicode MS"/>
          <w:b w:val="1"/>
          <w:bCs w:val="1"/>
          <w:rtl w:val="0"/>
          <w:lang w:val="en-US"/>
        </w:rPr>
        <w:t>Fig. 13</w:t>
      </w:r>
      <w:r>
        <w:rPr>
          <w:rFonts w:cs="Arial Unicode MS" w:eastAsia="Arial Unicode MS"/>
          <w:rtl w:val="0"/>
        </w:rPr>
        <w:t xml:space="preserve"> Drawing renditions of early Cretan seal stones depicting sailing galleys after Evans. </w:t>
      </w:r>
      <w:r>
        <w:rPr>
          <w:rFonts w:cs="Arial Unicode MS" w:eastAsia="Arial Unicode MS"/>
          <w:rtl w:val="0"/>
        </w:rPr>
        <w:t xml:space="preserve">Evans, </w:t>
      </w:r>
      <w:r>
        <w:rPr>
          <w:rFonts w:cs="Arial Unicode MS" w:eastAsia="Arial Unicode MS" w:hint="default"/>
          <w:rtl w:val="0"/>
        </w:rPr>
        <w:t>‘</w:t>
      </w:r>
      <w:r>
        <w:rPr>
          <w:rFonts w:cs="Arial Unicode MS" w:eastAsia="Arial Unicode MS"/>
          <w:rtl w:val="0"/>
        </w:rPr>
        <w:t>Nilotic</w:t>
      </w:r>
      <w:r>
        <w:rPr>
          <w:rFonts w:cs="Arial Unicode MS" w:eastAsia="Arial Unicode MS" w:hint="default"/>
          <w:rtl w:val="0"/>
        </w:rPr>
        <w:t>’</w:t>
      </w:r>
      <w:r>
        <w:rPr>
          <w:rFonts w:cs="Arial Unicode MS" w:eastAsia="Arial Unicode MS"/>
          <w:rtl w:val="0"/>
        </w:rPr>
        <w:t>, p. 207</w:t>
      </w:r>
      <w:r>
        <w:rPr>
          <w:rFonts w:cs="Arial Unicode MS" w:eastAsia="Arial Unicode MS"/>
          <w:rtl w:val="0"/>
        </w:rPr>
        <w:t>.</w:t>
      </w:r>
      <w:bookmarkEnd w:id="34"/>
    </w:p>
    <w:p>
      <w:pPr>
        <w:pStyle w:val="Body A"/>
      </w:pPr>
    </w:p>
    <w:p>
      <w:pPr>
        <w:pStyle w:val="Heading Reg"/>
      </w:pPr>
      <w:bookmarkStart w:name="_Toc35" w:id="35"/>
      <w:r>
        <w:rPr>
          <w:rFonts w:cs="Arial Unicode MS" w:eastAsia="Arial Unicode MS"/>
          <w:rtl w:val="0"/>
          <w:lang w:val="en-US"/>
        </w:rPr>
        <w:t>Constellations as Mnemonic Devices</w:t>
      </w:r>
      <w:bookmarkEnd w:id="35"/>
    </w:p>
    <w:p>
      <w:pPr>
        <w:pStyle w:val="Body A"/>
      </w:pPr>
    </w:p>
    <w:p>
      <w:pPr>
        <w:pStyle w:val="Quote"/>
      </w:pPr>
      <w:r>
        <w:rPr>
          <w:rFonts w:cs="Arial Unicode MS" w:eastAsia="Arial Unicode MS" w:hint="default"/>
          <w:rtl w:val="0"/>
          <w:lang w:val="en-US"/>
        </w:rPr>
        <w:t>‘</w:t>
      </w:r>
      <w:r>
        <w:rPr>
          <w:rFonts w:cs="Arial Unicode MS" w:eastAsia="Arial Unicode MS"/>
          <w:rtl w:val="0"/>
          <w:lang w:val="en-US"/>
        </w:rPr>
        <w:t>Looking up at the night sky, we imagine the stars to be invisibly connected by ghostly lines into constellations. Only by doing so can we tell stories about them</w:t>
      </w:r>
      <w:r>
        <w:rPr>
          <w:rFonts w:cs="Arial Unicode MS" w:eastAsia="Arial Unicode MS" w:hint="default"/>
          <w:rtl w:val="0"/>
          <w:lang w:val="en-US"/>
        </w:rPr>
        <w:t>’</w:t>
      </w:r>
      <w:r>
        <w:rPr>
          <w:rFonts w:cs="Arial Unicode MS" w:eastAsia="Arial Unicode MS"/>
          <w:rtl w:val="0"/>
        </w:rPr>
        <w:t>.</w:t>
      </w:r>
      <w:r>
        <w:rPr>
          <w:rFonts w:ascii="Times New Roman" w:cs="Times New Roman" w:hAnsi="Times New Roman" w:eastAsia="Times New Roman"/>
          <w:b w:val="0"/>
          <w:bCs w:val="0"/>
          <w:i w:val="0"/>
          <w:iCs w:val="0"/>
          <w:vertAlign w:val="superscript"/>
        </w:rPr>
        <w:footnoteReference w:id="163"/>
      </w:r>
      <w:r>
        <w:rPr>
          <w:rFonts w:cs="Arial Unicode MS" w:eastAsia="Arial Unicode MS"/>
          <w:rtl w:val="0"/>
          <w:lang w:val="en-US"/>
        </w:rPr>
        <w:t xml:space="preserve"> Tim</w:t>
      </w:r>
      <w:r>
        <w:rPr>
          <w:rFonts w:cs="Arial Unicode MS" w:eastAsia="Arial Unicode MS"/>
          <w:rtl w:val="0"/>
        </w:rPr>
        <w:t xml:space="preserve"> Ingold</w:t>
      </w:r>
    </w:p>
    <w:p>
      <w:pPr>
        <w:pStyle w:val="Body A"/>
      </w:pPr>
    </w:p>
    <w:p>
      <w:pPr>
        <w:pStyle w:val="Body A"/>
      </w:pPr>
      <w:r>
        <w:rPr>
          <w:rtl w:val="0"/>
        </w:rPr>
        <w:t>Blomberg and Henriksson speculate that Aratus</w:t>
      </w:r>
      <w:r>
        <w:rPr>
          <w:rtl w:val="0"/>
        </w:rPr>
        <w:t xml:space="preserve">’ </w:t>
      </w:r>
      <w:r>
        <w:rPr>
          <w:i w:val="1"/>
          <w:iCs w:val="1"/>
          <w:rtl w:val="0"/>
          <w:lang w:val="en-US"/>
        </w:rPr>
        <w:t>Phaenomena</w:t>
      </w:r>
      <w:r>
        <w:rPr>
          <w:rtl w:val="0"/>
        </w:rPr>
        <w:t xml:space="preserve"> was part of an oral tradition of didactic poetry dating back to the Bronze Age, similar to the transmission of stellar navigation know-how in the South Pacific.</w:t>
      </w:r>
      <w:r>
        <w:rPr>
          <w:rFonts w:ascii="Times New Roman" w:cs="Times New Roman" w:hAnsi="Times New Roman" w:eastAsia="Times New Roman"/>
          <w:b w:val="0"/>
          <w:bCs w:val="0"/>
          <w:i w:val="0"/>
          <w:iCs w:val="0"/>
          <w:vertAlign w:val="superscript"/>
        </w:rPr>
        <w:footnoteReference w:id="164"/>
      </w:r>
      <w:r>
        <w:rPr>
          <w:rtl w:val="0"/>
        </w:rPr>
        <w:t xml:space="preserve"> </w:t>
      </w:r>
      <w:r>
        <w:rPr>
          <w:rFonts w:ascii="Times Roman" w:hAnsi="Times Roman"/>
          <w:rtl w:val="0"/>
          <w:lang w:val="en-US"/>
        </w:rPr>
        <w:t xml:space="preserve">Boutsikas writes, </w:t>
      </w:r>
      <w:r>
        <w:rPr>
          <w:rFonts w:ascii="Times Roman" w:hAnsi="Times Roman" w:hint="default"/>
          <w:rtl w:val="0"/>
          <w:lang w:val="en-US"/>
        </w:rPr>
        <w:t>‘</w:t>
      </w:r>
      <w:r>
        <w:rPr>
          <w:rFonts w:ascii="Times Roman" w:hAnsi="Times Roman"/>
          <w:rtl w:val="0"/>
          <w:lang w:val="en-US"/>
        </w:rPr>
        <w:t>The use of mythology as a memory device for the constellations populating the ancient Greek sky meant that constellations were linked with ancient Greek religion through catasterism myths</w:t>
      </w:r>
      <w:r>
        <w:rPr>
          <w:rFonts w:ascii="Times Roman" w:hAnsi="Times Roman" w:hint="default"/>
          <w:rtl w:val="1"/>
        </w:rPr>
        <w:t>’</w:t>
      </w:r>
      <w:r>
        <w:rPr>
          <w:rFonts w:ascii="Times Roman" w:hAnsi="Times Roman"/>
          <w:rtl w:val="0"/>
        </w:rPr>
        <w:t>.</w:t>
      </w:r>
      <w:r>
        <w:rPr>
          <w:rFonts w:ascii="Times Roman" w:cs="Times Roman" w:hAnsi="Times Roman" w:eastAsia="Times Roman"/>
          <w:vertAlign w:val="superscript"/>
        </w:rPr>
        <w:footnoteReference w:id="165"/>
      </w:r>
      <w:r>
        <w:rPr>
          <w:rtl w:val="0"/>
        </w:rPr>
        <w:t xml:space="preserve"> In the Polynesian and Micronesian maritime communities, astronautical lore was orally transmitted in cryptic chants, whose true meaning was only revealed by the exegesis of an elder.</w:t>
      </w:r>
      <w:r>
        <w:rPr>
          <w:rFonts w:ascii="Times New Roman" w:cs="Times New Roman" w:hAnsi="Times New Roman" w:eastAsia="Times New Roman"/>
          <w:b w:val="0"/>
          <w:bCs w:val="0"/>
          <w:i w:val="0"/>
          <w:iCs w:val="0"/>
          <w:vertAlign w:val="superscript"/>
        </w:rPr>
        <w:footnoteReference w:id="166"/>
      </w:r>
      <w:r>
        <w:rPr>
          <w:rtl w:val="0"/>
        </w:rPr>
        <w:t xml:space="preserve"> </w:t>
      </w:r>
      <w:r>
        <w:rPr>
          <w:rFonts w:ascii="Times Roman" w:hAnsi="Times Roman"/>
          <w:rtl w:val="0"/>
          <w:lang w:val="en-US"/>
        </w:rPr>
        <w:t>Maritime arcanum may have been preserved within star tales handed down from generation to generation.</w:t>
      </w:r>
    </w:p>
    <w:p>
      <w:pPr>
        <w:pStyle w:val="Body A"/>
      </w:pPr>
      <w:r>
        <w:rPr>
          <w:rtl w:val="0"/>
        </w:rPr>
        <w:t>Bradley</w:t>
      </w:r>
      <w:r>
        <w:rPr>
          <w:rtl w:val="0"/>
        </w:rPr>
        <w:t xml:space="preserve"> </w:t>
      </w:r>
      <w:r>
        <w:rPr>
          <w:rtl w:val="0"/>
          <w:lang w:val="de-DE"/>
        </w:rPr>
        <w:t xml:space="preserve">Schaefer </w:t>
      </w:r>
      <w:r>
        <w:rPr>
          <w:rtl w:val="0"/>
        </w:rPr>
        <w:t>argues</w:t>
      </w:r>
      <w:r>
        <w:rPr>
          <w:rtl w:val="0"/>
        </w:rPr>
        <w:t xml:space="preserve"> that, </w:t>
      </w:r>
      <w:r>
        <w:rPr>
          <w:rtl w:val="1"/>
        </w:rPr>
        <w:t>‘</w:t>
      </w:r>
      <w:r>
        <w:rPr>
          <w:rtl w:val="0"/>
        </w:rPr>
        <w:t>no evidence for the old Greek constellations has been found in Minoan Crete or elsewhere before the first millennium b.c.</w:t>
      </w:r>
      <w:r>
        <w:rPr>
          <w:rtl w:val="0"/>
        </w:rPr>
        <w:t>,</w:t>
      </w:r>
      <w:r>
        <w:rPr>
          <w:rtl w:val="1"/>
        </w:rPr>
        <w:t xml:space="preserve">’ </w:t>
      </w:r>
      <w:r>
        <w:rPr>
          <w:rtl w:val="0"/>
        </w:rPr>
        <w:t>and that</w:t>
      </w:r>
      <w:r>
        <w:rPr>
          <w:rtl w:val="1"/>
        </w:rPr>
        <w:t xml:space="preserve"> ‘</w:t>
      </w:r>
      <w:r>
        <w:rPr>
          <w:rtl w:val="0"/>
        </w:rPr>
        <w:t xml:space="preserve">the lack of all constellations other than the obvious Orion and Big Bear from Hesiod and Homer argues that these were unknown to the early Greeks and </w:t>
      </w:r>
      <w:r>
        <w:rPr>
          <w:rtl w:val="0"/>
        </w:rPr>
        <w:t>Mycenaeans</w:t>
      </w:r>
      <w:r>
        <w:rPr>
          <w:rtl w:val="1"/>
        </w:rPr>
        <w:t>’</w:t>
      </w:r>
      <w:r>
        <w:rPr>
          <w:rtl w:val="0"/>
        </w:rPr>
        <w:t>.</w:t>
      </w:r>
      <w:r>
        <w:rPr>
          <w:rFonts w:ascii="Times New Roman" w:cs="Times New Roman" w:hAnsi="Times New Roman" w:eastAsia="Times New Roman"/>
          <w:b w:val="0"/>
          <w:bCs w:val="0"/>
          <w:i w:val="0"/>
          <w:iCs w:val="0"/>
          <w:vertAlign w:val="superscript"/>
        </w:rPr>
        <w:footnoteReference w:id="167"/>
      </w:r>
      <w:r>
        <w:rPr>
          <w:rtl w:val="0"/>
        </w:rPr>
        <w:t xml:space="preserve"> On the other hand, Kyriakdis suggests that </w:t>
      </w:r>
      <w:r>
        <w:rPr>
          <w:rtl w:val="0"/>
        </w:rPr>
        <w:t>‘</w:t>
      </w:r>
      <w:r>
        <w:rPr>
          <w:rtl w:val="0"/>
        </w:rPr>
        <w:t>Any seafaring and trading nation needs to be able to read the stars. Minoan Crete, one of the main regional sea powers of its time, would have classified the stars into constellations to act as mnemonic devices</w:t>
      </w:r>
      <w:r>
        <w:rPr>
          <w:rtl w:val="1"/>
        </w:rPr>
        <w:t>’</w:t>
      </w:r>
      <w:r>
        <w:rPr>
          <w:rtl w:val="0"/>
        </w:rPr>
        <w:t>.</w:t>
      </w:r>
      <w:r>
        <w:rPr>
          <w:rFonts w:ascii="Times New Roman" w:cs="Times New Roman" w:hAnsi="Times New Roman" w:eastAsia="Times New Roman"/>
          <w:b w:val="0"/>
          <w:bCs w:val="0"/>
          <w:i w:val="0"/>
          <w:iCs w:val="0"/>
          <w:vertAlign w:val="superscript"/>
        </w:rPr>
        <w:footnoteReference w:id="168"/>
      </w:r>
      <w:r>
        <w:rPr>
          <w:rFonts w:ascii="Times Roman" w:hAnsi="Times Roman"/>
          <w:rtl w:val="0"/>
          <w:lang w:val="en-US"/>
        </w:rPr>
        <w:t xml:space="preserve"> </w:t>
      </w:r>
      <w:r>
        <w:rPr>
          <w:rtl w:val="0"/>
        </w:rPr>
        <w:t>Thus, the creation of star paths and constellations may be seen as a logical culmination of the necessity of memorising the directions during nocturnal navigation.</w:t>
      </w:r>
    </w:p>
    <w:p>
      <w:pPr>
        <w:pStyle w:val="Body A"/>
        <w:rPr>
          <w:rFonts w:ascii="Times Roman" w:cs="Times Roman" w:hAnsi="Times Roman" w:eastAsia="Times Roman"/>
        </w:rPr>
      </w:pPr>
      <w:r>
        <w:rPr>
          <w:rFonts w:ascii="Times Roman" w:hAnsi="Times Roman"/>
          <w:rtl w:val="0"/>
          <w:lang w:val="en-US"/>
        </w:rPr>
        <w:t xml:space="preserve">Inevitably, star sailors have to apply the star paths </w:t>
      </w:r>
      <w:r>
        <w:rPr>
          <w:rtl w:val="0"/>
        </w:rPr>
        <w:t>to a mental map within an easily applicable form such sidereal compasses or within easily transmissible star myth narratives.</w:t>
      </w:r>
      <w:r>
        <w:rPr>
          <w:rFonts w:ascii="Times New Roman" w:cs="Times New Roman" w:hAnsi="Times New Roman" w:eastAsia="Times New Roman"/>
          <w:b w:val="0"/>
          <w:bCs w:val="0"/>
          <w:i w:val="0"/>
          <w:iCs w:val="0"/>
          <w:vertAlign w:val="superscript"/>
        </w:rPr>
        <w:footnoteReference w:id="169"/>
      </w:r>
      <w:r>
        <w:rPr>
          <w:rtl w:val="0"/>
        </w:rPr>
        <w:t xml:space="preserve"> </w:t>
      </w:r>
      <w:r>
        <w:rPr>
          <w:rFonts w:ascii="Times Roman" w:hAnsi="Times Roman"/>
          <w:rtl w:val="0"/>
          <w:lang w:val="en-US"/>
        </w:rPr>
        <w:t xml:space="preserve">Akira </w:t>
      </w:r>
      <w:r>
        <w:rPr>
          <w:rFonts w:ascii="Times Roman" w:hAnsi="Times Roman"/>
          <w:rtl w:val="0"/>
          <w:lang w:val="en-US"/>
        </w:rPr>
        <w:t>and others</w:t>
      </w:r>
      <w:r>
        <w:rPr>
          <w:rFonts w:ascii="Times Roman" w:hAnsi="Times Roman"/>
          <w:rtl w:val="0"/>
          <w:lang w:val="en-US"/>
        </w:rPr>
        <w:t xml:space="preserve"> comment: </w:t>
      </w:r>
    </w:p>
    <w:p>
      <w:pPr>
        <w:pStyle w:val="Body A"/>
        <w:rPr>
          <w:rFonts w:ascii="Times Roman" w:cs="Times Roman" w:hAnsi="Times Roman" w:eastAsia="Times Roman"/>
        </w:rPr>
      </w:pPr>
    </w:p>
    <w:p>
      <w:pPr>
        <w:pStyle w:val="Quote"/>
        <w:ind w:left="720"/>
        <w:rPr>
          <w:rFonts w:ascii="Times Roman" w:cs="Times Roman" w:hAnsi="Times Roman" w:eastAsia="Times Roman"/>
        </w:rPr>
      </w:pPr>
      <w:r>
        <w:rPr>
          <w:rFonts w:ascii="Times Roman" w:hAnsi="Times Roman"/>
          <w:rtl w:val="0"/>
          <w:lang w:val="en-US"/>
        </w:rPr>
        <w:t>Navigators had to memorize the names of more than 178 stars and also learned their courses and positions at particular seasons and times. One of the methods of memorizing the guiding stars was to create a tale about them, wherein they figured as persons or objects seen during the voyage. Folk stories were often adapted to this purpose.</w:t>
      </w:r>
      <w:r>
        <w:rPr>
          <w:rFonts w:ascii="Times Roman" w:cs="Times Roman" w:hAnsi="Times Roman" w:eastAsia="Times Roman"/>
          <w:vertAlign w:val="superscript"/>
        </w:rPr>
        <w:footnoteReference w:id="170"/>
      </w:r>
    </w:p>
    <w:p>
      <w:pPr>
        <w:pStyle w:val="Body A"/>
        <w:rPr>
          <w:rFonts w:ascii="Times Roman" w:cs="Times Roman" w:hAnsi="Times Roman" w:eastAsia="Times Roman"/>
        </w:rPr>
      </w:pPr>
    </w:p>
    <w:p>
      <w:pPr>
        <w:pStyle w:val="Post QUOTE"/>
      </w:pPr>
      <w:r>
        <w:rPr>
          <w:rFonts w:ascii="Times Roman" w:hAnsi="Times Roman"/>
          <w:rtl w:val="0"/>
          <w:lang w:val="en-US"/>
        </w:rPr>
        <w:t xml:space="preserve">The tome of knowledge a navigation student was expected to learn was considerable. As </w:t>
      </w:r>
      <w:r>
        <w:rPr>
          <w:rtl w:val="0"/>
        </w:rPr>
        <w:t xml:space="preserve">Lewis records, </w:t>
      </w:r>
      <w:r>
        <w:rPr>
          <w:rtl w:val="0"/>
        </w:rPr>
        <w:t>‘</w:t>
      </w:r>
      <w:r>
        <w:rPr>
          <w:rtl w:val="0"/>
        </w:rPr>
        <w:t>[</w:t>
      </w:r>
      <w:r>
        <w:rPr>
          <w:rtl w:val="0"/>
        </w:rPr>
        <w:t>…</w:t>
      </w:r>
      <w:r>
        <w:rPr>
          <w:rtl w:val="0"/>
        </w:rPr>
        <w:t>]</w:t>
      </w:r>
      <w:r>
        <w:rPr>
          <w:rtl w:val="0"/>
        </w:rPr>
        <w:t>from a navigator on Puluwat a list covering several pages of fine print giving sailing directions in terms of his compass from every known place to every other known place. He gives each course both directly and with respect to a third island or reef to provide another point of reference.</w:t>
      </w:r>
      <w:r>
        <w:rPr>
          <w:rtl w:val="0"/>
        </w:rPr>
        <w:t>”</w:t>
      </w:r>
      <w:r>
        <w:rPr>
          <w:rFonts w:ascii="Times New Roman" w:cs="Times New Roman" w:hAnsi="Times New Roman" w:eastAsia="Times New Roman"/>
          <w:b w:val="0"/>
          <w:bCs w:val="0"/>
          <w:i w:val="0"/>
          <w:iCs w:val="0"/>
          <w:vertAlign w:val="superscript"/>
        </w:rPr>
        <w:footnoteReference w:id="171"/>
      </w:r>
      <w:r>
        <w:rPr>
          <w:rtl w:val="0"/>
        </w:rPr>
        <w:t xml:space="preserve"> These directions composed complex navigational methods, such as the </w:t>
      </w:r>
      <w:r>
        <w:rPr>
          <w:i w:val="1"/>
          <w:iCs w:val="1"/>
          <w:rtl w:val="0"/>
          <w:lang w:val="en-US"/>
        </w:rPr>
        <w:t>Etak</w:t>
      </w:r>
      <w:r>
        <w:rPr>
          <w:rtl w:val="0"/>
        </w:rPr>
        <w:t xml:space="preserve">, where mental recordings of </w:t>
      </w:r>
      <w:r>
        <w:rPr>
          <w:rtl w:val="0"/>
        </w:rPr>
        <w:t>‘</w:t>
      </w:r>
      <w:r>
        <w:rPr>
          <w:rtl w:val="0"/>
        </w:rPr>
        <w:t>moving</w:t>
      </w:r>
      <w:r>
        <w:rPr>
          <w:rtl w:val="0"/>
        </w:rPr>
        <w:t xml:space="preserve">’ </w:t>
      </w:r>
      <w:r>
        <w:rPr>
          <w:rtl w:val="0"/>
        </w:rPr>
        <w:t>off-course reference islands segmented a journey.</w:t>
      </w:r>
      <w:r>
        <w:rPr>
          <w:rFonts w:ascii="Times New Roman" w:cs="Times New Roman" w:hAnsi="Times New Roman" w:eastAsia="Times New Roman"/>
          <w:b w:val="0"/>
          <w:bCs w:val="0"/>
          <w:i w:val="0"/>
          <w:iCs w:val="0"/>
          <w:vertAlign w:val="superscript"/>
        </w:rPr>
        <w:footnoteReference w:id="172"/>
      </w:r>
      <w:r>
        <w:rPr>
          <w:rtl w:val="0"/>
        </w:rPr>
        <w:t xml:space="preserve"> </w:t>
      </w:r>
      <w:r>
        <w:rPr>
          <w:rtl w:val="0"/>
        </w:rPr>
        <w:t xml:space="preserve">The practicality and necessity of star sailing </w:t>
      </w:r>
      <w:r>
        <w:rPr>
          <w:rtl w:val="0"/>
        </w:rPr>
        <w:t>leads toward the</w:t>
      </w:r>
      <w:r>
        <w:rPr>
          <w:rtl w:val="0"/>
        </w:rPr>
        <w:t xml:space="preserve"> conclusion that the Minoans would have likely organised their skyscape around constellations, asterisms, or star paths which would have facilitated memorisation and thereby their use out at sea.</w:t>
      </w:r>
    </w:p>
    <w:p>
      <w:pPr>
        <w:pStyle w:val="Heading Reg"/>
      </w:pPr>
    </w:p>
    <w:p>
      <w:pPr>
        <w:pStyle w:val="Heading Reg"/>
        <w:rPr>
          <w:i w:val="0"/>
          <w:iCs w:val="0"/>
        </w:rPr>
      </w:pPr>
      <w:bookmarkStart w:name="_Toc36" w:id="36"/>
      <w:r>
        <w:rPr>
          <w:i w:val="0"/>
          <w:iCs w:val="0"/>
          <w:rtl w:val="0"/>
          <w:lang w:val="en-US"/>
        </w:rPr>
        <w:t xml:space="preserve">Historical Evidence of </w:t>
      </w:r>
      <w:r>
        <w:rPr>
          <w:i w:val="0"/>
          <w:iCs w:val="0"/>
          <w:rtl w:val="0"/>
          <w:lang w:val="en-US"/>
        </w:rPr>
        <w:t>Star Navigation</w:t>
      </w:r>
      <w:bookmarkEnd w:id="36"/>
    </w:p>
    <w:p>
      <w:pPr>
        <w:pStyle w:val="Body"/>
        <w:spacing w:line="360" w:lineRule="auto"/>
        <w:ind w:firstLine="540"/>
        <w:rPr>
          <w14:textOutline w14:w="12700" w14:cap="flat">
            <w14:noFill/>
            <w14:miter w14:lim="400000"/>
          </w14:textOutline>
        </w:rPr>
      </w:pPr>
    </w:p>
    <w:p>
      <w:pPr>
        <w:pStyle w:val="Body A"/>
      </w:pPr>
      <w:r>
        <w:rPr>
          <w:rtl w:val="0"/>
        </w:rPr>
        <w:t>The earliest historical mention of stellar navigation is preserved in a famous passage from Homer</w:t>
      </w:r>
      <w:r>
        <w:rPr>
          <w:rtl w:val="0"/>
        </w:rPr>
        <w:t>’</w:t>
      </w:r>
      <w:r>
        <w:rPr>
          <w:rtl w:val="0"/>
        </w:rPr>
        <w:t xml:space="preserve">s 8th century </w:t>
      </w:r>
      <w:r>
        <w:rPr>
          <w:smallCaps w:val="1"/>
          <w:rtl w:val="0"/>
          <w:lang w:val="en-US"/>
        </w:rPr>
        <w:t>bce</w:t>
      </w:r>
      <w:r>
        <w:rPr>
          <w:rtl w:val="0"/>
        </w:rPr>
        <w:t xml:space="preserve">, </w:t>
      </w:r>
      <w:r>
        <w:rPr>
          <w:rtl w:val="0"/>
        </w:rPr>
        <w:t>‘</w:t>
      </w:r>
      <w:r>
        <w:rPr>
          <w:rtl w:val="0"/>
        </w:rPr>
        <w:t>The Odyssey</w:t>
      </w:r>
      <w:r>
        <w:rPr>
          <w:rtl w:val="0"/>
        </w:rPr>
        <w:t>’</w:t>
      </w:r>
      <w:r>
        <w:rPr>
          <w:rtl w:val="0"/>
        </w:rPr>
        <w:t>, when the hero, Odysseus, steered his ship as he:</w:t>
      </w:r>
    </w:p>
    <w:p>
      <w:pPr>
        <w:pStyle w:val="Body A"/>
      </w:pPr>
    </w:p>
    <w:p>
      <w:pPr>
        <w:pStyle w:val="Quote"/>
        <w:ind w:left="720"/>
      </w:pPr>
      <w:r>
        <w:rPr>
          <w:rFonts w:cs="Arial Unicode MS" w:eastAsia="Arial Unicode MS"/>
          <w:rtl w:val="0"/>
          <w:lang w:val="en-US"/>
        </w:rPr>
        <w:t>[</w:t>
      </w:r>
      <w:r>
        <w:rPr>
          <w:rFonts w:cs="Arial Unicode MS" w:eastAsia="Arial Unicode MS" w:hint="default"/>
          <w:rtl w:val="0"/>
          <w:lang w:val="en-US"/>
        </w:rPr>
        <w:t>…</w:t>
      </w:r>
      <w:r>
        <w:rPr>
          <w:rFonts w:cs="Arial Unicode MS" w:eastAsia="Arial Unicode MS"/>
          <w:rtl w:val="0"/>
          <w:lang w:val="en-US"/>
        </w:rPr>
        <w:t>]</w:t>
      </w:r>
      <w:r>
        <w:rPr>
          <w:rFonts w:cs="Arial Unicode MS" w:eastAsia="Arial Unicode MS"/>
          <w:rtl w:val="0"/>
          <w:lang w:val="en-US"/>
        </w:rPr>
        <w:t>watched the Pleiades and late-setting B</w:t>
      </w:r>
      <w:r>
        <w:rPr>
          <w:rFonts w:cs="Arial Unicode MS" w:eastAsia="Arial Unicode MS" w:hint="default"/>
          <w:rtl w:val="0"/>
          <w:lang w:val="en-US"/>
        </w:rPr>
        <w:t>ö</w:t>
      </w:r>
      <w:r>
        <w:rPr>
          <w:rFonts w:cs="Arial Unicode MS" w:eastAsia="Arial Unicode MS"/>
          <w:rtl w:val="0"/>
          <w:lang w:val="en-US"/>
        </w:rPr>
        <w:t>otes, and the Bear, which is also called the Wain; it circles where it is and keeps an eye on Orion. It alone has no part in the baths of Ocean. The beautiful goddess Calypso advised him to keep this one on his left as he sailed over the sea.</w:t>
      </w:r>
      <w:r>
        <w:rPr>
          <w:rFonts w:ascii="Times New Roman" w:cs="Times New Roman" w:hAnsi="Times New Roman" w:eastAsia="Times New Roman"/>
          <w:b w:val="0"/>
          <w:bCs w:val="0"/>
          <w:i w:val="0"/>
          <w:iCs w:val="0"/>
          <w:vertAlign w:val="superscript"/>
        </w:rPr>
        <w:footnoteReference w:id="173"/>
      </w:r>
    </w:p>
    <w:p>
      <w:pPr>
        <w:pStyle w:val="Heading Reg"/>
      </w:pPr>
    </w:p>
    <w:p>
      <w:pPr>
        <w:pStyle w:val="Post QUOTE"/>
      </w:pPr>
      <w:r>
        <w:rPr>
          <w:rtl w:val="0"/>
        </w:rPr>
        <w:t xml:space="preserve">Ursa Major, often cited in ancient nautical texts, was known as the Bear or the Wain, translated from the Greek </w:t>
      </w:r>
      <w:r>
        <w:rPr>
          <w:i w:val="1"/>
          <w:iCs w:val="1"/>
          <w:rtl w:val="0"/>
          <w:lang w:val="en-US"/>
        </w:rPr>
        <w:t>Arktos</w:t>
      </w:r>
      <w:r>
        <w:rPr>
          <w:rtl w:val="0"/>
        </w:rPr>
        <w:t>,</w:t>
      </w:r>
      <w:r>
        <w:rPr>
          <w:i w:val="1"/>
          <w:iCs w:val="1"/>
          <w:rtl w:val="0"/>
          <w:lang w:val="en-US"/>
        </w:rPr>
        <w:t xml:space="preserve"> Helix</w:t>
      </w:r>
      <w:r>
        <w:rPr>
          <w:rtl w:val="0"/>
        </w:rPr>
        <w:t xml:space="preserve">, or </w:t>
      </w:r>
      <w:r>
        <w:rPr>
          <w:i w:val="1"/>
          <w:iCs w:val="1"/>
          <w:rtl w:val="0"/>
          <w:lang w:val="en-US"/>
        </w:rPr>
        <w:t>Axis</w:t>
      </w:r>
      <w:r>
        <w:rPr>
          <w:rtl w:val="0"/>
        </w:rPr>
        <w:t>.</w:t>
      </w:r>
      <w:r>
        <w:rPr>
          <w:rFonts w:ascii="Times New Roman" w:cs="Times New Roman" w:hAnsi="Times New Roman" w:eastAsia="Times New Roman"/>
          <w:b w:val="0"/>
          <w:bCs w:val="0"/>
          <w:i w:val="0"/>
          <w:iCs w:val="0"/>
          <w:vertAlign w:val="superscript"/>
        </w:rPr>
        <w:footnoteReference w:id="174"/>
      </w:r>
      <w:r>
        <w:rPr>
          <w:rtl w:val="0"/>
        </w:rPr>
        <w:t xml:space="preserve"> Apollonius</w:t>
      </w:r>
      <w:r>
        <w:rPr>
          <w:rtl w:val="0"/>
        </w:rPr>
        <w:t xml:space="preserve">’ </w:t>
      </w:r>
      <w:r>
        <w:rPr>
          <w:rtl w:val="0"/>
        </w:rPr>
        <w:t>epic poem, the Argonautica, describes how</w:t>
      </w:r>
      <w:r>
        <w:rPr>
          <w:rtl w:val="0"/>
        </w:rPr>
        <w:t xml:space="preserve"> </w:t>
      </w:r>
      <w:r>
        <w:rPr>
          <w:rtl w:val="0"/>
        </w:rPr>
        <w:t>‘</w:t>
      </w:r>
      <w:r>
        <w:rPr>
          <w:rtl w:val="0"/>
        </w:rPr>
        <w:t>on the sea sailors from their ships looked to Helice and the stars of Orion</w:t>
      </w:r>
      <w:r>
        <w:rPr>
          <w:rtl w:val="1"/>
        </w:rPr>
        <w:t>’</w:t>
      </w:r>
      <w:r>
        <w:rPr>
          <w:rtl w:val="0"/>
        </w:rPr>
        <w:t>.</w:t>
      </w:r>
      <w:r>
        <w:rPr>
          <w:rFonts w:ascii="Times New Roman" w:cs="Times New Roman" w:hAnsi="Times New Roman" w:eastAsia="Times New Roman"/>
          <w:b w:val="0"/>
          <w:bCs w:val="0"/>
          <w:i w:val="0"/>
          <w:iCs w:val="0"/>
          <w:vertAlign w:val="superscript"/>
        </w:rPr>
        <w:footnoteReference w:id="175"/>
      </w:r>
      <w:r>
        <w:rPr>
          <w:rtl w:val="0"/>
        </w:rPr>
        <w:t xml:space="preserve"> This passage may indicate that navigating by non-circumpolar constellations, such as Orion, may have been a familiar technique to Apollonius</w:t>
      </w:r>
      <w:r>
        <w:rPr>
          <w:rtl w:val="0"/>
        </w:rPr>
        <w:t xml:space="preserve">’ </w:t>
      </w:r>
      <w:r>
        <w:rPr>
          <w:rtl w:val="0"/>
        </w:rPr>
        <w:t xml:space="preserve">contemporaries. Aratus also details the different methods of steering by the circumpolar constellations: </w:t>
      </w:r>
    </w:p>
    <w:p>
      <w:pPr>
        <w:pStyle w:val="Body A"/>
      </w:pPr>
    </w:p>
    <w:p>
      <w:pPr>
        <w:pStyle w:val="Quote"/>
        <w:ind w:left="720"/>
      </w:pPr>
      <w:r>
        <w:rPr>
          <w:rFonts w:cs="Arial Unicode MS" w:eastAsia="Arial Unicode MS"/>
          <w:rtl w:val="0"/>
          <w:lang w:val="en-US"/>
        </w:rPr>
        <w:t>In order to steer their ships, the Achaeans on the sea take their mark by Helice  (Ursa Major), whereas the Phoenicians cross the sea trusting in the other  (Ursa Minor or Cynosura). But Helice, appearing clear at earliest night, is easily recognized; but the other is small, yet better for sailors; for all of her stars wheel in a smaller orbit; by her, then, the Sidonians sail their ships.</w:t>
      </w:r>
      <w:r>
        <w:rPr>
          <w:rFonts w:ascii="Times New Roman" w:cs="Times New Roman" w:hAnsi="Times New Roman" w:eastAsia="Times New Roman"/>
          <w:b w:val="0"/>
          <w:bCs w:val="0"/>
          <w:i w:val="0"/>
          <w:iCs w:val="0"/>
          <w:vertAlign w:val="superscript"/>
        </w:rPr>
        <w:footnoteReference w:id="176"/>
      </w:r>
    </w:p>
    <w:p>
      <w:pPr>
        <w:pStyle w:val="Quote"/>
        <w:ind w:left="720"/>
      </w:pPr>
    </w:p>
    <w:p>
      <w:pPr>
        <w:pStyle w:val="Post QUOTE"/>
      </w:pPr>
      <w:r>
        <w:rPr>
          <w:rtl w:val="0"/>
        </w:rPr>
        <w:t>Numerous ancient authors cite night-time sailing with frequency, including Herodotus, Xenophon, Thucydides, and others.</w:t>
      </w:r>
      <w:r>
        <w:rPr>
          <w:rFonts w:ascii="Times New Roman" w:cs="Times New Roman" w:hAnsi="Times New Roman" w:eastAsia="Times New Roman"/>
          <w:b w:val="0"/>
          <w:bCs w:val="0"/>
          <w:i w:val="0"/>
          <w:iCs w:val="0"/>
          <w:vertAlign w:val="superscript"/>
        </w:rPr>
        <w:footnoteReference w:id="177"/>
      </w:r>
      <w:r>
        <w:rPr>
          <w:rtl w:val="0"/>
        </w:rPr>
        <w:t xml:space="preserve"> I</w:t>
      </w:r>
      <w:r>
        <w:rPr>
          <w:rtl w:val="0"/>
        </w:rPr>
        <w:t xml:space="preserve">n his epic poem, </w:t>
      </w:r>
      <w:r>
        <w:rPr>
          <w:i w:val="1"/>
          <w:iCs w:val="1"/>
          <w:rtl w:val="0"/>
          <w:lang w:val="it-IT"/>
        </w:rPr>
        <w:t>Punica</w:t>
      </w:r>
      <w:r>
        <w:rPr>
          <w:rtl w:val="0"/>
        </w:rPr>
        <w:t>,</w:t>
      </w:r>
      <w:r>
        <w:rPr>
          <w:rtl w:val="0"/>
        </w:rPr>
        <w:t xml:space="preserve"> </w:t>
      </w:r>
      <w:r>
        <w:rPr>
          <w:rtl w:val="0"/>
        </w:rPr>
        <w:t>Silius Italicus</w:t>
      </w:r>
      <w:r>
        <w:rPr>
          <w:rtl w:val="0"/>
        </w:rPr>
        <w:t xml:space="preserve"> describes how Sidonian sailors preferred nocturnal rather than diurnal sailing: </w:t>
      </w:r>
    </w:p>
    <w:p>
      <w:pPr>
        <w:pStyle w:val="Body A"/>
      </w:pPr>
    </w:p>
    <w:p>
      <w:pPr>
        <w:pStyle w:val="Quote"/>
        <w:ind w:left="720"/>
      </w:pPr>
      <w:r>
        <w:rPr>
          <w:rFonts w:cs="Arial Unicode MS" w:eastAsia="Arial Unicode MS"/>
          <w:rtl w:val="0"/>
          <w:lang w:val="en-US"/>
        </w:rPr>
        <w:t>By observing the stars do we navigate across these valleys, for daylight confuses the path; and over the vast fields does Cynosura  (Ursa Minor), that constellation most faithful to Sidonian sailors, lead the traveler who sees himself always in the middle of the plain.</w:t>
      </w:r>
      <w:r>
        <w:rPr>
          <w:rFonts w:ascii="Times New Roman" w:cs="Times New Roman" w:hAnsi="Times New Roman" w:eastAsia="Times New Roman"/>
          <w:b w:val="0"/>
          <w:bCs w:val="0"/>
          <w:i w:val="0"/>
          <w:iCs w:val="0"/>
          <w:vertAlign w:val="superscript"/>
        </w:rPr>
        <w:footnoteReference w:id="178"/>
      </w:r>
    </w:p>
    <w:p>
      <w:pPr>
        <w:pStyle w:val="Body A"/>
      </w:pPr>
    </w:p>
    <w:p>
      <w:pPr>
        <w:pStyle w:val="Post QUOTE"/>
      </w:pPr>
      <w:r>
        <w:rPr>
          <w:rtl w:val="0"/>
        </w:rPr>
        <w:t>A possible literary reference to celestial navigation in Minoan Crete may be found in the account of Ovid</w:t>
      </w:r>
      <w:r>
        <w:rPr>
          <w:rtl w:val="0"/>
        </w:rPr>
        <w:t>’</w:t>
      </w:r>
      <w:r>
        <w:rPr>
          <w:rtl w:val="0"/>
        </w:rPr>
        <w:t xml:space="preserve">s </w:t>
      </w:r>
      <w:r>
        <w:rPr>
          <w:i w:val="1"/>
          <w:iCs w:val="1"/>
          <w:rtl w:val="0"/>
          <w:lang w:val="en-US"/>
        </w:rPr>
        <w:t>Ars Amatoriae</w:t>
      </w:r>
      <w:r>
        <w:rPr>
          <w:rtl w:val="0"/>
        </w:rPr>
        <w:t xml:space="preserve"> where Daedalus and his son Icarus flee the wrath of King Minos on wax wings. He urges his son to not </w:t>
      </w:r>
      <w:r>
        <w:rPr>
          <w:rtl w:val="0"/>
        </w:rPr>
        <w:t>‘</w:t>
      </w:r>
      <w:r>
        <w:rPr>
          <w:rtl w:val="0"/>
        </w:rPr>
        <w:t>look toward the Tegean maid (Callisto, Ursa Major) nor sword-bearing Orion, companion of B</w:t>
      </w:r>
      <w:r>
        <w:rPr>
          <w:rtl w:val="0"/>
        </w:rPr>
        <w:t>ö</w:t>
      </w:r>
      <w:r>
        <w:rPr>
          <w:rtl w:val="0"/>
        </w:rPr>
        <w:t>otes</w:t>
      </w:r>
      <w:r>
        <w:rPr>
          <w:rtl w:val="0"/>
        </w:rPr>
        <w:t>’</w:t>
      </w:r>
      <w:r>
        <w:rPr>
          <w:rtl w:val="0"/>
        </w:rPr>
        <w:t>, suggesting that even in this mythical flight, the stars symbolised orientations.</w:t>
      </w:r>
      <w:r>
        <w:rPr>
          <w:rFonts w:ascii="Times New Roman" w:cs="Times New Roman" w:hAnsi="Times New Roman" w:eastAsia="Times New Roman"/>
          <w:b w:val="0"/>
          <w:bCs w:val="0"/>
          <w:i w:val="0"/>
          <w:iCs w:val="0"/>
          <w:vertAlign w:val="superscript"/>
        </w:rPr>
        <w:footnoteReference w:id="179"/>
      </w:r>
    </w:p>
    <w:p>
      <w:pPr>
        <w:pStyle w:val="Body"/>
        <w:spacing w:line="360" w:lineRule="auto"/>
        <w:ind w:firstLine="540"/>
        <w:rPr>
          <w14:textOutline w14:w="12700" w14:cap="flat">
            <w14:noFill/>
            <w14:miter w14:lim="400000"/>
          </w14:textOutline>
        </w:rPr>
      </w:pPr>
      <w:r>
        <w:rPr>
          <w:rtl w:val="0"/>
          <w:lang w:val="en-US"/>
          <w14:textOutline w14:w="12700" w14:cap="flat">
            <w14:noFill/>
            <w14:miter w14:lim="400000"/>
          </w14:textOutline>
        </w:rPr>
        <w:t>Blomberg and Henriksson suggest that the Minoans may have used star path navigation techniques similar to the traditions of the South Pacific.</w:t>
      </w:r>
      <w:r>
        <w:rPr>
          <w:vertAlign w:val="superscript"/>
          <w14:textOutline w14:w="12700" w14:cap="flat">
            <w14:noFill/>
            <w14:miter w14:lim="400000"/>
          </w14:textOutline>
        </w:rPr>
        <w:footnoteReference w:id="180"/>
      </w:r>
      <w:r>
        <w:rPr>
          <w:rtl w:val="0"/>
          <w:lang w:val="en-US"/>
          <w14:textOutline w14:w="12700" w14:cap="flat">
            <w14:noFill/>
            <w14:miter w14:lim="400000"/>
          </w14:textOutline>
        </w:rPr>
        <w:t xml:space="preserve"> They cite Aratus, who wrote:</w:t>
      </w:r>
    </w:p>
    <w:p>
      <w:pPr>
        <w:pStyle w:val="Body"/>
        <w:spacing w:line="360" w:lineRule="auto"/>
        <w:ind w:firstLine="540"/>
        <w:rPr>
          <w14:textOutline w14:w="12700" w14:cap="flat">
            <w14:noFill/>
            <w14:miter w14:lim="400000"/>
          </w14:textOutline>
        </w:rPr>
      </w:pPr>
    </w:p>
    <w:p>
      <w:pPr>
        <w:pStyle w:val="Quote"/>
        <w:ind w:left="720"/>
      </w:pPr>
      <w:r>
        <w:rPr>
          <w:rFonts w:cs="Arial Unicode MS" w:eastAsia="Arial Unicode MS"/>
          <w:rtl w:val="0"/>
          <w:lang w:val="en-US"/>
        </w:rPr>
        <w:t>Now too a sailor on a clear night at sea can observe the first bend of the River (Eridanus) emerging from the sea, as he waits for Orion himself, to see if a sign will at some point predict for him the length of either the night or the voyage; for everywhere the gods give these many predictions to men</w:t>
      </w:r>
      <w:r>
        <w:rPr>
          <w:rFonts w:cs="Arial Unicode MS" w:eastAsia="Arial Unicode MS"/>
          <w:rtl w:val="0"/>
          <w:lang w:val="en-US"/>
        </w:rPr>
        <w:t>.</w:t>
      </w:r>
      <w:r>
        <w:rPr>
          <w:rFonts w:ascii="Times New Roman" w:cs="Times New Roman" w:hAnsi="Times New Roman" w:eastAsia="Times New Roman"/>
          <w:b w:val="0"/>
          <w:bCs w:val="0"/>
          <w:i w:val="0"/>
          <w:iCs w:val="0"/>
          <w:vertAlign w:val="superscript"/>
        </w:rPr>
        <w:footnoteReference w:id="181"/>
      </w:r>
      <w:r>
        <w:rPr>
          <w:rFonts w:cs="Arial Unicode MS" w:eastAsia="Arial Unicode MS"/>
          <w:rtl w:val="0"/>
          <w:lang w:val="en-US"/>
        </w:rPr>
        <w:t xml:space="preserve"> </w:t>
      </w:r>
    </w:p>
    <w:p>
      <w:pPr>
        <w:pStyle w:val="Body"/>
        <w:spacing w:line="360" w:lineRule="auto"/>
        <w:ind w:firstLine="540"/>
        <w:rPr>
          <w14:textOutline w14:w="12700" w14:cap="flat">
            <w14:noFill/>
            <w14:miter w14:lim="400000"/>
          </w14:textOutline>
        </w:rPr>
      </w:pPr>
    </w:p>
    <w:p>
      <w:pPr>
        <w:pStyle w:val="Post QUOTE"/>
      </w:pPr>
      <w:r>
        <w:rPr>
          <w:rtl w:val="0"/>
        </w:rPr>
        <w:t>However, they do not detail specific star paths the Minoans may have employed, beyond a general course to the Nile by aiming toward the stars of the river constellation Eridanus.</w:t>
      </w:r>
      <w:r>
        <w:rPr>
          <w:rFonts w:ascii="Times New Roman" w:cs="Times New Roman" w:hAnsi="Times New Roman" w:eastAsia="Times New Roman"/>
          <w:b w:val="0"/>
          <w:bCs w:val="0"/>
          <w:i w:val="0"/>
          <w:iCs w:val="0"/>
          <w:vertAlign w:val="superscript"/>
        </w:rPr>
        <w:footnoteReference w:id="182"/>
      </w:r>
      <w:r>
        <w:rPr>
          <w:rtl w:val="0"/>
        </w:rPr>
        <w:t xml:space="preserve"> The robust references in classical texts to celestial navigation in the Mediterranean suggest the possibility that the Minoans may have employed similar techniques, which along with the trade routes they first established, may have been preserved by the Myceneans, the Phoenicians and the later Greeks.</w:t>
      </w:r>
    </w:p>
    <w:p>
      <w:pPr>
        <w:pStyle w:val="Body A"/>
      </w:pPr>
    </w:p>
    <w:p>
      <w:pPr>
        <w:pStyle w:val="Heading Reg 1"/>
      </w:pPr>
      <w:bookmarkStart w:name="_Toc37" w:id="37"/>
      <w:r>
        <w:rPr>
          <w:rFonts w:cs="Arial Unicode MS" w:eastAsia="Arial Unicode MS"/>
          <w:rtl w:val="0"/>
          <w:lang w:val="en-US"/>
        </w:rPr>
        <w:t>The Star Myth of Europa</w:t>
      </w:r>
      <w:bookmarkEnd w:id="37"/>
    </w:p>
    <w:p>
      <w:pPr>
        <w:pStyle w:val="Body A"/>
      </w:pPr>
    </w:p>
    <w:p>
      <w:pPr>
        <w:pStyle w:val="Body A"/>
      </w:pPr>
      <w:r>
        <w:rPr>
          <w:rtl w:val="0"/>
        </w:rPr>
        <w:t>According to Brady, star paths may have been preserved within local mythologies that preserved ancestral knowledge. As Brady writes:</w:t>
      </w:r>
    </w:p>
    <w:p>
      <w:pPr>
        <w:pStyle w:val="Body A"/>
        <w:rPr>
          <w:b w:val="1"/>
          <w:bCs w:val="1"/>
        </w:rPr>
      </w:pPr>
    </w:p>
    <w:p>
      <w:pPr>
        <w:pStyle w:val="Quote"/>
        <w:ind w:left="720"/>
      </w:pPr>
      <w:r>
        <w:rPr>
          <w:rFonts w:cs="Arial Unicode MS" w:eastAsia="Arial Unicode MS"/>
          <w:rtl w:val="0"/>
          <w:lang w:val="en-US"/>
        </w:rPr>
        <w:t xml:space="preserve">In this way the sun, with its sunrise and sunset horizon events, would be fixed and permanent, and thus possibly more sacred, while the star-paths, which may have been full of mythical figures and their narratives, would be animated by precession. The two, the fixed nature of the sun and horizon and the animated mythical characters of the stars were bought together by the fixed bearing of the stones, which linked them in a cosmic and cultural knot; a union that offered the tribe knowledge of navigation. </w:t>
      </w:r>
      <w:r>
        <w:rPr>
          <w:rFonts w:ascii="Times New Roman" w:cs="Times New Roman" w:hAnsi="Times New Roman" w:eastAsia="Times New Roman"/>
          <w:b w:val="0"/>
          <w:bCs w:val="0"/>
          <w:i w:val="0"/>
          <w:iCs w:val="0"/>
          <w:vertAlign w:val="superscript"/>
        </w:rPr>
        <w:footnoteReference w:id="183"/>
      </w:r>
    </w:p>
    <w:p>
      <w:pPr>
        <w:pStyle w:val="Body A"/>
        <w:ind w:left="720"/>
      </w:pPr>
    </w:p>
    <w:p>
      <w:pPr>
        <w:pStyle w:val="Post QUOTE"/>
      </w:pPr>
      <w:r>
        <w:rPr>
          <w:rtl w:val="0"/>
        </w:rPr>
        <w:t>In this manner, the original immigration from the Levant to Crete, and the founding of the Minoan civilization, may be related to celestial navigation as memorialised in the myth of Europa and Zeus. In some accounts, King Minos was the son of Zeus with a mortal mother</w:t>
      </w:r>
      <w:r>
        <w:rPr>
          <w:rtl w:val="0"/>
          <w:lang w:val="pt-PT"/>
        </w:rPr>
        <w:t>,</w:t>
      </w:r>
      <w:r>
        <w:rPr>
          <w:rtl w:val="0"/>
        </w:rPr>
        <w:t xml:space="preserve"> Europa, herself the daughter of Agenor, king of Tyre. She</w:t>
      </w:r>
      <w:r>
        <w:rPr>
          <w:rtl w:val="0"/>
        </w:rPr>
        <w:t xml:space="preserve"> </w:t>
      </w:r>
      <w:r>
        <w:rPr>
          <w:rtl w:val="0"/>
        </w:rPr>
        <w:t>was</w:t>
      </w:r>
      <w:r>
        <w:rPr>
          <w:rtl w:val="0"/>
          <w:lang w:val="fr-FR"/>
        </w:rPr>
        <w:t xml:space="preserve"> abduct</w:t>
      </w:r>
      <w:r>
        <w:rPr>
          <w:rtl w:val="0"/>
        </w:rPr>
        <w:t>ed</w:t>
      </w:r>
      <w:r>
        <w:rPr>
          <w:rtl w:val="0"/>
        </w:rPr>
        <w:t xml:space="preserve"> from the beaches of Sidon by Zeus in the form of a bull</w:t>
      </w:r>
      <w:r>
        <w:rPr>
          <w:rtl w:val="0"/>
        </w:rPr>
        <w:t>, who absconded with the virgin princess to Crete</w:t>
      </w:r>
      <w:r>
        <w:rPr>
          <w:rtl w:val="0"/>
        </w:rPr>
        <w:t>.</w:t>
      </w:r>
      <w:r>
        <w:rPr>
          <w:rtl w:val="0"/>
        </w:rPr>
        <w:t xml:space="preserve"> Ovid</w:t>
      </w:r>
      <w:r>
        <w:rPr>
          <w:rtl w:val="0"/>
        </w:rPr>
        <w:t>’</w:t>
      </w:r>
      <w:r>
        <w:rPr>
          <w:rtl w:val="0"/>
        </w:rPr>
        <w:t xml:space="preserve">s </w:t>
      </w:r>
      <w:r>
        <w:rPr>
          <w:i w:val="1"/>
          <w:iCs w:val="1"/>
          <w:rtl w:val="0"/>
          <w:lang w:val="en-US"/>
        </w:rPr>
        <w:t>Metamorphoses</w:t>
      </w:r>
      <w:r>
        <w:rPr>
          <w:rtl w:val="0"/>
        </w:rPr>
        <w:t xml:space="preserve"> recounts how Zeus commanded his son Hermes to aid him in sequestering the princess Europa: </w:t>
      </w:r>
    </w:p>
    <w:p>
      <w:pPr>
        <w:pStyle w:val="Body A"/>
      </w:pPr>
    </w:p>
    <w:p>
      <w:pPr>
        <w:pStyle w:val="Body A"/>
        <w:ind w:left="720"/>
      </w:pPr>
      <w:r>
        <w:rPr>
          <w:rtl w:val="0"/>
        </w:rPr>
        <w:t>Son,</w:t>
      </w:r>
      <w:r>
        <w:rPr>
          <w:rtl w:val="0"/>
        </w:rPr>
        <w:t>—</w:t>
      </w:r>
      <w:r>
        <w:rPr>
          <w:rtl w:val="0"/>
        </w:rPr>
        <w:t xml:space="preserve"> </w:t>
      </w:r>
      <w:r>
        <w:rPr>
          <w:rtl w:val="0"/>
        </w:rPr>
        <w:t>thou faithful minister of my commands.</w:t>
      </w:r>
      <w:r>
        <w:rPr>
          <w:rtl w:val="0"/>
        </w:rPr>
        <w:t>—</w:t>
      </w:r>
    </w:p>
    <w:p>
      <w:pPr>
        <w:pStyle w:val="Body A"/>
        <w:ind w:left="720"/>
      </w:pPr>
      <w:r>
        <w:rPr>
          <w:rtl w:val="0"/>
        </w:rPr>
        <w:t>let naught delay thee</w:t>
      </w:r>
      <w:r>
        <w:rPr>
          <w:rtl w:val="0"/>
        </w:rPr>
        <w:t>—</w:t>
      </w:r>
      <w:r>
        <w:rPr>
          <w:rtl w:val="0"/>
        </w:rPr>
        <w:t>swiftly take the way,</w:t>
      </w:r>
    </w:p>
    <w:p>
      <w:pPr>
        <w:pStyle w:val="Body A"/>
        <w:ind w:left="720"/>
      </w:pPr>
      <w:r>
        <w:rPr>
          <w:rtl w:val="0"/>
        </w:rPr>
        <w:t>accustomed, to the land of Sidon (which</w:t>
      </w:r>
    </w:p>
    <w:p>
      <w:pPr>
        <w:pStyle w:val="Body A"/>
        <w:ind w:left="720"/>
      </w:pPr>
      <w:r>
        <w:rPr>
          <w:rtl w:val="0"/>
        </w:rPr>
        <w:t>adores thy mother</w:t>
      </w:r>
      <w:r>
        <w:rPr>
          <w:rtl w:val="1"/>
        </w:rPr>
        <w:t>’</w:t>
      </w:r>
      <w:r>
        <w:rPr>
          <w:rtl w:val="0"/>
        </w:rPr>
        <w:t>s star upon the left).</w:t>
      </w:r>
      <w:r>
        <w:rPr>
          <w:rFonts w:ascii="Times New Roman" w:cs="Times New Roman" w:hAnsi="Times New Roman" w:eastAsia="Times New Roman"/>
          <w:b w:val="0"/>
          <w:bCs w:val="0"/>
          <w:i w:val="0"/>
          <w:iCs w:val="0"/>
          <w:vertAlign w:val="superscript"/>
        </w:rPr>
        <w:footnoteReference w:id="184"/>
      </w:r>
      <w:r>
        <w:rPr>
          <w:rtl w:val="0"/>
        </w:rPr>
        <w:t xml:space="preserve"> </w:t>
      </w:r>
    </w:p>
    <w:p>
      <w:pPr>
        <w:pStyle w:val="Body A"/>
      </w:pPr>
    </w:p>
    <w:p>
      <w:pPr>
        <w:pStyle w:val="Post QUOTE"/>
      </w:pPr>
      <w:r>
        <w:rPr>
          <w:rtl w:val="0"/>
        </w:rPr>
        <w:t>Hermes did as Zeus bade him, and he drove the royal kine toward the beach where Europa, the king</w:t>
      </w:r>
      <w:r>
        <w:rPr>
          <w:rtl w:val="0"/>
        </w:rPr>
        <w:t>’</w:t>
      </w:r>
      <w:r>
        <w:rPr>
          <w:rtl w:val="0"/>
        </w:rPr>
        <w:t xml:space="preserve">s daughter, frolicked with other Tyrian virgins. </w:t>
      </w:r>
      <w:r>
        <w:rPr>
          <w:rtl w:val="0"/>
          <w:lang w:val="en-US"/>
        </w:rPr>
        <w:t xml:space="preserve">Together, they traversed the </w:t>
      </w:r>
      <w:r>
        <w:rPr>
          <w:rtl w:val="0"/>
          <w:lang w:val="en-US"/>
        </w:rPr>
        <w:t>M</w:t>
      </w:r>
      <w:r>
        <w:rPr>
          <w:rtl w:val="0"/>
          <w:lang w:val="en-US"/>
        </w:rPr>
        <w:t>editerranean and disembarked on Cretan soil.</w:t>
      </w:r>
      <w:r>
        <w:rPr>
          <w:rtl w:val="0"/>
          <w:lang w:val="en-US"/>
        </w:rPr>
        <w:t xml:space="preserve"> According to one telling, the pair made landfall at Matala, a beach in the sphere of influence of the palace of Phaistos.</w:t>
      </w:r>
      <w:r>
        <w:rPr>
          <w:rFonts w:ascii="Times New Roman" w:cs="Times New Roman" w:hAnsi="Times New Roman" w:eastAsia="Times New Roman"/>
          <w:b w:val="0"/>
          <w:bCs w:val="0"/>
          <w:i w:val="0"/>
          <w:iCs w:val="0"/>
          <w:vertAlign w:val="superscript"/>
        </w:rPr>
        <w:footnoteReference w:id="185"/>
      </w:r>
      <w:r>
        <w:rPr>
          <w:rtl w:val="0"/>
          <w:lang w:val="en-US"/>
        </w:rPr>
        <w:t xml:space="preserve"> </w:t>
      </w:r>
    </w:p>
    <w:p>
      <w:pPr>
        <w:pStyle w:val="Body A"/>
      </w:pPr>
      <w:r>
        <w:rPr>
          <w:rtl w:val="0"/>
        </w:rPr>
        <w:t xml:space="preserve">According to Lucian </w:t>
      </w:r>
      <w:r>
        <w:rPr>
          <w:rtl w:val="0"/>
          <w:lang w:val="it-IT"/>
        </w:rPr>
        <w:t>of Samosata (2</w:t>
      </w:r>
      <w:r>
        <w:rPr>
          <w:vertAlign w:val="superscript"/>
          <w:rtl w:val="0"/>
          <w:lang w:val="en-US"/>
        </w:rPr>
        <w:t xml:space="preserve">nd </w:t>
      </w:r>
      <w:r>
        <w:rPr>
          <w:rtl w:val="0"/>
        </w:rPr>
        <w:t xml:space="preserve">century </w:t>
      </w:r>
      <w:r>
        <w:rPr>
          <w:smallCaps w:val="1"/>
          <w:rtl w:val="0"/>
          <w:lang w:val="en-US"/>
        </w:rPr>
        <w:t>ce</w:t>
      </w:r>
      <w:r>
        <w:rPr>
          <w:rtl w:val="0"/>
        </w:rPr>
        <w:t>)</w:t>
      </w:r>
      <w:r>
        <w:rPr>
          <w:rtl w:val="0"/>
        </w:rPr>
        <w:t>, the Phoenicians built a great temple, which in some accounts, was sacred to Minos</w:t>
      </w:r>
      <w:r>
        <w:rPr>
          <w:rtl w:val="0"/>
        </w:rPr>
        <w:t xml:space="preserve">’ </w:t>
      </w:r>
      <w:r>
        <w:rPr>
          <w:rtl w:val="0"/>
        </w:rPr>
        <w:t>mother:</w:t>
      </w:r>
    </w:p>
    <w:p>
      <w:pPr>
        <w:pStyle w:val="Body A"/>
      </w:pPr>
    </w:p>
    <w:p>
      <w:pPr>
        <w:pStyle w:val="Quote"/>
        <w:ind w:left="720"/>
      </w:pPr>
      <w:r>
        <w:rPr>
          <w:rFonts w:cs="Arial Unicode MS" w:eastAsia="Arial Unicode MS"/>
          <w:rtl w:val="0"/>
          <w:lang w:val="en-US"/>
        </w:rPr>
        <w:t>There is likewise in Ph</w:t>
      </w:r>
      <w:r>
        <w:rPr>
          <w:rFonts w:cs="Arial Unicode MS" w:eastAsia="Arial Unicode MS" w:hint="default"/>
          <w:rtl w:val="0"/>
          <w:lang w:val="fr-FR"/>
        </w:rPr>
        <w:t>œ</w:t>
      </w:r>
      <w:r>
        <w:rPr>
          <w:rFonts w:cs="Arial Unicode MS" w:eastAsia="Arial Unicode MS"/>
          <w:rtl w:val="0"/>
          <w:lang w:val="en-US"/>
        </w:rPr>
        <w:t>nicia a temple of great size owned by the Sidonians. They call it the temple of Astarte. I hold this Astarte to be no other than the moon-goddess. But according to the story of one of the priests this temple is sacred to Europa, the sister of Cadmus.</w:t>
      </w:r>
      <w:r>
        <w:rPr>
          <w:rFonts w:ascii="Times New Roman" w:cs="Times New Roman" w:hAnsi="Times New Roman" w:eastAsia="Times New Roman"/>
          <w:b w:val="0"/>
          <w:bCs w:val="0"/>
          <w:i w:val="0"/>
          <w:iCs w:val="0"/>
          <w:u w:val="single"/>
          <w:vertAlign w:val="superscript"/>
        </w:rPr>
        <w:footnoteReference w:id="186"/>
      </w:r>
    </w:p>
    <w:p>
      <w:pPr>
        <w:pStyle w:val="Body A"/>
      </w:pPr>
    </w:p>
    <w:p>
      <w:pPr>
        <w:pStyle w:val="Post QUOTE"/>
      </w:pPr>
      <w:r>
        <w:rPr>
          <w:rtl w:val="0"/>
        </w:rPr>
        <w:t>Lucian then confirms that current among the ancient Sidonians was the numismatic effigy of Europa riding on the back of taurine Zeus, linking the myth with the city (Fig. 14)</w:t>
      </w:r>
      <w:r>
        <w:rPr>
          <w:rtl w:val="0"/>
        </w:rPr>
        <w:t>.</w:t>
      </w:r>
      <w:r>
        <w:rPr>
          <w:rFonts w:ascii="Times New Roman" w:cs="Times New Roman" w:hAnsi="Times New Roman" w:eastAsia="Times New Roman"/>
          <w:b w:val="0"/>
          <w:bCs w:val="0"/>
          <w:i w:val="0"/>
          <w:iCs w:val="0"/>
          <w:u w:val="single"/>
          <w:vertAlign w:val="superscript"/>
        </w:rPr>
        <w:footnoteReference w:id="187"/>
      </w:r>
      <w:r>
        <w:rPr>
          <w:rtl w:val="0"/>
        </w:rPr>
        <w:t xml:space="preserve">  </w:t>
      </w:r>
    </w:p>
    <w:p>
      <w:pPr>
        <w:pStyle w:val="Post QUOTE"/>
      </w:pPr>
    </w:p>
    <w:p>
      <w:pPr>
        <w:pStyle w:val="Image A"/>
        <w:rPr>
          <w:rFonts w:ascii="Lora Bold" w:cs="Lora Bold" w:hAnsi="Lora Bold" w:eastAsia="Lora Bold"/>
          <w:sz w:val="22"/>
          <w:szCs w:val="22"/>
        </w:rPr>
      </w:pPr>
      <w:r>
        <w:rPr>
          <w:sz w:val="22"/>
          <w:szCs w:val="22"/>
        </w:rPr>
        <w:drawing xmlns:a="http://schemas.openxmlformats.org/drawingml/2006/main">
          <wp:inline distT="0" distB="0" distL="0" distR="0">
            <wp:extent cx="1812892" cy="872454"/>
            <wp:effectExtent l="0" t="0" r="0" b="0"/>
            <wp:docPr id="1073741841" name="officeArt object" descr="Image"/>
            <wp:cNvGraphicFramePr/>
            <a:graphic xmlns:a="http://schemas.openxmlformats.org/drawingml/2006/main">
              <a:graphicData uri="http://schemas.openxmlformats.org/drawingml/2006/picture">
                <pic:pic xmlns:pic="http://schemas.openxmlformats.org/drawingml/2006/picture">
                  <pic:nvPicPr>
                    <pic:cNvPr id="1073741841" name="Image" descr="Image"/>
                    <pic:cNvPicPr>
                      <a:picLocks noChangeAspect="1"/>
                    </pic:cNvPicPr>
                  </pic:nvPicPr>
                  <pic:blipFill>
                    <a:blip r:embed="rId20">
                      <a:extLst/>
                    </a:blip>
                    <a:srcRect l="0" t="0" r="0" b="0"/>
                    <a:stretch>
                      <a:fillRect/>
                    </a:stretch>
                  </pic:blipFill>
                  <pic:spPr>
                    <a:xfrm>
                      <a:off x="0" y="0"/>
                      <a:ext cx="1812892" cy="872454"/>
                    </a:xfrm>
                    <a:prstGeom prst="rect">
                      <a:avLst/>
                    </a:prstGeom>
                    <a:ln w="12700" cap="flat">
                      <a:noFill/>
                      <a:miter lim="400000"/>
                    </a:ln>
                    <a:effectLst/>
                  </pic:spPr>
                </pic:pic>
              </a:graphicData>
            </a:graphic>
          </wp:inline>
        </w:drawing>
      </w:r>
    </w:p>
    <w:p>
      <w:pPr>
        <w:pStyle w:val="Image Caption"/>
      </w:pPr>
      <w:bookmarkStart w:name="_Toc38" w:id="38"/>
      <w:r>
        <w:rPr>
          <w:rFonts w:cs="Arial Unicode MS" w:eastAsia="Arial Unicode MS"/>
          <w:b w:val="1"/>
          <w:bCs w:val="1"/>
          <w:rtl w:val="0"/>
          <w:lang w:val="en-US"/>
        </w:rPr>
        <w:t>Fig. 14</w:t>
      </w:r>
      <w:r>
        <w:rPr>
          <w:rFonts w:cs="Arial Unicode MS" w:eastAsia="Arial Unicode MS"/>
          <w:rtl w:val="0"/>
        </w:rPr>
        <w:t xml:space="preserve"> Bronze Roman coin from Sidon, 2</w:t>
      </w:r>
      <w:r>
        <w:rPr>
          <w:rFonts w:cs="Arial Unicode MS" w:eastAsia="Arial Unicode MS"/>
          <w:vertAlign w:val="superscript"/>
          <w:rtl w:val="0"/>
          <w:lang w:val="en-US"/>
        </w:rPr>
        <w:t>nd</w:t>
      </w:r>
      <w:r>
        <w:rPr>
          <w:rFonts w:cs="Arial Unicode MS" w:eastAsia="Arial Unicode MS"/>
          <w:rtl w:val="0"/>
        </w:rPr>
        <w:t xml:space="preserve"> century </w:t>
      </w:r>
      <w:r>
        <w:rPr>
          <w:rFonts w:cs="Arial Unicode MS" w:eastAsia="Arial Unicode MS"/>
          <w:smallCaps w:val="1"/>
          <w:rtl w:val="0"/>
          <w:lang w:val="en-US"/>
        </w:rPr>
        <w:t xml:space="preserve">ce, </w:t>
      </w:r>
      <w:r>
        <w:rPr>
          <w:rFonts w:cs="Arial Unicode MS" w:eastAsia="Arial Unicode MS"/>
          <w:smallCaps w:val="1"/>
          <w:rtl w:val="0"/>
          <w:lang w:val="en-US"/>
        </w:rPr>
        <w:t>24 mm</w:t>
      </w:r>
      <w:r>
        <w:rPr>
          <w:rFonts w:cs="Arial Unicode MS" w:eastAsia="Arial Unicode MS"/>
          <w:smallCaps w:val="1"/>
          <w:rtl w:val="0"/>
          <w:lang w:val="en-US"/>
        </w:rPr>
        <w:t>.</w:t>
      </w:r>
      <w:r>
        <w:rPr>
          <w:rFonts w:cs="Arial Unicode MS" w:eastAsia="Arial Unicode MS"/>
          <w:rtl w:val="0"/>
        </w:rPr>
        <w:t xml:space="preserve"> Europa on the bull of Zeus. </w:t>
      </w:r>
      <w:r>
        <w:rPr>
          <w:rFonts w:cs="Arial Unicode MS" w:eastAsia="Arial Unicode MS"/>
          <w:rtl w:val="0"/>
        </w:rPr>
        <w:t>Alfredo De La Fe</w:t>
      </w:r>
      <w:r>
        <w:rPr>
          <w:rFonts w:cs="Arial Unicode MS" w:eastAsia="Arial Unicode MS"/>
          <w:rtl w:val="0"/>
        </w:rPr>
        <w:t>, p. 1</w:t>
      </w:r>
      <w:r>
        <w:rPr>
          <w:rFonts w:cs="Arial Unicode MS" w:eastAsia="Arial Unicode MS"/>
          <w:i w:val="1"/>
          <w:iCs w:val="1"/>
          <w:rtl w:val="0"/>
          <w:lang w:val="en-US"/>
        </w:rPr>
        <w:t>.</w:t>
      </w:r>
      <w:bookmarkEnd w:id="38"/>
    </w:p>
    <w:p>
      <w:pPr>
        <w:pStyle w:val="Image Caption"/>
      </w:pPr>
    </w:p>
    <w:p>
      <w:pPr>
        <w:pStyle w:val="Body A"/>
      </w:pPr>
      <w:r>
        <w:rPr>
          <w:rtl w:val="0"/>
        </w:rPr>
        <w:t xml:space="preserve">In the myth, Europa rides the bull which may symbolise the constellation of Taurus, suggesting </w:t>
      </w:r>
      <w:r>
        <w:rPr>
          <w:rtl w:val="0"/>
        </w:rPr>
        <w:t>Europa may represent a celestial body</w:t>
      </w:r>
      <w:r>
        <w:rPr>
          <w:rtl w:val="0"/>
        </w:rPr>
        <w:t>.</w:t>
      </w:r>
      <w:r>
        <w:rPr>
          <w:rFonts w:ascii="Times New Roman" w:cs="Times New Roman" w:hAnsi="Times New Roman" w:eastAsia="Times New Roman"/>
          <w:b w:val="0"/>
          <w:bCs w:val="0"/>
          <w:i w:val="0"/>
          <w:iCs w:val="0"/>
          <w:vertAlign w:val="superscript"/>
        </w:rPr>
        <w:footnoteReference w:id="188"/>
      </w:r>
      <w:r>
        <w:rPr>
          <w:rtl w:val="0"/>
        </w:rPr>
        <w:t xml:space="preserve"> James Frazer speculates that:</w:t>
      </w:r>
    </w:p>
    <w:p>
      <w:pPr>
        <w:pStyle w:val="Body A"/>
      </w:pPr>
    </w:p>
    <w:p>
      <w:pPr>
        <w:pStyle w:val="Quote"/>
        <w:ind w:left="720"/>
      </w:pPr>
      <w:r>
        <w:rPr>
          <w:rFonts w:cs="Arial Unicode MS" w:eastAsia="Arial Unicode MS"/>
          <w:rtl w:val="0"/>
          <w:lang w:val="en-US"/>
        </w:rPr>
        <w:t>If Europa was, as seems possible, a personification of the moon in the shape of a cow, we might perhaps interpret the quest of the sons of Agenor for their lost sister as a mythical description of Phoenician mariners steering westward towards the moon which they saw with her silver horns setting in the sea.</w:t>
      </w:r>
      <w:r>
        <w:rPr>
          <w:rFonts w:ascii="Times New Roman" w:cs="Times New Roman" w:hAnsi="Times New Roman" w:eastAsia="Times New Roman"/>
          <w:b w:val="0"/>
          <w:bCs w:val="0"/>
          <w:i w:val="0"/>
          <w:iCs w:val="0"/>
          <w:vertAlign w:val="superscript"/>
        </w:rPr>
        <w:footnoteReference w:id="189"/>
      </w:r>
    </w:p>
    <w:p>
      <w:pPr>
        <w:pStyle w:val="Post QUOTE"/>
      </w:pPr>
    </w:p>
    <w:p>
      <w:pPr>
        <w:pStyle w:val="Post QUOTE"/>
      </w:pPr>
      <w:r>
        <w:rPr>
          <w:rtl w:val="0"/>
        </w:rPr>
        <w:t xml:space="preserve">This interpretation would make the myth an astronautical retelling of a sea journey. The </w:t>
      </w:r>
      <w:r>
        <w:rPr>
          <w:rtl w:val="0"/>
        </w:rPr>
        <w:t>Manilius</w:t>
      </w:r>
      <w:r>
        <w:rPr>
          <w:rtl w:val="0"/>
        </w:rPr>
        <w:t xml:space="preserve"> version of the myth of Europa is more explicit in associating the myth of Europa with the stars. In his telling, Hermes is commanded to go, </w:t>
      </w:r>
      <w:r>
        <w:rPr>
          <w:rtl w:val="0"/>
        </w:rPr>
        <w:t>‘</w:t>
      </w:r>
      <w:r>
        <w:rPr>
          <w:rtl w:val="0"/>
        </w:rPr>
        <w:t>to the land of Sidon (which</w:t>
      </w:r>
      <w:r>
        <w:rPr>
          <w:rtl w:val="0"/>
        </w:rPr>
        <w:t xml:space="preserve"> </w:t>
      </w:r>
      <w:r>
        <w:rPr>
          <w:rtl w:val="0"/>
        </w:rPr>
        <w:t>adores thy mother's star upon the left)</w:t>
      </w:r>
      <w:r>
        <w:rPr>
          <w:rtl w:val="0"/>
        </w:rPr>
        <w:t>’</w:t>
      </w:r>
      <w:r>
        <w:rPr>
          <w:rtl w:val="0"/>
        </w:rPr>
        <w:t>, meaning</w:t>
      </w:r>
      <w:r>
        <w:rPr>
          <w:rtl w:val="0"/>
        </w:rPr>
        <w:t xml:space="preserve"> </w:t>
      </w:r>
      <w:r>
        <w:rPr>
          <w:rtl w:val="0"/>
        </w:rPr>
        <w:t xml:space="preserve">the star </w:t>
      </w:r>
      <w:r>
        <w:rPr>
          <w:rtl w:val="0"/>
          <w:lang w:val="pt-PT"/>
        </w:rPr>
        <w:t xml:space="preserve">Maia, </w:t>
      </w:r>
      <w:r>
        <w:rPr>
          <w:rtl w:val="0"/>
        </w:rPr>
        <w:t>named after the</w:t>
      </w:r>
      <w:r>
        <w:rPr>
          <w:rtl w:val="0"/>
        </w:rPr>
        <w:t xml:space="preserve"> mother of Hermes</w:t>
      </w:r>
      <w:r>
        <w:rPr>
          <w:rtl w:val="0"/>
        </w:rPr>
        <w:t>, which is in the Pleiades</w:t>
      </w:r>
      <w:r>
        <w:rPr>
          <w:rtl w:val="0"/>
        </w:rPr>
        <w:t>.</w:t>
      </w:r>
      <w:r>
        <w:rPr>
          <w:rtl w:val="0"/>
        </w:rPr>
        <w:t xml:space="preserve"> The Greek name </w:t>
      </w:r>
      <w:r>
        <w:rPr>
          <w:rtl w:val="0"/>
        </w:rPr>
        <w:t xml:space="preserve">Πλειάδες </w:t>
      </w:r>
      <w:r>
        <w:rPr>
          <w:rtl w:val="0"/>
        </w:rPr>
        <w:t xml:space="preserve">may originate from the word </w:t>
      </w:r>
      <w:r>
        <w:rPr>
          <w:rtl w:val="0"/>
        </w:rPr>
        <w:t xml:space="preserve">πλεῖν </w:t>
      </w:r>
      <w:r>
        <w:rPr>
          <w:rtl w:val="0"/>
        </w:rPr>
        <w:t xml:space="preserve">meaning </w:t>
      </w:r>
      <w:r>
        <w:rPr>
          <w:rtl w:val="0"/>
        </w:rPr>
        <w:t>‘</w:t>
      </w:r>
      <w:r>
        <w:rPr>
          <w:rtl w:val="0"/>
        </w:rPr>
        <w:t>to sail</w:t>
      </w:r>
      <w:r>
        <w:rPr>
          <w:rtl w:val="0"/>
        </w:rPr>
        <w:t>’</w:t>
      </w:r>
      <w:r>
        <w:rPr>
          <w:rtl w:val="0"/>
        </w:rPr>
        <w:t>, suggesting its possible utility in stellar navigation.</w:t>
      </w:r>
      <w:r>
        <w:rPr>
          <w:rFonts w:ascii="Times New Roman" w:cs="Times New Roman" w:hAnsi="Times New Roman" w:eastAsia="Times New Roman"/>
          <w:b w:val="0"/>
          <w:bCs w:val="0"/>
          <w:i w:val="0"/>
          <w:iCs w:val="0"/>
          <w:vertAlign w:val="superscript"/>
        </w:rPr>
        <w:footnoteReference w:id="190"/>
      </w:r>
      <w:r>
        <w:rPr>
          <w:rtl w:val="0"/>
        </w:rPr>
        <w:t xml:space="preserve"> Therefore, t</w:t>
      </w:r>
      <w:r>
        <w:rPr>
          <w:rtl w:val="0"/>
        </w:rPr>
        <w:t xml:space="preserve">he </w:t>
      </w:r>
      <w:r>
        <w:rPr>
          <w:rtl w:val="0"/>
        </w:rPr>
        <w:t xml:space="preserve">mythological </w:t>
      </w:r>
      <w:r>
        <w:rPr>
          <w:rtl w:val="0"/>
        </w:rPr>
        <w:t>founding of Crete may point toward an archaic star sailing tradition</w:t>
      </w:r>
      <w:r>
        <w:rPr>
          <w:rtl w:val="0"/>
        </w:rPr>
        <w:t xml:space="preserve"> as</w:t>
      </w:r>
      <w:r>
        <w:rPr>
          <w:rtl w:val="0"/>
        </w:rPr>
        <w:t xml:space="preserve"> preserved in the astral myth of Europa and Zeus</w:t>
      </w:r>
      <w:r>
        <w:rPr>
          <w:rtl w:val="0"/>
        </w:rPr>
        <w:t>.</w:t>
      </w:r>
    </w:p>
    <w:p>
      <w:pPr>
        <w:pStyle w:val="Body A"/>
      </w:pPr>
    </w:p>
    <w:p>
      <w:pPr>
        <w:pStyle w:val="Heading Reg"/>
      </w:pPr>
      <w:bookmarkStart w:name="_Toc39" w:id="39"/>
      <w:r>
        <w:rPr>
          <w:rFonts w:cs="Arial Unicode MS" w:eastAsia="Arial Unicode MS"/>
          <w:rtl w:val="0"/>
          <w:lang w:val="en-US"/>
        </w:rPr>
        <w:t>Summary</w:t>
      </w:r>
      <w:bookmarkEnd w:id="39"/>
    </w:p>
    <w:p>
      <w:pPr>
        <w:pStyle w:val="Body A"/>
      </w:pPr>
    </w:p>
    <w:p>
      <w:pPr>
        <w:pStyle w:val="Default"/>
        <w:bidi w:val="0"/>
        <w:spacing w:before="0" w:line="360" w:lineRule="auto"/>
        <w:ind w:left="0" w:right="0" w:firstLine="540"/>
        <w:jc w:val="left"/>
        <w:rPr>
          <w:rtl w:val="0"/>
        </w:rPr>
      </w:pPr>
      <w:r>
        <w:rPr>
          <w:rFonts w:ascii="Times New Roman" w:hAnsi="Times New Roman"/>
          <w:u w:color="000000"/>
          <w:rtl w:val="0"/>
          <w:lang w:val="en-US"/>
          <w14:textOutline w14:w="12700" w14:cap="flat">
            <w14:noFill/>
            <w14:miter w14:lim="400000"/>
          </w14:textOutline>
        </w:rPr>
        <w:t xml:space="preserve">The </w:t>
      </w:r>
      <w:r>
        <w:rPr>
          <w:rFonts w:ascii="Times New Roman" w:hAnsi="Times New Roman"/>
          <w:u w:color="000000"/>
          <w:rtl w:val="0"/>
          <w:lang w:val="en-US"/>
          <w14:textOutline w14:w="12700" w14:cap="flat">
            <w14:noFill/>
            <w14:miter w14:lim="400000"/>
          </w14:textOutline>
        </w:rPr>
        <w:t xml:space="preserve">appearance of astronautical motifs </w:t>
      </w:r>
      <w:r>
        <w:rPr>
          <w:rFonts w:ascii="Times New Roman" w:hAnsi="Times New Roman"/>
          <w:u w:color="000000"/>
          <w:rtl w:val="0"/>
          <w:lang w:val="en-US"/>
          <w14:textOutline w14:w="12700" w14:cap="flat">
            <w14:noFill/>
            <w14:miter w14:lim="400000"/>
          </w14:textOutline>
        </w:rPr>
        <w:t>in Aegean art coincided with the explosion of maritime trade in the Bronze Age. Noctunral voyaging likely necessitated that the Minoans envisaged star paths or constellations for the purpose of memorization. There is evidence that by the time of Aratus, the Greeks were aware of a concept analogous to star paths. While there is no direct evidence of constellations in Minoan Crete, multiple literary accounts exist from Homer and others discussing the use of stars and circumpolar constellations for navigation in the ancient Mediterranean. The myth of Europa may connect the founding of Cretan civilization with celestial navigation.</w:t>
      </w:r>
      <w:r>
        <w:rPr>
          <w:rFonts w:ascii="Arial Unicode MS" w:cs="Arial Unicode MS" w:hAnsi="Arial Unicode MS" w:eastAsia="Arial Unicode MS"/>
          <w:b w:val="0"/>
          <w:bCs w:val="0"/>
          <w:i w:val="0"/>
          <w:iCs w:val="0"/>
          <w:outline w:val="0"/>
          <w:color w:val="7a7a7a"/>
          <w:u w:color="000000"/>
          <w:rtl w:val="0"/>
          <w14:textOutline w14:w="12700" w14:cap="flat">
            <w14:noFill/>
            <w14:miter w14:lim="400000"/>
          </w14:textOutline>
          <w14:textFill>
            <w14:solidFill>
              <w14:srgbClr w14:val="7A7A7A"/>
            </w14:solidFill>
          </w14:textFill>
        </w:rPr>
        <w:br w:type="page"/>
      </w:r>
    </w:p>
    <w:p>
      <w:pPr>
        <w:pStyle w:val="Heading"/>
        <w:bidi w:val="0"/>
      </w:pPr>
      <w:bookmarkStart w:name="_Toc40" w:id="40"/>
      <w:r>
        <w:rPr>
          <w:rFonts w:cs="Arial Unicode MS" w:eastAsia="Arial Unicode MS"/>
          <w:rtl w:val="0"/>
          <w:lang w:val="en-US"/>
        </w:rPr>
        <w:t>In The Field</w:t>
      </w:r>
      <w:bookmarkEnd w:id="40"/>
    </w:p>
    <w:p>
      <w:pPr>
        <w:pStyle w:val="Heading 2"/>
      </w:pPr>
    </w:p>
    <w:p>
      <w:pPr>
        <w:pStyle w:val="Heading Reg"/>
      </w:pPr>
      <w:bookmarkStart w:name="_Toc41" w:id="41"/>
      <w:r>
        <w:rPr>
          <w:rFonts w:cs="Arial Unicode MS" w:eastAsia="Arial Unicode MS"/>
          <w:rtl w:val="0"/>
          <w:lang w:val="en-US"/>
        </w:rPr>
        <w:t>Instruments</w:t>
      </w:r>
      <w:bookmarkEnd w:id="41"/>
    </w:p>
    <w:p>
      <w:pPr>
        <w:pStyle w:val="Body A"/>
      </w:pPr>
    </w:p>
    <w:p>
      <w:pPr>
        <w:pStyle w:val="Body A"/>
      </w:pPr>
      <w:r>
        <w:rPr>
          <w:rtl w:val="0"/>
        </w:rPr>
        <w:t>During the survey of the four main Minoan palaces, t</w:t>
      </w:r>
      <w:r>
        <w:rPr>
          <w:rtl w:val="0"/>
          <w:lang w:val="pt-PT"/>
        </w:rPr>
        <w:t xml:space="preserve">he </w:t>
      </w:r>
      <w:r>
        <w:rPr>
          <w:i w:val="1"/>
          <w:iCs w:val="1"/>
          <w:rtl w:val="0"/>
          <w:lang w:val="pt-PT"/>
        </w:rPr>
        <w:t>in situ</w:t>
      </w:r>
      <w:r>
        <w:rPr>
          <w:rtl w:val="0"/>
          <w:lang w:val="pt-PT"/>
        </w:rPr>
        <w:t xml:space="preserve"> measurements were </w:t>
      </w:r>
      <w:r>
        <w:rPr>
          <w:rtl w:val="0"/>
        </w:rPr>
        <w:t>taken</w:t>
      </w:r>
      <w:r>
        <w:rPr>
          <w:rtl w:val="0"/>
          <w:lang w:val="pt-PT"/>
        </w:rPr>
        <w:t xml:space="preserve"> with a Suunto Compass &amp; Clinometer</w:t>
      </w:r>
      <w:r>
        <w:rPr>
          <w:rtl w:val="0"/>
        </w:rPr>
        <w:t xml:space="preserve">, which has a stated accuracy of </w:t>
      </w:r>
      <w:r>
        <w:rPr>
          <w:rtl w:val="0"/>
        </w:rPr>
        <w:t>±</w:t>
      </w:r>
      <w:r>
        <w:rPr>
          <w:rtl w:val="0"/>
        </w:rPr>
        <w:t>1/3</w:t>
      </w:r>
      <w:r>
        <w:rPr>
          <w:rtl w:val="0"/>
        </w:rPr>
        <w:t>°</w:t>
      </w:r>
      <w:r>
        <w:rPr>
          <w:rtl w:val="0"/>
        </w:rPr>
        <w:t>.</w:t>
      </w:r>
      <w:r>
        <w:rPr>
          <w:rFonts w:ascii="Times New Roman" w:cs="Times New Roman" w:hAnsi="Times New Roman" w:eastAsia="Times New Roman"/>
          <w:b w:val="0"/>
          <w:bCs w:val="0"/>
          <w:i w:val="0"/>
          <w:iCs w:val="0"/>
          <w:vertAlign w:val="superscript"/>
        </w:rPr>
        <w:footnoteReference w:id="191"/>
      </w:r>
      <w:r>
        <w:rPr>
          <w:rtl w:val="0"/>
        </w:rPr>
        <w:t xml:space="preserve"> I adjusted the</w:t>
      </w:r>
      <w:r>
        <w:rPr>
          <w:rtl w:val="0"/>
        </w:rPr>
        <w:t xml:space="preserve"> </w:t>
      </w:r>
      <w:r>
        <w:rPr>
          <w:rtl w:val="0"/>
        </w:rPr>
        <w:t>measurement values for magnetic declination via the NOAA website.</w:t>
      </w:r>
      <w:r>
        <w:rPr>
          <w:rFonts w:ascii="Times New Roman" w:cs="Times New Roman" w:hAnsi="Times New Roman" w:eastAsia="Times New Roman"/>
          <w:b w:val="0"/>
          <w:bCs w:val="0"/>
          <w:i w:val="0"/>
          <w:iCs w:val="0"/>
          <w:vertAlign w:val="superscript"/>
        </w:rPr>
        <w:footnoteReference w:id="192"/>
      </w:r>
      <w:r>
        <w:rPr>
          <w:rtl w:val="0"/>
        </w:rPr>
        <w:t xml:space="preserve"> These</w:t>
      </w:r>
      <w:r>
        <w:rPr>
          <w:rtl w:val="0"/>
        </w:rPr>
        <w:t xml:space="preserve"> </w:t>
      </w:r>
      <w:r>
        <w:rPr>
          <w:rtl w:val="0"/>
        </w:rPr>
        <w:t xml:space="preserve">readings were compared </w:t>
      </w:r>
      <w:r>
        <w:rPr>
          <w:rtl w:val="0"/>
          <w:lang w:val="pt-PT"/>
        </w:rPr>
        <w:t xml:space="preserve">with </w:t>
      </w:r>
      <w:r>
        <w:rPr>
          <w:rtl w:val="0"/>
        </w:rPr>
        <w:t xml:space="preserve">those taken from </w:t>
      </w:r>
      <w:r>
        <w:rPr>
          <w:rtl w:val="0"/>
          <w:lang w:val="pt-PT"/>
        </w:rPr>
        <w:t>a digital Theodolite</w:t>
      </w:r>
      <w:r>
        <w:rPr>
          <w:rtl w:val="0"/>
        </w:rPr>
        <w:t xml:space="preserve"> app, </w:t>
      </w:r>
      <w:r>
        <w:rPr>
          <w:rtl w:val="0"/>
        </w:rPr>
        <w:t>virtual measurements from Google Earth</w:t>
      </w:r>
      <w:r>
        <w:rPr>
          <w:rtl w:val="0"/>
        </w:rPr>
        <w:t>, and with Shaw</w:t>
      </w:r>
      <w:r>
        <w:rPr>
          <w:rtl w:val="0"/>
        </w:rPr>
        <w:t>’</w:t>
      </w:r>
      <w:r>
        <w:rPr>
          <w:rtl w:val="0"/>
        </w:rPr>
        <w:t>s theodolite readings.</w:t>
      </w:r>
      <w:r>
        <w:rPr>
          <w:rFonts w:ascii="Times New Roman" w:cs="Times New Roman" w:hAnsi="Times New Roman" w:eastAsia="Times New Roman"/>
          <w:b w:val="0"/>
          <w:bCs w:val="0"/>
          <w:i w:val="0"/>
          <w:iCs w:val="0"/>
          <w:vertAlign w:val="superscript"/>
        </w:rPr>
        <w:footnoteReference w:id="193"/>
      </w:r>
      <w:r>
        <w:rPr>
          <w:outline w:val="0"/>
          <w:color w:val="0070c0"/>
          <w:u w:color="0070c0"/>
          <w:rtl w:val="0"/>
          <w:lang w:val="pt-PT"/>
          <w14:textFill>
            <w14:solidFill>
              <w14:srgbClr w14:val="0070C0"/>
            </w14:solidFill>
          </w14:textFill>
        </w:rPr>
        <w:t xml:space="preserve"> </w:t>
      </w:r>
      <w:r>
        <w:rPr>
          <w:rtl w:val="0"/>
        </w:rPr>
        <w:t xml:space="preserve">The research also utilised the </w:t>
      </w:r>
      <w:r>
        <w:rPr>
          <w:rtl w:val="0"/>
        </w:rPr>
        <w:t xml:space="preserve">open-source </w:t>
      </w:r>
      <w:r>
        <w:rPr>
          <w:rtl w:val="0"/>
        </w:rPr>
        <w:t>planetarium software Stellarium (v0.20.1), which enables virtual archaeoastronomy research. Due to its implementation of a long-time model for the precessional motion of the earth</w:t>
      </w:r>
      <w:r>
        <w:rPr>
          <w:rtl w:val="0"/>
        </w:rPr>
        <w:t>’</w:t>
      </w:r>
      <w:r>
        <w:rPr>
          <w:rtl w:val="0"/>
        </w:rPr>
        <w:t>s axis, Stellarium can accurately simulate ancient</w:t>
      </w:r>
      <w:r>
        <w:rPr>
          <w:rtl w:val="0"/>
        </w:rPr>
        <w:t xml:space="preserve"> skyscape</w:t>
      </w:r>
      <w:r>
        <w:rPr>
          <w:rtl w:val="0"/>
        </w:rPr>
        <w:t>s.</w:t>
      </w:r>
      <w:r>
        <w:rPr>
          <w:rFonts w:ascii="Times New Roman" w:cs="Times New Roman" w:hAnsi="Times New Roman" w:eastAsia="Times New Roman"/>
          <w:b w:val="0"/>
          <w:bCs w:val="0"/>
          <w:i w:val="0"/>
          <w:iCs w:val="0"/>
          <w:vertAlign w:val="superscript"/>
        </w:rPr>
        <w:footnoteReference w:id="194"/>
      </w:r>
      <w:r>
        <w:rPr>
          <w:rtl w:val="0"/>
        </w:rPr>
        <w:t xml:space="preserve"> </w:t>
      </w:r>
      <w:r>
        <w:rPr>
          <w:rtl w:val="0"/>
        </w:rPr>
        <w:t xml:space="preserve">The simulation allowed for </w:t>
      </w:r>
      <w:r>
        <w:rPr>
          <w:rtl w:val="0"/>
        </w:rPr>
        <w:t>the</w:t>
      </w:r>
      <w:r>
        <w:rPr>
          <w:rtl w:val="0"/>
        </w:rPr>
        <w:t xml:space="preserve"> visualisation</w:t>
      </w:r>
      <w:r>
        <w:rPr>
          <w:rtl w:val="0"/>
        </w:rPr>
        <w:t xml:space="preserve"> of </w:t>
      </w:r>
      <w:r>
        <w:rPr>
          <w:rtl w:val="0"/>
        </w:rPr>
        <w:t xml:space="preserve">the rising and setting of high magnitude </w:t>
      </w:r>
      <w:r>
        <w:rPr>
          <w:rtl w:val="0"/>
        </w:rPr>
        <w:t>stars</w:t>
      </w:r>
      <w:r>
        <w:rPr>
          <w:rtl w:val="0"/>
        </w:rPr>
        <w:t xml:space="preserve"> at their respective azimuths in </w:t>
      </w:r>
      <w:r>
        <w:rPr>
          <w:rtl w:val="0"/>
          <w:lang w:val="nl-NL"/>
        </w:rPr>
        <w:t>Bronze Age Crete.</w:t>
      </w:r>
      <w:r>
        <w:rPr>
          <w:rtl w:val="0"/>
        </w:rPr>
        <w:t xml:space="preserve"> The Observability Analysis plugin for Stellarium listed the acronychal and heliacal dates for these stars to determine if they were within the timeframe of the navigation season in the Mediterranean.</w:t>
      </w:r>
      <w:r>
        <w:rPr>
          <w:rFonts w:ascii="Times New Roman" w:cs="Times New Roman" w:hAnsi="Times New Roman" w:eastAsia="Times New Roman"/>
          <w:b w:val="0"/>
          <w:bCs w:val="0"/>
          <w:i w:val="0"/>
          <w:iCs w:val="0"/>
          <w:vertAlign w:val="superscript"/>
        </w:rPr>
        <w:footnoteReference w:id="195"/>
      </w:r>
      <w:r>
        <w:rPr>
          <w:rtl w:val="0"/>
          <w:lang w:val="pt-PT"/>
        </w:rPr>
        <w:t xml:space="preserve"> </w:t>
      </w:r>
      <w:r>
        <w:rPr>
          <w:rtl w:val="0"/>
        </w:rPr>
        <w:t>The software OpenCPN estimated the rhumb lines between the candidate destinations.</w:t>
      </w:r>
      <w:r>
        <w:rPr>
          <w:rFonts w:ascii="Times New Roman" w:cs="Times New Roman" w:hAnsi="Times New Roman" w:eastAsia="Times New Roman"/>
          <w:b w:val="0"/>
          <w:bCs w:val="0"/>
          <w:i w:val="0"/>
          <w:iCs w:val="0"/>
          <w:vertAlign w:val="superscript"/>
        </w:rPr>
        <w:footnoteReference w:id="196"/>
      </w:r>
      <w:r>
        <w:rPr>
          <w:rtl w:val="0"/>
        </w:rPr>
        <w:t xml:space="preserve"> The website Planet Calc provided more precise </w:t>
      </w:r>
      <w:r>
        <w:rPr>
          <w:rtl w:val="0"/>
        </w:rPr>
        <w:t>rhumb lines</w:t>
      </w:r>
      <w:r>
        <w:rPr>
          <w:rtl w:val="0"/>
        </w:rPr>
        <w:t xml:space="preserve"> calculations of the corresponding coordinates.</w:t>
      </w:r>
      <w:r>
        <w:rPr>
          <w:rFonts w:ascii="Times New Roman" w:cs="Times New Roman" w:hAnsi="Times New Roman" w:eastAsia="Times New Roman"/>
          <w:b w:val="0"/>
          <w:bCs w:val="0"/>
          <w:i w:val="0"/>
          <w:iCs w:val="0"/>
          <w:vertAlign w:val="superscript"/>
        </w:rPr>
        <w:footnoteReference w:id="197"/>
      </w:r>
      <w:r>
        <w:rPr>
          <w:rtl w:val="0"/>
        </w:rPr>
        <w:t xml:space="preserve"> </w:t>
      </w:r>
    </w:p>
    <w:p>
      <w:pPr>
        <w:pStyle w:val="Heading Reg"/>
      </w:pPr>
      <w:bookmarkStart w:name="_Toc42" w:id="42"/>
      <w:r>
        <w:rPr>
          <w:rFonts w:cs="Arial Unicode MS" w:eastAsia="Arial Unicode MS"/>
          <w:rtl w:val="0"/>
          <w:lang w:val="en-US"/>
        </w:rPr>
        <w:t>Methodology</w:t>
      </w:r>
      <w:bookmarkEnd w:id="42"/>
    </w:p>
    <w:p>
      <w:pPr>
        <w:pStyle w:val="Body A"/>
      </w:pPr>
    </w:p>
    <w:p>
      <w:pPr>
        <w:pStyle w:val="Body A"/>
      </w:pPr>
      <w:r>
        <w:rPr>
          <w:rtl w:val="0"/>
        </w:rPr>
        <w:t>Th</w:t>
      </w:r>
      <w:r>
        <w:rPr>
          <w:rtl w:val="0"/>
        </w:rPr>
        <w:t>e fieldwork initiated</w:t>
      </w:r>
      <w:r>
        <w:rPr>
          <w:rtl w:val="0"/>
        </w:rPr>
        <w:t xml:space="preserve"> in </w:t>
      </w:r>
      <w:r>
        <w:rPr>
          <w:rtl w:val="0"/>
        </w:rPr>
        <w:t xml:space="preserve">October of </w:t>
      </w:r>
      <w:r>
        <w:rPr>
          <w:rtl w:val="0"/>
        </w:rPr>
        <w:t>2020</w:t>
      </w:r>
      <w:r>
        <w:rPr>
          <w:rtl w:val="0"/>
        </w:rPr>
        <w:t>, while</w:t>
      </w:r>
      <w:r>
        <w:rPr>
          <w:rtl w:val="0"/>
        </w:rPr>
        <w:t xml:space="preserve"> </w:t>
      </w:r>
      <w:r>
        <w:rPr>
          <w:rtl w:val="0"/>
        </w:rPr>
        <w:t>s</w:t>
      </w:r>
      <w:r>
        <w:rPr>
          <w:rtl w:val="0"/>
        </w:rPr>
        <w:t xml:space="preserve">ubsequent visits </w:t>
      </w:r>
      <w:r>
        <w:rPr>
          <w:rtl w:val="0"/>
        </w:rPr>
        <w:t>with</w:t>
      </w:r>
      <w:r>
        <w:rPr>
          <w:rtl w:val="0"/>
        </w:rPr>
        <w:t xml:space="preserve"> </w:t>
      </w:r>
      <w:r>
        <w:rPr>
          <w:rtl w:val="0"/>
        </w:rPr>
        <w:t xml:space="preserve">more </w:t>
      </w:r>
      <w:r>
        <w:rPr>
          <w:rtl w:val="0"/>
        </w:rPr>
        <w:t xml:space="preserve">detailed measurements </w:t>
      </w:r>
      <w:r>
        <w:rPr>
          <w:rtl w:val="0"/>
        </w:rPr>
        <w:t>were</w:t>
      </w:r>
      <w:r>
        <w:rPr>
          <w:rtl w:val="0"/>
        </w:rPr>
        <w:t xml:space="preserve"> hampered due to the current global pandemic</w:t>
      </w:r>
      <w:r>
        <w:rPr>
          <w:rtl w:val="0"/>
        </w:rPr>
        <w:t xml:space="preserve">. </w:t>
      </w:r>
      <w:r>
        <w:rPr>
          <w:rtl w:val="0"/>
          <w:lang w:val="pt-PT"/>
        </w:rPr>
        <w:t>I</w:t>
      </w:r>
      <w:r>
        <w:rPr>
          <w:rtl w:val="0"/>
        </w:rPr>
        <w:t>t was determined that all four palaces should be measured</w:t>
      </w:r>
      <w:r>
        <w:rPr>
          <w:rtl w:val="0"/>
        </w:rPr>
        <w:t xml:space="preserve"> i</w:t>
      </w:r>
      <w:r>
        <w:rPr>
          <w:rtl w:val="0"/>
          <w:lang w:val="pt-PT"/>
        </w:rPr>
        <w:t>n order</w:t>
      </w:r>
      <w:r>
        <w:rPr>
          <w:rtl w:val="0"/>
        </w:rPr>
        <w:t xml:space="preserve"> to avoid the pitfall of the dictum </w:t>
      </w:r>
      <w:r>
        <w:rPr>
          <w:rtl w:val="1"/>
          <w:lang w:val="ar-SA" w:bidi="ar-SA"/>
        </w:rPr>
        <w:t>“</w:t>
      </w:r>
      <w:r>
        <w:rPr>
          <w:rtl w:val="0"/>
        </w:rPr>
        <w:t>testis unus, testis nullus</w:t>
      </w:r>
      <w:r>
        <w:rPr>
          <w:rtl w:val="0"/>
        </w:rPr>
        <w:t>”</w:t>
      </w:r>
      <w:r>
        <w:rPr>
          <w:rtl w:val="0"/>
        </w:rPr>
        <w:t xml:space="preserve">, where </w:t>
      </w:r>
      <w:r>
        <w:rPr>
          <w:rtl w:val="1"/>
        </w:rPr>
        <w:t>‘</w:t>
      </w:r>
      <w:r>
        <w:rPr>
          <w:rtl w:val="0"/>
        </w:rPr>
        <w:t>one-off</w:t>
      </w:r>
      <w:r>
        <w:rPr>
          <w:rtl w:val="1"/>
        </w:rPr>
        <w:t xml:space="preserve">’ </w:t>
      </w:r>
      <w:r>
        <w:rPr>
          <w:rtl w:val="0"/>
        </w:rPr>
        <w:t>archaeoastronomical alignments can be persuasive</w:t>
      </w:r>
      <w:r>
        <w:rPr>
          <w:rtl w:val="0"/>
          <w:lang w:val="pt-PT"/>
        </w:rPr>
        <w:t>, and only if a consistent pattern emerged, should the results be satisfactory</w:t>
      </w:r>
      <w:r>
        <w:rPr>
          <w:rtl w:val="0"/>
        </w:rPr>
        <w:t>.</w:t>
      </w:r>
      <w:r>
        <w:rPr>
          <w:rFonts w:ascii="Times New Roman" w:cs="Times New Roman" w:hAnsi="Times New Roman" w:eastAsia="Times New Roman"/>
          <w:b w:val="0"/>
          <w:bCs w:val="0"/>
          <w:i w:val="0"/>
          <w:iCs w:val="0"/>
          <w:vertAlign w:val="superscript"/>
        </w:rPr>
        <w:footnoteReference w:id="198"/>
      </w:r>
      <w:r>
        <w:rPr>
          <w:rtl w:val="0"/>
        </w:rPr>
        <w:t xml:space="preserve"> </w:t>
      </w:r>
      <w:r>
        <w:rPr>
          <w:rtl w:val="0"/>
          <w:lang w:val="pt-PT"/>
        </w:rPr>
        <w:t>As</w:t>
      </w:r>
      <w:r>
        <w:rPr>
          <w:rtl w:val="0"/>
        </w:rPr>
        <w:t xml:space="preserve"> Ruggles argues:</w:t>
      </w:r>
    </w:p>
    <w:p>
      <w:pPr>
        <w:pStyle w:val="Body A"/>
      </w:pPr>
    </w:p>
    <w:p>
      <w:pPr>
        <w:pStyle w:val="Quote"/>
        <w:ind w:left="720"/>
      </w:pPr>
      <w:r>
        <w:rPr>
          <w:rFonts w:cs="Arial Unicode MS" w:eastAsia="Arial Unicode MS"/>
          <w:rtl w:val="0"/>
          <w:lang w:val="en-US"/>
        </w:rPr>
        <w:t>Fortuitous stellar alignments can be fitted to structural orientations with relative ease by the unwary. Nonetheless, cautious approaches taking into account a broader range of cultural evidence, as well as paying due attention to potential methodological pitfalls, have been successful in identifying credible stellar alignments</w:t>
      </w:r>
      <w:r>
        <w:rPr>
          <w:rFonts w:cs="Arial Unicode MS" w:eastAsia="Arial Unicode MS" w:hint="default"/>
          <w:rtl w:val="0"/>
          <w:lang w:val="en-US"/>
        </w:rPr>
        <w:t>—</w:t>
      </w:r>
      <w:r>
        <w:rPr>
          <w:rFonts w:cs="Arial Unicode MS" w:eastAsia="Arial Unicode MS"/>
          <w:rtl w:val="0"/>
          <w:lang w:val="en-US"/>
        </w:rPr>
        <w:t>and constructing plausible assessments of their cultural significance</w:t>
      </w:r>
      <w:r>
        <w:rPr>
          <w:rFonts w:cs="Arial Unicode MS" w:eastAsia="Arial Unicode MS" w:hint="default"/>
          <w:rtl w:val="0"/>
          <w:lang w:val="en-US"/>
        </w:rPr>
        <w:t>—</w:t>
      </w:r>
      <w:r>
        <w:rPr>
          <w:rFonts w:cs="Arial Unicode MS" w:eastAsia="Arial Unicode MS"/>
          <w:rtl w:val="0"/>
          <w:lang w:val="en-US"/>
        </w:rPr>
        <w:t>in a variety of</w:t>
      </w:r>
      <w:r>
        <w:rPr>
          <w:rFonts w:cs="Arial Unicode MS" w:eastAsia="Arial Unicode MS"/>
          <w:rtl w:val="0"/>
          <w:lang w:val="pt-PT"/>
        </w:rPr>
        <w:t xml:space="preserve"> </w:t>
      </w:r>
      <w:r>
        <w:rPr>
          <w:rFonts w:cs="Arial Unicode MS" w:eastAsia="Arial Unicode MS"/>
          <w:rtl w:val="0"/>
        </w:rPr>
        <w:t>circumstances.</w:t>
      </w:r>
      <w:r>
        <w:rPr>
          <w:rFonts w:ascii="Times New Roman" w:cs="Times New Roman" w:hAnsi="Times New Roman" w:eastAsia="Times New Roman"/>
          <w:b w:val="0"/>
          <w:bCs w:val="0"/>
          <w:i w:val="0"/>
          <w:iCs w:val="0"/>
          <w:vertAlign w:val="superscript"/>
        </w:rPr>
        <w:footnoteReference w:id="199"/>
      </w:r>
    </w:p>
    <w:p>
      <w:pPr>
        <w:pStyle w:val="Body A"/>
      </w:pPr>
    </w:p>
    <w:p>
      <w:pPr>
        <w:pStyle w:val="Post QUOTE"/>
      </w:pPr>
      <w:r>
        <w:rPr>
          <w:rtl w:val="0"/>
        </w:rPr>
        <w:t>T</w:t>
      </w:r>
      <w:r>
        <w:rPr>
          <w:rtl w:val="0"/>
          <w:lang w:val="pt-PT"/>
        </w:rPr>
        <w:t xml:space="preserve">he decision was made to </w:t>
      </w:r>
      <w:r>
        <w:rPr>
          <w:rtl w:val="0"/>
        </w:rPr>
        <w:t>visit</w:t>
      </w:r>
      <w:r>
        <w:rPr>
          <w:rtl w:val="0"/>
          <w:lang w:val="pt-PT"/>
        </w:rPr>
        <w:t xml:space="preserve"> all four </w:t>
      </w:r>
      <w:r>
        <w:rPr>
          <w:rtl w:val="0"/>
        </w:rPr>
        <w:t xml:space="preserve">main </w:t>
      </w:r>
      <w:r>
        <w:rPr>
          <w:rtl w:val="0"/>
          <w:lang w:val="pt-PT"/>
        </w:rPr>
        <w:t>Minoan palaces in Crete</w:t>
      </w:r>
      <w:r>
        <w:rPr>
          <w:rtl w:val="0"/>
        </w:rPr>
        <w:t>, while t</w:t>
      </w:r>
      <w:r>
        <w:rPr>
          <w:rtl w:val="0"/>
          <w:lang w:val="pt-PT"/>
        </w:rPr>
        <w:t xml:space="preserve">he supposed fifth </w:t>
      </w:r>
      <w:r>
        <w:rPr>
          <w:rtl w:val="0"/>
        </w:rPr>
        <w:t xml:space="preserve">large </w:t>
      </w:r>
      <w:r>
        <w:rPr>
          <w:rtl w:val="0"/>
          <w:lang w:val="pt-PT"/>
        </w:rPr>
        <w:t>palace of Kydonia, which has not been fully excavated, was not measured.</w:t>
      </w:r>
      <w:r>
        <w:rPr>
          <w:rtl w:val="0"/>
        </w:rPr>
        <w:t xml:space="preserve"> </w:t>
      </w:r>
      <w:r>
        <w:rPr>
          <w:rtl w:val="0"/>
        </w:rPr>
        <w:t xml:space="preserve">The other smaller </w:t>
      </w:r>
      <w:r>
        <w:rPr>
          <w:rtl w:val="1"/>
        </w:rPr>
        <w:t>‘</w:t>
      </w:r>
      <w:r>
        <w:rPr>
          <w:rtl w:val="0"/>
        </w:rPr>
        <w:t>palaces</w:t>
      </w:r>
      <w:r>
        <w:rPr>
          <w:rtl w:val="1"/>
        </w:rPr>
        <w:t xml:space="preserve">’ </w:t>
      </w:r>
      <w:r>
        <w:rPr>
          <w:rtl w:val="0"/>
        </w:rPr>
        <w:t xml:space="preserve">were </w:t>
      </w:r>
      <w:r>
        <w:rPr>
          <w:rtl w:val="0"/>
        </w:rPr>
        <w:t xml:space="preserve">also </w:t>
      </w:r>
      <w:r>
        <w:rPr>
          <w:rtl w:val="0"/>
        </w:rPr>
        <w:t xml:space="preserve">not measured for this research. </w:t>
      </w:r>
    </w:p>
    <w:p>
      <w:pPr>
        <w:pStyle w:val="Body A"/>
      </w:pPr>
      <w:r>
        <w:rPr>
          <w:rtl w:val="0"/>
        </w:rPr>
        <w:t xml:space="preserve">The first visit was phenomenological in nature, since no clear archaeoastronomical objective had been pre-determined. </w:t>
      </w:r>
      <w:r>
        <w:rPr>
          <w:rtl w:val="0"/>
        </w:rPr>
        <w:t xml:space="preserve">Readings were taken of suitable walls </w:t>
      </w:r>
      <w:r>
        <w:rPr>
          <w:rtl w:val="0"/>
        </w:rPr>
        <w:t xml:space="preserve">with straight edges </w:t>
      </w:r>
      <w:r>
        <w:rPr>
          <w:rtl w:val="0"/>
        </w:rPr>
        <w:t>which were deemed to fairly represent the axis of the palace</w:t>
      </w:r>
      <w:r>
        <w:rPr>
          <w:rtl w:val="0"/>
        </w:rPr>
        <w:t>, such as the case with the palace of Knossos (Fig. 15)</w:t>
      </w:r>
      <w:r>
        <w:rPr>
          <w:rtl w:val="0"/>
        </w:rPr>
        <w:t xml:space="preserve">. </w:t>
      </w:r>
      <w:r>
        <w:rPr>
          <w:rtl w:val="0"/>
        </w:rPr>
        <w:t>Therefore, the initial data collection was not focussed on the courtyard axes, which as Shaw defined, were the defining characteristic of the Minoan palaces.</w:t>
      </w:r>
      <w:r>
        <w:rPr>
          <w:rFonts w:ascii="Times New Roman" w:cs="Times New Roman" w:hAnsi="Times New Roman" w:eastAsia="Times New Roman"/>
          <w:b w:val="0"/>
          <w:bCs w:val="0"/>
          <w:i w:val="0"/>
          <w:iCs w:val="0"/>
          <w:vertAlign w:val="superscript"/>
        </w:rPr>
        <w:footnoteReference w:id="200"/>
      </w:r>
      <w:r>
        <w:rPr>
          <w:rtl w:val="0"/>
        </w:rPr>
        <w:t xml:space="preserve"> Such a virtual analysis may be justified since as Ruggles explains, </w:t>
      </w:r>
      <w:r>
        <w:rPr>
          <w:rtl w:val="0"/>
        </w:rPr>
        <w:t>‘</w:t>
      </w:r>
      <w:r>
        <w:rPr>
          <w:rtl w:val="0"/>
        </w:rPr>
        <w:t>In many cases, it may not be necessary to make survey measurements in the field at all, if sufficiently accurate data are retrievable from site plans or maps, although one must beware potential errors</w:t>
      </w:r>
      <w:r>
        <w:rPr>
          <w:rtl w:val="0"/>
        </w:rPr>
        <w:t>…’</w:t>
      </w:r>
      <w:r>
        <w:rPr>
          <w:rFonts w:ascii="Times New Roman" w:cs="Times New Roman" w:hAnsi="Times New Roman" w:eastAsia="Times New Roman"/>
          <w:b w:val="0"/>
          <w:bCs w:val="0"/>
          <w:i w:val="0"/>
          <w:iCs w:val="0"/>
          <w:vertAlign w:val="superscript"/>
        </w:rPr>
        <w:footnoteReference w:id="201"/>
      </w:r>
      <w:r>
        <w:rPr>
          <w:rtl w:val="0"/>
        </w:rPr>
        <w:t xml:space="preserve">  Therefore, du</w:t>
      </w:r>
      <w:r>
        <w:rPr>
          <w:rtl w:val="0"/>
        </w:rPr>
        <w:t>e to travel restrictions, virtual measurements of the courtyards supplement</w:t>
      </w:r>
      <w:r>
        <w:rPr>
          <w:rtl w:val="0"/>
        </w:rPr>
        <w:t>ed</w:t>
      </w:r>
      <w:r>
        <w:rPr>
          <w:rtl w:val="0"/>
        </w:rPr>
        <w:t xml:space="preserve"> the original </w:t>
      </w:r>
      <w:r>
        <w:rPr>
          <w:rtl w:val="0"/>
        </w:rPr>
        <w:t>live fieldwork (Fig 15:B)</w:t>
      </w:r>
      <w:r>
        <w:rPr>
          <w:rtl w:val="0"/>
        </w:rPr>
        <w:t>.</w:t>
      </w:r>
      <w:r>
        <w:rPr>
          <w:rtl w:val="0"/>
        </w:rPr>
        <w:t xml:space="preserve"> </w:t>
      </w:r>
    </w:p>
    <w:p>
      <w:pPr>
        <w:pStyle w:val="Body A"/>
        <w:jc w:val="right"/>
      </w:pPr>
    </w:p>
    <w:p>
      <w:pPr>
        <w:pStyle w:val="Image A"/>
      </w:pPr>
      <w:r>
        <w:drawing xmlns:a="http://schemas.openxmlformats.org/drawingml/2006/main">
          <wp:inline distT="0" distB="0" distL="0" distR="0">
            <wp:extent cx="3803693" cy="3146534"/>
            <wp:effectExtent l="0" t="0" r="0" b="0"/>
            <wp:docPr id="1073741842" name="officeArt object" descr="Image"/>
            <wp:cNvGraphicFramePr/>
            <a:graphic xmlns:a="http://schemas.openxmlformats.org/drawingml/2006/main">
              <a:graphicData uri="http://schemas.openxmlformats.org/drawingml/2006/picture">
                <pic:pic xmlns:pic="http://schemas.openxmlformats.org/drawingml/2006/picture">
                  <pic:nvPicPr>
                    <pic:cNvPr id="1073741842" name="Image" descr="Image"/>
                    <pic:cNvPicPr>
                      <a:picLocks noChangeAspect="1"/>
                    </pic:cNvPicPr>
                  </pic:nvPicPr>
                  <pic:blipFill>
                    <a:blip r:embed="rId21">
                      <a:extLst/>
                    </a:blip>
                    <a:srcRect l="21" t="0" r="21" b="0"/>
                    <a:stretch>
                      <a:fillRect/>
                    </a:stretch>
                  </pic:blipFill>
                  <pic:spPr>
                    <a:xfrm>
                      <a:off x="0" y="0"/>
                      <a:ext cx="3803693" cy="3146534"/>
                    </a:xfrm>
                    <a:prstGeom prst="rect">
                      <a:avLst/>
                    </a:prstGeom>
                    <a:ln w="12700" cap="flat">
                      <a:noFill/>
                      <a:miter lim="400000"/>
                    </a:ln>
                    <a:effectLst/>
                  </pic:spPr>
                </pic:pic>
              </a:graphicData>
            </a:graphic>
          </wp:inline>
        </w:drawing>
      </w:r>
      <w:r>
        <w:drawing xmlns:a="http://schemas.openxmlformats.org/drawingml/2006/main">
          <wp:inline distT="0" distB="0" distL="0" distR="0">
            <wp:extent cx="1214413" cy="518285"/>
            <wp:effectExtent l="0" t="0" r="0" b="0"/>
            <wp:docPr id="1073741843" name="officeArt object" descr="Image"/>
            <wp:cNvGraphicFramePr/>
            <a:graphic xmlns:a="http://schemas.openxmlformats.org/drawingml/2006/main">
              <a:graphicData uri="http://schemas.openxmlformats.org/drawingml/2006/picture">
                <pic:pic xmlns:pic="http://schemas.openxmlformats.org/drawingml/2006/picture">
                  <pic:nvPicPr>
                    <pic:cNvPr id="1073741843" name="Image" descr="Image"/>
                    <pic:cNvPicPr>
                      <a:picLocks noChangeAspect="1"/>
                    </pic:cNvPicPr>
                  </pic:nvPicPr>
                  <pic:blipFill>
                    <a:blip r:embed="rId22">
                      <a:extLst/>
                    </a:blip>
                    <a:stretch>
                      <a:fillRect/>
                    </a:stretch>
                  </pic:blipFill>
                  <pic:spPr>
                    <a:xfrm>
                      <a:off x="0" y="0"/>
                      <a:ext cx="1214413" cy="518285"/>
                    </a:xfrm>
                    <a:prstGeom prst="rect">
                      <a:avLst/>
                    </a:prstGeom>
                    <a:ln w="12700" cap="flat">
                      <a:noFill/>
                      <a:miter lim="400000"/>
                    </a:ln>
                    <a:effectLst/>
                  </pic:spPr>
                </pic:pic>
              </a:graphicData>
            </a:graphic>
          </wp:inline>
        </w:drawing>
      </w:r>
    </w:p>
    <w:p>
      <w:pPr>
        <w:pStyle w:val="Image Caption"/>
        <w:jc w:val="right"/>
      </w:pPr>
    </w:p>
    <w:p>
      <w:pPr>
        <w:pStyle w:val="Image Caption"/>
      </w:pPr>
      <w:bookmarkStart w:name="_Toc43" w:id="43"/>
      <w:r>
        <w:rPr>
          <w:rFonts w:cs="Arial Unicode MS" w:eastAsia="Arial Unicode MS"/>
          <w:b w:val="1"/>
          <w:bCs w:val="1"/>
          <w:rtl w:val="0"/>
          <w:lang w:val="en-US"/>
        </w:rPr>
        <w:t>Fig. 15</w:t>
      </w:r>
      <w:r>
        <w:rPr>
          <w:rFonts w:cs="Arial Unicode MS" w:eastAsia="Arial Unicode MS"/>
          <w:rtl w:val="0"/>
        </w:rPr>
        <w:t xml:space="preserve"> </w:t>
      </w:r>
      <w:r>
        <w:rPr>
          <w:rFonts w:cs="Arial Unicode MS" w:eastAsia="Arial Unicode MS"/>
          <w:rtl w:val="0"/>
          <w:lang w:val="pt-PT"/>
        </w:rPr>
        <w:t xml:space="preserve">Knossos </w:t>
      </w:r>
      <w:r>
        <w:rPr>
          <w:rFonts w:cs="Arial Unicode MS" w:eastAsia="Arial Unicode MS"/>
          <w:rtl w:val="0"/>
        </w:rPr>
        <w:t>m</w:t>
      </w:r>
      <w:r>
        <w:rPr>
          <w:rFonts w:cs="Arial Unicode MS" w:eastAsia="Arial Unicode MS"/>
          <w:rtl w:val="0"/>
          <w:lang w:val="pt-PT"/>
        </w:rPr>
        <w:t xml:space="preserve">easured </w:t>
      </w:r>
      <w:r>
        <w:rPr>
          <w:rFonts w:cs="Arial Unicode MS" w:eastAsia="Arial Unicode MS"/>
          <w:rtl w:val="0"/>
        </w:rPr>
        <w:t>o</w:t>
      </w:r>
      <w:r>
        <w:rPr>
          <w:rFonts w:cs="Arial Unicode MS" w:eastAsia="Arial Unicode MS"/>
          <w:rtl w:val="0"/>
          <w:lang w:val="pt-PT"/>
        </w:rPr>
        <w:t>rientations</w:t>
      </w:r>
      <w:r>
        <w:rPr>
          <w:rFonts w:cs="Arial Unicode MS" w:eastAsia="Arial Unicode MS"/>
          <w:rtl w:val="0"/>
        </w:rPr>
        <w:t xml:space="preserve">. Red arrow indicates </w:t>
      </w:r>
      <w:r>
        <w:rPr>
          <w:rFonts w:cs="Arial Unicode MS" w:eastAsia="Arial Unicode MS"/>
          <w:i w:val="1"/>
          <w:iCs w:val="1"/>
          <w:rtl w:val="0"/>
          <w:lang w:val="en-US"/>
        </w:rPr>
        <w:t>in situ</w:t>
      </w:r>
      <w:r>
        <w:rPr>
          <w:rFonts w:cs="Arial Unicode MS" w:eastAsia="Arial Unicode MS"/>
          <w:rtl w:val="0"/>
        </w:rPr>
        <w:t xml:space="preserve"> measurements, blue arrow indicates virtual measurements.</w:t>
      </w:r>
      <w:bookmarkEnd w:id="43"/>
    </w:p>
    <w:p>
      <w:pPr>
        <w:pStyle w:val="Body A"/>
      </w:pPr>
    </w:p>
    <w:p>
      <w:pPr>
        <w:pStyle w:val="Body A"/>
      </w:pPr>
      <w:r>
        <w:rPr>
          <w:rtl w:val="0"/>
        </w:rPr>
        <w:t>Evans conjectures the western sides of the courtyards appear to include rooms with ceremonial use.</w:t>
      </w:r>
      <w:r>
        <w:rPr>
          <w:rFonts w:ascii="Times New Roman" w:cs="Times New Roman" w:hAnsi="Times New Roman" w:eastAsia="Times New Roman"/>
          <w:b w:val="0"/>
          <w:bCs w:val="0"/>
          <w:i w:val="0"/>
          <w:iCs w:val="0"/>
          <w:vertAlign w:val="superscript"/>
        </w:rPr>
        <w:footnoteReference w:id="202"/>
      </w:r>
      <w:r>
        <w:rPr>
          <w:rtl w:val="0"/>
        </w:rPr>
        <w:t xml:space="preserve"> As previously discussed, Shaw raises the possibility of the importance of natural illumination which would enter the sacred structures of the western fa</w:t>
      </w:r>
      <w:r>
        <w:rPr>
          <w:rtl w:val="0"/>
        </w:rPr>
        <w:t>ç</w:t>
      </w:r>
      <w:r>
        <w:rPr>
          <w:rtl w:val="0"/>
        </w:rPr>
        <w:t>ade of the courtyard.</w:t>
      </w:r>
      <w:r>
        <w:rPr>
          <w:rFonts w:ascii="Times New Roman" w:cs="Times New Roman" w:hAnsi="Times New Roman" w:eastAsia="Times New Roman"/>
          <w:b w:val="0"/>
          <w:bCs w:val="0"/>
          <w:i w:val="0"/>
          <w:iCs w:val="0"/>
          <w:vertAlign w:val="superscript"/>
        </w:rPr>
        <w:footnoteReference w:id="203"/>
      </w:r>
      <w:r>
        <w:rPr>
          <w:rtl w:val="0"/>
        </w:rPr>
        <w:t xml:space="preserve"> Furthermore, the main trading partners of the Minoans lay to the East, therefore, preference was given to the orientations collected on the short east-west axis. When a suitable measurement was only available for the long north-south axis, the value was adjusted by adding or subtracting 90</w:t>
      </w:r>
      <w:r>
        <w:rPr>
          <w:rtl w:val="0"/>
        </w:rPr>
        <w:t>°</w:t>
      </w:r>
      <w:r>
        <w:rPr>
          <w:rtl w:val="0"/>
        </w:rPr>
        <w:t>.</w:t>
      </w:r>
    </w:p>
    <w:p>
      <w:pPr>
        <w:pStyle w:val="Body A"/>
      </w:pPr>
      <w:r>
        <w:rPr>
          <w:rtl w:val="0"/>
          <w:lang w:val="pt-PT"/>
        </w:rPr>
        <w:t xml:space="preserve">The palatial azimuths were then projected outward as a loxodromic curve, to </w:t>
      </w:r>
      <w:r>
        <w:rPr>
          <w:rtl w:val="0"/>
        </w:rPr>
        <w:t>define</w:t>
      </w:r>
      <w:r>
        <w:rPr>
          <w:rtl w:val="0"/>
          <w:lang w:val="pt-PT"/>
        </w:rPr>
        <w:t xml:space="preserve"> </w:t>
      </w:r>
      <w:r>
        <w:rPr>
          <w:rtl w:val="0"/>
        </w:rPr>
        <w:t>potential target</w:t>
      </w:r>
      <w:r>
        <w:rPr>
          <w:rtl w:val="0"/>
          <w:lang w:val="pt-PT"/>
        </w:rPr>
        <w:t xml:space="preserve"> localities.</w:t>
      </w:r>
      <w:r>
        <w:rPr>
          <w:rtl w:val="0"/>
        </w:rPr>
        <w:t xml:space="preserve"> This new method I devised employed the</w:t>
      </w:r>
      <w:r>
        <w:rPr>
          <w:rtl w:val="0"/>
        </w:rPr>
        <w:t xml:space="preserve"> open-source software OpenCPN for plotting navigation routes and rhumb lines between two distant points.</w:t>
      </w:r>
      <w:r>
        <w:rPr>
          <w:rtl w:val="0"/>
        </w:rPr>
        <w:t xml:space="preserve"> Rhumb lines are a constant navigation course, as Cotter writes, </w:t>
      </w:r>
      <w:r>
        <w:rPr>
          <w:rtl w:val="0"/>
        </w:rPr>
        <w:t>‘</w:t>
      </w:r>
      <w:r>
        <w:rPr>
          <w:rtl w:val="0"/>
        </w:rPr>
        <w:t>If a ship sails on a constant course, cutting each meridian at a constant angle she traverses a rhumb line, and that angle is her course</w:t>
      </w:r>
      <w:r>
        <w:rPr>
          <w:rtl w:val="1"/>
        </w:rPr>
        <w:t>’</w:t>
      </w:r>
      <w:r>
        <w:rPr>
          <w:rtl w:val="0"/>
        </w:rPr>
        <w:t>.</w:t>
      </w:r>
      <w:r>
        <w:rPr>
          <w:rFonts w:ascii="Times New Roman" w:cs="Times New Roman" w:hAnsi="Times New Roman" w:eastAsia="Times New Roman"/>
          <w:b w:val="0"/>
          <w:bCs w:val="0"/>
          <w:i w:val="0"/>
          <w:iCs w:val="0"/>
          <w:vertAlign w:val="superscript"/>
        </w:rPr>
        <w:footnoteReference w:id="204"/>
      </w:r>
      <w:r>
        <w:rPr>
          <w:rtl w:val="0"/>
          <w:lang w:val="pt-PT"/>
        </w:rPr>
        <w:t xml:space="preserve"> </w:t>
      </w:r>
      <w:r>
        <w:rPr>
          <w:rtl w:val="0"/>
        </w:rPr>
        <w:t xml:space="preserve">In 1774, </w:t>
      </w:r>
      <w:r>
        <w:rPr>
          <w:rtl w:val="0"/>
          <w:lang w:val="es-ES_tradnl"/>
        </w:rPr>
        <w:t>Andia y Barela</w:t>
      </w:r>
      <w:r>
        <w:rPr>
          <w:rtl w:val="0"/>
        </w:rPr>
        <w:t xml:space="preserve">, who led the Spanish expedition at the time, recorded how native Tahitians used rhumb lines to navigate the ocean: </w:t>
      </w:r>
    </w:p>
    <w:p>
      <w:pPr>
        <w:pStyle w:val="Body A"/>
        <w:rPr>
          <w:u w:val="single"/>
        </w:rPr>
      </w:pPr>
    </w:p>
    <w:p>
      <w:pPr>
        <w:pStyle w:val="Quote"/>
        <w:ind w:left="720"/>
      </w:pPr>
      <w:r>
        <w:rPr>
          <w:rFonts w:cs="Arial Unicode MS" w:eastAsia="Arial Unicode MS"/>
          <w:rtl w:val="0"/>
          <w:lang w:val="en-US"/>
        </w:rPr>
        <w:t>When the night is a clear one they steer by the stars; and this is the easiest navigation for them because these being man [in number], not only do they note by them the bearings on which the several islands with which they are in touch lie, but also the harbors in them, so that they make straight for the entrance by following the rhumb of the particular star that rises or sets over it; and they hit it off with as much precision as the most expert navigator of civilized nations could achieve.</w:t>
      </w:r>
      <w:r>
        <w:rPr>
          <w:rFonts w:ascii="Times New Roman" w:cs="Times New Roman" w:hAnsi="Times New Roman" w:eastAsia="Times New Roman"/>
          <w:b w:val="0"/>
          <w:bCs w:val="0"/>
          <w:i w:val="0"/>
          <w:iCs w:val="0"/>
          <w:vertAlign w:val="superscript"/>
        </w:rPr>
        <w:footnoteReference w:id="205"/>
      </w:r>
    </w:p>
    <w:p>
      <w:pPr>
        <w:pStyle w:val="Body A"/>
      </w:pPr>
    </w:p>
    <w:p>
      <w:pPr>
        <w:pStyle w:val="Post QUOTE"/>
      </w:pPr>
      <w:r>
        <w:rPr>
          <w:rtl w:val="0"/>
        </w:rPr>
        <w:t>Early attempts at finding the azimuths between locations through Google Earth were hindered by the software</w:t>
      </w:r>
      <w:r>
        <w:rPr>
          <w:rtl w:val="0"/>
        </w:rPr>
        <w:t>’</w:t>
      </w:r>
      <w:r>
        <w:rPr>
          <w:rtl w:val="0"/>
        </w:rPr>
        <w:t xml:space="preserve">s use of great circle </w:t>
      </w:r>
      <w:r>
        <w:rPr>
          <w:rtl w:val="0"/>
          <w:lang w:val="pt-PT"/>
        </w:rPr>
        <w:t>(</w:t>
      </w:r>
      <w:r>
        <w:rPr>
          <w:rtl w:val="0"/>
        </w:rPr>
        <w:t>orthodromic distance</w:t>
      </w:r>
      <w:r>
        <w:rPr>
          <w:rtl w:val="0"/>
        </w:rPr>
        <w:t>s</w:t>
      </w:r>
      <w:r>
        <w:rPr>
          <w:rtl w:val="0"/>
          <w:lang w:val="pt-PT"/>
        </w:rPr>
        <w:t>)</w:t>
      </w:r>
      <w:r>
        <w:rPr>
          <w:rtl w:val="0"/>
        </w:rPr>
        <w:t xml:space="preserve"> instead of r</w:t>
      </w:r>
      <w:r>
        <w:rPr>
          <w:rtl w:val="0"/>
          <w:lang w:val="pt-PT"/>
        </w:rPr>
        <w:t>humb</w:t>
      </w:r>
      <w:r>
        <w:rPr>
          <w:rtl w:val="0"/>
        </w:rPr>
        <w:t xml:space="preserve"> </w:t>
      </w:r>
      <w:r>
        <w:rPr>
          <w:rtl w:val="0"/>
        </w:rPr>
        <w:t>line</w:t>
      </w:r>
      <w:r>
        <w:rPr>
          <w:rtl w:val="0"/>
        </w:rPr>
        <w:t>s, also known as l</w:t>
      </w:r>
      <w:r>
        <w:rPr>
          <w:rtl w:val="0"/>
          <w:lang w:val="it-IT"/>
        </w:rPr>
        <w:t>oxodrom</w:t>
      </w:r>
      <w:r>
        <w:rPr>
          <w:rtl w:val="0"/>
        </w:rPr>
        <w:t>ic distances or constant azimuths. While great circle navigation provides the shortest distance between two points on the surface of the sphere, it is mathematically complex and inviable as a method for maintaining course by the stars since it requires the course to be continually adjusted.</w:t>
      </w:r>
      <w:r>
        <w:rPr>
          <w:rFonts w:ascii="Times New Roman" w:cs="Times New Roman" w:hAnsi="Times New Roman" w:eastAsia="Times New Roman"/>
          <w:b w:val="0"/>
          <w:bCs w:val="0"/>
          <w:i w:val="0"/>
          <w:iCs w:val="0"/>
          <w:vertAlign w:val="superscript"/>
        </w:rPr>
        <w:footnoteReference w:id="206"/>
      </w:r>
    </w:p>
    <w:p>
      <w:pPr>
        <w:pStyle w:val="Body A"/>
      </w:pPr>
      <w:r>
        <w:rPr>
          <w:rtl w:val="0"/>
        </w:rPr>
        <w:t xml:space="preserve">To better understand these complex navigational questions, I undertook a two-day sailing course with </w:t>
      </w:r>
      <w:r>
        <w:rPr>
          <w:rtl w:val="0"/>
        </w:rPr>
        <w:t>‘</w:t>
      </w:r>
      <w:r>
        <w:rPr>
          <w:rtl w:val="0"/>
        </w:rPr>
        <w:t>Uncle</w:t>
      </w:r>
      <w:r>
        <w:rPr>
          <w:rtl w:val="0"/>
        </w:rPr>
        <w:t xml:space="preserve">’ </w:t>
      </w:r>
      <w:r>
        <w:rPr>
          <w:rtl w:val="0"/>
        </w:rPr>
        <w:t xml:space="preserve">Spinelli, a well-known navigator and instructor who has traversed </w:t>
      </w:r>
      <w:r>
        <w:rPr>
          <w:rtl w:val="0"/>
          <w:lang w:val="pt-PT"/>
        </w:rPr>
        <w:t xml:space="preserve">the Atlantic </w:t>
      </w:r>
      <w:r>
        <w:rPr>
          <w:rtl w:val="0"/>
        </w:rPr>
        <w:t xml:space="preserve">twice from Brazil to South Africa on his sailboat, </w:t>
      </w:r>
      <w:r>
        <w:rPr>
          <w:rtl w:val="0"/>
        </w:rPr>
        <w:t>‘</w:t>
      </w:r>
      <w:r>
        <w:rPr>
          <w:rtl w:val="0"/>
        </w:rPr>
        <w:t>Soneca</w:t>
      </w:r>
      <w:r>
        <w:rPr>
          <w:rtl w:val="1"/>
        </w:rPr>
        <w:t>’</w:t>
      </w:r>
      <w:r>
        <w:rPr>
          <w:rtl w:val="0"/>
        </w:rPr>
        <w:t xml:space="preserve">, with </w:t>
      </w:r>
      <w:r>
        <w:rPr>
          <w:rtl w:val="0"/>
          <w:lang w:val="pt-PT"/>
        </w:rPr>
        <w:t>scant</w:t>
      </w:r>
      <w:r>
        <w:rPr>
          <w:rtl w:val="0"/>
        </w:rPr>
        <w:t xml:space="preserve"> </w:t>
      </w:r>
      <w:r>
        <w:rPr>
          <w:rtl w:val="0"/>
          <w:lang w:val="pt-PT"/>
        </w:rPr>
        <w:t>usage</w:t>
      </w:r>
      <w:r>
        <w:rPr>
          <w:rtl w:val="0"/>
        </w:rPr>
        <w:t xml:space="preserve"> of electronic equipment. The objective was to gather sailing knowledge from an </w:t>
      </w:r>
      <w:r>
        <w:rPr>
          <w:rtl w:val="0"/>
        </w:rPr>
        <w:t>‘</w:t>
      </w:r>
      <w:r>
        <w:rPr>
          <w:rtl w:val="0"/>
        </w:rPr>
        <w:t>experimental archaeology</w:t>
      </w:r>
      <w:r>
        <w:rPr>
          <w:rtl w:val="0"/>
        </w:rPr>
        <w:t xml:space="preserve">’ </w:t>
      </w:r>
      <w:r>
        <w:rPr>
          <w:rtl w:val="0"/>
        </w:rPr>
        <w:t xml:space="preserve">perspective which might inform me with a practical understanding </w:t>
      </w:r>
      <w:r>
        <w:rPr>
          <w:rtl w:val="0"/>
          <w:lang w:val="pt-PT"/>
        </w:rPr>
        <w:t>and which</w:t>
      </w:r>
      <w:r>
        <w:rPr>
          <w:rtl w:val="0"/>
        </w:rPr>
        <w:t xml:space="preserve"> might be applied to ancient sailing techniques. Although modern sailing boats are markedly different from Minoan sailboats, many of the techniques and concepts remain the same. </w:t>
      </w:r>
      <w:r>
        <w:rPr>
          <w:rtl w:val="0"/>
        </w:rPr>
        <w:t>‘</w:t>
      </w:r>
      <w:r>
        <w:rPr>
          <w:rtl w:val="0"/>
        </w:rPr>
        <w:t>Focus on the route!</w:t>
      </w:r>
      <w:r>
        <w:rPr>
          <w:rtl w:val="0"/>
        </w:rPr>
        <w:t xml:space="preserve">’ </w:t>
      </w:r>
      <w:r>
        <w:rPr>
          <w:rtl w:val="0"/>
        </w:rPr>
        <w:t xml:space="preserve">was </w:t>
      </w:r>
      <w:r>
        <w:rPr>
          <w:rtl w:val="0"/>
          <w:lang w:val="pt-PT"/>
        </w:rPr>
        <w:t xml:space="preserve">the </w:t>
      </w:r>
      <w:r>
        <w:rPr>
          <w:rtl w:val="0"/>
        </w:rPr>
        <w:t xml:space="preserve">oft-heard exclamation from Uncle Spinelli, as it was clear that maintaining a direct course to a distant landmark, seamark or star necessitated skillful navigation. </w:t>
      </w:r>
    </w:p>
    <w:p>
      <w:pPr>
        <w:pStyle w:val="Body A"/>
      </w:pPr>
      <w:r>
        <w:rPr>
          <w:rtl w:val="0"/>
        </w:rPr>
        <w:t xml:space="preserve">Feeling the wind, the currents, observing the sea, steering the rudder, tacking the sails, tying and untying knots endlessly, proved to be a challenging yet satisfying </w:t>
      </w:r>
      <w:r>
        <w:rPr>
          <w:rtl w:val="0"/>
          <w:lang w:val="pt-PT"/>
        </w:rPr>
        <w:t>endeavour</w:t>
      </w:r>
      <w:r>
        <w:rPr>
          <w:rtl w:val="0"/>
        </w:rPr>
        <w:t>. Sleeping aboard the boat was a lesson in rationing food, water, and space. At night, on the deck of the boat, Uncle Spinelli gave a lesson on how he finds the southern celestial pole by measuring the distance with his hands from the Southern Cross, and how that could be used to navigate at night. Significantly, Uncle Spinelli demonstrated the use of the OpenCPN software to me.</w:t>
      </w:r>
    </w:p>
    <w:p>
      <w:pPr>
        <w:pStyle w:val="Body A"/>
      </w:pPr>
      <w:r>
        <w:rPr>
          <w:rtl w:val="0"/>
        </w:rPr>
        <w:t xml:space="preserve">The OpenCPN rhumb lines were then compared to this list of major trading cities on the Eastern Mediterranean. When an approximate match was encountered, the latitude and longitude of the palace and the candidate city were inputed into the website Planet Calc, in order to calculate the specific constant azimuth (rhumb line) between the two locations. </w:t>
      </w:r>
      <w:r>
        <w:rPr>
          <w:rtl w:val="0"/>
        </w:rPr>
        <w:t xml:space="preserve">These were then </w:t>
      </w:r>
      <w:r>
        <w:rPr>
          <w:rtl w:val="0"/>
        </w:rPr>
        <w:t>compared</w:t>
      </w:r>
      <w:r>
        <w:rPr>
          <w:rtl w:val="0"/>
        </w:rPr>
        <w:t xml:space="preserve"> with the </w:t>
      </w:r>
      <w:r>
        <w:rPr>
          <w:rtl w:val="0"/>
        </w:rPr>
        <w:t>azimuthal orientations</w:t>
      </w:r>
      <w:r>
        <w:rPr>
          <w:rtl w:val="0"/>
        </w:rPr>
        <w:t xml:space="preserve"> </w:t>
      </w:r>
      <w:r>
        <w:rPr>
          <w:rtl w:val="0"/>
          <w:lang w:val="pt-PT"/>
        </w:rPr>
        <w:t>of</w:t>
      </w:r>
      <w:r>
        <w:rPr>
          <w:rtl w:val="0"/>
        </w:rPr>
        <w:t xml:space="preserve"> the palaces</w:t>
      </w:r>
      <w:r>
        <w:rPr>
          <w:rtl w:val="0"/>
        </w:rPr>
        <w:t>.</w:t>
      </w:r>
      <w:r>
        <w:rPr>
          <w:rtl w:val="0"/>
          <w:lang w:val="pt-PT"/>
        </w:rPr>
        <w:t>T</w:t>
      </w:r>
      <w:r>
        <w:rPr>
          <w:rtl w:val="0"/>
        </w:rPr>
        <w:t xml:space="preserve">o determine the probable celestial navigation routes, it was noted, </w:t>
      </w:r>
      <w:r>
        <w:rPr>
          <w:rtl w:val="0"/>
        </w:rPr>
        <w:t>through the use of virtual fieldwork</w:t>
      </w:r>
      <w:r>
        <w:rPr>
          <w:rtl w:val="0"/>
        </w:rPr>
        <w:t xml:space="preserve">, whether any particular star path and </w:t>
      </w:r>
      <w:r>
        <w:rPr>
          <w:rtl w:val="0"/>
          <w:lang w:val="pt-PT"/>
        </w:rPr>
        <w:t>palace axis</w:t>
      </w:r>
      <w:r>
        <w:rPr>
          <w:rtl w:val="0"/>
        </w:rPr>
        <w:t xml:space="preserve"> </w:t>
      </w:r>
      <w:r>
        <w:rPr>
          <w:rtl w:val="0"/>
          <w:lang w:val="pt-PT"/>
        </w:rPr>
        <w:t>coincided with a direct</w:t>
      </w:r>
      <w:r>
        <w:rPr>
          <w:rtl w:val="0"/>
        </w:rPr>
        <w:t xml:space="preserve"> route</w:t>
      </w:r>
      <w:r>
        <w:rPr>
          <w:rtl w:val="0"/>
          <w:lang w:val="pt-PT"/>
        </w:rPr>
        <w:t xml:space="preserve"> to a relevant </w:t>
      </w:r>
      <w:r>
        <w:rPr>
          <w:rtl w:val="0"/>
        </w:rPr>
        <w:t>Minoan trading partner (Chart 1). In practice, a single navigational star would not have been used to reach such distant localities. As previously discussed, the Polynesians elected a main guiding star for each star path route.</w:t>
      </w:r>
      <w:r>
        <w:rPr>
          <w:rFonts w:ascii="Times New Roman" w:cs="Times New Roman" w:hAnsi="Times New Roman" w:eastAsia="Times New Roman"/>
          <w:b w:val="0"/>
          <w:bCs w:val="0"/>
          <w:i w:val="0"/>
          <w:iCs w:val="0"/>
          <w:vertAlign w:val="superscript"/>
        </w:rPr>
        <w:footnoteReference w:id="207"/>
      </w:r>
    </w:p>
    <w:p>
      <w:pPr>
        <w:pStyle w:val="Body A"/>
      </w:pPr>
      <w:r>
        <w:rPr>
          <w:rtl w:val="0"/>
        </w:rPr>
        <w:t>Belmonte and Shaltout</w:t>
      </w:r>
      <w:r>
        <w:rPr>
          <w:rtl w:val="1"/>
        </w:rPr>
        <w:t>’</w:t>
      </w:r>
      <w:r>
        <w:rPr>
          <w:rtl w:val="0"/>
        </w:rPr>
        <w:t>s rule of thumb</w:t>
      </w:r>
      <w:r>
        <w:rPr>
          <w:rtl w:val="0"/>
        </w:rPr>
        <w:t xml:space="preserve"> that a star surges to visibility at about the altitude equivalent to its magnitude</w:t>
      </w:r>
      <w:r>
        <w:rPr>
          <w:rtl w:val="0"/>
          <w:lang w:val="pt-PT"/>
        </w:rPr>
        <w:t xml:space="preserve"> was </w:t>
      </w:r>
      <w:r>
        <w:rPr>
          <w:rtl w:val="0"/>
        </w:rPr>
        <w:t>used for rough estimates of the altitude of stars on the horizon</w:t>
      </w:r>
      <w:r>
        <w:rPr>
          <w:rtl w:val="0"/>
        </w:rPr>
        <w:t>.</w:t>
      </w:r>
      <w:r>
        <w:rPr>
          <w:rFonts w:ascii="Times New Roman" w:cs="Times New Roman" w:hAnsi="Times New Roman" w:eastAsia="Times New Roman"/>
          <w:b w:val="0"/>
          <w:bCs w:val="0"/>
          <w:i w:val="0"/>
          <w:iCs w:val="0"/>
          <w:vertAlign w:val="superscript"/>
        </w:rPr>
        <w:footnoteReference w:id="208"/>
      </w:r>
      <w:r>
        <w:rPr>
          <w:rtl w:val="0"/>
        </w:rPr>
        <w:t xml:space="preserve"> </w:t>
      </w:r>
      <w:r>
        <w:rPr>
          <w:rtl w:val="0"/>
          <w:lang w:val="pt-PT"/>
        </w:rPr>
        <w:t>T</w:t>
      </w:r>
      <w:r>
        <w:rPr>
          <w:rtl w:val="0"/>
        </w:rPr>
        <w:t>he extinction co-efficient of 0.25 was used</w:t>
      </w:r>
      <w:r>
        <w:rPr>
          <w:rtl w:val="0"/>
        </w:rPr>
        <w:t xml:space="preserve"> within Stellarium,</w:t>
      </w:r>
      <w:r>
        <w:rPr>
          <w:rtl w:val="0"/>
        </w:rPr>
        <w:t xml:space="preserve"> </w:t>
      </w:r>
      <w:r>
        <w:rPr>
          <w:rtl w:val="0"/>
        </w:rPr>
        <w:t xml:space="preserve">which </w:t>
      </w:r>
      <w:r>
        <w:rPr>
          <w:rtl w:val="0"/>
        </w:rPr>
        <w:t xml:space="preserve">according to Schaefer </w:t>
      </w:r>
      <w:r>
        <w:rPr>
          <w:rtl w:val="0"/>
        </w:rPr>
        <w:t>is the</w:t>
      </w:r>
      <w:r>
        <w:rPr>
          <w:rtl w:val="0"/>
        </w:rPr>
        <w:t xml:space="preserve"> average </w:t>
      </w:r>
      <w:r>
        <w:rPr>
          <w:rtl w:val="0"/>
        </w:rPr>
        <w:t xml:space="preserve">for a </w:t>
      </w:r>
      <w:r>
        <w:rPr>
          <w:rtl w:val="0"/>
        </w:rPr>
        <w:t>night at sea level.</w:t>
      </w:r>
      <w:r>
        <w:rPr>
          <w:rFonts w:ascii="Times New Roman" w:cs="Times New Roman" w:hAnsi="Times New Roman" w:eastAsia="Times New Roman"/>
          <w:b w:val="0"/>
          <w:bCs w:val="0"/>
          <w:i w:val="0"/>
          <w:iCs w:val="0"/>
          <w:vertAlign w:val="superscript"/>
        </w:rPr>
        <w:footnoteReference w:id="209"/>
      </w:r>
      <w:r>
        <w:rPr>
          <w:rtl w:val="0"/>
        </w:rPr>
        <w:t xml:space="preserve"> Both setting and rising stars were considered, since as discussed previously, Polynesian and Micronesian sailors used stars and their reciprocals for navigation.</w:t>
      </w:r>
      <w:r>
        <w:rPr>
          <w:rFonts w:ascii="Times New Roman" w:cs="Times New Roman" w:hAnsi="Times New Roman" w:eastAsia="Times New Roman"/>
          <w:b w:val="0"/>
          <w:bCs w:val="0"/>
          <w:i w:val="0"/>
          <w:iCs w:val="0"/>
          <w:vertAlign w:val="superscript"/>
        </w:rPr>
        <w:footnoteReference w:id="210"/>
      </w:r>
      <w:r>
        <w:rPr>
          <w:rtl w:val="0"/>
        </w:rPr>
        <w:t xml:space="preserve"> When a setting star with a western azimuth was used in accordance with an easterly orientation and rhumb line, the value of the star azimuth was subtracted by 180</w:t>
      </w:r>
      <w:r>
        <w:rPr>
          <w:rtl w:val="0"/>
        </w:rPr>
        <w:t>°</w:t>
      </w:r>
      <w:r>
        <w:rPr>
          <w:rtl w:val="0"/>
        </w:rPr>
        <w:t>.</w:t>
      </w:r>
    </w:p>
    <w:p>
      <w:pPr>
        <w:pStyle w:val="Body A"/>
      </w:pPr>
      <w:r>
        <w:rPr>
          <w:rtl w:val="0"/>
          <w:lang w:val="pt-PT"/>
        </w:rPr>
        <w:t xml:space="preserve">In addition, the matching </w:t>
      </w:r>
      <w:r>
        <w:rPr>
          <w:rtl w:val="0"/>
        </w:rPr>
        <w:t xml:space="preserve">high magnitude </w:t>
      </w:r>
      <w:r>
        <w:rPr>
          <w:rtl w:val="0"/>
          <w:lang w:val="pt-PT"/>
        </w:rPr>
        <w:t xml:space="preserve">stars </w:t>
      </w:r>
      <w:r>
        <w:rPr>
          <w:rtl w:val="0"/>
        </w:rPr>
        <w:t>sh</w:t>
      </w:r>
      <w:r>
        <w:rPr>
          <w:rtl w:val="0"/>
          <w:lang w:val="pt-PT"/>
        </w:rPr>
        <w:t xml:space="preserve">ould </w:t>
      </w:r>
      <w:r>
        <w:rPr>
          <w:rtl w:val="0"/>
        </w:rPr>
        <w:t>have</w:t>
      </w:r>
      <w:r>
        <w:rPr>
          <w:rtl w:val="0"/>
          <w:lang w:val="pt-PT"/>
        </w:rPr>
        <w:t xml:space="preserve"> serv</w:t>
      </w:r>
      <w:r>
        <w:rPr>
          <w:rtl w:val="0"/>
        </w:rPr>
        <w:t xml:space="preserve">ed </w:t>
      </w:r>
      <w:r>
        <w:rPr>
          <w:rtl w:val="0"/>
          <w:lang w:val="pt-PT"/>
        </w:rPr>
        <w:t xml:space="preserve">as adequate navigational stars </w:t>
      </w:r>
      <w:r>
        <w:rPr>
          <w:rtl w:val="0"/>
        </w:rPr>
        <w:t>visible during</w:t>
      </w:r>
      <w:r>
        <w:rPr>
          <w:rtl w:val="0"/>
          <w:lang w:val="pt-PT"/>
        </w:rPr>
        <w:t xml:space="preserve"> the Mediterranean sailing season. To determine the window of possible dates in which a rising</w:t>
      </w:r>
      <w:r>
        <w:rPr>
          <w:rtl w:val="0"/>
        </w:rPr>
        <w:t xml:space="preserve"> or setting</w:t>
      </w:r>
      <w:r>
        <w:rPr>
          <w:rtl w:val="0"/>
          <w:lang w:val="pt-PT"/>
        </w:rPr>
        <w:t xml:space="preserve"> star might have been used to navigate, it was conjectured that this would occur from the time the star had its heliacal rise, until its</w:t>
      </w:r>
      <w:r>
        <w:rPr>
          <w:rtl w:val="0"/>
        </w:rPr>
        <w:t xml:space="preserve"> apparent</w:t>
      </w:r>
      <w:r>
        <w:rPr>
          <w:rtl w:val="0"/>
          <w:lang w:val="pt-PT"/>
        </w:rPr>
        <w:t xml:space="preserve"> acronychal rise</w:t>
      </w:r>
      <w:r>
        <w:rPr>
          <w:rtl w:val="0"/>
        </w:rPr>
        <w:t xml:space="preserve">, which Ruggles defines as when the star </w:t>
      </w:r>
      <w:r>
        <w:rPr>
          <w:rtl w:val="0"/>
        </w:rPr>
        <w:t>‘</w:t>
      </w:r>
      <w:r>
        <w:rPr>
          <w:rtl w:val="0"/>
        </w:rPr>
        <w:t>is seen to rise just as the sky gets sufficiently dark in the evening following sunset</w:t>
      </w:r>
      <w:r>
        <w:rPr>
          <w:rtl w:val="0"/>
        </w:rPr>
        <w:t>’</w:t>
      </w:r>
      <w:r>
        <w:rPr>
          <w:rtl w:val="0"/>
          <w:lang w:val="pt-PT"/>
        </w:rPr>
        <w:t>.</w:t>
      </w:r>
      <w:r>
        <w:rPr>
          <w:rFonts w:ascii="Times New Roman" w:cs="Times New Roman" w:hAnsi="Times New Roman" w:eastAsia="Times New Roman"/>
          <w:b w:val="0"/>
          <w:bCs w:val="0"/>
          <w:i w:val="0"/>
          <w:iCs w:val="0"/>
          <w:vertAlign w:val="superscript"/>
        </w:rPr>
        <w:footnoteReference w:id="211"/>
      </w:r>
      <w:r>
        <w:rPr>
          <w:rtl w:val="0"/>
          <w:lang w:val="pt-PT"/>
        </w:rPr>
        <w:t xml:space="preserve"> Likewise, for the azimuth of a setting star, the timeframe calculated was from its heliacal set</w:t>
      </w:r>
      <w:r>
        <w:rPr>
          <w:rtl w:val="0"/>
        </w:rPr>
        <w:t xml:space="preserve"> (sometimes confusingly termed acronychal set)</w:t>
      </w:r>
      <w:r>
        <w:rPr>
          <w:rtl w:val="0"/>
          <w:lang w:val="pt-PT"/>
        </w:rPr>
        <w:t>.</w:t>
      </w:r>
      <w:r>
        <w:rPr>
          <w:rtl w:val="0"/>
        </w:rPr>
        <w:t xml:space="preserve"> </w:t>
      </w:r>
    </w:p>
    <w:p>
      <w:pPr>
        <w:pStyle w:val="Body A"/>
      </w:pPr>
      <w:r>
        <w:rPr>
          <w:rtl w:val="0"/>
        </w:rPr>
        <w:t>In practicality, Polynesian and Micronesian sailors did not have to be exact to the degree of the azimuth of a star when sailing toward an island. The use of sea marks, water coloration, currents, and especially the presence of birds, indicated the general vicinity of an island to an acceptable margin of error.</w:t>
      </w:r>
      <w:r>
        <w:rPr>
          <w:rtl w:val="0"/>
          <w:lang w:val="pt-PT"/>
        </w:rPr>
        <w:t xml:space="preserve"> </w:t>
      </w:r>
      <w:r>
        <w:rPr>
          <w:rtl w:val="0"/>
        </w:rPr>
        <w:t xml:space="preserve"> For the present study, a level of uncertainty of ~1</w:t>
      </w:r>
      <w:r>
        <w:rPr>
          <w:rtl w:val="0"/>
        </w:rPr>
        <w:t xml:space="preserve">° </w:t>
      </w:r>
      <w:r>
        <w:rPr>
          <w:rtl w:val="0"/>
        </w:rPr>
        <w:t>in the azimuth orientations was deemed acceptable, which is beyond the accuracy necessary for star path steering, since as Kursh suggests, star paths were actually bands, that involved several degrees of declination.</w:t>
      </w:r>
      <w:r>
        <w:rPr>
          <w:rFonts w:ascii="Times New Roman" w:cs="Times New Roman" w:hAnsi="Times New Roman" w:eastAsia="Times New Roman"/>
          <w:b w:val="0"/>
          <w:bCs w:val="0"/>
          <w:i w:val="0"/>
          <w:iCs w:val="0"/>
          <w:vertAlign w:val="superscript"/>
        </w:rPr>
        <w:footnoteReference w:id="212"/>
      </w:r>
    </w:p>
    <w:p>
      <w:pPr>
        <w:pStyle w:val="Body A"/>
      </w:pPr>
      <w:r>
        <w:rPr>
          <w:rtl w:val="0"/>
          <w:lang w:val="pt-PT"/>
        </w:rPr>
        <w:t xml:space="preserve">Finally, if it was determined that there was a recurring pattern of alignment within the </w:t>
      </w:r>
      <w:r>
        <w:rPr>
          <w:rtl w:val="0"/>
          <w:lang w:val="nl-NL"/>
        </w:rPr>
        <w:t>data</w:t>
      </w:r>
      <w:r>
        <w:rPr>
          <w:rtl w:val="0"/>
          <w:lang w:val="pt-PT"/>
        </w:rPr>
        <w:t>-</w:t>
      </w:r>
      <w:r>
        <w:rPr>
          <w:rtl w:val="0"/>
        </w:rPr>
        <w:t xml:space="preserve">set comprising the orientations of the </w:t>
      </w:r>
      <w:r>
        <w:rPr>
          <w:rtl w:val="0"/>
        </w:rPr>
        <w:t>e</w:t>
      </w:r>
      <w:r>
        <w:rPr>
          <w:rtl w:val="0"/>
        </w:rPr>
        <w:t>ast-</w:t>
      </w:r>
      <w:r>
        <w:rPr>
          <w:rtl w:val="0"/>
        </w:rPr>
        <w:t>w</w:t>
      </w:r>
      <w:r>
        <w:rPr>
          <w:rtl w:val="0"/>
        </w:rPr>
        <w:t>est axis of the four known Minoan palaces</w:t>
      </w:r>
      <w:r>
        <w:rPr>
          <w:rtl w:val="0"/>
          <w:lang w:val="pt-PT"/>
        </w:rPr>
        <w:t xml:space="preserve"> with significant star path trade routes to cities that flourished economically within that time period, then a cultural analysis </w:t>
      </w:r>
      <w:r>
        <w:rPr>
          <w:rtl w:val="0"/>
        </w:rPr>
        <w:t>would be</w:t>
      </w:r>
      <w:r>
        <w:rPr>
          <w:rtl w:val="0"/>
          <w:lang w:val="pt-PT"/>
        </w:rPr>
        <w:t xml:space="preserve"> undertaken. </w:t>
      </w:r>
      <w:r>
        <w:rPr>
          <w:rtl w:val="0"/>
        </w:rPr>
        <w:t xml:space="preserve">Although this was not the focus of the present study, a preliminary </w:t>
      </w:r>
      <w:r>
        <w:rPr>
          <w:rtl w:val="0"/>
          <w:lang w:val="pt-PT"/>
        </w:rPr>
        <w:t>‘</w:t>
      </w:r>
      <w:r>
        <w:rPr>
          <w:rtl w:val="0"/>
          <w:lang w:val="pt-PT"/>
        </w:rPr>
        <w:t>thick description</w:t>
      </w:r>
      <w:r>
        <w:rPr>
          <w:rtl w:val="0"/>
          <w:lang w:val="pt-PT"/>
        </w:rPr>
        <w:t xml:space="preserve">’ </w:t>
      </w:r>
      <w:r>
        <w:rPr>
          <w:rtl w:val="0"/>
        </w:rPr>
        <w:t xml:space="preserve">could be established </w:t>
      </w:r>
      <w:r>
        <w:rPr>
          <w:rtl w:val="0"/>
          <w:lang w:val="pt-PT"/>
        </w:rPr>
        <w:t xml:space="preserve">of </w:t>
      </w:r>
      <w:r>
        <w:rPr>
          <w:rtl w:val="0"/>
        </w:rPr>
        <w:t xml:space="preserve">possibly </w:t>
      </w:r>
      <w:r>
        <w:rPr>
          <w:rtl w:val="0"/>
          <w:lang w:val="fr-FR"/>
        </w:rPr>
        <w:t xml:space="preserve">relevant </w:t>
      </w:r>
      <w:r>
        <w:rPr>
          <w:rtl w:val="0"/>
          <w:lang w:val="pt-PT"/>
        </w:rPr>
        <w:t xml:space="preserve">star </w:t>
      </w:r>
      <w:r>
        <w:rPr>
          <w:rtl w:val="0"/>
        </w:rPr>
        <w:t>myth</w:t>
      </w:r>
      <w:r>
        <w:rPr>
          <w:rtl w:val="0"/>
          <w:lang w:val="pt-PT"/>
        </w:rPr>
        <w:t>s</w:t>
      </w:r>
      <w:r>
        <w:rPr>
          <w:rtl w:val="0"/>
        </w:rPr>
        <w:t xml:space="preserve"> and historical </w:t>
      </w:r>
      <w:r>
        <w:rPr>
          <w:rtl w:val="0"/>
          <w:lang w:val="pt-PT"/>
        </w:rPr>
        <w:t>records and traditions which may have preserved memory of these hypothetical star path trade routes.</w:t>
      </w:r>
      <w:r>
        <w:rPr>
          <w:rtl w:val="0"/>
        </w:rPr>
        <w:t xml:space="preserve"> </w:t>
      </w:r>
      <w:r>
        <w:rPr>
          <w:rtl w:val="0"/>
        </w:rPr>
        <w:t>The precession of the relevant star paths was taken into account and will be dealt with later.</w:t>
      </w:r>
      <w:r>
        <w:rPr>
          <w:rFonts w:ascii="Arial Unicode MS" w:cs="Arial Unicode MS" w:hAnsi="Arial Unicode MS" w:eastAsia="Arial Unicode MS"/>
          <w:b w:val="0"/>
          <w:bCs w:val="0"/>
          <w:i w:val="0"/>
          <w:iCs w:val="0"/>
        </w:rPr>
        <w:br w:type="page"/>
      </w:r>
    </w:p>
    <w:p>
      <w:pPr>
        <w:pStyle w:val="Heading"/>
        <w:bidi w:val="0"/>
      </w:pPr>
      <w:bookmarkStart w:name="_Toc44" w:id="44"/>
      <w:r>
        <w:rPr>
          <w:rFonts w:cs="Arial Unicode MS" w:eastAsia="Arial Unicode MS"/>
          <w:rtl w:val="0"/>
          <w:lang w:val="en-US"/>
        </w:rPr>
        <w:t>Discussion</w:t>
      </w:r>
      <w:bookmarkEnd w:id="44"/>
    </w:p>
    <w:p>
      <w:pPr>
        <w:pStyle w:val="Default"/>
        <w:bidi w:val="0"/>
        <w:spacing w:before="0" w:line="360" w:lineRule="auto"/>
        <w:ind w:left="0" w:right="0" w:firstLine="540"/>
        <w:jc w:val="left"/>
        <w:rPr>
          <w:rFonts w:ascii="Times New Roman" w:cs="Times New Roman" w:hAnsi="Times New Roman" w:eastAsia="Times New Roman"/>
          <w:b w:val="1"/>
          <w:bCs w:val="1"/>
          <w:u w:color="000000"/>
          <w:rtl w:val="0"/>
          <w14:textOutline w14:w="12700" w14:cap="flat">
            <w14:noFill/>
            <w14:miter w14:lim="400000"/>
          </w14:textOutline>
        </w:rPr>
      </w:pPr>
    </w:p>
    <w:p>
      <w:pPr>
        <w:pStyle w:val="Body A"/>
      </w:pPr>
      <w:r>
        <w:rPr>
          <w:rtl w:val="0"/>
        </w:rPr>
        <w:t>The live fieldwork (LF) readings for Phaistos and Malia fall within the 1/3</w:t>
      </w:r>
      <w:r>
        <w:rPr>
          <w:rtl w:val="0"/>
          <w:lang w:val="it-IT"/>
        </w:rPr>
        <w:t xml:space="preserve">° </w:t>
      </w:r>
      <w:r>
        <w:rPr>
          <w:rtl w:val="0"/>
        </w:rPr>
        <w:t>level of uncertainty compared to Shaw</w:t>
      </w:r>
      <w:r>
        <w:rPr>
          <w:rtl w:val="1"/>
        </w:rPr>
        <w:t>’</w:t>
      </w:r>
      <w:r>
        <w:rPr>
          <w:rtl w:val="0"/>
        </w:rPr>
        <w:t xml:space="preserve">s theodolite readings (Table 1). The measurement for Knossos is </w:t>
      </w:r>
      <w:r>
        <w:rPr>
          <w:rtl w:val="0"/>
        </w:rPr>
        <w:t>+</w:t>
      </w:r>
      <w:r>
        <w:rPr>
          <w:rtl w:val="0"/>
        </w:rPr>
        <w:t>2/3</w:t>
      </w:r>
      <w:r>
        <w:rPr>
          <w:rtl w:val="0"/>
          <w:lang w:val="it-IT"/>
        </w:rPr>
        <w:t xml:space="preserve">° </w:t>
      </w:r>
      <w:r>
        <w:rPr>
          <w:rtl w:val="0"/>
        </w:rPr>
        <w:t>from Shaw</w:t>
      </w:r>
      <w:r>
        <w:rPr>
          <w:rtl w:val="1"/>
        </w:rPr>
        <w:t>’</w:t>
      </w:r>
      <w:r>
        <w:rPr>
          <w:rtl w:val="0"/>
        </w:rPr>
        <w:t xml:space="preserve">s </w:t>
      </w:r>
      <w:r>
        <w:rPr>
          <w:rtl w:val="0"/>
        </w:rPr>
        <w:t>reading</w:t>
      </w:r>
      <w:r>
        <w:rPr>
          <w:rtl w:val="0"/>
        </w:rPr>
        <w:t xml:space="preserve">, </w:t>
      </w:r>
      <w:r>
        <w:rPr>
          <w:rtl w:val="0"/>
        </w:rPr>
        <w:t>which may</w:t>
      </w:r>
      <w:r>
        <w:rPr>
          <w:rtl w:val="0"/>
        </w:rPr>
        <w:t xml:space="preserve"> be </w:t>
      </w:r>
      <w:r>
        <w:rPr>
          <w:rtl w:val="0"/>
        </w:rPr>
        <w:t>comprehensible</w:t>
      </w:r>
      <w:r>
        <w:rPr>
          <w:rtl w:val="0"/>
        </w:rPr>
        <w:t xml:space="preserve"> given that the measurement </w:t>
      </w:r>
      <w:r>
        <w:rPr>
          <w:rtl w:val="0"/>
        </w:rPr>
        <w:t>was</w:t>
      </w:r>
      <w:r>
        <w:rPr>
          <w:rtl w:val="0"/>
        </w:rPr>
        <w:t xml:space="preserve"> not taken directly from the courtyard but from an adjacent building that provided a more easily measurable surface</w:t>
      </w:r>
      <w:r>
        <w:rPr>
          <w:rtl w:val="0"/>
        </w:rPr>
        <w:t xml:space="preserve"> as discussed in the methodology (Fig.15:A)</w:t>
      </w:r>
      <w:r>
        <w:rPr>
          <w:rtl w:val="0"/>
        </w:rPr>
        <w:t xml:space="preserve">. A future visit with more detailed measurements should improve the </w:t>
      </w:r>
      <w:r>
        <w:rPr>
          <w:rtl w:val="0"/>
        </w:rPr>
        <w:t>level of accuracy</w:t>
      </w:r>
      <w:r>
        <w:rPr>
          <w:rtl w:val="0"/>
        </w:rPr>
        <w:t>. No satisfactory live fieldwork readings were taken for the Zakros courtyard nor the western side of the Phaistos courtyard, which included an older axis</w:t>
      </w:r>
      <w:r>
        <w:rPr>
          <w:rtl w:val="0"/>
        </w:rPr>
        <w:t>.</w:t>
      </w:r>
      <w:r>
        <w:rPr>
          <w:rtl w:val="0"/>
        </w:rPr>
        <w:t xml:space="preserve"> </w:t>
      </w:r>
      <w:r>
        <w:rPr>
          <w:rtl w:val="0"/>
        </w:rPr>
        <w:t>T</w:t>
      </w:r>
      <w:r>
        <w:rPr>
          <w:rtl w:val="0"/>
        </w:rPr>
        <w:t>herefore</w:t>
      </w:r>
      <w:r>
        <w:rPr>
          <w:rtl w:val="0"/>
        </w:rPr>
        <w:t>,</w:t>
      </w:r>
      <w:r>
        <w:rPr>
          <w:rtl w:val="0"/>
        </w:rPr>
        <w:t xml:space="preserve"> these were supplemented with virtual measurements (VF). </w:t>
      </w:r>
    </w:p>
    <w:p>
      <w:pPr>
        <w:pStyle w:val="Body A"/>
      </w:pPr>
    </w:p>
    <w:tbl>
      <w:tblPr>
        <w:tblW w:w="9356"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270"/>
        <w:gridCol w:w="1866"/>
        <w:gridCol w:w="1740"/>
        <w:gridCol w:w="1740"/>
        <w:gridCol w:w="1740"/>
      </w:tblGrid>
      <w:tr>
        <w:tblPrEx>
          <w:shd w:val="clear" w:color="auto" w:fill="bdc0bf"/>
        </w:tblPrEx>
        <w:trPr>
          <w:trHeight w:val="246" w:hRule="atLeast"/>
          <w:tblHeader/>
        </w:trPr>
        <w:tc>
          <w:tcPr>
            <w:tcW w:type="dxa" w:w="2270"/>
            <w:tcBorders>
              <w:top w:val="nil"/>
              <w:left w:val="nil"/>
              <w:bottom w:val="single" w:color="000000" w:sz="6" w:space="0" w:shadow="0" w:frame="0"/>
              <w:right w:val="single" w:color="000000" w:sz="2" w:space="0" w:shadow="0" w:frame="0"/>
            </w:tcBorders>
            <w:shd w:val="clear" w:color="auto" w:fill="auto"/>
            <w:tcMar>
              <w:top w:type="dxa" w:w="80"/>
              <w:left w:type="dxa" w:w="80"/>
              <w:bottom w:type="dxa" w:w="80"/>
              <w:right w:type="dxa" w:w="80"/>
            </w:tcMar>
            <w:vAlign w:val="bottom"/>
          </w:tcPr>
          <w:p>
            <w:pPr>
              <w:pStyle w:val="Table Style 1"/>
            </w:pPr>
            <w:r>
              <w:rPr>
                <w:rFonts w:ascii="Times New Roman" w:hAnsi="Times New Roman"/>
                <w:sz w:val="18"/>
                <w:szCs w:val="18"/>
                <w:rtl w:val="0"/>
              </w:rPr>
              <w:t>Palace</w:t>
            </w:r>
          </w:p>
        </w:tc>
        <w:tc>
          <w:tcPr>
            <w:tcW w:type="dxa" w:w="1866"/>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bottom"/>
          </w:tcPr>
          <w:p>
            <w:pPr>
              <w:pStyle w:val="Table Style 1"/>
              <w:jc w:val="center"/>
            </w:pPr>
            <w:r>
              <w:rPr>
                <w:rFonts w:ascii="Times New Roman" w:hAnsi="Times New Roman"/>
                <w:sz w:val="18"/>
                <w:szCs w:val="18"/>
                <w:rtl w:val="0"/>
              </w:rPr>
              <w:t>LF</w:t>
            </w:r>
          </w:p>
        </w:tc>
        <w:tc>
          <w:tcPr>
            <w:tcW w:type="dxa" w:w="1739"/>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bottom"/>
          </w:tcPr>
          <w:p>
            <w:pPr>
              <w:pStyle w:val="Table Style 2"/>
              <w:jc w:val="center"/>
            </w:pPr>
            <w:r>
              <w:rPr>
                <w:rFonts w:ascii="Times New Roman" w:hAnsi="Times New Roman"/>
                <w:b w:val="1"/>
                <w:bCs w:val="1"/>
                <w:sz w:val="18"/>
                <w:szCs w:val="18"/>
                <w:rtl w:val="0"/>
              </w:rPr>
              <w:t>VF</w:t>
            </w:r>
          </w:p>
        </w:tc>
        <w:tc>
          <w:tcPr>
            <w:tcW w:type="dxa" w:w="1739"/>
            <w:tcBorders>
              <w:top w:val="nil"/>
              <w:left w:val="single" w:color="000000" w:sz="2" w:space="0" w:shadow="0" w:frame="0"/>
              <w:bottom w:val="single" w:color="000000" w:sz="6" w:space="0" w:shadow="0" w:frame="0"/>
              <w:right w:val="single" w:color="000000" w:sz="2" w:space="0" w:shadow="0" w:frame="0"/>
            </w:tcBorders>
            <w:shd w:val="clear" w:color="auto" w:fill="auto"/>
            <w:tcMar>
              <w:top w:type="dxa" w:w="80"/>
              <w:left w:type="dxa" w:w="80"/>
              <w:bottom w:type="dxa" w:w="80"/>
              <w:right w:type="dxa" w:w="80"/>
            </w:tcMar>
            <w:vAlign w:val="bottom"/>
          </w:tcPr>
          <w:p>
            <w:pPr>
              <w:pStyle w:val="Table Style 2"/>
              <w:jc w:val="center"/>
            </w:pPr>
            <w:r>
              <w:rPr>
                <w:rFonts w:ascii="Times New Roman" w:hAnsi="Times New Roman"/>
                <w:b w:val="1"/>
                <w:bCs w:val="1"/>
                <w:sz w:val="18"/>
                <w:szCs w:val="18"/>
                <w:rtl w:val="0"/>
              </w:rPr>
              <w:t>Theodolite (Shaw)</w:t>
            </w:r>
          </w:p>
        </w:tc>
        <w:tc>
          <w:tcPr>
            <w:tcW w:type="dxa" w:w="1739"/>
            <w:tcBorders>
              <w:top w:val="nil"/>
              <w:left w:val="single" w:color="000000" w:sz="2" w:space="0" w:shadow="0" w:frame="0"/>
              <w:bottom w:val="single" w:color="000000" w:sz="6" w:space="0" w:shadow="0" w:frame="0"/>
              <w:right w:val="nil"/>
            </w:tcBorders>
            <w:shd w:val="clear" w:color="auto" w:fill="auto"/>
            <w:tcMar>
              <w:top w:type="dxa" w:w="80"/>
              <w:left w:type="dxa" w:w="80"/>
              <w:bottom w:type="dxa" w:w="80"/>
              <w:right w:type="dxa" w:w="80"/>
            </w:tcMar>
            <w:vAlign w:val="bottom"/>
          </w:tcPr>
          <w:p>
            <w:pPr>
              <w:pStyle w:val="Table Style 2"/>
              <w:jc w:val="center"/>
            </w:pPr>
            <w:r>
              <w:rPr>
                <w:rFonts w:ascii="Times New Roman" w:hAnsi="Times New Roman"/>
                <w:b w:val="1"/>
                <w:bCs w:val="1"/>
                <w:sz w:val="18"/>
                <w:szCs w:val="18"/>
                <w:rtl w:val="0"/>
              </w:rPr>
              <w:t>Difference</w:t>
            </w:r>
          </w:p>
        </w:tc>
      </w:tr>
      <w:tr>
        <w:tblPrEx>
          <w:shd w:val="clear" w:color="auto" w:fill="auto"/>
        </w:tblPrEx>
        <w:trPr>
          <w:trHeight w:val="246" w:hRule="atLeast"/>
        </w:trPr>
        <w:tc>
          <w:tcPr>
            <w:tcW w:type="dxa" w:w="2270"/>
            <w:tcBorders>
              <w:top w:val="single" w:color="000000" w:sz="6" w:space="0" w:shadow="0" w:frame="0"/>
              <w:left w:val="nil"/>
              <w:bottom w:val="nil"/>
              <w:right w:val="single" w:color="000000" w:sz="6"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b w:val="1"/>
                <w:bCs w:val="1"/>
                <w:sz w:val="18"/>
                <w:szCs w:val="18"/>
                <w:rtl w:val="0"/>
                <w:lang w:val="pt-PT"/>
              </w:rPr>
              <w:t>Knossos Courtyard Axis</w:t>
            </w:r>
          </w:p>
        </w:tc>
        <w:tc>
          <w:tcPr>
            <w:tcW w:type="dxa" w:w="1866"/>
            <w:tcBorders>
              <w:top w:val="single" w:color="000000" w:sz="6" w:space="0" w:shadow="0" w:frame="0"/>
              <w:left w:val="single" w:color="000000" w:sz="6"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hAnsi="Times New Roman"/>
                <w:sz w:val="18"/>
                <w:szCs w:val="18"/>
                <w:rtl w:val="0"/>
              </w:rPr>
              <w:t>101.03</w:t>
            </w:r>
            <w:r>
              <w:rPr>
                <w:rFonts w:ascii="Times New Roman" w:hAnsi="Times New Roman" w:hint="default"/>
                <w:sz w:val="18"/>
                <w:szCs w:val="18"/>
                <w:rtl w:val="0"/>
              </w:rPr>
              <w:t>°</w:t>
            </w:r>
          </w:p>
        </w:tc>
        <w:tc>
          <w:tcPr>
            <w:tcW w:type="dxa" w:w="1739"/>
            <w:tcBorders>
              <w:top w:val="single" w:color="000000" w:sz="6"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tc>
        <w:tc>
          <w:tcPr>
            <w:tcW w:type="dxa" w:w="1739"/>
            <w:tcBorders>
              <w:top w:val="single" w:color="000000" w:sz="6"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hAnsi="Times New Roman"/>
                <w:sz w:val="18"/>
                <w:szCs w:val="18"/>
                <w:rtl w:val="0"/>
              </w:rPr>
              <w:t>101.6189</w:t>
            </w:r>
            <w:r>
              <w:rPr>
                <w:rFonts w:ascii="Times New Roman" w:hAnsi="Times New Roman" w:hint="default"/>
                <w:sz w:val="18"/>
                <w:szCs w:val="18"/>
                <w:rtl w:val="0"/>
              </w:rPr>
              <w:t>°</w:t>
            </w:r>
          </w:p>
        </w:tc>
        <w:tc>
          <w:tcPr>
            <w:tcW w:type="dxa" w:w="1739"/>
            <w:tcBorders>
              <w:top w:val="single" w:color="000000" w:sz="6" w:space="0" w:shadow="0" w:frame="0"/>
              <w:left w:val="single" w:color="000000" w:sz="2" w:space="0" w:shadow="0" w:frame="0"/>
              <w:bottom w:val="nil"/>
              <w:right w:val="nil"/>
            </w:tcBorders>
            <w:shd w:val="clear" w:color="auto" w:fill="auto"/>
            <w:tcMar>
              <w:top w:type="dxa" w:w="80"/>
              <w:left w:type="dxa" w:w="80"/>
              <w:bottom w:type="dxa" w:w="80"/>
              <w:right w:type="dxa" w:w="80"/>
            </w:tcMar>
            <w:vAlign w:val="top"/>
          </w:tcPr>
          <w:p>
            <w:pPr>
              <w:pStyle w:val="Table Style 2"/>
              <w:jc w:val="center"/>
            </w:pPr>
            <w:r>
              <w:rPr>
                <w:rFonts w:ascii="Times New Roman" w:hAnsi="Times New Roman"/>
                <w:sz w:val="18"/>
                <w:szCs w:val="18"/>
                <w:rtl w:val="0"/>
              </w:rPr>
              <w:t>0.5889</w:t>
            </w:r>
            <w:r>
              <w:rPr>
                <w:rFonts w:ascii="Times New Roman" w:hAnsi="Times New Roman" w:hint="default"/>
                <w:sz w:val="18"/>
                <w:szCs w:val="18"/>
                <w:rtl w:val="0"/>
              </w:rPr>
              <w:t>°</w:t>
            </w:r>
          </w:p>
        </w:tc>
      </w:tr>
      <w:tr>
        <w:tblPrEx>
          <w:shd w:val="clear" w:color="auto" w:fill="auto"/>
        </w:tblPrEx>
        <w:trPr>
          <w:trHeight w:val="239" w:hRule="atLeast"/>
        </w:trPr>
        <w:tc>
          <w:tcPr>
            <w:tcW w:type="dxa" w:w="2270"/>
            <w:tcBorders>
              <w:top w:val="nil"/>
              <w:left w:val="nil"/>
              <w:bottom w:val="nil"/>
              <w:right w:val="single" w:color="000000" w:sz="6" w:space="0" w:shadow="0" w:frame="0"/>
            </w:tcBorders>
            <w:shd w:val="clear" w:color="auto" w:fill="auto"/>
            <w:tcMar>
              <w:top w:type="dxa" w:w="80"/>
              <w:left w:type="dxa" w:w="80"/>
              <w:bottom w:type="dxa" w:w="80"/>
              <w:right w:type="dxa" w:w="80"/>
            </w:tcMar>
            <w:vAlign w:val="top"/>
          </w:tcPr>
          <w:p>
            <w:pPr>
              <w:pStyle w:val="Table Style 1"/>
            </w:pPr>
            <w:r>
              <w:rPr>
                <w:rFonts w:ascii="Times New Roman" w:hAnsi="Times New Roman"/>
                <w:sz w:val="18"/>
                <w:szCs w:val="18"/>
                <w:rtl w:val="0"/>
              </w:rPr>
              <w:t>Phaistos Courtyard Axis</w:t>
            </w:r>
          </w:p>
        </w:tc>
        <w:tc>
          <w:tcPr>
            <w:tcW w:type="dxa" w:w="1866"/>
            <w:tcBorders>
              <w:top w:val="nil"/>
              <w:left w:val="single" w:color="000000" w:sz="6"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hAnsi="Times New Roman"/>
                <w:sz w:val="18"/>
                <w:szCs w:val="18"/>
                <w:rtl w:val="0"/>
              </w:rPr>
              <w:t>92.9833</w:t>
            </w:r>
            <w:r>
              <w:rPr>
                <w:rFonts w:ascii="Times New Roman" w:hAnsi="Times New Roman" w:hint="default"/>
                <w:sz w:val="18"/>
                <w:szCs w:val="18"/>
                <w:rtl w:val="0"/>
              </w:rPr>
              <w:t>°</w:t>
            </w:r>
          </w:p>
        </w:tc>
        <w:tc>
          <w:tcPr>
            <w:tcW w:type="dxa" w:w="1739"/>
            <w:tcBorders>
              <w:top w:val="nil"/>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tc>
        <w:tc>
          <w:tcPr>
            <w:tcW w:type="dxa" w:w="1739"/>
            <w:tcBorders>
              <w:top w:val="nil"/>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hAnsi="Times New Roman"/>
                <w:sz w:val="18"/>
                <w:szCs w:val="18"/>
                <w:rtl w:val="0"/>
              </w:rPr>
              <w:t>92.59389</w:t>
            </w:r>
            <w:r>
              <w:rPr>
                <w:rFonts w:ascii="Times New Roman" w:hAnsi="Times New Roman" w:hint="default"/>
                <w:sz w:val="18"/>
                <w:szCs w:val="18"/>
                <w:rtl w:val="0"/>
              </w:rPr>
              <w:t>°</w:t>
            </w:r>
          </w:p>
        </w:tc>
        <w:tc>
          <w:tcPr>
            <w:tcW w:type="dxa" w:w="1739"/>
            <w:tcBorders>
              <w:top w:val="nil"/>
              <w:left w:val="single" w:color="000000" w:sz="2" w:space="0" w:shadow="0" w:frame="0"/>
              <w:bottom w:val="nil"/>
              <w:right w:val="nil"/>
            </w:tcBorders>
            <w:shd w:val="clear" w:color="auto" w:fill="auto"/>
            <w:tcMar>
              <w:top w:type="dxa" w:w="80"/>
              <w:left w:type="dxa" w:w="80"/>
              <w:bottom w:type="dxa" w:w="80"/>
              <w:right w:type="dxa" w:w="80"/>
            </w:tcMar>
            <w:vAlign w:val="top"/>
          </w:tcPr>
          <w:p>
            <w:pPr>
              <w:pStyle w:val="Table Style 2"/>
              <w:jc w:val="center"/>
            </w:pPr>
            <w:r>
              <w:rPr>
                <w:rFonts w:ascii="Times New Roman" w:hAnsi="Times New Roman"/>
                <w:sz w:val="18"/>
                <w:szCs w:val="18"/>
                <w:rtl w:val="0"/>
              </w:rPr>
              <w:t>0.38941</w:t>
            </w:r>
            <w:r>
              <w:rPr>
                <w:rFonts w:ascii="Times New Roman" w:hAnsi="Times New Roman" w:hint="default"/>
                <w:sz w:val="18"/>
                <w:szCs w:val="18"/>
                <w:rtl w:val="0"/>
              </w:rPr>
              <w:t>°</w:t>
            </w:r>
          </w:p>
        </w:tc>
      </w:tr>
      <w:tr>
        <w:tblPrEx>
          <w:shd w:val="clear" w:color="auto" w:fill="auto"/>
        </w:tblPrEx>
        <w:trPr>
          <w:trHeight w:val="239" w:hRule="atLeast"/>
        </w:trPr>
        <w:tc>
          <w:tcPr>
            <w:tcW w:type="dxa" w:w="2270"/>
            <w:tcBorders>
              <w:top w:val="nil"/>
              <w:left w:val="nil"/>
              <w:bottom w:val="nil"/>
              <w:right w:val="single" w:color="000000" w:sz="6" w:space="0" w:shadow="0" w:frame="0"/>
            </w:tcBorders>
            <w:shd w:val="clear" w:color="auto" w:fill="auto"/>
            <w:tcMar>
              <w:top w:type="dxa" w:w="80"/>
              <w:left w:type="dxa" w:w="80"/>
              <w:bottom w:type="dxa" w:w="80"/>
              <w:right w:type="dxa" w:w="80"/>
            </w:tcMar>
            <w:vAlign w:val="top"/>
          </w:tcPr>
          <w:p>
            <w:pPr>
              <w:pStyle w:val="Table Style 1"/>
            </w:pPr>
            <w:r>
              <w:rPr>
                <w:rFonts w:ascii="Times New Roman" w:hAnsi="Times New Roman"/>
                <w:sz w:val="18"/>
                <w:szCs w:val="18"/>
                <w:rtl w:val="0"/>
              </w:rPr>
              <w:t>Phaistos Old Palace Axis</w:t>
            </w:r>
          </w:p>
        </w:tc>
        <w:tc>
          <w:tcPr>
            <w:tcW w:type="dxa" w:w="1866"/>
            <w:tcBorders>
              <w:top w:val="nil"/>
              <w:left w:val="single" w:color="000000" w:sz="6" w:space="0" w:shadow="0" w:frame="0"/>
              <w:bottom w:val="nil"/>
              <w:right w:val="single" w:color="000000" w:sz="2" w:space="0" w:shadow="0" w:frame="0"/>
            </w:tcBorders>
            <w:shd w:val="clear" w:color="auto" w:fill="auto"/>
            <w:tcMar>
              <w:top w:type="dxa" w:w="80"/>
              <w:left w:type="dxa" w:w="80"/>
              <w:bottom w:type="dxa" w:w="80"/>
              <w:right w:type="dxa" w:w="80"/>
            </w:tcMar>
            <w:vAlign w:val="top"/>
          </w:tcPr>
          <w:p/>
        </w:tc>
        <w:tc>
          <w:tcPr>
            <w:tcW w:type="dxa" w:w="1739"/>
            <w:tcBorders>
              <w:top w:val="nil"/>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hAnsi="Times New Roman"/>
                <w:sz w:val="18"/>
                <w:szCs w:val="18"/>
                <w:rtl w:val="0"/>
              </w:rPr>
              <w:t>91.03</w:t>
            </w:r>
            <w:r>
              <w:rPr>
                <w:rFonts w:ascii="Times New Roman" w:hAnsi="Times New Roman" w:hint="default"/>
                <w:sz w:val="18"/>
                <w:szCs w:val="18"/>
                <w:rtl w:val="0"/>
              </w:rPr>
              <w:t xml:space="preserve">° </w:t>
            </w:r>
            <w:r>
              <w:rPr>
                <w:rFonts w:ascii="Times New Roman" w:hAnsi="Times New Roman"/>
                <w:sz w:val="18"/>
                <w:szCs w:val="18"/>
                <w:rtl w:val="0"/>
              </w:rPr>
              <w:t>(-90)</w:t>
            </w:r>
          </w:p>
        </w:tc>
        <w:tc>
          <w:tcPr>
            <w:tcW w:type="dxa" w:w="1739"/>
            <w:tcBorders>
              <w:top w:val="nil"/>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tc>
        <w:tc>
          <w:tcPr>
            <w:tcW w:type="dxa" w:w="1739"/>
            <w:tcBorders>
              <w:top w:val="nil"/>
              <w:left w:val="single" w:color="000000" w:sz="2" w:space="0" w:shadow="0" w:frame="0"/>
              <w:bottom w:val="nil"/>
              <w:right w:val="nil"/>
            </w:tcBorders>
            <w:shd w:val="clear" w:color="auto" w:fill="auto"/>
            <w:tcMar>
              <w:top w:type="dxa" w:w="80"/>
              <w:left w:type="dxa" w:w="80"/>
              <w:bottom w:type="dxa" w:w="80"/>
              <w:right w:type="dxa" w:w="80"/>
            </w:tcMar>
            <w:vAlign w:val="top"/>
          </w:tcPr>
          <w:p>
            <w:pPr>
              <w:pStyle w:val="Table Style 2"/>
              <w:jc w:val="center"/>
            </w:pPr>
            <w:r>
              <w:rPr>
                <w:rFonts w:ascii="Times New Roman" w:hAnsi="Times New Roman"/>
                <w:sz w:val="18"/>
                <w:szCs w:val="18"/>
                <w:rtl w:val="0"/>
              </w:rPr>
              <w:t>n/a</w:t>
            </w:r>
          </w:p>
        </w:tc>
      </w:tr>
      <w:tr>
        <w:tblPrEx>
          <w:shd w:val="clear" w:color="auto" w:fill="auto"/>
        </w:tblPrEx>
        <w:trPr>
          <w:trHeight w:val="239" w:hRule="atLeast"/>
        </w:trPr>
        <w:tc>
          <w:tcPr>
            <w:tcW w:type="dxa" w:w="2270"/>
            <w:tcBorders>
              <w:top w:val="nil"/>
              <w:left w:val="nil"/>
              <w:bottom w:val="nil"/>
              <w:right w:val="single" w:color="000000" w:sz="6" w:space="0" w:shadow="0" w:frame="0"/>
            </w:tcBorders>
            <w:shd w:val="clear" w:color="auto" w:fill="auto"/>
            <w:tcMar>
              <w:top w:type="dxa" w:w="80"/>
              <w:left w:type="dxa" w:w="80"/>
              <w:bottom w:type="dxa" w:w="80"/>
              <w:right w:type="dxa" w:w="80"/>
            </w:tcMar>
            <w:vAlign w:val="top"/>
          </w:tcPr>
          <w:p>
            <w:pPr>
              <w:pStyle w:val="Table Style 1"/>
            </w:pPr>
            <w:r>
              <w:rPr>
                <w:rFonts w:ascii="Times New Roman" w:hAnsi="Times New Roman"/>
                <w:sz w:val="18"/>
                <w:szCs w:val="18"/>
                <w:rtl w:val="0"/>
              </w:rPr>
              <w:t>Malia Courtyard Axis</w:t>
            </w:r>
          </w:p>
        </w:tc>
        <w:tc>
          <w:tcPr>
            <w:tcW w:type="dxa" w:w="1866"/>
            <w:tcBorders>
              <w:top w:val="nil"/>
              <w:left w:val="single" w:color="000000" w:sz="6"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hAnsi="Times New Roman"/>
                <w:sz w:val="18"/>
                <w:szCs w:val="18"/>
                <w:rtl w:val="0"/>
              </w:rPr>
              <w:t>106.99</w:t>
            </w:r>
            <w:r>
              <w:rPr>
                <w:rFonts w:ascii="Times New Roman" w:hAnsi="Times New Roman" w:hint="default"/>
                <w:sz w:val="18"/>
                <w:szCs w:val="18"/>
                <w:rtl w:val="0"/>
              </w:rPr>
              <w:t>°</w:t>
            </w:r>
          </w:p>
        </w:tc>
        <w:tc>
          <w:tcPr>
            <w:tcW w:type="dxa" w:w="1739"/>
            <w:tcBorders>
              <w:top w:val="nil"/>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hAnsi="Times New Roman"/>
                <w:sz w:val="18"/>
                <w:szCs w:val="18"/>
                <w:rtl w:val="0"/>
              </w:rPr>
              <w:t>107.22</w:t>
            </w:r>
            <w:r>
              <w:rPr>
                <w:rFonts w:ascii="Times New Roman" w:hAnsi="Times New Roman" w:hint="default"/>
                <w:sz w:val="18"/>
                <w:szCs w:val="18"/>
                <w:rtl w:val="0"/>
              </w:rPr>
              <w:t>°</w:t>
            </w:r>
          </w:p>
        </w:tc>
        <w:tc>
          <w:tcPr>
            <w:tcW w:type="dxa" w:w="1739"/>
            <w:tcBorders>
              <w:top w:val="nil"/>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hAnsi="Times New Roman"/>
                <w:sz w:val="18"/>
                <w:szCs w:val="18"/>
                <w:rtl w:val="0"/>
              </w:rPr>
              <w:t>107.03</w:t>
            </w:r>
            <w:r>
              <w:rPr>
                <w:rFonts w:ascii="Times New Roman" w:hAnsi="Times New Roman" w:hint="default"/>
                <w:sz w:val="18"/>
                <w:szCs w:val="18"/>
                <w:rtl w:val="0"/>
              </w:rPr>
              <w:t>°</w:t>
            </w:r>
          </w:p>
        </w:tc>
        <w:tc>
          <w:tcPr>
            <w:tcW w:type="dxa" w:w="1739"/>
            <w:tcBorders>
              <w:top w:val="nil"/>
              <w:left w:val="single" w:color="000000" w:sz="2" w:space="0" w:shadow="0" w:frame="0"/>
              <w:bottom w:val="nil"/>
              <w:right w:val="nil"/>
            </w:tcBorders>
            <w:shd w:val="clear" w:color="auto" w:fill="auto"/>
            <w:tcMar>
              <w:top w:type="dxa" w:w="80"/>
              <w:left w:type="dxa" w:w="80"/>
              <w:bottom w:type="dxa" w:w="80"/>
              <w:right w:type="dxa" w:w="80"/>
            </w:tcMar>
            <w:vAlign w:val="top"/>
          </w:tcPr>
          <w:p>
            <w:pPr>
              <w:pStyle w:val="Table Style 2"/>
              <w:jc w:val="center"/>
            </w:pPr>
            <w:r>
              <w:rPr>
                <w:rFonts w:ascii="Times New Roman" w:hAnsi="Times New Roman"/>
                <w:sz w:val="18"/>
                <w:szCs w:val="18"/>
                <w:rtl w:val="0"/>
              </w:rPr>
              <w:t>0.04</w:t>
            </w:r>
            <w:r>
              <w:rPr>
                <w:rFonts w:ascii="Times New Roman" w:hAnsi="Times New Roman" w:hint="default"/>
                <w:sz w:val="18"/>
                <w:szCs w:val="18"/>
                <w:rtl w:val="0"/>
              </w:rPr>
              <w:t>°</w:t>
            </w:r>
          </w:p>
        </w:tc>
      </w:tr>
      <w:tr>
        <w:tblPrEx>
          <w:shd w:val="clear" w:color="auto" w:fill="auto"/>
        </w:tblPrEx>
        <w:trPr>
          <w:trHeight w:val="239" w:hRule="atLeast"/>
        </w:trPr>
        <w:tc>
          <w:tcPr>
            <w:tcW w:type="dxa" w:w="2270"/>
            <w:tcBorders>
              <w:top w:val="nil"/>
              <w:left w:val="nil"/>
              <w:bottom w:val="nil"/>
              <w:right w:val="single" w:color="000000" w:sz="6" w:space="0" w:shadow="0" w:frame="0"/>
            </w:tcBorders>
            <w:shd w:val="clear" w:color="auto" w:fill="auto"/>
            <w:tcMar>
              <w:top w:type="dxa" w:w="80"/>
              <w:left w:type="dxa" w:w="80"/>
              <w:bottom w:type="dxa" w:w="80"/>
              <w:right w:type="dxa" w:w="80"/>
            </w:tcMar>
            <w:vAlign w:val="top"/>
          </w:tcPr>
          <w:p>
            <w:pPr>
              <w:pStyle w:val="Table Style 1"/>
            </w:pPr>
            <w:r>
              <w:rPr>
                <w:rFonts w:ascii="Times New Roman" w:hAnsi="Times New Roman"/>
                <w:sz w:val="18"/>
                <w:szCs w:val="18"/>
                <w:rtl w:val="0"/>
              </w:rPr>
              <w:t>Zakros Courtyard Axis</w:t>
            </w:r>
          </w:p>
        </w:tc>
        <w:tc>
          <w:tcPr>
            <w:tcW w:type="dxa" w:w="1866"/>
            <w:tcBorders>
              <w:top w:val="nil"/>
              <w:left w:val="single" w:color="000000" w:sz="6" w:space="0" w:shadow="0" w:frame="0"/>
              <w:bottom w:val="nil"/>
              <w:right w:val="single" w:color="000000" w:sz="2" w:space="0" w:shadow="0" w:frame="0"/>
            </w:tcBorders>
            <w:shd w:val="clear" w:color="auto" w:fill="auto"/>
            <w:tcMar>
              <w:top w:type="dxa" w:w="80"/>
              <w:left w:type="dxa" w:w="80"/>
              <w:bottom w:type="dxa" w:w="80"/>
              <w:right w:type="dxa" w:w="80"/>
            </w:tcMar>
            <w:vAlign w:val="top"/>
          </w:tcPr>
          <w:p/>
        </w:tc>
        <w:tc>
          <w:tcPr>
            <w:tcW w:type="dxa" w:w="1739"/>
            <w:tcBorders>
              <w:top w:val="nil"/>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hAnsi="Times New Roman"/>
                <w:sz w:val="18"/>
                <w:szCs w:val="18"/>
                <w:rtl w:val="0"/>
              </w:rPr>
              <w:t>127.73</w:t>
            </w:r>
            <w:r>
              <w:rPr>
                <w:rFonts w:ascii="Times New Roman" w:hAnsi="Times New Roman" w:hint="default"/>
                <w:sz w:val="18"/>
                <w:szCs w:val="18"/>
                <w:rtl w:val="0"/>
              </w:rPr>
              <w:t>°</w:t>
            </w:r>
          </w:p>
        </w:tc>
        <w:tc>
          <w:tcPr>
            <w:tcW w:type="dxa" w:w="1739"/>
            <w:tcBorders>
              <w:top w:val="nil"/>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hAnsi="Times New Roman"/>
                <w:sz w:val="18"/>
                <w:szCs w:val="18"/>
                <w:rtl w:val="0"/>
              </w:rPr>
              <w:t>127.5528</w:t>
            </w:r>
            <w:r>
              <w:rPr>
                <w:rFonts w:ascii="Times New Roman" w:hAnsi="Times New Roman" w:hint="default"/>
                <w:sz w:val="18"/>
                <w:szCs w:val="18"/>
                <w:rtl w:val="0"/>
              </w:rPr>
              <w:t>°</w:t>
            </w:r>
          </w:p>
        </w:tc>
        <w:tc>
          <w:tcPr>
            <w:tcW w:type="dxa" w:w="1739"/>
            <w:tcBorders>
              <w:top w:val="nil"/>
              <w:left w:val="single" w:color="000000" w:sz="2" w:space="0" w:shadow="0" w:frame="0"/>
              <w:bottom w:val="nil"/>
              <w:right w:val="nil"/>
            </w:tcBorders>
            <w:shd w:val="clear" w:color="auto" w:fill="auto"/>
            <w:tcMar>
              <w:top w:type="dxa" w:w="80"/>
              <w:left w:type="dxa" w:w="80"/>
              <w:bottom w:type="dxa" w:w="80"/>
              <w:right w:type="dxa" w:w="80"/>
            </w:tcMar>
            <w:vAlign w:val="top"/>
          </w:tcPr>
          <w:p>
            <w:pPr>
              <w:pStyle w:val="Table Style 2"/>
              <w:jc w:val="center"/>
            </w:pPr>
            <w:r>
              <w:rPr>
                <w:rFonts w:ascii="Times New Roman" w:hAnsi="Times New Roman"/>
                <w:sz w:val="18"/>
                <w:szCs w:val="18"/>
                <w:rtl w:val="0"/>
              </w:rPr>
              <w:t>-0.1772</w:t>
            </w:r>
            <w:r>
              <w:rPr>
                <w:rFonts w:ascii="Times New Roman" w:hAnsi="Times New Roman" w:hint="default"/>
                <w:sz w:val="18"/>
                <w:szCs w:val="18"/>
                <w:rtl w:val="0"/>
              </w:rPr>
              <w:t>°</w:t>
            </w:r>
          </w:p>
        </w:tc>
      </w:tr>
    </w:tbl>
    <w:p>
      <w:pPr>
        <w:pStyle w:val="Body A"/>
      </w:pPr>
    </w:p>
    <w:p>
      <w:pPr>
        <w:pStyle w:val="Image Caption"/>
      </w:pPr>
      <w:bookmarkStart w:name="_Toc45" w:id="45"/>
      <w:r>
        <w:rPr>
          <w:rFonts w:cs="Arial Unicode MS" w:eastAsia="Arial Unicode MS"/>
          <w:b w:val="1"/>
          <w:bCs w:val="1"/>
          <w:rtl w:val="0"/>
          <w:lang w:val="en-US"/>
        </w:rPr>
        <w:t>Table 1</w:t>
      </w:r>
      <w:r>
        <w:rPr>
          <w:rFonts w:cs="Arial Unicode MS" w:eastAsia="Arial Unicode MS"/>
          <w:rtl w:val="0"/>
        </w:rPr>
        <w:t>. List of the measurements of the palace courtyard with axis adjusted for an east-west orientation.</w:t>
      </w:r>
      <w:bookmarkEnd w:id="45"/>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If natural illumination of the religious rooms on the western side of the courtyard was one of the determining architectural consideration as suggested by Shaw, one would suspect that all palaces would have been oriented consistently to within the solar range</w:t>
      </w:r>
      <w:r>
        <w:rPr>
          <w:rFonts w:ascii="Times New Roman" w:hAnsi="Times New Roman"/>
          <w:u w:color="000000"/>
          <w:rtl w:val="0"/>
          <w:lang w:val="en-US"/>
          <w14:textOutline w14:w="12700" w14:cap="flat">
            <w14:noFill/>
            <w14:miter w14:lim="400000"/>
          </w14:textOutline>
        </w:rPr>
        <w:t xml:space="preserve"> to maximize such a visual effect</w:t>
      </w:r>
      <w:r>
        <w:rPr>
          <w:rFonts w:ascii="Times New Roman" w:hAnsi="Times New Roman"/>
          <w:u w:color="000000"/>
          <w:rtl w:val="0"/>
          <w:lang w:val="en-US"/>
          <w14:textOutline w14:w="12700" w14:cap="flat">
            <w14:noFill/>
            <w14:miter w14:lim="400000"/>
          </w14:textOutline>
        </w:rPr>
        <w:t>. However, there is a variation of around 35</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between the major palaces (Fig. 16). By Shaw</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own admission, the courtyard of the Zakros palace, </w:t>
      </w:r>
      <w:r>
        <w:rPr>
          <w:rFonts w:ascii="Times New Roman" w:hAnsi="Times New Roman"/>
          <w:u w:color="000000"/>
          <w:rtl w:val="0"/>
          <w:lang w:val="en-US"/>
          <w14:textOutline w14:w="12700" w14:cap="flat">
            <w14:noFill/>
            <w14:miter w14:lim="400000"/>
          </w14:textOutline>
        </w:rPr>
        <w:t>unlike the other palaces,</w:t>
      </w:r>
      <w:r>
        <w:rPr>
          <w:rFonts w:ascii="Times New Roman" w:hAnsi="Times New Roman"/>
          <w:u w:color="000000"/>
          <w:rtl w:val="0"/>
          <w:lang w:val="en-US"/>
          <w14:textOutline w14:w="12700" w14:cap="flat">
            <w14:noFill/>
            <w14:miter w14:lim="400000"/>
          </w14:textOutline>
        </w:rPr>
        <w:t xml:space="preserve"> lies outside the solar range of the equinoctial midpoint and the winter solstice, which could indicate that the solar light phenomena was not a systematic consideration for the orientations. </w:t>
      </w:r>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p>
    <w:p>
      <w:pPr>
        <w:keepNext w:val="0"/>
        <w:keepLines w:val="0"/>
        <w:pageBreakBefore w:val="0"/>
        <w:widowControl w:val="1"/>
        <w:shd w:val="clear" w:color="auto" w:fill="auto"/>
        <w:suppressAutoHyphens w:val="0"/>
        <w:bidi w:val="0"/>
        <w:spacing w:before="0" w:after="200" w:line="240" w:lineRule="auto"/>
        <w:ind w:left="0" w:right="0" w:firstLine="0"/>
        <w:jc w:val="center"/>
        <w:outlineLvl w:val="2"/>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444444"/>
          <w:shd w:val="nil" w:color="auto" w:fill="auto"/>
          <w:vertAlign w:val="baseline"/>
          <w:rtl w:val="0"/>
          <w:lang w:val="en-US"/>
          <w14:textOutline w14:w="12700" w14:cap="flat">
            <w14:noFill/>
            <w14:miter w14:lim="400000"/>
          </w14:textOutline>
          <w14:textFill>
            <w14:solidFill>
              <w14:srgbClr w14:val="000000"/>
            </w14:solidFill>
          </w14:textFill>
        </w:rPr>
      </w:pP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444444"/>
          <w:shd w:val="nil" w:color="auto" w:fill="auto"/>
          <w:vertAlign w:val="baseline"/>
          <w:rtl w:val="0"/>
          <w:lang w:val="en-US"/>
          <w14:textOutline w14:w="12700" w14:cap="flat">
            <w14:noFill/>
            <w14:miter w14:lim="400000"/>
          </w14:textOutline>
          <w14:textFill>
            <w14:solidFill>
              <w14:srgbClr w14:val="000000"/>
            </w14:solidFill>
          </w14:textFill>
        </w:rPr>
        <w:drawing xmlns:a="http://schemas.openxmlformats.org/drawingml/2006/main">
          <wp:inline distT="0" distB="0" distL="0" distR="0">
            <wp:extent cx="3844877" cy="2937486"/>
            <wp:effectExtent l="0" t="0" r="0" b="0"/>
            <wp:docPr id="1073741844" name="officeArt object" descr="Image"/>
            <wp:cNvGraphicFramePr/>
            <a:graphic xmlns:a="http://schemas.openxmlformats.org/drawingml/2006/main">
              <a:graphicData uri="http://schemas.openxmlformats.org/drawingml/2006/picture">
                <pic:pic xmlns:pic="http://schemas.openxmlformats.org/drawingml/2006/picture">
                  <pic:nvPicPr>
                    <pic:cNvPr id="1073741844" name="Image" descr="Image"/>
                    <pic:cNvPicPr>
                      <a:picLocks noChangeAspect="1"/>
                    </pic:cNvPicPr>
                  </pic:nvPicPr>
                  <pic:blipFill>
                    <a:blip r:embed="rId23">
                      <a:extLst/>
                    </a:blip>
                    <a:srcRect l="0" t="0" r="0" b="0"/>
                    <a:stretch>
                      <a:fillRect/>
                    </a:stretch>
                  </pic:blipFill>
                  <pic:spPr>
                    <a:xfrm>
                      <a:off x="0" y="0"/>
                      <a:ext cx="3844877" cy="2937486"/>
                    </a:xfrm>
                    <a:prstGeom prst="rect">
                      <a:avLst/>
                    </a:prstGeom>
                    <a:ln w="12700" cap="flat">
                      <a:noFill/>
                      <a:miter lim="400000"/>
                    </a:ln>
                    <a:effectLst/>
                  </pic:spPr>
                </pic:pic>
              </a:graphicData>
            </a:graphic>
          </wp:inline>
        </w:drawing>
      </w:r>
    </w:p>
    <w:p>
      <w:pPr>
        <w:pStyle w:val="Image Caption"/>
      </w:pPr>
      <w:bookmarkStart w:name="_Toc46" w:id="46"/>
      <w:r>
        <w:rPr>
          <w:rFonts w:cs="Arial Unicode MS" w:eastAsia="Arial Unicode MS"/>
          <w:b w:val="1"/>
          <w:bCs w:val="1"/>
          <w:rtl w:val="0"/>
          <w:lang w:val="en-US"/>
        </w:rPr>
        <w:t>Fig. 16</w:t>
      </w:r>
      <w:r>
        <w:rPr>
          <w:rFonts w:cs="Arial Unicode MS" w:eastAsia="Arial Unicode MS"/>
          <w:rtl w:val="0"/>
        </w:rPr>
        <w:t xml:space="preserve"> </w:t>
      </w:r>
      <w:r>
        <w:rPr>
          <w:rFonts w:cs="Arial Unicode MS" w:eastAsia="Arial Unicode MS"/>
          <w:rtl w:val="0"/>
        </w:rPr>
        <w:t xml:space="preserve">Radar plot showing measured azimuth orientations of </w:t>
      </w:r>
      <w:r>
        <w:rPr>
          <w:rFonts w:cs="Arial Unicode MS" w:eastAsia="Arial Unicode MS"/>
          <w:rtl w:val="0"/>
        </w:rPr>
        <w:t xml:space="preserve">Minoan palace </w:t>
      </w:r>
      <w:r>
        <w:rPr>
          <w:rFonts w:cs="Arial Unicode MS" w:eastAsia="Arial Unicode MS"/>
          <w:rtl w:val="0"/>
        </w:rPr>
        <w:t>cour</w:t>
      </w:r>
      <w:r>
        <w:rPr>
          <w:rFonts w:cs="Arial Unicode MS" w:eastAsia="Arial Unicode MS"/>
          <w:rtl w:val="0"/>
        </w:rPr>
        <w:t>t</w:t>
      </w:r>
      <w:r>
        <w:rPr>
          <w:rFonts w:cs="Arial Unicode MS" w:eastAsia="Arial Unicode MS"/>
          <w:rtl w:val="0"/>
        </w:rPr>
        <w:t>yards</w:t>
      </w:r>
      <w:r>
        <w:rPr>
          <w:rFonts w:cs="Arial Unicode MS" w:eastAsia="Arial Unicode MS"/>
          <w:rtl w:val="0"/>
        </w:rPr>
        <w:t>.</w:t>
      </w:r>
      <w:bookmarkEnd w:id="46"/>
    </w:p>
    <w:p>
      <w:pPr>
        <w:pStyle w:val="Body A"/>
      </w:pPr>
    </w:p>
    <w:p>
      <w:pPr>
        <w:pStyle w:val="Body A"/>
      </w:pPr>
      <w:r>
        <w:rPr>
          <w:rtl w:val="0"/>
        </w:rPr>
        <w:t xml:space="preserve">Perhaps, </w:t>
      </w:r>
      <w:r>
        <w:rPr>
          <w:rtl w:val="0"/>
        </w:rPr>
        <w:t>Belknap</w:t>
      </w:r>
      <w:r>
        <w:rPr>
          <w:rtl w:val="0"/>
        </w:rPr>
        <w:t xml:space="preserve"> misses a crucial opportunity when he suggests the palaces</w:t>
      </w:r>
      <w:r>
        <w:rPr>
          <w:rtl w:val="0"/>
        </w:rPr>
        <w:t xml:space="preserve">’ </w:t>
      </w:r>
      <w:r>
        <w:rPr>
          <w:rtl w:val="0"/>
        </w:rPr>
        <w:t>longer north-south axis pointed to locations on the North African coast, where no major Minoan trading centers have been uncovered. Shaw</w:t>
      </w:r>
      <w:r>
        <w:rPr>
          <w:rtl w:val="0"/>
        </w:rPr>
        <w:t>’</w:t>
      </w:r>
      <w:r>
        <w:rPr>
          <w:rtl w:val="0"/>
        </w:rPr>
        <w:t>s analysis proposes that that the palaces were originally constructed with the east-west shorter axis in mind.</w:t>
      </w:r>
      <w:r>
        <w:rPr>
          <w:rFonts w:ascii="Times New Roman" w:cs="Times New Roman" w:hAnsi="Times New Roman" w:eastAsia="Times New Roman"/>
          <w:b w:val="0"/>
          <w:bCs w:val="0"/>
          <w:i w:val="0"/>
          <w:iCs w:val="0"/>
          <w:vertAlign w:val="superscript"/>
        </w:rPr>
        <w:footnoteReference w:id="213"/>
      </w:r>
      <w:r>
        <w:rPr>
          <w:rtl w:val="0"/>
        </w:rPr>
        <w:t xml:space="preserve"> The possibility of direct trade routes to Egypt and the Levant from Crete would be in line with east or southeast orientations for the courtyards. This notion conforms to </w:t>
      </w:r>
      <w:r>
        <w:rPr>
          <w:rtl w:val="0"/>
          <w:lang w:val="it-IT"/>
        </w:rPr>
        <w:t>Chryssolouaki</w:t>
      </w:r>
      <w:r>
        <w:rPr>
          <w:rtl w:val="0"/>
        </w:rPr>
        <w:t>’</w:t>
      </w:r>
      <w:r>
        <w:rPr>
          <w:rtl w:val="0"/>
        </w:rPr>
        <w:t>s proposal that specific Minoan centres may have had their unique agreements with particular markets and emporia in distant lands, ensuring exclusivity of particular goods.</w:t>
      </w:r>
      <w:r>
        <w:rPr>
          <w:rFonts w:ascii="Times New Roman" w:cs="Times New Roman" w:hAnsi="Times New Roman" w:eastAsia="Times New Roman"/>
          <w:b w:val="0"/>
          <w:bCs w:val="0"/>
          <w:i w:val="0"/>
          <w:iCs w:val="0"/>
          <w:vertAlign w:val="superscript"/>
        </w:rPr>
        <w:footnoteReference w:id="214"/>
      </w:r>
      <w:r>
        <w:rPr>
          <w:b w:val="1"/>
          <w:bCs w:val="1"/>
          <w:rtl w:val="0"/>
          <w:lang w:val="en-US"/>
        </w:rPr>
        <w:t xml:space="preserve"> </w:t>
      </w:r>
      <w:r>
        <w:rPr>
          <w:rtl w:val="0"/>
        </w:rPr>
        <w:t>Therefore, the variability in orientations between the palaces could result from direct trade routes between Minoan palaces and their particular trade partners across the ocean.</w:t>
      </w:r>
    </w:p>
    <w:p>
      <w:pPr>
        <w:pStyle w:val="Body A"/>
      </w:pPr>
      <w:r>
        <w:rPr>
          <w:rtl w:val="0"/>
        </w:rPr>
        <w:t>T</w:t>
      </w:r>
      <w:r>
        <w:rPr>
          <w:rtl w:val="0"/>
        </w:rPr>
        <w:t xml:space="preserve">he archaeological </w:t>
      </w:r>
      <w:r>
        <w:rPr>
          <w:rtl w:val="0"/>
        </w:rPr>
        <w:t xml:space="preserve">material </w:t>
      </w:r>
      <w:r>
        <w:rPr>
          <w:rtl w:val="0"/>
        </w:rPr>
        <w:t>record</w:t>
      </w:r>
      <w:r>
        <w:rPr>
          <w:rtl w:val="0"/>
        </w:rPr>
        <w:t xml:space="preserve"> provides evidence of</w:t>
      </w:r>
      <w:r>
        <w:rPr>
          <w:rtl w:val="0"/>
        </w:rPr>
        <w:t xml:space="preserve"> </w:t>
      </w:r>
      <w:r>
        <w:rPr>
          <w:rtl w:val="0"/>
        </w:rPr>
        <w:t>the</w:t>
      </w:r>
      <w:r>
        <w:rPr>
          <w:rtl w:val="0"/>
          <w:lang w:val="pt-PT"/>
        </w:rPr>
        <w:t xml:space="preserve"> Bronze Age</w:t>
      </w:r>
      <w:r>
        <w:rPr>
          <w:rtl w:val="0"/>
        </w:rPr>
        <w:t xml:space="preserve"> cities around the Mediterranean</w:t>
      </w:r>
      <w:r>
        <w:rPr>
          <w:rtl w:val="0"/>
        </w:rPr>
        <w:t>,</w:t>
      </w:r>
      <w:r>
        <w:rPr>
          <w:rtl w:val="0"/>
        </w:rPr>
        <w:t xml:space="preserve"> </w:t>
      </w:r>
      <w:r>
        <w:rPr>
          <w:rtl w:val="0"/>
        </w:rPr>
        <w:t>particularly</w:t>
      </w:r>
      <w:r>
        <w:rPr>
          <w:rtl w:val="0"/>
        </w:rPr>
        <w:t xml:space="preserve"> </w:t>
      </w:r>
      <w:r>
        <w:rPr>
          <w:rtl w:val="0"/>
        </w:rPr>
        <w:t xml:space="preserve">in </w:t>
      </w:r>
      <w:r>
        <w:rPr>
          <w:rtl w:val="0"/>
        </w:rPr>
        <w:t>Egypt and the Levant</w:t>
      </w:r>
      <w:r>
        <w:rPr>
          <w:rtl w:val="0"/>
        </w:rPr>
        <w:t>, that</w:t>
      </w:r>
      <w:r>
        <w:rPr>
          <w:rtl w:val="0"/>
        </w:rPr>
        <w:t xml:space="preserve"> </w:t>
      </w:r>
      <w:r>
        <w:rPr>
          <w:rtl w:val="0"/>
        </w:rPr>
        <w:t>were direct or indirect</w:t>
      </w:r>
      <w:r>
        <w:rPr>
          <w:rtl w:val="0"/>
        </w:rPr>
        <w:t xml:space="preserve"> trading partners with Minoan </w:t>
      </w:r>
      <w:r>
        <w:rPr>
          <w:rtl w:val="0"/>
        </w:rPr>
        <w:t>C</w:t>
      </w:r>
      <w:r>
        <w:rPr>
          <w:rtl w:val="0"/>
        </w:rPr>
        <w:t>rete</w:t>
      </w:r>
      <w:r>
        <w:rPr>
          <w:rtl w:val="0"/>
        </w:rPr>
        <w:t xml:space="preserve">. These include </w:t>
      </w:r>
      <w:r>
        <w:rPr>
          <w:rtl w:val="0"/>
          <w:lang w:val="pt-PT"/>
        </w:rPr>
        <w:t>Byblos, Sidon, Tyre, Ugarit, Alalakh, Tel Kabri, Qatna, and Avaris</w:t>
      </w:r>
      <w:r>
        <w:rPr>
          <w:rtl w:val="0"/>
        </w:rPr>
        <w:t>, among others</w:t>
      </w:r>
      <w:r>
        <w:rPr>
          <w:rtl w:val="0"/>
          <w:lang w:val="pt-PT"/>
        </w:rPr>
        <w:t>.</w:t>
      </w:r>
      <w:r>
        <w:rPr>
          <w:rFonts w:ascii="Times New Roman" w:cs="Times New Roman" w:hAnsi="Times New Roman" w:eastAsia="Times New Roman"/>
          <w:b w:val="0"/>
          <w:bCs w:val="0"/>
          <w:i w:val="0"/>
          <w:iCs w:val="0"/>
          <w:vertAlign w:val="superscript"/>
        </w:rPr>
        <w:footnoteReference w:id="215"/>
      </w:r>
      <w:r>
        <w:rPr>
          <w:rtl w:val="0"/>
        </w:rPr>
        <w:t xml:space="preserve"> Other Levantine cities, </w:t>
      </w:r>
      <w:r>
        <w:rPr>
          <w:rtl w:val="0"/>
        </w:rPr>
        <w:t>such as Akko,</w:t>
      </w:r>
      <w:r>
        <w:rPr>
          <w:rtl w:val="0"/>
        </w:rPr>
        <w:t xml:space="preserve"> that contained no archaeological evidence of Minoan contact, yet were known as major ports during the Bronze Age, were also considered for the analysis. Therefore, unlike Belknap</w:t>
      </w:r>
      <w:r>
        <w:rPr>
          <w:rtl w:val="0"/>
        </w:rPr>
        <w:t>’</w:t>
      </w:r>
      <w:r>
        <w:rPr>
          <w:rtl w:val="0"/>
        </w:rPr>
        <w:t>s proposal, the shorter east-west axes were given priority in the systematic investigation and were then compared to</w:t>
      </w:r>
      <w:r>
        <w:rPr>
          <w:rtl w:val="0"/>
        </w:rPr>
        <w:t xml:space="preserve"> rhumb lines </w:t>
      </w:r>
      <w:r>
        <w:rPr>
          <w:rtl w:val="0"/>
        </w:rPr>
        <w:t>of</w:t>
      </w:r>
      <w:r>
        <w:rPr>
          <w:rtl w:val="0"/>
        </w:rPr>
        <w:t xml:space="preserve"> </w:t>
      </w:r>
      <w:r>
        <w:rPr>
          <w:rtl w:val="0"/>
        </w:rPr>
        <w:t xml:space="preserve">the </w:t>
      </w:r>
      <w:r>
        <w:rPr>
          <w:rtl w:val="0"/>
        </w:rPr>
        <w:t xml:space="preserve">candidate cities </w:t>
      </w:r>
      <w:r>
        <w:rPr>
          <w:rtl w:val="0"/>
        </w:rPr>
        <w:t>to the east and southeast of Crete (Table 2).</w:t>
      </w:r>
    </w:p>
    <w:p>
      <w:pPr>
        <w:pStyle w:val="Image Caption"/>
      </w:pPr>
    </w:p>
    <w:tbl>
      <w:tblPr>
        <w:tblW w:w="93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545"/>
        <w:gridCol w:w="1522"/>
        <w:gridCol w:w="2528"/>
        <w:gridCol w:w="1882"/>
        <w:gridCol w:w="1883"/>
      </w:tblGrid>
      <w:tr>
        <w:tblPrEx>
          <w:shd w:val="clear" w:color="auto" w:fill="bdc0bf"/>
        </w:tblPrEx>
        <w:trPr>
          <w:trHeight w:val="249" w:hRule="atLeast"/>
          <w:tblHeader/>
        </w:trPr>
        <w:tc>
          <w:tcPr>
            <w:tcW w:type="dxa" w:w="1545"/>
            <w:tcBorders>
              <w:top w:val="nil"/>
              <w:left w:val="nil"/>
              <w:bottom w:val="single" w:color="000000" w:sz="8"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1"/>
            </w:pPr>
            <w:r>
              <w:rPr>
                <w:rFonts w:ascii="Times New Roman" w:hAnsi="Times New Roman"/>
                <w:sz w:val="18"/>
                <w:szCs w:val="18"/>
                <w:rtl w:val="0"/>
              </w:rPr>
              <w:t>Palace</w:t>
            </w:r>
          </w:p>
        </w:tc>
        <w:tc>
          <w:tcPr>
            <w:tcW w:type="dxa" w:w="1522"/>
            <w:tcBorders>
              <w:top w:val="nil"/>
              <w:left w:val="single" w:color="000000" w:sz="2" w:space="0" w:shadow="0" w:frame="0"/>
              <w:bottom w:val="single" w:color="000000" w:sz="8"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1"/>
            </w:pPr>
            <w:r>
              <w:rPr>
                <w:rFonts w:ascii="Times New Roman" w:hAnsi="Times New Roman"/>
                <w:sz w:val="18"/>
                <w:szCs w:val="18"/>
                <w:rtl w:val="0"/>
              </w:rPr>
              <w:t>Court Axis</w:t>
            </w:r>
          </w:p>
        </w:tc>
        <w:tc>
          <w:tcPr>
            <w:tcW w:type="dxa" w:w="2528"/>
            <w:tcBorders>
              <w:top w:val="nil"/>
              <w:left w:val="single" w:color="000000" w:sz="2" w:space="0" w:shadow="0" w:frame="0"/>
              <w:bottom w:val="single" w:color="000000" w:sz="8"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1"/>
            </w:pPr>
            <w:r>
              <w:rPr>
                <w:rFonts w:ascii="Times New Roman" w:hAnsi="Times New Roman"/>
                <w:sz w:val="18"/>
                <w:szCs w:val="18"/>
                <w:rtl w:val="0"/>
              </w:rPr>
              <w:t>Rhumb Lines</w:t>
            </w:r>
          </w:p>
        </w:tc>
        <w:tc>
          <w:tcPr>
            <w:tcW w:type="dxa" w:w="1882"/>
            <w:tcBorders>
              <w:top w:val="nil"/>
              <w:left w:val="single" w:color="000000" w:sz="2" w:space="0" w:shadow="0" w:frame="0"/>
              <w:bottom w:val="single" w:color="000000" w:sz="8"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1"/>
            </w:pPr>
            <w:r>
              <w:rPr>
                <w:rFonts w:ascii="Times New Roman" w:hAnsi="Times New Roman"/>
                <w:sz w:val="18"/>
                <w:szCs w:val="18"/>
                <w:rtl w:val="0"/>
              </w:rPr>
              <w:t>Possible Destination</w:t>
            </w:r>
          </w:p>
        </w:tc>
        <w:tc>
          <w:tcPr>
            <w:tcW w:type="dxa" w:w="1882"/>
            <w:tcBorders>
              <w:top w:val="nil"/>
              <w:left w:val="single" w:color="000000" w:sz="2" w:space="0" w:shadow="0" w:frame="0"/>
              <w:bottom w:val="single" w:color="000000" w:sz="8" w:space="0" w:shadow="0" w:frame="0"/>
              <w:right w:val="nil"/>
            </w:tcBorders>
            <w:shd w:val="clear" w:color="auto" w:fill="ffffff"/>
            <w:tcMar>
              <w:top w:type="dxa" w:w="80"/>
              <w:left w:type="dxa" w:w="80"/>
              <w:bottom w:type="dxa" w:w="80"/>
              <w:right w:type="dxa" w:w="80"/>
            </w:tcMar>
            <w:vAlign w:val="top"/>
          </w:tcPr>
          <w:p>
            <w:pPr>
              <w:pStyle w:val="Table Style 1"/>
            </w:pPr>
            <w:r>
              <w:rPr>
                <w:rFonts w:ascii="Times New Roman" w:hAnsi="Times New Roman"/>
                <w:sz w:val="18"/>
                <w:szCs w:val="18"/>
                <w:rtl w:val="0"/>
              </w:rPr>
              <w:t>Difference</w:t>
            </w:r>
          </w:p>
        </w:tc>
      </w:tr>
      <w:tr>
        <w:tblPrEx>
          <w:shd w:val="clear" w:color="auto" w:fill="auto"/>
        </w:tblPrEx>
        <w:trPr>
          <w:trHeight w:val="249" w:hRule="atLeast"/>
        </w:trPr>
        <w:tc>
          <w:tcPr>
            <w:tcW w:type="dxa" w:w="1545"/>
            <w:tcBorders>
              <w:top w:val="single" w:color="000000" w:sz="8" w:space="0" w:shadow="0" w:frame="0"/>
              <w:left w:val="nil"/>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Knossos</w:t>
            </w:r>
          </w:p>
        </w:tc>
        <w:tc>
          <w:tcPr>
            <w:tcW w:type="dxa" w:w="1522"/>
            <w:tcBorders>
              <w:top w:val="single" w:color="000000" w:sz="8"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101.03</w:t>
            </w:r>
            <w:r>
              <w:rPr>
                <w:rFonts w:ascii="Times New Roman" w:hAnsi="Times New Roman" w:hint="default"/>
                <w:sz w:val="18"/>
                <w:szCs w:val="18"/>
                <w:rtl w:val="0"/>
              </w:rPr>
              <w:t>°</w:t>
            </w:r>
          </w:p>
        </w:tc>
        <w:tc>
          <w:tcPr>
            <w:tcW w:type="dxa" w:w="2528"/>
            <w:tcBorders>
              <w:top w:val="single" w:color="000000" w:sz="8"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101.56</w:t>
            </w:r>
            <w:r>
              <w:rPr>
                <w:rFonts w:ascii="Times New Roman" w:hAnsi="Times New Roman" w:hint="default"/>
                <w:sz w:val="18"/>
                <w:szCs w:val="18"/>
                <w:rtl w:val="0"/>
              </w:rPr>
              <w:t>°</w:t>
            </w:r>
          </w:p>
        </w:tc>
        <w:tc>
          <w:tcPr>
            <w:tcW w:type="dxa" w:w="1882"/>
            <w:tcBorders>
              <w:top w:val="single" w:color="000000" w:sz="8"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Sidon</w:t>
            </w:r>
          </w:p>
        </w:tc>
        <w:tc>
          <w:tcPr>
            <w:tcW w:type="dxa" w:w="1882"/>
            <w:tcBorders>
              <w:top w:val="single" w:color="000000" w:sz="8" w:space="0" w:shadow="0" w:frame="0"/>
              <w:left w:val="single" w:color="000000" w:sz="2" w:space="0" w:shadow="0" w:frame="0"/>
              <w:bottom w:val="nil"/>
              <w:right w:val="nil"/>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0.53</w:t>
            </w:r>
            <w:r>
              <w:rPr>
                <w:rFonts w:ascii="Times New Roman" w:hAnsi="Times New Roman" w:hint="default"/>
                <w:sz w:val="18"/>
                <w:szCs w:val="18"/>
                <w:rtl w:val="0"/>
              </w:rPr>
              <w:t>°</w:t>
            </w:r>
          </w:p>
        </w:tc>
      </w:tr>
      <w:tr>
        <w:tblPrEx>
          <w:shd w:val="clear" w:color="auto" w:fill="auto"/>
        </w:tblPrEx>
        <w:trPr>
          <w:trHeight w:val="196" w:hRule="atLeast"/>
        </w:trPr>
        <w:tc>
          <w:tcPr>
            <w:tcW w:type="dxa" w:w="1545"/>
            <w:tcBorders>
              <w:top w:val="nil"/>
              <w:left w:val="nil"/>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522"/>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n/a</w:t>
            </w:r>
          </w:p>
        </w:tc>
        <w:tc>
          <w:tcPr>
            <w:tcW w:type="dxa" w:w="2528"/>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103.63</w:t>
            </w:r>
            <w:r>
              <w:rPr>
                <w:rFonts w:ascii="Times New Roman" w:hAnsi="Times New Roman" w:hint="default"/>
                <w:sz w:val="18"/>
                <w:szCs w:val="18"/>
                <w:rtl w:val="0"/>
              </w:rPr>
              <w:t>°</w:t>
            </w:r>
          </w:p>
        </w:tc>
        <w:tc>
          <w:tcPr>
            <w:tcW w:type="dxa" w:w="1882"/>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Tyre</w:t>
            </w:r>
          </w:p>
        </w:tc>
        <w:tc>
          <w:tcPr>
            <w:tcW w:type="dxa" w:w="1882"/>
            <w:tcBorders>
              <w:top w:val="nil"/>
              <w:left w:val="single" w:color="000000" w:sz="2" w:space="0" w:shadow="0" w:frame="0"/>
              <w:bottom w:val="single" w:color="000000" w:sz="2" w:space="0" w:shadow="0" w:frame="0"/>
              <w:right w:val="nil"/>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n/a</w:t>
            </w:r>
          </w:p>
        </w:tc>
      </w:tr>
      <w:tr>
        <w:tblPrEx>
          <w:shd w:val="clear" w:color="auto" w:fill="auto"/>
        </w:tblPrEx>
        <w:trPr>
          <w:trHeight w:val="199" w:hRule="atLeast"/>
        </w:trPr>
        <w:tc>
          <w:tcPr>
            <w:tcW w:type="dxa" w:w="1545"/>
            <w:tcBorders>
              <w:top w:val="single" w:color="000000" w:sz="2" w:space="0" w:shadow="0" w:frame="0"/>
              <w:left w:val="nil"/>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Malia</w:t>
            </w:r>
          </w:p>
        </w:tc>
        <w:tc>
          <w:tcPr>
            <w:tcW w:type="dxa" w:w="152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107.03</w:t>
            </w:r>
            <w:r>
              <w:rPr>
                <w:rFonts w:ascii="Times New Roman" w:hAnsi="Times New Roman" w:hint="default"/>
                <w:sz w:val="18"/>
                <w:szCs w:val="18"/>
                <w:rtl w:val="0"/>
              </w:rPr>
              <w:t>°</w:t>
            </w:r>
          </w:p>
        </w:tc>
        <w:tc>
          <w:tcPr>
            <w:tcW w:type="dxa" w:w="252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106.57</w:t>
            </w:r>
            <w:r>
              <w:rPr>
                <w:rFonts w:ascii="Times New Roman" w:hAnsi="Times New Roman" w:hint="default"/>
                <w:sz w:val="18"/>
                <w:szCs w:val="18"/>
                <w:rtl w:val="0"/>
              </w:rPr>
              <w:t>°</w:t>
            </w:r>
          </w:p>
        </w:tc>
        <w:tc>
          <w:tcPr>
            <w:tcW w:type="dxa" w:w="188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Acre (Akko)</w:t>
            </w:r>
          </w:p>
        </w:tc>
        <w:tc>
          <w:tcPr>
            <w:tcW w:type="dxa" w:w="1882"/>
            <w:tcBorders>
              <w:top w:val="single" w:color="000000" w:sz="2" w:space="0" w:shadow="0" w:frame="0"/>
              <w:left w:val="single" w:color="000000" w:sz="2" w:space="0" w:shadow="0" w:frame="0"/>
              <w:bottom w:val="single" w:color="000000" w:sz="2" w:space="0" w:shadow="0" w:frame="0"/>
              <w:right w:val="nil"/>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0.46</w:t>
            </w:r>
            <w:r>
              <w:rPr>
                <w:rFonts w:ascii="Times New Roman" w:hAnsi="Times New Roman" w:hint="default"/>
                <w:sz w:val="18"/>
                <w:szCs w:val="18"/>
                <w:rtl w:val="0"/>
              </w:rPr>
              <w:t>°</w:t>
            </w:r>
          </w:p>
        </w:tc>
      </w:tr>
      <w:tr>
        <w:tblPrEx>
          <w:shd w:val="clear" w:color="auto" w:fill="auto"/>
        </w:tblPrEx>
        <w:trPr>
          <w:trHeight w:val="196" w:hRule="atLeast"/>
        </w:trPr>
        <w:tc>
          <w:tcPr>
            <w:tcW w:type="dxa" w:w="1545"/>
            <w:tcBorders>
              <w:top w:val="single" w:color="000000" w:sz="2" w:space="0" w:shadow="0" w:frame="0"/>
              <w:left w:val="nil"/>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Phaistos</w:t>
            </w:r>
          </w:p>
        </w:tc>
        <w:tc>
          <w:tcPr>
            <w:tcW w:type="dxa" w:w="1522"/>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92.9833</w:t>
            </w:r>
            <w:r>
              <w:rPr>
                <w:rFonts w:ascii="Times New Roman" w:hAnsi="Times New Roman" w:hint="default"/>
                <w:sz w:val="18"/>
                <w:szCs w:val="18"/>
                <w:rtl w:val="0"/>
              </w:rPr>
              <w:t>°</w:t>
            </w:r>
          </w:p>
        </w:tc>
        <w:tc>
          <w:tcPr>
            <w:tcW w:type="dxa" w:w="2528"/>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jc w:val="left"/>
            </w:pPr>
            <w:r>
              <w:rPr>
                <w:rFonts w:ascii="Times New Roman" w:hAnsi="Times New Roman"/>
                <w:sz w:val="18"/>
                <w:szCs w:val="18"/>
                <w:rtl w:val="0"/>
              </w:rPr>
              <w:t>92.92</w:t>
            </w:r>
            <w:r>
              <w:rPr>
                <w:rFonts w:ascii="Times New Roman" w:hAnsi="Times New Roman" w:hint="default"/>
                <w:sz w:val="18"/>
                <w:szCs w:val="18"/>
                <w:rtl w:val="0"/>
              </w:rPr>
              <w:t>°</w:t>
            </w:r>
          </w:p>
        </w:tc>
        <w:tc>
          <w:tcPr>
            <w:tcW w:type="dxa" w:w="1882"/>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Kadesh</w:t>
            </w:r>
          </w:p>
        </w:tc>
        <w:tc>
          <w:tcPr>
            <w:tcW w:type="dxa" w:w="1882"/>
            <w:tcBorders>
              <w:top w:val="single" w:color="000000" w:sz="2" w:space="0" w:shadow="0" w:frame="0"/>
              <w:left w:val="single" w:color="000000" w:sz="2" w:space="0" w:shadow="0" w:frame="0"/>
              <w:bottom w:val="nil"/>
              <w:right w:val="nil"/>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-0.0633</w:t>
            </w:r>
            <w:r>
              <w:rPr>
                <w:rFonts w:ascii="Times New Roman" w:hAnsi="Times New Roman" w:hint="default"/>
                <w:sz w:val="18"/>
                <w:szCs w:val="18"/>
                <w:rtl w:val="0"/>
              </w:rPr>
              <w:t>°</w:t>
            </w:r>
          </w:p>
        </w:tc>
      </w:tr>
      <w:tr>
        <w:tblPrEx>
          <w:shd w:val="clear" w:color="auto" w:fill="auto"/>
        </w:tblPrEx>
        <w:trPr>
          <w:trHeight w:val="392" w:hRule="atLeast"/>
        </w:trPr>
        <w:tc>
          <w:tcPr>
            <w:tcW w:type="dxa" w:w="1545"/>
            <w:tcBorders>
              <w:top w:val="nil"/>
              <w:left w:val="nil"/>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Phaistos Older Axis</w:t>
            </w:r>
          </w:p>
        </w:tc>
        <w:tc>
          <w:tcPr>
            <w:tcW w:type="dxa" w:w="1522"/>
            <w:tcBorders>
              <w:top w:val="nil"/>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91.03</w:t>
            </w:r>
            <w:r>
              <w:rPr>
                <w:rFonts w:ascii="Times New Roman" w:hAnsi="Times New Roman" w:hint="default"/>
                <w:sz w:val="18"/>
                <w:szCs w:val="18"/>
                <w:rtl w:val="0"/>
              </w:rPr>
              <w:t>°</w:t>
            </w:r>
          </w:p>
        </w:tc>
        <w:tc>
          <w:tcPr>
            <w:tcW w:type="dxa" w:w="2528"/>
            <w:tcBorders>
              <w:top w:val="nil"/>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91.25</w:t>
            </w:r>
            <w:r>
              <w:rPr>
                <w:rFonts w:ascii="Times New Roman" w:hAnsi="Times New Roman" w:hint="default"/>
                <w:sz w:val="18"/>
                <w:szCs w:val="18"/>
                <w:rtl w:val="0"/>
              </w:rPr>
              <w:t>°</w:t>
            </w:r>
          </w:p>
        </w:tc>
        <w:tc>
          <w:tcPr>
            <w:tcW w:type="dxa" w:w="1882"/>
            <w:tcBorders>
              <w:top w:val="nil"/>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Qatna</w:t>
            </w:r>
          </w:p>
        </w:tc>
        <w:tc>
          <w:tcPr>
            <w:tcW w:type="dxa" w:w="1882"/>
            <w:tcBorders>
              <w:top w:val="nil"/>
              <w:left w:val="single" w:color="000000" w:sz="2" w:space="0" w:shadow="0" w:frame="0"/>
              <w:bottom w:val="nil"/>
              <w:right w:val="nil"/>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0.22</w:t>
            </w:r>
            <w:r>
              <w:rPr>
                <w:rFonts w:ascii="Times New Roman" w:hAnsi="Times New Roman" w:hint="default"/>
                <w:sz w:val="18"/>
                <w:szCs w:val="18"/>
                <w:rtl w:val="0"/>
              </w:rPr>
              <w:t>°</w:t>
            </w:r>
          </w:p>
        </w:tc>
      </w:tr>
      <w:tr>
        <w:tblPrEx>
          <w:shd w:val="clear" w:color="auto" w:fill="auto"/>
        </w:tblPrEx>
        <w:trPr>
          <w:trHeight w:val="396" w:hRule="atLeast"/>
        </w:trPr>
        <w:tc>
          <w:tcPr>
            <w:tcW w:type="dxa" w:w="1545"/>
            <w:tcBorders>
              <w:top w:val="nil"/>
              <w:left w:val="nil"/>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Phaistos Drain Axis</w:t>
            </w:r>
          </w:p>
        </w:tc>
        <w:tc>
          <w:tcPr>
            <w:tcW w:type="dxa" w:w="1522"/>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95.21</w:t>
            </w:r>
            <w:r>
              <w:rPr>
                <w:rFonts w:ascii="Times New Roman" w:hAnsi="Times New Roman" w:hint="default"/>
                <w:sz w:val="18"/>
                <w:szCs w:val="18"/>
                <w:rtl w:val="0"/>
              </w:rPr>
              <w:t>°</w:t>
            </w:r>
          </w:p>
        </w:tc>
        <w:tc>
          <w:tcPr>
            <w:tcW w:type="dxa" w:w="2528"/>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95.86</w:t>
            </w:r>
            <w:r>
              <w:rPr>
                <w:rFonts w:ascii="Times New Roman" w:hAnsi="Times New Roman" w:hint="default"/>
                <w:sz w:val="18"/>
                <w:szCs w:val="18"/>
                <w:rtl w:val="0"/>
              </w:rPr>
              <w:t>°</w:t>
            </w:r>
          </w:p>
        </w:tc>
        <w:tc>
          <w:tcPr>
            <w:tcW w:type="dxa" w:w="1882"/>
            <w:tcBorders>
              <w:top w:val="nil"/>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Byblos</w:t>
            </w:r>
          </w:p>
        </w:tc>
        <w:tc>
          <w:tcPr>
            <w:tcW w:type="dxa" w:w="1882"/>
            <w:tcBorders>
              <w:top w:val="nil"/>
              <w:left w:val="single" w:color="000000" w:sz="2" w:space="0" w:shadow="0" w:frame="0"/>
              <w:bottom w:val="single" w:color="000000" w:sz="2" w:space="0" w:shadow="0" w:frame="0"/>
              <w:right w:val="nil"/>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0.65</w:t>
            </w:r>
            <w:r>
              <w:rPr>
                <w:rFonts w:ascii="Times New Roman" w:hAnsi="Times New Roman" w:hint="default"/>
                <w:sz w:val="18"/>
                <w:szCs w:val="18"/>
                <w:rtl w:val="0"/>
              </w:rPr>
              <w:t>°</w:t>
            </w:r>
          </w:p>
        </w:tc>
      </w:tr>
      <w:tr>
        <w:tblPrEx>
          <w:shd w:val="clear" w:color="auto" w:fill="auto"/>
        </w:tblPrEx>
        <w:trPr>
          <w:trHeight w:val="196" w:hRule="atLeast"/>
        </w:trPr>
        <w:tc>
          <w:tcPr>
            <w:tcW w:type="dxa" w:w="1545"/>
            <w:tcBorders>
              <w:top w:val="single" w:color="000000" w:sz="2" w:space="0" w:shadow="0" w:frame="0"/>
              <w:left w:val="nil"/>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Zakros</w:t>
            </w:r>
          </w:p>
        </w:tc>
        <w:tc>
          <w:tcPr>
            <w:tcW w:type="dxa" w:w="1522"/>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127.5528</w:t>
            </w:r>
            <w:r>
              <w:rPr>
                <w:rFonts w:ascii="Times New Roman" w:hAnsi="Times New Roman" w:hint="default"/>
                <w:sz w:val="18"/>
                <w:szCs w:val="18"/>
                <w:rtl w:val="0"/>
              </w:rPr>
              <w:t>°</w:t>
            </w:r>
          </w:p>
        </w:tc>
        <w:tc>
          <w:tcPr>
            <w:tcW w:type="dxa" w:w="2528"/>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127.43</w:t>
            </w:r>
            <w:r>
              <w:rPr>
                <w:rFonts w:ascii="Times New Roman" w:hAnsi="Times New Roman" w:hint="default"/>
                <w:sz w:val="18"/>
                <w:szCs w:val="18"/>
                <w:rtl w:val="0"/>
              </w:rPr>
              <w:t>°</w:t>
            </w:r>
          </w:p>
        </w:tc>
        <w:tc>
          <w:tcPr>
            <w:tcW w:type="dxa" w:w="1882"/>
            <w:tcBorders>
              <w:top w:val="single" w:color="000000" w:sz="2" w:space="0" w:shadow="0" w:frame="0"/>
              <w:left w:val="single" w:color="000000" w:sz="2" w:space="0" w:shadow="0" w:frame="0"/>
              <w:bottom w:val="nil"/>
              <w:right w:val="single" w:color="000000" w:sz="2"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Pellusium</w:t>
            </w:r>
          </w:p>
        </w:tc>
        <w:tc>
          <w:tcPr>
            <w:tcW w:type="dxa" w:w="1882"/>
            <w:tcBorders>
              <w:top w:val="single" w:color="000000" w:sz="2" w:space="0" w:shadow="0" w:frame="0"/>
              <w:left w:val="single" w:color="000000" w:sz="2" w:space="0" w:shadow="0" w:frame="0"/>
              <w:bottom w:val="nil"/>
              <w:right w:val="nil"/>
            </w:tcBorders>
            <w:shd w:val="clear" w:color="auto" w:fill="auto"/>
            <w:tcMar>
              <w:top w:type="dxa" w:w="80"/>
              <w:left w:type="dxa" w:w="80"/>
              <w:bottom w:type="dxa" w:w="80"/>
              <w:right w:type="dxa" w:w="80"/>
            </w:tcMar>
            <w:vAlign w:val="top"/>
          </w:tcPr>
          <w:p>
            <w:pPr>
              <w:pStyle w:val="Table Style 2"/>
            </w:pPr>
            <w:r>
              <w:rPr>
                <w:rFonts w:ascii="Times New Roman" w:hAnsi="Times New Roman"/>
                <w:sz w:val="18"/>
                <w:szCs w:val="18"/>
                <w:rtl w:val="0"/>
              </w:rPr>
              <w:t>0.1228</w:t>
            </w:r>
            <w:r>
              <w:rPr>
                <w:rFonts w:ascii="Times New Roman" w:hAnsi="Times New Roman" w:hint="default"/>
                <w:sz w:val="18"/>
                <w:szCs w:val="18"/>
                <w:rtl w:val="0"/>
              </w:rPr>
              <w:t>°</w:t>
            </w:r>
          </w:p>
        </w:tc>
      </w:tr>
    </w:tbl>
    <w:p>
      <w:pPr>
        <w:pStyle w:val="Body A"/>
        <w:ind w:firstLine="0"/>
      </w:pPr>
    </w:p>
    <w:p>
      <w:pPr>
        <w:pStyle w:val="Image Caption"/>
      </w:pPr>
      <w:bookmarkStart w:name="_Toc47" w:id="47"/>
      <w:r>
        <w:rPr>
          <w:rFonts w:cs="Arial Unicode MS" w:eastAsia="Arial Unicode MS"/>
          <w:b w:val="1"/>
          <w:bCs w:val="1"/>
          <w:rtl w:val="0"/>
          <w:lang w:val="en-US"/>
        </w:rPr>
        <w:t>Table 2</w:t>
      </w:r>
      <w:r>
        <w:rPr>
          <w:rFonts w:cs="Arial Unicode MS" w:eastAsia="Arial Unicode MS"/>
          <w:rtl w:val="0"/>
        </w:rPr>
        <w:t>. Comparison of palace courtyard axes with rhumb line azimuths of possible trade route destinations.</w:t>
      </w:r>
      <w:bookmarkEnd w:id="47"/>
    </w:p>
    <w:p>
      <w:pPr>
        <w:pStyle w:val="Image Caption"/>
      </w:pPr>
    </w:p>
    <w:p>
      <w:pPr>
        <w:pStyle w:val="Body A"/>
      </w:pPr>
      <w:r>
        <w:rPr>
          <w:rtl w:val="0"/>
        </w:rPr>
        <w:t>Three factors were major complicators for achieving a high degree of accuracy. First, t</w:t>
      </w:r>
      <w:r>
        <w:rPr>
          <w:rtl w:val="0"/>
        </w:rPr>
        <w:t xml:space="preserve">he construction dates for the palaces </w:t>
      </w:r>
      <w:r>
        <w:rPr>
          <w:rtl w:val="0"/>
        </w:rPr>
        <w:t>can only be estimated, and in some cases it is unknown whether Old Palace constructions</w:t>
      </w:r>
      <w:r>
        <w:rPr>
          <w:rtl w:val="0"/>
        </w:rPr>
        <w:t xml:space="preserve"> had similar orientations as the </w:t>
      </w:r>
      <w:r>
        <w:rPr>
          <w:rtl w:val="0"/>
        </w:rPr>
        <w:t>New Palace phases</w:t>
      </w:r>
      <w:r>
        <w:rPr>
          <w:rtl w:val="0"/>
        </w:rPr>
        <w:t xml:space="preserve">. </w:t>
      </w:r>
      <w:r>
        <w:rPr>
          <w:rtl w:val="0"/>
        </w:rPr>
        <w:t>Second</w:t>
      </w:r>
      <w:r>
        <w:rPr>
          <w:rtl w:val="0"/>
        </w:rPr>
        <w:t xml:space="preserve">, the beginning of trade relations between Crete and the corresponding Levantine cities are </w:t>
      </w:r>
      <w:r>
        <w:rPr>
          <w:rtl w:val="0"/>
        </w:rPr>
        <w:t>unclear in some cases</w:t>
      </w:r>
      <w:r>
        <w:rPr>
          <w:rtl w:val="0"/>
        </w:rPr>
        <w:t xml:space="preserve">. </w:t>
      </w:r>
      <w:r>
        <w:rPr>
          <w:rtl w:val="0"/>
        </w:rPr>
        <w:t>Third, as it is well known, s</w:t>
      </w:r>
      <w:r>
        <w:rPr>
          <w:rtl w:val="0"/>
        </w:rPr>
        <w:t xml:space="preserve">tars do not maintain a single rising or setting azimuth throughout the </w:t>
      </w:r>
      <w:r>
        <w:rPr>
          <w:rtl w:val="0"/>
        </w:rPr>
        <w:t xml:space="preserve">passing </w:t>
      </w:r>
      <w:r>
        <w:rPr>
          <w:rtl w:val="0"/>
        </w:rPr>
        <w:t xml:space="preserve">centuries due to the effects of </w:t>
      </w:r>
      <w:r>
        <w:rPr>
          <w:rtl w:val="0"/>
        </w:rPr>
        <w:t xml:space="preserve">axial </w:t>
      </w:r>
      <w:r>
        <w:rPr>
          <w:rtl w:val="0"/>
        </w:rPr>
        <w:t>precession. Therefore, the azimuth of the high magnitude candidate stars were plotted on a chart</w:t>
      </w:r>
      <w:r>
        <w:rPr>
          <w:rtl w:val="0"/>
        </w:rPr>
        <w:t xml:space="preserve"> </w:t>
      </w:r>
      <w:r>
        <w:rPr>
          <w:rtl w:val="0"/>
        </w:rPr>
        <w:t>(Fig. 17)</w:t>
      </w:r>
      <w:r>
        <w:rPr>
          <w:rtl w:val="0"/>
        </w:rPr>
        <w:t>.</w:t>
      </w:r>
      <w:r>
        <w:rPr>
          <w:rtl w:val="0"/>
        </w:rPr>
        <w:t xml:space="preserve"> </w:t>
      </w:r>
      <w:r>
        <w:rPr>
          <w:rtl w:val="0"/>
        </w:rPr>
        <w:t xml:space="preserve">The </w:t>
      </w:r>
      <w:r>
        <w:rPr>
          <w:rtl w:val="0"/>
        </w:rPr>
        <w:t>palace courtyard ax</w:t>
      </w:r>
      <w:r>
        <w:rPr>
          <w:rtl w:val="0"/>
        </w:rPr>
        <w:t>e</w:t>
      </w:r>
      <w:r>
        <w:rPr>
          <w:rtl w:val="0"/>
        </w:rPr>
        <w:t xml:space="preserve">s </w:t>
      </w:r>
      <w:r>
        <w:rPr>
          <w:rtl w:val="0"/>
        </w:rPr>
        <w:t>and</w:t>
      </w:r>
      <w:r>
        <w:rPr>
          <w:rtl w:val="0"/>
        </w:rPr>
        <w:t xml:space="preserve"> </w:t>
      </w:r>
      <w:r>
        <w:rPr>
          <w:rtl w:val="0"/>
        </w:rPr>
        <w:t xml:space="preserve">the </w:t>
      </w:r>
      <w:r>
        <w:rPr>
          <w:rtl w:val="0"/>
        </w:rPr>
        <w:t>rhumb line</w:t>
      </w:r>
      <w:r>
        <w:rPr>
          <w:rtl w:val="0"/>
        </w:rPr>
        <w:t>s</w:t>
      </w:r>
      <w:r>
        <w:rPr>
          <w:rtl w:val="0"/>
        </w:rPr>
        <w:t xml:space="preserve"> </w:t>
      </w:r>
      <w:r>
        <w:rPr>
          <w:rtl w:val="0"/>
        </w:rPr>
        <w:t>were compared to the star paths</w:t>
      </w:r>
      <w:r>
        <w:rPr>
          <w:rtl w:val="0"/>
        </w:rPr>
        <w:t xml:space="preserve"> to find probabl</w:t>
      </w:r>
      <w:r>
        <w:rPr>
          <w:rtl w:val="0"/>
        </w:rPr>
        <w:t>e</w:t>
      </w:r>
      <w:r>
        <w:rPr>
          <w:rtl w:val="0"/>
        </w:rPr>
        <w:t xml:space="preserve"> time range periods where the</w:t>
      </w:r>
      <w:r>
        <w:rPr>
          <w:rtl w:val="0"/>
        </w:rPr>
        <w:t>y coincide</w:t>
      </w:r>
      <w:r>
        <w:rPr>
          <w:rtl w:val="0"/>
        </w:rPr>
        <w:t>.</w:t>
      </w:r>
      <w:r>
        <w:rPr>
          <w:rtl w:val="0"/>
        </w:rPr>
        <w:t xml:space="preserve"> One can see</w:t>
      </w:r>
      <w:r>
        <w:rPr>
          <w:rtl w:val="0"/>
        </w:rPr>
        <w:t xml:space="preserve"> that all four palaces </w:t>
      </w:r>
      <w:r>
        <w:rPr>
          <w:rtl w:val="0"/>
        </w:rPr>
        <w:t>are</w:t>
      </w:r>
      <w:r>
        <w:rPr>
          <w:rtl w:val="0"/>
        </w:rPr>
        <w:t xml:space="preserve"> oriented toward the brightest stars of their particular constellations: Phaistos with </w:t>
      </w:r>
      <w:r>
        <w:rPr>
          <w:rtl w:val="0"/>
        </w:rPr>
        <w:t>α </w:t>
      </w:r>
      <w:r>
        <w:rPr>
          <w:rtl w:val="0"/>
        </w:rPr>
        <w:t xml:space="preserve">Tauri (Aldebaran) and </w:t>
      </w:r>
      <w:r>
        <w:rPr>
          <w:rtl w:val="0"/>
        </w:rPr>
        <w:t>α </w:t>
      </w:r>
      <w:r>
        <w:rPr>
          <w:rtl w:val="0"/>
        </w:rPr>
        <w:t xml:space="preserve">Orionis (Betelgeuse), Knossos with </w:t>
      </w:r>
      <w:r>
        <w:rPr>
          <w:rtl w:val="0"/>
        </w:rPr>
        <w:t>α </w:t>
      </w:r>
      <w:r>
        <w:rPr>
          <w:rtl w:val="0"/>
        </w:rPr>
        <w:t xml:space="preserve">Virginis (Spica), and Zakros with </w:t>
      </w:r>
      <w:r>
        <w:rPr>
          <w:rtl w:val="0"/>
        </w:rPr>
        <w:t>α </w:t>
      </w:r>
      <w:r>
        <w:rPr>
          <w:rtl w:val="0"/>
        </w:rPr>
        <w:t xml:space="preserve">Leporem (Arneb), </w:t>
      </w:r>
      <w:r>
        <w:rPr>
          <w:rtl w:val="0"/>
        </w:rPr>
        <w:t>α </w:t>
      </w:r>
      <w:r>
        <w:rPr>
          <w:rtl w:val="0"/>
        </w:rPr>
        <w:t xml:space="preserve">Perseii and </w:t>
      </w:r>
      <w:r>
        <w:rPr>
          <w:rtl w:val="0"/>
        </w:rPr>
        <w:t>α </w:t>
      </w:r>
      <w:r>
        <w:rPr>
          <w:rtl w:val="0"/>
          <w:lang w:val="it-IT"/>
        </w:rPr>
        <w:t>Geminorum (Castor). Malia</w:t>
      </w:r>
      <w:r>
        <w:rPr>
          <w:rtl w:val="0"/>
        </w:rPr>
        <w:t>’</w:t>
      </w:r>
      <w:r>
        <w:rPr>
          <w:rtl w:val="0"/>
        </w:rPr>
        <w:t xml:space="preserve">s </w:t>
      </w:r>
      <w:r>
        <w:rPr>
          <w:rtl w:val="0"/>
        </w:rPr>
        <w:t xml:space="preserve">β </w:t>
      </w:r>
      <w:r>
        <w:rPr>
          <w:rtl w:val="0"/>
          <w:lang w:val="it-IT"/>
        </w:rPr>
        <w:t>Andromedae (</w:t>
      </w:r>
      <w:r>
        <w:rPr>
          <w:rtl w:val="0"/>
        </w:rPr>
        <w:t>Mirach</w:t>
      </w:r>
      <w:r>
        <w:rPr>
          <w:rtl w:val="0"/>
        </w:rPr>
        <w:t xml:space="preserve">) </w:t>
      </w:r>
      <w:r>
        <w:rPr>
          <w:rtl w:val="0"/>
        </w:rPr>
        <w:t>is</w:t>
      </w:r>
      <w:r>
        <w:rPr>
          <w:rtl w:val="0"/>
        </w:rPr>
        <w:t xml:space="preserve"> the exception, although it may be considered the brightest star of Andromeda, since Alpheratz </w:t>
      </w:r>
      <w:r>
        <w:rPr>
          <w:rtl w:val="0"/>
        </w:rPr>
        <w:t>(</w:t>
      </w:r>
      <w:r>
        <w:rPr>
          <w:rtl w:val="0"/>
        </w:rPr>
        <w:t>α </w:t>
      </w:r>
      <w:r>
        <w:rPr>
          <w:rtl w:val="0"/>
        </w:rPr>
        <w:t xml:space="preserve">And) </w:t>
      </w:r>
      <w:r>
        <w:rPr>
          <w:rtl w:val="0"/>
        </w:rPr>
        <w:t xml:space="preserve">is traditionally </w:t>
      </w:r>
      <w:r>
        <w:rPr>
          <w:rtl w:val="0"/>
        </w:rPr>
        <w:t>also part of</w:t>
      </w:r>
      <w:r>
        <w:rPr>
          <w:rtl w:val="0"/>
          <w:lang w:val="pt-PT"/>
        </w:rPr>
        <w:t xml:space="preserve"> Pegasus.</w:t>
      </w:r>
    </w:p>
    <w:p>
      <w:pPr>
        <w:pStyle w:val="Image A"/>
        <w:jc w:val="right"/>
      </w:pPr>
      <w:r>
        <w:drawing xmlns:a="http://schemas.openxmlformats.org/drawingml/2006/main">
          <wp:inline distT="0" distB="0" distL="0" distR="0">
            <wp:extent cx="5943600" cy="5605822"/>
            <wp:effectExtent l="0" t="0" r="0" b="0"/>
            <wp:docPr id="1073741845" name="officeArt object" descr="Image"/>
            <wp:cNvGraphicFramePr/>
            <a:graphic xmlns:a="http://schemas.openxmlformats.org/drawingml/2006/main">
              <a:graphicData uri="http://schemas.openxmlformats.org/drawingml/2006/picture">
                <pic:pic xmlns:pic="http://schemas.openxmlformats.org/drawingml/2006/picture">
                  <pic:nvPicPr>
                    <pic:cNvPr id="1073741845" name="Image" descr="Image"/>
                    <pic:cNvPicPr>
                      <a:picLocks noChangeAspect="1"/>
                    </pic:cNvPicPr>
                  </pic:nvPicPr>
                  <pic:blipFill>
                    <a:blip r:embed="rId24">
                      <a:extLst/>
                    </a:blip>
                    <a:srcRect l="0" t="0" r="0" b="0"/>
                    <a:stretch>
                      <a:fillRect/>
                    </a:stretch>
                  </pic:blipFill>
                  <pic:spPr>
                    <a:xfrm>
                      <a:off x="0" y="0"/>
                      <a:ext cx="5943600" cy="5605822"/>
                    </a:xfrm>
                    <a:prstGeom prst="rect">
                      <a:avLst/>
                    </a:prstGeom>
                    <a:ln w="12700" cap="flat">
                      <a:noFill/>
                      <a:miter lim="400000"/>
                    </a:ln>
                    <a:effectLst/>
                  </pic:spPr>
                </pic:pic>
              </a:graphicData>
            </a:graphic>
          </wp:inline>
        </w:drawing>
      </w:r>
      <w:r>
        <w:drawing xmlns:a="http://schemas.openxmlformats.org/drawingml/2006/main">
          <wp:inline distT="0" distB="0" distL="0" distR="0">
            <wp:extent cx="2134894" cy="1328749"/>
            <wp:effectExtent l="0" t="0" r="0" b="0"/>
            <wp:docPr id="1073741846" name="officeArt object" descr="Image"/>
            <wp:cNvGraphicFramePr/>
            <a:graphic xmlns:a="http://schemas.openxmlformats.org/drawingml/2006/main">
              <a:graphicData uri="http://schemas.openxmlformats.org/drawingml/2006/picture">
                <pic:pic xmlns:pic="http://schemas.openxmlformats.org/drawingml/2006/picture">
                  <pic:nvPicPr>
                    <pic:cNvPr id="1073741846" name="Image" descr="Image"/>
                    <pic:cNvPicPr>
                      <a:picLocks noChangeAspect="1"/>
                    </pic:cNvPicPr>
                  </pic:nvPicPr>
                  <pic:blipFill>
                    <a:blip r:embed="rId25">
                      <a:extLst/>
                    </a:blip>
                    <a:stretch>
                      <a:fillRect/>
                    </a:stretch>
                  </pic:blipFill>
                  <pic:spPr>
                    <a:xfrm>
                      <a:off x="0" y="0"/>
                      <a:ext cx="2134894" cy="1328749"/>
                    </a:xfrm>
                    <a:prstGeom prst="rect">
                      <a:avLst/>
                    </a:prstGeom>
                    <a:ln w="12700" cap="flat">
                      <a:noFill/>
                      <a:miter lim="400000"/>
                    </a:ln>
                    <a:effectLst/>
                  </pic:spPr>
                </pic:pic>
              </a:graphicData>
            </a:graphic>
          </wp:inline>
        </w:drawing>
      </w:r>
    </w:p>
    <w:p>
      <w:pPr>
        <w:pStyle w:val="Image Caption"/>
      </w:pPr>
      <w:bookmarkStart w:name="_Toc48" w:id="48"/>
      <w:r>
        <w:rPr>
          <w:rFonts w:cs="Arial Unicode MS" w:eastAsia="Arial Unicode MS"/>
          <w:b w:val="1"/>
          <w:bCs w:val="1"/>
          <w:rtl w:val="0"/>
          <w:lang w:val="en-US"/>
        </w:rPr>
        <w:t xml:space="preserve"> </w:t>
      </w:r>
      <w:r>
        <w:rPr>
          <w:rFonts w:cs="Arial Unicode MS" w:eastAsia="Arial Unicode MS"/>
          <w:b w:val="1"/>
          <w:bCs w:val="1"/>
          <w:rtl w:val="0"/>
          <w:lang w:val="en-US"/>
        </w:rPr>
        <w:t>Fig 17</w:t>
      </w:r>
      <w:r>
        <w:rPr>
          <w:rFonts w:cs="Arial Unicode MS" w:eastAsia="Arial Unicode MS"/>
          <w:rtl w:val="0"/>
        </w:rPr>
        <w:t xml:space="preserve">. </w:t>
      </w:r>
      <w:r>
        <w:rPr>
          <w:rFonts w:cs="Arial Unicode MS" w:eastAsia="Arial Unicode MS"/>
          <w:rtl w:val="0"/>
        </w:rPr>
        <w:t>Rhumb lines between palaces and non-Minoan ports associated to courtyard orientations and star paths.</w:t>
      </w:r>
      <w:bookmarkEnd w:id="48"/>
    </w:p>
    <w:p>
      <w:pPr>
        <w:pStyle w:val="Body A"/>
      </w:pPr>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Any </w:t>
      </w:r>
      <w:r>
        <w:rPr>
          <w:rFonts w:ascii="Times New Roman" w:hAnsi="Times New Roman"/>
          <w:u w:color="000000"/>
          <w:rtl w:val="0"/>
          <w:lang w:val="en-US"/>
          <w14:textOutline w14:w="12700" w14:cap="flat">
            <w14:noFill/>
            <w14:miter w14:lim="400000"/>
          </w14:textOutline>
        </w:rPr>
        <w:t>systematic</w:t>
      </w:r>
      <w:r>
        <w:rPr>
          <w:rFonts w:ascii="Times New Roman" w:hAnsi="Times New Roman"/>
          <w:u w:color="000000"/>
          <w:rtl w:val="0"/>
          <w:lang w:val="en-US"/>
          <w14:textOutline w14:w="12700" w14:cap="flat">
            <w14:noFill/>
            <w14:miter w14:lim="400000"/>
          </w14:textOutline>
        </w:rPr>
        <w:t xml:space="preserve"> analysis of Minoan culture must rest on the culture</w:t>
      </w:r>
      <w:r>
        <w:rPr>
          <w:rFonts w:ascii="Times New Roman" w:hAnsi="Times New Roman" w:hint="default"/>
          <w:u w:color="000000"/>
          <w:rtl w:val="1"/>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heavy reliance on international maritime trade. Although the</w:t>
      </w:r>
      <w:r>
        <w:rPr>
          <w:rFonts w:ascii="Times New Roman" w:hAnsi="Times New Roman"/>
          <w:u w:color="000000"/>
          <w:rtl w:val="0"/>
          <w:lang w:val="en-US"/>
          <w14:textOutline w14:w="12700" w14:cap="flat">
            <w14:noFill/>
            <w14:miter w14:lim="400000"/>
          </w14:textOutline>
        </w:rPr>
        <w:t xml:space="preserve"> current</w:t>
      </w:r>
      <w:r>
        <w:rPr>
          <w:rFonts w:ascii="Times New Roman" w:hAnsi="Times New Roman"/>
          <w:u w:color="000000"/>
          <w:rtl w:val="0"/>
          <w:lang w:val="en-US"/>
          <w14:textOutline w14:w="12700" w14:cap="flat">
            <w14:noFill/>
            <w14:miter w14:lim="400000"/>
          </w14:textOutline>
        </w:rPr>
        <w:t xml:space="preserve"> findings do not exclude Doxtater</w:t>
      </w:r>
      <w:r>
        <w:rPr>
          <w:rFonts w:ascii="Times New Roman" w:hAnsi="Times New Roman" w:hint="default"/>
          <w:u w:color="000000"/>
          <w:rtl w:val="1"/>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hypothesis that the </w:t>
      </w:r>
      <w:r>
        <w:rPr>
          <w:rFonts w:ascii="Times New Roman" w:hAnsi="Times New Roman"/>
          <w:u w:color="000000"/>
          <w:rtl w:val="0"/>
          <w:lang w:val="en-US"/>
          <w14:textOutline w14:w="12700" w14:cap="flat">
            <w14:noFill/>
            <w14:miter w14:lim="400000"/>
          </w14:textOutline>
        </w:rPr>
        <w:t xml:space="preserve">Minoans laid out the </w:t>
      </w:r>
      <w:r>
        <w:rPr>
          <w:rFonts w:ascii="Times New Roman" w:hAnsi="Times New Roman"/>
          <w:u w:color="000000"/>
          <w:rtl w:val="0"/>
          <w:lang w:val="en-US"/>
          <w14:textOutline w14:w="12700" w14:cap="flat">
            <w14:noFill/>
            <w14:miter w14:lim="400000"/>
          </w14:textOutline>
        </w:rPr>
        <w:t xml:space="preserve">palaces in </w:t>
      </w:r>
      <w:r>
        <w:rPr>
          <w:rFonts w:ascii="Times New Roman" w:hAnsi="Times New Roman"/>
          <w:u w:color="000000"/>
          <w:rtl w:val="0"/>
          <w:lang w:val="en-US"/>
          <w14:textOutline w14:w="12700" w14:cap="flat">
            <w14:noFill/>
            <w14:miter w14:lim="400000"/>
          </w14:textOutline>
        </w:rPr>
        <w:t xml:space="preserve">a large-scale </w:t>
      </w:r>
      <w:r>
        <w:rPr>
          <w:rFonts w:ascii="Times New Roman" w:hAnsi="Times New Roman"/>
          <w:u w:color="000000"/>
          <w:rtl w:val="0"/>
          <w14:textOutline w14:w="12700" w14:cap="flat">
            <w14:noFill/>
            <w14:miter w14:lim="400000"/>
          </w14:textOutline>
        </w:rPr>
        <w:t>geometr</w:t>
      </w:r>
      <w:r>
        <w:rPr>
          <w:rFonts w:ascii="Times New Roman" w:hAnsi="Times New Roman"/>
          <w:u w:color="000000"/>
          <w:rtl w:val="0"/>
          <w:lang w:val="en-US"/>
          <w14:textOutline w14:w="12700" w14:cap="flat">
            <w14:noFill/>
            <w14:miter w14:lim="400000"/>
          </w14:textOutline>
        </w:rPr>
        <w:t xml:space="preserve">y </w:t>
      </w:r>
      <w:r>
        <w:rPr>
          <w:rFonts w:ascii="Times New Roman" w:hAnsi="Times New Roman"/>
          <w:u w:color="000000"/>
          <w:rtl w:val="0"/>
          <w:lang w:val="en-US"/>
          <w14:textOutline w14:w="12700" w14:cap="flat">
            <w14:noFill/>
            <w14:miter w14:lim="400000"/>
          </w14:textOutline>
        </w:rPr>
        <w:t>to each other and sacred caves</w:t>
      </w:r>
      <w:r>
        <w:rPr>
          <w:rFonts w:ascii="Times New Roman" w:hAnsi="Times New Roman"/>
          <w:u w:color="000000"/>
          <w:rtl w:val="0"/>
          <w:lang w:val="en-US"/>
          <w14:textOutline w14:w="12700" w14:cap="flat">
            <w14:noFill/>
            <w14:miter w14:lim="400000"/>
          </w14:textOutline>
        </w:rPr>
        <w:t xml:space="preserve">, he did not consider stellar navigation as a motivational factor for the orientations. As already cited, Blomberg and Henriksson, on other hand, suggest that the celestial alignments on peak sanctuaries may be related star navigation techniques. They even propose that the Minoans may have used similar techniques as the Pacific islanders for navigation. However, their research did not link star paths, rhumb lines, trading destinations, and palace orientations. </w:t>
      </w:r>
      <w:r>
        <w:rPr>
          <w:rFonts w:ascii="Times New Roman" w:hAnsi="Times New Roman"/>
          <w:u w:color="000000"/>
          <w:rtl w:val="0"/>
          <w:lang w:val="en-US"/>
          <w14:textOutline w14:w="12700" w14:cap="flat">
            <w14:noFill/>
            <w14:miter w14:lim="400000"/>
          </w14:textOutline>
        </w:rPr>
        <w:t>A discussion of the particular palace orientations with associated star paths and rhumb lines follows.</w:t>
      </w:r>
    </w:p>
    <w:p>
      <w:pPr>
        <w:pStyle w:val="Body A"/>
        <w:ind w:firstLine="0"/>
      </w:pPr>
    </w:p>
    <w:p>
      <w:pPr>
        <w:pStyle w:val="Heading Reg"/>
        <w:rPr>
          <w:u w:val="none"/>
        </w:rPr>
      </w:pPr>
      <w:bookmarkStart w:name="_Toc49" w:id="49"/>
      <w:r>
        <w:rPr>
          <w:rFonts w:cs="Arial Unicode MS" w:eastAsia="Arial Unicode MS"/>
          <w:rtl w:val="0"/>
          <w:lang w:val="en-US"/>
        </w:rPr>
        <w:t>Knossos to Sidon</w:t>
      </w:r>
      <w:bookmarkEnd w:id="49"/>
    </w:p>
    <w:p>
      <w:pPr>
        <w:pStyle w:val="Body A"/>
        <w:rPr>
          <w:u w:val="none"/>
        </w:rPr>
      </w:pPr>
    </w:p>
    <w:p>
      <w:pPr>
        <w:pStyle w:val="Body A"/>
      </w:pPr>
      <w:r>
        <w:rPr>
          <w:u w:val="none"/>
          <w:rtl w:val="0"/>
          <w:lang w:val="en-US"/>
        </w:rPr>
        <w:t>The</w:t>
      </w:r>
      <w:r>
        <w:rPr>
          <w:rtl w:val="0"/>
        </w:rPr>
        <w:t xml:space="preserve"> </w:t>
      </w:r>
      <w:r>
        <w:rPr>
          <w:rtl w:val="0"/>
        </w:rPr>
        <w:t xml:space="preserve">collected </w:t>
      </w:r>
      <w:r>
        <w:rPr>
          <w:rtl w:val="0"/>
        </w:rPr>
        <w:t>compass data records that the Knossos palace</w:t>
      </w:r>
      <w:r>
        <w:rPr>
          <w:rtl w:val="0"/>
        </w:rPr>
        <w:t>’</w:t>
      </w:r>
      <w:r>
        <w:rPr>
          <w:rtl w:val="0"/>
        </w:rPr>
        <w:t xml:space="preserve">s east-west axis was oriented toward the azimuth of </w:t>
      </w:r>
      <w:r>
        <w:rPr>
          <w:rtl w:val="0"/>
        </w:rPr>
        <w:t>101.03</w:t>
      </w:r>
      <w:r>
        <w:rPr>
          <w:rtl w:val="0"/>
        </w:rPr>
        <w:t xml:space="preserve">° </w:t>
      </w:r>
      <w:r>
        <w:rPr>
          <w:rtl w:val="0"/>
        </w:rPr>
        <w:t>(Table 1). The rhumb line from Knossos, traversing Crete</w:t>
      </w:r>
      <w:r>
        <w:rPr>
          <w:rtl w:val="0"/>
        </w:rPr>
        <w:t>’</w:t>
      </w:r>
      <w:r>
        <w:rPr>
          <w:rtl w:val="0"/>
        </w:rPr>
        <w:t xml:space="preserve">s eastern shore, reaches Sidon at the </w:t>
      </w:r>
      <w:r>
        <w:rPr>
          <w:rtl w:val="0"/>
        </w:rPr>
        <w:t>constant azimuth</w:t>
      </w:r>
      <w:r>
        <w:rPr>
          <w:rtl w:val="0"/>
        </w:rPr>
        <w:t xml:space="preserve"> of </w:t>
      </w:r>
      <w:r>
        <w:rPr>
          <w:rtl w:val="0"/>
        </w:rPr>
        <w:t>101.56</w:t>
      </w:r>
      <w:r>
        <w:rPr>
          <w:rtl w:val="0"/>
          <w:lang w:val="it-IT"/>
        </w:rPr>
        <w:t>°</w:t>
      </w:r>
      <w:r>
        <w:rPr>
          <w:rtl w:val="0"/>
        </w:rPr>
        <w:t>, a variation of half a degree from</w:t>
      </w:r>
      <w:r>
        <w:rPr>
          <w:rtl w:val="0"/>
          <w:lang w:val="pt-PT"/>
        </w:rPr>
        <w:t xml:space="preserve"> the palace axis</w:t>
      </w:r>
      <w:r>
        <w:rPr>
          <w:rtl w:val="0"/>
        </w:rPr>
        <w:t xml:space="preserve"> </w:t>
      </w:r>
      <w:r>
        <w:rPr>
          <w:rtl w:val="0"/>
          <w:lang w:val="fr-FR"/>
        </w:rPr>
        <w:t xml:space="preserve">(Table </w:t>
      </w:r>
      <w:r>
        <w:rPr>
          <w:rtl w:val="0"/>
        </w:rPr>
        <w:t>1</w:t>
      </w:r>
      <w:r>
        <w:rPr>
          <w:rtl w:val="0"/>
        </w:rPr>
        <w:t>)</w:t>
      </w:r>
      <w:r>
        <w:rPr>
          <w:rtl w:val="0"/>
        </w:rPr>
        <w:t>. Shaw</w:t>
      </w:r>
      <w:r>
        <w:rPr>
          <w:rtl w:val="0"/>
        </w:rPr>
        <w:t>’</w:t>
      </w:r>
      <w:r>
        <w:rPr>
          <w:rtl w:val="0"/>
        </w:rPr>
        <w:t xml:space="preserve">s theodolite measurement is even more precisely aligned to the rhumb line at </w:t>
      </w:r>
      <w:r>
        <w:rPr>
          <w:rtl w:val="0"/>
        </w:rPr>
        <w:t>101.6189</w:t>
      </w:r>
      <w:r>
        <w:rPr>
          <w:rtl w:val="0"/>
        </w:rPr>
        <w:t>°</w:t>
      </w:r>
      <w:r>
        <w:rPr>
          <w:rtl w:val="0"/>
        </w:rPr>
        <w:t>, a minimal deviation of only +0.0589</w:t>
      </w:r>
      <w:r>
        <w:rPr>
          <w:rtl w:val="0"/>
        </w:rPr>
        <w:t>°</w:t>
      </w:r>
      <w:r>
        <w:rPr>
          <w:rtl w:val="0"/>
        </w:rPr>
        <w:t xml:space="preserve">. Considering the distance of </w:t>
      </w:r>
      <w:r>
        <w:rPr>
          <w:rtl w:val="0"/>
        </w:rPr>
        <w:t>517</w:t>
      </w:r>
      <w:r>
        <w:rPr>
          <w:rtl w:val="0"/>
        </w:rPr>
        <w:t xml:space="preserve"> nautical miles between both cities (</w:t>
      </w:r>
      <w:r>
        <w:rPr>
          <w:rtl w:val="0"/>
        </w:rPr>
        <w:t xml:space="preserve">Fig. </w:t>
      </w:r>
      <w:r>
        <w:rPr>
          <w:rtl w:val="0"/>
        </w:rPr>
        <w:t>18), i</w:t>
      </w:r>
      <w:r>
        <w:rPr>
          <w:rtl w:val="0"/>
        </w:rPr>
        <w:t xml:space="preserve">t is </w:t>
      </w:r>
      <w:r>
        <w:rPr>
          <w:rtl w:val="0"/>
        </w:rPr>
        <w:t>unclear</w:t>
      </w:r>
      <w:r>
        <w:rPr>
          <w:rtl w:val="0"/>
        </w:rPr>
        <w:t xml:space="preserve"> how the Minoans</w:t>
      </w:r>
      <w:r>
        <w:rPr>
          <w:rtl w:val="0"/>
        </w:rPr>
        <w:t xml:space="preserve"> may have</w:t>
      </w:r>
      <w:r>
        <w:rPr>
          <w:rtl w:val="0"/>
        </w:rPr>
        <w:t xml:space="preserve"> </w:t>
      </w:r>
      <w:r>
        <w:rPr>
          <w:rtl w:val="0"/>
        </w:rPr>
        <w:t>arrived at &lt;1</w:t>
      </w:r>
      <w:r>
        <w:rPr>
          <w:rtl w:val="0"/>
        </w:rPr>
        <w:t xml:space="preserve">° </w:t>
      </w:r>
      <w:r>
        <w:rPr>
          <w:rtl w:val="0"/>
        </w:rPr>
        <w:t xml:space="preserve">accuracy in the </w:t>
      </w:r>
      <w:r>
        <w:rPr>
          <w:rtl w:val="0"/>
        </w:rPr>
        <w:t>azimuths between their palaces and localities hundreds of nautical miles away</w:t>
      </w:r>
      <w:r>
        <w:rPr>
          <w:rtl w:val="0"/>
        </w:rPr>
        <w:t xml:space="preserve">. As a parallel, Gladwin comments regarding Polynesian wayfinding, </w:t>
      </w:r>
      <w:r>
        <w:rPr>
          <w:rtl w:val="0"/>
        </w:rPr>
        <w:t>‘</w:t>
      </w:r>
      <w:r>
        <w:rPr>
          <w:rtl w:val="0"/>
        </w:rPr>
        <w:t>One can only guess how the stars were originally determined for such distant islands. There are stars too for courses between island pairs so remote that navigators are not even sure which are real and which are mythical</w:t>
      </w:r>
      <w:r>
        <w:rPr>
          <w:rtl w:val="1"/>
        </w:rPr>
        <w:t>’</w:t>
      </w:r>
      <w:r>
        <w:rPr>
          <w:rtl w:val="0"/>
        </w:rPr>
        <w:t>.</w:t>
      </w:r>
      <w:r>
        <w:rPr>
          <w:rFonts w:ascii="Times New Roman" w:cs="Times New Roman" w:hAnsi="Times New Roman" w:eastAsia="Times New Roman"/>
          <w:b w:val="0"/>
          <w:bCs w:val="0"/>
          <w:i w:val="0"/>
          <w:iCs w:val="0"/>
          <w:vertAlign w:val="superscript"/>
        </w:rPr>
        <w:footnoteReference w:id="216"/>
      </w:r>
      <w:r>
        <w:rPr>
          <w:rtl w:val="0"/>
        </w:rPr>
        <w:t xml:space="preserve"> This doubt, which Hilder also inquired in regards to Polynesian navigation stones,</w:t>
      </w:r>
      <w:r>
        <w:rPr>
          <w:rtl w:val="0"/>
        </w:rPr>
        <w:t xml:space="preserve"> will remain out of the scope of the present study.</w:t>
      </w:r>
      <w:r>
        <w:rPr>
          <w:rFonts w:ascii="Times New Roman" w:cs="Times New Roman" w:hAnsi="Times New Roman" w:eastAsia="Times New Roman"/>
          <w:b w:val="0"/>
          <w:bCs w:val="0"/>
          <w:i w:val="0"/>
          <w:iCs w:val="0"/>
          <w:vertAlign w:val="superscript"/>
        </w:rPr>
        <w:footnoteReference w:id="217"/>
      </w:r>
    </w:p>
    <w:p>
      <w:pPr>
        <w:pStyle w:val="Body A"/>
      </w:pPr>
    </w:p>
    <w:p>
      <w:pPr>
        <w:pStyle w:val="Image A"/>
      </w:pPr>
      <w:r>
        <w:drawing xmlns:a="http://schemas.openxmlformats.org/drawingml/2006/main">
          <wp:inline distT="0" distB="0" distL="0" distR="0">
            <wp:extent cx="4662223" cy="3009224"/>
            <wp:effectExtent l="0" t="0" r="0" b="0"/>
            <wp:docPr id="1073741847" name="officeArt object" descr="Image"/>
            <wp:cNvGraphicFramePr/>
            <a:graphic xmlns:a="http://schemas.openxmlformats.org/drawingml/2006/main">
              <a:graphicData uri="http://schemas.openxmlformats.org/drawingml/2006/picture">
                <pic:pic xmlns:pic="http://schemas.openxmlformats.org/drawingml/2006/picture">
                  <pic:nvPicPr>
                    <pic:cNvPr id="1073741847" name="Image" descr="Image"/>
                    <pic:cNvPicPr>
                      <a:picLocks noChangeAspect="1"/>
                    </pic:cNvPicPr>
                  </pic:nvPicPr>
                  <pic:blipFill>
                    <a:blip r:embed="rId26">
                      <a:extLst/>
                    </a:blip>
                    <a:srcRect l="0" t="0" r="0" b="0"/>
                    <a:stretch>
                      <a:fillRect/>
                    </a:stretch>
                  </pic:blipFill>
                  <pic:spPr>
                    <a:xfrm>
                      <a:off x="0" y="0"/>
                      <a:ext cx="4662223" cy="3009224"/>
                    </a:xfrm>
                    <a:prstGeom prst="rect">
                      <a:avLst/>
                    </a:prstGeom>
                    <a:ln w="12700" cap="flat">
                      <a:noFill/>
                      <a:miter lim="400000"/>
                    </a:ln>
                    <a:effectLst/>
                  </pic:spPr>
                </pic:pic>
              </a:graphicData>
            </a:graphic>
          </wp:inline>
        </w:drawing>
      </w:r>
    </w:p>
    <w:p>
      <w:pPr>
        <w:pStyle w:val="Image Caption"/>
      </w:pPr>
      <w:bookmarkStart w:name="_Toc50" w:id="50"/>
      <w:r>
        <w:rPr>
          <w:rFonts w:cs="Arial Unicode MS" w:eastAsia="Arial Unicode MS"/>
          <w:rtl w:val="0"/>
        </w:rPr>
        <w:t xml:space="preserve">Fig. 18. Distance between Knossos and Sidon. </w:t>
      </w:r>
      <w:r>
        <w:rPr>
          <w:rFonts w:cs="Arial Unicode MS" w:eastAsia="Arial Unicode MS"/>
          <w:rtl w:val="0"/>
        </w:rPr>
        <w:t>Google Earth Pro.</w:t>
      </w:r>
      <w:bookmarkEnd w:id="50"/>
    </w:p>
    <w:p>
      <w:pPr>
        <w:pStyle w:val="Body A"/>
      </w:pPr>
    </w:p>
    <w:p>
      <w:pPr>
        <w:pStyle w:val="Body A"/>
      </w:pPr>
      <w:r>
        <w:rPr>
          <w:rtl w:val="0"/>
        </w:rPr>
        <w:t>A Minoan navigator could have guided himself by Spica (</w:t>
      </w:r>
      <w:r>
        <w:rPr>
          <w:rtl w:val="0"/>
        </w:rPr>
        <w:t>α</w:t>
      </w:r>
      <w:r>
        <w:rPr>
          <w:rtl w:val="0"/>
        </w:rPr>
        <w:t xml:space="preserve"> Vir) setting </w:t>
      </w:r>
      <w:r>
        <w:rPr>
          <w:rtl w:val="0"/>
          <w:lang w:val="de-DE"/>
        </w:rPr>
        <w:t xml:space="preserve">astern </w:t>
      </w:r>
      <w:r>
        <w:rPr>
          <w:rtl w:val="0"/>
        </w:rPr>
        <w:t>along the route from Sidon beginning around</w:t>
      </w:r>
      <w:r>
        <w:rPr>
          <w:rtl w:val="0"/>
        </w:rPr>
        <w:t xml:space="preserve"> the Old Palace to the New Palace period</w:t>
      </w:r>
      <w:r>
        <w:rPr>
          <w:rtl w:val="0"/>
        </w:rPr>
        <w:t xml:space="preserve"> (Fig. 19). Polynesian and Micronesian ethnographic reports suggest that by</w:t>
      </w:r>
      <w:r>
        <w:rPr>
          <w:rtl w:val="0"/>
        </w:rPr>
        <w:t xml:space="preserve"> </w:t>
      </w:r>
      <w:r>
        <w:rPr>
          <w:rtl w:val="0"/>
        </w:rPr>
        <w:t>memorising</w:t>
      </w:r>
      <w:r>
        <w:rPr>
          <w:rtl w:val="0"/>
          <w:lang w:val="it-IT"/>
        </w:rPr>
        <w:t xml:space="preserve"> reciprocal stars</w:t>
      </w:r>
      <w:r>
        <w:rPr>
          <w:rtl w:val="0"/>
        </w:rPr>
        <w:t>,</w:t>
      </w:r>
      <w:r>
        <w:rPr>
          <w:rtl w:val="0"/>
        </w:rPr>
        <w:t xml:space="preserve"> </w:t>
      </w:r>
      <w:r>
        <w:rPr>
          <w:rtl w:val="0"/>
        </w:rPr>
        <w:t xml:space="preserve">navigating by stars astern </w:t>
      </w:r>
      <w:r>
        <w:rPr>
          <w:rtl w:val="0"/>
        </w:rPr>
        <w:t xml:space="preserve">was </w:t>
      </w:r>
      <w:r>
        <w:rPr>
          <w:rtl w:val="0"/>
        </w:rPr>
        <w:t xml:space="preserve">a </w:t>
      </w:r>
      <w:r>
        <w:rPr>
          <w:rtl w:val="0"/>
        </w:rPr>
        <w:t>common</w:t>
      </w:r>
      <w:r>
        <w:rPr>
          <w:rtl w:val="0"/>
        </w:rPr>
        <w:t xml:space="preserve"> feat.</w:t>
      </w:r>
      <w:r>
        <w:rPr>
          <w:rFonts w:ascii="Times New Roman" w:cs="Times New Roman" w:hAnsi="Times New Roman" w:eastAsia="Times New Roman"/>
          <w:b w:val="0"/>
          <w:bCs w:val="0"/>
          <w:i w:val="0"/>
          <w:iCs w:val="0"/>
          <w:vertAlign w:val="superscript"/>
        </w:rPr>
        <w:footnoteReference w:id="218"/>
      </w:r>
      <w:r>
        <w:rPr>
          <w:rtl w:val="0"/>
        </w:rPr>
        <w:t xml:space="preserve"> A Minoan</w:t>
      </w:r>
      <w:r>
        <w:rPr>
          <w:rtl w:val="0"/>
        </w:rPr>
        <w:t xml:space="preserve"> cup</w:t>
      </w:r>
      <w:r>
        <w:rPr>
          <w:rtl w:val="0"/>
        </w:rPr>
        <w:t xml:space="preserve"> excavated</w:t>
      </w:r>
      <w:r>
        <w:rPr>
          <w:rtl w:val="0"/>
          <w:lang w:val="it-IT"/>
        </w:rPr>
        <w:t xml:space="preserve"> in Sidon</w:t>
      </w:r>
      <w:r>
        <w:rPr>
          <w:rtl w:val="0"/>
        </w:rPr>
        <w:t xml:space="preserve"> suggests a direct or at minimum indirect trade between Crete and Sidon </w:t>
      </w:r>
      <w:r>
        <w:rPr>
          <w:rtl w:val="0"/>
        </w:rPr>
        <w:t xml:space="preserve">from </w:t>
      </w:r>
      <w:r>
        <w:rPr>
          <w:rtl w:val="0"/>
        </w:rPr>
        <w:t>at least the</w:t>
      </w:r>
      <w:r>
        <w:rPr>
          <w:rtl w:val="0"/>
          <w:lang w:val="es-ES_tradnl"/>
        </w:rPr>
        <w:t xml:space="preserve"> Old Palace period</w:t>
      </w:r>
      <w:r>
        <w:rPr>
          <w:rtl w:val="0"/>
        </w:rPr>
        <w:t>.</w:t>
      </w:r>
      <w:r>
        <w:rPr>
          <w:rFonts w:ascii="Times New Roman" w:cs="Times New Roman" w:hAnsi="Times New Roman" w:eastAsia="Times New Roman"/>
          <w:b w:val="0"/>
          <w:bCs w:val="0"/>
          <w:i w:val="0"/>
          <w:iCs w:val="0"/>
          <w:vertAlign w:val="superscript"/>
        </w:rPr>
        <w:footnoteReference w:id="219"/>
      </w:r>
      <w:r>
        <w:rPr>
          <w:rtl w:val="0"/>
        </w:rPr>
        <w:t xml:space="preserve"> The</w:t>
      </w:r>
      <w:r>
        <w:rPr>
          <w:rtl w:val="0"/>
        </w:rPr>
        <w:t xml:space="preserve"> </w:t>
      </w:r>
      <w:r>
        <w:rPr>
          <w:rtl w:val="0"/>
        </w:rPr>
        <w:t xml:space="preserve">rhumb line azimuth from Knossos to Sidon </w:t>
      </w:r>
      <w:r>
        <w:rPr>
          <w:rtl w:val="0"/>
        </w:rPr>
        <w:t>intersect</w:t>
      </w:r>
      <w:r>
        <w:rPr>
          <w:rtl w:val="0"/>
        </w:rPr>
        <w:t>s</w:t>
      </w:r>
      <w:r>
        <w:rPr>
          <w:rtl w:val="0"/>
        </w:rPr>
        <w:t xml:space="preserve"> with that of a </w:t>
      </w:r>
      <w:r>
        <w:rPr>
          <w:rtl w:val="0"/>
        </w:rPr>
        <w:t>setting</w:t>
      </w:r>
      <w:r>
        <w:rPr>
          <w:rtl w:val="0"/>
          <w:lang w:val="it-IT"/>
        </w:rPr>
        <w:t xml:space="preserve"> Spica</w:t>
      </w:r>
      <w:r>
        <w:rPr>
          <w:rtl w:val="0"/>
        </w:rPr>
        <w:t xml:space="preserve"> precisely around 1900 </w:t>
      </w:r>
      <w:r>
        <w:rPr>
          <w:smallCaps w:val="1"/>
          <w:rtl w:val="0"/>
          <w:lang w:val="en-US"/>
        </w:rPr>
        <w:t>bce</w:t>
      </w:r>
      <w:r>
        <w:rPr>
          <w:rtl w:val="0"/>
        </w:rPr>
        <w:t>, when this evidence of trade between both cities</w:t>
      </w:r>
      <w:r>
        <w:rPr>
          <w:rtl w:val="0"/>
        </w:rPr>
        <w:t xml:space="preserve"> </w:t>
      </w:r>
      <w:r>
        <w:rPr>
          <w:rtl w:val="0"/>
        </w:rPr>
        <w:t xml:space="preserve">was documented </w:t>
      </w:r>
      <w:r>
        <w:rPr>
          <w:rtl w:val="0"/>
        </w:rPr>
        <w:t>(</w:t>
      </w:r>
      <w:r>
        <w:rPr>
          <w:rtl w:val="0"/>
        </w:rPr>
        <w:t>Fig. 17</w:t>
      </w:r>
      <w:r>
        <w:rPr>
          <w:rtl w:val="0"/>
        </w:rPr>
        <w:t>).</w:t>
      </w:r>
    </w:p>
    <w:p>
      <w:pPr>
        <w:pStyle w:val="Body A"/>
      </w:pPr>
      <w:r>
        <w:rPr>
          <w:rtl w:val="0"/>
        </w:rPr>
        <w:t xml:space="preserve">The rhumb line from Knossos to Sidon traverses by 2/3 of </w:t>
      </w:r>
      <w:r>
        <w:rPr>
          <w:rtl w:val="0"/>
        </w:rPr>
        <w:t>a kilometre</w:t>
      </w:r>
      <w:r>
        <w:rPr>
          <w:rtl w:val="0"/>
        </w:rPr>
        <w:t xml:space="preserve"> the peak sanctuary of Traostalos (the rhumb line from Knossos to Traostalos is 100.73</w:t>
      </w:r>
      <w:r>
        <w:rPr>
          <w:rtl w:val="0"/>
          <w:lang w:val="it-IT"/>
        </w:rPr>
        <w:t>°</w:t>
      </w:r>
      <w:r>
        <w:rPr>
          <w:rtl w:val="0"/>
        </w:rPr>
        <w:t>). Therefore, Knossian sailors may have rounded the easter</w:t>
      </w:r>
      <w:r>
        <w:rPr>
          <w:rtl w:val="0"/>
        </w:rPr>
        <w:t>n</w:t>
      </w:r>
      <w:r>
        <w:rPr>
          <w:rtl w:val="0"/>
        </w:rPr>
        <w:t xml:space="preserve"> coast of Crete until they arrived at the shores where the peak sanctuary was visible, then started their journey toward Sidon via Spica. As discussed previously, the peak sanctuary of Traostalos may have been associated with star navigation, as Blomberg and Henriksson</w:t>
      </w:r>
      <w:r>
        <w:rPr>
          <w:rtl w:val="0"/>
        </w:rPr>
        <w:t xml:space="preserve"> propose</w:t>
      </w:r>
      <w:r>
        <w:rPr>
          <w:rtl w:val="0"/>
        </w:rPr>
        <w:t>.</w:t>
      </w:r>
      <w:r>
        <w:rPr>
          <w:rFonts w:ascii="Times New Roman" w:cs="Times New Roman" w:hAnsi="Times New Roman" w:eastAsia="Times New Roman"/>
          <w:b w:val="0"/>
          <w:bCs w:val="0"/>
          <w:i w:val="0"/>
          <w:iCs w:val="0"/>
          <w:vertAlign w:val="superscript"/>
        </w:rPr>
        <w:footnoteReference w:id="220"/>
      </w:r>
    </w:p>
    <w:p>
      <w:pPr>
        <w:pStyle w:val="Body A"/>
      </w:pPr>
    </w:p>
    <w:p>
      <w:pPr>
        <w:pStyle w:val="Image A"/>
      </w:pPr>
      <w:r>
        <w:drawing xmlns:a="http://schemas.openxmlformats.org/drawingml/2006/main">
          <wp:inline distT="0" distB="0" distL="0" distR="0">
            <wp:extent cx="4325667" cy="3243037"/>
            <wp:effectExtent l="0" t="0" r="0" b="0"/>
            <wp:docPr id="1073741848" name="officeArt object" descr="Image"/>
            <wp:cNvGraphicFramePr/>
            <a:graphic xmlns:a="http://schemas.openxmlformats.org/drawingml/2006/main">
              <a:graphicData uri="http://schemas.openxmlformats.org/drawingml/2006/picture">
                <pic:pic xmlns:pic="http://schemas.openxmlformats.org/drawingml/2006/picture">
                  <pic:nvPicPr>
                    <pic:cNvPr id="1073741848" name="Image" descr="Image"/>
                    <pic:cNvPicPr>
                      <a:picLocks noChangeAspect="1"/>
                    </pic:cNvPicPr>
                  </pic:nvPicPr>
                  <pic:blipFill>
                    <a:blip r:embed="rId27">
                      <a:extLst/>
                    </a:blip>
                    <a:srcRect l="0" t="0" r="0" b="0"/>
                    <a:stretch>
                      <a:fillRect/>
                    </a:stretch>
                  </pic:blipFill>
                  <pic:spPr>
                    <a:xfrm>
                      <a:off x="0" y="0"/>
                      <a:ext cx="4325667" cy="3243037"/>
                    </a:xfrm>
                    <a:prstGeom prst="rect">
                      <a:avLst/>
                    </a:prstGeom>
                    <a:ln w="12700" cap="flat">
                      <a:noFill/>
                      <a:miter lim="400000"/>
                    </a:ln>
                    <a:effectLst/>
                  </pic:spPr>
                </pic:pic>
              </a:graphicData>
            </a:graphic>
          </wp:inline>
        </w:drawing>
      </w:r>
    </w:p>
    <w:p>
      <w:pPr>
        <w:pStyle w:val="Image Caption"/>
      </w:pPr>
      <w:bookmarkStart w:name="_Toc51" w:id="51"/>
      <w:r>
        <w:rPr>
          <w:rFonts w:cs="Arial Unicode MS" w:eastAsia="Arial Unicode MS"/>
          <w:b w:val="1"/>
          <w:bCs w:val="1"/>
          <w:rtl w:val="0"/>
          <w:lang w:val="en-US"/>
        </w:rPr>
        <w:t>Fig. 19</w:t>
      </w:r>
      <w:r>
        <w:rPr>
          <w:rFonts w:cs="Arial Unicode MS" w:eastAsia="Arial Unicode MS"/>
          <w:rtl w:val="0"/>
        </w:rPr>
        <w:t xml:space="preserve"> Recreation of a Minoan bowsprit aiming at Spica setting, following the rhumb line from Sidon to Knossos.</w:t>
      </w:r>
      <w:bookmarkEnd w:id="51"/>
    </w:p>
    <w:p>
      <w:pPr>
        <w:pStyle w:val="Body A"/>
      </w:pPr>
    </w:p>
    <w:p>
      <w:pPr>
        <w:pStyle w:val="Body A"/>
      </w:pPr>
      <w:r>
        <w:rPr>
          <w:rtl w:val="0"/>
        </w:rPr>
        <w:t>Given the bidirectional use of star paths, the</w:t>
      </w:r>
      <w:r>
        <w:rPr>
          <w:rtl w:val="0"/>
        </w:rPr>
        <w:t xml:space="preserve"> </w:t>
      </w:r>
      <w:r>
        <w:rPr>
          <w:rtl w:val="0"/>
        </w:rPr>
        <w:t>proposed</w:t>
      </w:r>
      <w:r>
        <w:rPr>
          <w:rtl w:val="0"/>
        </w:rPr>
        <w:t xml:space="preserve"> rhumb lines do not suggest the direction of travel, </w:t>
      </w:r>
      <w:r>
        <w:rPr>
          <w:rtl w:val="0"/>
        </w:rPr>
        <w:t>which may be</w:t>
      </w:r>
      <w:r>
        <w:rPr>
          <w:rtl w:val="0"/>
        </w:rPr>
        <w:t xml:space="preserve"> </w:t>
      </w:r>
      <w:r>
        <w:rPr>
          <w:rtl w:val="0"/>
        </w:rPr>
        <w:t>informed</w:t>
      </w:r>
      <w:r>
        <w:rPr>
          <w:rtl w:val="0"/>
        </w:rPr>
        <w:t xml:space="preserve"> by </w:t>
      </w:r>
      <w:r>
        <w:rPr>
          <w:rtl w:val="0"/>
        </w:rPr>
        <w:t>analysing</w:t>
      </w:r>
      <w:r>
        <w:rPr>
          <w:rtl w:val="0"/>
        </w:rPr>
        <w:t xml:space="preserve"> currents and wind patterns.</w:t>
      </w:r>
      <w:r>
        <w:rPr>
          <w:b w:val="1"/>
          <w:bCs w:val="1"/>
          <w:rtl w:val="0"/>
          <w:lang w:val="en-US"/>
        </w:rPr>
        <w:t xml:space="preserve"> </w:t>
      </w:r>
      <w:r>
        <w:rPr>
          <w:rtl w:val="0"/>
        </w:rPr>
        <w:t>In this case, the Etesian winds may have propelled sailors from Crete directly toward the Levant and Sidon</w:t>
      </w:r>
      <w:r>
        <w:rPr>
          <w:rtl w:val="0"/>
        </w:rPr>
        <w:t xml:space="preserve"> </w:t>
      </w:r>
      <w:r>
        <w:rPr>
          <w:rtl w:val="0"/>
        </w:rPr>
        <w:t>(Fig. 20). However, a</w:t>
      </w:r>
      <w:r>
        <w:rPr>
          <w:rtl w:val="0"/>
        </w:rPr>
        <w:t xml:space="preserve"> direct trade route to or from eastern Crete to the Levant has not been previously confirmed since a circular </w:t>
      </w:r>
      <w:r>
        <w:rPr>
          <w:rtl w:val="0"/>
        </w:rPr>
        <w:t>itinerary</w:t>
      </w:r>
      <w:r>
        <w:rPr>
          <w:rtl w:val="0"/>
        </w:rPr>
        <w:t xml:space="preserve"> around the Mediterranean is most </w:t>
      </w:r>
      <w:r>
        <w:rPr>
          <w:rtl w:val="0"/>
        </w:rPr>
        <w:t>commonly</w:t>
      </w:r>
      <w:r>
        <w:rPr>
          <w:rtl w:val="0"/>
        </w:rPr>
        <w:t xml:space="preserve"> </w:t>
      </w:r>
      <w:r>
        <w:rPr>
          <w:rtl w:val="0"/>
        </w:rPr>
        <w:t>asserted</w:t>
      </w:r>
      <w:r>
        <w:rPr>
          <w:rtl w:val="0"/>
        </w:rPr>
        <w:t xml:space="preserve"> (Fig. </w:t>
      </w:r>
      <w:r>
        <w:rPr>
          <w:rtl w:val="0"/>
        </w:rPr>
        <w:t>3</w:t>
      </w:r>
      <w:r>
        <w:rPr>
          <w:rtl w:val="0"/>
        </w:rPr>
        <w:t>).</w:t>
      </w:r>
      <w:r>
        <w:rPr>
          <w:rtl w:val="0"/>
        </w:rPr>
        <w:t xml:space="preserve"> Nonetheless, d</w:t>
      </w:r>
      <w:r>
        <w:rPr>
          <w:rtl w:val="0"/>
        </w:rPr>
        <w:t xml:space="preserve">uring the </w:t>
      </w:r>
      <w:r>
        <w:rPr>
          <w:rtl w:val="0"/>
        </w:rPr>
        <w:t>New</w:t>
      </w:r>
      <w:r>
        <w:rPr>
          <w:rtl w:val="0"/>
          <w:lang w:val="es-ES_tradnl"/>
        </w:rPr>
        <w:t xml:space="preserve"> Palace period</w:t>
      </w:r>
      <w:r>
        <w:rPr>
          <w:rtl w:val="0"/>
        </w:rPr>
        <w:t>, Spica setting astern could have been a beneficial navigational star during the Spring and Summer f</w:t>
      </w:r>
      <w:r>
        <w:rPr>
          <w:rtl w:val="0"/>
        </w:rPr>
        <w:t xml:space="preserve">rom its acronychal </w:t>
      </w:r>
      <w:r>
        <w:rPr>
          <w:rtl w:val="0"/>
        </w:rPr>
        <w:t>rise</w:t>
      </w:r>
      <w:r>
        <w:rPr>
          <w:rtl w:val="0"/>
        </w:rPr>
        <w:t xml:space="preserve"> around March </w:t>
      </w:r>
      <w:r>
        <w:rPr>
          <w:rtl w:val="0"/>
        </w:rPr>
        <w:t>8</w:t>
      </w:r>
      <w:r>
        <w:rPr>
          <w:vertAlign w:val="superscript"/>
          <w:rtl w:val="0"/>
          <w:lang w:val="en-US"/>
        </w:rPr>
        <w:t>th</w:t>
      </w:r>
      <w:r>
        <w:rPr>
          <w:rtl w:val="0"/>
        </w:rPr>
        <w:t xml:space="preserve"> to its heliacal set around August 15</w:t>
      </w:r>
      <w:r>
        <w:rPr>
          <w:vertAlign w:val="superscript"/>
          <w:rtl w:val="0"/>
          <w:lang w:val="en-US"/>
        </w:rPr>
        <w:t>th</w:t>
      </w:r>
      <w:r>
        <w:rPr>
          <w:rtl w:val="0"/>
        </w:rPr>
        <w:t>, within the timeframe of the Etesian winds. Undoubtedly, this would have been a challenging route, sailing in the open sea for 500 nautical miles, often without land in sight.</w:t>
      </w:r>
    </w:p>
    <w:p>
      <w:pPr>
        <w:pStyle w:val="Body A"/>
      </w:pPr>
    </w:p>
    <w:p>
      <w:pPr>
        <w:pStyle w:val="Image A"/>
      </w:pPr>
      <w:r>
        <w:drawing xmlns:a="http://schemas.openxmlformats.org/drawingml/2006/main">
          <wp:inline distT="0" distB="0" distL="0" distR="0">
            <wp:extent cx="3730757" cy="2807395"/>
            <wp:effectExtent l="0" t="0" r="0" b="0"/>
            <wp:docPr id="1073741849" name="officeArt object" descr="Image"/>
            <wp:cNvGraphicFramePr/>
            <a:graphic xmlns:a="http://schemas.openxmlformats.org/drawingml/2006/main">
              <a:graphicData uri="http://schemas.openxmlformats.org/drawingml/2006/picture">
                <pic:pic xmlns:pic="http://schemas.openxmlformats.org/drawingml/2006/picture">
                  <pic:nvPicPr>
                    <pic:cNvPr id="1073741849" name="Image" descr="Image"/>
                    <pic:cNvPicPr>
                      <a:picLocks noChangeAspect="1"/>
                    </pic:cNvPicPr>
                  </pic:nvPicPr>
                  <pic:blipFill>
                    <a:blip r:embed="rId28">
                      <a:extLst/>
                    </a:blip>
                    <a:srcRect l="0" t="0" r="0" b="0"/>
                    <a:stretch>
                      <a:fillRect/>
                    </a:stretch>
                  </pic:blipFill>
                  <pic:spPr>
                    <a:xfrm>
                      <a:off x="0" y="0"/>
                      <a:ext cx="3730757" cy="2807395"/>
                    </a:xfrm>
                    <a:prstGeom prst="rect">
                      <a:avLst/>
                    </a:prstGeom>
                    <a:ln w="12700" cap="flat">
                      <a:noFill/>
                      <a:miter lim="400000"/>
                    </a:ln>
                    <a:effectLst/>
                  </pic:spPr>
                </pic:pic>
              </a:graphicData>
            </a:graphic>
          </wp:inline>
        </w:drawing>
      </w:r>
    </w:p>
    <w:p>
      <w:pPr>
        <w:pStyle w:val="Image Caption"/>
      </w:pPr>
      <w:bookmarkStart w:name="_Toc52" w:id="52"/>
      <w:r>
        <w:rPr>
          <w:rFonts w:cs="Arial Unicode MS" w:eastAsia="Arial Unicode MS"/>
          <w:b w:val="1"/>
          <w:bCs w:val="1"/>
          <w:rtl w:val="0"/>
          <w:lang w:val="en-US"/>
        </w:rPr>
        <w:t xml:space="preserve">Fig. 20 </w:t>
      </w:r>
      <w:r>
        <w:rPr>
          <w:rFonts w:cs="Arial Unicode MS" w:eastAsia="Arial Unicode MS"/>
          <w:rtl w:val="0"/>
        </w:rPr>
        <w:t>Etesian summer winds in the Eastern Meditarranean.</w:t>
      </w:r>
      <w:r>
        <w:rPr>
          <w:rFonts w:ascii="Times New Roman" w:cs="Times New Roman" w:hAnsi="Times New Roman" w:eastAsia="Times New Roman"/>
          <w:b w:val="0"/>
          <w:bCs w:val="0"/>
          <w:i w:val="0"/>
          <w:iCs w:val="0"/>
          <w:vertAlign w:val="superscript"/>
        </w:rPr>
        <w:footnoteReference w:id="221"/>
      </w:r>
      <w:bookmarkEnd w:id="52"/>
    </w:p>
    <w:p>
      <w:pPr>
        <w:pStyle w:val="Body A"/>
        <w:rPr>
          <w:u w:val="none"/>
        </w:rPr>
      </w:pPr>
    </w:p>
    <w:p>
      <w:pPr>
        <w:pStyle w:val="Body A"/>
      </w:pPr>
      <w:r>
        <w:rPr>
          <w:rtl w:val="0"/>
        </w:rPr>
        <w:t>Although outside of the scope, a brief discussion regarding Europa</w:t>
      </w:r>
      <w:r>
        <w:rPr>
          <w:rtl w:val="0"/>
        </w:rPr>
        <w:t>’</w:t>
      </w:r>
      <w:r>
        <w:rPr>
          <w:rtl w:val="0"/>
        </w:rPr>
        <w:t>s legend may give insights into how it may have memorialised this trade route in mythopoetic form. A</w:t>
      </w:r>
      <w:r>
        <w:rPr>
          <w:u w:val="none"/>
          <w:rtl w:val="0"/>
          <w:lang w:val="en-US"/>
        </w:rPr>
        <w:t>s previously discussed, Zeus abducted King Minos</w:t>
      </w:r>
      <w:r>
        <w:rPr>
          <w:u w:val="none"/>
          <w:rtl w:val="0"/>
          <w:lang w:val="en-US"/>
        </w:rPr>
        <w:t xml:space="preserve">’ </w:t>
      </w:r>
      <w:r>
        <w:rPr>
          <w:u w:val="none"/>
          <w:rtl w:val="0"/>
          <w:lang w:val="en-US"/>
        </w:rPr>
        <w:t xml:space="preserve">mother, Europa, from the beaches of Sidon and brought her to Crete. </w:t>
      </w:r>
      <w:r>
        <w:rPr>
          <w:rtl w:val="0"/>
        </w:rPr>
        <w:t>She was venerated by the Sidonians, who as recorded by Silius, navigated by the stars.</w:t>
      </w:r>
      <w:r>
        <w:rPr>
          <w:rFonts w:ascii="Times New Roman" w:cs="Times New Roman" w:hAnsi="Times New Roman" w:eastAsia="Times New Roman"/>
          <w:b w:val="0"/>
          <w:bCs w:val="0"/>
          <w:i w:val="0"/>
          <w:iCs w:val="0"/>
          <w:vertAlign w:val="superscript"/>
        </w:rPr>
        <w:footnoteReference w:id="222"/>
      </w:r>
      <w:r>
        <w:rPr>
          <w:rtl w:val="0"/>
        </w:rPr>
        <w:t xml:space="preserve"> Recent genetic research suggests demographic properties of Cretan haplogroups consistent with Anatolian and Syro-Palestine origins, indicating an ancestral relationship between Crete and the Levantine coast.</w:t>
      </w:r>
      <w:r>
        <w:rPr>
          <w:rFonts w:ascii="Times New Roman" w:cs="Times New Roman" w:hAnsi="Times New Roman" w:eastAsia="Times New Roman"/>
          <w:b w:val="0"/>
          <w:bCs w:val="0"/>
          <w:i w:val="0"/>
          <w:iCs w:val="0"/>
          <w:vertAlign w:val="superscript"/>
        </w:rPr>
        <w:footnoteReference w:id="223"/>
      </w:r>
      <w:r>
        <w:rPr>
          <w:rtl w:val="0"/>
        </w:rPr>
        <w:t xml:space="preserve"> </w:t>
      </w:r>
      <w:r>
        <w:rPr>
          <w:rtl w:val="0"/>
        </w:rPr>
        <w:t xml:space="preserve">As Nick Campion writes, </w:t>
      </w:r>
      <w:r>
        <w:rPr>
          <w:rtl w:val="0"/>
        </w:rPr>
        <w:t>‘</w:t>
      </w:r>
      <w:r>
        <w:rPr>
          <w:rtl w:val="0"/>
        </w:rPr>
        <w:t>cultures which assume that ancestors and ancestral beings are associated with the land develop a profoundly personal relationship with it, and are required to care for it: thus land, sky and people exist in a system of integrated, inter-dependent and interlocking mutual relationships.</w:t>
      </w:r>
      <w:r>
        <w:rPr>
          <w:rtl w:val="0"/>
        </w:rPr>
        <w:t>’</w:t>
      </w:r>
      <w:r>
        <w:rPr>
          <w:rFonts w:ascii="Times New Roman" w:cs="Times New Roman" w:hAnsi="Times New Roman" w:eastAsia="Times New Roman"/>
          <w:b w:val="0"/>
          <w:bCs w:val="0"/>
          <w:i w:val="0"/>
          <w:iCs w:val="0"/>
          <w:vertAlign w:val="superscript"/>
        </w:rPr>
        <w:footnoteReference w:id="224"/>
      </w:r>
      <w:r>
        <w:rPr>
          <w:rtl w:val="0"/>
        </w:rPr>
        <w:t xml:space="preserve"> In fact, t</w:t>
      </w:r>
      <w:r>
        <w:rPr>
          <w:rtl w:val="0"/>
        </w:rPr>
        <w:t>he rhumb line toward Sidon, and the courtyard orientation East, faces the Ailias hill where a Minoan cemetery from the Middle Minoan period has been uncovered.</w:t>
      </w:r>
      <w:r>
        <w:rPr>
          <w:rFonts w:ascii="Times New Roman" w:cs="Times New Roman" w:hAnsi="Times New Roman" w:eastAsia="Times New Roman"/>
          <w:b w:val="0"/>
          <w:bCs w:val="0"/>
          <w:i w:val="0"/>
          <w:iCs w:val="0"/>
          <w:vertAlign w:val="superscript"/>
        </w:rPr>
        <w:footnoteReference w:id="225"/>
      </w:r>
    </w:p>
    <w:p>
      <w:pPr>
        <w:pStyle w:val="Body A"/>
      </w:pPr>
      <w:r>
        <w:rPr>
          <w:rtl w:val="0"/>
        </w:rPr>
        <w:t xml:space="preserve">Pausanias writes that </w:t>
      </w:r>
      <w:r>
        <w:rPr>
          <w:rtl w:val="0"/>
        </w:rPr>
        <w:t>‘</w:t>
      </w:r>
      <w:r>
        <w:rPr>
          <w:rtl w:val="0"/>
        </w:rPr>
        <w:t>There is also a sanctuary of Demeter surnamed Europa</w:t>
      </w:r>
      <w:r>
        <w:rPr>
          <w:rtl w:val="0"/>
        </w:rPr>
        <w:t>’</w:t>
      </w:r>
      <w:r>
        <w:rPr>
          <w:rtl w:val="0"/>
        </w:rPr>
        <w:t>.</w:t>
      </w:r>
      <w:r>
        <w:rPr>
          <w:rFonts w:ascii="Times New Roman" w:cs="Times New Roman" w:hAnsi="Times New Roman" w:eastAsia="Times New Roman"/>
          <w:b w:val="0"/>
          <w:bCs w:val="0"/>
          <w:i w:val="0"/>
          <w:iCs w:val="0"/>
          <w:vertAlign w:val="superscript"/>
        </w:rPr>
        <w:footnoteReference w:id="226"/>
      </w:r>
      <w:r>
        <w:rPr>
          <w:rtl w:val="0"/>
        </w:rPr>
        <w:t xml:space="preserve"> Demeter, the Greek goddess of grain and fertility, was</w:t>
      </w:r>
      <w:r>
        <w:rPr>
          <w:rtl w:val="0"/>
          <w:lang w:val="fr-FR"/>
        </w:rPr>
        <w:t xml:space="preserve"> associat</w:t>
      </w:r>
      <w:r>
        <w:rPr>
          <w:rtl w:val="0"/>
        </w:rPr>
        <w:t xml:space="preserve">ed with </w:t>
      </w:r>
      <w:r>
        <w:rPr>
          <w:rtl w:val="0"/>
        </w:rPr>
        <w:t>the constellation of Virgo</w:t>
      </w:r>
      <w:r>
        <w:rPr>
          <w:rtl w:val="0"/>
        </w:rPr>
        <w:t xml:space="preserve">, syncretised with the Roman Ceres, as written in </w:t>
      </w:r>
      <w:r>
        <w:rPr>
          <w:rtl w:val="0"/>
        </w:rPr>
        <w:t>the 1</w:t>
      </w:r>
      <w:r>
        <w:rPr>
          <w:vertAlign w:val="superscript"/>
          <w:rtl w:val="0"/>
        </w:rPr>
        <w:t>st</w:t>
      </w:r>
      <w:r>
        <w:rPr>
          <w:rtl w:val="0"/>
        </w:rPr>
        <w:t xml:space="preserve"> century </w:t>
      </w:r>
      <w:r>
        <w:rPr>
          <w:smallCaps w:val="1"/>
          <w:rtl w:val="0"/>
        </w:rPr>
        <w:t>ce</w:t>
      </w:r>
      <w:r>
        <w:rPr>
          <w:rtl w:val="0"/>
        </w:rPr>
        <w:t xml:space="preserve"> </w:t>
      </w:r>
      <w:r>
        <w:rPr>
          <w:i w:val="1"/>
          <w:iCs w:val="1"/>
          <w:rtl w:val="0"/>
          <w:lang w:val="it-IT"/>
        </w:rPr>
        <w:t>Astronomica</w:t>
      </w:r>
      <w:r>
        <w:rPr>
          <w:rtl w:val="0"/>
        </w:rPr>
        <w:t xml:space="preserve">, </w:t>
      </w:r>
      <w:r>
        <w:rPr>
          <w:rtl w:val="0"/>
        </w:rPr>
        <w:t xml:space="preserve">by </w:t>
      </w:r>
      <w:r>
        <w:rPr>
          <w:rtl w:val="0"/>
        </w:rPr>
        <w:t xml:space="preserve">Manilius, </w:t>
      </w:r>
      <w:r>
        <w:rPr>
          <w:rtl w:val="1"/>
        </w:rPr>
        <w:t>‘</w:t>
      </w:r>
      <w:r>
        <w:rPr>
          <w:rtl w:val="0"/>
        </w:rPr>
        <w:t>the Virgin with her sheaf belongs to Ceres</w:t>
      </w:r>
      <w:r>
        <w:rPr>
          <w:rtl w:val="0"/>
        </w:rPr>
        <w:t>’</w:t>
      </w:r>
      <w:r>
        <w:rPr>
          <w:rtl w:val="0"/>
        </w:rPr>
        <w:t>.</w:t>
      </w:r>
      <w:r>
        <w:rPr>
          <w:rFonts w:ascii="Times New Roman" w:cs="Times New Roman" w:hAnsi="Times New Roman" w:eastAsia="Times New Roman"/>
          <w:b w:val="0"/>
          <w:bCs w:val="0"/>
          <w:i w:val="0"/>
          <w:iCs w:val="0"/>
          <w:vertAlign w:val="superscript"/>
        </w:rPr>
        <w:footnoteReference w:id="227"/>
      </w:r>
      <w:r>
        <w:rPr>
          <w:rtl w:val="0"/>
        </w:rPr>
        <w:t xml:space="preserve"> In addition, the Homeric Hymn to Demeter, the earth goddess came </w:t>
      </w:r>
      <w:r>
        <w:rPr>
          <w:rtl w:val="0"/>
        </w:rPr>
        <w:t>‘</w:t>
      </w:r>
      <w:r>
        <w:rPr>
          <w:rtl w:val="0"/>
        </w:rPr>
        <w:t>from Crete over the sea</w:t>
      </w:r>
      <w:r>
        <w:rPr>
          <w:rtl w:val="1"/>
        </w:rPr>
        <w:t>’</w:t>
      </w:r>
      <w:r>
        <w:rPr>
          <w:rtl w:val="0"/>
        </w:rPr>
        <w:t xml:space="preserve">s wide </w:t>
      </w:r>
      <w:r>
        <w:rPr>
          <w:rtl w:val="0"/>
        </w:rPr>
        <w:t>(</w:t>
      </w:r>
      <w:r>
        <w:rPr>
          <w:rtl w:val="0"/>
        </w:rPr>
        <w:t>εὐρέα</w:t>
      </w:r>
      <w:r>
        <w:rPr>
          <w:rtl w:val="0"/>
        </w:rPr>
        <w:t xml:space="preserve">) </w:t>
      </w:r>
      <w:r>
        <w:rPr>
          <w:rtl w:val="0"/>
        </w:rPr>
        <w:t>back</w:t>
      </w:r>
      <w:r>
        <w:rPr>
          <w:rtl w:val="1"/>
        </w:rPr>
        <w:t>’</w:t>
      </w:r>
      <w:r>
        <w:rPr>
          <w:rtl w:val="0"/>
        </w:rPr>
        <w:t>.</w:t>
      </w:r>
      <w:r>
        <w:rPr>
          <w:rFonts w:ascii="Times New Roman" w:cs="Times New Roman" w:hAnsi="Times New Roman" w:eastAsia="Times New Roman"/>
          <w:b w:val="0"/>
          <w:bCs w:val="0"/>
          <w:i w:val="0"/>
          <w:iCs w:val="0"/>
          <w:vertAlign w:val="superscript"/>
        </w:rPr>
        <w:footnoteReference w:id="228"/>
      </w:r>
      <w:r>
        <w:rPr>
          <w:rtl w:val="0"/>
        </w:rPr>
        <w:t xml:space="preserve"> Europa</w:t>
      </w:r>
      <w:r>
        <w:rPr>
          <w:rtl w:val="0"/>
        </w:rPr>
        <w:t>’</w:t>
      </w:r>
      <w:r>
        <w:rPr>
          <w:rtl w:val="0"/>
        </w:rPr>
        <w:t xml:space="preserve">s name, </w:t>
      </w:r>
      <w:r>
        <w:rPr>
          <w:rtl w:val="0"/>
        </w:rPr>
        <w:t>Εὐρώπη</w:t>
      </w:r>
      <w:r>
        <w:rPr>
          <w:rtl w:val="0"/>
        </w:rPr>
        <w:t>,</w:t>
      </w:r>
      <w:r>
        <w:rPr>
          <w:rtl w:val="0"/>
        </w:rPr>
        <w:t xml:space="preserve"> contains the </w:t>
      </w:r>
      <w:r>
        <w:rPr>
          <w:rtl w:val="0"/>
        </w:rPr>
        <w:t>morpheme</w:t>
      </w:r>
      <w:r>
        <w:rPr>
          <w:rtl w:val="0"/>
        </w:rPr>
        <w:t xml:space="preserve"> εὐρύς</w:t>
      </w:r>
      <w:r>
        <w:rPr>
          <w:rtl w:val="0"/>
        </w:rPr>
        <w:t xml:space="preserve">, </w:t>
      </w:r>
      <w:r>
        <w:rPr>
          <w:rtl w:val="0"/>
        </w:rPr>
        <w:t>‘</w:t>
      </w:r>
      <w:r>
        <w:rPr>
          <w:rtl w:val="0"/>
        </w:rPr>
        <w:t>wide, broad</w:t>
      </w:r>
      <w:r>
        <w:rPr>
          <w:rtl w:val="0"/>
        </w:rPr>
        <w:t>’</w:t>
      </w:r>
      <w:r>
        <w:rPr>
          <w:rtl w:val="0"/>
        </w:rPr>
        <w:t xml:space="preserve">. This term is the most common epithet used to describe the </w:t>
      </w:r>
      <w:r>
        <w:rPr>
          <w:rtl w:val="0"/>
        </w:rPr>
        <w:t>‘</w:t>
      </w:r>
      <w:r>
        <w:rPr>
          <w:rtl w:val="0"/>
        </w:rPr>
        <w:t>earth</w:t>
      </w:r>
      <w:r>
        <w:rPr>
          <w:rtl w:val="0"/>
        </w:rPr>
        <w:t xml:space="preserve">’ </w:t>
      </w:r>
      <w:r>
        <w:rPr>
          <w:rtl w:val="0"/>
        </w:rPr>
        <w:t>in Indo-European poetic traditions.</w:t>
      </w:r>
      <w:r>
        <w:rPr>
          <w:rFonts w:ascii="Times New Roman" w:cs="Times New Roman" w:hAnsi="Times New Roman" w:eastAsia="Times New Roman"/>
          <w:b w:val="0"/>
          <w:bCs w:val="0"/>
          <w:i w:val="0"/>
          <w:iCs w:val="0"/>
          <w:vertAlign w:val="superscript"/>
        </w:rPr>
        <w:footnoteReference w:id="229"/>
      </w:r>
      <w:r>
        <w:rPr>
          <w:b w:val="1"/>
          <w:bCs w:val="1"/>
          <w:rtl w:val="0"/>
          <w:lang w:val="en-US"/>
        </w:rPr>
        <w:t xml:space="preserve"> </w:t>
      </w:r>
      <w:r>
        <w:rPr>
          <w:rtl w:val="0"/>
        </w:rPr>
        <w:t>Thus, c</w:t>
      </w:r>
      <w:r>
        <w:rPr>
          <w:rtl w:val="0"/>
        </w:rPr>
        <w:t xml:space="preserve">ontrary to Frazer, Europa </w:t>
      </w:r>
      <w:r>
        <w:rPr>
          <w:rtl w:val="0"/>
        </w:rPr>
        <w:t>may have been</w:t>
      </w:r>
      <w:r>
        <w:rPr>
          <w:rtl w:val="0"/>
        </w:rPr>
        <w:t xml:space="preserve"> </w:t>
      </w:r>
      <w:r>
        <w:rPr>
          <w:rtl w:val="0"/>
        </w:rPr>
        <w:t>associated</w:t>
      </w:r>
      <w:r>
        <w:rPr>
          <w:rtl w:val="0"/>
        </w:rPr>
        <w:t xml:space="preserve"> with </w:t>
      </w:r>
      <w:r>
        <w:rPr>
          <w:rtl w:val="0"/>
        </w:rPr>
        <w:t xml:space="preserve">the earth and </w:t>
      </w:r>
      <w:r>
        <w:rPr>
          <w:rtl w:val="0"/>
        </w:rPr>
        <w:t xml:space="preserve">Demeter, and by extension Virgo, and not the moon in the shape of a cow. </w:t>
      </w:r>
      <w:r>
        <w:rPr>
          <w:rtl w:val="0"/>
        </w:rPr>
        <w:t>Supposing this early myth represented a celestial navigation route from the Levant to the Aegean, as Frazer suggested, then it could have taught the star path trade route to or from Sidon via Spica, as embedded in the New Palace courtyard orientation of Knossos.</w:t>
      </w:r>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p>
    <w:p>
      <w:pPr>
        <w:pStyle w:val="Heading Reg 1"/>
      </w:pPr>
      <w:bookmarkStart w:name="_Toc53" w:id="53"/>
      <w:r>
        <w:rPr>
          <w:rFonts w:cs="Arial Unicode MS" w:eastAsia="Arial Unicode MS"/>
          <w:rtl w:val="0"/>
          <w:lang w:val="en-US"/>
        </w:rPr>
        <w:t>Knossos to Tyre</w:t>
      </w:r>
      <w:bookmarkEnd w:id="53"/>
    </w:p>
    <w:p>
      <w:pPr>
        <w:pStyle w:val="Heading Reg 1"/>
      </w:pPr>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As outlined previously, Driessen proposes palaces began as </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monumentalized courts</w:t>
      </w:r>
      <w:r>
        <w:rPr>
          <w:rFonts w:ascii="Times New Roman" w:hAnsi="Times New Roman" w:hint="default"/>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during Early Minoan IIB, or circa 2400 </w:t>
      </w:r>
      <w:r>
        <w:rPr>
          <w:rFonts w:ascii="Times New Roman" w:hAnsi="Times New Roman"/>
          <w:smallCaps w:val="1"/>
          <w:u w:color="000000"/>
          <w:rtl w:val="0"/>
          <w:lang w:val="en-US"/>
          <w14:textOutline w14:w="12700" w14:cap="flat">
            <w14:noFill/>
            <w14:miter w14:lim="400000"/>
          </w14:textOutline>
        </w:rPr>
        <w:t>bce.</w:t>
      </w:r>
      <w:r>
        <w:rPr>
          <w:rFonts w:ascii="Times New Roman" w:cs="Times New Roman" w:hAnsi="Times New Roman" w:eastAsia="Times New Roman"/>
          <w:u w:color="000000"/>
          <w:vertAlign w:val="superscript"/>
          <w:rtl w:val="0"/>
          <w14:textOutline w14:w="12700" w14:cap="flat">
            <w14:noFill/>
            <w14:miter w14:lim="400000"/>
          </w14:textOutline>
        </w:rPr>
        <w:footnoteReference w:id="230"/>
      </w:r>
      <w:r>
        <w:rPr>
          <w:rFonts w:ascii="Times New Roman" w:hAnsi="Times New Roman"/>
          <w:u w:color="000000"/>
          <w:rtl w:val="0"/>
          <w:lang w:val="en-US"/>
          <w14:textOutline w14:w="12700" w14:cap="flat">
            <w14:noFill/>
            <w14:miter w14:lim="400000"/>
          </w14:textOutline>
        </w:rPr>
        <w:t xml:space="preserve"> During this early date, the star path from Virgo did not align to Sidon, but instead, it pointed precisely at its sister city of Tyre, where Europa was born (Fig. 17). However, due to precession, this orientation changed. Th</w:t>
      </w:r>
      <w:r>
        <w:rPr>
          <w:rFonts w:ascii="Times New Roman" w:hAnsi="Times New Roman"/>
          <w:u w:color="000000"/>
          <w:rtl w:val="0"/>
          <w14:textOutline w14:w="12700" w14:cap="flat">
            <w14:noFill/>
            <w14:miter w14:lim="400000"/>
          </w14:textOutline>
        </w:rPr>
        <w:t xml:space="preserve">e </w:t>
      </w:r>
      <w:r>
        <w:rPr>
          <w:rFonts w:ascii="Times New Roman" w:hAnsi="Times New Roman"/>
          <w:u w:color="000000"/>
          <w:rtl w:val="0"/>
          <w:lang w:val="en-US"/>
          <w14:textOutline w14:w="12700" w14:cap="flat">
            <w14:noFill/>
            <w14:miter w14:lim="400000"/>
          </w14:textOutline>
        </w:rPr>
        <w:t>rhumb line</w:t>
      </w:r>
      <w:r>
        <w:rPr>
          <w:rFonts w:ascii="Times New Roman" w:hAnsi="Times New Roman"/>
          <w:u w:color="000000"/>
          <w:rtl w:val="0"/>
          <w:lang w:val="en-US"/>
          <w14:textOutline w14:w="12700" w14:cap="flat">
            <w14:noFill/>
            <w14:miter w14:lim="400000"/>
          </w14:textOutline>
        </w:rPr>
        <w:t xml:space="preserve"> from Knossos to Tyre was 103.63</w:t>
      </w:r>
      <w:r>
        <w:rPr>
          <w:rFonts w:ascii="Times New Roman" w:hAnsi="Times New Roman" w:hint="default"/>
          <w:u w:color="000000"/>
          <w:rtl w:val="0"/>
          <w:lang w:val="it-IT"/>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which </w:t>
      </w:r>
      <w:r>
        <w:rPr>
          <w:rFonts w:ascii="Times New Roman" w:hAnsi="Times New Roman"/>
          <w:u w:color="000000"/>
          <w:rtl w:val="0"/>
          <w:lang w:val="en-US"/>
          <w14:textOutline w14:w="12700" w14:cap="flat">
            <w14:noFill/>
            <w14:miter w14:lim="400000"/>
          </w14:textOutline>
        </w:rPr>
        <w:t>coincided with the azimuth of bright red Antares (</w:t>
      </w:r>
      <w:r>
        <w:rPr>
          <w:rFonts w:ascii="Times New Roman" w:hAnsi="Times New Roman" w:hint="default"/>
          <w:u w:color="000000"/>
          <w:rtl w:val="0"/>
          <w14:textOutline w14:w="12700" w14:cap="flat">
            <w14:noFill/>
            <w14:miter w14:lim="400000"/>
          </w14:textOutline>
        </w:rPr>
        <w:t>α </w:t>
      </w:r>
      <w:r>
        <w:rPr>
          <w:rFonts w:ascii="Times New Roman" w:hAnsi="Times New Roman"/>
          <w:u w:color="000000"/>
          <w:rtl w:val="0"/>
          <w:lang w:val="it-IT"/>
          <w14:textOutline w14:w="12700" w14:cap="flat">
            <w14:noFill/>
            <w14:miter w14:lim="400000"/>
          </w14:textOutline>
        </w:rPr>
        <w:t xml:space="preserve">Sco) in </w:t>
      </w:r>
      <w:r>
        <w:rPr>
          <w:rFonts w:ascii="Times New Roman" w:hAnsi="Times New Roman"/>
          <w:u w:color="000000"/>
          <w:rtl w:val="0"/>
          <w:lang w:val="en-US"/>
          <w14:textOutline w14:w="12700" w14:cap="flat">
            <w14:noFill/>
            <w14:miter w14:lim="400000"/>
          </w14:textOutline>
        </w:rPr>
        <w:t>Scorpius</w:t>
      </w:r>
      <w:r>
        <w:rPr>
          <w:rFonts w:ascii="Times New Roman" w:hAnsi="Times New Roman"/>
          <w:u w:color="000000"/>
          <w:rtl w:val="0"/>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fr</w:t>
      </w:r>
      <w:r>
        <w:rPr>
          <w:rFonts w:ascii="Times New Roman" w:hAnsi="Times New Roman"/>
          <w:u w:color="000000"/>
          <w:rtl w:val="0"/>
          <w:lang w:val="en-US"/>
          <w14:textOutline w14:w="12700" w14:cap="flat">
            <w14:noFill/>
            <w14:miter w14:lim="400000"/>
          </w14:textOutline>
        </w:rPr>
        <w:t xml:space="preserve">om the Old Palace to the </w:t>
      </w:r>
      <w:r>
        <w:rPr>
          <w:rFonts w:ascii="Times New Roman" w:hAnsi="Times New Roman"/>
          <w:u w:color="000000"/>
          <w:rtl w:val="0"/>
          <w:lang w:val="en-US"/>
          <w14:textOutline w14:w="12700" w14:cap="flat">
            <w14:noFill/>
            <w14:miter w14:lim="400000"/>
          </w14:textOutline>
        </w:rPr>
        <w:t>New Palace</w:t>
      </w:r>
      <w:r>
        <w:rPr>
          <w:rFonts w:ascii="Times New Roman" w:hAnsi="Times New Roman"/>
          <w:u w:color="000000"/>
          <w:rtl w:val="0"/>
          <w:lang w:val="en-US"/>
          <w14:textOutline w14:w="12700" w14:cap="flat">
            <w14:noFill/>
            <w14:miter w14:lim="400000"/>
          </w14:textOutline>
        </w:rPr>
        <w:t xml:space="preserve"> period </w:t>
      </w:r>
      <w:r>
        <w:rPr>
          <w:rFonts w:ascii="Times New Roman" w:hAnsi="Times New Roman"/>
          <w:u w:color="000000"/>
          <w:rtl w:val="0"/>
          <w:lang w:val="en-US"/>
          <w14:textOutline w14:w="12700" w14:cap="flat">
            <w14:noFill/>
            <w14:miter w14:lim="400000"/>
          </w14:textOutline>
        </w:rPr>
        <w:t>(Fig. 21)</w:t>
      </w:r>
      <w:r>
        <w:rPr>
          <w:rFonts w:ascii="Times New Roman" w:hAnsi="Times New Roman"/>
          <w:u w:color="000000"/>
          <w:rtl w:val="0"/>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shd w:val="clear" w:color="auto" w:fill="ffffff"/>
          <w:rtl w:val="0"/>
          <w:lang w:val="en-US"/>
          <w14:textOutline w14:w="12700" w14:cap="flat">
            <w14:noFill/>
            <w14:miter w14:lim="400000"/>
          </w14:textOutline>
        </w:rPr>
        <w:t xml:space="preserve">Thus, the star paths for Sidon and Tyre from Knossos may have interchanged between Spica and Antares by the Old Palace period linking the two </w:t>
      </w:r>
      <w:r>
        <w:rPr>
          <w:rFonts w:ascii="Times New Roman" w:hAnsi="Times New Roman" w:hint="default"/>
          <w:u w:color="000000"/>
          <w:shd w:val="clear" w:color="auto" w:fill="ffffff"/>
          <w:rtl w:val="0"/>
          <w:lang w:val="en-US"/>
          <w14:textOutline w14:w="12700" w14:cap="flat">
            <w14:noFill/>
            <w14:miter w14:lim="400000"/>
          </w14:textOutline>
        </w:rPr>
        <w:t>‘</w:t>
      </w:r>
      <w:r>
        <w:rPr>
          <w:rFonts w:ascii="Times New Roman" w:hAnsi="Times New Roman"/>
          <w:u w:color="000000"/>
          <w:shd w:val="clear" w:color="auto" w:fill="ffffff"/>
          <w:rtl w:val="0"/>
          <w:lang w:val="en-US"/>
          <w14:textOutline w14:w="12700" w14:cap="flat">
            <w14:noFill/>
            <w14:miter w14:lim="400000"/>
          </w14:textOutline>
        </w:rPr>
        <w:t>sister cities</w:t>
      </w:r>
      <w:r>
        <w:rPr>
          <w:rFonts w:ascii="Times New Roman" w:hAnsi="Times New Roman" w:hint="default"/>
          <w:u w:color="000000"/>
          <w:shd w:val="clear" w:color="auto" w:fill="ffffff"/>
          <w:rtl w:val="0"/>
          <w:lang w:val="en-US"/>
          <w14:textOutline w14:w="12700" w14:cap="flat">
            <w14:noFill/>
            <w14:miter w14:lim="400000"/>
          </w14:textOutline>
        </w:rPr>
        <w:t xml:space="preserve">’ </w:t>
      </w:r>
      <w:r>
        <w:rPr>
          <w:rFonts w:ascii="Times New Roman" w:hAnsi="Times New Roman"/>
          <w:u w:color="000000"/>
          <w:shd w:val="clear" w:color="auto" w:fill="ffffff"/>
          <w:rtl w:val="0"/>
          <w:lang w:val="en-US"/>
          <w14:textOutline w14:w="12700" w14:cap="flat">
            <w14:noFill/>
            <w14:miter w14:lim="400000"/>
          </w14:textOutline>
        </w:rPr>
        <w:t xml:space="preserve">(Fig. 17). </w:t>
      </w:r>
    </w:p>
    <w:p>
      <w:pPr>
        <w:pStyle w:val="Body A"/>
      </w:pPr>
      <w:r>
        <w:rPr>
          <w:rtl w:val="0"/>
        </w:rPr>
        <w:t xml:space="preserve">Archaeologists have not yet found material evidence of Minoan trade with Tyre from Early Minoan III period, which could justify the proposed star path via Spica to Tyre. The Late Minoan IB </w:t>
      </w:r>
      <w:r>
        <w:rPr>
          <w:rtl w:val="0"/>
        </w:rPr>
        <w:t>‘</w:t>
      </w:r>
      <w:r>
        <w:rPr>
          <w:rtl w:val="0"/>
        </w:rPr>
        <w:t>Marseille ewer</w:t>
      </w:r>
      <w:r>
        <w:rPr>
          <w:rtl w:val="1"/>
        </w:rPr>
        <w:t>’</w:t>
      </w:r>
      <w:r>
        <w:rPr>
          <w:rtl w:val="0"/>
        </w:rPr>
        <w:t xml:space="preserve"> was initially contemplated to have originated in Tyre.</w:t>
      </w:r>
      <w:r>
        <w:rPr>
          <w:rFonts w:ascii="Times New Roman" w:cs="Times New Roman" w:hAnsi="Times New Roman" w:eastAsia="Times New Roman"/>
          <w:b w:val="0"/>
          <w:bCs w:val="0"/>
          <w:i w:val="0"/>
          <w:iCs w:val="0"/>
          <w:vertAlign w:val="superscript"/>
        </w:rPr>
        <w:footnoteReference w:id="231"/>
      </w:r>
      <w:r>
        <w:rPr>
          <w:rtl w:val="0"/>
        </w:rPr>
        <w:t xml:space="preserve"> However, the first historical textual mention of Tyre surfaces around the 19</w:t>
      </w:r>
      <w:r>
        <w:rPr>
          <w:vertAlign w:val="superscript"/>
          <w:rtl w:val="0"/>
          <w:lang w:val="en-US"/>
        </w:rPr>
        <w:t>th</w:t>
      </w:r>
      <w:r>
        <w:rPr>
          <w:rtl w:val="0"/>
        </w:rPr>
        <w:t xml:space="preserve"> century </w:t>
      </w:r>
      <w:r>
        <w:rPr>
          <w:smallCaps w:val="1"/>
          <w:rtl w:val="0"/>
          <w:lang w:val="en-US"/>
        </w:rPr>
        <w:t>bce</w:t>
      </w:r>
      <w:r>
        <w:rPr>
          <w:rtl w:val="0"/>
        </w:rPr>
        <w:t>, concurrent with the earliest evidence of trade between Knossos and Tyre</w:t>
      </w:r>
      <w:r>
        <w:rPr>
          <w:rtl w:val="0"/>
        </w:rPr>
        <w:t>’</w:t>
      </w:r>
      <w:r>
        <w:rPr>
          <w:rtl w:val="0"/>
        </w:rPr>
        <w:t>s sister city, Sidon.</w:t>
      </w:r>
      <w:r>
        <w:rPr>
          <w:rFonts w:ascii="Times New Roman" w:cs="Times New Roman" w:hAnsi="Times New Roman" w:eastAsia="Times New Roman"/>
          <w:b w:val="0"/>
          <w:bCs w:val="0"/>
          <w:i w:val="0"/>
          <w:iCs w:val="0"/>
          <w:vertAlign w:val="superscript"/>
        </w:rPr>
        <w:footnoteReference w:id="232"/>
      </w:r>
      <w:r>
        <w:rPr>
          <w:rtl w:val="0"/>
        </w:rPr>
        <w:t xml:space="preserve"> By this date, </w:t>
      </w:r>
      <w:r>
        <w:rPr>
          <w:rtl w:val="0"/>
        </w:rPr>
        <w:t>Antares could have steered celestial navigators on their journey</w:t>
      </w:r>
      <w:r>
        <w:rPr>
          <w:rtl w:val="0"/>
        </w:rPr>
        <w:t xml:space="preserve"> from its heliacal rise on November 8</w:t>
      </w:r>
      <w:r>
        <w:rPr>
          <w:vertAlign w:val="superscript"/>
          <w:rtl w:val="0"/>
          <w:lang w:val="en-US"/>
        </w:rPr>
        <w:t>th</w:t>
      </w:r>
      <w:r>
        <w:rPr>
          <w:rtl w:val="0"/>
        </w:rPr>
        <w:t xml:space="preserve"> to its acronychal rise on April 25</w:t>
      </w:r>
      <w:r>
        <w:rPr>
          <w:vertAlign w:val="superscript"/>
          <w:rtl w:val="0"/>
          <w:lang w:val="en-US"/>
        </w:rPr>
        <w:t>th</w:t>
      </w:r>
      <w:r>
        <w:rPr>
          <w:rtl w:val="0"/>
        </w:rPr>
        <w:t>. However, this maritime feat may have entailed navigating during the Halcyon days of the dangerous winter</w:t>
      </w:r>
      <w:r>
        <w:rPr>
          <w:rtl w:val="0"/>
          <w:lang w:val="pt-PT"/>
        </w:rPr>
        <w:t xml:space="preserve"> months</w:t>
      </w:r>
      <w:r>
        <w:rPr>
          <w:rtl w:val="0"/>
        </w:rPr>
        <w:t xml:space="preserve"> or during the beginning of the safer spring. </w:t>
      </w:r>
    </w:p>
    <w:p>
      <w:pPr>
        <w:pStyle w:val="Default"/>
        <w:bidi w:val="0"/>
        <w:spacing w:before="0" w:after="240"/>
        <w:ind w:left="0" w:right="0" w:firstLine="0"/>
        <w:jc w:val="left"/>
        <w:rPr>
          <w:rFonts w:ascii="Times New Roman" w:cs="Times New Roman" w:hAnsi="Times New Roman" w:eastAsia="Times New Roman"/>
          <w:outline w:val="0"/>
          <w:color w:val="ff0000"/>
          <w:rtl w:val="0"/>
          <w14:textFill>
            <w14:solidFill>
              <w14:srgbClr w14:val="FF0000"/>
            </w14:solidFill>
          </w14:textFill>
        </w:rPr>
      </w:pPr>
    </w:p>
    <w:p>
      <w:pPr>
        <w:pStyle w:val="Image Caption"/>
      </w:pPr>
      <w:r>
        <w:drawing xmlns:a="http://schemas.openxmlformats.org/drawingml/2006/main">
          <wp:inline distT="0" distB="0" distL="0" distR="0">
            <wp:extent cx="4592303" cy="3011978"/>
            <wp:effectExtent l="0" t="0" r="0" b="0"/>
            <wp:docPr id="1073741850" name="officeArt object" descr="Image"/>
            <wp:cNvGraphicFramePr/>
            <a:graphic xmlns:a="http://schemas.openxmlformats.org/drawingml/2006/main">
              <a:graphicData uri="http://schemas.openxmlformats.org/drawingml/2006/picture">
                <pic:pic xmlns:pic="http://schemas.openxmlformats.org/drawingml/2006/picture">
                  <pic:nvPicPr>
                    <pic:cNvPr id="1073741850" name="Image" descr="Image"/>
                    <pic:cNvPicPr>
                      <a:picLocks noChangeAspect="1"/>
                    </pic:cNvPicPr>
                  </pic:nvPicPr>
                  <pic:blipFill>
                    <a:blip r:embed="rId29">
                      <a:extLst/>
                    </a:blip>
                    <a:srcRect l="0" t="0" r="0" b="0"/>
                    <a:stretch>
                      <a:fillRect/>
                    </a:stretch>
                  </pic:blipFill>
                  <pic:spPr>
                    <a:xfrm>
                      <a:off x="0" y="0"/>
                      <a:ext cx="4592303" cy="3011978"/>
                    </a:xfrm>
                    <a:prstGeom prst="rect">
                      <a:avLst/>
                    </a:prstGeom>
                    <a:ln w="12700" cap="flat">
                      <a:noFill/>
                      <a:miter lim="400000"/>
                    </a:ln>
                    <a:effectLst/>
                  </pic:spPr>
                </pic:pic>
              </a:graphicData>
            </a:graphic>
          </wp:inline>
        </w:drawing>
      </w:r>
    </w:p>
    <w:p>
      <w:pPr>
        <w:pStyle w:val="Image Caption"/>
      </w:pPr>
      <w:bookmarkStart w:name="_Toc54" w:id="54"/>
      <w:r>
        <w:rPr>
          <w:rFonts w:cs="Arial Unicode MS" w:eastAsia="Arial Unicode MS"/>
          <w:rtl w:val="0"/>
        </w:rPr>
        <w:t>Fig. 21. Skyscape visualization of a rhumb line navigation from Knossos to Tyre along the Antares star path during the Old Palace Period.</w:t>
      </w:r>
      <w:bookmarkEnd w:id="54"/>
    </w:p>
    <w:p>
      <w:pPr>
        <w:pStyle w:val="Image Caption"/>
      </w:pPr>
      <w:r>
        <w:rPr>
          <w:rFonts w:ascii="Arial Unicode MS" w:cs="Arial Unicode MS" w:hAnsi="Arial Unicode MS" w:eastAsia="Arial Unicode MS"/>
          <w:b w:val="0"/>
          <w:bCs w:val="0"/>
          <w:i w:val="0"/>
          <w:iCs w:val="0"/>
        </w:rPr>
        <w:br w:type="page"/>
      </w:r>
    </w:p>
    <w:p>
      <w:pPr>
        <w:pStyle w:val="Heading Reg"/>
      </w:pPr>
      <w:bookmarkStart w:name="_Toc55" w:id="55"/>
      <w:r>
        <w:rPr>
          <w:rFonts w:cs="Arial Unicode MS" w:eastAsia="Arial Unicode MS"/>
          <w:rtl w:val="0"/>
          <w:lang w:val="en-US"/>
        </w:rPr>
        <w:t>Phaistos to Qatna and Kadesh</w:t>
      </w:r>
      <w:bookmarkEnd w:id="55"/>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p>
    <w:p>
      <w:pPr>
        <w:pStyle w:val="Body A"/>
      </w:pPr>
      <w:r>
        <w:rPr>
          <w:rtl w:val="0"/>
        </w:rPr>
        <w:t xml:space="preserve">During the </w:t>
      </w:r>
      <w:r>
        <w:rPr>
          <w:rtl w:val="0"/>
          <w:lang w:val="es-ES_tradnl"/>
        </w:rPr>
        <w:t>Old Palace</w:t>
      </w:r>
      <w:r>
        <w:rPr>
          <w:rtl w:val="0"/>
        </w:rPr>
        <w:t xml:space="preserve"> period, the</w:t>
      </w:r>
      <w:r>
        <w:rPr>
          <w:rtl w:val="0"/>
        </w:rPr>
        <w:t xml:space="preserve"> </w:t>
      </w:r>
      <w:r>
        <w:rPr>
          <w:rtl w:val="0"/>
        </w:rPr>
        <w:t xml:space="preserve">Phaistos courtyard short axis </w:t>
      </w:r>
      <w:r>
        <w:rPr>
          <w:rtl w:val="0"/>
          <w:lang w:val="fr-FR"/>
        </w:rPr>
        <w:t xml:space="preserve">orientation </w:t>
      </w:r>
      <w:r>
        <w:rPr>
          <w:rtl w:val="0"/>
        </w:rPr>
        <w:t xml:space="preserve">of </w:t>
      </w:r>
      <w:r>
        <w:rPr>
          <w:rtl w:val="0"/>
        </w:rPr>
        <w:t>91.03</w:t>
      </w:r>
      <w:r>
        <w:rPr>
          <w:rtl w:val="0"/>
        </w:rPr>
        <w:t xml:space="preserve">° </w:t>
      </w:r>
      <w:r>
        <w:rPr>
          <w:rtl w:val="0"/>
        </w:rPr>
        <w:t>pointed</w:t>
      </w:r>
      <w:r>
        <w:rPr>
          <w:rtl w:val="0"/>
        </w:rPr>
        <w:t xml:space="preserve"> toward the rising of Aldebaran</w:t>
      </w:r>
      <w:r>
        <w:rPr>
          <w:rtl w:val="0"/>
        </w:rPr>
        <w:t xml:space="preserve"> </w:t>
      </w:r>
      <w:r>
        <w:rPr>
          <w:rtl w:val="0"/>
        </w:rPr>
        <w:t>(</w:t>
      </w:r>
      <w:r>
        <w:rPr>
          <w:rtl w:val="0"/>
        </w:rPr>
        <w:t>α </w:t>
      </w:r>
      <w:r>
        <w:rPr>
          <w:rtl w:val="0"/>
          <w:lang w:val="it-IT"/>
        </w:rPr>
        <w:t>Tauri)</w:t>
      </w:r>
      <w:r>
        <w:rPr>
          <w:rtl w:val="0"/>
        </w:rPr>
        <w:t xml:space="preserve"> </w:t>
      </w:r>
      <w:r>
        <w:rPr>
          <w:rtl w:val="0"/>
        </w:rPr>
        <w:t>to within one degree of accuracy</w:t>
      </w:r>
      <w:r>
        <w:rPr>
          <w:rtl w:val="0"/>
        </w:rPr>
        <w:t xml:space="preserve"> </w:t>
      </w:r>
      <w:r>
        <w:rPr>
          <w:rtl w:val="0"/>
        </w:rPr>
        <w:t>(</w:t>
      </w:r>
      <w:r>
        <w:rPr>
          <w:rtl w:val="0"/>
        </w:rPr>
        <w:t>Fig. 17</w:t>
      </w:r>
      <w:r>
        <w:rPr>
          <w:rtl w:val="0"/>
        </w:rPr>
        <w:t>).</w:t>
      </w:r>
      <w:r>
        <w:rPr>
          <w:rtl w:val="0"/>
        </w:rPr>
        <w:t xml:space="preserve">  Following a rhumb line along Aldebaran</w:t>
      </w:r>
      <w:r>
        <w:rPr>
          <w:rtl w:val="0"/>
        </w:rPr>
        <w:t>’</w:t>
      </w:r>
      <w:r>
        <w:rPr>
          <w:rtl w:val="0"/>
        </w:rPr>
        <w:t xml:space="preserve">s star path, one would traverse Crete and make landfall at Cyprus (Fig. 22). This route would eventually lead to Hala Sultan Tekke, </w:t>
      </w:r>
      <w:r>
        <w:rPr>
          <w:rtl w:val="0"/>
          <w:lang w:val="pt-PT"/>
        </w:rPr>
        <w:t xml:space="preserve">where </w:t>
      </w:r>
      <w:r>
        <w:rPr>
          <w:rtl w:val="0"/>
        </w:rPr>
        <w:t xml:space="preserve">numerous examples of </w:t>
      </w:r>
      <w:r>
        <w:rPr>
          <w:rtl w:val="0"/>
          <w:lang w:val="pt-PT"/>
        </w:rPr>
        <w:t xml:space="preserve">Minoan </w:t>
      </w:r>
      <w:r>
        <w:rPr>
          <w:rtl w:val="0"/>
        </w:rPr>
        <w:t>pottery</w:t>
      </w:r>
      <w:r>
        <w:rPr>
          <w:rtl w:val="0"/>
          <w:lang w:val="pt-PT"/>
        </w:rPr>
        <w:t xml:space="preserve"> </w:t>
      </w:r>
      <w:r>
        <w:rPr>
          <w:rtl w:val="0"/>
        </w:rPr>
        <w:t xml:space="preserve">from the Late Minoan periods </w:t>
      </w:r>
      <w:r>
        <w:rPr>
          <w:rtl w:val="0"/>
        </w:rPr>
        <w:t>have been found</w:t>
      </w:r>
      <w:r>
        <w:rPr>
          <w:rtl w:val="0"/>
        </w:rPr>
        <w:t>.</w:t>
      </w:r>
      <w:r>
        <w:rPr>
          <w:rFonts w:ascii="Times New Roman" w:cs="Times New Roman" w:hAnsi="Times New Roman" w:eastAsia="Times New Roman"/>
          <w:b w:val="0"/>
          <w:bCs w:val="0"/>
          <w:i w:val="0"/>
          <w:iCs w:val="0"/>
          <w:vertAlign w:val="superscript"/>
        </w:rPr>
        <w:footnoteReference w:id="233"/>
      </w:r>
      <w:r>
        <w:rPr>
          <w:rtl w:val="0"/>
        </w:rPr>
        <w:t xml:space="preserve"> Merchants</w:t>
      </w:r>
      <w:r>
        <w:rPr>
          <w:rtl w:val="0"/>
        </w:rPr>
        <w:t xml:space="preserve"> </w:t>
      </w:r>
      <w:r>
        <w:rPr>
          <w:rtl w:val="0"/>
        </w:rPr>
        <w:t>based at</w:t>
      </w:r>
      <w:r>
        <w:rPr>
          <w:rtl w:val="0"/>
        </w:rPr>
        <w:t xml:space="preserve"> Phaistos </w:t>
      </w:r>
      <w:r>
        <w:rPr>
          <w:rtl w:val="0"/>
        </w:rPr>
        <w:t>c</w:t>
      </w:r>
      <w:r>
        <w:rPr>
          <w:rtl w:val="0"/>
        </w:rPr>
        <w:t>ould have sailed to or from Kommos, the main harbor of Southern Crete, where significant evidence of trade between Crete and Cyprus</w:t>
      </w:r>
      <w:r>
        <w:rPr>
          <w:rtl w:val="0"/>
        </w:rPr>
        <w:t xml:space="preserve"> exists. According to </w:t>
      </w:r>
      <w:r>
        <w:rPr>
          <w:rtl w:val="0"/>
        </w:rPr>
        <w:t>Zeman-Wi</w:t>
      </w:r>
      <w:r>
        <w:rPr>
          <w:rtl w:val="0"/>
        </w:rPr>
        <w:t>ś</w:t>
      </w:r>
      <w:r>
        <w:rPr>
          <w:rtl w:val="0"/>
        </w:rPr>
        <w:t>niewska</w:t>
      </w:r>
      <w:r>
        <w:rPr>
          <w:rtl w:val="0"/>
        </w:rPr>
        <w:t xml:space="preserve">, Kommos contains the </w:t>
      </w:r>
      <w:r>
        <w:rPr>
          <w:rtl w:val="0"/>
        </w:rPr>
        <w:t>‘</w:t>
      </w:r>
      <w:r>
        <w:rPr>
          <w:rtl w:val="0"/>
        </w:rPr>
        <w:t>most visible trace of contacts between the two islands</w:t>
      </w:r>
      <w:r>
        <w:rPr>
          <w:rtl w:val="0"/>
        </w:rPr>
        <w:t xml:space="preserve">’ </w:t>
      </w:r>
      <w:r>
        <w:rPr>
          <w:rtl w:val="0"/>
        </w:rPr>
        <w:t>in the Middle Minoan period.</w:t>
      </w:r>
      <w:r>
        <w:rPr>
          <w:rFonts w:ascii="Times New Roman" w:cs="Times New Roman" w:hAnsi="Times New Roman" w:eastAsia="Times New Roman"/>
          <w:b w:val="0"/>
          <w:bCs w:val="0"/>
          <w:i w:val="0"/>
          <w:iCs w:val="0"/>
          <w:vertAlign w:val="superscript"/>
        </w:rPr>
        <w:footnoteReference w:id="234"/>
      </w:r>
      <w:r>
        <w:rPr>
          <w:rtl w:val="0"/>
        </w:rPr>
        <w:t xml:space="preserve"> Hala Sultan Tekke</w:t>
      </w:r>
      <w:r>
        <w:rPr>
          <w:rtl w:val="0"/>
        </w:rPr>
        <w:t xml:space="preserve"> </w:t>
      </w:r>
      <w:r>
        <w:rPr>
          <w:rtl w:val="0"/>
        </w:rPr>
        <w:t>later became</w:t>
      </w:r>
      <w:r>
        <w:rPr>
          <w:rtl w:val="0"/>
        </w:rPr>
        <w:t xml:space="preserve"> </w:t>
      </w:r>
      <w:r>
        <w:rPr>
          <w:rtl w:val="0"/>
        </w:rPr>
        <w:t>the</w:t>
      </w:r>
      <w:r>
        <w:rPr>
          <w:rtl w:val="0"/>
        </w:rPr>
        <w:t xml:space="preserve"> Phoenician city </w:t>
      </w:r>
      <w:r>
        <w:rPr>
          <w:rtl w:val="0"/>
        </w:rPr>
        <w:t>of</w:t>
      </w:r>
      <w:r>
        <w:rPr>
          <w:rtl w:val="0"/>
        </w:rPr>
        <w:t xml:space="preserve"> Kition</w:t>
      </w:r>
      <w:r>
        <w:rPr>
          <w:rtl w:val="0"/>
        </w:rPr>
        <w:t>, while</w:t>
      </w:r>
      <w:r>
        <w:rPr>
          <w:rtl w:val="0"/>
          <w:lang w:val="de-DE"/>
        </w:rPr>
        <w:t xml:space="preserve"> Kommos </w:t>
      </w:r>
      <w:r>
        <w:rPr>
          <w:rtl w:val="0"/>
        </w:rPr>
        <w:t>itself flourished as a Phoenician trading post.</w:t>
      </w:r>
      <w:r>
        <w:rPr>
          <w:rFonts w:ascii="Times New Roman" w:cs="Times New Roman" w:hAnsi="Times New Roman" w:eastAsia="Times New Roman"/>
          <w:b w:val="0"/>
          <w:bCs w:val="0"/>
          <w:i w:val="0"/>
          <w:iCs w:val="0"/>
          <w:vertAlign w:val="superscript"/>
        </w:rPr>
        <w:footnoteReference w:id="235"/>
      </w:r>
      <w:r>
        <w:rPr>
          <w:rtl w:val="0"/>
        </w:rPr>
        <w:t xml:space="preserve"> By continuing on this star path, </w:t>
      </w:r>
      <w:r>
        <w:rPr>
          <w:rtl w:val="0"/>
        </w:rPr>
        <w:t xml:space="preserve">Minoan </w:t>
      </w:r>
      <w:r>
        <w:rPr>
          <w:rtl w:val="0"/>
        </w:rPr>
        <w:t>merchants</w:t>
      </w:r>
      <w:r>
        <w:rPr>
          <w:rtl w:val="0"/>
        </w:rPr>
        <w:t xml:space="preserve"> would have reached the Levantine coast and then journeyed to the inland </w:t>
      </w:r>
      <w:r>
        <w:rPr>
          <w:rtl w:val="0"/>
        </w:rPr>
        <w:t>kingdom</w:t>
      </w:r>
      <w:r>
        <w:rPr>
          <w:rtl w:val="0"/>
        </w:rPr>
        <w:t xml:space="preserve"> of Qatna</w:t>
      </w:r>
      <w:r>
        <w:rPr>
          <w:rtl w:val="0"/>
        </w:rPr>
        <w:t>.</w:t>
      </w:r>
    </w:p>
    <w:p>
      <w:pPr>
        <w:pStyle w:val="Body A"/>
      </w:pPr>
      <w:r>
        <w:rPr>
          <w:rtl w:val="0"/>
        </w:rPr>
        <w:t>A century</w:t>
      </w:r>
      <w:r>
        <w:rPr>
          <w:rtl w:val="0"/>
        </w:rPr>
        <w:t xml:space="preserve"> </w:t>
      </w:r>
      <w:r>
        <w:rPr>
          <w:rtl w:val="0"/>
        </w:rPr>
        <w:t>prior to</w:t>
      </w:r>
      <w:r>
        <w:rPr>
          <w:rtl w:val="0"/>
        </w:rPr>
        <w:t xml:space="preserve"> the Old Palace period, circa 2000 </w:t>
      </w:r>
      <w:r>
        <w:rPr>
          <w:smallCaps w:val="1"/>
          <w:rtl w:val="0"/>
        </w:rPr>
        <w:t>bce</w:t>
      </w:r>
      <w:r>
        <w:rPr>
          <w:smallCaps w:val="1"/>
          <w:rtl w:val="0"/>
          <w:lang w:val="en-US"/>
        </w:rPr>
        <w:t>,</w:t>
      </w:r>
      <w:r>
        <w:rPr>
          <w:rtl w:val="0"/>
        </w:rPr>
        <w:t xml:space="preserve"> Qatna rose to become the regional capital in what would become modern-day Syria. Qatna was a major Syrian kingdom and commercial centre, positioned at the crossroads of the north-south route between Anatolia to Egypt (from Aleppo via Hama to Damascus), and the east-west roads connecting to Mesopotamia (from Mari across the Syrian desert to the Mediterranean) (Fig. 23).</w:t>
      </w:r>
      <w:r>
        <w:rPr>
          <w:rFonts w:ascii="Times New Roman" w:cs="Times New Roman" w:hAnsi="Times New Roman" w:eastAsia="Times New Roman"/>
          <w:b w:val="0"/>
          <w:bCs w:val="0"/>
          <w:i w:val="0"/>
          <w:iCs w:val="0"/>
          <w:vertAlign w:val="superscript"/>
        </w:rPr>
        <w:footnoteReference w:id="236"/>
      </w:r>
      <w:r>
        <w:rPr>
          <w:rtl w:val="0"/>
        </w:rPr>
        <w:t xml:space="preserve"> The palace of Qatna contains Minoan frescoes rarely found outside the Aegean. Dating to circa 1650-1550 </w:t>
      </w:r>
      <w:r>
        <w:rPr>
          <w:smallCaps w:val="1"/>
          <w:rtl w:val="0"/>
          <w:lang w:val="en-US"/>
        </w:rPr>
        <w:t>bce,</w:t>
      </w:r>
      <w:r>
        <w:rPr>
          <w:rtl w:val="0"/>
        </w:rPr>
        <w:t xml:space="preserve"> they depict typical Minoan motifs such as palm trees, rivers, spirals, and a dolphin.</w:t>
      </w:r>
      <w:r>
        <w:rPr>
          <w:rFonts w:ascii="Times New Roman" w:cs="Times New Roman" w:hAnsi="Times New Roman" w:eastAsia="Times New Roman"/>
          <w:b w:val="0"/>
          <w:bCs w:val="0"/>
          <w:i w:val="0"/>
          <w:iCs w:val="0"/>
          <w:vertAlign w:val="superscript"/>
        </w:rPr>
        <w:footnoteReference w:id="237"/>
      </w:r>
      <w:r>
        <w:rPr>
          <w:rtl w:val="0"/>
        </w:rPr>
        <w:t xml:space="preserve"> </w:t>
      </w:r>
      <w:r>
        <w:rPr>
          <w:rtl w:val="0"/>
        </w:rPr>
        <w:t>Text 30 of the Zimri-Lim texts</w:t>
      </w:r>
      <w:r>
        <w:rPr>
          <w:rtl w:val="0"/>
        </w:rPr>
        <w:t xml:space="preserve"> mention </w:t>
      </w:r>
      <w:r>
        <w:rPr>
          <w:rtl w:val="0"/>
        </w:rPr>
        <w:t xml:space="preserve">Cretan officials </w:t>
      </w:r>
      <w:r>
        <w:rPr>
          <w:rtl w:val="0"/>
        </w:rPr>
        <w:t>alongside the kings of Qatna and Hazor.</w:t>
      </w:r>
      <w:r>
        <w:rPr>
          <w:rFonts w:ascii="Times New Roman" w:cs="Times New Roman" w:hAnsi="Times New Roman" w:eastAsia="Times New Roman"/>
          <w:b w:val="0"/>
          <w:bCs w:val="0"/>
          <w:i w:val="0"/>
          <w:iCs w:val="0"/>
          <w:vertAlign w:val="superscript"/>
        </w:rPr>
        <w:footnoteReference w:id="238"/>
      </w:r>
    </w:p>
    <w:p>
      <w:pPr>
        <w:pStyle w:val="Body A"/>
      </w:pPr>
    </w:p>
    <w:p>
      <w:pPr>
        <w:pStyle w:val="Image Caption"/>
      </w:pPr>
      <w:r>
        <w:drawing xmlns:a="http://schemas.openxmlformats.org/drawingml/2006/main">
          <wp:inline distT="0" distB="0" distL="0" distR="0">
            <wp:extent cx="3720314" cy="2401271"/>
            <wp:effectExtent l="0" t="0" r="0" b="0"/>
            <wp:docPr id="1073741851" name="officeArt object" descr="Image"/>
            <wp:cNvGraphicFramePr/>
            <a:graphic xmlns:a="http://schemas.openxmlformats.org/drawingml/2006/main">
              <a:graphicData uri="http://schemas.openxmlformats.org/drawingml/2006/picture">
                <pic:pic xmlns:pic="http://schemas.openxmlformats.org/drawingml/2006/picture">
                  <pic:nvPicPr>
                    <pic:cNvPr id="1073741851" name="Image" descr="Image"/>
                    <pic:cNvPicPr>
                      <a:picLocks noChangeAspect="1"/>
                    </pic:cNvPicPr>
                  </pic:nvPicPr>
                  <pic:blipFill>
                    <a:blip r:embed="rId30">
                      <a:extLst/>
                    </a:blip>
                    <a:srcRect l="0" t="0" r="0" b="0"/>
                    <a:stretch>
                      <a:fillRect/>
                    </a:stretch>
                  </pic:blipFill>
                  <pic:spPr>
                    <a:xfrm>
                      <a:off x="0" y="0"/>
                      <a:ext cx="3720314" cy="2401271"/>
                    </a:xfrm>
                    <a:prstGeom prst="rect">
                      <a:avLst/>
                    </a:prstGeom>
                    <a:ln w="12700" cap="flat">
                      <a:noFill/>
                      <a:miter lim="400000"/>
                    </a:ln>
                    <a:effectLst/>
                  </pic:spPr>
                </pic:pic>
              </a:graphicData>
            </a:graphic>
          </wp:inline>
        </w:drawing>
      </w:r>
    </w:p>
    <w:p>
      <w:pPr>
        <w:pStyle w:val="Image Caption"/>
      </w:pPr>
      <w:bookmarkStart w:name="_Toc56" w:id="56"/>
      <w:r>
        <w:rPr>
          <w:rFonts w:cs="Arial Unicode MS" w:eastAsia="Arial Unicode MS"/>
          <w:rtl w:val="0"/>
        </w:rPr>
        <w:t xml:space="preserve">Fig. 22. Direct route through Cyprus to Qatna. </w:t>
      </w:r>
      <w:r>
        <w:rPr>
          <w:rFonts w:cs="Arial Unicode MS" w:eastAsia="Arial Unicode MS"/>
          <w:rtl w:val="0"/>
        </w:rPr>
        <w:t>Google Earth Pro.</w:t>
      </w:r>
      <w:bookmarkEnd w:id="56"/>
    </w:p>
    <w:p>
      <w:pPr>
        <w:pStyle w:val="Image Caption"/>
      </w:pPr>
    </w:p>
    <w:p>
      <w:pPr>
        <w:pStyle w:val="Body A"/>
      </w:pPr>
      <w:r>
        <w:rPr>
          <w:rtl w:val="0"/>
        </w:rPr>
        <w:t>The rhumb line from Phaistos to Qatna differs by</w:t>
      </w:r>
      <w:r>
        <w:rPr>
          <w:rtl w:val="0"/>
        </w:rPr>
        <w:t xml:space="preserve"> </w:t>
      </w:r>
      <w:r>
        <w:rPr>
          <w:rtl w:val="0"/>
        </w:rPr>
        <w:t xml:space="preserve"> +0.23</w:t>
      </w:r>
      <w:r>
        <w:rPr>
          <w:rtl w:val="0"/>
          <w:lang w:val="it-IT"/>
        </w:rPr>
        <w:t xml:space="preserve">° </w:t>
      </w:r>
      <w:r>
        <w:rPr>
          <w:rtl w:val="0"/>
        </w:rPr>
        <w:t xml:space="preserve">from the Old Palace courtyard orientation (Table 2). </w:t>
      </w:r>
      <w:r>
        <w:rPr>
          <w:rtl w:val="0"/>
        </w:rPr>
        <w:t>The</w:t>
      </w:r>
      <w:r>
        <w:rPr>
          <w:rtl w:val="0"/>
        </w:rPr>
        <w:t xml:space="preserve"> </w:t>
      </w:r>
      <w:r>
        <w:rPr>
          <w:rtl w:val="0"/>
        </w:rPr>
        <w:t>orientation is</w:t>
      </w:r>
      <w:r>
        <w:rPr>
          <w:rtl w:val="0"/>
        </w:rPr>
        <w:t xml:space="preserve"> almost exactly due east-west toward the equinoctial sunrise or sunset. </w:t>
      </w:r>
      <w:r>
        <w:rPr>
          <w:rtl w:val="0"/>
        </w:rPr>
        <w:t xml:space="preserve">By the New Palace period (circa 1700 </w:t>
      </w:r>
      <w:r>
        <w:rPr>
          <w:smallCaps w:val="1"/>
          <w:rtl w:val="0"/>
          <w:lang w:val="en-US"/>
        </w:rPr>
        <w:t>bce</w:t>
      </w:r>
      <w:r>
        <w:rPr>
          <w:rtl w:val="0"/>
        </w:rPr>
        <w:t xml:space="preserve">), when the Minoanized Qatna palace was constructed, the rhumb line from Phaistos matched more closely with the star path to </w:t>
      </w:r>
      <w:r>
        <w:rPr>
          <w:rtl w:val="0"/>
          <w:lang w:val="fr-FR"/>
        </w:rPr>
        <w:t>Betelgeuse (</w:t>
      </w:r>
      <w:r>
        <w:rPr>
          <w:rtl w:val="0"/>
        </w:rPr>
        <w:t>α </w:t>
      </w:r>
      <w:r>
        <w:rPr>
          <w:rtl w:val="0"/>
        </w:rPr>
        <w:t xml:space="preserve">Orionis) rising </w:t>
      </w:r>
      <w:r>
        <w:rPr>
          <w:rtl w:val="0"/>
        </w:rPr>
        <w:t xml:space="preserve">rather than Aldebaran </w:t>
      </w:r>
      <w:r>
        <w:rPr>
          <w:rtl w:val="0"/>
        </w:rPr>
        <w:t>(</w:t>
      </w:r>
      <w:r>
        <w:rPr>
          <w:rtl w:val="0"/>
        </w:rPr>
        <w:t>Fig. 17, 24</w:t>
      </w:r>
      <w:r>
        <w:rPr>
          <w:rtl w:val="0"/>
        </w:rPr>
        <w:t>)</w:t>
      </w:r>
      <w:r>
        <w:rPr>
          <w:rtl w:val="0"/>
        </w:rPr>
        <w:t xml:space="preserve">. However, the palace orientation may have been adjusted during this phase of construction, consistent with a rhumb line toward Kadesh, which may have been a royal residence at the time. A century before the New Palace period, </w:t>
      </w:r>
      <w:r>
        <w:rPr>
          <w:rtl w:val="0"/>
        </w:rPr>
        <w:t>king Ishi-Addu of Qatna</w:t>
      </w:r>
      <w:r>
        <w:rPr>
          <w:rtl w:val="0"/>
        </w:rPr>
        <w:t xml:space="preserve"> had taken up residence in Kadesh, one of the principal cities of the kingdom, to quell a local rebellion.</w:t>
      </w:r>
      <w:r>
        <w:rPr>
          <w:rFonts w:ascii="Times New Roman" w:cs="Times New Roman" w:hAnsi="Times New Roman" w:eastAsia="Times New Roman"/>
          <w:b w:val="0"/>
          <w:bCs w:val="0"/>
          <w:i w:val="0"/>
          <w:iCs w:val="0"/>
          <w:vertAlign w:val="superscript"/>
        </w:rPr>
        <w:footnoteReference w:id="239"/>
      </w:r>
      <w:r>
        <w:rPr>
          <w:rtl w:val="0"/>
        </w:rPr>
        <w:t xml:space="preserve"> C</w:t>
      </w:r>
      <w:r>
        <w:rPr>
          <w:rtl w:val="0"/>
        </w:rPr>
        <w:t>oincidentally</w:t>
      </w:r>
      <w:r>
        <w:rPr>
          <w:rtl w:val="0"/>
        </w:rPr>
        <w:t xml:space="preserve">, circa 1800 </w:t>
      </w:r>
      <w:r>
        <w:rPr>
          <w:smallCaps w:val="1"/>
          <w:rtl w:val="0"/>
          <w:lang w:val="en-US"/>
        </w:rPr>
        <w:t xml:space="preserve">bce </w:t>
      </w:r>
      <w:r>
        <w:rPr>
          <w:rtl w:val="0"/>
        </w:rPr>
        <w:t xml:space="preserve">the rhumb line to Kadesh was oriented exactly to the star path </w:t>
      </w:r>
      <w:r>
        <w:rPr>
          <w:rtl w:val="0"/>
          <w:lang w:val="de-DE"/>
        </w:rPr>
        <w:t>of Betelgeuse</w:t>
      </w:r>
      <w:r>
        <w:rPr>
          <w:rtl w:val="0"/>
        </w:rPr>
        <w:t xml:space="preserve"> (Fig. 17). Therefore, this shift in orientation may reflect political as well as astronautical considerations. </w:t>
      </w:r>
    </w:p>
    <w:p>
      <w:pPr>
        <w:pStyle w:val="Body A"/>
        <w:rPr>
          <w:b w:val="1"/>
          <w:bCs w:val="1"/>
        </w:rPr>
      </w:pPr>
    </w:p>
    <w:p>
      <w:pPr>
        <w:pStyle w:val="Image A"/>
        <w:rPr>
          <w:rFonts w:ascii="Times Roman" w:cs="Times Roman" w:hAnsi="Times Roman" w:eastAsia="Times Roman"/>
          <w:sz w:val="24"/>
          <w:szCs w:val="24"/>
        </w:rPr>
      </w:pPr>
      <w:r>
        <w:drawing xmlns:a="http://schemas.openxmlformats.org/drawingml/2006/main">
          <wp:inline distT="0" distB="0" distL="0" distR="0">
            <wp:extent cx="3693582" cy="2599342"/>
            <wp:effectExtent l="0" t="0" r="0" b="0"/>
            <wp:docPr id="1073741852" name="officeArt object" descr="Image"/>
            <wp:cNvGraphicFramePr/>
            <a:graphic xmlns:a="http://schemas.openxmlformats.org/drawingml/2006/main">
              <a:graphicData uri="http://schemas.openxmlformats.org/drawingml/2006/picture">
                <pic:pic xmlns:pic="http://schemas.openxmlformats.org/drawingml/2006/picture">
                  <pic:nvPicPr>
                    <pic:cNvPr id="1073741852" name="Image" descr="Image"/>
                    <pic:cNvPicPr>
                      <a:picLocks noChangeAspect="1"/>
                    </pic:cNvPicPr>
                  </pic:nvPicPr>
                  <pic:blipFill>
                    <a:blip r:embed="rId31">
                      <a:extLst/>
                    </a:blip>
                    <a:srcRect l="0" t="0" r="0" b="0"/>
                    <a:stretch>
                      <a:fillRect/>
                    </a:stretch>
                  </pic:blipFill>
                  <pic:spPr>
                    <a:xfrm>
                      <a:off x="0" y="0"/>
                      <a:ext cx="3693582" cy="2599342"/>
                    </a:xfrm>
                    <a:prstGeom prst="rect">
                      <a:avLst/>
                    </a:prstGeom>
                    <a:ln w="12700" cap="flat">
                      <a:noFill/>
                      <a:miter lim="400000"/>
                    </a:ln>
                    <a:effectLst/>
                  </pic:spPr>
                </pic:pic>
              </a:graphicData>
            </a:graphic>
          </wp:inline>
        </w:drawing>
      </w:r>
    </w:p>
    <w:p>
      <w:pPr>
        <w:pStyle w:val="Image Caption"/>
        <w:rPr>
          <w:shd w:val="clear" w:color="auto" w:fill="ffffff"/>
        </w:rPr>
      </w:pPr>
      <w:bookmarkStart w:name="_Toc57" w:id="57"/>
      <w:r>
        <w:rPr>
          <w:rFonts w:cs="Arial Unicode MS" w:eastAsia="Arial Unicode MS"/>
          <w:rtl w:val="0"/>
        </w:rPr>
        <w:t>Fig. 23. Terrestrial trade routes in the Bronze Age.</w:t>
      </w:r>
      <w:r>
        <w:rPr>
          <w:rFonts w:ascii="Times New Roman" w:cs="Times New Roman" w:hAnsi="Times New Roman" w:eastAsia="Times New Roman"/>
          <w:b w:val="0"/>
          <w:bCs w:val="0"/>
          <w:i w:val="0"/>
          <w:iCs w:val="0"/>
          <w:vertAlign w:val="superscript"/>
        </w:rPr>
        <w:footnoteReference w:id="240"/>
      </w:r>
      <w:bookmarkEnd w:id="57"/>
    </w:p>
    <w:p>
      <w:pPr>
        <w:pStyle w:val="Body A"/>
        <w:rPr>
          <w:shd w:val="clear" w:color="auto" w:fill="ffffff"/>
        </w:rPr>
      </w:pPr>
    </w:p>
    <w:p>
      <w:pPr>
        <w:pStyle w:val="Body A"/>
      </w:pPr>
      <w:r>
        <w:rPr>
          <w:rtl w:val="0"/>
        </w:rPr>
        <w:t>If aligning due east during the Old Palace was the intention (disregarding the 1</w:t>
      </w:r>
      <w:r>
        <w:rPr>
          <w:rtl w:val="0"/>
        </w:rPr>
        <w:t xml:space="preserve">° </w:t>
      </w:r>
      <w:r>
        <w:rPr>
          <w:rtl w:val="0"/>
        </w:rPr>
        <w:t>apparent error in orientation), why would the builders have slightly realigned the building during the New Palace?</w:t>
      </w:r>
      <w:r>
        <w:rPr>
          <w:rtl w:val="0"/>
        </w:rPr>
        <w:t xml:space="preserve"> </w:t>
      </w:r>
      <w:r>
        <w:rPr>
          <w:rtl w:val="0"/>
        </w:rPr>
        <w:t>The rhumb lines to Qatna and then Kadesh present a plausible explanation for why the palace is not oriented precisely to the cardinal east. Unlike Blomberg and Henriksson</w:t>
      </w:r>
      <w:r>
        <w:rPr>
          <w:rtl w:val="0"/>
        </w:rPr>
        <w:t>’</w:t>
      </w:r>
      <w:r>
        <w:rPr>
          <w:rtl w:val="0"/>
        </w:rPr>
        <w:t xml:space="preserve">s view, this hypothesis not only accounts for the different construction phases of the palace, but also considers the use of possible navigational stars. </w:t>
      </w:r>
      <w:r>
        <w:rPr>
          <w:rtl w:val="0"/>
        </w:rPr>
        <w:t>Blomberg and Henriksson</w:t>
      </w:r>
      <w:r>
        <w:rPr>
          <w:rtl w:val="1"/>
        </w:rPr>
        <w:t>’</w:t>
      </w:r>
      <w:r>
        <w:rPr>
          <w:rtl w:val="0"/>
        </w:rPr>
        <w:t>s proposal that the Phaistos long axis was oriented toward Canopus, d</w:t>
      </w:r>
      <w:r>
        <w:rPr>
          <w:rtl w:val="0"/>
        </w:rPr>
        <w:t>oes</w:t>
      </w:r>
      <w:r>
        <w:rPr>
          <w:rtl w:val="0"/>
        </w:rPr>
        <w:t xml:space="preserve"> not consider any navigational or rhumb line directions associated with this star, only that it may have been an equinoctial marker. However, it would not have been practical since it was not directly visible from the courtyard. The orientation toward Qatna during the Old Palace does not preclude an intentional alignment to the Kamares cave as well.</w:t>
      </w:r>
    </w:p>
    <w:p>
      <w:pPr>
        <w:pStyle w:val="Body A"/>
      </w:pPr>
    </w:p>
    <w:p>
      <w:pPr>
        <w:pStyle w:val="Image A"/>
        <w:rPr>
          <w:shd w:val="clear" w:color="auto" w:fill="ffffff"/>
        </w:rPr>
      </w:pPr>
      <w:r>
        <w:drawing xmlns:a="http://schemas.openxmlformats.org/drawingml/2006/main">
          <wp:inline distT="0" distB="0" distL="0" distR="0">
            <wp:extent cx="4066096" cy="2509883"/>
            <wp:effectExtent l="0" t="0" r="0" b="0"/>
            <wp:docPr id="1073741853" name="officeArt object" descr="Image"/>
            <wp:cNvGraphicFramePr/>
            <a:graphic xmlns:a="http://schemas.openxmlformats.org/drawingml/2006/main">
              <a:graphicData uri="http://schemas.openxmlformats.org/drawingml/2006/picture">
                <pic:pic xmlns:pic="http://schemas.openxmlformats.org/drawingml/2006/picture">
                  <pic:nvPicPr>
                    <pic:cNvPr id="1073741853" name="Image" descr="Image"/>
                    <pic:cNvPicPr>
                      <a:picLocks noChangeAspect="1"/>
                    </pic:cNvPicPr>
                  </pic:nvPicPr>
                  <pic:blipFill>
                    <a:blip r:embed="rId32">
                      <a:extLst/>
                    </a:blip>
                    <a:srcRect l="0" t="0" r="0" b="0"/>
                    <a:stretch>
                      <a:fillRect/>
                    </a:stretch>
                  </pic:blipFill>
                  <pic:spPr>
                    <a:xfrm>
                      <a:off x="0" y="0"/>
                      <a:ext cx="4066096" cy="2509883"/>
                    </a:xfrm>
                    <a:prstGeom prst="rect">
                      <a:avLst/>
                    </a:prstGeom>
                    <a:ln w="12700" cap="flat">
                      <a:noFill/>
                      <a:miter lim="400000"/>
                    </a:ln>
                    <a:effectLst/>
                  </pic:spPr>
                </pic:pic>
              </a:graphicData>
            </a:graphic>
          </wp:inline>
        </w:drawing>
      </w:r>
    </w:p>
    <w:p>
      <w:pPr>
        <w:pStyle w:val="Image Caption"/>
      </w:pPr>
      <w:bookmarkStart w:name="_Toc58" w:id="58"/>
      <w:r>
        <w:rPr>
          <w:rFonts w:cs="Arial Unicode MS" w:eastAsia="Arial Unicode MS"/>
          <w:shd w:val="clear" w:color="auto" w:fill="ffffff"/>
          <w:rtl w:val="0"/>
          <w:lang w:val="en-US"/>
        </w:rPr>
        <w:t>Fig. 24. Skyscape visualization of a rhumb line navigation from Phaistos to Qatna or Kadesh along the Betelgeuse star path during the New Palace period.</w:t>
      </w:r>
      <w:bookmarkEnd w:id="58"/>
    </w:p>
    <w:p>
      <w:pPr>
        <w:pStyle w:val="Body A"/>
      </w:pPr>
    </w:p>
    <w:p>
      <w:pPr>
        <w:pStyle w:val="Body A"/>
        <w:rPr>
          <w:shd w:val="clear" w:color="auto" w:fill="ffffff"/>
        </w:rPr>
      </w:pPr>
      <w:r>
        <w:rPr>
          <w:rtl w:val="0"/>
        </w:rPr>
        <w:t xml:space="preserve">Furthermore, one can observe that there is a lacuna between the Old Palace orientation and its alignment to the star path of Aldebaran circa 2000 </w:t>
      </w:r>
      <w:r>
        <w:rPr>
          <w:smallCaps w:val="1"/>
          <w:rtl w:val="0"/>
          <w:lang w:val="en-US"/>
        </w:rPr>
        <w:t>bce</w:t>
      </w:r>
      <w:r>
        <w:rPr>
          <w:rtl w:val="0"/>
        </w:rPr>
        <w:t xml:space="preserve"> versus the New Palace orientation to Betelgeuse circa 1650 </w:t>
      </w:r>
      <w:r>
        <w:rPr>
          <w:smallCaps w:val="1"/>
          <w:rtl w:val="0"/>
          <w:lang w:val="en-US"/>
        </w:rPr>
        <w:t>bce</w:t>
      </w:r>
      <w:r>
        <w:rPr>
          <w:rtl w:val="0"/>
        </w:rPr>
        <w:t xml:space="preserve"> (Figure 17). As previously discussed, there was a well-documented tradition of sailing by the circumpolar stars in the Mediterranean. Supposing such a technique was known to the Minoans, the northern stars may have guided sailors on their journey due east, or its reverse, due west. They would forgo the necessity of a precise star path to Qatna, since they may have maintained course with the celestial north pole exactly port side or starboard.</w:t>
      </w:r>
    </w:p>
    <w:p>
      <w:pPr>
        <w:pStyle w:val="Body A"/>
        <w:rPr>
          <w:shd w:val="clear" w:color="auto" w:fill="ffffff"/>
        </w:rPr>
      </w:pPr>
    </w:p>
    <w:p>
      <w:pPr>
        <w:pStyle w:val="Heading Reg 1"/>
        <w:rPr>
          <w:i w:val="0"/>
          <w:iCs w:val="0"/>
          <w:shd w:val="clear" w:color="auto" w:fill="ffffff"/>
        </w:rPr>
      </w:pPr>
      <w:bookmarkStart w:name="_Toc59" w:id="59"/>
      <w:r>
        <w:rPr>
          <w:i w:val="0"/>
          <w:iCs w:val="0"/>
          <w:shd w:val="clear" w:color="auto" w:fill="ffffff"/>
          <w:rtl w:val="0"/>
          <w:lang w:val="en-US"/>
        </w:rPr>
        <w:t>Phaistos to Byblos</w:t>
      </w:r>
      <w:bookmarkEnd w:id="59"/>
    </w:p>
    <w:p>
      <w:pPr>
        <w:pStyle w:val="Body A"/>
      </w:pPr>
    </w:p>
    <w:p>
      <w:pPr>
        <w:pStyle w:val="Body A"/>
      </w:pPr>
      <w:r>
        <w:rPr>
          <w:rtl w:val="0"/>
        </w:rPr>
        <w:t>A stratigraphic analysis of Phaistos has demonstrated that features initially associated with the New Palace period actually belonged to the Prepalatial period.</w:t>
      </w:r>
      <w:r>
        <w:rPr>
          <w:rFonts w:ascii="Times New Roman" w:cs="Times New Roman" w:hAnsi="Times New Roman" w:eastAsia="Times New Roman"/>
          <w:b w:val="0"/>
          <w:bCs w:val="0"/>
          <w:i w:val="0"/>
          <w:iCs w:val="0"/>
          <w:vertAlign w:val="superscript"/>
        </w:rPr>
        <w:footnoteReference w:id="241"/>
      </w:r>
      <w:r>
        <w:rPr>
          <w:rtl w:val="0"/>
        </w:rPr>
        <w:t xml:space="preserve"> Around 2300-2400 </w:t>
      </w:r>
      <w:r>
        <w:rPr>
          <w:smallCaps w:val="1"/>
          <w:rtl w:val="0"/>
          <w:lang w:val="en-US"/>
        </w:rPr>
        <w:t>bce</w:t>
      </w:r>
      <w:r>
        <w:rPr>
          <w:rtl w:val="0"/>
        </w:rPr>
        <w:t xml:space="preserve">, during the Early Minoan IIB, when the Minoans set the first foundations for the later palaces, it can be observed that the star path of </w:t>
      </w:r>
      <w:r>
        <w:rPr>
          <w:rtl w:val="0"/>
          <w:lang w:val="fr-FR"/>
        </w:rPr>
        <w:t xml:space="preserve">Betelgeuse </w:t>
      </w:r>
      <w:r>
        <w:rPr>
          <w:rtl w:val="0"/>
        </w:rPr>
        <w:t>intersects directly with a rhumb line from Phaistos toward Byblos at 95.86</w:t>
      </w:r>
      <w:r>
        <w:rPr>
          <w:rtl w:val="0"/>
        </w:rPr>
        <w:t xml:space="preserve">° </w:t>
      </w:r>
      <w:r>
        <w:rPr>
          <w:rtl w:val="0"/>
        </w:rPr>
        <w:t xml:space="preserve">(Fig. 17)). There might be evidence of the Prepalatial orientation at </w:t>
      </w:r>
      <w:r>
        <w:rPr>
          <w:rtl w:val="0"/>
        </w:rPr>
        <w:t>the northern entrance of the courtyard</w:t>
      </w:r>
      <w:r>
        <w:rPr>
          <w:rtl w:val="0"/>
        </w:rPr>
        <w:t xml:space="preserve"> where there is drain canal following an oblique trajectory </w:t>
      </w:r>
      <w:r>
        <w:rPr>
          <w:rtl w:val="0"/>
        </w:rPr>
        <w:t xml:space="preserve"> (Fig. 25:C)</w:t>
      </w:r>
      <w:r>
        <w:rPr>
          <w:rtl w:val="0"/>
        </w:rPr>
        <w:t>. It was measured virtually with the azimuth of 95.21</w:t>
      </w:r>
      <w:r>
        <w:rPr>
          <w:rtl w:val="0"/>
        </w:rPr>
        <w:t xml:space="preserve">° </w:t>
      </w:r>
      <w:r>
        <w:rPr>
          <w:rtl w:val="0"/>
        </w:rPr>
        <w:t>(when adjusted for an east-west direction), or around .65</w:t>
      </w:r>
      <w:r>
        <w:rPr>
          <w:rtl w:val="0"/>
        </w:rPr>
        <w:t xml:space="preserve">° </w:t>
      </w:r>
      <w:r>
        <w:rPr>
          <w:rtl w:val="0"/>
        </w:rPr>
        <w:t>off from the rhumb line to Byblos along the Betelgeuse star path. Its proximity to the courtyard and</w:t>
      </w:r>
      <w:r>
        <w:rPr>
          <w:rtl w:val="0"/>
        </w:rPr>
        <w:t xml:space="preserve"> offset </w:t>
      </w:r>
      <w:r>
        <w:rPr>
          <w:rtl w:val="0"/>
        </w:rPr>
        <w:t xml:space="preserve">angle </w:t>
      </w:r>
      <w:r>
        <w:rPr>
          <w:rtl w:val="0"/>
        </w:rPr>
        <w:t xml:space="preserve">from the palace axis calls attention to itself. Although speculative, </w:t>
      </w:r>
      <w:r>
        <w:rPr>
          <w:rtl w:val="0"/>
        </w:rPr>
        <w:t>if this</w:t>
      </w:r>
      <w:r>
        <w:rPr>
          <w:rtl w:val="0"/>
        </w:rPr>
        <w:t xml:space="preserve"> channel preserved the original Prepalatial orientation</w:t>
      </w:r>
      <w:r>
        <w:rPr>
          <w:rtl w:val="0"/>
        </w:rPr>
        <w:t xml:space="preserve"> it may have pointed toward the star path of Betelgeuse and the rhumb line toward Byblos.</w:t>
      </w:r>
    </w:p>
    <w:p>
      <w:pPr>
        <w:pStyle w:val="Body A"/>
      </w:pP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4024538" cy="2955520"/>
            <wp:effectExtent l="0" t="0" r="0" b="0"/>
            <wp:docPr id="1073741854" name="officeArt object" descr="Image"/>
            <wp:cNvGraphicFramePr/>
            <a:graphic xmlns:a="http://schemas.openxmlformats.org/drawingml/2006/main">
              <a:graphicData uri="http://schemas.openxmlformats.org/drawingml/2006/picture">
                <pic:pic xmlns:pic="http://schemas.openxmlformats.org/drawingml/2006/picture">
                  <pic:nvPicPr>
                    <pic:cNvPr id="1073741854" name="Image" descr="Image"/>
                    <pic:cNvPicPr>
                      <a:picLocks noChangeAspect="1"/>
                    </pic:cNvPicPr>
                  </pic:nvPicPr>
                  <pic:blipFill>
                    <a:blip r:embed="rId33">
                      <a:extLst/>
                    </a:blip>
                    <a:srcRect l="4" t="0" r="4" b="0"/>
                    <a:stretch>
                      <a:fillRect/>
                    </a:stretch>
                  </pic:blipFill>
                  <pic:spPr>
                    <a:xfrm>
                      <a:off x="0" y="0"/>
                      <a:ext cx="4024538" cy="2955520"/>
                    </a:xfrm>
                    <a:prstGeom prst="rect">
                      <a:avLst/>
                    </a:prstGeom>
                    <a:ln w="12700" cap="flat">
                      <a:noFill/>
                      <a:miter lim="400000"/>
                    </a:ln>
                    <a:effectLst/>
                  </pic:spPr>
                </pic:pic>
              </a:graphicData>
            </a:graphic>
          </wp:inline>
        </w:drawing>
      </w:r>
      <w:r>
        <w:rPr>
          <w:rFonts w:ascii="Times New Roman" w:cs="Times New Roman" w:hAnsi="Times New Roman" w:eastAsia="Times New Roman"/>
        </w:rPr>
        <w:drawing xmlns:a="http://schemas.openxmlformats.org/drawingml/2006/main">
          <wp:inline distT="0" distB="0" distL="0" distR="0">
            <wp:extent cx="1214413" cy="518285"/>
            <wp:effectExtent l="0" t="0" r="0" b="0"/>
            <wp:docPr id="1073741855" name="officeArt object" descr="Image"/>
            <wp:cNvGraphicFramePr/>
            <a:graphic xmlns:a="http://schemas.openxmlformats.org/drawingml/2006/main">
              <a:graphicData uri="http://schemas.openxmlformats.org/drawingml/2006/picture">
                <pic:pic xmlns:pic="http://schemas.openxmlformats.org/drawingml/2006/picture">
                  <pic:nvPicPr>
                    <pic:cNvPr id="1073741855" name="Image" descr="Image"/>
                    <pic:cNvPicPr>
                      <a:picLocks noChangeAspect="1"/>
                    </pic:cNvPicPr>
                  </pic:nvPicPr>
                  <pic:blipFill>
                    <a:blip r:embed="rId22">
                      <a:extLst/>
                    </a:blip>
                    <a:stretch>
                      <a:fillRect/>
                    </a:stretch>
                  </pic:blipFill>
                  <pic:spPr>
                    <a:xfrm>
                      <a:off x="0" y="0"/>
                      <a:ext cx="1214413" cy="518285"/>
                    </a:xfrm>
                    <a:prstGeom prst="rect">
                      <a:avLst/>
                    </a:prstGeom>
                    <a:ln w="12700" cap="flat">
                      <a:noFill/>
                      <a:miter lim="400000"/>
                    </a:ln>
                    <a:effectLst/>
                  </pic:spPr>
                </pic:pic>
              </a:graphicData>
            </a:graphic>
          </wp:inline>
        </w:drawing>
      </w:r>
    </w:p>
    <w:p>
      <w:pPr>
        <w:pStyle w:val="Image A"/>
        <w:jc w:val="right"/>
        <w:rPr>
          <w:rFonts w:ascii="Times New Roman" w:cs="Times New Roman" w:hAnsi="Times New Roman" w:eastAsia="Times New Roman"/>
        </w:rPr>
      </w:pPr>
    </w:p>
    <w:p>
      <w:pPr>
        <w:pStyle w:val="Image Caption"/>
        <w:rPr>
          <w:shd w:val="clear" w:color="auto" w:fill="ffffff"/>
        </w:rPr>
      </w:pPr>
      <w:bookmarkStart w:name="_Toc60" w:id="60"/>
      <w:r>
        <w:rPr>
          <w:rFonts w:cs="Arial Unicode MS" w:eastAsia="Arial Unicode MS"/>
          <w:b w:val="1"/>
          <w:bCs w:val="1"/>
          <w:rtl w:val="0"/>
          <w:lang w:val="en-US"/>
        </w:rPr>
        <w:t>Fig. 25</w:t>
      </w:r>
      <w:r>
        <w:rPr>
          <w:rFonts w:cs="Arial Unicode MS" w:eastAsia="Arial Unicode MS"/>
          <w:rtl w:val="0"/>
        </w:rPr>
        <w:t xml:space="preserve">. </w:t>
      </w:r>
      <w:r>
        <w:rPr>
          <w:rFonts w:cs="Arial Unicode MS" w:eastAsia="Arial Unicode MS"/>
          <w:rtl w:val="0"/>
          <w:lang w:val="pt-PT"/>
        </w:rPr>
        <w:t xml:space="preserve">Phaistos </w:t>
      </w:r>
      <w:r>
        <w:rPr>
          <w:rFonts w:cs="Arial Unicode MS" w:eastAsia="Arial Unicode MS"/>
          <w:rtl w:val="0"/>
        </w:rPr>
        <w:t xml:space="preserve">New Palace orientation (A), Old Palace </w:t>
      </w:r>
      <w:r>
        <w:rPr>
          <w:rFonts w:cs="Arial Unicode MS" w:eastAsia="Arial Unicode MS"/>
          <w:rtl w:val="0"/>
          <w:lang w:val="pt-PT"/>
        </w:rPr>
        <w:t>orientation</w:t>
      </w:r>
      <w:r>
        <w:rPr>
          <w:rFonts w:cs="Arial Unicode MS" w:eastAsia="Arial Unicode MS"/>
          <w:rtl w:val="0"/>
        </w:rPr>
        <w:t xml:space="preserve"> (B), oblique </w:t>
      </w:r>
      <w:r>
        <w:rPr>
          <w:rFonts w:cs="Arial Unicode MS" w:eastAsia="Arial Unicode MS" w:hint="default"/>
          <w:rtl w:val="0"/>
        </w:rPr>
        <w:t>‘</w:t>
      </w:r>
      <w:r>
        <w:rPr>
          <w:rFonts w:cs="Arial Unicode MS" w:eastAsia="Arial Unicode MS"/>
          <w:rtl w:val="0"/>
        </w:rPr>
        <w:t>drain</w:t>
      </w:r>
      <w:r>
        <w:rPr>
          <w:rFonts w:cs="Arial Unicode MS" w:eastAsia="Arial Unicode MS" w:hint="default"/>
          <w:rtl w:val="0"/>
        </w:rPr>
        <w:t xml:space="preserve">’ </w:t>
      </w:r>
      <w:r>
        <w:rPr>
          <w:rFonts w:cs="Arial Unicode MS" w:eastAsia="Arial Unicode MS"/>
          <w:rtl w:val="0"/>
        </w:rPr>
        <w:t xml:space="preserve">(C). </w:t>
      </w:r>
      <w:r>
        <w:rPr>
          <w:rFonts w:cs="Arial Unicode MS" w:eastAsia="Arial Unicode MS"/>
          <w:rtl w:val="0"/>
        </w:rPr>
        <w:t>Google Earth Pro.</w:t>
      </w:r>
      <w:bookmarkEnd w:id="60"/>
    </w:p>
    <w:p>
      <w:pPr>
        <w:pStyle w:val="Body A"/>
        <w:rPr>
          <w:shd w:val="clear" w:color="auto" w:fill="ffffff"/>
        </w:rPr>
      </w:pPr>
      <w:r>
        <w:rPr>
          <w:rtl w:val="0"/>
        </w:rPr>
        <w:t xml:space="preserve">Betelgeuse is one of the principal navigational stars of Polynesia and Micronesia. </w:t>
      </w:r>
      <w:r>
        <w:rPr>
          <w:shd w:val="clear" w:color="auto" w:fill="ffffff"/>
          <w:rtl w:val="0"/>
          <w:lang w:val="en-US"/>
        </w:rPr>
        <w:t>Lewis writes night</w:t>
      </w:r>
      <w:r>
        <w:rPr>
          <w:shd w:val="clear" w:color="auto" w:fill="ffffff"/>
          <w:rtl w:val="0"/>
          <w:lang w:val="en-US"/>
        </w:rPr>
        <w:t>’</w:t>
      </w:r>
      <w:r>
        <w:rPr>
          <w:shd w:val="clear" w:color="auto" w:fill="ffffff"/>
          <w:rtl w:val="0"/>
          <w:lang w:val="en-US"/>
        </w:rPr>
        <w:t>s journey steered by this star:</w:t>
      </w:r>
    </w:p>
    <w:p>
      <w:pPr>
        <w:pStyle w:val="Body A"/>
        <w:rPr>
          <w:shd w:val="clear" w:color="auto" w:fill="ffffff"/>
        </w:rPr>
      </w:pPr>
    </w:p>
    <w:p>
      <w:pPr>
        <w:pStyle w:val="Quote"/>
        <w:ind w:left="720"/>
        <w:rPr>
          <w:shd w:val="clear" w:color="auto" w:fill="ffffff"/>
        </w:rPr>
      </w:pPr>
      <w:r>
        <w:rPr>
          <w:rFonts w:cs="Arial Unicode MS" w:eastAsia="Arial Unicode MS"/>
          <w:shd w:val="clear" w:color="auto" w:fill="ffffff"/>
          <w:rtl w:val="0"/>
          <w:lang w:val="en-US"/>
        </w:rPr>
        <w:t>After nightfall Tevake directed the helmsman to steer by Betelgeuse (</w:t>
      </w:r>
      <w:r>
        <w:rPr>
          <w:rFonts w:cs="Arial Unicode MS" w:eastAsia="Arial Unicode MS"/>
          <w:i w:val="1"/>
          <w:iCs w:val="1"/>
          <w:shd w:val="clear" w:color="auto" w:fill="ffffff"/>
          <w:rtl w:val="0"/>
        </w:rPr>
        <w:t>Trkapekau ki Taumako</w:t>
      </w:r>
      <w:r>
        <w:rPr>
          <w:rFonts w:cs="Arial Unicode MS" w:eastAsia="Arial Unicode MS"/>
          <w:shd w:val="clear" w:color="auto" w:fill="ffffff"/>
          <w:rtl w:val="0"/>
          <w:lang w:val="en-US"/>
        </w:rPr>
        <w:t>), rising ahead on a bearing of about 083</w:t>
      </w:r>
      <w:r>
        <w:rPr>
          <w:rFonts w:cs="Arial Unicode MS" w:eastAsia="Arial Unicode MS" w:hint="default"/>
          <w:shd w:val="clear" w:color="auto" w:fill="ffffff"/>
          <w:rtl w:val="0"/>
          <w:lang w:val="it-IT"/>
        </w:rPr>
        <w:t>°</w:t>
      </w:r>
      <w:r>
        <w:rPr>
          <w:rFonts w:cs="Arial Unicode MS" w:eastAsia="Arial Unicode MS"/>
          <w:shd w:val="clear" w:color="auto" w:fill="ffffff"/>
          <w:rtl w:val="0"/>
          <w:lang w:val="en-US"/>
        </w:rPr>
        <w:t>. An hour and a half after sunset found us still steering by Betelgueue in Orion, the northern wingtip of the Polynesian constellation Giant Bird, whose head is Sirius and whose nether wingtip is Canopus</w:t>
      </w:r>
      <w:r>
        <w:rPr>
          <w:rFonts w:cs="Arial Unicode MS" w:eastAsia="Arial Unicode MS"/>
          <w:shd w:val="clear" w:color="auto" w:fill="ffffff"/>
          <w:rtl w:val="0"/>
          <w:lang w:val="en-US"/>
        </w:rPr>
        <w:t>.</w:t>
      </w:r>
      <w:r>
        <w:rPr>
          <w:rFonts w:ascii="Times New Roman" w:cs="Times New Roman" w:hAnsi="Times New Roman" w:eastAsia="Times New Roman"/>
          <w:b w:val="0"/>
          <w:bCs w:val="0"/>
          <w:i w:val="0"/>
          <w:iCs w:val="0"/>
          <w:shd w:val="clear" w:color="auto" w:fill="ffffff"/>
          <w:vertAlign w:val="superscript"/>
        </w:rPr>
        <w:footnoteReference w:id="242"/>
      </w:r>
    </w:p>
    <w:p>
      <w:pPr>
        <w:pStyle w:val="Body A"/>
        <w:ind w:left="720"/>
      </w:pPr>
    </w:p>
    <w:p>
      <w:pPr>
        <w:pStyle w:val="Post QUOTE"/>
      </w:pPr>
      <w:r>
        <w:rPr>
          <w:rtl w:val="0"/>
        </w:rPr>
        <w:t xml:space="preserve">The importance of Betelgeuse in </w:t>
      </w:r>
      <w:r>
        <w:rPr>
          <w:shd w:val="clear" w:color="auto" w:fill="ffffff"/>
          <w:rtl w:val="0"/>
          <w:lang w:val="en-US"/>
        </w:rPr>
        <w:t xml:space="preserve">Pacific Islander navigation corroborates its possible utility for ancient Aegean sailors. Around 1750 </w:t>
      </w:r>
      <w:r>
        <w:rPr>
          <w:smallCaps w:val="1"/>
          <w:shd w:val="clear" w:color="auto" w:fill="ffffff"/>
          <w:rtl w:val="0"/>
          <w:lang w:val="en-US"/>
        </w:rPr>
        <w:t>bce</w:t>
      </w:r>
      <w:r>
        <w:rPr>
          <w:shd w:val="clear" w:color="auto" w:fill="ffffff"/>
          <w:rtl w:val="0"/>
          <w:lang w:val="en-US"/>
        </w:rPr>
        <w:t>, Betelgeuse may have served as a navigational star from its heliacal rise on June 26</w:t>
      </w:r>
      <w:r>
        <w:rPr>
          <w:shd w:val="clear" w:color="auto" w:fill="ffffff"/>
          <w:vertAlign w:val="superscript"/>
          <w:rtl w:val="0"/>
          <w:lang w:val="en-US"/>
        </w:rPr>
        <w:t>th</w:t>
      </w:r>
      <w:r>
        <w:rPr>
          <w:shd w:val="clear" w:color="auto" w:fill="ffffff"/>
          <w:rtl w:val="0"/>
          <w:lang w:val="en-US"/>
        </w:rPr>
        <w:t>, to its acronychal rise on December 4</w:t>
      </w:r>
      <w:r>
        <w:rPr>
          <w:shd w:val="clear" w:color="auto" w:fill="ffffff"/>
          <w:vertAlign w:val="superscript"/>
          <w:rtl w:val="0"/>
          <w:lang w:val="en-US"/>
        </w:rPr>
        <w:t>th</w:t>
      </w:r>
      <w:r>
        <w:rPr>
          <w:shd w:val="clear" w:color="auto" w:fill="ffffff"/>
          <w:rtl w:val="0"/>
          <w:lang w:val="en-US"/>
        </w:rPr>
        <w:t>, within range of the favorable summer months for sailing. While a direct route from Crete to Byblos is conjectured, similar winds as those that may have taken Cretans to Sidon and Tyre, may have billowed the sails of those aiming for Byblos and Qatna.</w:t>
      </w:r>
    </w:p>
    <w:p>
      <w:pPr>
        <w:pStyle w:val="Body A"/>
        <w:rPr>
          <w:shd w:val="clear" w:color="auto" w:fill="ffffff"/>
        </w:rPr>
      </w:pPr>
      <w:r>
        <w:rPr>
          <w:rtl w:val="0"/>
        </w:rPr>
        <w:t>A</w:t>
      </w:r>
      <w:r>
        <w:rPr>
          <w:rtl w:val="0"/>
        </w:rPr>
        <w:t>ccording to Keith Branigan</w:t>
      </w:r>
      <w:r>
        <w:rPr>
          <w:rtl w:val="0"/>
        </w:rPr>
        <w:t xml:space="preserve">, </w:t>
      </w:r>
      <w:r>
        <w:rPr>
          <w:shd w:val="clear" w:color="auto" w:fill="ffffff"/>
          <w:rtl w:val="0"/>
          <w:lang w:val="en-US"/>
        </w:rPr>
        <w:t>t</w:t>
      </w:r>
      <w:r>
        <w:rPr>
          <w:rtl w:val="0"/>
        </w:rPr>
        <w:t>he earliest imports in Crete</w:t>
      </w:r>
      <w:r>
        <w:rPr>
          <w:rtl w:val="0"/>
        </w:rPr>
        <w:t xml:space="preserve"> </w:t>
      </w:r>
      <w:r>
        <w:rPr>
          <w:rtl w:val="0"/>
        </w:rPr>
        <w:t>originated from Byblos and dated to the end of the 3</w:t>
      </w:r>
      <w:r>
        <w:rPr>
          <w:vertAlign w:val="superscript"/>
          <w:rtl w:val="0"/>
          <w:lang w:val="en-US"/>
        </w:rPr>
        <w:t>rd</w:t>
      </w:r>
      <w:r>
        <w:rPr>
          <w:rtl w:val="0"/>
        </w:rPr>
        <w:t xml:space="preserve"> millennium </w:t>
      </w:r>
      <w:r>
        <w:rPr>
          <w:smallCaps w:val="1"/>
          <w:rtl w:val="0"/>
          <w:lang w:val="en-US"/>
        </w:rPr>
        <w:t>bce</w:t>
      </w:r>
      <w:r>
        <w:rPr>
          <w:rtl w:val="0"/>
        </w:rPr>
        <w:t xml:space="preserve"> during the EM III period.</w:t>
      </w:r>
      <w:r>
        <w:rPr>
          <w:rFonts w:ascii="Times New Roman" w:cs="Times New Roman" w:hAnsi="Times New Roman" w:eastAsia="Times New Roman"/>
          <w:b w:val="0"/>
          <w:bCs w:val="0"/>
          <w:i w:val="0"/>
          <w:iCs w:val="0"/>
          <w:vertAlign w:val="superscript"/>
        </w:rPr>
        <w:footnoteReference w:id="243"/>
      </w:r>
      <w:r>
        <w:rPr>
          <w:rtl w:val="0"/>
        </w:rPr>
        <w:t xml:space="preserve"> D</w:t>
      </w:r>
      <w:r>
        <w:rPr>
          <w:rtl w:val="0"/>
        </w:rPr>
        <w:t>uring the second dynasty of Egypt</w:t>
      </w:r>
      <w:r>
        <w:rPr>
          <w:rtl w:val="0"/>
        </w:rPr>
        <w:t>, a trade route from Egypt to Byblos was established to acquire precious timber used to manufacture boats and coffins.</w:t>
      </w:r>
      <w:r>
        <w:rPr>
          <w:rFonts w:ascii="Times New Roman" w:cs="Times New Roman" w:hAnsi="Times New Roman" w:eastAsia="Times New Roman"/>
          <w:b w:val="0"/>
          <w:bCs w:val="0"/>
          <w:i w:val="0"/>
          <w:iCs w:val="0"/>
          <w:vertAlign w:val="superscript"/>
        </w:rPr>
        <w:footnoteReference w:id="244"/>
      </w:r>
      <w:r>
        <w:rPr>
          <w:rtl w:val="0"/>
        </w:rPr>
        <w:t xml:space="preserve"> As </w:t>
      </w:r>
      <w:r>
        <w:rPr>
          <w:rtl w:val="0"/>
        </w:rPr>
        <w:t>S</w:t>
      </w:r>
      <w:r>
        <w:rPr>
          <w:rtl w:val="0"/>
          <w:lang w:val="da-DK"/>
        </w:rPr>
        <w:t>ø</w:t>
      </w:r>
      <w:r>
        <w:rPr>
          <w:rtl w:val="0"/>
        </w:rPr>
        <w:t>rensen</w:t>
      </w:r>
      <w:r>
        <w:rPr>
          <w:rtl w:val="0"/>
        </w:rPr>
        <w:t xml:space="preserve"> confirms, </w:t>
      </w:r>
      <w:r>
        <w:rPr>
          <w:rtl w:val="0"/>
        </w:rPr>
        <w:t>‘</w:t>
      </w:r>
      <w:r>
        <w:rPr>
          <w:rtl w:val="0"/>
        </w:rPr>
        <w:t>A tentative conclusion to be drawn from the material presented would be that Byblos was chosen as a favourite port of call at least from EM II</w:t>
      </w:r>
      <w:r>
        <w:rPr>
          <w:rtl w:val="0"/>
        </w:rPr>
        <w:t>–</w:t>
      </w:r>
      <w:r>
        <w:rPr>
          <w:rtl w:val="0"/>
          <w:lang w:val="zh-TW" w:eastAsia="zh-TW"/>
        </w:rPr>
        <w:t>MM II(A?)</w:t>
      </w:r>
      <w:r>
        <w:rPr>
          <w:rtl w:val="1"/>
        </w:rPr>
        <w:t>’</w:t>
      </w:r>
      <w:r>
        <w:rPr>
          <w:rtl w:val="0"/>
        </w:rPr>
        <w:t>.</w:t>
      </w:r>
      <w:r>
        <w:rPr>
          <w:rFonts w:ascii="Times New Roman" w:cs="Times New Roman" w:hAnsi="Times New Roman" w:eastAsia="Times New Roman"/>
          <w:b w:val="0"/>
          <w:bCs w:val="0"/>
          <w:i w:val="0"/>
          <w:iCs w:val="0"/>
          <w:vertAlign w:val="superscript"/>
        </w:rPr>
        <w:footnoteReference w:id="245"/>
      </w:r>
      <w:r>
        <w:rPr>
          <w:rtl w:val="0"/>
        </w:rPr>
        <w:t xml:space="preserve"> A survey of the Minoica collected in the Levant reveals that more than half were excavated in Byblos, Ugarit, and Alalakh, all which functioned as persistent trade centers during the Bronze Age.</w:t>
      </w:r>
      <w:r>
        <w:rPr>
          <w:rFonts w:ascii="Times New Roman" w:cs="Times New Roman" w:hAnsi="Times New Roman" w:eastAsia="Times New Roman"/>
          <w:b w:val="0"/>
          <w:bCs w:val="0"/>
          <w:i w:val="0"/>
          <w:iCs w:val="0"/>
          <w:vertAlign w:val="superscript"/>
        </w:rPr>
        <w:footnoteReference w:id="246"/>
      </w:r>
      <w:r>
        <w:rPr>
          <w:rtl w:val="0"/>
        </w:rPr>
        <w:t xml:space="preserve"> In the Old Kingdom Pyramid Texts, Orion </w:t>
      </w:r>
      <w:r>
        <w:rPr>
          <w:rtl w:val="0"/>
        </w:rPr>
        <w:t>personified Osiris</w:t>
      </w:r>
      <w:r>
        <w:rPr>
          <w:rtl w:val="0"/>
        </w:rPr>
        <w:t xml:space="preserve"> as </w:t>
      </w:r>
      <w:r>
        <w:rPr>
          <w:i w:val="1"/>
          <w:iCs w:val="1"/>
          <w:rtl w:val="0"/>
          <w:lang w:val="en-US"/>
        </w:rPr>
        <w:t>s</w:t>
      </w:r>
      <w:r>
        <w:rPr>
          <w:rFonts w:ascii="Arial Unicode MS" w:cs="Arial Unicode MS" w:hAnsi="Arial Unicode MS" w:eastAsia="Arial Unicode MS" w:hint="eastAsia"/>
          <w:b w:val="0"/>
          <w:bCs w:val="0"/>
          <w:i w:val="0"/>
          <w:iCs w:val="0"/>
          <w:shd w:val="clear" w:color="auto" w:fill="ffffff"/>
          <w:rtl w:val="0"/>
        </w:rPr>
        <w:t>Ꜣ</w:t>
      </w:r>
      <w:r>
        <w:rPr>
          <w:i w:val="1"/>
          <w:iCs w:val="1"/>
          <w:rtl w:val="0"/>
        </w:rPr>
        <w:t>ḥ</w:t>
      </w:r>
      <w:r>
        <w:rPr>
          <w:rtl w:val="0"/>
        </w:rPr>
        <w:t>.</w:t>
      </w:r>
      <w:r>
        <w:rPr>
          <w:rFonts w:ascii="Times New Roman" w:cs="Times New Roman" w:hAnsi="Times New Roman" w:eastAsia="Times New Roman"/>
          <w:b w:val="0"/>
          <w:bCs w:val="0"/>
          <w:i w:val="0"/>
          <w:iCs w:val="0"/>
          <w:vertAlign w:val="superscript"/>
        </w:rPr>
        <w:footnoteReference w:id="247"/>
      </w:r>
      <w:r>
        <w:rPr>
          <w:rtl w:val="0"/>
        </w:rPr>
        <w:t xml:space="preserve"> Plutarch recounts </w:t>
      </w:r>
      <w:r>
        <w:rPr>
          <w:rtl w:val="0"/>
          <w:lang w:val="pt-PT"/>
        </w:rPr>
        <w:t>the</w:t>
      </w:r>
      <w:r>
        <w:rPr>
          <w:rtl w:val="0"/>
        </w:rPr>
        <w:t xml:space="preserve"> legend of</w:t>
      </w:r>
      <w:r>
        <w:rPr>
          <w:rtl w:val="0"/>
          <w:lang w:val="pt-PT"/>
        </w:rPr>
        <w:t xml:space="preserve"> </w:t>
      </w:r>
      <w:r>
        <w:rPr>
          <w:rtl w:val="0"/>
        </w:rPr>
        <w:t xml:space="preserve">Osiris how </w:t>
      </w:r>
      <w:r>
        <w:rPr>
          <w:rtl w:val="0"/>
        </w:rPr>
        <w:t>was murdered by his brother Seth</w:t>
      </w:r>
      <w:r>
        <w:rPr>
          <w:rtl w:val="0"/>
        </w:rPr>
        <w:t>, and how the chest with his body washed ashore in Byblos. It can be speculated that this parable, which links Byblos with Orion, may have been a cultural embedding of the triangular trade route between Crete, Egypt and the Levantine port city.</w:t>
      </w:r>
      <w:r>
        <w:rPr>
          <w:rFonts w:ascii="Times New Roman" w:cs="Times New Roman" w:hAnsi="Times New Roman" w:eastAsia="Times New Roman"/>
          <w:b w:val="0"/>
          <w:bCs w:val="0"/>
          <w:i w:val="0"/>
          <w:iCs w:val="0"/>
          <w:vertAlign w:val="superscript"/>
        </w:rPr>
        <w:footnoteReference w:id="248"/>
      </w:r>
    </w:p>
    <w:p>
      <w:pPr>
        <w:pStyle w:val="Body A"/>
        <w:rPr>
          <w:shd w:val="clear" w:color="auto" w:fill="ffffff"/>
        </w:rPr>
      </w:pPr>
      <w:r>
        <w:rPr>
          <w:rtl w:val="0"/>
        </w:rPr>
        <w:t>It is conceivable then that the short axis of Phaistos was initially aligned to Betelgeuse as a star path trade route to Byblos. Still with the passage of the centuries, it was realigned to Qatna along the star path of Aldebaran, coinciding with the flourishing of the city.</w:t>
      </w:r>
      <w:r>
        <w:rPr>
          <w:rtl w:val="0"/>
          <w:lang w:val="pt-PT"/>
        </w:rPr>
        <w:t xml:space="preserve"> </w:t>
      </w:r>
      <w:r>
        <w:rPr>
          <w:rtl w:val="0"/>
        </w:rPr>
        <w:t xml:space="preserve">It was subsequently aligned to Kadesh which again coincided with the star path of Betelgeuse. </w:t>
      </w:r>
      <w:r>
        <w:rPr>
          <w:shd w:val="clear" w:color="auto" w:fill="ffffff"/>
          <w:rtl w:val="0"/>
          <w:lang w:val="en-US"/>
        </w:rPr>
        <w:t>The hypothesis of a Prepalatial orientation toward Byblos may be confirmed or denied by further archaeological research at Phaistos.</w:t>
      </w:r>
    </w:p>
    <w:p>
      <w:pPr>
        <w:pStyle w:val="Body A"/>
        <w:rPr>
          <w:shd w:val="clear" w:color="auto" w:fill="ffffff"/>
        </w:rPr>
      </w:pPr>
    </w:p>
    <w:p>
      <w:pPr>
        <w:pStyle w:val="Heading Reg"/>
      </w:pPr>
      <w:bookmarkStart w:name="_Toc61" w:id="61"/>
      <w:r>
        <w:rPr>
          <w:rFonts w:cs="Arial Unicode MS" w:eastAsia="Arial Unicode MS"/>
          <w:rtl w:val="0"/>
          <w:lang w:val="pt-PT"/>
        </w:rPr>
        <w:t>Malia</w:t>
      </w:r>
      <w:r>
        <w:rPr>
          <w:rFonts w:cs="Arial Unicode MS" w:eastAsia="Arial Unicode MS"/>
          <w:rtl w:val="0"/>
          <w:lang w:val="en-US"/>
        </w:rPr>
        <w:t xml:space="preserve"> </w:t>
      </w:r>
      <w:r>
        <w:rPr>
          <w:rFonts w:ascii="Times Roman" w:hAnsi="Times Roman"/>
          <w:rtl w:val="0"/>
          <w:lang w:val="en-US"/>
        </w:rPr>
        <w:t>To Kabri or Akko</w:t>
      </w:r>
      <w:bookmarkEnd w:id="61"/>
    </w:p>
    <w:p>
      <w:pPr>
        <w:pStyle w:val="Body A"/>
      </w:pPr>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As Shaw discussed, the palace of Malia was constructed over an open area, unhindered by geography, suggesting that the orientation was not fortuitous.</w:t>
      </w:r>
      <w:r>
        <w:rPr>
          <w:rFonts w:ascii="Times New Roman" w:cs="Times New Roman" w:hAnsi="Times New Roman" w:eastAsia="Times New Roman"/>
          <w:u w:color="000000"/>
          <w:vertAlign w:val="superscript"/>
          <w:rtl w:val="0"/>
          <w14:textOutline w14:w="12700" w14:cap="flat">
            <w14:noFill/>
            <w14:miter w14:lim="400000"/>
          </w14:textOutline>
        </w:rPr>
        <w:footnoteReference w:id="249"/>
      </w:r>
      <w:r>
        <w:rPr>
          <w:rFonts w:ascii="Times New Roman" w:hAnsi="Times New Roman"/>
          <w:u w:color="000000"/>
          <w:rtl w:val="0"/>
          <w:lang w:val="en-US"/>
          <w14:textOutline w14:w="12700" w14:cap="flat">
            <w14:noFill/>
            <w14:miter w14:lim="400000"/>
          </w14:textOutline>
        </w:rPr>
        <w:t xml:space="preserve"> My live fieldwork of the palace courtyard measured </w:t>
      </w:r>
      <w:r>
        <w:rPr>
          <w:rFonts w:ascii="Times New Roman" w:hAnsi="Times New Roman"/>
          <w:u w:color="000000"/>
          <w:rtl w:val="0"/>
          <w14:textOutline w14:w="12700" w14:cap="flat">
            <w14:noFill/>
            <w14:miter w14:lim="400000"/>
          </w14:textOutline>
        </w:rPr>
        <w:t>106.99</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consistent with Shaw</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xml:space="preserve">s theodolite reading of </w:t>
      </w:r>
      <w:r>
        <w:rPr>
          <w:rFonts w:ascii="Times New Roman" w:hAnsi="Times New Roman"/>
          <w:u w:color="000000"/>
          <w:rtl w:val="0"/>
          <w14:textOutline w14:w="12700" w14:cap="flat">
            <w14:noFill/>
            <w14:miter w14:lim="400000"/>
          </w14:textOutline>
        </w:rPr>
        <w:t>107.03</w:t>
      </w:r>
      <w:r>
        <w:rPr>
          <w:rFonts w:ascii="Times New Roman" w:hAnsi="Times New Roman" w:hint="default"/>
          <w:u w:color="000000"/>
          <w:rtl w:val="0"/>
          <w:lang w:val="en-US"/>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 This orientation intersects with the azimuths of Mirach (</w:t>
      </w:r>
      <w:r>
        <w:rPr>
          <w:rFonts w:ascii="Times New Roman" w:hAnsi="Times New Roman" w:hint="default"/>
          <w:u w:color="000000"/>
          <w:rtl w:val="0"/>
          <w14:textOutline w14:w="12700" w14:cap="flat">
            <w14:noFill/>
            <w14:miter w14:lim="400000"/>
          </w14:textOutline>
        </w:rPr>
        <w:t xml:space="preserve">β </w:t>
      </w:r>
      <w:r>
        <w:rPr>
          <w:rFonts w:ascii="Times New Roman" w:hAnsi="Times New Roman"/>
          <w:u w:color="000000"/>
          <w:rtl w:val="0"/>
          <w14:textOutline w14:w="12700" w14:cap="flat">
            <w14:noFill/>
            <w14:miter w14:lim="400000"/>
          </w14:textOutline>
        </w:rPr>
        <w:t>And</w:t>
      </w:r>
      <w:r>
        <w:rPr>
          <w:rFonts w:ascii="Times New Roman" w:hAnsi="Times New Roman"/>
          <w:u w:color="000000"/>
          <w:rtl w:val="0"/>
          <w:lang w:val="en-US"/>
          <w14:textOutline w14:w="12700" w14:cap="flat">
            <w14:noFill/>
            <w14:miter w14:lim="400000"/>
          </w14:textOutline>
        </w:rPr>
        <w:t xml:space="preserve">) setting during the New Palace period (Fig. 17). </w:t>
      </w:r>
      <w:r>
        <w:rPr>
          <w:rFonts w:ascii="Times New Roman" w:hAnsi="Times New Roman"/>
          <w:u w:color="000000"/>
          <w:rtl w:val="0"/>
          <w:lang w:val="pt-PT"/>
          <w14:textOutline w14:w="12700" w14:cap="flat">
            <w14:noFill/>
            <w14:miter w14:lim="400000"/>
          </w14:textOutline>
        </w:rPr>
        <w:t xml:space="preserve">There are two candidate cities in the </w:t>
      </w:r>
      <w:r>
        <w:rPr>
          <w:rFonts w:ascii="Times New Roman" w:hAnsi="Times New Roman"/>
          <w:u w:color="000000"/>
          <w:rtl w:val="0"/>
          <w:lang w:val="en-US"/>
          <w14:textOutline w14:w="12700" w14:cap="flat">
            <w14:noFill/>
            <w14:miter w14:lim="400000"/>
          </w14:textOutline>
        </w:rPr>
        <w:t>L</w:t>
      </w:r>
      <w:r>
        <w:rPr>
          <w:rFonts w:ascii="Times New Roman" w:hAnsi="Times New Roman"/>
          <w:u w:color="000000"/>
          <w:rtl w:val="0"/>
          <w:lang w:val="pt-PT"/>
          <w14:textOutline w14:w="12700" w14:cap="flat">
            <w14:noFill/>
            <w14:miter w14:lim="400000"/>
          </w14:textOutline>
        </w:rPr>
        <w:t xml:space="preserve">evant </w:t>
      </w:r>
      <w:r>
        <w:rPr>
          <w:rFonts w:ascii="Times New Roman" w:hAnsi="Times New Roman"/>
          <w:u w:color="000000"/>
          <w:rtl w:val="0"/>
          <w:lang w:val="en-US"/>
          <w14:textOutline w14:w="12700" w14:cap="flat">
            <w14:noFill/>
            <w14:miter w14:lim="400000"/>
          </w14:textOutline>
        </w:rPr>
        <w:t>within acceptable range of</w:t>
      </w:r>
      <w:r>
        <w:rPr>
          <w:rFonts w:ascii="Times New Roman" w:hAnsi="Times New Roman"/>
          <w:u w:color="000000"/>
          <w:rtl w:val="0"/>
          <w:lang w:val="pt-PT"/>
          <w14:textOutline w14:w="12700" w14:cap="flat">
            <w14:noFill/>
            <w14:miter w14:lim="400000"/>
          </w14:textOutline>
        </w:rPr>
        <w:t xml:space="preserve"> this star path</w:t>
      </w:r>
      <w:r>
        <w:rPr>
          <w:rFonts w:ascii="Times New Roman" w:hAnsi="Times New Roman"/>
          <w:u w:color="000000"/>
          <w:rtl w:val="0"/>
          <w:lang w:val="en-US"/>
          <w14:textOutline w14:w="12700" w14:cap="flat">
            <w14:noFill/>
            <w14:miter w14:lim="400000"/>
          </w14:textOutline>
        </w:rPr>
        <w:t xml:space="preserve"> and orientation. The first, </w:t>
      </w:r>
      <w:r>
        <w:rPr>
          <w:rFonts w:ascii="Times New Roman" w:hAnsi="Times New Roman"/>
          <w:u w:color="000000"/>
          <w:rtl w:val="0"/>
          <w:lang w:val="pt-PT"/>
          <w14:textOutline w14:w="12700" w14:cap="flat">
            <w14:noFill/>
            <w14:miter w14:lim="400000"/>
          </w14:textOutline>
        </w:rPr>
        <w:t>Kabri</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where fragments of Minoan frescoes have been found</w:t>
      </w:r>
      <w:r>
        <w:rPr>
          <w:rFonts w:ascii="Times New Roman" w:hAnsi="Times New Roman"/>
          <w:u w:color="000000"/>
          <w:rtl w:val="0"/>
          <w:lang w:val="en-US"/>
          <w14:textOutline w14:w="12700" w14:cap="flat">
            <w14:noFill/>
            <w14:miter w14:lim="400000"/>
          </w14:textOutline>
        </w:rPr>
        <w:t>, was one of the major South Levantine sites during the Middle Bronze Age II period</w:t>
      </w:r>
      <w:r>
        <w:rPr>
          <w:rFonts w:ascii="Times New Roman" w:hAnsi="Times New Roman"/>
          <w:u w:color="000000"/>
          <w:rtl w:val="0"/>
          <w:lang w:val="pt-PT"/>
          <w14:textOutline w14:w="12700" w14:cap="flat">
            <w14:noFill/>
            <w14:miter w14:lim="400000"/>
          </w14:textOutline>
        </w:rPr>
        <w:t>.</w:t>
      </w:r>
      <w:r>
        <w:rPr>
          <w:rFonts w:ascii="Times New Roman" w:cs="Times New Roman" w:hAnsi="Times New Roman" w:eastAsia="Times New Roman"/>
          <w:u w:color="000000"/>
          <w:vertAlign w:val="superscript"/>
          <w:rtl w:val="0"/>
          <w14:textOutline w14:w="12700" w14:cap="flat">
            <w14:noFill/>
            <w14:miter w14:lim="400000"/>
          </w14:textOutline>
        </w:rPr>
        <w:footnoteReference w:id="250"/>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14:textOutline w14:w="12700" w14:cap="flat">
            <w14:noFill/>
            <w14:miter w14:lim="400000"/>
          </w14:textOutline>
        </w:rPr>
        <w:t>S</w:t>
      </w:r>
      <w:r>
        <w:rPr>
          <w:rFonts w:ascii="Times New Roman" w:hAnsi="Times New Roman" w:hint="default"/>
          <w:u w:color="000000"/>
          <w:rtl w:val="0"/>
          <w:lang w:val="da-DK"/>
          <w14:textOutline w14:w="12700" w14:cap="flat">
            <w14:noFill/>
            <w14:miter w14:lim="400000"/>
          </w14:textOutline>
        </w:rPr>
        <w:t>ø</w:t>
      </w:r>
      <w:r>
        <w:rPr>
          <w:rFonts w:ascii="Times New Roman" w:hAnsi="Times New Roman"/>
          <w:u w:color="000000"/>
          <w:rtl w:val="0"/>
          <w14:textOutline w14:w="12700" w14:cap="flat">
            <w14:noFill/>
            <w14:miter w14:lim="400000"/>
          </w14:textOutline>
        </w:rPr>
        <w:t>rensen</w:t>
      </w:r>
      <w:r>
        <w:rPr>
          <w:rFonts w:ascii="Times New Roman" w:hAnsi="Times New Roman"/>
          <w:u w:color="000000"/>
          <w:rtl w:val="0"/>
          <w:lang w:val="en-US"/>
          <w14:textOutline w14:w="12700" w14:cap="flat">
            <w14:noFill/>
            <w14:miter w14:lim="400000"/>
          </w14:textOutline>
        </w:rPr>
        <w:t xml:space="preserve"> writes:</w:t>
      </w:r>
    </w:p>
    <w:p>
      <w:pPr>
        <w:pStyle w:val="Body A"/>
      </w:pPr>
    </w:p>
    <w:p>
      <w:pPr>
        <w:pStyle w:val="Quote"/>
        <w:ind w:left="720"/>
      </w:pPr>
      <w:r>
        <w:rPr>
          <w:rFonts w:cs="Arial Unicode MS" w:eastAsia="Arial Unicode MS"/>
          <w:rtl w:val="0"/>
          <w:lang w:val="en-US"/>
        </w:rPr>
        <w:t xml:space="preserve">According to the present excavators of Kabri, the city thrived from the MB I period until its destruction around 1600 </w:t>
      </w:r>
      <w:r>
        <w:rPr>
          <w:rFonts w:cs="Arial Unicode MS" w:eastAsia="Arial Unicode MS"/>
          <w:smallCaps w:val="1"/>
          <w:rtl w:val="0"/>
        </w:rPr>
        <w:t>bc</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lang w:val="en-US"/>
        </w:rPr>
        <w:t>During its heyday, a port at the small fortified site of Nahariya could have been in use by the rulers and traders of Kabri to conduct seaborne trade. Hazor lay 40 km east of Kabri, almost in a straight line, with no great mountains to cross.</w:t>
      </w:r>
      <w:r>
        <w:rPr>
          <w:rFonts w:ascii="Times New Roman" w:cs="Times New Roman" w:hAnsi="Times New Roman" w:eastAsia="Times New Roman"/>
          <w:b w:val="0"/>
          <w:bCs w:val="0"/>
          <w:i w:val="0"/>
          <w:iCs w:val="0"/>
          <w:vertAlign w:val="superscript"/>
        </w:rPr>
        <w:footnoteReference w:id="251"/>
      </w:r>
      <w:r>
        <w:rPr>
          <w:rFonts w:cs="Arial Unicode MS" w:eastAsia="Arial Unicode MS"/>
          <w:rtl w:val="0"/>
          <w:lang w:val="en-US"/>
        </w:rPr>
        <w:t xml:space="preserve"> </w:t>
      </w:r>
    </w:p>
    <w:p>
      <w:pPr>
        <w:pStyle w:val="Body A"/>
      </w:pPr>
    </w:p>
    <w:p>
      <w:pPr>
        <w:pStyle w:val="Post QUOTE"/>
      </w:pPr>
      <w:r>
        <w:rPr>
          <w:rtl w:val="0"/>
        </w:rPr>
        <w:t>The constant azimuth from Malia to Kabri is 105</w:t>
      </w:r>
      <w:r>
        <w:rPr>
          <w:rtl w:val="0"/>
        </w:rPr>
        <w:t>.9</w:t>
      </w:r>
      <w:r>
        <w:rPr>
          <w:rtl w:val="0"/>
        </w:rPr>
        <w:t>°</w:t>
      </w:r>
      <w:r>
        <w:rPr>
          <w:rtl w:val="0"/>
        </w:rPr>
        <w:t xml:space="preserve"> </w:t>
      </w:r>
      <w:r>
        <w:rPr>
          <w:rtl w:val="0"/>
        </w:rPr>
        <w:t xml:space="preserve">or </w:t>
      </w:r>
      <w:r>
        <w:rPr>
          <w:rtl w:val="0"/>
        </w:rPr>
        <w:t>about 1</w:t>
      </w:r>
      <w:r>
        <w:rPr>
          <w:rtl w:val="0"/>
          <w:lang w:val="it-IT"/>
        </w:rPr>
        <w:t xml:space="preserve">° </w:t>
      </w:r>
      <w:r>
        <w:rPr>
          <w:rtl w:val="0"/>
        </w:rPr>
        <w:t xml:space="preserve">off </w:t>
      </w:r>
      <w:r>
        <w:rPr>
          <w:rtl w:val="0"/>
        </w:rPr>
        <w:t xml:space="preserve">from the courtyard axis. </w:t>
      </w:r>
      <w:r>
        <w:rPr>
          <w:rtl w:val="0"/>
        </w:rPr>
        <w:t xml:space="preserve">During the </w:t>
      </w:r>
      <w:r>
        <w:rPr>
          <w:rtl w:val="0"/>
        </w:rPr>
        <w:t xml:space="preserve">Middle Bronze Age II </w:t>
      </w:r>
      <w:r>
        <w:rPr>
          <w:rtl w:val="0"/>
        </w:rPr>
        <w:t xml:space="preserve">circa 1700 </w:t>
      </w:r>
      <w:r>
        <w:rPr>
          <w:smallCaps w:val="1"/>
          <w:rtl w:val="0"/>
          <w:lang w:val="en-US"/>
        </w:rPr>
        <w:t>bce</w:t>
      </w:r>
      <w:r>
        <w:rPr>
          <w:rtl w:val="0"/>
        </w:rPr>
        <w:t>, the rhumb line to Kabri from Malia</w:t>
      </w:r>
      <w:r>
        <w:rPr>
          <w:rtl w:val="0"/>
        </w:rPr>
        <w:t xml:space="preserve"> </w:t>
      </w:r>
      <w:r>
        <w:rPr>
          <w:rtl w:val="0"/>
        </w:rPr>
        <w:t>aligned</w:t>
      </w:r>
      <w:r>
        <w:rPr>
          <w:rtl w:val="0"/>
        </w:rPr>
        <w:t xml:space="preserve"> to the rising of the Belt of Orion</w:t>
      </w:r>
      <w:r>
        <w:rPr>
          <w:rtl w:val="0"/>
        </w:rPr>
        <w:t xml:space="preserve"> when the third star Alnitak became visible on the horizon (Fig. 17)</w:t>
      </w:r>
      <w:r>
        <w:rPr>
          <w:rtl w:val="0"/>
        </w:rPr>
        <w:t>.</w:t>
      </w:r>
      <w:r>
        <w:rPr>
          <w:rtl w:val="0"/>
        </w:rPr>
        <w:t xml:space="preserve"> The belt was a known navigational aid in Polynesia and Micronesia.</w:t>
      </w:r>
    </w:p>
    <w:p>
      <w:pPr>
        <w:pStyle w:val="Body A"/>
      </w:pPr>
      <w:r>
        <w:rPr>
          <w:rtl w:val="0"/>
        </w:rPr>
        <w:t xml:space="preserve">The </w:t>
      </w:r>
      <w:r>
        <w:rPr>
          <w:rtl w:val="0"/>
        </w:rPr>
        <w:t>more compelling candidate for the</w:t>
      </w:r>
      <w:r>
        <w:rPr>
          <w:rtl w:val="0"/>
        </w:rPr>
        <w:t xml:space="preserve"> </w:t>
      </w:r>
      <w:r>
        <w:rPr>
          <w:rtl w:val="0"/>
        </w:rPr>
        <w:t xml:space="preserve">Malia </w:t>
      </w:r>
      <w:r>
        <w:rPr>
          <w:rtl w:val="0"/>
        </w:rPr>
        <w:t xml:space="preserve">courtyard orientation is the </w:t>
      </w:r>
      <w:r>
        <w:rPr>
          <w:rtl w:val="0"/>
        </w:rPr>
        <w:t>harbour town</w:t>
      </w:r>
      <w:r>
        <w:rPr>
          <w:rtl w:val="0"/>
        </w:rPr>
        <w:t xml:space="preserve"> of </w:t>
      </w:r>
      <w:r>
        <w:rPr>
          <w:rtl w:val="0"/>
        </w:rPr>
        <w:t xml:space="preserve">Akko. </w:t>
      </w:r>
      <w:r>
        <w:rPr>
          <w:rtl w:val="0"/>
          <w:lang w:val="pt-PT"/>
        </w:rPr>
        <w:t>Situated in Galilee, modern-day Israel, Akko was the</w:t>
      </w:r>
      <w:r>
        <w:rPr>
          <w:rtl w:val="0"/>
        </w:rPr>
        <w:t xml:space="preserve"> </w:t>
      </w:r>
      <w:r>
        <w:rPr>
          <w:rtl w:val="0"/>
          <w:lang w:val="it-IT"/>
        </w:rPr>
        <w:t>region</w:t>
      </w:r>
      <w:r>
        <w:rPr>
          <w:rtl w:val="0"/>
        </w:rPr>
        <w:t>’</w:t>
      </w:r>
      <w:r>
        <w:rPr>
          <w:rtl w:val="0"/>
        </w:rPr>
        <w:t>s</w:t>
      </w:r>
      <w:r>
        <w:rPr>
          <w:rtl w:val="0"/>
          <w:lang w:val="pt-PT"/>
        </w:rPr>
        <w:t xml:space="preserve"> largest port</w:t>
      </w:r>
      <w:r>
        <w:rPr>
          <w:rtl w:val="0"/>
        </w:rPr>
        <w:t xml:space="preserve">, and was urbanized </w:t>
      </w:r>
      <w:r>
        <w:rPr>
          <w:rtl w:val="0"/>
        </w:rPr>
        <w:t>at least from the early 2</w:t>
      </w:r>
      <w:r>
        <w:rPr>
          <w:position w:val="10"/>
          <w:sz w:val="16"/>
          <w:szCs w:val="16"/>
          <w:rtl w:val="0"/>
          <w:lang w:val="en-US"/>
        </w:rPr>
        <w:t xml:space="preserve">nd </w:t>
      </w:r>
      <w:r>
        <w:rPr>
          <w:rtl w:val="0"/>
          <w:lang w:val="it-IT"/>
        </w:rPr>
        <w:t xml:space="preserve">millennium </w:t>
      </w:r>
      <w:r>
        <w:rPr>
          <w:smallCaps w:val="1"/>
          <w:rtl w:val="0"/>
          <w:lang w:val="en-US"/>
        </w:rPr>
        <w:t>bce.</w:t>
      </w:r>
      <w:r>
        <w:rPr>
          <w:rFonts w:ascii="Times New Roman" w:cs="Times New Roman" w:hAnsi="Times New Roman" w:eastAsia="Times New Roman"/>
          <w:b w:val="0"/>
          <w:bCs w:val="0"/>
          <w:i w:val="0"/>
          <w:iCs w:val="0"/>
          <w:smallCaps w:val="1"/>
          <w:vertAlign w:val="superscript"/>
        </w:rPr>
        <w:footnoteReference w:id="252"/>
      </w:r>
      <w:r>
        <w:rPr>
          <w:smallCaps w:val="1"/>
          <w:rtl w:val="0"/>
          <w:lang w:val="en-US"/>
        </w:rPr>
        <w:t xml:space="preserve"> </w:t>
      </w:r>
      <w:r>
        <w:rPr>
          <w:rtl w:val="0"/>
        </w:rPr>
        <w:t xml:space="preserve">Akko was an early settlement by the Middle Bronze Age and part of an international maritime trade network by Middle Bronze Age IIA, which included </w:t>
      </w:r>
      <w:r>
        <w:rPr>
          <w:rtl w:val="0"/>
        </w:rPr>
        <w:t>Cyprus, the Aegean world, and Egypt</w:t>
      </w:r>
      <w:r>
        <w:rPr>
          <w:rtl w:val="0"/>
        </w:rPr>
        <w:t xml:space="preserve"> (as evidenced by</w:t>
      </w:r>
      <w:r>
        <w:rPr>
          <w:rtl w:val="0"/>
        </w:rPr>
        <w:t xml:space="preserve"> </w:t>
      </w:r>
      <w:r>
        <w:rPr>
          <w:rtl w:val="0"/>
        </w:rPr>
        <w:t>18</w:t>
      </w:r>
      <w:r>
        <w:rPr>
          <w:vertAlign w:val="superscript"/>
          <w:rtl w:val="0"/>
          <w:lang w:val="en-US"/>
        </w:rPr>
        <w:t>th</w:t>
      </w:r>
      <w:r>
        <w:rPr>
          <w:rtl w:val="0"/>
        </w:rPr>
        <w:t xml:space="preserve"> and </w:t>
      </w:r>
      <w:r>
        <w:rPr>
          <w:rtl w:val="0"/>
        </w:rPr>
        <w:t>19</w:t>
      </w:r>
      <w:r>
        <w:rPr>
          <w:vertAlign w:val="superscript"/>
          <w:rtl w:val="0"/>
          <w:lang w:val="en-US"/>
        </w:rPr>
        <w:t>th</w:t>
      </w:r>
      <w:r>
        <w:rPr>
          <w:rtl w:val="0"/>
          <w:lang w:val="it-IT"/>
        </w:rPr>
        <w:t xml:space="preserve"> dynasty Egyptian scarabs</w:t>
      </w:r>
      <w:r>
        <w:rPr>
          <w:rtl w:val="0"/>
        </w:rPr>
        <w:t>).</w:t>
      </w:r>
      <w:r>
        <w:rPr>
          <w:rFonts w:ascii="Times New Roman" w:cs="Times New Roman" w:hAnsi="Times New Roman" w:eastAsia="Times New Roman"/>
          <w:b w:val="0"/>
          <w:bCs w:val="0"/>
          <w:i w:val="0"/>
          <w:iCs w:val="0"/>
          <w:vertAlign w:val="superscript"/>
        </w:rPr>
        <w:footnoteReference w:id="253"/>
      </w:r>
      <w:r>
        <w:rPr>
          <w:smallCaps w:val="1"/>
          <w:rtl w:val="0"/>
          <w:lang w:val="en-US"/>
        </w:rPr>
        <w:t xml:space="preserve"> </w:t>
      </w:r>
      <w:r>
        <w:rPr>
          <w:rtl w:val="0"/>
        </w:rPr>
        <w:t xml:space="preserve">Cypriot and Mycenaean pottery </w:t>
      </w:r>
      <w:r>
        <w:rPr>
          <w:rtl w:val="0"/>
        </w:rPr>
        <w:t>from the Late Bronze Age</w:t>
      </w:r>
      <w:r>
        <w:rPr>
          <w:rtl w:val="0"/>
        </w:rPr>
        <w:t xml:space="preserve"> discovered at the site attests to its</w:t>
      </w:r>
      <w:r>
        <w:rPr>
          <w:rtl w:val="0"/>
        </w:rPr>
        <w:t xml:space="preserve"> importance as an international trade hub</w:t>
      </w:r>
      <w:r>
        <w:rPr>
          <w:rtl w:val="0"/>
        </w:rPr>
        <w:t>.</w:t>
      </w:r>
      <w:r>
        <w:rPr>
          <w:rFonts w:ascii="Times New Roman" w:cs="Times New Roman" w:hAnsi="Times New Roman" w:eastAsia="Times New Roman"/>
          <w:b w:val="0"/>
          <w:bCs w:val="0"/>
          <w:i w:val="0"/>
          <w:iCs w:val="0"/>
          <w:vertAlign w:val="superscript"/>
        </w:rPr>
        <w:footnoteReference w:id="254"/>
      </w:r>
      <w:r>
        <w:rPr>
          <w:rtl w:val="0"/>
        </w:rPr>
        <w:t xml:space="preserve"> Hesse writes: </w:t>
      </w:r>
    </w:p>
    <w:p>
      <w:pPr>
        <w:pStyle w:val="Body A"/>
      </w:pPr>
    </w:p>
    <w:p>
      <w:pPr>
        <w:pStyle w:val="Quote"/>
        <w:ind w:left="720"/>
      </w:pPr>
      <w:r>
        <w:rPr>
          <w:rFonts w:cs="Arial Unicode MS" w:eastAsia="Arial Unicode MS"/>
          <w:rtl w:val="0"/>
          <w:lang w:val="en-US"/>
        </w:rPr>
        <w:t>Akko had a perfect location next to a natural harbour and at the mouth of the Na</w:t>
      </w:r>
      <w:r>
        <w:rPr>
          <w:rFonts w:cs="Arial Unicode MS" w:eastAsia="Arial Unicode MS" w:hint="default"/>
          <w:rtl w:val="1"/>
        </w:rPr>
        <w:t>’</w:t>
      </w:r>
      <w:r>
        <w:rPr>
          <w:rFonts w:cs="Arial Unicode MS" w:eastAsia="Arial Unicode MS"/>
          <w:rtl w:val="0"/>
          <w:lang w:val="en-US"/>
        </w:rPr>
        <w:t>aman River, which also served as an anchorage. In addition it was situated at the crossroad of two important trade routes, the coastal highway, leading northwards to Syria and southwards to Egypt, and a lateral road leading to and from the Syrian hinterland.</w:t>
      </w:r>
      <w:r>
        <w:rPr>
          <w:rFonts w:ascii="Times New Roman" w:cs="Times New Roman" w:hAnsi="Times New Roman" w:eastAsia="Times New Roman"/>
          <w:b w:val="0"/>
          <w:bCs w:val="0"/>
          <w:i w:val="0"/>
          <w:iCs w:val="0"/>
          <w:vertAlign w:val="superscript"/>
        </w:rPr>
        <w:footnoteReference w:id="255"/>
      </w:r>
      <w:r>
        <w:rPr>
          <w:rFonts w:cs="Arial Unicode MS" w:eastAsia="Arial Unicode MS"/>
          <w:rtl w:val="0"/>
          <w:lang w:val="en-US"/>
        </w:rPr>
        <w:t xml:space="preserve"> </w:t>
      </w:r>
    </w:p>
    <w:p>
      <w:pPr>
        <w:pStyle w:val="Body A"/>
      </w:pPr>
    </w:p>
    <w:p>
      <w:pPr>
        <w:pStyle w:val="Post QUOTE"/>
      </w:pPr>
      <w:r>
        <w:rPr>
          <w:rtl w:val="0"/>
        </w:rPr>
        <w:t>A</w:t>
      </w:r>
      <w:r>
        <w:rPr>
          <w:rtl w:val="0"/>
          <w:lang w:val="pt-PT"/>
        </w:rPr>
        <w:t>ncient Egyptian</w:t>
      </w:r>
      <w:r>
        <w:rPr>
          <w:rtl w:val="0"/>
        </w:rPr>
        <w:t xml:space="preserve"> execration texts from around 1800 </w:t>
      </w:r>
      <w:r>
        <w:rPr>
          <w:smallCaps w:val="1"/>
          <w:rtl w:val="0"/>
          <w:lang w:val="en-US"/>
        </w:rPr>
        <w:t>bce</w:t>
      </w:r>
      <w:r>
        <w:rPr>
          <w:rtl w:val="0"/>
        </w:rPr>
        <w:t xml:space="preserve"> and the Thutmose III </w:t>
      </w:r>
      <w:r>
        <w:rPr>
          <w:rtl w:val="0"/>
        </w:rPr>
        <w:t>list record the toponym Akko.</w:t>
      </w:r>
      <w:r>
        <w:rPr>
          <w:rFonts w:ascii="Times New Roman" w:cs="Times New Roman" w:hAnsi="Times New Roman" w:eastAsia="Times New Roman"/>
          <w:b w:val="0"/>
          <w:bCs w:val="0"/>
          <w:i w:val="0"/>
          <w:iCs w:val="0"/>
          <w:vertAlign w:val="superscript"/>
        </w:rPr>
        <w:footnoteReference w:id="256"/>
      </w:r>
      <w:r>
        <w:rPr>
          <w:rtl w:val="0"/>
        </w:rPr>
        <w:t xml:space="preserve"> </w:t>
      </w:r>
      <w:r>
        <w:rPr>
          <w:rtl w:val="0"/>
        </w:rPr>
        <w:t>The constant azimuth from Malia to Akko is 106.5667</w:t>
      </w:r>
      <w:r>
        <w:rPr>
          <w:rtl w:val="0"/>
        </w:rPr>
        <w:t>°</w:t>
      </w:r>
      <w:r>
        <w:rPr>
          <w:rtl w:val="0"/>
        </w:rPr>
        <w:t xml:space="preserve"> </w:t>
      </w:r>
      <w:r>
        <w:rPr>
          <w:rtl w:val="0"/>
        </w:rPr>
        <w:t>or</w:t>
      </w:r>
      <w:r>
        <w:rPr>
          <w:rtl w:val="0"/>
        </w:rPr>
        <w:t xml:space="preserve"> less than </w:t>
      </w:r>
      <w:r>
        <w:rPr>
          <w:rtl w:val="0"/>
        </w:rPr>
        <w:t xml:space="preserve">half </w:t>
      </w:r>
      <w:r>
        <w:rPr>
          <w:rtl w:val="0"/>
        </w:rPr>
        <w:t xml:space="preserve">a degree between the star path following Mirach and the palace courtyard axis of </w:t>
      </w:r>
      <w:r>
        <w:rPr>
          <w:rtl w:val="0"/>
        </w:rPr>
        <w:t>107.03</w:t>
      </w:r>
      <w:r>
        <w:rPr>
          <w:rtl w:val="0"/>
        </w:rPr>
        <w:t xml:space="preserve">° </w:t>
      </w:r>
      <w:r>
        <w:rPr>
          <w:rtl w:val="0"/>
        </w:rPr>
        <w:t xml:space="preserve">circa 1750 </w:t>
      </w:r>
      <w:r>
        <w:rPr>
          <w:smallCaps w:val="1"/>
          <w:rtl w:val="0"/>
          <w:lang w:val="en-US"/>
        </w:rPr>
        <w:t>bce (</w:t>
      </w:r>
      <w:r>
        <w:rPr>
          <w:rtl w:val="0"/>
        </w:rPr>
        <w:t>Fig. 17</w:t>
      </w:r>
      <w:r>
        <w:rPr>
          <w:smallCaps w:val="1"/>
          <w:rtl w:val="0"/>
          <w:lang w:val="en-US"/>
        </w:rPr>
        <w:t>)</w:t>
      </w:r>
      <w:r>
        <w:rPr>
          <w:rtl w:val="0"/>
        </w:rPr>
        <w:t>.</w:t>
      </w:r>
      <w:r>
        <w:rPr>
          <w:rtl w:val="0"/>
        </w:rPr>
        <w:t xml:space="preserve"> While no archaeological evidence of trade between Akko and the Minoans has been found yet, the New Palace construction and orientation coincides with the earliest references to Akko in the Egyptian Execration texts</w:t>
      </w:r>
    </w:p>
    <w:p>
      <w:pPr>
        <w:pStyle w:val="Post QUOTE"/>
      </w:pPr>
    </w:p>
    <w:p>
      <w:pPr>
        <w:pStyle w:val="Heading Reg"/>
      </w:pPr>
      <w:bookmarkStart w:name="_Toc62" w:id="62"/>
      <w:r>
        <w:rPr>
          <w:rFonts w:cs="Arial Unicode MS" w:eastAsia="Arial Unicode MS"/>
          <w:rtl w:val="0"/>
          <w:lang w:val="en-US"/>
        </w:rPr>
        <w:t>Zakros to Pelusium</w:t>
      </w:r>
      <w:bookmarkEnd w:id="62"/>
    </w:p>
    <w:p>
      <w:pPr>
        <w:pStyle w:val="Body A"/>
        <w:rPr>
          <w:shd w:val="clear" w:color="auto" w:fill="ffffff"/>
        </w:rPr>
      </w:pPr>
    </w:p>
    <w:p>
      <w:pPr>
        <w:pStyle w:val="Default"/>
        <w:bidi w:val="0"/>
        <w:spacing w:before="0" w:line="360" w:lineRule="auto"/>
        <w:ind w:left="0" w:right="0" w:firstLine="540"/>
        <w:jc w:val="left"/>
        <w:rPr>
          <w:rFonts w:ascii="Times New Roman" w:cs="Times New Roman" w:hAnsi="Times New Roman" w:eastAsia="Times New Roman"/>
          <w:u w:color="000000"/>
          <w:shd w:val="clear" w:color="auto" w:fill="ffffff"/>
          <w:rtl w:val="0"/>
          <w14:textOutline w14:w="12700" w14:cap="flat">
            <w14:noFill/>
            <w14:miter w14:lim="400000"/>
          </w14:textOutline>
        </w:rPr>
      </w:pPr>
      <w:r>
        <w:rPr>
          <w:rFonts w:ascii="Times New Roman" w:hAnsi="Times New Roman"/>
          <w:u w:color="000000"/>
          <w:shd w:val="clear" w:color="auto" w:fill="ffffff"/>
          <w:rtl w:val="0"/>
          <w:lang w:val="en-US"/>
          <w14:textOutline w14:w="12700" w14:cap="flat">
            <w14:noFill/>
            <w14:miter w14:lim="400000"/>
          </w14:textOutline>
        </w:rPr>
        <w:t xml:space="preserve">Measured at </w:t>
      </w:r>
      <w:r>
        <w:rPr>
          <w:rFonts w:ascii="Times New Roman" w:hAnsi="Times New Roman"/>
          <w:u w:color="000000"/>
          <w:shd w:val="clear" w:color="auto" w:fill="ffffff"/>
          <w:rtl w:val="0"/>
          <w14:textOutline w14:w="12700" w14:cap="flat">
            <w14:noFill/>
            <w14:miter w14:lim="400000"/>
          </w14:textOutline>
        </w:rPr>
        <w:t>127.73</w:t>
      </w:r>
      <w:r>
        <w:rPr>
          <w:rFonts w:ascii="Times New Roman" w:hAnsi="Times New Roman" w:hint="default"/>
          <w:u w:color="000000"/>
          <w:shd w:val="clear" w:color="auto" w:fill="ffffff"/>
          <w:rtl w:val="0"/>
          <w:lang w:val="it-IT"/>
          <w14:textOutline w14:w="12700" w14:cap="flat">
            <w14:noFill/>
            <w14:miter w14:lim="400000"/>
          </w14:textOutline>
        </w:rPr>
        <w:t>°</w:t>
      </w:r>
      <w:r>
        <w:rPr>
          <w:rFonts w:ascii="Times New Roman" w:hAnsi="Times New Roman"/>
          <w:u w:color="000000"/>
          <w:shd w:val="clear" w:color="auto" w:fill="ffffff"/>
          <w:rtl w:val="0"/>
          <w:lang w:val="en-US"/>
          <w14:textOutline w14:w="12700" w14:cap="flat">
            <w14:noFill/>
            <w14:miter w14:lim="400000"/>
          </w14:textOutline>
        </w:rPr>
        <w:t>, the oblique main axis of the Zakros palace appears to be an outlier when compared to the other three main palaces (Fig. 16). Shaw hypothesises that the Minoans may have have shifted the axis of the Zakros palace by 20</w:t>
      </w:r>
      <w:r>
        <w:rPr>
          <w:rFonts w:ascii="Times New Roman" w:hAnsi="Times New Roman" w:hint="default"/>
          <w:u w:color="000000"/>
          <w:shd w:val="clear" w:color="auto" w:fill="ffffff"/>
          <w:rtl w:val="0"/>
          <w:lang w:val="en-US"/>
          <w14:textOutline w14:w="12700" w14:cap="flat">
            <w14:noFill/>
            <w14:miter w14:lim="400000"/>
          </w14:textOutline>
        </w:rPr>
        <w:t xml:space="preserve">° </w:t>
      </w:r>
      <w:r>
        <w:rPr>
          <w:rFonts w:ascii="Times New Roman" w:hAnsi="Times New Roman"/>
          <w:u w:color="000000"/>
          <w:shd w:val="clear" w:color="auto" w:fill="ffffff"/>
          <w:rtl w:val="0"/>
          <w:lang w:val="en-US"/>
          <w14:textOutline w14:w="12700" w14:cap="flat">
            <w14:noFill/>
            <w14:miter w14:lim="400000"/>
          </w14:textOutline>
        </w:rPr>
        <w:t>to shelter the courtyard from the forceful Eltemi summer winds.</w:t>
      </w:r>
      <w:r>
        <w:rPr>
          <w:rFonts w:ascii="Times New Roman" w:cs="Times New Roman" w:hAnsi="Times New Roman" w:eastAsia="Times New Roman"/>
          <w:u w:color="000000"/>
          <w:shd w:val="clear" w:color="auto" w:fill="ffffff"/>
          <w:vertAlign w:val="superscript"/>
          <w:rtl w:val="0"/>
          <w14:textOutline w14:w="12700" w14:cap="flat">
            <w14:noFill/>
            <w14:miter w14:lim="400000"/>
          </w14:textOutline>
        </w:rPr>
        <w:footnoteReference w:id="257"/>
      </w:r>
      <w:r>
        <w:rPr>
          <w:rFonts w:ascii="Times New Roman" w:hAnsi="Times New Roman"/>
          <w:u w:color="000000"/>
          <w:shd w:val="clear" w:color="auto" w:fill="ffffff"/>
          <w:rtl w:val="0"/>
          <w:lang w:val="en-US"/>
          <w14:textOutline w14:w="12700" w14:cap="flat">
            <w14:noFill/>
            <w14:miter w14:lim="400000"/>
          </w14:textOutline>
        </w:rPr>
        <w:t xml:space="preserve"> As previously discussed, the concentration of ritual rooms on the western side of the courtyard may have been facing the direction of the rhumb line toward the distant trading emporia on the Levantine and Egyptian coasts. The present research indicates the orientation for Zakros was further South than the other major palaces because it may have pointed toward the Egyptian and not the Levantine coast (Fig. 26).</w:t>
      </w:r>
    </w:p>
    <w:p>
      <w:pPr>
        <w:pStyle w:val="Default"/>
        <w:bidi w:val="0"/>
        <w:spacing w:before="0" w:line="360" w:lineRule="auto"/>
        <w:ind w:left="0" w:right="0" w:firstLine="540"/>
        <w:jc w:val="left"/>
        <w:rPr>
          <w:rFonts w:ascii="Times New Roman" w:cs="Times New Roman" w:hAnsi="Times New Roman" w:eastAsia="Times New Roman"/>
          <w:u w:color="000000"/>
          <w:shd w:val="clear" w:color="auto" w:fill="ffffff"/>
          <w:rtl w:val="0"/>
          <w14:textOutline w14:w="12700" w14:cap="flat">
            <w14:noFill/>
            <w14:miter w14:lim="400000"/>
          </w14:textOutline>
        </w:rPr>
      </w:pPr>
    </w:p>
    <w:p>
      <w:pPr>
        <w:pStyle w:val="Image Caption"/>
        <w:rPr>
          <w:shd w:val="clear" w:color="auto" w:fill="ffffff"/>
        </w:rPr>
      </w:pPr>
      <w:r>
        <w:rPr>
          <w:shd w:val="clear" w:color="auto" w:fill="ffffff"/>
        </w:rPr>
        <w:drawing xmlns:a="http://schemas.openxmlformats.org/drawingml/2006/main">
          <wp:inline distT="0" distB="0" distL="0" distR="0">
            <wp:extent cx="4312118" cy="2783249"/>
            <wp:effectExtent l="0" t="0" r="0" b="0"/>
            <wp:docPr id="1073741856" name="officeArt object" descr="Image"/>
            <wp:cNvGraphicFramePr/>
            <a:graphic xmlns:a="http://schemas.openxmlformats.org/drawingml/2006/main">
              <a:graphicData uri="http://schemas.openxmlformats.org/drawingml/2006/picture">
                <pic:pic xmlns:pic="http://schemas.openxmlformats.org/drawingml/2006/picture">
                  <pic:nvPicPr>
                    <pic:cNvPr id="1073741856" name="Image" descr="Image"/>
                    <pic:cNvPicPr>
                      <a:picLocks noChangeAspect="1"/>
                    </pic:cNvPicPr>
                  </pic:nvPicPr>
                  <pic:blipFill>
                    <a:blip r:embed="rId34">
                      <a:extLst/>
                    </a:blip>
                    <a:srcRect l="0" t="0" r="0" b="0"/>
                    <a:stretch>
                      <a:fillRect/>
                    </a:stretch>
                  </pic:blipFill>
                  <pic:spPr>
                    <a:xfrm>
                      <a:off x="0" y="0"/>
                      <a:ext cx="4312118" cy="2783249"/>
                    </a:xfrm>
                    <a:prstGeom prst="rect">
                      <a:avLst/>
                    </a:prstGeom>
                    <a:ln w="12700" cap="flat">
                      <a:noFill/>
                      <a:miter lim="400000"/>
                    </a:ln>
                    <a:effectLst/>
                  </pic:spPr>
                </pic:pic>
              </a:graphicData>
            </a:graphic>
          </wp:inline>
        </w:drawing>
      </w:r>
    </w:p>
    <w:p>
      <w:pPr>
        <w:pStyle w:val="Image Caption"/>
      </w:pPr>
      <w:bookmarkStart w:name="_Toc63" w:id="63"/>
      <w:r>
        <w:rPr>
          <w:rFonts w:cs="Arial Unicode MS" w:eastAsia="Arial Unicode MS"/>
          <w:b w:val="1"/>
          <w:bCs w:val="1"/>
          <w:rtl w:val="0"/>
          <w:lang w:val="en-US"/>
        </w:rPr>
        <w:t>Fig. 26</w:t>
      </w:r>
      <w:r>
        <w:rPr>
          <w:rFonts w:cs="Arial Unicode MS" w:eastAsia="Arial Unicode MS"/>
          <w:rtl w:val="0"/>
        </w:rPr>
        <w:t xml:space="preserve"> Rhumb line from Zakros to Pelusium on the Nile Delta. </w:t>
      </w:r>
      <w:r>
        <w:rPr>
          <w:rFonts w:cs="Arial Unicode MS" w:eastAsia="Arial Unicode MS"/>
          <w:rtl w:val="0"/>
        </w:rPr>
        <w:t>Google Earth Pro.</w:t>
      </w:r>
      <w:bookmarkEnd w:id="63"/>
    </w:p>
    <w:p>
      <w:pPr>
        <w:pStyle w:val="Body A"/>
        <w:rPr>
          <w:shd w:val="clear" w:color="auto" w:fill="ffffff"/>
        </w:rPr>
      </w:pPr>
    </w:p>
    <w:p>
      <w:pPr>
        <w:pStyle w:val="Body A"/>
        <w:rPr>
          <w:shd w:val="clear" w:color="auto" w:fill="ffffff"/>
        </w:rPr>
      </w:pPr>
      <w:r>
        <w:rPr>
          <w:shd w:val="clear" w:color="auto" w:fill="ffffff"/>
          <w:rtl w:val="0"/>
          <w:lang w:val="en-US"/>
        </w:rPr>
        <w:t>The</w:t>
      </w:r>
      <w:r>
        <w:rPr>
          <w:shd w:val="clear" w:color="auto" w:fill="ffffff"/>
          <w:rtl w:val="0"/>
          <w:lang w:val="pt-PT"/>
        </w:rPr>
        <w:t xml:space="preserve"> </w:t>
      </w:r>
      <w:r>
        <w:rPr>
          <w:shd w:val="clear" w:color="auto" w:fill="ffffff"/>
          <w:rtl w:val="0"/>
          <w:lang w:val="en-US"/>
        </w:rPr>
        <w:t xml:space="preserve">short </w:t>
      </w:r>
      <w:r>
        <w:rPr>
          <w:shd w:val="clear" w:color="auto" w:fill="ffffff"/>
          <w:rtl w:val="0"/>
          <w:lang w:val="pt-PT"/>
        </w:rPr>
        <w:t xml:space="preserve">axis of the </w:t>
      </w:r>
      <w:r>
        <w:rPr>
          <w:shd w:val="clear" w:color="auto" w:fill="ffffff"/>
          <w:rtl w:val="0"/>
          <w:lang w:val="en-US"/>
        </w:rPr>
        <w:t xml:space="preserve">Zakros </w:t>
      </w:r>
      <w:r>
        <w:rPr>
          <w:shd w:val="clear" w:color="auto" w:fill="ffffff"/>
          <w:rtl w:val="0"/>
          <w:lang w:val="pt-PT"/>
        </w:rPr>
        <w:t xml:space="preserve">palace </w:t>
      </w:r>
      <w:r>
        <w:rPr>
          <w:shd w:val="clear" w:color="auto" w:fill="ffffff"/>
          <w:rtl w:val="0"/>
          <w:lang w:val="en-US"/>
        </w:rPr>
        <w:t>courtyard orients to</w:t>
      </w:r>
      <w:r>
        <w:rPr>
          <w:shd w:val="clear" w:color="auto" w:fill="ffffff"/>
          <w:rtl w:val="0"/>
          <w:lang w:val="pt-PT"/>
        </w:rPr>
        <w:t xml:space="preserve"> </w:t>
      </w:r>
      <w:r>
        <w:rPr>
          <w:shd w:val="clear" w:color="auto" w:fill="ffffff"/>
          <w:rtl w:val="0"/>
        </w:rPr>
        <w:t>127.73</w:t>
      </w:r>
      <w:r>
        <w:rPr>
          <w:shd w:val="clear" w:color="auto" w:fill="ffffff"/>
          <w:rtl w:val="0"/>
          <w:lang w:val="it-IT"/>
        </w:rPr>
        <w:t>°</w:t>
      </w:r>
      <w:r>
        <w:rPr>
          <w:shd w:val="clear" w:color="auto" w:fill="ffffff"/>
          <w:rtl w:val="0"/>
          <w:lang w:val="en-US"/>
        </w:rPr>
        <w:t>, which is only slightly askew from Shaw</w:t>
      </w:r>
      <w:r>
        <w:rPr>
          <w:shd w:val="clear" w:color="auto" w:fill="ffffff"/>
          <w:rtl w:val="0"/>
          <w:lang w:val="en-US"/>
        </w:rPr>
        <w:t>’</w:t>
      </w:r>
      <w:r>
        <w:rPr>
          <w:shd w:val="clear" w:color="auto" w:fill="ffffff"/>
          <w:rtl w:val="0"/>
          <w:lang w:val="en-US"/>
        </w:rPr>
        <w:t xml:space="preserve">s theodolite reading of </w:t>
      </w:r>
      <w:r>
        <w:rPr>
          <w:shd w:val="clear" w:color="auto" w:fill="ffffff"/>
          <w:rtl w:val="0"/>
        </w:rPr>
        <w:t>127.5528</w:t>
      </w:r>
      <w:r>
        <w:rPr>
          <w:shd w:val="clear" w:color="auto" w:fill="ffffff"/>
          <w:rtl w:val="0"/>
          <w:lang w:val="it-IT"/>
        </w:rPr>
        <w:t>°</w:t>
      </w:r>
      <w:r>
        <w:rPr>
          <w:shd w:val="clear" w:color="auto" w:fill="ffffff"/>
          <w:rtl w:val="0"/>
          <w:lang w:val="en-US"/>
        </w:rPr>
        <w:t xml:space="preserve"> (Table 1)</w:t>
      </w:r>
      <w:r>
        <w:rPr>
          <w:shd w:val="clear" w:color="auto" w:fill="ffffff"/>
          <w:rtl w:val="0"/>
          <w:lang w:val="pt-PT"/>
        </w:rPr>
        <w:t xml:space="preserve">. Meanwhile, the </w:t>
      </w:r>
      <w:r>
        <w:rPr>
          <w:shd w:val="clear" w:color="auto" w:fill="ffffff"/>
          <w:rtl w:val="0"/>
          <w:lang w:val="en-US"/>
        </w:rPr>
        <w:t>rhumb line</w:t>
      </w:r>
      <w:r>
        <w:rPr>
          <w:shd w:val="clear" w:color="auto" w:fill="ffffff"/>
          <w:rtl w:val="0"/>
          <w:lang w:val="pt-PT"/>
        </w:rPr>
        <w:t xml:space="preserve"> toward Pelusium</w:t>
      </w:r>
      <w:r>
        <w:rPr>
          <w:shd w:val="clear" w:color="auto" w:fill="ffffff"/>
          <w:rtl w:val="0"/>
          <w:lang w:val="en-US"/>
        </w:rPr>
        <w:t xml:space="preserve"> (</w:t>
      </w:r>
      <w:r>
        <w:rPr>
          <w:shd w:val="clear" w:color="auto" w:fill="ffffff"/>
          <w:rtl w:val="0"/>
        </w:rPr>
        <w:t>Tel Farama</w:t>
      </w:r>
      <w:r>
        <w:rPr>
          <w:shd w:val="clear" w:color="auto" w:fill="ffffff"/>
          <w:rtl w:val="0"/>
          <w:lang w:val="en-US"/>
        </w:rPr>
        <w:t>)</w:t>
      </w:r>
      <w:r>
        <w:rPr>
          <w:shd w:val="clear" w:color="auto" w:fill="ffffff"/>
          <w:rtl w:val="0"/>
          <w:lang w:val="pt-PT"/>
        </w:rPr>
        <w:t>, a</w:t>
      </w:r>
      <w:r>
        <w:rPr>
          <w:shd w:val="clear" w:color="auto" w:fill="ffffff"/>
          <w:rtl w:val="0"/>
          <w:lang w:val="en-US"/>
        </w:rPr>
        <w:t>t</w:t>
      </w:r>
      <w:r>
        <w:rPr>
          <w:shd w:val="clear" w:color="auto" w:fill="ffffff"/>
          <w:rtl w:val="0"/>
          <w:lang w:val="pt-PT"/>
        </w:rPr>
        <w:t xml:space="preserve"> the mouth of the Pellusiac branch of the </w:t>
      </w:r>
      <w:r>
        <w:rPr>
          <w:shd w:val="clear" w:color="auto" w:fill="ffffff"/>
          <w:rtl w:val="0"/>
          <w:lang w:val="en-US"/>
        </w:rPr>
        <w:t>R</w:t>
      </w:r>
      <w:r>
        <w:rPr>
          <w:shd w:val="clear" w:color="auto" w:fill="ffffff"/>
          <w:rtl w:val="0"/>
          <w:lang w:val="pt-PT"/>
        </w:rPr>
        <w:t xml:space="preserve">iver Nile, was at the </w:t>
      </w:r>
      <w:r>
        <w:rPr>
          <w:shd w:val="clear" w:color="auto" w:fill="ffffff"/>
          <w:rtl w:val="0"/>
          <w:lang w:val="en-US"/>
        </w:rPr>
        <w:t xml:space="preserve">constant </w:t>
      </w:r>
      <w:r>
        <w:rPr>
          <w:shd w:val="clear" w:color="auto" w:fill="ffffff"/>
          <w:rtl w:val="0"/>
          <w:lang w:val="pt-PT"/>
        </w:rPr>
        <w:t xml:space="preserve">azimuth of </w:t>
      </w:r>
      <w:r>
        <w:rPr>
          <w:shd w:val="clear" w:color="auto" w:fill="ffffff"/>
          <w:rtl w:val="0"/>
        </w:rPr>
        <w:t>127.43</w:t>
      </w:r>
      <w:r>
        <w:rPr>
          <w:shd w:val="clear" w:color="auto" w:fill="ffffff"/>
          <w:rtl w:val="0"/>
          <w:lang w:val="it-IT"/>
        </w:rPr>
        <w:t>°</w:t>
      </w:r>
      <w:r>
        <w:rPr>
          <w:shd w:val="clear" w:color="auto" w:fill="ffffff"/>
          <w:rtl w:val="0"/>
          <w:lang w:val="en-US"/>
        </w:rPr>
        <w:t xml:space="preserve">, a difference of only </w:t>
      </w:r>
      <w:r>
        <w:rPr>
          <w:shd w:val="clear" w:color="auto" w:fill="ffffff"/>
          <w:rtl w:val="0"/>
        </w:rPr>
        <w:t>0.1228</w:t>
      </w:r>
      <w:r>
        <w:rPr>
          <w:shd w:val="clear" w:color="auto" w:fill="ffffff"/>
          <w:rtl w:val="0"/>
          <w:lang w:val="en-US"/>
        </w:rPr>
        <w:t xml:space="preserve">° </w:t>
      </w:r>
      <w:r>
        <w:rPr>
          <w:shd w:val="clear" w:color="auto" w:fill="ffffff"/>
          <w:rtl w:val="0"/>
          <w:lang w:val="en-US"/>
        </w:rPr>
        <w:t>(Table 2)</w:t>
      </w:r>
      <w:r>
        <w:rPr>
          <w:shd w:val="clear" w:color="auto" w:fill="ffffff"/>
          <w:rtl w:val="0"/>
          <w:lang w:val="pt-PT"/>
        </w:rPr>
        <w:t>.</w:t>
      </w:r>
      <w:r>
        <w:rPr>
          <w:shd w:val="clear" w:color="auto" w:fill="ffffff"/>
          <w:rtl w:val="0"/>
          <w:lang w:val="en-US"/>
        </w:rPr>
        <w:t xml:space="preserve"> Pelusium, </w:t>
      </w:r>
      <w:r>
        <w:rPr>
          <w:shd w:val="clear" w:color="auto" w:fill="ffffff"/>
          <w:rtl w:val="0"/>
          <w:lang w:val="pt-PT"/>
        </w:rPr>
        <w:t>the easternmost major city of Lower Egypt</w:t>
      </w:r>
      <w:r>
        <w:rPr>
          <w:shd w:val="clear" w:color="auto" w:fill="ffffff"/>
          <w:rtl w:val="0"/>
          <w:lang w:val="en-US"/>
        </w:rPr>
        <w:t>, functioned as the regional centre for terrestrial and maritime trade with the Levant.</w:t>
      </w:r>
      <w:r>
        <w:rPr>
          <w:rFonts w:ascii="Times New Roman" w:cs="Times New Roman" w:hAnsi="Times New Roman" w:eastAsia="Times New Roman"/>
          <w:b w:val="0"/>
          <w:bCs w:val="0"/>
          <w:i w:val="0"/>
          <w:iCs w:val="0"/>
          <w:shd w:val="clear" w:color="auto" w:fill="ffffff"/>
          <w:vertAlign w:val="superscript"/>
        </w:rPr>
        <w:footnoteReference w:id="258"/>
      </w:r>
      <w:r>
        <w:rPr>
          <w:shd w:val="clear" w:color="auto" w:fill="ffffff"/>
          <w:rtl w:val="0"/>
          <w:lang w:val="en-US"/>
        </w:rPr>
        <w:t xml:space="preserve"> It is unclear, but the historical and archaeological record suggests it was founded between the Middle Kingdom in the early 2</w:t>
      </w:r>
      <w:r>
        <w:rPr>
          <w:shd w:val="clear" w:color="auto" w:fill="ffffff"/>
          <w:vertAlign w:val="superscript"/>
          <w:rtl w:val="0"/>
          <w:lang w:val="en-US"/>
        </w:rPr>
        <w:t>nd</w:t>
      </w:r>
      <w:r>
        <w:rPr>
          <w:shd w:val="clear" w:color="auto" w:fill="ffffff"/>
          <w:rtl w:val="0"/>
          <w:lang w:val="en-US"/>
        </w:rPr>
        <w:t xml:space="preserve"> millennium </w:t>
      </w:r>
      <w:r>
        <w:rPr>
          <w:smallCaps w:val="1"/>
          <w:shd w:val="clear" w:color="auto" w:fill="ffffff"/>
          <w:rtl w:val="0"/>
          <w:lang w:val="en-US"/>
        </w:rPr>
        <w:t>bce</w:t>
      </w:r>
      <w:r>
        <w:rPr>
          <w:shd w:val="clear" w:color="auto" w:fill="ffffff"/>
          <w:rtl w:val="0"/>
          <w:lang w:val="en-US"/>
        </w:rPr>
        <w:t xml:space="preserve"> and the Saite to Persian eras in the 8</w:t>
      </w:r>
      <w:r>
        <w:rPr>
          <w:shd w:val="clear" w:color="auto" w:fill="ffffff"/>
          <w:vertAlign w:val="superscript"/>
          <w:rtl w:val="0"/>
          <w:lang w:val="en-US"/>
        </w:rPr>
        <w:t xml:space="preserve">th </w:t>
      </w:r>
      <w:r>
        <w:rPr>
          <w:shd w:val="clear" w:color="auto" w:fill="ffffff"/>
          <w:rtl w:val="0"/>
          <w:lang w:val="en-US"/>
        </w:rPr>
        <w:t>to 6</w:t>
      </w:r>
      <w:r>
        <w:rPr>
          <w:shd w:val="clear" w:color="auto" w:fill="ffffff"/>
          <w:vertAlign w:val="superscript"/>
          <w:rtl w:val="0"/>
          <w:lang w:val="en-US"/>
        </w:rPr>
        <w:t>th</w:t>
      </w:r>
      <w:r>
        <w:rPr>
          <w:shd w:val="clear" w:color="auto" w:fill="ffffff"/>
          <w:rtl w:val="0"/>
          <w:lang w:val="en-US"/>
        </w:rPr>
        <w:t xml:space="preserve"> centuries </w:t>
      </w:r>
      <w:r>
        <w:rPr>
          <w:smallCaps w:val="1"/>
          <w:shd w:val="clear" w:color="auto" w:fill="ffffff"/>
          <w:rtl w:val="0"/>
          <w:lang w:val="en-US"/>
        </w:rPr>
        <w:t>bce</w:t>
      </w:r>
      <w:r>
        <w:rPr>
          <w:shd w:val="clear" w:color="auto" w:fill="ffffff"/>
          <w:rtl w:val="0"/>
          <w:lang w:val="en-US"/>
        </w:rPr>
        <w:t>.</w:t>
      </w:r>
      <w:r>
        <w:rPr>
          <w:rFonts w:ascii="Times New Roman" w:cs="Times New Roman" w:hAnsi="Times New Roman" w:eastAsia="Times New Roman"/>
          <w:b w:val="0"/>
          <w:bCs w:val="0"/>
          <w:i w:val="0"/>
          <w:iCs w:val="0"/>
          <w:shd w:val="clear" w:color="auto" w:fill="ffffff"/>
          <w:vertAlign w:val="superscript"/>
        </w:rPr>
        <w:footnoteReference w:id="259"/>
      </w:r>
      <w:r>
        <w:rPr>
          <w:shd w:val="clear" w:color="auto" w:fill="ffffff"/>
          <w:rtl w:val="0"/>
          <w:lang w:val="en-US"/>
        </w:rPr>
        <w:t xml:space="preserve"> Perhaps, known as</w:t>
      </w:r>
      <w:r>
        <w:rPr>
          <w:shd w:val="clear" w:color="auto" w:fill="ffffff"/>
          <w:rtl w:val="0"/>
        </w:rPr>
        <w:t xml:space="preserve"> </w:t>
      </w:r>
      <w:r>
        <w:rPr>
          <w:i w:val="1"/>
          <w:iCs w:val="1"/>
          <w:shd w:val="clear" w:color="auto" w:fill="ffffff"/>
          <w:rtl w:val="0"/>
        </w:rPr>
        <w:t>S</w:t>
      </w:r>
      <w:r>
        <w:rPr>
          <w:i w:val="1"/>
          <w:iCs w:val="1"/>
          <w:shd w:val="clear" w:color="auto" w:fill="ffffff"/>
          <w:rtl w:val="0"/>
          <w:lang w:val="en-US"/>
        </w:rPr>
        <w:t>ĭ</w:t>
      </w:r>
      <w:r>
        <w:rPr>
          <w:i w:val="1"/>
          <w:iCs w:val="1"/>
          <w:shd w:val="clear" w:color="auto" w:fill="ffffff"/>
          <w:rtl w:val="0"/>
        </w:rPr>
        <w:t>n</w:t>
      </w:r>
      <w:r>
        <w:rPr>
          <w:shd w:val="clear" w:color="auto" w:fill="ffffff"/>
          <w:rtl w:val="0"/>
          <w:lang w:val="en-US"/>
        </w:rPr>
        <w:t xml:space="preserve"> in the biblical Book of Ezekiel</w:t>
      </w:r>
      <w:r>
        <w:rPr>
          <w:shd w:val="clear" w:color="auto" w:fill="ffffff"/>
          <w:rtl w:val="0"/>
          <w:lang w:val="en-US"/>
        </w:rPr>
        <w:t xml:space="preserve">, it may have served as a navigational hub from at least the </w:t>
      </w:r>
      <w:r>
        <w:rPr>
          <w:shd w:val="clear" w:color="auto" w:fill="ffffff"/>
          <w:rtl w:val="0"/>
        </w:rPr>
        <w:t>18</w:t>
      </w:r>
      <w:r>
        <w:rPr>
          <w:shd w:val="clear" w:color="auto" w:fill="ffffff"/>
          <w:vertAlign w:val="superscript"/>
          <w:rtl w:val="0"/>
          <w:lang w:val="en-US"/>
        </w:rPr>
        <w:t>th</w:t>
      </w:r>
      <w:r>
        <w:rPr>
          <w:shd w:val="clear" w:color="auto" w:fill="ffffff"/>
          <w:rtl w:val="0"/>
          <w:lang w:val="en-US"/>
        </w:rPr>
        <w:t xml:space="preserve"> and 19</w:t>
      </w:r>
      <w:r>
        <w:rPr>
          <w:shd w:val="clear" w:color="auto" w:fill="ffffff"/>
          <w:vertAlign w:val="superscript"/>
          <w:rtl w:val="0"/>
          <w:lang w:val="en-US"/>
        </w:rPr>
        <w:t>th</w:t>
      </w:r>
      <w:r>
        <w:rPr>
          <w:shd w:val="clear" w:color="auto" w:fill="ffffff"/>
          <w:rtl w:val="0"/>
          <w:lang w:val="en-US"/>
        </w:rPr>
        <w:t xml:space="preserve"> dynasties </w:t>
      </w:r>
      <w:r>
        <w:rPr>
          <w:shd w:val="clear" w:color="auto" w:fill="ffffff"/>
          <w:rtl w:val="0"/>
          <w:lang w:val="en-US"/>
        </w:rPr>
        <w:t>of</w:t>
      </w:r>
      <w:r>
        <w:rPr>
          <w:shd w:val="clear" w:color="auto" w:fill="ffffff"/>
          <w:rtl w:val="0"/>
          <w:lang w:val="en-US"/>
        </w:rPr>
        <w:t xml:space="preserve"> the New Kingdom</w:t>
      </w:r>
      <w:r>
        <w:rPr>
          <w:shd w:val="clear" w:color="auto" w:fill="ffffff"/>
          <w:rtl w:val="0"/>
          <w:lang w:val="en-US"/>
        </w:rPr>
        <w:t>.</w:t>
      </w:r>
      <w:r>
        <w:rPr>
          <w:rFonts w:ascii="Times New Roman" w:cs="Times New Roman" w:hAnsi="Times New Roman" w:eastAsia="Times New Roman"/>
          <w:b w:val="0"/>
          <w:bCs w:val="0"/>
          <w:i w:val="0"/>
          <w:iCs w:val="0"/>
          <w:shd w:val="clear" w:color="auto" w:fill="ffffff"/>
          <w:vertAlign w:val="superscript"/>
        </w:rPr>
        <w:footnoteReference w:id="260"/>
      </w:r>
      <w:r>
        <w:rPr>
          <w:shd w:val="clear" w:color="auto" w:fill="ffffff"/>
          <w:rtl w:val="0"/>
          <w:lang w:val="pt-PT"/>
        </w:rPr>
        <w:t xml:space="preserve"> </w:t>
      </w:r>
      <w:r>
        <w:rPr>
          <w:shd w:val="clear" w:color="auto" w:fill="ffffff"/>
          <w:rtl w:val="0"/>
          <w:lang w:val="en-US"/>
        </w:rPr>
        <w:t>Given the importance of Pelusium as a port connecting Egypt with the Levant, it remains a strong candidate for the astronautical orientation of Zakros.</w:t>
      </w:r>
    </w:p>
    <w:p>
      <w:pPr>
        <w:pStyle w:val="Body A"/>
        <w:rPr>
          <w:shd w:val="clear" w:color="auto" w:fill="ffffff"/>
        </w:rPr>
      </w:pPr>
    </w:p>
    <w:p>
      <w:pPr>
        <w:pStyle w:val="Image Caption"/>
      </w:pPr>
      <w:r>
        <w:rPr>
          <w:shd w:val="clear" w:color="auto" w:fill="ffffff"/>
        </w:rPr>
        <w:drawing xmlns:a="http://schemas.openxmlformats.org/drawingml/2006/main">
          <wp:inline distT="0" distB="0" distL="0" distR="0">
            <wp:extent cx="4515760" cy="5943600"/>
            <wp:effectExtent l="0" t="0" r="0" b="0"/>
            <wp:docPr id="1073741857" name="officeArt object" descr="Image"/>
            <wp:cNvGraphicFramePr/>
            <a:graphic xmlns:a="http://schemas.openxmlformats.org/drawingml/2006/main">
              <a:graphicData uri="http://schemas.openxmlformats.org/drawingml/2006/picture">
                <pic:pic xmlns:pic="http://schemas.openxmlformats.org/drawingml/2006/picture">
                  <pic:nvPicPr>
                    <pic:cNvPr id="1073741857" name="Image" descr="Image"/>
                    <pic:cNvPicPr>
                      <a:picLocks noChangeAspect="1"/>
                    </pic:cNvPicPr>
                  </pic:nvPicPr>
                  <pic:blipFill>
                    <a:blip r:embed="rId35">
                      <a:extLst/>
                    </a:blip>
                    <a:srcRect l="0" t="0" r="0" b="0"/>
                    <a:stretch>
                      <a:fillRect/>
                    </a:stretch>
                  </pic:blipFill>
                  <pic:spPr>
                    <a:xfrm>
                      <a:off x="0" y="0"/>
                      <a:ext cx="4515760" cy="5943600"/>
                    </a:xfrm>
                    <a:prstGeom prst="rect">
                      <a:avLst/>
                    </a:prstGeom>
                    <a:ln w="12700" cap="flat">
                      <a:noFill/>
                      <a:miter lim="400000"/>
                    </a:ln>
                    <a:effectLst/>
                  </pic:spPr>
                </pic:pic>
              </a:graphicData>
            </a:graphic>
          </wp:inline>
        </w:drawing>
      </w:r>
    </w:p>
    <w:p>
      <w:pPr>
        <w:pStyle w:val="Image Caption"/>
        <w:jc w:val="right"/>
      </w:pPr>
      <w:r>
        <w:drawing xmlns:a="http://schemas.openxmlformats.org/drawingml/2006/main">
          <wp:inline distT="0" distB="0" distL="0" distR="0">
            <wp:extent cx="2254022" cy="1323583"/>
            <wp:effectExtent l="0" t="0" r="0" b="0"/>
            <wp:docPr id="1073741858" name="officeArt object" descr="Image"/>
            <wp:cNvGraphicFramePr/>
            <a:graphic xmlns:a="http://schemas.openxmlformats.org/drawingml/2006/main">
              <a:graphicData uri="http://schemas.openxmlformats.org/drawingml/2006/picture">
                <pic:pic xmlns:pic="http://schemas.openxmlformats.org/drawingml/2006/picture">
                  <pic:nvPicPr>
                    <pic:cNvPr id="1073741858" name="Image" descr="Image"/>
                    <pic:cNvPicPr>
                      <a:picLocks noChangeAspect="1"/>
                    </pic:cNvPicPr>
                  </pic:nvPicPr>
                  <pic:blipFill>
                    <a:blip r:embed="rId36">
                      <a:extLst/>
                    </a:blip>
                    <a:stretch>
                      <a:fillRect/>
                    </a:stretch>
                  </pic:blipFill>
                  <pic:spPr>
                    <a:xfrm>
                      <a:off x="0" y="0"/>
                      <a:ext cx="2254022" cy="1323583"/>
                    </a:xfrm>
                    <a:prstGeom prst="rect">
                      <a:avLst/>
                    </a:prstGeom>
                    <a:ln w="12700" cap="flat">
                      <a:noFill/>
                      <a:miter lim="400000"/>
                    </a:ln>
                    <a:effectLst/>
                  </pic:spPr>
                </pic:pic>
              </a:graphicData>
            </a:graphic>
          </wp:inline>
        </w:drawing>
      </w:r>
    </w:p>
    <w:p>
      <w:pPr>
        <w:pStyle w:val="Image Caption"/>
      </w:pPr>
    </w:p>
    <w:p>
      <w:pPr>
        <w:pStyle w:val="Image Caption"/>
        <w:rPr>
          <w:shd w:val="clear" w:color="auto" w:fill="ffffff"/>
        </w:rPr>
      </w:pPr>
      <w:bookmarkStart w:name="_Toc64" w:id="64"/>
      <w:r>
        <w:rPr>
          <w:rFonts w:cs="Arial Unicode MS" w:eastAsia="Arial Unicode MS"/>
          <w:b w:val="1"/>
          <w:bCs w:val="1"/>
          <w:rtl w:val="0"/>
          <w:lang w:val="en-US"/>
        </w:rPr>
        <w:t>Fig. 27</w:t>
      </w:r>
      <w:r>
        <w:rPr>
          <w:rFonts w:cs="Arial Unicode MS" w:eastAsia="Arial Unicode MS"/>
          <w:rtl w:val="0"/>
        </w:rPr>
        <w:t xml:space="preserve"> Minoan </w:t>
      </w:r>
      <w:r>
        <w:rPr>
          <w:rFonts w:cs="Arial Unicode MS" w:eastAsia="Arial Unicode MS"/>
          <w:rtl w:val="0"/>
        </w:rPr>
        <w:t>Rhumb Lines Between Zakros and Pelusium associated to courtyard orientation and star paths.</w:t>
      </w:r>
      <w:bookmarkEnd w:id="64"/>
    </w:p>
    <w:p>
      <w:pPr>
        <w:pStyle w:val="Body A"/>
        <w:rPr>
          <w:shd w:val="clear" w:color="auto" w:fill="ffffff"/>
        </w:rPr>
      </w:pPr>
    </w:p>
    <w:p>
      <w:pPr>
        <w:pStyle w:val="Body A"/>
        <w:rPr>
          <w:shd w:val="clear" w:color="auto" w:fill="ffffff"/>
        </w:rPr>
      </w:pPr>
    </w:p>
    <w:p>
      <w:pPr>
        <w:pStyle w:val="Body A"/>
        <w:rPr>
          <w:shd w:val="clear" w:color="auto" w:fill="ffffff"/>
        </w:rPr>
      </w:pPr>
      <w:r>
        <w:rPr>
          <w:shd w:val="clear" w:color="auto" w:fill="ffffff"/>
          <w:rtl w:val="0"/>
          <w:lang w:val="en-US"/>
        </w:rPr>
        <w:t xml:space="preserve">Pelusium was a bustling oriental-Egyptian city, which functioned as a </w:t>
      </w:r>
      <w:r>
        <w:rPr>
          <w:shd w:val="clear" w:color="auto" w:fill="ffffff"/>
          <w:rtl w:val="0"/>
          <w:lang w:val="en-US"/>
        </w:rPr>
        <w:t>‘</w:t>
      </w:r>
      <w:r>
        <w:rPr>
          <w:shd w:val="clear" w:color="auto" w:fill="ffffff"/>
          <w:rtl w:val="0"/>
          <w:lang w:val="en-US"/>
        </w:rPr>
        <w:t xml:space="preserve">link </w:t>
      </w:r>
      <w:r>
        <w:rPr>
          <w:shd w:val="clear" w:color="auto" w:fill="ffffff"/>
          <w:rtl w:val="0"/>
          <w:lang w:val="en-US"/>
        </w:rPr>
        <w:t>between Egypt and the rest of the ancient world with a special allowance towards the cities of the Near East</w:t>
      </w:r>
      <w:r>
        <w:rPr>
          <w:shd w:val="clear" w:color="auto" w:fill="ffffff"/>
          <w:rtl w:val="0"/>
          <w:lang w:val="en-US"/>
        </w:rPr>
        <w:t xml:space="preserve">’ </w:t>
      </w:r>
      <w:r>
        <w:rPr>
          <w:shd w:val="clear" w:color="auto" w:fill="ffffff"/>
          <w:rtl w:val="0"/>
          <w:lang w:val="en-US"/>
        </w:rPr>
        <w:t>and was teaming with Carian and Ionian settlers alongside the presence of exotic gods and cults.</w:t>
      </w:r>
      <w:r>
        <w:rPr>
          <w:rFonts w:ascii="Times New Roman" w:cs="Times New Roman" w:hAnsi="Times New Roman" w:eastAsia="Times New Roman"/>
          <w:b w:val="0"/>
          <w:bCs w:val="0"/>
          <w:i w:val="0"/>
          <w:iCs w:val="0"/>
          <w:shd w:val="clear" w:color="auto" w:fill="ffffff"/>
          <w:vertAlign w:val="superscript"/>
        </w:rPr>
        <w:footnoteReference w:id="261"/>
      </w:r>
      <w:r>
        <w:rPr>
          <w:shd w:val="clear" w:color="auto" w:fill="ffffff"/>
          <w:rtl w:val="0"/>
          <w:lang w:val="en-US"/>
        </w:rPr>
        <w:t xml:space="preserve"> Foreign merchants</w:t>
      </w:r>
      <w:r>
        <w:rPr>
          <w:shd w:val="clear" w:color="auto" w:fill="ffffff"/>
          <w:rtl w:val="0"/>
          <w:lang w:val="pt-PT"/>
        </w:rPr>
        <w:t xml:space="preserve"> would have </w:t>
      </w:r>
      <w:r>
        <w:rPr>
          <w:shd w:val="clear" w:color="auto" w:fill="ffffff"/>
          <w:rtl w:val="0"/>
          <w:lang w:val="en-US"/>
        </w:rPr>
        <w:t>cruised</w:t>
      </w:r>
      <w:r>
        <w:rPr>
          <w:shd w:val="clear" w:color="auto" w:fill="ffffff"/>
          <w:rtl w:val="0"/>
          <w:lang w:val="pt-PT"/>
        </w:rPr>
        <w:t xml:space="preserve"> upriver</w:t>
      </w:r>
      <w:r>
        <w:rPr>
          <w:shd w:val="clear" w:color="auto" w:fill="ffffff"/>
          <w:rtl w:val="0"/>
          <w:lang w:val="en-US"/>
        </w:rPr>
        <w:t xml:space="preserve"> </w:t>
      </w:r>
      <w:r>
        <w:rPr>
          <w:shd w:val="clear" w:color="auto" w:fill="ffffff"/>
          <w:rtl w:val="0"/>
          <w:lang w:val="pt-PT"/>
        </w:rPr>
        <w:t xml:space="preserve">to the military outpost </w:t>
      </w:r>
      <w:r>
        <w:rPr>
          <w:shd w:val="clear" w:color="auto" w:fill="ffffff"/>
          <w:rtl w:val="0"/>
          <w:lang w:val="en-US"/>
        </w:rPr>
        <w:t xml:space="preserve">of </w:t>
      </w:r>
      <w:r>
        <w:rPr>
          <w:shd w:val="clear" w:color="auto" w:fill="ffffff"/>
          <w:rtl w:val="0"/>
          <w:lang w:val="pt-PT"/>
        </w:rPr>
        <w:t>Tjaru</w:t>
      </w:r>
      <w:r>
        <w:rPr>
          <w:shd w:val="clear" w:color="auto" w:fill="ffffff"/>
          <w:rtl w:val="0"/>
          <w:lang w:val="en-US"/>
        </w:rPr>
        <w:t xml:space="preserve"> or</w:t>
      </w:r>
      <w:r>
        <w:rPr>
          <w:shd w:val="clear" w:color="auto" w:fill="ffffff"/>
          <w:rtl w:val="0"/>
          <w:lang w:val="pt-PT"/>
        </w:rPr>
        <w:t xml:space="preserve"> to Avaris, the Hyksos capital, also on the Pellusiac branch</w:t>
      </w:r>
      <w:r>
        <w:rPr>
          <w:shd w:val="clear" w:color="auto" w:fill="ffffff"/>
          <w:rtl w:val="0"/>
          <w:lang w:val="en-US"/>
        </w:rPr>
        <w:t>.</w:t>
      </w:r>
      <w:r>
        <w:rPr>
          <w:shd w:val="clear" w:color="auto" w:fill="ffffff"/>
          <w:rtl w:val="0"/>
          <w:lang w:val="pt-PT"/>
        </w:rPr>
        <w:t xml:space="preserve"> </w:t>
      </w:r>
      <w:r>
        <w:rPr>
          <w:shd w:val="clear" w:color="auto" w:fill="ffffff"/>
          <w:rtl w:val="0"/>
          <w:lang w:val="en-US"/>
        </w:rPr>
        <w:t xml:space="preserve">According to </w:t>
      </w:r>
      <w:r>
        <w:rPr>
          <w:shd w:val="clear" w:color="auto" w:fill="ffffff"/>
          <w:rtl w:val="0"/>
        </w:rPr>
        <w:t>Manfred Bietak</w:t>
      </w:r>
      <w:r>
        <w:rPr>
          <w:shd w:val="clear" w:color="auto" w:fill="ffffff"/>
          <w:rtl w:val="0"/>
          <w:lang w:val="en-US"/>
        </w:rPr>
        <w:t xml:space="preserve">, </w:t>
      </w:r>
      <w:r>
        <w:rPr>
          <w:shd w:val="clear" w:color="auto" w:fill="ffffff"/>
          <w:rtl w:val="0"/>
          <w:lang w:val="pt-PT"/>
        </w:rPr>
        <w:t xml:space="preserve">the </w:t>
      </w:r>
      <w:r>
        <w:rPr>
          <w:shd w:val="clear" w:color="auto" w:fill="ffffff"/>
          <w:rtl w:val="0"/>
          <w:lang w:val="en-US"/>
        </w:rPr>
        <w:t>regional pharaonic naval base of</w:t>
      </w:r>
      <w:r>
        <w:rPr>
          <w:shd w:val="clear" w:color="auto" w:fill="ffffff"/>
          <w:rtl w:val="0"/>
          <w:lang w:val="pt-PT"/>
        </w:rPr>
        <w:t xml:space="preserve"> </w:t>
      </w:r>
      <w:r>
        <w:rPr>
          <w:i w:val="1"/>
          <w:iCs w:val="1"/>
          <w:shd w:val="clear" w:color="auto" w:fill="ffffff"/>
          <w:rtl w:val="0"/>
          <w:lang w:val="en-US"/>
        </w:rPr>
        <w:t>p</w:t>
      </w:r>
      <w:r>
        <w:rPr>
          <w:i w:val="1"/>
          <w:iCs w:val="1"/>
          <w:shd w:val="clear" w:color="auto" w:fill="ffffff"/>
          <w:rtl w:val="0"/>
          <w:lang w:val="pt-PT"/>
        </w:rPr>
        <w:t xml:space="preserve">rw </w:t>
      </w:r>
      <w:r>
        <w:rPr>
          <w:i w:val="1"/>
          <w:iCs w:val="1"/>
          <w:shd w:val="clear" w:color="auto" w:fill="ffffff"/>
          <w:rtl w:val="0"/>
          <w:lang w:val="en-US"/>
        </w:rPr>
        <w:t>n</w:t>
      </w:r>
      <w:r>
        <w:rPr>
          <w:i w:val="1"/>
          <w:iCs w:val="1"/>
          <w:shd w:val="clear" w:color="auto" w:fill="ffffff"/>
          <w:rtl w:val="0"/>
          <w:lang w:val="pt-PT"/>
        </w:rPr>
        <w:t>fr</w:t>
      </w:r>
      <w:r>
        <w:rPr>
          <w:i w:val="1"/>
          <w:iCs w:val="1"/>
          <w:shd w:val="clear" w:color="auto" w:fill="ffffff"/>
          <w:rtl w:val="0"/>
          <w:lang w:val="en-US"/>
        </w:rPr>
        <w:t xml:space="preserve">, </w:t>
      </w:r>
      <w:r>
        <w:rPr>
          <w:shd w:val="clear" w:color="auto" w:fill="ffffff"/>
          <w:rtl w:val="0"/>
          <w:lang w:val="en-US"/>
        </w:rPr>
        <w:t xml:space="preserve">where </w:t>
      </w:r>
      <w:r>
        <w:rPr>
          <w:i w:val="1"/>
          <w:iCs w:val="1"/>
          <w:shd w:val="clear" w:color="auto" w:fill="ffffff"/>
          <w:rtl w:val="0"/>
          <w:lang w:val="en-US"/>
        </w:rPr>
        <w:t>keftiu</w:t>
      </w:r>
      <w:r>
        <w:rPr>
          <w:shd w:val="clear" w:color="auto" w:fill="ffffff"/>
          <w:rtl w:val="0"/>
          <w:lang w:val="en-US"/>
        </w:rPr>
        <w:t xml:space="preserve"> ships were documented to have reached, would</w:t>
      </w:r>
      <w:r>
        <w:rPr>
          <w:shd w:val="clear" w:color="auto" w:fill="ffffff"/>
          <w:rtl w:val="0"/>
          <w:lang w:val="pt-PT"/>
        </w:rPr>
        <w:t xml:space="preserve"> </w:t>
      </w:r>
      <w:r>
        <w:rPr>
          <w:shd w:val="clear" w:color="auto" w:fill="ffffff"/>
          <w:rtl w:val="0"/>
          <w:lang w:val="en-US"/>
        </w:rPr>
        <w:t xml:space="preserve">have </w:t>
      </w:r>
      <w:r>
        <w:rPr>
          <w:shd w:val="clear" w:color="auto" w:fill="ffffff"/>
          <w:rtl w:val="0"/>
          <w:lang w:val="pt-PT"/>
        </w:rPr>
        <w:t xml:space="preserve">received large influxes of </w:t>
      </w:r>
      <w:r>
        <w:rPr>
          <w:shd w:val="clear" w:color="auto" w:fill="ffffff"/>
          <w:rtl w:val="0"/>
          <w:lang w:val="en-US"/>
        </w:rPr>
        <w:t>non-Egyptian immigrants or tradesmen selling their imported wares</w:t>
      </w:r>
      <w:r>
        <w:rPr>
          <w:shd w:val="clear" w:color="auto" w:fill="ffffff"/>
          <w:rtl w:val="0"/>
          <w:lang w:val="pt-PT"/>
        </w:rPr>
        <w:t>.</w:t>
      </w:r>
      <w:r>
        <w:rPr>
          <w:rFonts w:ascii="Times New Roman" w:cs="Times New Roman" w:hAnsi="Times New Roman" w:eastAsia="Times New Roman"/>
          <w:b w:val="0"/>
          <w:bCs w:val="0"/>
          <w:i w:val="0"/>
          <w:iCs w:val="0"/>
          <w:shd w:val="clear" w:color="auto" w:fill="ffffff"/>
          <w:vertAlign w:val="superscript"/>
        </w:rPr>
        <w:footnoteReference w:id="262"/>
      </w:r>
    </w:p>
    <w:p>
      <w:pPr>
        <w:pStyle w:val="Body A"/>
      </w:pPr>
      <w:r>
        <w:rPr>
          <w:shd w:val="clear" w:color="auto" w:fill="ffffff"/>
          <w:rtl w:val="0"/>
          <w:lang w:val="en-US"/>
        </w:rPr>
        <w:t>While there is some debate as to the founding date of the Zakros Palace, Platon has suggested there was a Middle Minoan palace below the New Palace with a larger courtyard, similar to what occurred at Malia and Knossos.</w:t>
      </w:r>
      <w:r>
        <w:rPr>
          <w:rFonts w:ascii="Times New Roman" w:cs="Times New Roman" w:hAnsi="Times New Roman" w:eastAsia="Times New Roman"/>
          <w:b w:val="0"/>
          <w:bCs w:val="0"/>
          <w:i w:val="0"/>
          <w:iCs w:val="0"/>
          <w:shd w:val="clear" w:color="auto" w:fill="ffffff"/>
          <w:vertAlign w:val="superscript"/>
        </w:rPr>
        <w:footnoteReference w:id="263"/>
      </w:r>
      <w:r>
        <w:rPr>
          <w:shd w:val="clear" w:color="auto" w:fill="ffffff"/>
          <w:rtl w:val="0"/>
          <w:lang w:val="en-US"/>
        </w:rPr>
        <w:t xml:space="preserve"> During the New Palace period, the orientation of the palace was well served by both </w:t>
      </w:r>
      <w:r>
        <w:rPr>
          <w:shd w:val="clear" w:color="auto" w:fill="ffffff"/>
          <w:rtl w:val="0"/>
          <w:lang w:val="it-IT"/>
        </w:rPr>
        <w:t>Castor</w:t>
      </w:r>
      <w:r>
        <w:rPr>
          <w:shd w:val="clear" w:color="auto" w:fill="ffffff"/>
          <w:rtl w:val="0"/>
          <w:lang w:val="en-US"/>
        </w:rPr>
        <w:t xml:space="preserve"> (</w:t>
      </w:r>
      <w:r>
        <w:rPr>
          <w:shd w:val="clear" w:color="auto" w:fill="ffffff"/>
          <w:rtl w:val="0"/>
        </w:rPr>
        <w:t xml:space="preserve">α </w:t>
      </w:r>
      <w:r>
        <w:rPr>
          <w:shd w:val="clear" w:color="auto" w:fill="ffffff"/>
          <w:rtl w:val="0"/>
          <w:lang w:val="de-DE"/>
        </w:rPr>
        <w:t>Gem</w:t>
      </w:r>
      <w:r>
        <w:rPr>
          <w:shd w:val="clear" w:color="auto" w:fill="ffffff"/>
          <w:rtl w:val="0"/>
          <w:lang w:val="en-US"/>
        </w:rPr>
        <w:t>inorem</w:t>
      </w:r>
      <w:r>
        <w:rPr>
          <w:shd w:val="clear" w:color="auto" w:fill="ffffff"/>
          <w:rtl w:val="0"/>
        </w:rPr>
        <w:t>)</w:t>
      </w:r>
      <w:r>
        <w:rPr>
          <w:shd w:val="clear" w:color="auto" w:fill="ffffff"/>
          <w:rtl w:val="0"/>
          <w:lang w:val="en-US"/>
        </w:rPr>
        <w:t xml:space="preserve"> and Mirfak (</w:t>
      </w:r>
      <w:r>
        <w:rPr>
          <w:shd w:val="clear" w:color="auto" w:fill="ffffff"/>
          <w:rtl w:val="0"/>
        </w:rPr>
        <w:t xml:space="preserve">α </w:t>
      </w:r>
      <w:r>
        <w:rPr>
          <w:shd w:val="clear" w:color="auto" w:fill="ffffff"/>
          <w:rtl w:val="0"/>
          <w:lang w:val="de-DE"/>
        </w:rPr>
        <w:t>Per</w:t>
      </w:r>
      <w:r>
        <w:rPr>
          <w:shd w:val="clear" w:color="auto" w:fill="ffffff"/>
          <w:rtl w:val="0"/>
          <w:lang w:val="en-US"/>
        </w:rPr>
        <w:t xml:space="preserve">sei) setting (Fig. 27). A Middle Minoan date for the Zakros courtyard would coincide with the upper limit of the foundation date for Pelusium during the Middle Kingdom (Fig. 27). If the orientation of the Middle Minoan courtyard can be presumed to have stayed the same, then at its founding, Zakros could have been precisely aligned to a star path guided by </w:t>
      </w:r>
      <w:r>
        <w:rPr>
          <w:shd w:val="clear" w:color="auto" w:fill="ffffff"/>
          <w:rtl w:val="0"/>
          <w:lang w:val="da-DK"/>
        </w:rPr>
        <w:t>Arneb</w:t>
      </w:r>
      <w:r>
        <w:rPr>
          <w:shd w:val="clear" w:color="auto" w:fill="ffffff"/>
          <w:rtl w:val="0"/>
          <w:lang w:val="en-US"/>
        </w:rPr>
        <w:t xml:space="preserve"> (</w:t>
      </w:r>
      <w:r>
        <w:rPr>
          <w:shd w:val="clear" w:color="auto" w:fill="ffffff"/>
          <w:rtl w:val="0"/>
        </w:rPr>
        <w:t>α </w:t>
      </w:r>
      <w:r>
        <w:rPr>
          <w:shd w:val="clear" w:color="auto" w:fill="ffffff"/>
          <w:rtl w:val="0"/>
        </w:rPr>
        <w:t>Lep</w:t>
      </w:r>
      <w:r>
        <w:rPr>
          <w:shd w:val="clear" w:color="auto" w:fill="ffffff"/>
          <w:rtl w:val="0"/>
          <w:lang w:val="en-US"/>
        </w:rPr>
        <w:t>orem), the brightest star in Lepus.</w:t>
      </w:r>
      <w:r>
        <w:rPr>
          <w:rFonts w:ascii="Arial Unicode MS" w:cs="Arial Unicode MS" w:hAnsi="Arial Unicode MS" w:eastAsia="Arial Unicode MS"/>
          <w:b w:val="0"/>
          <w:bCs w:val="0"/>
          <w:i w:val="0"/>
          <w:iCs w:val="0"/>
        </w:rPr>
        <w:br w:type="page"/>
      </w:r>
    </w:p>
    <w:p>
      <w:pPr>
        <w:pStyle w:val="Heading"/>
        <w:bidi w:val="0"/>
      </w:pPr>
      <w:bookmarkStart w:name="_Toc65" w:id="65"/>
      <w:r>
        <w:rPr>
          <w:rFonts w:cs="Arial Unicode MS" w:eastAsia="Arial Unicode MS"/>
          <w:rtl w:val="0"/>
          <w:lang w:val="pt-PT"/>
        </w:rPr>
        <w:t>Conclusion</w:t>
      </w:r>
      <w:bookmarkEnd w:id="65"/>
    </w:p>
    <w:p>
      <w:pPr>
        <w:pStyle w:val="Post QUOTE"/>
      </w:pPr>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The aim of this research </w:t>
      </w:r>
      <w:r>
        <w:rPr>
          <w:rFonts w:ascii="Times New Roman" w:hAnsi="Times New Roman"/>
          <w:u w:color="000000"/>
          <w:rtl w:val="0"/>
          <w:lang w:val="en-US"/>
          <w14:textOutline w14:w="12700" w14:cap="flat">
            <w14:noFill/>
            <w14:miter w14:lim="400000"/>
          </w14:textOutline>
        </w:rPr>
        <w:t>wa</w:t>
      </w:r>
      <w:r>
        <w:rPr>
          <w:rFonts w:ascii="Times New Roman" w:hAnsi="Times New Roman"/>
          <w:u w:color="000000"/>
          <w:rtl w:val="0"/>
          <w:lang w:val="en-US"/>
          <w14:textOutline w14:w="12700" w14:cap="flat">
            <w14:noFill/>
            <w14:miter w14:lim="400000"/>
          </w14:textOutline>
        </w:rPr>
        <w:t xml:space="preserve">s to investigate if </w:t>
      </w:r>
      <w:r>
        <w:rPr>
          <w:rFonts w:ascii="Times New Roman" w:hAnsi="Times New Roman"/>
          <w:u w:color="000000"/>
          <w:rtl w:val="0"/>
          <w:lang w:val="en-US"/>
          <w14:textOutline w14:w="12700" w14:cap="flat">
            <w14:noFill/>
            <w14:miter w14:lim="400000"/>
          </w14:textOutline>
        </w:rPr>
        <w:t xml:space="preserve">the </w:t>
      </w:r>
      <w:r>
        <w:rPr>
          <w:rFonts w:ascii="Times New Roman" w:hAnsi="Times New Roman"/>
          <w:u w:color="000000"/>
          <w:rtl w:val="0"/>
          <w:lang w:val="en-US"/>
          <w14:textOutline w14:w="12700" w14:cap="flat">
            <w14:noFill/>
            <w14:miter w14:lim="400000"/>
          </w14:textOutline>
        </w:rPr>
        <w:t xml:space="preserve">short axis of Minoan palace courtyards were oriented toward star paths aimed </w:t>
      </w:r>
      <w:r>
        <w:rPr>
          <w:rFonts w:ascii="Times New Roman" w:hAnsi="Times New Roman"/>
          <w:u w:color="000000"/>
          <w:rtl w:val="0"/>
          <w:lang w:val="en-US"/>
          <w14:textOutline w14:w="12700" w14:cap="flat">
            <w14:noFill/>
            <w14:miter w14:lim="400000"/>
          </w14:textOutline>
        </w:rPr>
        <w:t>at</w:t>
      </w:r>
      <w:r>
        <w:rPr>
          <w:rFonts w:ascii="Times New Roman" w:hAnsi="Times New Roman"/>
          <w:u w:color="000000"/>
          <w:rtl w:val="0"/>
          <w:lang w:val="en-US"/>
          <w14:textOutline w14:w="12700" w14:cap="flat">
            <w14:noFill/>
            <w14:miter w14:lim="400000"/>
          </w14:textOutline>
        </w:rPr>
        <w:t xml:space="preserve"> distant coastal emporia in the Levant and Egypt, destinations imbued with historical and commercial significance.</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The </w:t>
      </w:r>
      <w:r>
        <w:rPr>
          <w:rFonts w:ascii="Times New Roman" w:hAnsi="Times New Roman"/>
          <w:u w:color="000000"/>
          <w:rtl w:val="0"/>
          <w:lang w:val="en-US"/>
          <w14:textOutline w14:w="12700" w14:cap="flat">
            <w14:noFill/>
            <w14:miter w14:lim="400000"/>
          </w14:textOutline>
        </w:rPr>
        <w:t xml:space="preserve">evidence suggests that </w:t>
      </w:r>
      <w:r>
        <w:rPr>
          <w:rFonts w:ascii="Times New Roman" w:hAnsi="Times New Roman"/>
          <w:u w:color="000000"/>
          <w:rtl w:val="0"/>
          <w:lang w:val="en-US"/>
          <w14:textOutline w14:w="12700" w14:cap="flat">
            <w14:noFill/>
            <w14:miter w14:lim="400000"/>
          </w14:textOutline>
        </w:rPr>
        <w:t xml:space="preserve">the Minoans </w:t>
      </w:r>
      <w:r>
        <w:rPr>
          <w:rFonts w:ascii="Times New Roman" w:hAnsi="Times New Roman"/>
          <w:u w:color="000000"/>
          <w:rtl w:val="0"/>
          <w:lang w:val="en-US"/>
          <w14:textOutline w14:w="12700" w14:cap="flat">
            <w14:noFill/>
            <w14:miter w14:lim="400000"/>
          </w14:textOutline>
        </w:rPr>
        <w:t>may</w:t>
      </w:r>
      <w:r>
        <w:rPr>
          <w:rFonts w:ascii="Times New Roman" w:hAnsi="Times New Roman"/>
          <w:u w:color="000000"/>
          <w:rtl w:val="0"/>
          <w:lang w:val="en-US"/>
          <w14:textOutline w14:w="12700" w14:cap="flat">
            <w14:noFill/>
            <w14:miter w14:lim="400000"/>
          </w14:textOutline>
        </w:rPr>
        <w:t xml:space="preserve"> have relied on wayfinding methods </w:t>
      </w:r>
      <w:r>
        <w:rPr>
          <w:rFonts w:ascii="Times New Roman" w:hAnsi="Times New Roman"/>
          <w:u w:color="000000"/>
          <w:rtl w:val="0"/>
          <w:lang w:val="en-US"/>
          <w14:textOutline w14:w="12700" w14:cap="flat">
            <w14:noFill/>
            <w14:miter w14:lim="400000"/>
          </w14:textOutline>
        </w:rPr>
        <w:t>analogous to those from</w:t>
      </w:r>
      <w:r>
        <w:rPr>
          <w:rFonts w:ascii="Times New Roman" w:hAnsi="Times New Roman"/>
          <w:u w:color="000000"/>
          <w:rtl w:val="0"/>
          <w14:textOutline w14:w="12700" w14:cap="flat">
            <w14:noFill/>
            <w14:miter w14:lim="400000"/>
          </w14:textOutline>
        </w:rPr>
        <w:t xml:space="preserve"> Polynesia</w:t>
      </w:r>
      <w:r>
        <w:rPr>
          <w:rFonts w:ascii="Times New Roman" w:hAnsi="Times New Roman"/>
          <w:u w:color="000000"/>
          <w:rtl w:val="0"/>
          <w:lang w:val="en-US"/>
          <w14:textOutline w14:w="12700" w14:cap="flat">
            <w14:noFill/>
            <w14:miter w14:lim="400000"/>
          </w14:textOutline>
        </w:rPr>
        <w:t xml:space="preserve"> and Micronesia</w:t>
      </w:r>
      <w:r>
        <w:rPr>
          <w:rFonts w:ascii="Times New Roman" w:hAnsi="Times New Roman"/>
          <w:u w:color="000000"/>
          <w:rtl w:val="0"/>
          <w:lang w:val="en-US"/>
          <w14:textOutline w14:w="12700" w14:cap="flat">
            <w14:noFill/>
            <w14:miter w14:lim="400000"/>
          </w14:textOutline>
        </w:rPr>
        <w:t xml:space="preserve"> and </w:t>
      </w:r>
      <w:r>
        <w:rPr>
          <w:rFonts w:ascii="Times New Roman" w:hAnsi="Times New Roman"/>
          <w:u w:color="000000"/>
          <w:rtl w:val="0"/>
          <w:lang w:val="en-US"/>
          <w14:textOutline w14:w="12700" w14:cap="flat">
            <w14:noFill/>
            <w14:miter w14:lim="400000"/>
          </w14:textOutline>
        </w:rPr>
        <w:t>relied on</w:t>
      </w:r>
      <w:r>
        <w:rPr>
          <w:rFonts w:ascii="Times New Roman" w:hAnsi="Times New Roman"/>
          <w:u w:color="000000"/>
          <w:rtl w:val="0"/>
          <w:lang w:val="en-US"/>
          <w14:textOutline w14:w="12700" w14:cap="flat">
            <w14:noFill/>
            <w14:miter w14:lim="400000"/>
          </w14:textOutline>
        </w:rPr>
        <w:t xml:space="preserve"> star paths for </w:t>
      </w:r>
      <w:r>
        <w:rPr>
          <w:rFonts w:ascii="Times New Roman" w:hAnsi="Times New Roman"/>
          <w:u w:color="000000"/>
          <w:rtl w:val="0"/>
          <w:lang w:val="en-US"/>
          <w14:textOutline w14:w="12700" w14:cap="flat">
            <w14:noFill/>
            <w14:miter w14:lim="400000"/>
          </w14:textOutline>
        </w:rPr>
        <w:t xml:space="preserve">the </w:t>
      </w:r>
      <w:r>
        <w:rPr>
          <w:rFonts w:ascii="Times New Roman" w:hAnsi="Times New Roman"/>
          <w:u w:color="000000"/>
          <w:rtl w:val="0"/>
          <w:lang w:val="en-US"/>
          <w14:textOutline w14:w="12700" w14:cap="flat">
            <w14:noFill/>
            <w14:miter w14:lim="400000"/>
          </w14:textOutline>
        </w:rPr>
        <w:t>memorisation, practical use, and oral transmission</w:t>
      </w:r>
      <w:r>
        <w:rPr>
          <w:rFonts w:ascii="Times New Roman" w:hAnsi="Times New Roman"/>
          <w:u w:color="000000"/>
          <w:rtl w:val="0"/>
          <w:lang w:val="en-US"/>
          <w14:textOutline w14:w="12700" w14:cap="flat">
            <w14:noFill/>
            <w14:miter w14:lim="400000"/>
          </w14:textOutline>
        </w:rPr>
        <w:t xml:space="preserve"> of trade routes</w:t>
      </w:r>
      <w:r>
        <w:rPr>
          <w:rFonts w:ascii="Times New Roman" w:hAnsi="Times New Roman"/>
          <w:u w:color="000000"/>
          <w:rtl w:val="0"/>
          <w:lang w:val="en-US"/>
          <w14:textOutline w14:w="12700" w14:cap="flat">
            <w14:noFill/>
            <w14:miter w14:lim="400000"/>
          </w14:textOutline>
        </w:rPr>
        <w:t>. This is supported by literary evidence of star steering by classical Greek and Levantine sailors.</w:t>
      </w:r>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p>
    <w:p>
      <w:pPr>
        <w:pStyle w:val="Image A"/>
      </w:pPr>
      <w:r>
        <w:drawing xmlns:a="http://schemas.openxmlformats.org/drawingml/2006/main">
          <wp:inline distT="0" distB="0" distL="0" distR="0">
            <wp:extent cx="5943600" cy="2935017"/>
            <wp:effectExtent l="0" t="0" r="0" b="0"/>
            <wp:docPr id="1073741859" name="officeArt object" descr="Image"/>
            <wp:cNvGraphicFramePr/>
            <a:graphic xmlns:a="http://schemas.openxmlformats.org/drawingml/2006/main">
              <a:graphicData uri="http://schemas.openxmlformats.org/drawingml/2006/picture">
                <pic:pic xmlns:pic="http://schemas.openxmlformats.org/drawingml/2006/picture">
                  <pic:nvPicPr>
                    <pic:cNvPr id="1073741859" name="Image" descr="Image"/>
                    <pic:cNvPicPr>
                      <a:picLocks noChangeAspect="1"/>
                    </pic:cNvPicPr>
                  </pic:nvPicPr>
                  <pic:blipFill>
                    <a:blip r:embed="rId37">
                      <a:extLst/>
                    </a:blip>
                    <a:srcRect l="0" t="8" r="0" b="8"/>
                    <a:stretch>
                      <a:fillRect/>
                    </a:stretch>
                  </pic:blipFill>
                  <pic:spPr>
                    <a:xfrm>
                      <a:off x="0" y="0"/>
                      <a:ext cx="5943600" cy="2935017"/>
                    </a:xfrm>
                    <a:prstGeom prst="rect">
                      <a:avLst/>
                    </a:prstGeom>
                    <a:ln w="12700" cap="flat">
                      <a:noFill/>
                      <a:miter lim="400000"/>
                    </a:ln>
                    <a:effectLst/>
                  </pic:spPr>
                </pic:pic>
              </a:graphicData>
            </a:graphic>
          </wp:inline>
        </w:drawing>
      </w:r>
    </w:p>
    <w:p>
      <w:pPr>
        <w:pStyle w:val="Image Caption"/>
      </w:pPr>
      <w:bookmarkStart w:name="_Toc66" w:id="66"/>
      <w:r>
        <w:rPr>
          <w:rFonts w:cs="Arial Unicode MS" w:eastAsia="Arial Unicode MS"/>
          <w:b w:val="1"/>
          <w:bCs w:val="1"/>
          <w:rtl w:val="0"/>
          <w:lang w:val="en-US"/>
        </w:rPr>
        <w:t>Fig. 28</w:t>
      </w:r>
      <w:r>
        <w:rPr>
          <w:rFonts w:cs="Arial Unicode MS" w:eastAsia="Arial Unicode MS"/>
          <w:rtl w:val="0"/>
        </w:rPr>
        <w:t xml:space="preserve"> Map of proposed Minoan star path direct trade routes to the Levant and Egypt. </w:t>
      </w:r>
      <w:r>
        <w:rPr>
          <w:rFonts w:cs="Arial Unicode MS" w:eastAsia="Arial Unicode MS"/>
          <w:rtl w:val="0"/>
        </w:rPr>
        <w:t>Google Earth Pro.</w:t>
      </w:r>
      <w:bookmarkEnd w:id="66"/>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While </w:t>
      </w:r>
      <w:r>
        <w:rPr>
          <w:rFonts w:ascii="Times New Roman" w:hAnsi="Times New Roman"/>
          <w:u w:color="000000"/>
          <w:rtl w:val="0"/>
          <w:lang w:val="en-US"/>
          <w14:textOutline w14:w="12700" w14:cap="flat">
            <w14:noFill/>
            <w14:miter w14:lim="400000"/>
          </w14:textOutline>
        </w:rPr>
        <w:t>Shaw</w:t>
      </w:r>
      <w:r>
        <w:rPr>
          <w:rFonts w:ascii="Times New Roman" w:hAnsi="Times New Roman"/>
          <w:u w:color="000000"/>
          <w:rtl w:val="0"/>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criticised</w:t>
      </w:r>
      <w:r>
        <w:rPr>
          <w:rFonts w:ascii="Times New Roman" w:hAnsi="Times New Roman"/>
          <w:u w:color="000000"/>
          <w:rtl w:val="0"/>
          <w:lang w:val="en-US"/>
          <w14:textOutline w14:w="12700" w14:cap="flat">
            <w14:noFill/>
            <w14:miter w14:lim="400000"/>
          </w14:textOutline>
        </w:rPr>
        <w:t xml:space="preserve"> Belknap for his attempt at linking orientations of the palaces to distant locations on the coast of North Africa, modern technolog</w:t>
      </w:r>
      <w:r>
        <w:rPr>
          <w:rFonts w:ascii="Times New Roman" w:hAnsi="Times New Roman"/>
          <w:u w:color="000000"/>
          <w:rtl w:val="0"/>
          <w:lang w:val="en-US"/>
          <w14:textOutline w14:w="12700" w14:cap="flat">
            <w14:noFill/>
            <w14:miter w14:lim="400000"/>
          </w14:textOutline>
        </w:rPr>
        <w:t>ies, such as precision astronomical softwares and satellite mapping</w:t>
      </w:r>
      <w:r>
        <w:rPr>
          <w:rFonts w:ascii="Times New Roman" w:hAnsi="Times New Roman"/>
          <w:u w:color="000000"/>
          <w:rtl w:val="0"/>
          <w14:textOutline w14:w="12700" w14:cap="flat">
            <w14:noFill/>
            <w14:miter w14:lim="400000"/>
          </w14:textOutline>
        </w:rPr>
        <w:t xml:space="preserve"> ha</w:t>
      </w:r>
      <w:r>
        <w:rPr>
          <w:rFonts w:ascii="Times New Roman" w:hAnsi="Times New Roman"/>
          <w:u w:color="000000"/>
          <w:rtl w:val="0"/>
          <w:lang w:val="en-US"/>
          <w14:textOutline w14:w="12700" w14:cap="flat">
            <w14:noFill/>
            <w14:miter w14:lim="400000"/>
          </w14:textOutline>
        </w:rPr>
        <w:t>ve</w:t>
      </w:r>
      <w:r>
        <w:rPr>
          <w:rFonts w:ascii="Times New Roman" w:hAnsi="Times New Roman"/>
          <w:u w:color="000000"/>
          <w:rtl w:val="0"/>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facilitated</w:t>
      </w:r>
      <w:r>
        <w:rPr>
          <w:rFonts w:ascii="Times New Roman" w:hAnsi="Times New Roman"/>
          <w:u w:color="000000"/>
          <w:rtl w:val="0"/>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more accurate archaeoastronomical analysis</w:t>
      </w:r>
      <w:r>
        <w:rPr>
          <w:rFonts w:ascii="Times New Roman" w:hAnsi="Times New Roman"/>
          <w:u w:color="000000"/>
          <w:rtl w:val="0"/>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With these advances, a</w:t>
      </w:r>
      <w:r>
        <w:rPr>
          <w:rFonts w:ascii="Times New Roman" w:hAnsi="Times New Roman"/>
          <w:u w:color="000000"/>
          <w:rtl w:val="0"/>
          <w:lang w:val="en-US"/>
          <w14:textOutline w14:w="12700" w14:cap="flat">
            <w14:noFill/>
            <w14:miter w14:lim="400000"/>
          </w14:textOutline>
        </w:rPr>
        <w:t xml:space="preserve"> new methodology was devised </w:t>
      </w:r>
      <w:r>
        <w:rPr>
          <w:rFonts w:ascii="Times New Roman" w:hAnsi="Times New Roman"/>
          <w:u w:color="000000"/>
          <w:rtl w:val="0"/>
          <w:lang w:val="en-US"/>
          <w14:textOutline w14:w="12700" w14:cap="flat">
            <w14:noFill/>
            <w14:miter w14:lim="400000"/>
          </w14:textOutline>
        </w:rPr>
        <w:t>that synthesises</w:t>
      </w:r>
      <w:r>
        <w:rPr>
          <w:rFonts w:ascii="Times New Roman" w:hAnsi="Times New Roman"/>
          <w:u w:color="000000"/>
          <w:rtl w:val="0"/>
          <w:lang w:val="fr-FR"/>
          <w14:textOutline w14:w="12700" w14:cap="flat">
            <w14:noFill/>
            <w14:miter w14:lim="400000"/>
          </w14:textOutline>
        </w:rPr>
        <w:t xml:space="preserve"> traditional </w:t>
      </w:r>
      <w:r>
        <w:rPr>
          <w:rFonts w:ascii="Times New Roman" w:hAnsi="Times New Roman"/>
          <w:u w:color="000000"/>
          <w:rtl w:val="0"/>
          <w:lang w:val="en-US"/>
          <w14:textOutline w14:w="12700" w14:cap="flat">
            <w14:noFill/>
            <w14:miter w14:lim="400000"/>
          </w14:textOutline>
        </w:rPr>
        <w:t>skyscape archaeology</w:t>
      </w:r>
      <w:r>
        <w:rPr>
          <w:rFonts w:ascii="Times New Roman" w:hAnsi="Times New Roman"/>
          <w:u w:color="000000"/>
          <w:rtl w:val="0"/>
          <w:lang w:val="en-US"/>
          <w14:textOutline w14:w="12700" w14:cap="flat">
            <w14:noFill/>
            <w14:miter w14:lim="400000"/>
          </w14:textOutline>
        </w:rPr>
        <w:t xml:space="preserve"> fieldwork and measurements with virtual </w:t>
      </w:r>
      <w:r>
        <w:rPr>
          <w:rFonts w:ascii="Times New Roman" w:hAnsi="Times New Roman"/>
          <w:u w:color="000000"/>
          <w:rtl w:val="0"/>
          <w:lang w:val="en-US"/>
          <w14:textOutline w14:w="12700" w14:cap="flat">
            <w14:noFill/>
            <w14:miter w14:lim="400000"/>
          </w14:textOutline>
        </w:rPr>
        <w:t>fieldwork centred</w:t>
      </w:r>
      <w:r>
        <w:rPr>
          <w:rFonts w:ascii="Times New Roman" w:hAnsi="Times New Roman"/>
          <w:u w:color="000000"/>
          <w:rtl w:val="0"/>
          <w:lang w:val="en-US"/>
          <w14:textOutline w14:w="12700" w14:cap="flat">
            <w14:noFill/>
            <w14:miter w14:lim="400000"/>
          </w14:textOutline>
        </w:rPr>
        <w:t xml:space="preserve"> on astronautical orientations along rhumb lines.</w:t>
      </w:r>
      <w:r>
        <w:rPr>
          <w:rFonts w:ascii="Times New Roman" w:hAnsi="Times New Roman"/>
          <w:i w:val="1"/>
          <w:iCs w:val="1"/>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The results appear to indicate, beyond apparent coincidence, the use of bright primary stars </w:t>
      </w:r>
      <w:r>
        <w:rPr>
          <w:rFonts w:ascii="Times New Roman" w:hAnsi="Times New Roman"/>
          <w:u w:color="000000"/>
          <w:rtl w:val="0"/>
          <w:lang w:val="en-US"/>
          <w14:textOutline w14:w="12700" w14:cap="flat">
            <w14:noFill/>
            <w14:miter w14:lim="400000"/>
          </w14:textOutline>
        </w:rPr>
        <w:t>as guides toward</w:t>
      </w:r>
      <w:r>
        <w:rPr>
          <w:rFonts w:ascii="Times New Roman" w:hAnsi="Times New Roman"/>
          <w:u w:color="000000"/>
          <w:rtl w:val="0"/>
          <w:lang w:val="en-US"/>
          <w14:textOutline w14:w="12700" w14:cap="flat">
            <w14:noFill/>
            <w14:miter w14:lim="400000"/>
          </w14:textOutline>
        </w:rPr>
        <w:t xml:space="preserve"> the </w:t>
      </w:r>
      <w:r>
        <w:rPr>
          <w:rFonts w:ascii="Times New Roman" w:hAnsi="Times New Roman"/>
          <w:u w:color="000000"/>
          <w:rtl w:val="0"/>
          <w:lang w:val="en-US"/>
          <w14:textOutline w14:w="12700" w14:cap="flat">
            <w14:noFill/>
            <w14:miter w14:lim="400000"/>
          </w14:textOutline>
        </w:rPr>
        <w:t>busiest</w:t>
      </w:r>
      <w:r>
        <w:rPr>
          <w:rFonts w:ascii="Times New Roman" w:hAnsi="Times New Roman"/>
          <w:u w:color="000000"/>
          <w:rtl w:val="0"/>
          <w:lang w:val="en-US"/>
          <w14:textOutline w14:w="12700" w14:cap="flat">
            <w14:noFill/>
            <w14:miter w14:lim="400000"/>
          </w14:textOutline>
        </w:rPr>
        <w:t xml:space="preserve"> ports on the Eastern Mediterranean</w:t>
      </w:r>
      <w:r>
        <w:rPr>
          <w:rFonts w:ascii="Times New Roman" w:hAnsi="Times New Roman"/>
          <w:u w:color="000000"/>
          <w:rtl w:val="0"/>
          <w:lang w:val="en-US"/>
          <w14:textOutline w14:w="12700" w14:cap="flat">
            <w14:noFill/>
            <w14:miter w14:lim="400000"/>
          </w14:textOutline>
        </w:rPr>
        <w:t xml:space="preserve"> </w:t>
      </w:r>
      <w:r>
        <w:rPr>
          <w:rFonts w:ascii="Times New Roman" w:hAnsi="Times New Roman"/>
          <w:u w:color="000000"/>
          <w:rtl w:val="0"/>
          <w14:textOutline w14:w="12700" w14:cap="flat">
            <w14:noFill/>
            <w14:miter w14:lim="400000"/>
          </w14:textOutline>
        </w:rPr>
        <w:t xml:space="preserve">(Fig. 28). </w:t>
      </w:r>
      <w:r>
        <w:rPr>
          <w:rFonts w:ascii="Times New Roman" w:hAnsi="Times New Roman"/>
          <w:u w:color="000000"/>
          <w:rtl w:val="0"/>
          <w:lang w:val="en-US"/>
          <w14:textOutline w14:w="12700" w14:cap="flat">
            <w14:noFill/>
            <w14:miter w14:lim="400000"/>
          </w14:textOutline>
        </w:rPr>
        <w:t xml:space="preserve">It can be observed then that the rhumb lines appear to follow the brightest stars of their respective Greek constellations (Fig. 17). </w:t>
      </w:r>
      <w:r>
        <w:rPr>
          <w:rFonts w:ascii="Times New Roman" w:hAnsi="Times New Roman"/>
          <w:u w:color="000000"/>
          <w:rtl w:val="0"/>
          <w:lang w:val="en-US"/>
          <w14:textOutline w14:w="12700" w14:cap="flat">
            <w14:noFill/>
            <w14:miter w14:lim="400000"/>
          </w14:textOutline>
        </w:rPr>
        <w:t>The results also take into account the earth</w:t>
      </w:r>
      <w:r>
        <w:rPr>
          <w:rFonts w:ascii="Times New Roman" w:hAnsi="Times New Roman" w:hint="default"/>
          <w:u w:color="000000"/>
          <w:rtl w:val="1"/>
          <w14:textOutline w14:w="12700" w14:cap="flat">
            <w14:noFill/>
            <w14:miter w14:lim="400000"/>
          </w14:textOutline>
        </w:rPr>
        <w:t>’</w:t>
      </w:r>
      <w:r>
        <w:rPr>
          <w:rFonts w:ascii="Times New Roman" w:hAnsi="Times New Roman"/>
          <w:u w:color="000000"/>
          <w:rtl w:val="0"/>
          <w:lang w:val="en-US"/>
          <w14:textOutline w14:w="12700" w14:cap="flat">
            <w14:noFill/>
            <w14:miter w14:lim="400000"/>
          </w14:textOutline>
        </w:rPr>
        <w:t>s axial precession and suggests the possibility, which should be further investigated, that progressive re-orienting of the palaces may have been in accordance with realignments to the slow-changing star paths, the economic flourishing of port cities, and other geo-political factors.</w:t>
      </w:r>
    </w:p>
    <w:p>
      <w:pPr>
        <w:pStyle w:val="Default"/>
        <w:bidi w:val="0"/>
        <w:spacing w:before="0" w:line="360" w:lineRule="auto"/>
        <w:ind w:left="0" w:right="0" w:firstLine="540"/>
        <w:jc w:val="left"/>
        <w:rPr>
          <w:rFonts w:ascii="Times New Roman" w:cs="Times New Roman" w:hAnsi="Times New Roman" w:eastAsia="Times New Roman"/>
          <w:u w:color="000000"/>
          <w:rtl w:val="0"/>
          <w14:textOutline w14:w="12700" w14:cap="flat">
            <w14:noFill/>
            <w14:miter w14:lim="400000"/>
          </w14:textOutline>
        </w:rPr>
      </w:pPr>
      <w:r>
        <w:rPr>
          <w:rFonts w:ascii="Times New Roman" w:hAnsi="Times New Roman"/>
          <w:u w:color="000000"/>
          <w:rtl w:val="0"/>
          <w:lang w:val="en-US"/>
          <w14:textOutline w14:w="12700" w14:cap="flat">
            <w14:noFill/>
            <w14:miter w14:lim="400000"/>
          </w14:textOutline>
        </w:rPr>
        <w:t xml:space="preserve">Astral mythology, handed down by the ancient Greeks, may have been created to preserve and teach the trade routes, perhaps similar to the tales told in Polynesia and Micronesia by master sailors to instruct and help students memorise journeys. Would-be Minoan navigators could be taught about the star paths within palace buildings, similar to the </w:t>
      </w:r>
      <w:r>
        <w:rPr>
          <w:rFonts w:ascii="Times New Roman" w:hAnsi="Times New Roman"/>
          <w:i w:val="1"/>
          <w:iCs w:val="1"/>
          <w:u w:color="000000"/>
          <w:rtl w:val="0"/>
          <w:lang w:val="en-US"/>
          <w14:textOutline w14:w="12700" w14:cap="flat">
            <w14:noFill/>
            <w14:miter w14:lim="400000"/>
          </w14:textOutline>
        </w:rPr>
        <w:t>maneabas</w:t>
      </w:r>
      <w:r>
        <w:rPr>
          <w:rFonts w:ascii="Times New Roman" w:hAnsi="Times New Roman"/>
          <w:u w:color="000000"/>
          <w:rtl w:val="0"/>
          <w:lang w:val="en-US"/>
          <w14:textOutline w14:w="12700" w14:cap="flat">
            <w14:noFill/>
            <w14:miter w14:lim="400000"/>
          </w14:textOutline>
        </w:rPr>
        <w:t xml:space="preserve">, without direct sight lines to the stars on the horizon, or on peak sanctuaries. Like the navigation stone of Aurorae Islands or the Hawaiian </w:t>
      </w:r>
      <w:r>
        <w:rPr>
          <w:rFonts w:ascii="Times New Roman" w:hAnsi="Times New Roman"/>
          <w:i w:val="1"/>
          <w:iCs w:val="1"/>
          <w:u w:color="000000"/>
          <w:rtl w:val="0"/>
          <w:lang w:val="en-US"/>
          <w14:textOutline w14:w="12700" w14:cap="flat">
            <w14:noFill/>
            <w14:miter w14:lim="400000"/>
          </w14:textOutline>
        </w:rPr>
        <w:t>heiau</w:t>
      </w:r>
      <w:r>
        <w:rPr>
          <w:rFonts w:ascii="Times New Roman" w:hAnsi="Times New Roman"/>
          <w:u w:color="000000"/>
          <w:rtl w:val="0"/>
          <w:lang w:val="en-US"/>
          <w14:textOutline w14:w="12700" w14:cap="flat">
            <w14:noFill/>
            <w14:miter w14:lim="400000"/>
          </w14:textOutline>
        </w:rPr>
        <w:t xml:space="preserve"> system, the orientations of the palace courtyards may have pointed to important destinations across the ocean, perhaps as </w:t>
      </w:r>
      <w:r>
        <w:rPr>
          <w:rFonts w:ascii="Times New Roman" w:hAnsi="Times New Roman"/>
          <w:i w:val="1"/>
          <w:iCs w:val="1"/>
          <w:u w:color="000000"/>
          <w:rtl w:val="0"/>
          <w:lang w:val="en-US"/>
          <w14:textOutline w14:w="12700" w14:cap="flat">
            <w14:noFill/>
            <w14:miter w14:lim="400000"/>
          </w14:textOutline>
        </w:rPr>
        <w:t>aides-memoire</w:t>
      </w:r>
      <w:r>
        <w:rPr>
          <w:rFonts w:ascii="Times New Roman" w:hAnsi="Times New Roman"/>
          <w:u w:color="000000"/>
          <w:rtl w:val="0"/>
          <w:lang w:val="en-US"/>
          <w14:textOutline w14:w="12700" w14:cap="flat">
            <w14:noFill/>
            <w14:miter w14:lim="400000"/>
          </w14:textOutline>
        </w:rPr>
        <w:t xml:space="preserve"> or</w:t>
      </w:r>
      <w:r>
        <w:rPr>
          <w:rFonts w:ascii="Times New Roman" w:hAnsi="Times New Roman"/>
          <w:i w:val="1"/>
          <w:iCs w:val="1"/>
          <w:u w:color="000000"/>
          <w:rtl w:val="0"/>
          <w:lang w:val="en-US"/>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 xml:space="preserve">educational tools. </w:t>
      </w:r>
      <w:r>
        <w:rPr>
          <w:rFonts w:ascii="Times New Roman" w:hAnsi="Times New Roman"/>
          <w:u w:color="000000"/>
          <w:rtl w:val="0"/>
          <w:lang w:val="en-US"/>
          <w14:textOutline w14:w="12700" w14:cap="flat">
            <w14:noFill/>
            <w14:miter w14:lim="400000"/>
          </w14:textOutline>
        </w:rPr>
        <w:t>Mythological evidence may support the existence of some of these star path rhumb lines, such as the navigation via Spica toward Sidon, where Zeus abducted Europa.</w:t>
      </w:r>
    </w:p>
    <w:p>
      <w:pPr>
        <w:pStyle w:val="Default"/>
        <w:bidi w:val="0"/>
        <w:spacing w:before="0" w:line="360" w:lineRule="auto"/>
        <w:ind w:left="0" w:right="0" w:firstLine="540"/>
        <w:jc w:val="left"/>
        <w:rPr>
          <w:rtl w:val="0"/>
        </w:rPr>
      </w:pPr>
      <w:r>
        <w:rPr>
          <w:rFonts w:ascii="Times New Roman" w:hAnsi="Times New Roman"/>
          <w:u w:color="000000"/>
          <w:rtl w:val="0"/>
          <w:lang w:val="en-US"/>
          <w14:textOutline w14:w="12700" w14:cap="flat">
            <w14:noFill/>
            <w14:miter w14:lim="400000"/>
          </w14:textOutline>
        </w:rPr>
        <w:t xml:space="preserve">Minoan courtyards may have converged rituals associated with the rhumb line directions in the same way as celebratory processions radiated from Coricancha along the </w:t>
      </w:r>
      <w:r>
        <w:rPr>
          <w:rFonts w:ascii="Times New Roman" w:hAnsi="Times New Roman"/>
          <w:i w:val="1"/>
          <w:iCs w:val="1"/>
          <w:u w:color="000000"/>
          <w:rtl w:val="0"/>
          <w:lang w:val="en-US"/>
          <w14:textOutline w14:w="12700" w14:cap="flat">
            <w14:noFill/>
            <w14:miter w14:lim="400000"/>
          </w14:textOutline>
        </w:rPr>
        <w:t>ceque</w:t>
      </w:r>
      <w:r>
        <w:rPr>
          <w:rFonts w:ascii="Times New Roman" w:hAnsi="Times New Roman"/>
          <w:u w:color="000000"/>
          <w:rtl w:val="0"/>
          <w:lang w:val="en-US"/>
          <w14:textOutline w14:w="12700" w14:cap="flat">
            <w14:noFill/>
            <w14:miter w14:lim="400000"/>
          </w14:textOutline>
        </w:rPr>
        <w:t xml:space="preserve"> paths. Thus, the palace courtyard acted as the economic, cultic, and astronautical heart of Minoan culture, embedding long-distance navigational knowledge </w:t>
      </w:r>
      <w:r>
        <w:rPr>
          <w:rFonts w:ascii="Times New Roman" w:hAnsi="Times New Roman"/>
          <w:u w:color="000000"/>
          <w:rtl w:val="0"/>
          <w:lang w:val="en-US"/>
          <w14:textOutline w14:w="12700" w14:cap="flat">
            <w14:noFill/>
            <w14:miter w14:lim="400000"/>
          </w14:textOutline>
        </w:rPr>
        <w:t xml:space="preserve">within </w:t>
      </w:r>
      <w:r>
        <w:rPr>
          <w:rFonts w:ascii="Times New Roman" w:hAnsi="Times New Roman"/>
          <w:u w:color="000000"/>
          <w:rtl w:val="0"/>
          <w:lang w:val="en-US"/>
          <w14:textOutline w14:w="12700" w14:cap="flat">
            <w14:noFill/>
            <w14:miter w14:lim="400000"/>
          </w14:textOutline>
        </w:rPr>
        <w:t>its</w:t>
      </w:r>
      <w:r>
        <w:rPr>
          <w:rFonts w:ascii="Times New Roman" w:hAnsi="Times New Roman"/>
          <w:u w:color="000000"/>
          <w:rtl w:val="0"/>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axial</w:t>
      </w:r>
      <w:r>
        <w:rPr>
          <w:rFonts w:ascii="Times New Roman" w:hAnsi="Times New Roman"/>
          <w:u w:color="000000"/>
          <w:rtl w:val="0"/>
          <w14:textOutline w14:w="12700" w14:cap="flat">
            <w14:noFill/>
            <w14:miter w14:lim="400000"/>
          </w14:textOutline>
        </w:rPr>
        <w:t xml:space="preserve"> </w:t>
      </w:r>
      <w:r>
        <w:rPr>
          <w:rFonts w:ascii="Times New Roman" w:hAnsi="Times New Roman"/>
          <w:u w:color="000000"/>
          <w:rtl w:val="0"/>
          <w:lang w:val="en-US"/>
          <w14:textOutline w14:w="12700" w14:cap="flat">
            <w14:noFill/>
            <w14:miter w14:lim="400000"/>
          </w14:textOutline>
        </w:rPr>
        <w:t>space and synthesising</w:t>
      </w:r>
      <w:r>
        <w:rPr>
          <w:rFonts w:ascii="Times New Roman" w:hAnsi="Times New Roman"/>
          <w:u w:color="000000"/>
          <w:rtl w:val="0"/>
          <w:lang w:val="en-US"/>
          <w14:textOutline w14:w="12700" w14:cap="flat">
            <w14:noFill/>
            <w14:miter w14:lim="400000"/>
          </w14:textOutline>
        </w:rPr>
        <w:t xml:space="preserve"> landscape, seascape, and skyscape</w:t>
      </w:r>
      <w:r>
        <w:rPr>
          <w:rFonts w:ascii="Times New Roman" w:hAnsi="Times New Roman"/>
          <w:u w:color="000000"/>
          <w:rtl w:val="0"/>
          <w:lang w:val="en-US"/>
          <w14:textOutline w14:w="12700" w14:cap="flat">
            <w14:noFill/>
            <w14:miter w14:lim="400000"/>
          </w14:textOutline>
        </w:rPr>
        <w:t>. F</w:t>
      </w:r>
      <w:r>
        <w:rPr>
          <w:rFonts w:ascii="Times New Roman" w:hAnsi="Times New Roman"/>
          <w:u w:color="000000"/>
          <w:rtl w:val="0"/>
          <w:lang w:val="en-US"/>
          <w14:textOutline w14:w="12700" w14:cap="flat">
            <w14:noFill/>
            <w14:miter w14:lim="400000"/>
          </w14:textOutline>
        </w:rPr>
        <w:t xml:space="preserve">uture research </w:t>
      </w:r>
      <w:r>
        <w:rPr>
          <w:rFonts w:ascii="Times New Roman" w:hAnsi="Times New Roman"/>
          <w:u w:color="000000"/>
          <w:rtl w:val="0"/>
          <w:lang w:val="en-US"/>
          <w14:textOutline w14:w="12700" w14:cap="flat">
            <w14:noFill/>
            <w14:miter w14:lim="400000"/>
          </w14:textOutline>
        </w:rPr>
        <w:t>will investigate mythological and linguistic considerations alongside with measurements of the smaller palaces of Minoan Crete.</w:t>
      </w:r>
      <w:r>
        <w:rPr>
          <w:rFonts w:ascii="Arial Unicode MS" w:cs="Arial Unicode MS" w:hAnsi="Arial Unicode MS" w:eastAsia="Arial Unicode MS"/>
          <w:b w:val="0"/>
          <w:bCs w:val="0"/>
          <w:i w:val="0"/>
          <w:iCs w:val="0"/>
          <w:u w:color="000000"/>
          <w:rtl w:val="0"/>
          <w14:textOutline w14:w="12700" w14:cap="flat">
            <w14:noFill/>
            <w14:miter w14:lim="400000"/>
          </w14:textOutline>
        </w:rPr>
        <w:br w:type="page"/>
      </w:r>
    </w:p>
    <w:p>
      <w:pPr>
        <w:pStyle w:val="Heading Reg"/>
      </w:pPr>
      <w:bookmarkStart w:name="_Toc67" w:id="67"/>
      <w:r>
        <w:rPr>
          <w:rFonts w:cs="Arial Unicode MS" w:eastAsia="Arial Unicode MS"/>
          <w:rtl w:val="0"/>
          <w:lang w:val="en-US"/>
        </w:rPr>
        <w:t>Appendix</w:t>
      </w:r>
      <w:bookmarkEnd w:id="67"/>
    </w:p>
    <w:p>
      <w:pPr>
        <w:pStyle w:val="Image Caption"/>
      </w:pPr>
    </w:p>
    <w:p>
      <w:pPr>
        <w:pStyle w:val="Image Caption"/>
      </w:pPr>
    </w:p>
    <w:p>
      <w:pPr>
        <w:pStyle w:val="Image Caption"/>
      </w:pPr>
      <w:r>
        <w:drawing xmlns:a="http://schemas.openxmlformats.org/drawingml/2006/main">
          <wp:inline distT="0" distB="0" distL="0" distR="0">
            <wp:extent cx="3350796" cy="2491522"/>
            <wp:effectExtent l="0" t="0" r="0" b="0"/>
            <wp:docPr id="1073741860" name="officeArt object" descr="Image"/>
            <wp:cNvGraphicFramePr/>
            <a:graphic xmlns:a="http://schemas.openxmlformats.org/drawingml/2006/main">
              <a:graphicData uri="http://schemas.openxmlformats.org/drawingml/2006/picture">
                <pic:pic xmlns:pic="http://schemas.openxmlformats.org/drawingml/2006/picture">
                  <pic:nvPicPr>
                    <pic:cNvPr id="1073741860" name="Image" descr="Image"/>
                    <pic:cNvPicPr>
                      <a:picLocks noChangeAspect="1"/>
                    </pic:cNvPicPr>
                  </pic:nvPicPr>
                  <pic:blipFill>
                    <a:blip r:embed="rId38">
                      <a:extLst/>
                    </a:blip>
                    <a:srcRect l="0" t="34" r="0" b="34"/>
                    <a:stretch>
                      <a:fillRect/>
                    </a:stretch>
                  </pic:blipFill>
                  <pic:spPr>
                    <a:xfrm>
                      <a:off x="0" y="0"/>
                      <a:ext cx="3350796" cy="2491522"/>
                    </a:xfrm>
                    <a:prstGeom prst="rect">
                      <a:avLst/>
                    </a:prstGeom>
                    <a:ln w="12700" cap="flat">
                      <a:noFill/>
                      <a:miter lim="400000"/>
                    </a:ln>
                    <a:effectLst/>
                  </pic:spPr>
                </pic:pic>
              </a:graphicData>
            </a:graphic>
          </wp:inline>
        </w:drawing>
      </w:r>
      <w:r>
        <w:drawing xmlns:a="http://schemas.openxmlformats.org/drawingml/2006/main">
          <wp:inline distT="0" distB="0" distL="0" distR="0">
            <wp:extent cx="1214413" cy="518285"/>
            <wp:effectExtent l="0" t="0" r="0" b="0"/>
            <wp:docPr id="1073741861" name="officeArt object" descr="Image"/>
            <wp:cNvGraphicFramePr/>
            <a:graphic xmlns:a="http://schemas.openxmlformats.org/drawingml/2006/main">
              <a:graphicData uri="http://schemas.openxmlformats.org/drawingml/2006/picture">
                <pic:pic xmlns:pic="http://schemas.openxmlformats.org/drawingml/2006/picture">
                  <pic:nvPicPr>
                    <pic:cNvPr id="1073741861" name="Image" descr="Image"/>
                    <pic:cNvPicPr>
                      <a:picLocks noChangeAspect="1"/>
                    </pic:cNvPicPr>
                  </pic:nvPicPr>
                  <pic:blipFill>
                    <a:blip r:embed="rId22">
                      <a:extLst/>
                    </a:blip>
                    <a:stretch>
                      <a:fillRect/>
                    </a:stretch>
                  </pic:blipFill>
                  <pic:spPr>
                    <a:xfrm>
                      <a:off x="0" y="0"/>
                      <a:ext cx="1214413" cy="518285"/>
                    </a:xfrm>
                    <a:prstGeom prst="rect">
                      <a:avLst/>
                    </a:prstGeom>
                    <a:ln w="12700" cap="flat">
                      <a:noFill/>
                      <a:miter lim="400000"/>
                    </a:ln>
                    <a:effectLst/>
                  </pic:spPr>
                </pic:pic>
              </a:graphicData>
            </a:graphic>
          </wp:inline>
        </w:drawing>
      </w:r>
    </w:p>
    <w:p>
      <w:pPr>
        <w:pStyle w:val="Image Caption"/>
        <w:jc w:val="right"/>
      </w:pPr>
    </w:p>
    <w:p>
      <w:pPr>
        <w:pStyle w:val="Image Caption"/>
      </w:pPr>
      <w:bookmarkStart w:name="_Toc68" w:id="68"/>
      <w:r>
        <w:rPr>
          <w:rFonts w:cs="Arial Unicode MS" w:eastAsia="Arial Unicode MS"/>
          <w:b w:val="1"/>
          <w:bCs w:val="1"/>
          <w:rtl w:val="0"/>
          <w:lang w:val="en-US"/>
        </w:rPr>
        <w:t>Fig. 29</w:t>
      </w:r>
      <w:r>
        <w:rPr>
          <w:rFonts w:cs="Arial Unicode MS" w:eastAsia="Arial Unicode MS"/>
          <w:rtl w:val="0"/>
        </w:rPr>
        <w:t xml:space="preserve">. </w:t>
      </w:r>
      <w:r>
        <w:rPr>
          <w:rFonts w:cs="Arial Unicode MS" w:eastAsia="Arial Unicode MS"/>
          <w:rtl w:val="0"/>
          <w:lang w:val="pt-PT"/>
        </w:rPr>
        <w:t xml:space="preserve">Zakros </w:t>
      </w:r>
      <w:r>
        <w:rPr>
          <w:rFonts w:cs="Arial Unicode MS" w:eastAsia="Arial Unicode MS"/>
          <w:rtl w:val="0"/>
        </w:rPr>
        <w:t xml:space="preserve">virtual measurement of the place courtyard. </w:t>
      </w:r>
      <w:r>
        <w:rPr>
          <w:rFonts w:cs="Arial Unicode MS" w:eastAsia="Arial Unicode MS"/>
          <w:rtl w:val="0"/>
        </w:rPr>
        <w:t>Google Earth Pro.</w:t>
      </w:r>
      <w:bookmarkEnd w:id="68"/>
    </w:p>
    <w:p>
      <w:pPr>
        <w:pStyle w:val="Image Caption"/>
      </w:pPr>
    </w:p>
    <w:p>
      <w:pPr>
        <w:pStyle w:val="Image A"/>
        <w:rPr>
          <w:rFonts w:ascii="Times New Roman" w:cs="Times New Roman" w:hAnsi="Times New Roman" w:eastAsia="Times New Roman"/>
        </w:rPr>
      </w:pPr>
      <w:r>
        <w:rPr>
          <w:rFonts w:ascii="Times New Roman" w:cs="Times New Roman" w:hAnsi="Times New Roman" w:eastAsia="Times New Roman"/>
        </w:rPr>
        <w:drawing xmlns:a="http://schemas.openxmlformats.org/drawingml/2006/main">
          <wp:inline distT="0" distB="0" distL="0" distR="0">
            <wp:extent cx="3542357" cy="3561428"/>
            <wp:effectExtent l="0" t="0" r="0" b="0"/>
            <wp:docPr id="1073741862" name="officeArt object" descr="Image"/>
            <wp:cNvGraphicFramePr/>
            <a:graphic xmlns:a="http://schemas.openxmlformats.org/drawingml/2006/main">
              <a:graphicData uri="http://schemas.openxmlformats.org/drawingml/2006/picture">
                <pic:pic xmlns:pic="http://schemas.openxmlformats.org/drawingml/2006/picture">
                  <pic:nvPicPr>
                    <pic:cNvPr id="1073741862" name="Image" descr="Image"/>
                    <pic:cNvPicPr>
                      <a:picLocks noChangeAspect="1"/>
                    </pic:cNvPicPr>
                  </pic:nvPicPr>
                  <pic:blipFill>
                    <a:blip r:embed="rId39">
                      <a:extLst/>
                    </a:blip>
                    <a:srcRect l="89" t="0" r="89" b="0"/>
                    <a:stretch>
                      <a:fillRect/>
                    </a:stretch>
                  </pic:blipFill>
                  <pic:spPr>
                    <a:xfrm>
                      <a:off x="0" y="0"/>
                      <a:ext cx="3542357" cy="3561428"/>
                    </a:xfrm>
                    <a:prstGeom prst="rect">
                      <a:avLst/>
                    </a:prstGeom>
                    <a:ln w="12700" cap="flat">
                      <a:noFill/>
                      <a:miter lim="400000"/>
                    </a:ln>
                    <a:effectLst/>
                  </pic:spPr>
                </pic:pic>
              </a:graphicData>
            </a:graphic>
          </wp:inline>
        </w:drawing>
      </w:r>
      <w:r>
        <w:rPr>
          <w:rFonts w:ascii="Times New Roman" w:cs="Times New Roman" w:hAnsi="Times New Roman" w:eastAsia="Times New Roman"/>
        </w:rPr>
        <w:drawing xmlns:a="http://schemas.openxmlformats.org/drawingml/2006/main">
          <wp:inline distT="0" distB="0" distL="0" distR="0">
            <wp:extent cx="1214413" cy="518285"/>
            <wp:effectExtent l="0" t="0" r="0" b="0"/>
            <wp:docPr id="1073741863" name="officeArt object" descr="Image"/>
            <wp:cNvGraphicFramePr/>
            <a:graphic xmlns:a="http://schemas.openxmlformats.org/drawingml/2006/main">
              <a:graphicData uri="http://schemas.openxmlformats.org/drawingml/2006/picture">
                <pic:pic xmlns:pic="http://schemas.openxmlformats.org/drawingml/2006/picture">
                  <pic:nvPicPr>
                    <pic:cNvPr id="1073741863" name="Image" descr="Image"/>
                    <pic:cNvPicPr>
                      <a:picLocks noChangeAspect="1"/>
                    </pic:cNvPicPr>
                  </pic:nvPicPr>
                  <pic:blipFill>
                    <a:blip r:embed="rId22">
                      <a:extLst/>
                    </a:blip>
                    <a:stretch>
                      <a:fillRect/>
                    </a:stretch>
                  </pic:blipFill>
                  <pic:spPr>
                    <a:xfrm>
                      <a:off x="0" y="0"/>
                      <a:ext cx="1214413" cy="518285"/>
                    </a:xfrm>
                    <a:prstGeom prst="rect">
                      <a:avLst/>
                    </a:prstGeom>
                    <a:ln w="12700" cap="flat">
                      <a:noFill/>
                      <a:miter lim="400000"/>
                    </a:ln>
                    <a:effectLst/>
                  </pic:spPr>
                </pic:pic>
              </a:graphicData>
            </a:graphic>
          </wp:inline>
        </w:drawing>
      </w:r>
    </w:p>
    <w:p>
      <w:pPr>
        <w:pStyle w:val="Image Caption"/>
      </w:pPr>
      <w:bookmarkStart w:name="_Toc69" w:id="69"/>
      <w:r>
        <w:rPr>
          <w:rFonts w:cs="Arial Unicode MS" w:eastAsia="Arial Unicode MS"/>
          <w:b w:val="1"/>
          <w:bCs w:val="1"/>
          <w:rtl w:val="0"/>
          <w:lang w:val="en-US"/>
        </w:rPr>
        <w:t>Fig. 30</w:t>
      </w:r>
      <w:r>
        <w:rPr>
          <w:rFonts w:cs="Arial Unicode MS" w:eastAsia="Arial Unicode MS"/>
          <w:rtl w:val="0"/>
        </w:rPr>
        <w:t xml:space="preserve">. </w:t>
      </w:r>
      <w:r>
        <w:rPr>
          <w:rFonts w:cs="Arial Unicode MS" w:eastAsia="Arial Unicode MS"/>
          <w:rtl w:val="0"/>
          <w:lang w:val="pt-PT"/>
        </w:rPr>
        <w:t>M</w:t>
      </w:r>
      <w:r>
        <w:rPr>
          <w:rFonts w:cs="Arial Unicode MS" w:eastAsia="Arial Unicode MS"/>
          <w:rtl w:val="0"/>
        </w:rPr>
        <w:t>al</w:t>
      </w:r>
      <w:r>
        <w:rPr>
          <w:rFonts w:cs="Arial Unicode MS" w:eastAsia="Arial Unicode MS"/>
          <w:rtl w:val="0"/>
          <w:lang w:val="pt-PT"/>
        </w:rPr>
        <w:t xml:space="preserve">ia </w:t>
      </w:r>
      <w:r>
        <w:rPr>
          <w:rFonts w:cs="Arial Unicode MS" w:eastAsia="Arial Unicode MS"/>
          <w:rtl w:val="0"/>
        </w:rPr>
        <w:t xml:space="preserve">virtual and live fieldwork measurements. </w:t>
      </w:r>
      <w:r>
        <w:rPr>
          <w:rFonts w:cs="Arial Unicode MS" w:eastAsia="Arial Unicode MS"/>
          <w:rtl w:val="0"/>
        </w:rPr>
        <w:t>Google Earth Pro.</w:t>
      </w:r>
      <w:r>
        <w:rPr>
          <w:rFonts w:ascii="Arial Unicode MS" w:cs="Arial Unicode MS" w:hAnsi="Arial Unicode MS" w:eastAsia="Arial Unicode MS"/>
          <w:b w:val="0"/>
          <w:bCs w:val="0"/>
          <w:i w:val="0"/>
          <w:iCs w:val="0"/>
        </w:rPr>
        <w:br w:type="page"/>
      </w:r>
      <w:bookmarkEnd w:id="69"/>
    </w:p>
    <w:p>
      <w:pPr>
        <w:pStyle w:val="Heading"/>
        <w:bidi w:val="0"/>
      </w:pPr>
      <w:bookmarkStart w:name="_Toc70" w:id="70"/>
      <w:r>
        <w:rPr>
          <w:rFonts w:cs="Arial Unicode MS" w:eastAsia="Arial Unicode MS"/>
          <w:rtl w:val="0"/>
          <w:lang w:val="fr-FR"/>
        </w:rPr>
        <w:t>Bibliography</w:t>
      </w:r>
      <w:bookmarkEnd w:id="70"/>
    </w:p>
    <w:p>
      <w:pPr>
        <w:pStyle w:val="Body"/>
      </w:pPr>
    </w:p>
    <w:p>
      <w:pPr>
        <w:pStyle w:val="Body"/>
      </w:pPr>
    </w:p>
    <w:p>
      <w:pPr>
        <w:pStyle w:val="Body"/>
        <w:rPr>
          <w:b w:val="1"/>
          <w:bCs w:val="1"/>
        </w:rPr>
      </w:pPr>
      <w:r>
        <w:rPr>
          <w:b w:val="1"/>
          <w:bCs w:val="1"/>
          <w:rtl w:val="0"/>
          <w:lang w:val="en-US"/>
        </w:rPr>
        <w:t>Primary Sources</w:t>
      </w:r>
    </w:p>
    <w:p>
      <w:pPr>
        <w:pStyle w:val="Body"/>
      </w:pPr>
    </w:p>
    <w:p>
      <w:pPr>
        <w:pStyle w:val="Body"/>
      </w:pPr>
      <w:r>
        <w:rPr>
          <w:rFonts w:cs="Arial Unicode MS" w:eastAsia="Arial Unicode MS"/>
          <w:rtl w:val="0"/>
        </w:rPr>
        <w:t>al-Najd</w:t>
      </w:r>
      <w:r>
        <w:rPr>
          <w:rFonts w:cs="Arial Unicode MS" w:eastAsia="Arial Unicode MS" w:hint="default"/>
          <w:rtl w:val="0"/>
        </w:rPr>
        <w:t>ī</w:t>
      </w:r>
      <w:r>
        <w:rPr>
          <w:rFonts w:cs="Arial Unicode MS" w:eastAsia="Arial Unicode MS"/>
          <w:rtl w:val="0"/>
          <w:lang w:val="da-DK"/>
        </w:rPr>
        <w:t>, A.I.M., A.I.M. al-Nadjd</w:t>
      </w:r>
      <w:r>
        <w:rPr>
          <w:rFonts w:cs="Arial Unicode MS" w:eastAsia="Arial Unicode MS" w:hint="default"/>
          <w:rtl w:val="0"/>
        </w:rPr>
        <w:t>ī</w:t>
      </w:r>
      <w:r>
        <w:rPr>
          <w:rFonts w:cs="Arial Unicode MS" w:eastAsia="Arial Unicode MS"/>
          <w:rtl w:val="0"/>
        </w:rPr>
        <w:t>, A.M. Sa</w:t>
      </w:r>
      <w:r>
        <w:rPr>
          <w:rFonts w:cs="Arial Unicode MS" w:eastAsia="Arial Unicode MS" w:hint="default"/>
          <w:rtl w:val="0"/>
        </w:rPr>
        <w:t>ʿ</w:t>
      </w:r>
      <w:r>
        <w:rPr>
          <w:rFonts w:cs="Arial Unicode MS" w:eastAsia="Arial Unicode MS"/>
          <w:rtl w:val="0"/>
        </w:rPr>
        <w:t>d</w:t>
      </w:r>
      <w:r>
        <w:rPr>
          <w:rFonts w:cs="Arial Unicode MS" w:eastAsia="Arial Unicode MS" w:hint="default"/>
          <w:rtl w:val="0"/>
        </w:rPr>
        <w:t>ī</w:t>
      </w:r>
      <w:r>
        <w:rPr>
          <w:rFonts w:cs="Arial Unicode MS" w:eastAsia="Arial Unicode MS"/>
          <w:rtl w:val="0"/>
          <w:lang w:val="en-US"/>
        </w:rPr>
        <w:t xml:space="preserve">, G.R. Tibbetts, and A.M. al-Sadi, </w:t>
      </w:r>
      <w:r>
        <w:rPr>
          <w:rFonts w:cs="Arial Unicode MS" w:eastAsia="Arial Unicode MS"/>
          <w:i w:val="1"/>
          <w:iCs w:val="1"/>
          <w:rtl w:val="0"/>
          <w:lang w:val="en-US"/>
        </w:rPr>
        <w:t>Arab Navigation in the Indian Ocean before the Coming of the Portuguese: Being a Translation of Kit</w:t>
      </w:r>
      <w:r>
        <w:rPr>
          <w:rFonts w:cs="Arial Unicode MS" w:eastAsia="Arial Unicode MS" w:hint="default"/>
          <w:i w:val="1"/>
          <w:iCs w:val="1"/>
          <w:rtl w:val="0"/>
        </w:rPr>
        <w:t>ā</w:t>
      </w:r>
      <w:r>
        <w:rPr>
          <w:rFonts w:cs="Arial Unicode MS" w:eastAsia="Arial Unicode MS"/>
          <w:i w:val="1"/>
          <w:iCs w:val="1"/>
          <w:rtl w:val="0"/>
          <w:lang w:val="de-DE"/>
        </w:rPr>
        <w:t>b Al-Faw</w:t>
      </w:r>
      <w:r>
        <w:rPr>
          <w:rFonts w:cs="Arial Unicode MS" w:eastAsia="Arial Unicode MS" w:hint="default"/>
          <w:i w:val="1"/>
          <w:iCs w:val="1"/>
          <w:rtl w:val="0"/>
        </w:rPr>
        <w:t>ā</w:t>
      </w:r>
      <w:r>
        <w:rPr>
          <w:rFonts w:cs="Arial Unicode MS" w:eastAsia="Arial Unicode MS"/>
          <w:i w:val="1"/>
          <w:iCs w:val="1"/>
          <w:rtl w:val="0"/>
        </w:rPr>
        <w:t>i</w:t>
      </w:r>
      <w:r>
        <w:rPr>
          <w:rFonts w:cs="Arial Unicode MS" w:eastAsia="Arial Unicode MS" w:hint="default"/>
          <w:i w:val="1"/>
          <w:iCs w:val="1"/>
          <w:rtl w:val="0"/>
        </w:rPr>
        <w:t>̓</w:t>
      </w:r>
      <w:r>
        <w:rPr>
          <w:rFonts w:cs="Arial Unicode MS" w:eastAsia="Arial Unicode MS"/>
          <w:i w:val="1"/>
          <w:iCs w:val="1"/>
          <w:rtl w:val="0"/>
        </w:rPr>
        <w:t>Df</w:t>
      </w:r>
      <w:r>
        <w:rPr>
          <w:rFonts w:cs="Arial Unicode MS" w:eastAsia="Arial Unicode MS" w:hint="default"/>
          <w:i w:val="1"/>
          <w:iCs w:val="1"/>
          <w:rtl w:val="0"/>
        </w:rPr>
        <w:t xml:space="preserve">ī </w:t>
      </w:r>
      <w:r>
        <w:rPr>
          <w:rFonts w:cs="Arial Unicode MS" w:eastAsia="Arial Unicode MS"/>
          <w:i w:val="1"/>
          <w:iCs w:val="1"/>
          <w:rtl w:val="0"/>
        </w:rPr>
        <w:t>Us</w:t>
      </w:r>
      <w:r>
        <w:rPr>
          <w:rFonts w:cs="Arial Unicode MS" w:eastAsia="Arial Unicode MS" w:hint="default"/>
          <w:i w:val="1"/>
          <w:iCs w:val="1"/>
          <w:rtl w:val="0"/>
        </w:rPr>
        <w:t>ū</w:t>
      </w:r>
      <w:r>
        <w:rPr>
          <w:rFonts w:cs="Arial Unicode MS" w:eastAsia="Arial Unicode MS"/>
          <w:i w:val="1"/>
          <w:iCs w:val="1"/>
          <w:rtl w:val="0"/>
          <w:lang w:val="de-DE"/>
        </w:rPr>
        <w:t>l Al-Bahr Wa</w:t>
      </w:r>
      <w:r>
        <w:rPr>
          <w:rFonts w:cs="Arial Unicode MS" w:eastAsia="Arial Unicode MS" w:hint="default"/>
          <w:i w:val="1"/>
          <w:iCs w:val="1"/>
          <w:rtl w:val="1"/>
        </w:rPr>
        <w:t>’</w:t>
      </w:r>
      <w:r>
        <w:rPr>
          <w:rFonts w:cs="Arial Unicode MS" w:eastAsia="Arial Unicode MS"/>
          <w:i w:val="1"/>
          <w:iCs w:val="1"/>
          <w:rtl w:val="0"/>
        </w:rPr>
        <w:t>l-Qaw</w:t>
      </w:r>
      <w:r>
        <w:rPr>
          <w:rFonts w:cs="Arial Unicode MS" w:eastAsia="Arial Unicode MS" w:hint="default"/>
          <w:i w:val="1"/>
          <w:iCs w:val="1"/>
          <w:rtl w:val="1"/>
        </w:rPr>
        <w:t>ā’</w:t>
      </w:r>
      <w:r>
        <w:rPr>
          <w:rFonts w:cs="Arial Unicode MS" w:eastAsia="Arial Unicode MS"/>
          <w:i w:val="1"/>
          <w:iCs w:val="1"/>
          <w:rtl w:val="0"/>
          <w:lang w:val="en-US"/>
        </w:rPr>
        <w:t>id of Ahmad B. M</w:t>
      </w:r>
      <w:r>
        <w:rPr>
          <w:rFonts w:cs="Arial Unicode MS" w:eastAsia="Arial Unicode MS" w:hint="default"/>
          <w:i w:val="1"/>
          <w:iCs w:val="1"/>
          <w:rtl w:val="0"/>
        </w:rPr>
        <w:t>ā</w:t>
      </w:r>
      <w:r>
        <w:rPr>
          <w:rFonts w:cs="Arial Unicode MS" w:eastAsia="Arial Unicode MS"/>
          <w:i w:val="1"/>
          <w:iCs w:val="1"/>
          <w:rtl w:val="0"/>
        </w:rPr>
        <w:t>jid Al-Najd</w:t>
      </w:r>
      <w:r>
        <w:rPr>
          <w:rFonts w:cs="Arial Unicode MS" w:eastAsia="Arial Unicode MS" w:hint="default"/>
          <w:i w:val="1"/>
          <w:iCs w:val="1"/>
          <w:rtl w:val="0"/>
        </w:rPr>
        <w:t>ī</w:t>
      </w:r>
      <w:r>
        <w:rPr>
          <w:rFonts w:cs="Arial Unicode MS" w:eastAsia="Arial Unicode MS"/>
          <w:rtl w:val="0"/>
          <w:lang w:val="en-US"/>
        </w:rPr>
        <w:t xml:space="preserve"> (Royal Asiatic Society of Great Britain and Ireland, 1971)</w:t>
      </w:r>
      <w:r>
        <w:rPr>
          <w:rFonts w:cs="Arial Unicode MS" w:eastAsia="Arial Unicode MS"/>
          <w:rtl w:val="0"/>
          <w:lang w:val="en-US"/>
        </w:rPr>
        <w:t>.</w:t>
      </w:r>
    </w:p>
    <w:p>
      <w:pPr>
        <w:pStyle w:val="Body"/>
      </w:pPr>
    </w:p>
    <w:p>
      <w:pPr>
        <w:pStyle w:val="Body"/>
      </w:pPr>
      <w:r>
        <w:rPr>
          <w:rFonts w:cs="Arial Unicode MS" w:eastAsia="Arial Unicode MS"/>
          <w:rtl w:val="0"/>
          <w:lang w:val="it-IT"/>
        </w:rPr>
        <w:t xml:space="preserve">Apollodorus, </w:t>
      </w:r>
      <w:r>
        <w:rPr>
          <w:rFonts w:cs="Arial Unicode MS" w:eastAsia="Arial Unicode MS"/>
          <w:i w:val="1"/>
          <w:iCs w:val="1"/>
          <w:rtl w:val="0"/>
          <w:lang w:val="en-US"/>
        </w:rPr>
        <w:t>The Library</w:t>
      </w:r>
      <w:r>
        <w:rPr>
          <w:rFonts w:cs="Arial Unicode MS" w:eastAsia="Arial Unicode MS"/>
          <w:rtl w:val="0"/>
          <w:lang w:val="de-DE"/>
        </w:rPr>
        <w:t xml:space="preserve"> (W. Heinemann; G. P. Putnam</w:t>
      </w:r>
      <w:r>
        <w:rPr>
          <w:rFonts w:cs="Arial Unicode MS" w:eastAsia="Arial Unicode MS" w:hint="default"/>
          <w:rtl w:val="1"/>
        </w:rPr>
        <w:t>’</w:t>
      </w:r>
      <w:r>
        <w:rPr>
          <w:rFonts w:cs="Arial Unicode MS" w:eastAsia="Arial Unicode MS"/>
          <w:rtl w:val="0"/>
          <w:lang w:val="en-US"/>
        </w:rPr>
        <w:t>s sons: London New York, 1921)</w:t>
      </w:r>
      <w:r>
        <w:rPr>
          <w:rFonts w:cs="Arial Unicode MS" w:eastAsia="Arial Unicode MS"/>
          <w:rtl w:val="0"/>
          <w:lang w:val="en-US"/>
        </w:rPr>
        <w:t>.</w:t>
      </w:r>
    </w:p>
    <w:p>
      <w:pPr>
        <w:pStyle w:val="Body"/>
      </w:pPr>
    </w:p>
    <w:p>
      <w:pPr>
        <w:pStyle w:val="Body"/>
      </w:pPr>
      <w:r>
        <w:rPr>
          <w:rFonts w:cs="Arial Unicode MS" w:eastAsia="Arial Unicode MS"/>
          <w:rtl w:val="0"/>
          <w:lang w:val="en-US"/>
        </w:rPr>
        <w:t xml:space="preserve">Evelyn-White, Hugh Gerard, </w:t>
      </w:r>
      <w:r>
        <w:rPr>
          <w:rFonts w:cs="Arial Unicode MS" w:eastAsia="Arial Unicode MS"/>
          <w:i w:val="1"/>
          <w:iCs w:val="1"/>
          <w:rtl w:val="0"/>
          <w:lang w:val="en-US"/>
        </w:rPr>
        <w:t>Hesiod, the Homeric Hymns, and Homerica</w:t>
      </w:r>
      <w:r>
        <w:rPr>
          <w:rFonts w:cs="Arial Unicode MS" w:eastAsia="Arial Unicode MS"/>
          <w:rtl w:val="0"/>
          <w:lang w:val="de-DE"/>
        </w:rPr>
        <w:t xml:space="preserve"> (W. Heinemann, 1920).</w:t>
      </w:r>
    </w:p>
    <w:p>
      <w:pPr>
        <w:pStyle w:val="Body"/>
      </w:pPr>
    </w:p>
    <w:p>
      <w:pPr>
        <w:pStyle w:val="Body"/>
      </w:pPr>
      <w:r>
        <w:rPr>
          <w:rFonts w:cs="Arial Unicode MS" w:eastAsia="Arial Unicode MS"/>
          <w:rtl w:val="0"/>
          <w:lang w:val="en-US"/>
        </w:rPr>
        <w:t xml:space="preserve">Hesiod, and R. M. Frazer, </w:t>
      </w:r>
      <w:r>
        <w:rPr>
          <w:rFonts w:cs="Arial Unicode MS" w:eastAsia="Arial Unicode MS"/>
          <w:i w:val="1"/>
          <w:iCs w:val="1"/>
          <w:rtl w:val="0"/>
          <w:lang w:val="en-US"/>
        </w:rPr>
        <w:t>The Poems of Hesiod</w:t>
      </w:r>
      <w:r>
        <w:rPr>
          <w:rFonts w:cs="Arial Unicode MS" w:eastAsia="Arial Unicode MS"/>
          <w:rtl w:val="0"/>
          <w:lang w:val="en-US"/>
        </w:rPr>
        <w:t xml:space="preserve"> (University of Oklahoma Press: Norman, 1983)</w:t>
      </w:r>
      <w:r>
        <w:rPr>
          <w:rFonts w:cs="Arial Unicode MS" w:eastAsia="Arial Unicode MS"/>
          <w:rtl w:val="0"/>
          <w:lang w:val="en-US"/>
        </w:rPr>
        <w:t>.</w:t>
      </w:r>
    </w:p>
    <w:p>
      <w:pPr>
        <w:pStyle w:val="Body"/>
      </w:pPr>
    </w:p>
    <w:p>
      <w:pPr>
        <w:pStyle w:val="Body"/>
      </w:pPr>
      <w:r>
        <w:rPr>
          <w:rFonts w:cs="Arial Unicode MS" w:eastAsia="Arial Unicode MS"/>
          <w:rtl w:val="0"/>
          <w:lang w:val="de-DE"/>
        </w:rPr>
        <w:t xml:space="preserve">Homer, </w:t>
      </w:r>
      <w:r>
        <w:rPr>
          <w:rFonts w:cs="Arial Unicode MS" w:eastAsia="Arial Unicode MS"/>
          <w:i w:val="1"/>
          <w:iCs w:val="1"/>
          <w:rtl w:val="0"/>
          <w:lang w:val="en-US"/>
        </w:rPr>
        <w:t>The Odyssey</w:t>
      </w:r>
      <w:r>
        <w:rPr>
          <w:rFonts w:cs="Arial Unicode MS" w:eastAsia="Arial Unicode MS"/>
          <w:rtl w:val="0"/>
          <w:lang w:val="en-US"/>
        </w:rPr>
        <w:t xml:space="preserve"> (Cambridge, MA</w:t>
      </w:r>
      <w:r>
        <w:rPr>
          <w:rFonts w:cs="Arial Unicode MS" w:eastAsia="Arial Unicode MS"/>
          <w:rtl w:val="0"/>
          <w:lang w:val="en-US"/>
        </w:rPr>
        <w:t xml:space="preserve">: </w:t>
      </w:r>
      <w:r>
        <w:rPr>
          <w:rFonts w:cs="Arial Unicode MS" w:eastAsia="Arial Unicode MS"/>
          <w:rtl w:val="0"/>
          <w:lang w:val="en-US"/>
        </w:rPr>
        <w:t>Harvard University Press, 1919)</w:t>
      </w:r>
      <w:r>
        <w:rPr>
          <w:rFonts w:cs="Arial Unicode MS" w:eastAsia="Arial Unicode MS"/>
          <w:rtl w:val="0"/>
          <w:lang w:val="en-US"/>
        </w:rPr>
        <w:t>.</w:t>
      </w:r>
    </w:p>
    <w:p>
      <w:pPr>
        <w:pStyle w:val="Body"/>
      </w:pPr>
    </w:p>
    <w:p>
      <w:pPr>
        <w:pStyle w:val="Body"/>
      </w:pPr>
      <w:r>
        <w:rPr>
          <w:rFonts w:cs="Arial Unicode MS" w:eastAsia="Arial Unicode MS"/>
          <w:rtl w:val="0"/>
          <w:lang w:val="en-US"/>
        </w:rPr>
        <w:t>Jowett, Benjamin, and AP Peabody</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History of the Peloponnesian War</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rPr>
        <w:t>1900</w:t>
      </w:r>
      <w:r>
        <w:rPr>
          <w:rFonts w:cs="Arial Unicode MS" w:eastAsia="Arial Unicode MS"/>
          <w:rtl w:val="0"/>
          <w:lang w:val="en-US"/>
        </w:rPr>
        <w:t>).</w:t>
      </w:r>
    </w:p>
    <w:p>
      <w:pPr>
        <w:pStyle w:val="Body"/>
      </w:pPr>
    </w:p>
    <w:p>
      <w:pPr>
        <w:pStyle w:val="Body"/>
      </w:pPr>
      <w:r>
        <w:rPr>
          <w:rFonts w:cs="Arial Unicode MS" w:eastAsia="Arial Unicode MS"/>
          <w:rtl w:val="0"/>
        </w:rPr>
        <w:t>Lamb, John,</w:t>
      </w:r>
      <w:r>
        <w:rPr>
          <w:rFonts w:cs="Arial Unicode MS" w:eastAsia="Arial Unicode MS"/>
          <w:i w:val="1"/>
          <w:iCs w:val="1"/>
          <w:rtl w:val="0"/>
          <w:lang w:val="it-IT"/>
        </w:rPr>
        <w:t xml:space="preserve"> The Phenomena and Diosemeia of Aratus</w:t>
      </w:r>
      <w:r>
        <w:rPr>
          <w:rFonts w:cs="Arial Unicode MS" w:eastAsia="Arial Unicode MS"/>
          <w:rtl w:val="0"/>
          <w:lang w:val="de-DE"/>
        </w:rPr>
        <w:t xml:space="preserve"> (John W. Parker, 1848)</w:t>
      </w:r>
      <w:r>
        <w:rPr>
          <w:rFonts w:cs="Arial Unicode MS" w:eastAsia="Arial Unicode MS"/>
          <w:rtl w:val="0"/>
          <w:lang w:val="en-US"/>
        </w:rPr>
        <w:t>.</w:t>
      </w:r>
    </w:p>
    <w:p>
      <w:pPr>
        <w:pStyle w:val="Body"/>
      </w:pPr>
    </w:p>
    <w:p>
      <w:pPr>
        <w:pStyle w:val="Body"/>
      </w:pPr>
      <w:r>
        <w:rPr>
          <w:rFonts w:cs="Arial Unicode MS" w:eastAsia="Arial Unicode MS"/>
          <w:rtl w:val="0"/>
        </w:rPr>
        <w:t xml:space="preserve">Manilius, Marcus, </w:t>
      </w:r>
      <w:r>
        <w:rPr>
          <w:rFonts w:cs="Arial Unicode MS" w:eastAsia="Arial Unicode MS"/>
          <w:i w:val="1"/>
          <w:iCs w:val="1"/>
          <w:rtl w:val="0"/>
          <w:lang w:val="it-IT"/>
        </w:rPr>
        <w:t>Astronomica</w:t>
      </w:r>
      <w:r>
        <w:rPr>
          <w:rFonts w:cs="Arial Unicode MS" w:eastAsia="Arial Unicode MS"/>
          <w:rtl w:val="0"/>
        </w:rPr>
        <w:t xml:space="preserve"> (2015)</w:t>
      </w:r>
      <w:r>
        <w:rPr>
          <w:rFonts w:cs="Arial Unicode MS" w:eastAsia="Arial Unicode MS"/>
          <w:rtl w:val="0"/>
          <w:lang w:val="en-US"/>
        </w:rPr>
        <w:t>.</w:t>
      </w:r>
    </w:p>
    <w:p>
      <w:pPr>
        <w:pStyle w:val="Body"/>
      </w:pPr>
    </w:p>
    <w:p>
      <w:pPr>
        <w:pStyle w:val="Body"/>
      </w:pPr>
      <w:r>
        <w:rPr>
          <w:rFonts w:cs="Arial Unicode MS" w:eastAsia="Arial Unicode MS"/>
          <w:rtl w:val="0"/>
          <w:lang w:val="en-US"/>
        </w:rPr>
        <w:t>More, Brookes, and Ovid</w:t>
      </w:r>
      <w:r>
        <w:rPr>
          <w:rFonts w:cs="Arial Unicode MS" w:eastAsia="Arial Unicode MS"/>
          <w:rtl w:val="0"/>
          <w:lang w:val="en-US"/>
        </w:rPr>
        <w:t xml:space="preserve">, </w:t>
      </w:r>
      <w:r>
        <w:rPr>
          <w:rFonts w:cs="Arial Unicode MS" w:eastAsia="Arial Unicode MS"/>
          <w:i w:val="1"/>
          <w:iCs w:val="1"/>
          <w:rtl w:val="0"/>
          <w:lang w:val="fr-FR"/>
        </w:rPr>
        <w:t>Metamorphoses</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lang w:val="en-US"/>
        </w:rPr>
        <w:t>Boston: Cornhill Publishing Co, 1922</w:t>
      </w:r>
      <w:r>
        <w:rPr>
          <w:rFonts w:cs="Arial Unicode MS" w:eastAsia="Arial Unicode MS"/>
          <w:rtl w:val="0"/>
          <w:lang w:val="en-US"/>
        </w:rPr>
        <w:t>).</w:t>
      </w:r>
    </w:p>
    <w:p>
      <w:pPr>
        <w:pStyle w:val="Body"/>
      </w:pPr>
    </w:p>
    <w:p>
      <w:pPr>
        <w:pStyle w:val="Body"/>
      </w:pPr>
      <w:r>
        <w:rPr>
          <w:rFonts w:cs="Arial Unicode MS" w:eastAsia="Arial Unicode MS"/>
          <w:rtl w:val="0"/>
          <w:lang w:val="pt-PT"/>
        </w:rPr>
        <w:t xml:space="preserve">Plutarch, </w:t>
      </w:r>
      <w:r>
        <w:rPr>
          <w:rFonts w:cs="Arial Unicode MS" w:eastAsia="Arial Unicode MS"/>
          <w:i w:val="1"/>
          <w:iCs w:val="1"/>
          <w:rtl w:val="0"/>
          <w:lang w:val="en-US"/>
        </w:rPr>
        <w:t>Isis and Osiris</w:t>
      </w:r>
      <w:r>
        <w:rPr>
          <w:rFonts w:cs="Arial Unicode MS" w:eastAsia="Arial Unicode MS"/>
          <w:rtl w:val="0"/>
          <w:lang w:val="en-US"/>
        </w:rPr>
        <w:t xml:space="preserve"> (Loeb Classical Library edition, 1936)</w:t>
      </w:r>
      <w:r>
        <w:rPr>
          <w:rFonts w:cs="Arial Unicode MS" w:eastAsia="Arial Unicode MS"/>
          <w:rtl w:val="0"/>
          <w:lang w:val="en-US"/>
        </w:rPr>
        <w:t>.</w:t>
      </w:r>
    </w:p>
    <w:p>
      <w:pPr>
        <w:pStyle w:val="Body"/>
      </w:pPr>
    </w:p>
    <w:p>
      <w:pPr>
        <w:pStyle w:val="Body"/>
      </w:pPr>
      <w:r>
        <w:rPr>
          <w:rFonts w:cs="Arial Unicode MS" w:eastAsia="Arial Unicode MS"/>
          <w:rtl w:val="0"/>
          <w:lang w:val="nl-NL"/>
        </w:rPr>
        <w:t xml:space="preserve">Strong, Herbert Augustus, </w:t>
      </w:r>
      <w:r>
        <w:rPr>
          <w:rFonts w:cs="Arial Unicode MS" w:eastAsia="Arial Unicode MS"/>
          <w:i w:val="1"/>
          <w:iCs w:val="1"/>
          <w:rtl w:val="0"/>
          <w:lang w:val="en-US"/>
        </w:rPr>
        <w:t>The Syrian Goddess: Being a Translation of Lucian</w:t>
      </w:r>
      <w:r>
        <w:rPr>
          <w:rFonts w:cs="Arial Unicode MS" w:eastAsia="Arial Unicode MS" w:hint="default"/>
          <w:i w:val="1"/>
          <w:iCs w:val="1"/>
          <w:rtl w:val="1"/>
        </w:rPr>
        <w:t>’</w:t>
      </w:r>
      <w:r>
        <w:rPr>
          <w:rFonts w:cs="Arial Unicode MS" w:eastAsia="Arial Unicode MS"/>
          <w:i w:val="1"/>
          <w:iCs w:val="1"/>
          <w:rtl w:val="0"/>
        </w:rPr>
        <w:t xml:space="preserve">s </w:t>
      </w:r>
      <w:r>
        <w:rPr>
          <w:rFonts w:cs="Arial Unicode MS" w:eastAsia="Arial Unicode MS" w:hint="default"/>
          <w:i w:val="1"/>
          <w:iCs w:val="1"/>
          <w:rtl w:val="0"/>
          <w:lang w:val="en-US"/>
        </w:rPr>
        <w:t>‘</w:t>
      </w:r>
      <w:r>
        <w:rPr>
          <w:rFonts w:cs="Arial Unicode MS" w:eastAsia="Arial Unicode MS"/>
          <w:i w:val="1"/>
          <w:iCs w:val="1"/>
          <w:rtl w:val="0"/>
          <w:lang w:val="nl-NL"/>
        </w:rPr>
        <w:t>De Dea Syria</w:t>
      </w:r>
      <w:r>
        <w:rPr>
          <w:rFonts w:cs="Arial Unicode MS" w:eastAsia="Arial Unicode MS" w:hint="default"/>
          <w:i w:val="1"/>
          <w:iCs w:val="1"/>
          <w:rtl w:val="0"/>
          <w:lang w:val="en-US"/>
        </w:rPr>
        <w:t>’</w:t>
      </w:r>
      <w:r>
        <w:rPr>
          <w:rFonts w:cs="Arial Unicode MS" w:eastAsia="Arial Unicode MS"/>
          <w:rtl w:val="0"/>
        </w:rPr>
        <w:t xml:space="preserve">: </w:t>
      </w:r>
      <w:r>
        <w:rPr>
          <w:rFonts w:cs="Arial Unicode MS" w:eastAsia="Arial Unicode MS"/>
          <w:i w:val="1"/>
          <w:iCs w:val="1"/>
          <w:rtl w:val="0"/>
          <w:lang w:val="en-US"/>
        </w:rPr>
        <w:t>With a Life of Lucian</w:t>
      </w:r>
      <w:r>
        <w:rPr>
          <w:rFonts w:cs="Arial Unicode MS" w:eastAsia="Arial Unicode MS"/>
          <w:rtl w:val="0"/>
          <w:lang w:val="fr-FR"/>
        </w:rPr>
        <w:t xml:space="preserve"> (Constable, 1913)</w:t>
      </w:r>
      <w:r>
        <w:rPr>
          <w:rFonts w:cs="Arial Unicode MS" w:eastAsia="Arial Unicode MS"/>
          <w:rtl w:val="0"/>
          <w:lang w:val="en-US"/>
        </w:rPr>
        <w:t>.</w:t>
      </w:r>
    </w:p>
    <w:p>
      <w:pPr>
        <w:pStyle w:val="Body"/>
      </w:pPr>
    </w:p>
    <w:p>
      <w:pPr>
        <w:pStyle w:val="Body"/>
      </w:pPr>
      <w:r>
        <w:rPr>
          <w:rFonts w:cs="Arial Unicode MS" w:eastAsia="Arial Unicode MS"/>
          <w:rtl w:val="0"/>
          <w:lang w:val="en-US"/>
        </w:rPr>
        <w:t xml:space="preserve">Wycherley, Richard Ernest, </w:t>
      </w:r>
      <w:r>
        <w:rPr>
          <w:rFonts w:cs="Arial Unicode MS" w:eastAsia="Arial Unicode MS"/>
          <w:i w:val="1"/>
          <w:iCs w:val="1"/>
          <w:rtl w:val="0"/>
          <w:lang w:val="en-US"/>
        </w:rPr>
        <w:t>Pausanias Description of Greece</w:t>
      </w:r>
      <w:r>
        <w:rPr>
          <w:rFonts w:cs="Arial Unicode MS" w:eastAsia="Arial Unicode MS"/>
          <w:rtl w:val="0"/>
          <w:lang w:val="en-US"/>
        </w:rPr>
        <w:t xml:space="preserve"> (Harvard University Press, 1918)</w:t>
      </w:r>
      <w:r>
        <w:rPr>
          <w:rFonts w:cs="Arial Unicode MS" w:eastAsia="Arial Unicode MS"/>
          <w:rtl w:val="0"/>
          <w:lang w:val="en-US"/>
        </w:rPr>
        <w:t>.</w:t>
      </w:r>
    </w:p>
    <w:p>
      <w:pPr>
        <w:pStyle w:val="Body"/>
      </w:pPr>
    </w:p>
    <w:p>
      <w:pPr>
        <w:pStyle w:val="Body"/>
        <w:rPr>
          <w:b w:val="1"/>
          <w:bCs w:val="1"/>
        </w:rPr>
      </w:pPr>
    </w:p>
    <w:p>
      <w:pPr>
        <w:pStyle w:val="Body"/>
      </w:pPr>
      <w:r>
        <w:rPr>
          <w:rFonts w:ascii="Arial Unicode MS" w:cs="Arial Unicode MS" w:hAnsi="Arial Unicode MS" w:eastAsia="Arial Unicode MS"/>
          <w:b w:val="0"/>
          <w:bCs w:val="0"/>
          <w:i w:val="0"/>
          <w:iCs w:val="0"/>
        </w:rPr>
        <w:br w:type="page"/>
      </w:r>
    </w:p>
    <w:p>
      <w:pPr>
        <w:pStyle w:val="Body"/>
        <w:rPr>
          <w:b w:val="1"/>
          <w:bCs w:val="1"/>
        </w:rPr>
      </w:pPr>
      <w:r>
        <w:rPr>
          <w:b w:val="1"/>
          <w:bCs w:val="1"/>
          <w:rtl w:val="0"/>
          <w:lang w:val="en-US"/>
        </w:rPr>
        <w:t>Secondary Sources</w:t>
      </w:r>
    </w:p>
    <w:p>
      <w:pPr>
        <w:pStyle w:val="Body"/>
      </w:pPr>
    </w:p>
    <w:p>
      <w:pPr>
        <w:pStyle w:val="Body"/>
      </w:pPr>
      <w:r>
        <w:rPr>
          <w:rFonts w:cs="Arial Unicode MS" w:eastAsia="Arial Unicode MS"/>
          <w:rtl w:val="0"/>
          <w:lang w:val="pt-PT"/>
        </w:rPr>
        <w:t xml:space="preserve">Agouridis, Christos, </w:t>
      </w:r>
      <w:r>
        <w:rPr>
          <w:rFonts w:cs="Arial Unicode MS" w:eastAsia="Arial Unicode MS" w:hint="default"/>
          <w:rtl w:val="1"/>
        </w:rPr>
        <w:t>‘</w:t>
      </w:r>
      <w:r>
        <w:rPr>
          <w:rFonts w:cs="Arial Unicode MS" w:eastAsia="Arial Unicode MS"/>
          <w:rtl w:val="0"/>
          <w:lang w:val="en-US"/>
        </w:rPr>
        <w:t xml:space="preserve">Sea Routes and Navigation in the Third Millennium Aegean', </w:t>
      </w:r>
      <w:r>
        <w:rPr>
          <w:rFonts w:cs="Arial Unicode MS" w:eastAsia="Arial Unicode MS"/>
          <w:i w:val="1"/>
          <w:iCs w:val="1"/>
          <w:rtl w:val="0"/>
          <w:lang w:val="en-US"/>
        </w:rPr>
        <w:t>Oxford Journal of Archaeology</w:t>
      </w:r>
      <w:r>
        <w:rPr>
          <w:rFonts w:cs="Arial Unicode MS" w:eastAsia="Arial Unicode MS"/>
          <w:rtl w:val="0"/>
        </w:rPr>
        <w:t xml:space="preserve">, 16 (1997), </w:t>
      </w:r>
      <w:r>
        <w:rPr>
          <w:rFonts w:cs="Arial Unicode MS" w:eastAsia="Arial Unicode MS"/>
          <w:rtl w:val="0"/>
          <w:lang w:val="en-US"/>
        </w:rPr>
        <w:t xml:space="preserve">pp. </w:t>
      </w:r>
      <w:r>
        <w:rPr>
          <w:rFonts w:cs="Arial Unicode MS" w:eastAsia="Arial Unicode MS"/>
          <w:rtl w:val="0"/>
        </w:rPr>
        <w:t>1-24</w:t>
      </w:r>
      <w:r>
        <w:rPr>
          <w:rFonts w:cs="Arial Unicode MS" w:eastAsia="Arial Unicode MS"/>
          <w:rtl w:val="0"/>
          <w:lang w:val="en-US"/>
        </w:rPr>
        <w:t>.</w:t>
      </w:r>
    </w:p>
    <w:p>
      <w:pPr>
        <w:pStyle w:val="Body"/>
      </w:pPr>
    </w:p>
    <w:p>
      <w:pPr>
        <w:pStyle w:val="Body"/>
      </w:pPr>
      <w:r>
        <w:rPr>
          <w:rFonts w:cs="Arial Unicode MS" w:eastAsia="Arial Unicode MS"/>
          <w:rtl w:val="0"/>
          <w:lang w:val="en-US"/>
        </w:rPr>
        <w:t xml:space="preserve">Akira, Goto, Ohnishi Hideyuki, and Ishimura Tomo, </w:t>
      </w:r>
      <w:r>
        <w:rPr>
          <w:rFonts w:cs="Arial Unicode MS" w:eastAsia="Arial Unicode MS" w:hint="default"/>
          <w:rtl w:val="1"/>
        </w:rPr>
        <w:t>‘</w:t>
      </w:r>
      <w:r>
        <w:rPr>
          <w:rFonts w:cs="Arial Unicode MS" w:eastAsia="Arial Unicode MS"/>
          <w:rtl w:val="0"/>
          <w:lang w:val="en-US"/>
        </w:rPr>
        <w:t xml:space="preserve">A Report on the Reassessment of Navigation Stones on Arorae, Kiribati', </w:t>
      </w:r>
      <w:r>
        <w:rPr>
          <w:rFonts w:cs="Arial Unicode MS" w:eastAsia="Arial Unicode MS"/>
          <w:i w:val="1"/>
          <w:iCs w:val="1"/>
          <w:rtl w:val="0"/>
          <w:lang w:val="en-US"/>
        </w:rPr>
        <w:t>People and Culture in Oceania</w:t>
      </w:r>
      <w:r>
        <w:rPr>
          <w:rFonts w:cs="Arial Unicode MS" w:eastAsia="Arial Unicode MS"/>
          <w:rtl w:val="0"/>
        </w:rPr>
        <w:t xml:space="preserve">, 35 (2019), </w:t>
      </w:r>
      <w:r>
        <w:rPr>
          <w:rFonts w:cs="Arial Unicode MS" w:eastAsia="Arial Unicode MS"/>
          <w:rtl w:val="0"/>
          <w:lang w:val="en-US"/>
        </w:rPr>
        <w:t xml:space="preserve">pp. </w:t>
      </w:r>
      <w:r>
        <w:rPr>
          <w:rFonts w:cs="Arial Unicode MS" w:eastAsia="Arial Unicode MS"/>
          <w:rtl w:val="0"/>
        </w:rPr>
        <w:t>109-25</w:t>
      </w:r>
      <w:r>
        <w:rPr>
          <w:rFonts w:cs="Arial Unicode MS" w:eastAsia="Arial Unicode MS"/>
          <w:rtl w:val="0"/>
          <w:lang w:val="en-US"/>
        </w:rPr>
        <w:t>.</w:t>
      </w:r>
    </w:p>
    <w:p>
      <w:pPr>
        <w:pStyle w:val="Body"/>
      </w:pPr>
    </w:p>
    <w:p>
      <w:pPr>
        <w:pStyle w:val="Body"/>
      </w:pPr>
      <w:r>
        <w:rPr>
          <w:rFonts w:cs="Arial Unicode MS" w:eastAsia="Arial Unicode MS"/>
          <w:rtl w:val="0"/>
          <w:lang w:val="it-IT"/>
        </w:rPr>
        <w:t>De La Fe</w:t>
      </w:r>
      <w:r>
        <w:rPr>
          <w:rFonts w:cs="Arial Unicode MS" w:eastAsia="Arial Unicode MS"/>
          <w:rtl w:val="0"/>
          <w:lang w:val="en-US"/>
        </w:rPr>
        <w:t xml:space="preserve">, </w:t>
      </w:r>
      <w:r>
        <w:rPr>
          <w:rFonts w:cs="Arial Unicode MS" w:eastAsia="Arial Unicode MS"/>
          <w:rtl w:val="0"/>
          <w:lang w:val="pt-PT"/>
        </w:rPr>
        <w:t xml:space="preserve">Alfredo, </w:t>
      </w:r>
      <w:r>
        <w:rPr>
          <w:rFonts w:cs="Arial Unicode MS" w:eastAsia="Arial Unicode MS" w:hint="default"/>
          <w:rtl w:val="0"/>
          <w:lang w:val="en-US"/>
        </w:rPr>
        <w:t>‘</w:t>
      </w:r>
      <w:r>
        <w:rPr>
          <w:rFonts w:cs="Arial Unicode MS" w:eastAsia="Arial Unicode MS"/>
          <w:rtl w:val="0"/>
          <w:lang w:val="en-US"/>
        </w:rPr>
        <w:t>The Coin Project</w:t>
      </w:r>
      <w:r>
        <w:rPr>
          <w:rFonts w:cs="Arial Unicode MS" w:eastAsia="Arial Unicode MS" w:hint="default"/>
          <w:rtl w:val="0"/>
          <w:lang w:val="en-US"/>
        </w:rPr>
        <w:t xml:space="preserve">’ </w:t>
      </w:r>
      <w:r>
        <w:rPr>
          <w:rFonts w:cs="Arial Unicode MS" w:eastAsia="Arial Unicode MS"/>
          <w:rtl w:val="0"/>
          <w:lang w:val="en-US"/>
        </w:rPr>
        <w:t>from</w:t>
      </w:r>
      <w:r>
        <w:rPr>
          <w:rFonts w:cs="Arial Unicode MS" w:eastAsia="Arial Unicode MS"/>
          <w:rtl w:val="0"/>
          <w:lang w:val="en-US"/>
        </w:rPr>
        <w:t xml:space="preserve"> &lt;http://www.coinproject.com/search_city_result.php?city=Sidon&amp;region=SYRIA,-PHOENICIA&amp;type=5&gt;</w:t>
      </w:r>
      <w:r>
        <w:rPr>
          <w:rFonts w:cs="Arial Unicode MS" w:eastAsia="Arial Unicode MS"/>
          <w:rtl w:val="0"/>
          <w:lang w:val="en-US"/>
        </w:rPr>
        <w:t xml:space="preserve"> [</w:t>
      </w:r>
      <w:r>
        <w:rPr>
          <w:rFonts w:cs="Arial Unicode MS" w:eastAsia="Arial Unicode MS"/>
          <w:rtl w:val="0"/>
          <w:lang w:val="en-US"/>
        </w:rPr>
        <w:t>accessed September 10, 2021</w:t>
      </w:r>
      <w:r>
        <w:rPr>
          <w:rFonts w:cs="Arial Unicode MS" w:eastAsia="Arial Unicode MS"/>
          <w:rtl w:val="0"/>
          <w:lang w:val="en-US"/>
        </w:rPr>
        <w:t>].</w:t>
      </w:r>
    </w:p>
    <w:p>
      <w:pPr>
        <w:pStyle w:val="Body"/>
      </w:pPr>
    </w:p>
    <w:p>
      <w:pPr>
        <w:pStyle w:val="Body"/>
      </w:pPr>
      <w:r>
        <w:rPr>
          <w:rFonts w:cs="Arial Unicode MS" w:eastAsia="Arial Unicode MS"/>
          <w:rtl w:val="0"/>
          <w:lang w:val="en-US"/>
        </w:rPr>
        <w:t>Andrews, P</w:t>
      </w:r>
      <w:r>
        <w:rPr>
          <w:rFonts w:cs="Arial Unicode MS" w:eastAsia="Arial Unicode MS"/>
          <w:rtl w:val="0"/>
          <w:lang w:val="en-US"/>
        </w:rPr>
        <w:t>.</w:t>
      </w:r>
      <w:r>
        <w:rPr>
          <w:rFonts w:cs="Arial Unicode MS" w:eastAsia="Arial Unicode MS"/>
          <w:rtl w:val="0"/>
        </w:rPr>
        <w:t>B</w:t>
      </w:r>
      <w:r>
        <w:rPr>
          <w:rFonts w:cs="Arial Unicode MS" w:eastAsia="Arial Unicode MS"/>
          <w:rtl w:val="0"/>
          <w:lang w:val="en-US"/>
        </w:rPr>
        <w:t>.</w:t>
      </w:r>
      <w:r>
        <w:rPr>
          <w:rFonts w:cs="Arial Unicode MS" w:eastAsia="Arial Unicode MS"/>
          <w:rtl w:val="0"/>
        </w:rPr>
        <w:t>S</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The Myth of Europa and Minos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Greece &amp; Rome</w:t>
      </w:r>
      <w:r>
        <w:rPr>
          <w:rFonts w:cs="Arial Unicode MS" w:eastAsia="Arial Unicode MS"/>
          <w:rtl w:val="0"/>
        </w:rPr>
        <w:t xml:space="preserve">, 16 (1969), </w:t>
      </w:r>
      <w:r>
        <w:rPr>
          <w:rFonts w:cs="Arial Unicode MS" w:eastAsia="Arial Unicode MS"/>
          <w:rtl w:val="0"/>
          <w:lang w:val="en-US"/>
        </w:rPr>
        <w:t xml:space="preserve">pp. </w:t>
      </w:r>
      <w:r>
        <w:rPr>
          <w:rFonts w:cs="Arial Unicode MS" w:eastAsia="Arial Unicode MS"/>
          <w:rtl w:val="0"/>
        </w:rPr>
        <w:t>60-66</w:t>
      </w:r>
      <w:r>
        <w:rPr>
          <w:rFonts w:cs="Arial Unicode MS" w:eastAsia="Arial Unicode MS"/>
          <w:rtl w:val="0"/>
          <w:lang w:val="en-US"/>
        </w:rPr>
        <w:t>.</w:t>
      </w:r>
    </w:p>
    <w:p>
      <w:pPr>
        <w:pStyle w:val="Body"/>
      </w:pPr>
    </w:p>
    <w:p>
      <w:pPr>
        <w:pStyle w:val="Body"/>
      </w:pPr>
      <w:r>
        <w:rPr>
          <w:rFonts w:cs="Arial Unicode MS" w:eastAsia="Arial Unicode MS"/>
          <w:rtl w:val="0"/>
          <w:lang w:val="it-IT"/>
        </w:rPr>
        <w:t>Anton</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Course Angle and the Distance between the Two Points on Loxodrome (rhumb Line)</w:t>
      </w:r>
      <w:r>
        <w:rPr>
          <w:rFonts w:cs="Arial Unicode MS" w:eastAsia="Arial Unicode MS" w:hint="default"/>
          <w:rtl w:val="0"/>
          <w:lang w:val="en-US"/>
        </w:rPr>
        <w:t>’</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pt-PT"/>
        </w:rPr>
        <w:t>Online Calculators</w:t>
      </w:r>
      <w:r>
        <w:rPr>
          <w:rFonts w:cs="Arial Unicode MS" w:eastAsia="Arial Unicode MS"/>
          <w:rtl w:val="0"/>
        </w:rPr>
        <w:t xml:space="preserve"> </w:t>
      </w:r>
      <w:r>
        <w:rPr>
          <w:rFonts w:cs="Arial Unicode MS" w:eastAsia="Arial Unicode MS"/>
          <w:rtl w:val="0"/>
          <w:lang w:val="en-US"/>
        </w:rPr>
        <w:t>from &lt;</w:t>
      </w:r>
      <w:r>
        <w:rPr>
          <w:rFonts w:cs="Arial Unicode MS" w:eastAsia="Arial Unicode MS"/>
          <w:rtl w:val="0"/>
          <w:lang w:val="en-US"/>
        </w:rPr>
        <w:t>https://planetcalc.com/713</w:t>
      </w:r>
      <w:r>
        <w:rPr>
          <w:rFonts w:cs="Arial Unicode MS" w:eastAsia="Arial Unicode MS"/>
          <w:rtl w:val="0"/>
          <w:lang w:val="en-US"/>
        </w:rPr>
        <w:t>&gt; [</w:t>
      </w:r>
      <w:r>
        <w:rPr>
          <w:rFonts w:cs="Arial Unicode MS" w:eastAsia="Arial Unicode MS"/>
          <w:rtl w:val="0"/>
          <w:lang w:val="en-US"/>
        </w:rPr>
        <w:t>Accessed September 15, 2021</w:t>
      </w:r>
      <w:r>
        <w:rPr>
          <w:rFonts w:cs="Arial Unicode MS" w:eastAsia="Arial Unicode MS"/>
          <w:rtl w:val="0"/>
          <w:lang w:val="en-US"/>
        </w:rPr>
        <w:t>].</w:t>
      </w:r>
    </w:p>
    <w:p>
      <w:pPr>
        <w:pStyle w:val="Body"/>
      </w:pPr>
    </w:p>
    <w:p>
      <w:pPr>
        <w:pStyle w:val="Body"/>
      </w:pPr>
      <w:r>
        <w:rPr>
          <w:rFonts w:cs="Arial Unicode MS" w:eastAsia="Arial Unicode MS"/>
          <w:rtl w:val="0"/>
        </w:rPr>
        <w:t xml:space="preserve">Artzy, Michal, </w:t>
      </w:r>
      <w:r>
        <w:rPr>
          <w:rFonts w:cs="Arial Unicode MS" w:eastAsia="Arial Unicode MS" w:hint="default"/>
          <w:rtl w:val="1"/>
        </w:rPr>
        <w:t>‘</w:t>
      </w:r>
      <w:r>
        <w:rPr>
          <w:rFonts w:cs="Arial Unicode MS" w:eastAsia="Arial Unicode MS"/>
          <w:rtl w:val="0"/>
          <w:lang w:val="de-DE"/>
        </w:rPr>
        <w:t>From Akko/Acco to Beit She</w:t>
      </w:r>
      <w:r>
        <w:rPr>
          <w:rFonts w:cs="Arial Unicode MS" w:eastAsia="Arial Unicode MS" w:hint="default"/>
          <w:rtl w:val="1"/>
        </w:rPr>
        <w:t>’</w:t>
      </w:r>
      <w:r>
        <w:rPr>
          <w:rFonts w:cs="Arial Unicode MS" w:eastAsia="Arial Unicode MS"/>
          <w:rtl w:val="0"/>
          <w:lang w:val="en-US"/>
        </w:rPr>
        <w:t>an/Beth Shan in the Late Bronze Age</w:t>
      </w:r>
      <w:r>
        <w:rPr>
          <w:rFonts w:cs="Arial Unicode MS" w:eastAsia="Arial Unicode MS" w:hint="default"/>
          <w:rtl w:val="1"/>
        </w:rPr>
        <w:t>’</w:t>
      </w:r>
      <w:r>
        <w:rPr>
          <w:rFonts w:cs="Arial Unicode MS" w:eastAsia="Arial Unicode MS"/>
          <w:rtl w:val="0"/>
        </w:rPr>
        <w:t xml:space="preserve">, </w:t>
      </w:r>
      <w:r>
        <w:rPr>
          <w:rFonts w:cs="Arial Unicode MS" w:eastAsia="Arial Unicode MS" w:hint="default"/>
          <w:i w:val="1"/>
          <w:iCs w:val="1"/>
          <w:rtl w:val="0"/>
          <w:lang w:val="sv-SE"/>
        </w:rPr>
        <w:t>Ä</w:t>
      </w:r>
      <w:r>
        <w:rPr>
          <w:rFonts w:cs="Arial Unicode MS" w:eastAsia="Arial Unicode MS"/>
          <w:i w:val="1"/>
          <w:iCs w:val="1"/>
          <w:rtl w:val="0"/>
          <w:lang w:val="en-US"/>
        </w:rPr>
        <w:t>gypten und Levante/Egypt and the Levant</w:t>
      </w:r>
      <w:r>
        <w:rPr>
          <w:rFonts w:cs="Arial Unicode MS" w:eastAsia="Arial Unicode MS"/>
          <w:rtl w:val="0"/>
        </w:rPr>
        <w:t>, 28: (2018),</w:t>
      </w:r>
      <w:r>
        <w:rPr>
          <w:rFonts w:cs="Arial Unicode MS" w:eastAsia="Arial Unicode MS"/>
          <w:rtl w:val="0"/>
          <w:lang w:val="en-US"/>
        </w:rPr>
        <w:t xml:space="preserve"> pp.</w:t>
      </w:r>
      <w:r>
        <w:rPr>
          <w:rFonts w:cs="Arial Unicode MS" w:eastAsia="Arial Unicode MS"/>
          <w:rtl w:val="0"/>
        </w:rPr>
        <w:t xml:space="preserve"> 85-98</w:t>
      </w:r>
      <w:r>
        <w:rPr>
          <w:rFonts w:cs="Arial Unicode MS" w:eastAsia="Arial Unicode MS"/>
          <w:rtl w:val="0"/>
          <w:lang w:val="en-US"/>
        </w:rPr>
        <w:t>.</w:t>
      </w:r>
    </w:p>
    <w:p>
      <w:pPr>
        <w:pStyle w:val="Body"/>
      </w:pPr>
    </w:p>
    <w:p>
      <w:pPr>
        <w:pStyle w:val="Body"/>
      </w:pPr>
      <w:r>
        <w:rPr>
          <w:rFonts w:cs="Arial Unicode MS" w:eastAsia="Arial Unicode MS"/>
          <w:rtl w:val="0"/>
          <w:lang w:val="fr-FR"/>
        </w:rPr>
        <w:t xml:space="preserve">Baurain, Claude, </w:t>
      </w:r>
      <w:r>
        <w:rPr>
          <w:rFonts w:cs="Arial Unicode MS" w:eastAsia="Arial Unicode MS" w:hint="default"/>
          <w:rtl w:val="1"/>
        </w:rPr>
        <w:t>‘</w:t>
      </w:r>
      <w:r>
        <w:rPr>
          <w:rFonts w:cs="Arial Unicode MS" w:eastAsia="Arial Unicode MS"/>
          <w:rtl w:val="0"/>
          <w:lang w:val="fr-FR"/>
        </w:rPr>
        <w:t>Minos Et La Thalassocratie Minoenne. R</w:t>
      </w:r>
      <w:r>
        <w:rPr>
          <w:rFonts w:cs="Arial Unicode MS" w:eastAsia="Arial Unicode MS" w:hint="default"/>
          <w:rtl w:val="0"/>
          <w:lang w:val="fr-FR"/>
        </w:rPr>
        <w:t>é</w:t>
      </w:r>
      <w:r>
        <w:rPr>
          <w:rFonts w:cs="Arial Unicode MS" w:eastAsia="Arial Unicode MS"/>
          <w:rtl w:val="0"/>
          <w:lang w:val="fr-FR"/>
        </w:rPr>
        <w:t>flexions Historiographiques Sur La Naissance D</w:t>
      </w:r>
      <w:r>
        <w:rPr>
          <w:rFonts w:cs="Arial Unicode MS" w:eastAsia="Arial Unicode MS" w:hint="default"/>
          <w:rtl w:val="1"/>
        </w:rPr>
        <w:t>’</w:t>
      </w:r>
      <w:r>
        <w:rPr>
          <w:rFonts w:cs="Arial Unicode MS" w:eastAsia="Arial Unicode MS"/>
          <w:rtl w:val="0"/>
          <w:lang w:val="en-US"/>
        </w:rPr>
        <w:t>un Mythe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rPr>
        <w:t>Thalassa. L</w:t>
      </w:r>
      <w:r>
        <w:rPr>
          <w:rFonts w:cs="Arial Unicode MS" w:eastAsia="Arial Unicode MS" w:hint="default"/>
          <w:i w:val="1"/>
          <w:iCs w:val="1"/>
          <w:rtl w:val="0"/>
          <w:lang w:val="fr-FR"/>
        </w:rPr>
        <w:t>’É</w:t>
      </w:r>
      <w:r>
        <w:rPr>
          <w:rFonts w:cs="Arial Unicode MS" w:eastAsia="Arial Unicode MS"/>
          <w:i w:val="1"/>
          <w:iCs w:val="1"/>
          <w:rtl w:val="0"/>
        </w:rPr>
        <w:t>g</w:t>
      </w:r>
      <w:r>
        <w:rPr>
          <w:rFonts w:cs="Arial Unicode MS" w:eastAsia="Arial Unicode MS" w:hint="default"/>
          <w:i w:val="1"/>
          <w:iCs w:val="1"/>
          <w:rtl w:val="0"/>
          <w:lang w:val="fr-FR"/>
        </w:rPr>
        <w:t>é</w:t>
      </w:r>
      <w:r>
        <w:rPr>
          <w:rFonts w:cs="Arial Unicode MS" w:eastAsia="Arial Unicode MS"/>
          <w:i w:val="1"/>
          <w:iCs w:val="1"/>
          <w:rtl w:val="0"/>
        </w:rPr>
        <w:t>e pr</w:t>
      </w:r>
      <w:r>
        <w:rPr>
          <w:rFonts w:cs="Arial Unicode MS" w:eastAsia="Arial Unicode MS" w:hint="default"/>
          <w:i w:val="1"/>
          <w:iCs w:val="1"/>
          <w:rtl w:val="0"/>
          <w:lang w:val="fr-FR"/>
        </w:rPr>
        <w:t>é</w:t>
      </w:r>
      <w:r>
        <w:rPr>
          <w:rFonts w:cs="Arial Unicode MS" w:eastAsia="Arial Unicode MS"/>
          <w:i w:val="1"/>
          <w:iCs w:val="1"/>
          <w:rtl w:val="0"/>
          <w:lang w:val="fr-FR"/>
        </w:rPr>
        <w:t>historique et la mer (</w:t>
      </w:r>
      <w:r>
        <w:rPr>
          <w:rFonts w:cs="Arial Unicode MS" w:eastAsia="Arial Unicode MS" w:hint="default"/>
          <w:i w:val="1"/>
          <w:iCs w:val="1"/>
          <w:rtl w:val="0"/>
          <w:lang w:val="fr-FR"/>
        </w:rPr>
        <w:t>«</w:t>
      </w:r>
      <w:r>
        <w:rPr>
          <w:rFonts w:cs="Arial Unicode MS" w:eastAsia="Arial Unicode MS"/>
          <w:i w:val="1"/>
          <w:iCs w:val="1"/>
          <w:rtl w:val="0"/>
          <w:lang w:val="da-DK"/>
        </w:rPr>
        <w:t>Aegaeum</w:t>
      </w:r>
      <w:r>
        <w:rPr>
          <w:rFonts w:cs="Arial Unicode MS" w:eastAsia="Arial Unicode MS" w:hint="default"/>
          <w:i w:val="1"/>
          <w:iCs w:val="1"/>
          <w:rtl w:val="0"/>
          <w:lang w:val="it-IT"/>
        </w:rPr>
        <w:t xml:space="preserve">» </w:t>
      </w:r>
      <w:r>
        <w:rPr>
          <w:rFonts w:cs="Arial Unicode MS" w:eastAsia="Arial Unicode MS"/>
          <w:i w:val="1"/>
          <w:iCs w:val="1"/>
          <w:rtl w:val="0"/>
        </w:rPr>
        <w:t xml:space="preserve">7), </w:t>
      </w:r>
      <w:r>
        <w:rPr>
          <w:rFonts w:cs="Arial Unicode MS" w:eastAsia="Arial Unicode MS" w:hint="default"/>
          <w:i w:val="1"/>
          <w:iCs w:val="1"/>
          <w:rtl w:val="0"/>
          <w:lang w:val="fr-FR"/>
        </w:rPr>
        <w:t>é</w:t>
      </w:r>
      <w:r>
        <w:rPr>
          <w:rFonts w:cs="Arial Unicode MS" w:eastAsia="Arial Unicode MS"/>
          <w:i w:val="1"/>
          <w:iCs w:val="1"/>
          <w:rtl w:val="0"/>
          <w:lang w:val="fr-FR"/>
        </w:rPr>
        <w:t>d. par R. Laffineur-L. Basch, Li</w:t>
      </w:r>
      <w:r>
        <w:rPr>
          <w:rFonts w:cs="Arial Unicode MS" w:eastAsia="Arial Unicode MS" w:hint="default"/>
          <w:i w:val="1"/>
          <w:iCs w:val="1"/>
          <w:rtl w:val="0"/>
          <w:lang w:val="it-IT"/>
        </w:rPr>
        <w:t>è</w:t>
      </w:r>
      <w:r>
        <w:rPr>
          <w:rFonts w:cs="Arial Unicode MS" w:eastAsia="Arial Unicode MS"/>
          <w:i w:val="1"/>
          <w:iCs w:val="1"/>
          <w:rtl w:val="0"/>
        </w:rPr>
        <w:t>ge</w:t>
      </w:r>
      <w:r>
        <w:rPr>
          <w:rFonts w:cs="Arial Unicode MS" w:eastAsia="Arial Unicode MS"/>
          <w:rtl w:val="0"/>
        </w:rPr>
        <w:t xml:space="preserve">: (1991), </w:t>
      </w:r>
      <w:r>
        <w:rPr>
          <w:rFonts w:cs="Arial Unicode MS" w:eastAsia="Arial Unicode MS"/>
          <w:rtl w:val="0"/>
          <w:lang w:val="en-US"/>
        </w:rPr>
        <w:t xml:space="preserve">pp. </w:t>
      </w:r>
      <w:r>
        <w:rPr>
          <w:rFonts w:cs="Arial Unicode MS" w:eastAsia="Arial Unicode MS"/>
          <w:rtl w:val="0"/>
        </w:rPr>
        <w:t>255-66</w:t>
      </w:r>
      <w:r>
        <w:rPr>
          <w:rFonts w:cs="Arial Unicode MS" w:eastAsia="Arial Unicode MS"/>
          <w:rtl w:val="0"/>
          <w:lang w:val="en-US"/>
        </w:rPr>
        <w:t>.</w:t>
      </w:r>
    </w:p>
    <w:p>
      <w:pPr>
        <w:pStyle w:val="Body"/>
      </w:pPr>
    </w:p>
    <w:p>
      <w:pPr>
        <w:pStyle w:val="Body"/>
      </w:pPr>
      <w:r>
        <w:rPr>
          <w:rFonts w:cs="Arial Unicode MS" w:eastAsia="Arial Unicode MS"/>
          <w:rtl w:val="0"/>
          <w:lang w:val="es-ES_tradnl"/>
        </w:rPr>
        <w:t xml:space="preserve">Belmonte, Juan Antonio, </w:t>
      </w:r>
      <w:r>
        <w:rPr>
          <w:rFonts w:cs="Arial Unicode MS" w:eastAsia="Arial Unicode MS" w:hint="default"/>
          <w:rtl w:val="1"/>
        </w:rPr>
        <w:t>‘</w:t>
      </w:r>
      <w:r>
        <w:rPr>
          <w:rFonts w:cs="Arial Unicode MS" w:eastAsia="Arial Unicode MS"/>
          <w:rtl w:val="0"/>
          <w:lang w:val="en-US"/>
        </w:rPr>
        <w:t>Finding Our Place in the Cosmos: The Role of Astronomy in Ancient Cultures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Journal of Cosmology, 9</w:t>
      </w:r>
      <w:r>
        <w:rPr>
          <w:rFonts w:cs="Arial Unicode MS" w:eastAsia="Arial Unicode MS"/>
          <w:rtl w:val="0"/>
        </w:rPr>
        <w:t xml:space="preserve">: (2010), </w:t>
      </w:r>
      <w:r>
        <w:rPr>
          <w:rFonts w:cs="Arial Unicode MS" w:eastAsia="Arial Unicode MS"/>
          <w:rtl w:val="0"/>
          <w:lang w:val="en-US"/>
        </w:rPr>
        <w:t xml:space="preserve">pp. </w:t>
      </w:r>
      <w:r>
        <w:rPr>
          <w:rFonts w:cs="Arial Unicode MS" w:eastAsia="Arial Unicode MS"/>
          <w:rtl w:val="0"/>
        </w:rPr>
        <w:t>2052-62</w:t>
      </w:r>
      <w:r>
        <w:rPr>
          <w:rFonts w:cs="Arial Unicode MS" w:eastAsia="Arial Unicode MS"/>
          <w:rtl w:val="0"/>
          <w:lang w:val="en-US"/>
        </w:rPr>
        <w:t>.</w:t>
      </w:r>
    </w:p>
    <w:p>
      <w:pPr>
        <w:pStyle w:val="Body"/>
      </w:pPr>
    </w:p>
    <w:p>
      <w:pPr>
        <w:pStyle w:val="Body"/>
      </w:pPr>
      <w:r>
        <w:rPr>
          <w:rFonts w:cs="Arial Unicode MS" w:eastAsia="Arial Unicode MS"/>
          <w:rtl w:val="0"/>
          <w:lang w:val="it-IT"/>
        </w:rPr>
        <w:t xml:space="preserve">Belmonte, Juan Antonio, Mosalam Shaltout, and Magdi Fekri. </w:t>
      </w:r>
      <w:r>
        <w:rPr>
          <w:rFonts w:cs="Arial Unicode MS" w:eastAsia="Arial Unicode MS" w:hint="default"/>
          <w:rtl w:val="0"/>
          <w:lang w:val="en-US"/>
        </w:rPr>
        <w:t>‘</w:t>
      </w:r>
      <w:r>
        <w:rPr>
          <w:rFonts w:cs="Arial Unicode MS" w:eastAsia="Arial Unicode MS"/>
          <w:rtl w:val="0"/>
          <w:lang w:val="en-US"/>
        </w:rPr>
        <w:t>Astronomy, Landscape and Symbolism: A Study of the Orientation of Ancient Egyptian Temples</w:t>
      </w:r>
      <w:r>
        <w:rPr>
          <w:rFonts w:cs="Arial Unicode MS" w:eastAsia="Arial Unicode MS" w:hint="default"/>
          <w:rtl w:val="0"/>
          <w:lang w:val="en-US"/>
        </w:rPr>
        <w:t>’</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lang w:val="en-US"/>
        </w:rPr>
        <w:t>Cairo: Supreme Council of Antiquities press, 2009</w:t>
      </w:r>
      <w:r>
        <w:rPr>
          <w:rFonts w:cs="Arial Unicode MS" w:eastAsia="Arial Unicode MS"/>
          <w:rtl w:val="0"/>
          <w:lang w:val="en-US"/>
        </w:rPr>
        <w:t xml:space="preserve">), pp. </w:t>
      </w:r>
      <w:r>
        <w:rPr>
          <w:rFonts w:cs="Arial Unicode MS" w:eastAsia="Arial Unicode MS"/>
          <w:rtl w:val="0"/>
        </w:rPr>
        <w:t>211-82</w:t>
      </w:r>
      <w:r>
        <w:rPr>
          <w:rFonts w:cs="Arial Unicode MS" w:eastAsia="Arial Unicode MS"/>
          <w:rtl w:val="0"/>
          <w:lang w:val="en-US"/>
        </w:rPr>
        <w:t>.</w:t>
      </w:r>
    </w:p>
    <w:p>
      <w:pPr>
        <w:pStyle w:val="Body"/>
      </w:pPr>
    </w:p>
    <w:p>
      <w:pPr>
        <w:pStyle w:val="Body"/>
      </w:pPr>
      <w:r>
        <w:rPr>
          <w:rFonts w:cs="Arial Unicode MS" w:eastAsia="Arial Unicode MS"/>
          <w:rtl w:val="0"/>
        </w:rPr>
        <w:t xml:space="preserve">Bietak, Manfred, </w:t>
      </w:r>
      <w:r>
        <w:rPr>
          <w:rFonts w:cs="Arial Unicode MS" w:eastAsia="Arial Unicode MS" w:hint="default"/>
          <w:rtl w:val="1"/>
        </w:rPr>
        <w:t>‘</w:t>
      </w:r>
      <w:r>
        <w:rPr>
          <w:rFonts w:cs="Arial Unicode MS" w:eastAsia="Arial Unicode MS"/>
          <w:rtl w:val="0"/>
          <w:lang w:val="en-US"/>
        </w:rPr>
        <w:t>Minoan Presence in the Pharaonic Naval Base of</w:t>
      </w:r>
      <w:r>
        <w:rPr>
          <w:rFonts w:cs="Arial Unicode MS" w:eastAsia="Arial Unicode MS" w:hint="default"/>
          <w:rtl w:val="0"/>
          <w:lang w:val="en-US"/>
        </w:rPr>
        <w:t xml:space="preserve"> “</w:t>
      </w:r>
      <w:r>
        <w:rPr>
          <w:rFonts w:cs="Arial Unicode MS" w:eastAsia="Arial Unicode MS"/>
          <w:rtl w:val="0"/>
        </w:rPr>
        <w:t>Peru-Nefer</w:t>
      </w:r>
      <w:r>
        <w:rPr>
          <w:rFonts w:cs="Arial Unicode MS" w:eastAsia="Arial Unicode MS" w:hint="default"/>
          <w:rtl w:val="0"/>
          <w:lang w:val="en-US"/>
        </w:rPr>
        <w:t>”</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British School at Athens Studies</w:t>
      </w:r>
      <w:r>
        <w:rPr>
          <w:rFonts w:cs="Arial Unicode MS" w:eastAsia="Arial Unicode MS"/>
          <w:rtl w:val="0"/>
        </w:rPr>
        <w:t xml:space="preserve">: (2010), </w:t>
      </w:r>
      <w:r>
        <w:rPr>
          <w:rFonts w:cs="Arial Unicode MS" w:eastAsia="Arial Unicode MS"/>
          <w:rtl w:val="0"/>
          <w:lang w:val="en-US"/>
        </w:rPr>
        <w:t xml:space="preserve">pp. </w:t>
      </w:r>
      <w:r>
        <w:rPr>
          <w:rFonts w:cs="Arial Unicode MS" w:eastAsia="Arial Unicode MS"/>
          <w:rtl w:val="0"/>
        </w:rPr>
        <w:t>11-24</w:t>
      </w:r>
      <w:r>
        <w:rPr>
          <w:rFonts w:cs="Arial Unicode MS" w:eastAsia="Arial Unicode MS"/>
          <w:rtl w:val="0"/>
          <w:lang w:val="en-US"/>
        </w:rPr>
        <w:t>.</w:t>
      </w:r>
    </w:p>
    <w:p>
      <w:pPr>
        <w:pStyle w:val="Body"/>
      </w:pPr>
    </w:p>
    <w:p>
      <w:pPr>
        <w:pStyle w:val="Body"/>
      </w:pPr>
      <w:r>
        <w:rPr>
          <w:rFonts w:cs="Arial Unicode MS" w:eastAsia="Arial Unicode MS"/>
          <w:rtl w:val="0"/>
          <w:lang w:val="en-US"/>
        </w:rPr>
        <w:t>Blomberg, Mary, and G</w:t>
      </w:r>
      <w:r>
        <w:rPr>
          <w:rFonts w:cs="Arial Unicode MS" w:eastAsia="Arial Unicode MS" w:hint="default"/>
          <w:rtl w:val="0"/>
          <w:lang w:val="sv-SE"/>
        </w:rPr>
        <w:t>ö</w:t>
      </w:r>
      <w:r>
        <w:rPr>
          <w:rFonts w:cs="Arial Unicode MS" w:eastAsia="Arial Unicode MS"/>
          <w:rtl w:val="0"/>
        </w:rPr>
        <w:t xml:space="preserve">ran Henriksson, </w:t>
      </w:r>
      <w:r>
        <w:rPr>
          <w:rFonts w:cs="Arial Unicode MS" w:eastAsia="Arial Unicode MS" w:hint="default"/>
          <w:rtl w:val="1"/>
        </w:rPr>
        <w:t>‘</w:t>
      </w:r>
      <w:r>
        <w:rPr>
          <w:rFonts w:cs="Arial Unicode MS" w:eastAsia="Arial Unicode MS"/>
          <w:rtl w:val="0"/>
          <w:lang w:val="en-US"/>
        </w:rPr>
        <w:t>Evidence for the Minoan Origins of Stellar Navigation in the Aegean</w:t>
      </w:r>
      <w:r>
        <w:rPr>
          <w:rFonts w:cs="Arial Unicode MS" w:eastAsia="Arial Unicode MS" w:hint="default"/>
          <w:rtl w:val="1"/>
        </w:rPr>
        <w:t xml:space="preserve">’ </w:t>
      </w:r>
      <w:r>
        <w:rPr>
          <w:rFonts w:cs="Arial Unicode MS" w:eastAsia="Arial Unicode MS"/>
          <w:rtl w:val="0"/>
        </w:rPr>
        <w:t>(1999)</w:t>
      </w:r>
      <w:r>
        <w:rPr>
          <w:rFonts w:cs="Arial Unicode MS" w:eastAsia="Arial Unicode MS"/>
          <w:rtl w:val="0"/>
          <w:lang w:val="en-US"/>
        </w:rPr>
        <w:t>.</w:t>
      </w:r>
    </w:p>
    <w:p>
      <w:pPr>
        <w:pStyle w:val="Body"/>
      </w:pPr>
    </w:p>
    <w:p>
      <w:pPr>
        <w:pStyle w:val="Body"/>
      </w:pPr>
      <w:r>
        <w:rPr>
          <w:rFonts w:cs="Arial Unicode MS" w:eastAsia="Arial Unicode MS"/>
          <w:rtl w:val="0"/>
          <w:lang w:val="en-US"/>
        </w:rPr>
        <w:t>Blomberg, Mary, and G</w:t>
      </w:r>
      <w:r>
        <w:rPr>
          <w:rFonts w:cs="Arial Unicode MS" w:eastAsia="Arial Unicode MS" w:hint="default"/>
          <w:rtl w:val="0"/>
          <w:lang w:val="sv-SE"/>
        </w:rPr>
        <w:t>ö</w:t>
      </w:r>
      <w:r>
        <w:rPr>
          <w:rFonts w:cs="Arial Unicode MS" w:eastAsia="Arial Unicode MS"/>
          <w:rtl w:val="0"/>
        </w:rPr>
        <w:t xml:space="preserve">ran Henriksson, </w:t>
      </w:r>
      <w:r>
        <w:rPr>
          <w:rFonts w:cs="Arial Unicode MS" w:eastAsia="Arial Unicode MS" w:hint="default"/>
          <w:rtl w:val="1"/>
        </w:rPr>
        <w:t>‘</w:t>
      </w:r>
      <w:r>
        <w:rPr>
          <w:rFonts w:cs="Arial Unicode MS" w:eastAsia="Arial Unicode MS"/>
          <w:rtl w:val="0"/>
          <w:lang w:val="en-US"/>
        </w:rPr>
        <w:t>Orientations of the Minoan Palace at Phaistos in Crete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Ancient watching of cosmic space and observation of astronomical phenomena</w:t>
      </w:r>
      <w:r>
        <w:rPr>
          <w:rFonts w:cs="Arial Unicode MS" w:eastAsia="Arial Unicode MS"/>
          <w:i w:val="1"/>
          <w:iCs w:val="1"/>
          <w:rtl w:val="0"/>
          <w:lang w:val="en-US"/>
        </w:rPr>
        <w:t>,</w:t>
      </w:r>
      <w:r>
        <w:rPr>
          <w:rFonts w:cs="Arial Unicode MS" w:eastAsia="Arial Unicode MS"/>
          <w:i w:val="1"/>
          <w:iCs w:val="1"/>
          <w:rtl w:val="0"/>
          <w:lang w:val="en-US"/>
        </w:rPr>
        <w:t xml:space="preserve"> 6-10 April, 2006, Rhodes, Greece</w:t>
      </w:r>
      <w:r>
        <w:rPr>
          <w:rFonts w:cs="Arial Unicode MS" w:eastAsia="Arial Unicode MS"/>
          <w:rtl w:val="0"/>
        </w:rPr>
        <w:t xml:space="preserve"> (2007), </w:t>
      </w:r>
      <w:r>
        <w:rPr>
          <w:rFonts w:cs="Arial Unicode MS" w:eastAsia="Arial Unicode MS"/>
          <w:rtl w:val="0"/>
          <w:lang w:val="en-US"/>
        </w:rPr>
        <w:t xml:space="preserve">pp. </w:t>
      </w:r>
      <w:r>
        <w:rPr>
          <w:rFonts w:cs="Arial Unicode MS" w:eastAsia="Arial Unicode MS"/>
          <w:rtl w:val="0"/>
        </w:rPr>
        <w:t>185-92</w:t>
      </w:r>
      <w:r>
        <w:rPr>
          <w:rFonts w:cs="Arial Unicode MS" w:eastAsia="Arial Unicode MS"/>
          <w:rtl w:val="0"/>
          <w:lang w:val="en-US"/>
        </w:rPr>
        <w:t>.</w:t>
      </w:r>
    </w:p>
    <w:p>
      <w:pPr>
        <w:pStyle w:val="Body"/>
      </w:pPr>
    </w:p>
    <w:p>
      <w:pPr>
        <w:pStyle w:val="Body"/>
      </w:pPr>
      <w:r>
        <w:rPr>
          <w:rFonts w:cs="Arial Unicode MS" w:eastAsia="Arial Unicode MS"/>
          <w:rtl w:val="0"/>
        </w:rPr>
        <w:t>Bloomberg, M</w:t>
      </w:r>
      <w:r>
        <w:rPr>
          <w:rFonts w:cs="Arial Unicode MS" w:eastAsia="Arial Unicode MS"/>
          <w:rtl w:val="0"/>
          <w:lang w:val="en-US"/>
        </w:rPr>
        <w:t>ary</w:t>
      </w:r>
      <w:r>
        <w:rPr>
          <w:rFonts w:cs="Arial Unicode MS" w:eastAsia="Arial Unicode MS"/>
          <w:rtl w:val="0"/>
          <w:lang w:val="en-US"/>
        </w:rPr>
        <w:t xml:space="preserve"> and G</w:t>
      </w:r>
      <w:r>
        <w:rPr>
          <w:rFonts w:cs="Arial Unicode MS" w:eastAsia="Arial Unicode MS" w:hint="default"/>
          <w:rtl w:val="0"/>
          <w:lang w:val="sv-SE"/>
        </w:rPr>
        <w:t>ö</w:t>
      </w:r>
      <w:r>
        <w:rPr>
          <w:rFonts w:cs="Arial Unicode MS" w:eastAsia="Arial Unicode MS"/>
          <w:rtl w:val="0"/>
        </w:rPr>
        <w:t xml:space="preserve">ran Henriksson. </w:t>
      </w:r>
      <w:r>
        <w:rPr>
          <w:rFonts w:cs="Arial Unicode MS" w:eastAsia="Arial Unicode MS" w:hint="default"/>
          <w:rtl w:val="0"/>
          <w:lang w:val="en-US"/>
        </w:rPr>
        <w:t>‘</w:t>
      </w:r>
      <w:r>
        <w:rPr>
          <w:rFonts w:cs="Arial Unicode MS" w:eastAsia="Arial Unicode MS"/>
          <w:rtl w:val="0"/>
          <w:lang w:val="en-US"/>
        </w:rPr>
        <w:t>Crossing Geographical Borders from Minoan Crete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In Crossing Borders: Trade and Production in Premonetary Greece. Proceedings of the 7th, 8th and 9th International Workshops, Athens</w:t>
      </w:r>
      <w:r>
        <w:rPr>
          <w:rFonts w:cs="Arial Unicode MS" w:eastAsia="Arial Unicode MS"/>
          <w:rtl w:val="0"/>
          <w:lang w:val="en-US"/>
        </w:rPr>
        <w:t xml:space="preserve"> (1997),</w:t>
      </w:r>
      <w:r>
        <w:rPr>
          <w:rFonts w:cs="Arial Unicode MS" w:eastAsia="Arial Unicode MS"/>
          <w:rtl w:val="0"/>
        </w:rPr>
        <w:t xml:space="preserve"> </w:t>
      </w:r>
      <w:r>
        <w:rPr>
          <w:rFonts w:cs="Arial Unicode MS" w:eastAsia="Arial Unicode MS"/>
          <w:rtl w:val="0"/>
          <w:lang w:val="en-US"/>
        </w:rPr>
        <w:t xml:space="preserve">pp. </w:t>
      </w:r>
      <w:r>
        <w:rPr>
          <w:rFonts w:cs="Arial Unicode MS" w:eastAsia="Arial Unicode MS"/>
          <w:rtl w:val="0"/>
        </w:rPr>
        <w:t>191-210</w:t>
      </w:r>
      <w:r>
        <w:rPr>
          <w:rFonts w:cs="Arial Unicode MS" w:eastAsia="Arial Unicode MS"/>
          <w:rtl w:val="0"/>
          <w:lang w:val="en-US"/>
        </w:rPr>
        <w:t>.</w:t>
      </w:r>
    </w:p>
    <w:p>
      <w:pPr>
        <w:pStyle w:val="Body"/>
      </w:pPr>
    </w:p>
    <w:p>
      <w:pPr>
        <w:pStyle w:val="Body"/>
      </w:pPr>
      <w:r>
        <w:rPr>
          <w:rFonts w:cs="Arial Unicode MS" w:eastAsia="Arial Unicode MS"/>
          <w:rtl w:val="0"/>
        </w:rPr>
        <w:t xml:space="preserve">Boutsikas, Efrosyni, </w:t>
      </w:r>
      <w:r>
        <w:rPr>
          <w:rFonts w:cs="Arial Unicode MS" w:eastAsia="Arial Unicode MS" w:hint="default"/>
          <w:rtl w:val="1"/>
        </w:rPr>
        <w:t>‘</w:t>
      </w:r>
      <w:r>
        <w:rPr>
          <w:rFonts w:cs="Arial Unicode MS" w:eastAsia="Arial Unicode MS"/>
          <w:rtl w:val="0"/>
          <w:lang w:val="en-US"/>
        </w:rPr>
        <w:t>Greek Temples and Rituals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Handbook of Archaeoastronomy and Ethnoastronomy</w:t>
      </w:r>
      <w:r>
        <w:rPr>
          <w:rFonts w:cs="Arial Unicode MS" w:eastAsia="Arial Unicode MS"/>
          <w:i w:val="1"/>
          <w:iCs w:val="1"/>
          <w:rtl w:val="0"/>
          <w:lang w:val="en-US"/>
        </w:rPr>
        <w:t xml:space="preserve"> </w:t>
      </w:r>
      <w:r>
        <w:rPr>
          <w:rFonts w:cs="Arial Unicode MS" w:eastAsia="Arial Unicode MS"/>
          <w:rtl w:val="0"/>
        </w:rPr>
        <w:t>(2015)</w:t>
      </w:r>
      <w:r>
        <w:rPr>
          <w:rFonts w:cs="Arial Unicode MS" w:eastAsia="Arial Unicode MS"/>
          <w:rtl w:val="0"/>
          <w:lang w:val="en-US"/>
        </w:rPr>
        <w:t>.</w:t>
      </w:r>
    </w:p>
    <w:p>
      <w:pPr>
        <w:pStyle w:val="Body"/>
      </w:pPr>
    </w:p>
    <w:p>
      <w:pPr>
        <w:pStyle w:val="Body"/>
      </w:pPr>
      <w:r>
        <w:rPr>
          <w:rFonts w:cs="Arial Unicode MS" w:eastAsia="Arial Unicode MS"/>
          <w:rtl w:val="0"/>
          <w:lang w:val="en-US"/>
        </w:rPr>
        <w:t>Brady, Bernadette</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Star-Paths, Stones and Horizon Astronomy</w:t>
      </w:r>
      <w:r>
        <w:rPr>
          <w:rFonts w:cs="Arial Unicode MS" w:eastAsia="Arial Unicode MS" w:hint="default"/>
          <w:rtl w:val="1"/>
        </w:rPr>
        <w:t>’</w:t>
      </w:r>
      <w:r>
        <w:rPr>
          <w:rFonts w:cs="Arial Unicode MS" w:eastAsia="Arial Unicode MS"/>
          <w:rtl w:val="0"/>
          <w:lang w:val="en-US"/>
        </w:rPr>
        <w:t xml:space="preserve"> i</w:t>
      </w:r>
      <w:r>
        <w:rPr>
          <w:rFonts w:cs="Arial Unicode MS" w:eastAsia="Arial Unicode MS"/>
          <w:rtl w:val="0"/>
        </w:rPr>
        <w:t xml:space="preserve">n </w:t>
      </w:r>
      <w:r>
        <w:rPr>
          <w:rFonts w:cs="Arial Unicode MS" w:eastAsia="Arial Unicode MS"/>
          <w:i w:val="1"/>
          <w:iCs w:val="1"/>
          <w:rtl w:val="0"/>
          <w:lang w:val="en-US"/>
        </w:rPr>
        <w:t>SEAC 2011 Stars and Stones: Voyages in Archaeoastronomy and Cultural Astronomy</w:t>
      </w:r>
      <w:r>
        <w:rPr>
          <w:rFonts w:cs="Arial Unicode MS" w:eastAsia="Arial Unicode MS"/>
          <w:i w:val="1"/>
          <w:iCs w:val="1"/>
          <w:rtl w:val="0"/>
          <w:lang w:val="en-US"/>
        </w:rPr>
        <w:t xml:space="preserve"> </w:t>
      </w:r>
      <w:r>
        <w:rPr>
          <w:rFonts w:cs="Arial Unicode MS" w:eastAsia="Arial Unicode MS"/>
          <w:rtl w:val="0"/>
          <w:lang w:val="en-US"/>
        </w:rPr>
        <w:t>(</w:t>
      </w:r>
      <w:r>
        <w:rPr>
          <w:rFonts w:cs="Arial Unicode MS" w:eastAsia="Arial Unicode MS"/>
          <w:rtl w:val="0"/>
        </w:rPr>
        <w:t>2015</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 xml:space="preserve">pp. </w:t>
      </w:r>
      <w:r>
        <w:rPr>
          <w:rFonts w:cs="Arial Unicode MS" w:eastAsia="Arial Unicode MS"/>
          <w:rtl w:val="0"/>
        </w:rPr>
        <w:t>58-62</w:t>
      </w:r>
      <w:r>
        <w:rPr>
          <w:rFonts w:cs="Arial Unicode MS" w:eastAsia="Arial Unicode MS"/>
          <w:rtl w:val="0"/>
          <w:lang w:val="en-US"/>
        </w:rPr>
        <w:t>.</w:t>
      </w:r>
    </w:p>
    <w:p>
      <w:pPr>
        <w:pStyle w:val="Body"/>
      </w:pPr>
    </w:p>
    <w:p>
      <w:pPr>
        <w:pStyle w:val="Body"/>
      </w:pPr>
      <w:r>
        <w:rPr>
          <w:rFonts w:cs="Arial Unicode MS" w:eastAsia="Arial Unicode MS"/>
          <w:rtl w:val="0"/>
          <w:lang w:val="en-US"/>
        </w:rPr>
        <w:t xml:space="preserve">Branigan, Keith, </w:t>
      </w:r>
      <w:r>
        <w:rPr>
          <w:rFonts w:cs="Arial Unicode MS" w:eastAsia="Arial Unicode MS" w:hint="default"/>
          <w:rtl w:val="1"/>
        </w:rPr>
        <w:t>‘</w:t>
      </w:r>
      <w:r>
        <w:rPr>
          <w:rFonts w:cs="Arial Unicode MS" w:eastAsia="Arial Unicode MS"/>
          <w:rtl w:val="0"/>
          <w:lang w:val="en-US"/>
        </w:rPr>
        <w:t>Further Light on Prehistoric Relations between Crete and Byblos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American Journal of Archaeology</w:t>
      </w:r>
      <w:r>
        <w:rPr>
          <w:rFonts w:cs="Arial Unicode MS" w:eastAsia="Arial Unicode MS"/>
          <w:rtl w:val="0"/>
        </w:rPr>
        <w:t xml:space="preserve">, 71 (1967), </w:t>
      </w:r>
      <w:r>
        <w:rPr>
          <w:rFonts w:cs="Arial Unicode MS" w:eastAsia="Arial Unicode MS"/>
          <w:rtl w:val="0"/>
          <w:lang w:val="en-US"/>
        </w:rPr>
        <w:t xml:space="preserve">pp. </w:t>
      </w:r>
      <w:r>
        <w:rPr>
          <w:rFonts w:cs="Arial Unicode MS" w:eastAsia="Arial Unicode MS"/>
          <w:rtl w:val="0"/>
        </w:rPr>
        <w:t>117-21</w:t>
      </w:r>
      <w:r>
        <w:rPr>
          <w:rFonts w:cs="Arial Unicode MS" w:eastAsia="Arial Unicode MS"/>
          <w:rtl w:val="0"/>
          <w:lang w:val="en-US"/>
        </w:rPr>
        <w:t>.</w:t>
      </w:r>
    </w:p>
    <w:p>
      <w:pPr>
        <w:pStyle w:val="Body"/>
      </w:pPr>
    </w:p>
    <w:p>
      <w:pPr>
        <w:pStyle w:val="Body"/>
      </w:pPr>
      <w:r>
        <w:rPr>
          <w:rFonts w:cs="Arial Unicode MS" w:eastAsia="Arial Unicode MS"/>
          <w:rtl w:val="0"/>
          <w:lang w:val="nl-NL"/>
        </w:rPr>
        <w:t xml:space="preserve">Broodbank, Cyprian, </w:t>
      </w:r>
      <w:r>
        <w:rPr>
          <w:rFonts w:cs="Arial Unicode MS" w:eastAsia="Arial Unicode MS"/>
          <w:i w:val="1"/>
          <w:iCs w:val="1"/>
          <w:rtl w:val="0"/>
          <w:lang w:val="en-US"/>
        </w:rPr>
        <w:t>An Island Archaeology of the Early Cyclades</w:t>
      </w:r>
      <w:r>
        <w:rPr>
          <w:rFonts w:cs="Arial Unicode MS" w:eastAsia="Arial Unicode MS"/>
          <w:rtl w:val="0"/>
          <w:lang w:val="en-US"/>
        </w:rPr>
        <w:t xml:space="preserve"> (Cambridge University Press, 2002)</w:t>
      </w:r>
      <w:r>
        <w:rPr>
          <w:rFonts w:cs="Arial Unicode MS" w:eastAsia="Arial Unicode MS"/>
          <w:rtl w:val="0"/>
          <w:lang w:val="en-US"/>
        </w:rPr>
        <w:t>.</w:t>
      </w:r>
    </w:p>
    <w:p>
      <w:pPr>
        <w:pStyle w:val="Body"/>
      </w:pPr>
    </w:p>
    <w:p>
      <w:pPr>
        <w:pStyle w:val="Body"/>
      </w:pPr>
      <w:r>
        <w:rPr>
          <w:rFonts w:cs="Arial Unicode MS" w:eastAsia="Arial Unicode MS"/>
          <w:rtl w:val="0"/>
          <w:lang w:val="en-US"/>
        </w:rPr>
        <w:t>Broodbank, Cyprian, and Thomas F</w:t>
      </w:r>
      <w:r>
        <w:rPr>
          <w:rFonts w:cs="Arial Unicode MS" w:eastAsia="Arial Unicode MS"/>
          <w:rtl w:val="0"/>
          <w:lang w:val="en-US"/>
        </w:rPr>
        <w:t>.</w:t>
      </w:r>
      <w:r>
        <w:rPr>
          <w:rFonts w:cs="Arial Unicode MS" w:eastAsia="Arial Unicode MS"/>
          <w:rtl w:val="0"/>
          <w:lang w:val="de-DE"/>
        </w:rPr>
        <w:t xml:space="preserve"> Strasser, </w:t>
      </w:r>
      <w:r>
        <w:rPr>
          <w:rFonts w:cs="Arial Unicode MS" w:eastAsia="Arial Unicode MS" w:hint="default"/>
          <w:rtl w:val="1"/>
        </w:rPr>
        <w:t>‘</w:t>
      </w:r>
      <w:r>
        <w:rPr>
          <w:rFonts w:cs="Arial Unicode MS" w:eastAsia="Arial Unicode MS"/>
          <w:rtl w:val="0"/>
          <w:lang w:val="en-US"/>
        </w:rPr>
        <w:t>Migrant Farmers and the Neolithic Colonization of Crete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fr-FR"/>
        </w:rPr>
        <w:t>Antiquity</w:t>
      </w:r>
      <w:r>
        <w:rPr>
          <w:rFonts w:cs="Arial Unicode MS" w:eastAsia="Arial Unicode MS"/>
          <w:rtl w:val="0"/>
        </w:rPr>
        <w:t>, 65 (1991)</w:t>
      </w:r>
      <w:r>
        <w:rPr>
          <w:rFonts w:cs="Arial Unicode MS" w:eastAsia="Arial Unicode MS"/>
          <w:rtl w:val="0"/>
          <w:lang w:val="en-US"/>
        </w:rPr>
        <w:t>.</w:t>
      </w:r>
    </w:p>
    <w:p>
      <w:pPr>
        <w:pStyle w:val="Body"/>
      </w:pPr>
    </w:p>
    <w:p>
      <w:pPr>
        <w:pStyle w:val="Body"/>
      </w:pPr>
      <w:r>
        <w:rPr>
          <w:rFonts w:cs="Arial Unicode MS" w:eastAsia="Arial Unicode MS"/>
          <w:rtl w:val="0"/>
          <w:lang w:val="de-DE"/>
        </w:rPr>
        <w:t xml:space="preserve">Bryce, Trevor, </w:t>
      </w:r>
      <w:r>
        <w:rPr>
          <w:rFonts w:cs="Arial Unicode MS" w:eastAsia="Arial Unicode MS"/>
          <w:i w:val="1"/>
          <w:iCs w:val="1"/>
          <w:rtl w:val="0"/>
          <w:lang w:val="en-US"/>
        </w:rPr>
        <w:t>The Routledge Handbook of the Peoples and Places of Ancient Western Asia: The near East from the Early Bronze Age to the Fall of the Persian Empire</w:t>
      </w:r>
      <w:r>
        <w:rPr>
          <w:rFonts w:cs="Arial Unicode MS" w:eastAsia="Arial Unicode MS"/>
          <w:rtl w:val="0"/>
          <w:lang w:val="en-US"/>
        </w:rPr>
        <w:t xml:space="preserve"> (Routledge, 2009).</w:t>
      </w:r>
    </w:p>
    <w:p>
      <w:pPr>
        <w:pStyle w:val="Body"/>
      </w:pPr>
    </w:p>
    <w:p>
      <w:pPr>
        <w:pStyle w:val="Body"/>
      </w:pPr>
      <w:r>
        <w:rPr>
          <w:rFonts w:cs="Arial Unicode MS" w:eastAsia="Arial Unicode MS"/>
          <w:rtl w:val="0"/>
          <w:lang w:val="nl-NL"/>
        </w:rPr>
        <w:t xml:space="preserve">Burkert, Walter, </w:t>
      </w:r>
      <w:r>
        <w:rPr>
          <w:rFonts w:cs="Arial Unicode MS" w:eastAsia="Arial Unicode MS"/>
          <w:i w:val="1"/>
          <w:iCs w:val="1"/>
          <w:rtl w:val="0"/>
          <w:lang w:val="en-US"/>
        </w:rPr>
        <w:t>Greek Religion</w:t>
      </w:r>
      <w:r>
        <w:rPr>
          <w:rFonts w:cs="Arial Unicode MS" w:eastAsia="Arial Unicode MS"/>
          <w:rtl w:val="0"/>
          <w:lang w:val="en-US"/>
        </w:rPr>
        <w:t xml:space="preserve"> (Harvard University Press, 1985).</w:t>
      </w:r>
    </w:p>
    <w:p>
      <w:pPr>
        <w:pStyle w:val="Body"/>
      </w:pPr>
    </w:p>
    <w:p>
      <w:pPr>
        <w:pStyle w:val="Body"/>
      </w:pPr>
      <w:r>
        <w:rPr>
          <w:rFonts w:cs="Arial Unicode MS" w:eastAsia="Arial Unicode MS"/>
          <w:rtl w:val="0"/>
          <w:lang w:val="de-DE"/>
        </w:rPr>
        <w:t xml:space="preserve">Campion, Nicholas, </w:t>
      </w:r>
      <w:r>
        <w:rPr>
          <w:rFonts w:cs="Arial Unicode MS" w:eastAsia="Arial Unicode MS" w:hint="default"/>
          <w:rtl w:val="1"/>
        </w:rPr>
        <w:t>‘</w:t>
      </w:r>
      <w:r>
        <w:rPr>
          <w:rFonts w:cs="Arial Unicode MS" w:eastAsia="Arial Unicode MS"/>
          <w:rtl w:val="0"/>
          <w:lang w:val="en-US"/>
        </w:rPr>
        <w:t>Skyscapes: Locating Archaeoastronomy within Academia</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Skyscapes: The Role and Importance of the Sky in Archaeology, edited by F. Silva and N. Campion</w:t>
      </w:r>
      <w:r>
        <w:rPr>
          <w:rFonts w:cs="Arial Unicode MS" w:eastAsia="Arial Unicode MS"/>
          <w:rtl w:val="0"/>
        </w:rPr>
        <w:t xml:space="preserve"> (2015), </w:t>
      </w:r>
      <w:r>
        <w:rPr>
          <w:rFonts w:cs="Arial Unicode MS" w:eastAsia="Arial Unicode MS"/>
          <w:rtl w:val="0"/>
          <w:lang w:val="en-US"/>
        </w:rPr>
        <w:t xml:space="preserve">pp. </w:t>
      </w:r>
      <w:r>
        <w:rPr>
          <w:rFonts w:cs="Arial Unicode MS" w:eastAsia="Arial Unicode MS"/>
          <w:rtl w:val="0"/>
        </w:rPr>
        <w:t>8-19.</w:t>
      </w:r>
    </w:p>
    <w:p>
      <w:pPr>
        <w:pStyle w:val="Body"/>
      </w:pPr>
    </w:p>
    <w:p>
      <w:pPr>
        <w:pStyle w:val="Body"/>
      </w:pPr>
      <w:r>
        <w:rPr>
          <w:rFonts w:cs="Arial Unicode MS" w:eastAsia="Arial Unicode MS"/>
          <w:rtl w:val="0"/>
          <w:lang w:val="en-US"/>
        </w:rPr>
        <w:t>Cartwright</w:t>
      </w:r>
      <w:r>
        <w:rPr>
          <w:rFonts w:cs="Arial Unicode MS" w:eastAsia="Arial Unicode MS"/>
          <w:rtl w:val="0"/>
          <w:lang w:val="en-US"/>
        </w:rPr>
        <w:t xml:space="preserve">, </w:t>
      </w:r>
      <w:r>
        <w:rPr>
          <w:rFonts w:cs="Arial Unicode MS" w:eastAsia="Arial Unicode MS"/>
          <w:rtl w:val="0"/>
        </w:rPr>
        <w:t xml:space="preserve">Mark. </w:t>
      </w:r>
      <w:r>
        <w:rPr>
          <w:rFonts w:cs="Arial Unicode MS" w:eastAsia="Arial Unicode MS" w:hint="default"/>
          <w:rtl w:val="1"/>
        </w:rPr>
        <w:t>‘</w:t>
      </w:r>
      <w:r>
        <w:rPr>
          <w:rFonts w:cs="Arial Unicode MS" w:eastAsia="Arial Unicode MS"/>
          <w:rtl w:val="0"/>
          <w:lang w:val="it-IT"/>
        </w:rPr>
        <w:t>Coricancha</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World History Encyclopedia</w:t>
      </w:r>
      <w:r>
        <w:rPr>
          <w:rFonts w:cs="Arial Unicode MS" w:eastAsia="Arial Unicode MS"/>
          <w:rtl w:val="0"/>
        </w:rPr>
        <w:t xml:space="preserve">, </w:t>
      </w:r>
      <w:r>
        <w:rPr>
          <w:rFonts w:cs="Arial Unicode MS" w:eastAsia="Arial Unicode MS"/>
          <w:rtl w:val="0"/>
          <w:lang w:val="en-US"/>
        </w:rPr>
        <w:t xml:space="preserve">from </w:t>
      </w:r>
      <w:r>
        <w:rPr>
          <w:rFonts w:cs="Arial Unicode MS" w:eastAsia="Arial Unicode MS"/>
          <w:rtl w:val="0"/>
          <w:lang w:val="en-US"/>
        </w:rPr>
        <w:t>&lt;https://www.worldhistory.org/Coricancha/&gt;</w:t>
      </w:r>
      <w:r>
        <w:rPr>
          <w:rFonts w:cs="Arial Unicode MS" w:eastAsia="Arial Unicode MS"/>
          <w:rtl w:val="0"/>
          <w:lang w:val="en-US"/>
        </w:rPr>
        <w:t xml:space="preserve"> [</w:t>
      </w:r>
      <w:r>
        <w:rPr>
          <w:rFonts w:cs="Arial Unicode MS" w:eastAsia="Arial Unicode MS"/>
          <w:rtl w:val="0"/>
          <w:lang w:val="en-US"/>
        </w:rPr>
        <w:t>Accessed on September 17th, 2021</w:t>
      </w:r>
      <w:r>
        <w:rPr>
          <w:rFonts w:cs="Arial Unicode MS" w:eastAsia="Arial Unicode MS"/>
          <w:rtl w:val="0"/>
          <w:lang w:val="en-US"/>
        </w:rPr>
        <w:t>].</w:t>
      </w:r>
    </w:p>
    <w:p>
      <w:pPr>
        <w:pStyle w:val="Body"/>
      </w:pPr>
    </w:p>
    <w:p>
      <w:pPr>
        <w:pStyle w:val="Body"/>
      </w:pPr>
      <w:r>
        <w:rPr>
          <w:rFonts w:cs="Arial Unicode MS" w:eastAsia="Arial Unicode MS"/>
          <w:rtl w:val="0"/>
          <w:lang w:val="fr-FR"/>
        </w:rPr>
        <w:t xml:space="preserve">Chryssoulaki, </w:t>
      </w:r>
      <w:r>
        <w:rPr>
          <w:rFonts w:cs="Arial Unicode MS" w:eastAsia="Arial Unicode MS"/>
          <w:rtl w:val="0"/>
          <w:lang w:val="en-US"/>
        </w:rPr>
        <w:t>Stella</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The Imaginary Navy of Minoan Crete: Rocky Coasts and Probable Harbours</w:t>
      </w:r>
      <w:r>
        <w:rPr>
          <w:rFonts w:cs="Arial Unicode MS" w:eastAsia="Arial Unicode MS" w:hint="default"/>
          <w:rtl w:val="1"/>
        </w:rPr>
        <w:t>’</w:t>
      </w:r>
      <w:r>
        <w:rPr>
          <w:rFonts w:cs="Arial Unicode MS" w:eastAsia="Arial Unicode MS"/>
          <w:rtl w:val="0"/>
          <w:lang w:val="en-US"/>
        </w:rPr>
        <w:t xml:space="preserve"> in </w:t>
      </w:r>
      <w:r>
        <w:rPr>
          <w:rFonts w:cs="Arial Unicode MS" w:eastAsia="Arial Unicode MS"/>
          <w:i w:val="1"/>
          <w:iCs w:val="1"/>
          <w:rtl w:val="0"/>
          <w:lang w:val="en-US"/>
        </w:rPr>
        <w:t>Emporia: Aegeans in the Central and Eastern Mediterranean. Proceedings of the 10th International Aegean Conference, Athens, Italian School of Archaeology, 14</w:t>
      </w:r>
      <w:r>
        <w:rPr>
          <w:rFonts w:cs="Arial Unicode MS" w:eastAsia="Arial Unicode MS" w:hint="default"/>
          <w:i w:val="1"/>
          <w:iCs w:val="1"/>
          <w:rtl w:val="0"/>
        </w:rPr>
        <w:t>–</w:t>
      </w:r>
      <w:r>
        <w:rPr>
          <w:rFonts w:cs="Arial Unicode MS" w:eastAsia="Arial Unicode MS"/>
          <w:i w:val="1"/>
          <w:iCs w:val="1"/>
          <w:rtl w:val="0"/>
          <w:lang w:val="it-IT"/>
        </w:rPr>
        <w:t>18 April 2004</w:t>
      </w:r>
      <w:r>
        <w:rPr>
          <w:rFonts w:cs="Arial Unicode MS" w:eastAsia="Arial Unicode MS"/>
          <w:rtl w:val="0"/>
          <w:lang w:val="da-DK"/>
        </w:rPr>
        <w:t xml:space="preserve"> (Aegaeum</w:t>
      </w:r>
      <w:r>
        <w:rPr>
          <w:rFonts w:cs="Arial Unicode MS" w:eastAsia="Arial Unicode MS"/>
          <w:rtl w:val="0"/>
        </w:rPr>
        <w:t xml:space="preserve">, </w:t>
      </w:r>
      <w:r>
        <w:rPr>
          <w:rFonts w:cs="Arial Unicode MS" w:eastAsia="Arial Unicode MS"/>
          <w:rtl w:val="0"/>
        </w:rPr>
        <w:t>2005</w:t>
      </w:r>
      <w:r>
        <w:rPr>
          <w:rFonts w:cs="Arial Unicode MS" w:eastAsia="Arial Unicode MS"/>
          <w:rtl w:val="0"/>
          <w:lang w:val="en-US"/>
        </w:rPr>
        <w:t xml:space="preserve">), pp. </w:t>
      </w:r>
      <w:r>
        <w:rPr>
          <w:rFonts w:cs="Arial Unicode MS" w:eastAsia="Arial Unicode MS"/>
          <w:rtl w:val="0"/>
          <w:lang w:val="it-IT"/>
        </w:rPr>
        <w:t>77-89.</w:t>
      </w:r>
    </w:p>
    <w:p>
      <w:pPr>
        <w:pStyle w:val="Body"/>
      </w:pPr>
    </w:p>
    <w:p>
      <w:pPr>
        <w:pStyle w:val="Body"/>
      </w:pPr>
      <w:r>
        <w:rPr>
          <w:rFonts w:cs="Arial Unicode MS" w:eastAsia="Arial Unicode MS"/>
          <w:rtl w:val="0"/>
          <w:lang w:val="en-US"/>
        </w:rPr>
        <w:t>Cline, Eric H</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Rethinking Mycenaean International Trade with Egypt and the near East</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Rethinking Mycenaean Palaces II</w:t>
      </w:r>
      <w:r>
        <w:rPr>
          <w:rFonts w:cs="Arial Unicode MS" w:eastAsia="Arial Unicode MS"/>
          <w:rtl w:val="0"/>
        </w:rPr>
        <w:t xml:space="preserve"> (2007),</w:t>
      </w:r>
      <w:r>
        <w:rPr>
          <w:rFonts w:cs="Arial Unicode MS" w:eastAsia="Arial Unicode MS"/>
          <w:rtl w:val="0"/>
          <w:lang w:val="en-US"/>
        </w:rPr>
        <w:t xml:space="preserve"> pp.</w:t>
      </w:r>
      <w:r>
        <w:rPr>
          <w:rFonts w:cs="Arial Unicode MS" w:eastAsia="Arial Unicode MS"/>
          <w:rtl w:val="0"/>
        </w:rPr>
        <w:t xml:space="preserve"> 190-200.</w:t>
      </w:r>
    </w:p>
    <w:p>
      <w:pPr>
        <w:pStyle w:val="Body"/>
      </w:pPr>
    </w:p>
    <w:p>
      <w:pPr>
        <w:pStyle w:val="Body"/>
      </w:pPr>
      <w:r>
        <w:rPr>
          <w:rFonts w:cs="Arial Unicode MS" w:eastAsia="Arial Unicode MS"/>
          <w:rtl w:val="0"/>
        </w:rPr>
        <w:t>Coleman, John E</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1"/>
        </w:rPr>
        <w:t>‘</w:t>
      </w:r>
      <w:r>
        <w:rPr>
          <w:rFonts w:cs="Arial Unicode MS" w:eastAsia="Arial Unicode MS" w:hint="default"/>
          <w:rtl w:val="0"/>
          <w:lang w:val="en-US"/>
        </w:rPr>
        <w:t>“</w:t>
      </w:r>
      <w:r>
        <w:rPr>
          <w:rFonts w:cs="Arial Unicode MS" w:eastAsia="Arial Unicode MS"/>
          <w:rtl w:val="0"/>
          <w:lang w:val="en-US"/>
        </w:rPr>
        <w:t>Frying Pans</w:t>
      </w:r>
      <w:r>
        <w:rPr>
          <w:rFonts w:cs="Arial Unicode MS" w:eastAsia="Arial Unicode MS" w:hint="default"/>
          <w:rtl w:val="0"/>
          <w:lang w:val="en-US"/>
        </w:rPr>
        <w:t>”</w:t>
      </w:r>
      <w:r>
        <w:rPr>
          <w:rFonts w:cs="Arial Unicode MS" w:eastAsia="Arial Unicode MS"/>
          <w:rtl w:val="0"/>
          <w:lang w:val="en-US"/>
        </w:rPr>
        <w:t xml:space="preserve"> of the Early Bronze Age Aegean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American Journal of Archaeology</w:t>
      </w:r>
      <w:r>
        <w:rPr>
          <w:rFonts w:cs="Arial Unicode MS" w:eastAsia="Arial Unicode MS"/>
          <w:rtl w:val="0"/>
        </w:rPr>
        <w:t xml:space="preserve">: (1985), </w:t>
      </w:r>
      <w:r>
        <w:rPr>
          <w:rFonts w:cs="Arial Unicode MS" w:eastAsia="Arial Unicode MS"/>
          <w:rtl w:val="0"/>
          <w:lang w:val="en-US"/>
        </w:rPr>
        <w:t xml:space="preserve">pp. </w:t>
      </w:r>
      <w:r>
        <w:rPr>
          <w:rFonts w:cs="Arial Unicode MS" w:eastAsia="Arial Unicode MS"/>
          <w:rtl w:val="0"/>
        </w:rPr>
        <w:t>191-219.</w:t>
      </w:r>
    </w:p>
    <w:p>
      <w:pPr>
        <w:pStyle w:val="Body"/>
      </w:pPr>
    </w:p>
    <w:p>
      <w:pPr>
        <w:pStyle w:val="Body"/>
      </w:pPr>
      <w:r>
        <w:rPr>
          <w:rFonts w:cs="Arial Unicode MS" w:eastAsia="Arial Unicode MS"/>
          <w:rtl w:val="0"/>
          <w:lang w:val="da-DK"/>
        </w:rPr>
        <w:t>Cotter, H</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The Early History of Great Circle Sailing</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The Journal of Navigation</w:t>
      </w:r>
      <w:r>
        <w:rPr>
          <w:rFonts w:cs="Arial Unicode MS" w:eastAsia="Arial Unicode MS"/>
          <w:rtl w:val="0"/>
        </w:rPr>
        <w:t xml:space="preserve">, 29 (1976), </w:t>
      </w:r>
      <w:r>
        <w:rPr>
          <w:rFonts w:cs="Arial Unicode MS" w:eastAsia="Arial Unicode MS"/>
          <w:rtl w:val="0"/>
          <w:lang w:val="en-US"/>
        </w:rPr>
        <w:t xml:space="preserve">pp. </w:t>
      </w:r>
      <w:r>
        <w:rPr>
          <w:rFonts w:cs="Arial Unicode MS" w:eastAsia="Arial Unicode MS"/>
          <w:rtl w:val="0"/>
        </w:rPr>
        <w:t>254-62.</w:t>
      </w:r>
    </w:p>
    <w:p>
      <w:pPr>
        <w:pStyle w:val="Body"/>
      </w:pPr>
    </w:p>
    <w:p>
      <w:pPr>
        <w:pStyle w:val="Body"/>
      </w:pPr>
      <w:r>
        <w:rPr>
          <w:rFonts w:cs="Arial Unicode MS" w:eastAsia="Arial Unicode MS"/>
          <w:rtl w:val="0"/>
          <w:lang w:val="en-US"/>
        </w:rPr>
        <w:t>Davis, Danny Lee</w:t>
      </w:r>
      <w:r>
        <w:rPr>
          <w:rFonts w:cs="Arial Unicode MS" w:eastAsia="Arial Unicode MS"/>
          <w:rtl w:val="0"/>
          <w:lang w:val="en-US"/>
        </w:rPr>
        <w:t>,</w:t>
      </w:r>
      <w:r>
        <w:rPr>
          <w:rFonts w:cs="Arial Unicode MS" w:eastAsia="Arial Unicode MS" w:hint="default"/>
          <w:rtl w:val="1"/>
        </w:rPr>
        <w:t xml:space="preserve"> ‘</w:t>
      </w:r>
      <w:r>
        <w:rPr>
          <w:rFonts w:cs="Arial Unicode MS" w:eastAsia="Arial Unicode MS"/>
          <w:rtl w:val="0"/>
          <w:lang w:val="en-US"/>
        </w:rPr>
        <w:t>Navigation in the Ancient Eastern Mediterranean</w:t>
      </w:r>
      <w:r>
        <w:rPr>
          <w:rFonts w:cs="Arial Unicode MS" w:eastAsia="Arial Unicode MS" w:hint="default"/>
          <w:rtl w:val="1"/>
        </w:rPr>
        <w:t>’</w:t>
      </w:r>
      <w:r>
        <w:rPr>
          <w:rFonts w:cs="Arial Unicode MS" w:eastAsia="Arial Unicode MS"/>
          <w:rtl w:val="0"/>
        </w:rPr>
        <w:t xml:space="preserve">, </w:t>
      </w:r>
      <w:r>
        <w:rPr>
          <w:rFonts w:cs="Arial Unicode MS" w:eastAsia="Arial Unicode MS"/>
          <w:rtl w:val="0"/>
          <w:lang w:val="en-US"/>
        </w:rPr>
        <w:t xml:space="preserve">(Thesis, </w:t>
      </w:r>
      <w:r>
        <w:rPr>
          <w:rFonts w:cs="Arial Unicode MS" w:eastAsia="Arial Unicode MS"/>
          <w:rtl w:val="0"/>
          <w:lang w:val="en-US"/>
        </w:rPr>
        <w:t>Texas A&amp;M University</w:t>
      </w:r>
      <w:r>
        <w:rPr>
          <w:rFonts w:cs="Arial Unicode MS" w:eastAsia="Arial Unicode MS"/>
          <w:rtl w:val="0"/>
          <w:lang w:val="en-US"/>
        </w:rPr>
        <w:t xml:space="preserve"> </w:t>
      </w:r>
      <w:r>
        <w:rPr>
          <w:rFonts w:cs="Arial Unicode MS" w:eastAsia="Arial Unicode MS"/>
          <w:rtl w:val="0"/>
        </w:rPr>
        <w:t>2001</w:t>
      </w:r>
      <w:r>
        <w:rPr>
          <w:rFonts w:cs="Arial Unicode MS" w:eastAsia="Arial Unicode MS"/>
          <w:rtl w:val="0"/>
          <w:lang w:val="en-US"/>
        </w:rPr>
        <w:t>)</w:t>
      </w:r>
      <w:r>
        <w:rPr>
          <w:rFonts w:cs="Arial Unicode MS" w:eastAsia="Arial Unicode MS"/>
          <w:rtl w:val="0"/>
        </w:rPr>
        <w:t>.</w:t>
      </w:r>
    </w:p>
    <w:p>
      <w:pPr>
        <w:pStyle w:val="Body"/>
      </w:pPr>
    </w:p>
    <w:p>
      <w:pPr>
        <w:pStyle w:val="Body"/>
      </w:pPr>
      <w:r>
        <w:rPr>
          <w:rFonts w:cs="Arial Unicode MS" w:eastAsia="Arial Unicode MS"/>
          <w:rtl w:val="0"/>
          <w:lang w:val="de-DE"/>
        </w:rPr>
        <w:t>DeBoer, Warren R</w:t>
      </w:r>
      <w:r>
        <w:rPr>
          <w:rFonts w:cs="Arial Unicode MS" w:eastAsia="Arial Unicode MS"/>
          <w:rtl w:val="0"/>
          <w:lang w:val="en-US"/>
        </w:rPr>
        <w:t>.</w:t>
      </w:r>
      <w:r>
        <w:rPr>
          <w:rFonts w:cs="Arial Unicode MS" w:eastAsia="Arial Unicode MS"/>
          <w:rtl w:val="0"/>
          <w:lang w:val="en-US"/>
        </w:rPr>
        <w:t>, and John H</w:t>
      </w:r>
      <w:r>
        <w:rPr>
          <w:rFonts w:cs="Arial Unicode MS" w:eastAsia="Arial Unicode MS"/>
          <w:rtl w:val="0"/>
          <w:lang w:val="en-US"/>
        </w:rPr>
        <w:t>.</w:t>
      </w:r>
      <w:r>
        <w:rPr>
          <w:rFonts w:cs="Arial Unicode MS" w:eastAsia="Arial Unicode MS"/>
          <w:rtl w:val="0"/>
          <w:lang w:val="de-DE"/>
        </w:rPr>
        <w:t xml:space="preserve"> Blitz, </w:t>
      </w:r>
      <w:r>
        <w:rPr>
          <w:rFonts w:cs="Arial Unicode MS" w:eastAsia="Arial Unicode MS" w:hint="default"/>
          <w:rtl w:val="1"/>
        </w:rPr>
        <w:t>‘</w:t>
      </w:r>
      <w:r>
        <w:rPr>
          <w:rFonts w:cs="Arial Unicode MS" w:eastAsia="Arial Unicode MS"/>
          <w:rtl w:val="0"/>
          <w:lang w:val="en-US"/>
        </w:rPr>
        <w:t>Ceremonial Centers of the Chachi</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Expedition</w:t>
      </w:r>
      <w:r>
        <w:rPr>
          <w:rFonts w:cs="Arial Unicode MS" w:eastAsia="Arial Unicode MS"/>
          <w:rtl w:val="0"/>
        </w:rPr>
        <w:t xml:space="preserve">, 33 (1991), </w:t>
      </w:r>
      <w:r>
        <w:rPr>
          <w:rFonts w:cs="Arial Unicode MS" w:eastAsia="Arial Unicode MS"/>
          <w:rtl w:val="0"/>
          <w:lang w:val="en-US"/>
        </w:rPr>
        <w:t xml:space="preserve">p. </w:t>
      </w:r>
      <w:r>
        <w:rPr>
          <w:rFonts w:cs="Arial Unicode MS" w:eastAsia="Arial Unicode MS"/>
          <w:rtl w:val="0"/>
        </w:rPr>
        <w:t>53.</w:t>
      </w:r>
    </w:p>
    <w:p>
      <w:pPr>
        <w:pStyle w:val="Body"/>
      </w:pPr>
    </w:p>
    <w:p>
      <w:pPr>
        <w:pStyle w:val="Body"/>
      </w:pPr>
      <w:r>
        <w:rPr>
          <w:rFonts w:cs="Arial Unicode MS" w:eastAsia="Arial Unicode MS"/>
          <w:rtl w:val="0"/>
          <w:lang w:val="da-DK"/>
        </w:rPr>
        <w:t xml:space="preserve">Doxtater, Dennis, </w:t>
      </w:r>
      <w:r>
        <w:rPr>
          <w:rFonts w:cs="Arial Unicode MS" w:eastAsia="Arial Unicode MS" w:hint="default"/>
          <w:rtl w:val="1"/>
        </w:rPr>
        <w:t>‘</w:t>
      </w:r>
      <w:r>
        <w:rPr>
          <w:rFonts w:cs="Arial Unicode MS" w:eastAsia="Arial Unicode MS"/>
          <w:rtl w:val="0"/>
          <w:lang w:val="en-US"/>
        </w:rPr>
        <w:t>Rethinking the Sacred Landscape Minoan Palaces in a Georitual Framework of Natural Features on Crete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Landscape Journal</w:t>
      </w:r>
      <w:r>
        <w:rPr>
          <w:rFonts w:cs="Arial Unicode MS" w:eastAsia="Arial Unicode MS"/>
          <w:rtl w:val="0"/>
        </w:rPr>
        <w:t xml:space="preserve">, 28 (2009), </w:t>
      </w:r>
      <w:r>
        <w:rPr>
          <w:rFonts w:cs="Arial Unicode MS" w:eastAsia="Arial Unicode MS"/>
          <w:rtl w:val="0"/>
          <w:lang w:val="en-US"/>
        </w:rPr>
        <w:t xml:space="preserve">pp. </w:t>
      </w:r>
      <w:r>
        <w:rPr>
          <w:rFonts w:cs="Arial Unicode MS" w:eastAsia="Arial Unicode MS"/>
          <w:rtl w:val="0"/>
        </w:rPr>
        <w:t>1-21.</w:t>
      </w:r>
    </w:p>
    <w:p>
      <w:pPr>
        <w:pStyle w:val="Body"/>
      </w:pPr>
    </w:p>
    <w:p>
      <w:pPr>
        <w:pStyle w:val="Body"/>
      </w:pPr>
      <w:r>
        <w:rPr>
          <w:rFonts w:cs="Arial Unicode MS" w:eastAsia="Arial Unicode MS"/>
          <w:rtl w:val="0"/>
          <w:lang w:val="nl-NL"/>
        </w:rPr>
        <w:t xml:space="preserve">Driessen, Jan, </w:t>
      </w:r>
      <w:r>
        <w:rPr>
          <w:rFonts w:cs="Arial Unicode MS" w:eastAsia="Arial Unicode MS" w:hint="default"/>
          <w:rtl w:val="1"/>
        </w:rPr>
        <w:t>‘</w:t>
      </w:r>
      <w:r>
        <w:rPr>
          <w:rFonts w:cs="Arial Unicode MS" w:eastAsia="Arial Unicode MS"/>
          <w:rtl w:val="0"/>
        </w:rPr>
        <w:t>I</w:t>
      </w:r>
      <w:r>
        <w:rPr>
          <w:rFonts w:cs="Arial Unicode MS" w:eastAsia="Arial Unicode MS"/>
          <w:rtl w:val="0"/>
          <w:lang w:val="en-US"/>
        </w:rPr>
        <w:t>I</w:t>
      </w:r>
      <w:r>
        <w:rPr>
          <w:rFonts w:cs="Arial Unicode MS" w:eastAsia="Arial Unicode MS"/>
          <w:rtl w:val="0"/>
          <w:lang w:val="en-US"/>
        </w:rPr>
        <w:t>b or Not I</w:t>
      </w:r>
      <w:r>
        <w:rPr>
          <w:rFonts w:cs="Arial Unicode MS" w:eastAsia="Arial Unicode MS"/>
          <w:rtl w:val="0"/>
          <w:lang w:val="en-US"/>
        </w:rPr>
        <w:t>I</w:t>
      </w:r>
      <w:r>
        <w:rPr>
          <w:rFonts w:cs="Arial Unicode MS" w:eastAsia="Arial Unicode MS"/>
          <w:rtl w:val="0"/>
          <w:lang w:val="en-US"/>
        </w:rPr>
        <w:t>b: On the Beginnings of Minoan Monument Building</w:t>
      </w:r>
      <w:r>
        <w:rPr>
          <w:rFonts w:cs="Arial Unicode MS" w:eastAsia="Arial Unicode MS" w:hint="default"/>
          <w:rtl w:val="1"/>
        </w:rPr>
        <w:t xml:space="preserve">’ </w:t>
      </w:r>
      <w:r>
        <w:rPr>
          <w:rFonts w:cs="Arial Unicode MS" w:eastAsia="Arial Unicode MS"/>
          <w:rtl w:val="0"/>
        </w:rPr>
        <w:t>(2007).</w:t>
      </w:r>
    </w:p>
    <w:p>
      <w:pPr>
        <w:pStyle w:val="Body"/>
      </w:pPr>
    </w:p>
    <w:p>
      <w:pPr>
        <w:pStyle w:val="Body"/>
      </w:pPr>
      <w:r>
        <w:rPr>
          <w:rFonts w:cs="Arial Unicode MS" w:eastAsia="Arial Unicode MS"/>
          <w:rtl w:val="0"/>
          <w:lang w:val="nl-NL"/>
        </w:rPr>
        <w:t>Driessen, Jan</w:t>
      </w:r>
      <w:r>
        <w:rPr>
          <w:rFonts w:cs="Arial Unicode MS" w:eastAsia="Arial Unicode MS"/>
          <w:rtl w:val="0"/>
          <w:lang w:val="en-US"/>
        </w:rPr>
        <w:t>,</w:t>
      </w:r>
      <w:r>
        <w:rPr>
          <w:rFonts w:cs="Arial Unicode MS" w:eastAsia="Arial Unicode MS" w:hint="default"/>
          <w:rtl w:val="1"/>
        </w:rPr>
        <w:t xml:space="preserve"> ‘</w:t>
      </w:r>
      <w:r>
        <w:rPr>
          <w:rFonts w:cs="Arial Unicode MS" w:eastAsia="Arial Unicode MS"/>
          <w:rtl w:val="0"/>
          <w:lang w:val="it-IT"/>
        </w:rPr>
        <w:t>Malia</w:t>
      </w:r>
      <w:r>
        <w:rPr>
          <w:rFonts w:cs="Arial Unicode MS" w:eastAsia="Arial Unicode MS" w:hint="default"/>
          <w:rtl w:val="1"/>
        </w:rPr>
        <w:t xml:space="preserve">’ </w:t>
      </w:r>
      <w:r>
        <w:rPr>
          <w:rFonts w:cs="Arial Unicode MS" w:eastAsia="Arial Unicode MS"/>
          <w:rtl w:val="0"/>
        </w:rPr>
        <w:t xml:space="preserve">in </w:t>
      </w:r>
      <w:r>
        <w:rPr>
          <w:rFonts w:cs="Arial Unicode MS" w:eastAsia="Arial Unicode MS"/>
          <w:i w:val="1"/>
          <w:iCs w:val="1"/>
          <w:rtl w:val="0"/>
          <w:lang w:val="en-US"/>
        </w:rPr>
        <w:t>The Oxford Handbook of the Bronze Age Aegean</w:t>
      </w:r>
      <w:r>
        <w:rPr>
          <w:rFonts w:cs="Arial Unicode MS" w:eastAsia="Arial Unicode MS"/>
          <w:rtl w:val="0"/>
        </w:rPr>
        <w:t xml:space="preserve"> (2010).</w:t>
      </w:r>
    </w:p>
    <w:p>
      <w:pPr>
        <w:pStyle w:val="Body"/>
      </w:pPr>
    </w:p>
    <w:p>
      <w:pPr>
        <w:pStyle w:val="Body"/>
      </w:pPr>
      <w:r>
        <w:rPr>
          <w:rFonts w:cs="Arial Unicode MS" w:eastAsia="Arial Unicode MS"/>
          <w:rtl w:val="0"/>
          <w:lang w:val="en-US"/>
        </w:rPr>
        <w:t>Evans, Arthur J</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The Early Nilotic, Libyan and Egyptian Relations with Minoan Crete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The Journal of the Royal Anthropological Institute of Great Britain and Ireland</w:t>
      </w:r>
      <w:r>
        <w:rPr>
          <w:rFonts w:cs="Arial Unicode MS" w:eastAsia="Arial Unicode MS"/>
          <w:rtl w:val="0"/>
        </w:rPr>
        <w:t xml:space="preserve">, 55 (1925), </w:t>
      </w:r>
      <w:r>
        <w:rPr>
          <w:rFonts w:cs="Arial Unicode MS" w:eastAsia="Arial Unicode MS"/>
          <w:rtl w:val="0"/>
          <w:lang w:val="en-US"/>
        </w:rPr>
        <w:t xml:space="preserve">pp. </w:t>
      </w:r>
      <w:r>
        <w:rPr>
          <w:rFonts w:cs="Arial Unicode MS" w:eastAsia="Arial Unicode MS"/>
          <w:rtl w:val="0"/>
        </w:rPr>
        <w:t>199-228.</w:t>
      </w:r>
    </w:p>
    <w:p>
      <w:pPr>
        <w:pStyle w:val="Body"/>
      </w:pPr>
    </w:p>
    <w:p>
      <w:pPr>
        <w:pStyle w:val="Body"/>
      </w:pPr>
      <w:r>
        <w:rPr>
          <w:rFonts w:cs="Arial Unicode MS" w:eastAsia="Arial Unicode MS"/>
          <w:rtl w:val="0"/>
          <w:lang w:val="en-US"/>
        </w:rPr>
        <w:t>Evans, Arthur J</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pt-PT"/>
        </w:rPr>
        <w:t>The Palace of Minos at Knossos Vol. 2</w:t>
      </w:r>
      <w:r>
        <w:rPr>
          <w:rFonts w:cs="Arial Unicode MS" w:eastAsia="Arial Unicode MS"/>
          <w:rtl w:val="0"/>
        </w:rPr>
        <w:t xml:space="preserve"> (1928).</w:t>
      </w:r>
    </w:p>
    <w:p>
      <w:pPr>
        <w:pStyle w:val="Body"/>
      </w:pPr>
    </w:p>
    <w:p>
      <w:pPr>
        <w:pStyle w:val="Body"/>
      </w:pPr>
      <w:r>
        <w:rPr>
          <w:rFonts w:cs="Arial Unicode MS" w:eastAsia="Arial Unicode MS"/>
          <w:rtl w:val="0"/>
          <w:lang w:val="de-DE"/>
        </w:rPr>
        <w:t>Fischer, Peter M</w:t>
      </w:r>
      <w:r>
        <w:rPr>
          <w:rFonts w:cs="Arial Unicode MS" w:eastAsia="Arial Unicode MS"/>
          <w:rtl w:val="0"/>
          <w:lang w:val="en-US"/>
        </w:rPr>
        <w:t>.</w:t>
      </w:r>
      <w:r>
        <w:rPr>
          <w:rFonts w:cs="Arial Unicode MS" w:eastAsia="Arial Unicode MS"/>
          <w:rtl w:val="0"/>
          <w:lang w:val="en-US"/>
        </w:rPr>
        <w:t>, and Teresa B</w:t>
      </w:r>
      <w:r>
        <w:rPr>
          <w:rFonts w:cs="Arial Unicode MS" w:eastAsia="Arial Unicode MS" w:hint="default"/>
          <w:rtl w:val="0"/>
        </w:rPr>
        <w:t>ü</w:t>
      </w:r>
      <w:r>
        <w:rPr>
          <w:rFonts w:cs="Arial Unicode MS" w:eastAsia="Arial Unicode MS"/>
          <w:rtl w:val="0"/>
        </w:rPr>
        <w:t xml:space="preserve">rge, </w:t>
      </w:r>
      <w:r>
        <w:rPr>
          <w:rFonts w:cs="Arial Unicode MS" w:eastAsia="Arial Unicode MS" w:hint="default"/>
          <w:rtl w:val="1"/>
        </w:rPr>
        <w:t>‘</w:t>
      </w:r>
      <w:r>
        <w:rPr>
          <w:rFonts w:cs="Arial Unicode MS" w:eastAsia="Arial Unicode MS"/>
          <w:rtl w:val="0"/>
          <w:lang w:val="en-US"/>
        </w:rPr>
        <w:t>Tombs and Offering Pits at the Late Bronze Age Metropolis of Hala Sultan Tekke, Cyprus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Bulletin of the American Schools of Oriental Research</w:t>
      </w:r>
      <w:r>
        <w:rPr>
          <w:rFonts w:cs="Arial Unicode MS" w:eastAsia="Arial Unicode MS"/>
          <w:rtl w:val="0"/>
        </w:rPr>
        <w:t xml:space="preserve">, 377 (2017), </w:t>
      </w:r>
      <w:r>
        <w:rPr>
          <w:rFonts w:cs="Arial Unicode MS" w:eastAsia="Arial Unicode MS"/>
          <w:rtl w:val="0"/>
          <w:lang w:val="en-US"/>
        </w:rPr>
        <w:t xml:space="preserve">pp. </w:t>
      </w:r>
      <w:r>
        <w:rPr>
          <w:rFonts w:cs="Arial Unicode MS" w:eastAsia="Arial Unicode MS"/>
          <w:rtl w:val="0"/>
        </w:rPr>
        <w:t>161-218.</w:t>
      </w:r>
    </w:p>
    <w:p>
      <w:pPr>
        <w:pStyle w:val="Body"/>
      </w:pPr>
    </w:p>
    <w:p>
      <w:pPr>
        <w:pStyle w:val="Body"/>
      </w:pPr>
      <w:r>
        <w:rPr>
          <w:rFonts w:cs="Arial Unicode MS" w:eastAsia="Arial Unicode MS"/>
          <w:rtl w:val="0"/>
        </w:rPr>
        <w:t>Galaty, M</w:t>
      </w:r>
      <w:r>
        <w:rPr>
          <w:rFonts w:cs="Arial Unicode MS" w:eastAsia="Arial Unicode MS"/>
          <w:rtl w:val="0"/>
          <w:lang w:val="en-US"/>
        </w:rPr>
        <w:t>.</w:t>
      </w:r>
      <w:r>
        <w:rPr>
          <w:rFonts w:cs="Arial Unicode MS" w:eastAsia="Arial Unicode MS"/>
          <w:rtl w:val="0"/>
        </w:rPr>
        <w:t>L</w:t>
      </w:r>
      <w:r>
        <w:rPr>
          <w:rFonts w:cs="Arial Unicode MS" w:eastAsia="Arial Unicode MS"/>
          <w:rtl w:val="0"/>
          <w:lang w:val="en-US"/>
        </w:rPr>
        <w:t>.</w:t>
      </w:r>
      <w:r>
        <w:rPr>
          <w:rFonts w:cs="Arial Unicode MS" w:eastAsia="Arial Unicode MS"/>
          <w:rtl w:val="0"/>
        </w:rPr>
        <w:t>, H</w:t>
      </w:r>
      <w:r>
        <w:rPr>
          <w:rFonts w:cs="Arial Unicode MS" w:eastAsia="Arial Unicode MS"/>
          <w:rtl w:val="0"/>
          <w:lang w:val="en-US"/>
        </w:rPr>
        <w:t>.</w:t>
      </w:r>
      <w:r>
        <w:rPr>
          <w:rFonts w:cs="Arial Unicode MS" w:eastAsia="Arial Unicode MS"/>
          <w:rtl w:val="0"/>
          <w:lang w:val="en-US"/>
        </w:rPr>
        <w:t xml:space="preserve"> Tomas, and W</w:t>
      </w:r>
      <w:r>
        <w:rPr>
          <w:rFonts w:cs="Arial Unicode MS" w:eastAsia="Arial Unicode MS"/>
          <w:rtl w:val="0"/>
          <w:lang w:val="en-US"/>
        </w:rPr>
        <w:t>.</w:t>
      </w:r>
      <w:r>
        <w:rPr>
          <w:rFonts w:cs="Arial Unicode MS" w:eastAsia="Arial Unicode MS"/>
          <w:rtl w:val="0"/>
        </w:rPr>
        <w:t>A</w:t>
      </w:r>
      <w:r>
        <w:rPr>
          <w:rFonts w:cs="Arial Unicode MS" w:eastAsia="Arial Unicode MS"/>
          <w:rtl w:val="0"/>
          <w:lang w:val="en-US"/>
        </w:rPr>
        <w:t>.</w:t>
      </w:r>
      <w:r>
        <w:rPr>
          <w:rFonts w:cs="Arial Unicode MS" w:eastAsia="Arial Unicode MS"/>
          <w:rtl w:val="0"/>
          <w:lang w:val="en-US"/>
        </w:rPr>
        <w:t xml:space="preserve"> Parkinson, </w:t>
      </w:r>
      <w:r>
        <w:rPr>
          <w:rFonts w:cs="Arial Unicode MS" w:eastAsia="Arial Unicode MS" w:hint="default"/>
          <w:rtl w:val="1"/>
        </w:rPr>
        <w:t>‘</w:t>
      </w:r>
      <w:r>
        <w:rPr>
          <w:rFonts w:cs="Arial Unicode MS" w:eastAsia="Arial Unicode MS"/>
          <w:rtl w:val="0"/>
          <w:lang w:val="en-US"/>
        </w:rPr>
        <w:t>Bronze Age European Elites: From the Aegean to the Adriatic and Back Again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The Cambridge Prehistory of the Bronze and Iron Age Mediterranean</w:t>
      </w:r>
      <w:r>
        <w:rPr>
          <w:rFonts w:cs="Arial Unicode MS" w:eastAsia="Arial Unicode MS"/>
          <w:rtl w:val="0"/>
        </w:rPr>
        <w:t xml:space="preserve"> (2014), </w:t>
      </w:r>
      <w:r>
        <w:rPr>
          <w:rFonts w:cs="Arial Unicode MS" w:eastAsia="Arial Unicode MS"/>
          <w:rtl w:val="0"/>
          <w:lang w:val="en-US"/>
        </w:rPr>
        <w:t xml:space="preserve">pp. </w:t>
      </w:r>
      <w:r>
        <w:rPr>
          <w:rFonts w:cs="Arial Unicode MS" w:eastAsia="Arial Unicode MS"/>
          <w:rtl w:val="0"/>
        </w:rPr>
        <w:t>157-77.</w:t>
      </w:r>
    </w:p>
    <w:p>
      <w:pPr>
        <w:pStyle w:val="Body"/>
      </w:pPr>
    </w:p>
    <w:p>
      <w:pPr>
        <w:pStyle w:val="Body"/>
      </w:pPr>
      <w:r>
        <w:rPr>
          <w:rFonts w:cs="Arial Unicode MS" w:eastAsia="Arial Unicode MS"/>
          <w:rtl w:val="0"/>
        </w:rPr>
        <w:t xml:space="preserve">George, Marianne, </w:t>
      </w:r>
      <w:r>
        <w:rPr>
          <w:rFonts w:cs="Arial Unicode MS" w:eastAsia="Arial Unicode MS" w:hint="default"/>
          <w:rtl w:val="1"/>
        </w:rPr>
        <w:t>‘</w:t>
      </w:r>
      <w:r>
        <w:rPr>
          <w:rFonts w:cs="Arial Unicode MS" w:eastAsia="Arial Unicode MS"/>
          <w:rtl w:val="0"/>
          <w:lang w:val="en-US"/>
        </w:rPr>
        <w:t>The Return of Lata: Building an Authentic Polynesian Voyaging Canoe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Sea History Journal</w:t>
      </w:r>
      <w:r>
        <w:rPr>
          <w:rFonts w:cs="Arial Unicode MS" w:eastAsia="Arial Unicode MS"/>
          <w:rtl w:val="0"/>
        </w:rPr>
        <w:t xml:space="preserve">, 84: (1998), </w:t>
      </w:r>
      <w:r>
        <w:rPr>
          <w:rFonts w:cs="Arial Unicode MS" w:eastAsia="Arial Unicode MS"/>
          <w:rtl w:val="0"/>
          <w:lang w:val="en-US"/>
        </w:rPr>
        <w:t xml:space="preserve">pp. </w:t>
      </w:r>
      <w:r>
        <w:rPr>
          <w:rFonts w:cs="Arial Unicode MS" w:eastAsia="Arial Unicode MS"/>
          <w:rtl w:val="0"/>
        </w:rPr>
        <w:t>40-42.</w:t>
      </w:r>
    </w:p>
    <w:p>
      <w:pPr>
        <w:pStyle w:val="Body"/>
      </w:pPr>
    </w:p>
    <w:p>
      <w:pPr>
        <w:pStyle w:val="Body"/>
      </w:pPr>
      <w:r>
        <w:rPr>
          <w:rFonts w:cs="Arial Unicode MS" w:eastAsia="Arial Unicode MS"/>
          <w:rtl w:val="0"/>
          <w:lang w:val="en-US"/>
        </w:rPr>
        <w:t>Gifford, John A</w:t>
      </w:r>
      <w:r>
        <w:rPr>
          <w:rFonts w:cs="Arial Unicode MS" w:eastAsia="Arial Unicode MS"/>
          <w:rtl w:val="0"/>
          <w:lang w:val="en-US"/>
        </w:rPr>
        <w:t>.</w:t>
      </w:r>
      <w:r>
        <w:rPr>
          <w:rFonts w:cs="Arial Unicode MS" w:eastAsia="Arial Unicode MS"/>
          <w:rtl w:val="0"/>
        </w:rPr>
        <w:t>,</w:t>
      </w:r>
      <w:r>
        <w:rPr>
          <w:rFonts w:cs="Arial Unicode MS" w:eastAsia="Arial Unicode MS"/>
          <w:rtl w:val="0"/>
          <w:lang w:val="en-US"/>
        </w:rPr>
        <w:t xml:space="preserve"> and</w:t>
      </w:r>
      <w:r>
        <w:rPr>
          <w:rFonts w:cs="Arial Unicode MS" w:eastAsia="Arial Unicode MS"/>
          <w:rtl w:val="0"/>
          <w:lang w:val="en-US"/>
        </w:rPr>
        <w:t xml:space="preserve"> Stylianos Alexiou, Stephanie Fay, and Steve Renick, </w:t>
      </w:r>
      <w:r>
        <w:rPr>
          <w:rFonts w:cs="Arial Unicode MS" w:eastAsia="Arial Unicode MS"/>
          <w:i w:val="1"/>
          <w:iCs w:val="1"/>
          <w:rtl w:val="0"/>
          <w:lang w:val="en-US"/>
        </w:rPr>
        <w:t>The Aerial Atlas of Ancient Crete</w:t>
      </w:r>
      <w:r>
        <w:rPr>
          <w:rFonts w:cs="Arial Unicode MS" w:eastAsia="Arial Unicode MS"/>
          <w:rtl w:val="0"/>
          <w:lang w:val="en-US"/>
        </w:rPr>
        <w:t xml:space="preserve"> (Univ of California Press, 1992).</w:t>
      </w:r>
    </w:p>
    <w:p>
      <w:pPr>
        <w:pStyle w:val="Body"/>
      </w:pPr>
    </w:p>
    <w:p>
      <w:pPr>
        <w:pStyle w:val="Body"/>
      </w:pPr>
      <w:r>
        <w:rPr>
          <w:rFonts w:cs="Arial Unicode MS" w:eastAsia="Arial Unicode MS"/>
          <w:rtl w:val="0"/>
          <w:lang w:val="en-US"/>
        </w:rPr>
        <w:t xml:space="preserve">Gladwin, Thomas, and Thomas Gladwin, </w:t>
      </w:r>
      <w:r>
        <w:rPr>
          <w:rFonts w:cs="Arial Unicode MS" w:eastAsia="Arial Unicode MS"/>
          <w:i w:val="1"/>
          <w:iCs w:val="1"/>
          <w:rtl w:val="0"/>
          <w:lang w:val="en-US"/>
        </w:rPr>
        <w:t>East Is a Big Bird: Navigation and Logic on Puluwat Atoll</w:t>
      </w:r>
      <w:r>
        <w:rPr>
          <w:rFonts w:cs="Arial Unicode MS" w:eastAsia="Arial Unicode MS"/>
          <w:rtl w:val="0"/>
          <w:lang w:val="en-US"/>
        </w:rPr>
        <w:t xml:space="preserve"> (Harvard University Press, 2009).</w:t>
      </w:r>
    </w:p>
    <w:p>
      <w:pPr>
        <w:pStyle w:val="Body"/>
      </w:pPr>
    </w:p>
    <w:p>
      <w:pPr>
        <w:pStyle w:val="Body"/>
      </w:pPr>
      <w:r>
        <w:rPr>
          <w:rFonts w:cs="Arial Unicode MS" w:eastAsia="Arial Unicode MS"/>
          <w:rtl w:val="0"/>
          <w:lang w:val="en-US"/>
        </w:rPr>
        <w:t>Goodenough, Ward H</w:t>
      </w:r>
      <w:r>
        <w:rPr>
          <w:rFonts w:cs="Arial Unicode MS" w:eastAsia="Arial Unicode MS"/>
          <w:rtl w:val="0"/>
          <w:lang w:val="en-US"/>
        </w:rPr>
        <w:t>.</w:t>
      </w:r>
      <w:r>
        <w:rPr>
          <w:rFonts w:cs="Arial Unicode MS" w:eastAsia="Arial Unicode MS"/>
          <w:rtl w:val="0"/>
          <w:lang w:val="en-US"/>
        </w:rPr>
        <w:t>, and Stephen D</w:t>
      </w:r>
      <w:r>
        <w:rPr>
          <w:rFonts w:cs="Arial Unicode MS" w:eastAsia="Arial Unicode MS"/>
          <w:rtl w:val="0"/>
          <w:lang w:val="en-US"/>
        </w:rPr>
        <w:t>.</w:t>
      </w:r>
      <w:r>
        <w:rPr>
          <w:rFonts w:cs="Arial Unicode MS" w:eastAsia="Arial Unicode MS"/>
          <w:rtl w:val="0"/>
          <w:lang w:val="da-DK"/>
        </w:rPr>
        <w:t xml:space="preserve"> Thomas, </w:t>
      </w:r>
      <w:r>
        <w:rPr>
          <w:rFonts w:cs="Arial Unicode MS" w:eastAsia="Arial Unicode MS" w:hint="default"/>
          <w:rtl w:val="1"/>
        </w:rPr>
        <w:t>‘</w:t>
      </w:r>
      <w:r>
        <w:rPr>
          <w:rFonts w:cs="Arial Unicode MS" w:eastAsia="Arial Unicode MS"/>
          <w:rtl w:val="0"/>
          <w:lang w:val="en-US"/>
        </w:rPr>
        <w:t>Traditional Navigation in the Western Pacific</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Expedition</w:t>
      </w:r>
      <w:r>
        <w:rPr>
          <w:rFonts w:cs="Arial Unicode MS" w:eastAsia="Arial Unicode MS"/>
          <w:rtl w:val="0"/>
        </w:rPr>
        <w:t xml:space="preserve">, 29 (1987), </w:t>
      </w:r>
      <w:r>
        <w:rPr>
          <w:rFonts w:cs="Arial Unicode MS" w:eastAsia="Arial Unicode MS"/>
          <w:rtl w:val="0"/>
          <w:lang w:val="en-US"/>
        </w:rPr>
        <w:t xml:space="preserve">pp. </w:t>
      </w:r>
      <w:r>
        <w:rPr>
          <w:rFonts w:cs="Arial Unicode MS" w:eastAsia="Arial Unicode MS"/>
          <w:rtl w:val="0"/>
        </w:rPr>
        <w:t>3-14.</w:t>
      </w:r>
    </w:p>
    <w:p>
      <w:pPr>
        <w:pStyle w:val="Body"/>
      </w:pPr>
    </w:p>
    <w:p>
      <w:pPr>
        <w:pStyle w:val="Body"/>
      </w:pPr>
      <w:r>
        <w:rPr>
          <w:rFonts w:cs="Arial Unicode MS" w:eastAsia="Arial Unicode MS"/>
          <w:rtl w:val="0"/>
          <w:lang w:val="en-US"/>
        </w:rPr>
        <w:t>Goodenough, Ward H</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Native Astronomy in the Central Carolines</w:t>
      </w:r>
      <w:r>
        <w:rPr>
          <w:rFonts w:cs="Arial Unicode MS" w:eastAsia="Arial Unicode MS"/>
          <w:rtl w:val="0"/>
          <w:lang w:val="en-US"/>
        </w:rPr>
        <w:t xml:space="preserve"> (University Museum, University of Pennsylvania, 1953).</w:t>
      </w:r>
    </w:p>
    <w:p>
      <w:pPr>
        <w:pStyle w:val="Body"/>
      </w:pPr>
    </w:p>
    <w:p>
      <w:pPr>
        <w:pStyle w:val="Body"/>
      </w:pPr>
      <w:r>
        <w:rPr>
          <w:rFonts w:cs="Arial Unicode MS" w:eastAsia="Arial Unicode MS"/>
          <w:rtl w:val="0"/>
          <w:lang w:val="fr-FR"/>
        </w:rPr>
        <w:t xml:space="preserve">Grimble, Arthur, </w:t>
      </w:r>
      <w:r>
        <w:rPr>
          <w:rFonts w:cs="Arial Unicode MS" w:eastAsia="Arial Unicode MS" w:hint="default"/>
          <w:rtl w:val="1"/>
        </w:rPr>
        <w:t>‘</w:t>
      </w:r>
      <w:r>
        <w:rPr>
          <w:rFonts w:cs="Arial Unicode MS" w:eastAsia="Arial Unicode MS"/>
          <w:rtl w:val="0"/>
          <w:lang w:val="en-US"/>
        </w:rPr>
        <w:t>Gilbertese Astronomy and Astronomical Observances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The Journal of the Polynesian Society</w:t>
      </w:r>
      <w:r>
        <w:rPr>
          <w:rFonts w:cs="Arial Unicode MS" w:eastAsia="Arial Unicode MS"/>
          <w:rtl w:val="0"/>
        </w:rPr>
        <w:t xml:space="preserve">, 40: (1931), </w:t>
      </w:r>
      <w:r>
        <w:rPr>
          <w:rFonts w:cs="Arial Unicode MS" w:eastAsia="Arial Unicode MS"/>
          <w:rtl w:val="0"/>
          <w:lang w:val="en-US"/>
        </w:rPr>
        <w:t xml:space="preserve">pp. </w:t>
      </w:r>
      <w:r>
        <w:rPr>
          <w:rFonts w:cs="Arial Unicode MS" w:eastAsia="Arial Unicode MS"/>
          <w:rtl w:val="0"/>
        </w:rPr>
        <w:t>197-224.</w:t>
      </w:r>
    </w:p>
    <w:p>
      <w:pPr>
        <w:pStyle w:val="Body"/>
      </w:pPr>
    </w:p>
    <w:p>
      <w:pPr>
        <w:pStyle w:val="Body"/>
      </w:pPr>
      <w:r>
        <w:rPr>
          <w:rFonts w:cs="Arial Unicode MS" w:eastAsia="Arial Unicode MS"/>
          <w:rtl w:val="0"/>
          <w:lang w:val="de-DE"/>
        </w:rPr>
        <w:t>Halpern, Michael David</w:t>
      </w:r>
      <w:r>
        <w:rPr>
          <w:rFonts w:cs="Arial Unicode MS" w:eastAsia="Arial Unicode MS"/>
          <w:rtl w:val="0"/>
          <w:lang w:val="en-US"/>
        </w:rPr>
        <w:t>,</w:t>
      </w:r>
      <w:r>
        <w:rPr>
          <w:rFonts w:cs="Arial Unicode MS" w:eastAsia="Arial Unicode MS" w:hint="default"/>
          <w:rtl w:val="1"/>
        </w:rPr>
        <w:t xml:space="preserve"> ‘</w:t>
      </w:r>
      <w:r>
        <w:rPr>
          <w:rFonts w:cs="Arial Unicode MS" w:eastAsia="Arial Unicode MS"/>
          <w:rtl w:val="0"/>
          <w:lang w:val="en-US"/>
        </w:rPr>
        <w:t>The Origins of the Carolinian Sidereal Compass</w:t>
      </w:r>
      <w:r>
        <w:rPr>
          <w:rFonts w:cs="Arial Unicode MS" w:eastAsia="Arial Unicode MS" w:hint="default"/>
          <w:rtl w:val="1"/>
        </w:rPr>
        <w:t>’</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lang w:val="en-US"/>
        </w:rPr>
        <w:t>Texas A&amp;M University</w:t>
      </w:r>
      <w:r>
        <w:rPr>
          <w:rFonts w:cs="Arial Unicode MS" w:eastAsia="Arial Unicode MS"/>
          <w:rtl w:val="0"/>
          <w:lang w:val="en-US"/>
        </w:rPr>
        <w:t xml:space="preserve"> </w:t>
      </w:r>
      <w:r>
        <w:rPr>
          <w:rFonts w:cs="Arial Unicode MS" w:eastAsia="Arial Unicode MS"/>
          <w:rtl w:val="0"/>
        </w:rPr>
        <w:t>1985</w:t>
      </w:r>
      <w:r>
        <w:rPr>
          <w:rFonts w:cs="Arial Unicode MS" w:eastAsia="Arial Unicode MS"/>
          <w:rtl w:val="0"/>
          <w:lang w:val="en-US"/>
        </w:rPr>
        <w:t>)</w:t>
      </w:r>
    </w:p>
    <w:p>
      <w:pPr>
        <w:pStyle w:val="Body"/>
      </w:pPr>
    </w:p>
    <w:p>
      <w:pPr>
        <w:pStyle w:val="Body"/>
      </w:pPr>
      <w:r>
        <w:rPr>
          <w:rFonts w:cs="Arial Unicode MS" w:eastAsia="Arial Unicode MS"/>
          <w:rtl w:val="0"/>
        </w:rPr>
        <w:t xml:space="preserve">Hilder, Brett, </w:t>
      </w:r>
      <w:r>
        <w:rPr>
          <w:rFonts w:cs="Arial Unicode MS" w:eastAsia="Arial Unicode MS" w:hint="default"/>
          <w:rtl w:val="1"/>
        </w:rPr>
        <w:t>‘</w:t>
      </w:r>
      <w:r>
        <w:rPr>
          <w:rFonts w:cs="Arial Unicode MS" w:eastAsia="Arial Unicode MS"/>
          <w:rtl w:val="0"/>
          <w:lang w:val="en-US"/>
        </w:rPr>
        <w:t>Polynesian Navigational Stones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The Journal of Navigation</w:t>
      </w:r>
      <w:r>
        <w:rPr>
          <w:rFonts w:cs="Arial Unicode MS" w:eastAsia="Arial Unicode MS"/>
          <w:rtl w:val="0"/>
        </w:rPr>
        <w:t xml:space="preserve">, 12 (1959), </w:t>
      </w:r>
      <w:r>
        <w:rPr>
          <w:rFonts w:cs="Arial Unicode MS" w:eastAsia="Arial Unicode MS"/>
          <w:rtl w:val="0"/>
          <w:lang w:val="en-US"/>
        </w:rPr>
        <w:t xml:space="preserve">pp. </w:t>
      </w:r>
      <w:r>
        <w:rPr>
          <w:rFonts w:cs="Arial Unicode MS" w:eastAsia="Arial Unicode MS"/>
          <w:rtl w:val="0"/>
        </w:rPr>
        <w:t>90-97.</w:t>
      </w:r>
    </w:p>
    <w:p>
      <w:pPr>
        <w:pStyle w:val="Body"/>
      </w:pPr>
    </w:p>
    <w:p>
      <w:pPr>
        <w:pStyle w:val="Body"/>
      </w:pPr>
      <w:r>
        <w:rPr>
          <w:rFonts w:cs="Arial Unicode MS" w:eastAsia="Arial Unicode MS"/>
          <w:rtl w:val="0"/>
          <w:lang w:val="en-US"/>
        </w:rPr>
        <w:t xml:space="preserve">Hood, Sinclair, </w:t>
      </w:r>
      <w:r>
        <w:rPr>
          <w:rFonts w:cs="Arial Unicode MS" w:eastAsia="Arial Unicode MS" w:hint="default"/>
          <w:rtl w:val="1"/>
        </w:rPr>
        <w:t>‘</w:t>
      </w:r>
      <w:r>
        <w:rPr>
          <w:rFonts w:cs="Arial Unicode MS" w:eastAsia="Arial Unicode MS"/>
          <w:rtl w:val="0"/>
          <w:lang w:val="en-US"/>
        </w:rPr>
        <w:t>The Middle Minoan Cemetery on Ailias at Knossos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British School at Athens Studies</w:t>
      </w:r>
      <w:r>
        <w:rPr>
          <w:rFonts w:cs="Arial Unicode MS" w:eastAsia="Arial Unicode MS"/>
          <w:rtl w:val="0"/>
        </w:rPr>
        <w:t xml:space="preserve"> (2010), </w:t>
      </w:r>
      <w:r>
        <w:rPr>
          <w:rFonts w:cs="Arial Unicode MS" w:eastAsia="Arial Unicode MS"/>
          <w:rtl w:val="0"/>
          <w:lang w:val="en-US"/>
        </w:rPr>
        <w:t xml:space="preserve">pp. </w:t>
      </w:r>
      <w:r>
        <w:rPr>
          <w:rFonts w:cs="Arial Unicode MS" w:eastAsia="Arial Unicode MS"/>
          <w:rtl w:val="0"/>
        </w:rPr>
        <w:t>161-68.</w:t>
      </w:r>
    </w:p>
    <w:p>
      <w:pPr>
        <w:pStyle w:val="Body"/>
      </w:pPr>
    </w:p>
    <w:p>
      <w:pPr>
        <w:pStyle w:val="Body"/>
      </w:pPr>
      <w:r>
        <w:rPr>
          <w:rFonts w:cs="Arial Unicode MS" w:eastAsia="Arial Unicode MS"/>
          <w:rtl w:val="0"/>
          <w:lang w:val="da-DK"/>
        </w:rPr>
        <w:t xml:space="preserve">Ingold, Tim, </w:t>
      </w:r>
      <w:r>
        <w:rPr>
          <w:rFonts w:cs="Arial Unicode MS" w:eastAsia="Arial Unicode MS"/>
          <w:i w:val="1"/>
          <w:iCs w:val="1"/>
          <w:rtl w:val="0"/>
          <w:lang w:val="de-DE"/>
        </w:rPr>
        <w:t>Lines: A Brief History</w:t>
      </w:r>
      <w:r>
        <w:rPr>
          <w:rFonts w:cs="Arial Unicode MS" w:eastAsia="Arial Unicode MS"/>
          <w:rtl w:val="0"/>
          <w:lang w:val="en-US"/>
        </w:rPr>
        <w:t xml:space="preserve"> (Routledge, 2016).</w:t>
      </w:r>
    </w:p>
    <w:p>
      <w:pPr>
        <w:pStyle w:val="Body"/>
      </w:pPr>
    </w:p>
    <w:p>
      <w:pPr>
        <w:pStyle w:val="Body"/>
      </w:pPr>
      <w:r>
        <w:rPr>
          <w:rFonts w:cs="Arial Unicode MS" w:eastAsia="Arial Unicode MS"/>
          <w:rtl w:val="0"/>
          <w:lang w:val="en-US"/>
        </w:rPr>
        <w:t xml:space="preserve">Irwin, Geoffrey, Simon Bickler, and Philip Quirke, </w:t>
      </w:r>
      <w:r>
        <w:rPr>
          <w:rFonts w:cs="Arial Unicode MS" w:eastAsia="Arial Unicode MS" w:hint="default"/>
          <w:rtl w:val="1"/>
        </w:rPr>
        <w:t>‘</w:t>
      </w:r>
      <w:r>
        <w:rPr>
          <w:rFonts w:cs="Arial Unicode MS" w:eastAsia="Arial Unicode MS"/>
          <w:rtl w:val="0"/>
          <w:lang w:val="en-US"/>
        </w:rPr>
        <w:t>Voyaging by Canoe and Computer: Experiments in the Settlement of the Pacific Ocean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fr-FR"/>
        </w:rPr>
        <w:t>Antiquity</w:t>
      </w:r>
      <w:r>
        <w:rPr>
          <w:rFonts w:cs="Arial Unicode MS" w:eastAsia="Arial Unicode MS"/>
          <w:rtl w:val="0"/>
        </w:rPr>
        <w:t xml:space="preserve">, 64 (1990), </w:t>
      </w:r>
      <w:r>
        <w:rPr>
          <w:rFonts w:cs="Arial Unicode MS" w:eastAsia="Arial Unicode MS"/>
          <w:rtl w:val="0"/>
          <w:lang w:val="en-US"/>
        </w:rPr>
        <w:t xml:space="preserve">pp. </w:t>
      </w:r>
      <w:r>
        <w:rPr>
          <w:rFonts w:cs="Arial Unicode MS" w:eastAsia="Arial Unicode MS"/>
          <w:rtl w:val="0"/>
        </w:rPr>
        <w:t>34-50.</w:t>
      </w:r>
    </w:p>
    <w:p>
      <w:pPr>
        <w:pStyle w:val="Body"/>
      </w:pPr>
    </w:p>
    <w:p>
      <w:pPr>
        <w:pStyle w:val="Body"/>
      </w:pPr>
      <w:r>
        <w:rPr>
          <w:rFonts w:cs="Arial Unicode MS" w:eastAsia="Arial Unicode MS"/>
          <w:rtl w:val="0"/>
        </w:rPr>
        <w:t>Jakubiak, Krzysztof</w:t>
      </w:r>
      <w:r>
        <w:rPr>
          <w:rFonts w:cs="Arial Unicode MS" w:eastAsia="Arial Unicode MS"/>
          <w:rtl w:val="0"/>
          <w:lang w:val="en-US"/>
        </w:rPr>
        <w:t>,</w:t>
      </w:r>
      <w:r>
        <w:rPr>
          <w:rFonts w:cs="Arial Unicode MS" w:eastAsia="Arial Unicode MS" w:hint="default"/>
          <w:rtl w:val="1"/>
        </w:rPr>
        <w:t xml:space="preserve"> ‘</w:t>
      </w:r>
      <w:r>
        <w:rPr>
          <w:rFonts w:cs="Arial Unicode MS" w:eastAsia="Arial Unicode MS"/>
          <w:rtl w:val="0"/>
          <w:lang w:val="en-US"/>
        </w:rPr>
        <w:t>Tell Farama (Pelusium). The City on Sinai - Where Egypt and Middle East Meet</w:t>
      </w:r>
      <w:r>
        <w:rPr>
          <w:rFonts w:cs="Arial Unicode MS" w:eastAsia="Arial Unicode MS" w:hint="default"/>
          <w:rtl w:val="1"/>
        </w:rPr>
        <w:t xml:space="preserve">’ </w:t>
      </w:r>
      <w:r>
        <w:rPr>
          <w:rFonts w:cs="Arial Unicode MS" w:eastAsia="Arial Unicode MS"/>
          <w:rtl w:val="0"/>
        </w:rPr>
        <w:t xml:space="preserve">in </w:t>
      </w:r>
      <w:r>
        <w:rPr>
          <w:rFonts w:cs="Arial Unicode MS" w:eastAsia="Arial Unicode MS"/>
          <w:i w:val="1"/>
          <w:iCs w:val="1"/>
          <w:rtl w:val="0"/>
        </w:rPr>
        <w:t>Soma 2012</w:t>
      </w:r>
      <w:r>
        <w:rPr>
          <w:rFonts w:cs="Arial Unicode MS" w:eastAsia="Arial Unicode MS"/>
          <w:rtl w:val="0"/>
        </w:rPr>
        <w:t xml:space="preserve"> (2013).</w:t>
      </w:r>
    </w:p>
    <w:p>
      <w:pPr>
        <w:pStyle w:val="Body"/>
      </w:pPr>
    </w:p>
    <w:p>
      <w:pPr>
        <w:pStyle w:val="Body"/>
      </w:pPr>
      <w:r>
        <w:rPr>
          <w:rFonts w:cs="Arial Unicode MS" w:eastAsia="Arial Unicode MS"/>
          <w:rtl w:val="0"/>
          <w:lang w:val="de-DE"/>
        </w:rPr>
        <w:t xml:space="preserve">Josephson Hesse, Kristina. </w:t>
      </w:r>
      <w:r>
        <w:rPr>
          <w:rFonts w:cs="Arial Unicode MS" w:eastAsia="Arial Unicode MS" w:hint="default"/>
          <w:rtl w:val="0"/>
          <w:lang w:val="en-US"/>
        </w:rPr>
        <w:t>‘</w:t>
      </w:r>
      <w:r>
        <w:rPr>
          <w:rFonts w:cs="Arial Unicode MS" w:eastAsia="Arial Unicode MS"/>
          <w:rtl w:val="0"/>
          <w:lang w:val="en-US"/>
        </w:rPr>
        <w:t>Late Bronze Age Maritime Trade in the Eastern Mediterranean: An Inland Levantine Perspective</w:t>
      </w:r>
      <w:r>
        <w:rPr>
          <w:rFonts w:cs="Arial Unicode MS" w:eastAsia="Arial Unicode MS" w:hint="default"/>
          <w:rtl w:val="1"/>
        </w:rPr>
        <w:t xml:space="preserve">’ </w:t>
      </w:r>
      <w:r>
        <w:rPr>
          <w:rFonts w:cs="Arial Unicode MS" w:eastAsia="Arial Unicode MS"/>
          <w:rtl w:val="0"/>
          <w:lang w:val="en-US"/>
        </w:rPr>
        <w:t>(</w:t>
      </w:r>
      <w:r>
        <w:rPr>
          <w:rFonts w:cs="Arial Unicode MS" w:eastAsia="Arial Unicode MS"/>
          <w:rtl w:val="0"/>
        </w:rPr>
        <w:t>2008</w:t>
      </w:r>
      <w:r>
        <w:rPr>
          <w:rFonts w:cs="Arial Unicode MS" w:eastAsia="Arial Unicode MS"/>
          <w:rtl w:val="0"/>
          <w:lang w:val="en-US"/>
        </w:rPr>
        <w:t>)</w:t>
      </w:r>
      <w:r>
        <w:rPr>
          <w:rFonts w:cs="Arial Unicode MS" w:eastAsia="Arial Unicode MS"/>
          <w:rtl w:val="0"/>
        </w:rPr>
        <w:t>.</w:t>
      </w:r>
    </w:p>
    <w:p>
      <w:pPr>
        <w:pStyle w:val="Body"/>
      </w:pPr>
    </w:p>
    <w:p>
      <w:pPr>
        <w:pStyle w:val="Body"/>
      </w:pPr>
      <w:r>
        <w:rPr>
          <w:rFonts w:cs="Arial Unicode MS" w:eastAsia="Arial Unicode MS"/>
          <w:rtl w:val="0"/>
          <w:lang w:val="en-US"/>
        </w:rPr>
        <w:t>King, Roy J</w:t>
      </w:r>
      <w:r>
        <w:rPr>
          <w:rFonts w:cs="Arial Unicode MS" w:eastAsia="Arial Unicode MS"/>
          <w:rtl w:val="0"/>
          <w:lang w:val="en-US"/>
        </w:rPr>
        <w:t>.</w:t>
      </w:r>
      <w:r>
        <w:rPr>
          <w:rFonts w:cs="Arial Unicode MS" w:eastAsia="Arial Unicode MS"/>
          <w:rtl w:val="0"/>
        </w:rPr>
        <w:t>, S</w:t>
      </w:r>
      <w:r>
        <w:rPr>
          <w:rFonts w:cs="Arial Unicode MS" w:eastAsia="Arial Unicode MS"/>
          <w:rtl w:val="0"/>
          <w:lang w:val="en-US"/>
        </w:rPr>
        <w:t>.</w:t>
      </w:r>
      <w:r>
        <w:rPr>
          <w:rFonts w:cs="Arial Unicode MS" w:eastAsia="Arial Unicode MS"/>
          <w:rtl w:val="0"/>
        </w:rPr>
        <w:t>S</w:t>
      </w:r>
      <w:r>
        <w:rPr>
          <w:rFonts w:cs="Arial Unicode MS" w:eastAsia="Arial Unicode MS"/>
          <w:rtl w:val="0"/>
          <w:lang w:val="en-US"/>
        </w:rPr>
        <w:t>.</w:t>
      </w:r>
      <w:r>
        <w:rPr>
          <w:rFonts w:cs="Arial Unicode MS" w:eastAsia="Arial Unicode MS" w:hint="default"/>
          <w:rtl w:val="0"/>
        </w:rPr>
        <w:t xml:space="preserve"> Ö</w:t>
      </w:r>
      <w:r>
        <w:rPr>
          <w:rFonts w:cs="Arial Unicode MS" w:eastAsia="Arial Unicode MS"/>
          <w:rtl w:val="0"/>
          <w:lang w:val="es-ES_tradnl"/>
        </w:rPr>
        <w:t>zcan, Tristan Carter, E</w:t>
      </w:r>
      <w:r>
        <w:rPr>
          <w:rFonts w:cs="Arial Unicode MS" w:eastAsia="Arial Unicode MS"/>
          <w:rtl w:val="0"/>
          <w:lang w:val="en-US"/>
        </w:rPr>
        <w:t>.</w:t>
      </w:r>
      <w:r>
        <w:rPr>
          <w:rFonts w:cs="Arial Unicode MS" w:eastAsia="Arial Unicode MS"/>
          <w:rtl w:val="0"/>
        </w:rPr>
        <w:t xml:space="preserve"> Kalfo</w:t>
      </w:r>
      <w:r>
        <w:rPr>
          <w:rFonts w:cs="Arial Unicode MS" w:eastAsia="Arial Unicode MS" w:hint="default"/>
          <w:rtl w:val="0"/>
        </w:rPr>
        <w:t>ğ</w:t>
      </w:r>
      <w:r>
        <w:rPr>
          <w:rFonts w:cs="Arial Unicode MS" w:eastAsia="Arial Unicode MS"/>
          <w:rtl w:val="0"/>
        </w:rPr>
        <w:t>lu, Sevil Atasoy, Costas Triantaphyllidis, Anastasia Kouvatsi, Alice A</w:t>
      </w:r>
      <w:r>
        <w:rPr>
          <w:rFonts w:cs="Arial Unicode MS" w:eastAsia="Arial Unicode MS"/>
          <w:rtl w:val="0"/>
          <w:lang w:val="en-US"/>
        </w:rPr>
        <w:t>.</w:t>
      </w:r>
      <w:r>
        <w:rPr>
          <w:rFonts w:cs="Arial Unicode MS" w:eastAsia="Arial Unicode MS"/>
          <w:rtl w:val="0"/>
        </w:rPr>
        <w:t xml:space="preserve"> Lin, C</w:t>
      </w:r>
      <w:r>
        <w:rPr>
          <w:rFonts w:ascii="Arial Unicode MS" w:cs="Arial Unicode MS" w:hAnsi="Arial Unicode MS" w:eastAsia="Arial Unicode MS" w:hint="default"/>
          <w:b w:val="0"/>
          <w:bCs w:val="0"/>
          <w:i w:val="0"/>
          <w:iCs w:val="0"/>
          <w:rtl w:val="0"/>
        </w:rPr>
        <w:t>‐</w:t>
      </w:r>
      <w:r>
        <w:rPr>
          <w:rFonts w:cs="Arial Unicode MS" w:eastAsia="Arial Unicode MS"/>
          <w:rtl w:val="0"/>
          <w:lang w:val="en-US"/>
        </w:rPr>
        <w:t>ET Chow, and Lev A</w:t>
      </w:r>
      <w:r>
        <w:rPr>
          <w:rFonts w:cs="Arial Unicode MS" w:eastAsia="Arial Unicode MS"/>
          <w:rtl w:val="0"/>
          <w:lang w:val="en-US"/>
        </w:rPr>
        <w:t>.</w:t>
      </w:r>
      <w:r>
        <w:rPr>
          <w:rFonts w:cs="Arial Unicode MS" w:eastAsia="Arial Unicode MS"/>
          <w:rtl w:val="0"/>
        </w:rPr>
        <w:t xml:space="preserve"> Zhivotovsky, </w:t>
      </w:r>
      <w:r>
        <w:rPr>
          <w:rFonts w:cs="Arial Unicode MS" w:eastAsia="Arial Unicode MS" w:hint="default"/>
          <w:rtl w:val="1"/>
        </w:rPr>
        <w:t>‘</w:t>
      </w:r>
      <w:r>
        <w:rPr>
          <w:rFonts w:cs="Arial Unicode MS" w:eastAsia="Arial Unicode MS"/>
          <w:rtl w:val="0"/>
          <w:lang w:val="en-US"/>
        </w:rPr>
        <w:t>Differential Y</w:t>
      </w:r>
      <w:r>
        <w:rPr>
          <w:rFonts w:ascii="Arial Unicode MS" w:cs="Arial Unicode MS" w:hAnsi="Arial Unicode MS" w:eastAsia="Arial Unicode MS" w:hint="default"/>
          <w:b w:val="0"/>
          <w:bCs w:val="0"/>
          <w:i w:val="0"/>
          <w:iCs w:val="0"/>
          <w:rtl w:val="0"/>
        </w:rPr>
        <w:t>‐</w:t>
      </w:r>
      <w:r>
        <w:rPr>
          <w:rFonts w:cs="Arial Unicode MS" w:eastAsia="Arial Unicode MS"/>
          <w:rtl w:val="0"/>
          <w:lang w:val="en-US"/>
        </w:rPr>
        <w:t>Chromosome Anatolian Influences on the Greek and Cretan Neolithic</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Annals of human genetics</w:t>
      </w:r>
      <w:r>
        <w:rPr>
          <w:rFonts w:cs="Arial Unicode MS" w:eastAsia="Arial Unicode MS"/>
          <w:rtl w:val="0"/>
        </w:rPr>
        <w:t xml:space="preserve">, 72 (2008), </w:t>
      </w:r>
      <w:r>
        <w:rPr>
          <w:rFonts w:cs="Arial Unicode MS" w:eastAsia="Arial Unicode MS"/>
          <w:rtl w:val="0"/>
          <w:lang w:val="en-US"/>
        </w:rPr>
        <w:t xml:space="preserve">pp. </w:t>
      </w:r>
      <w:r>
        <w:rPr>
          <w:rFonts w:cs="Arial Unicode MS" w:eastAsia="Arial Unicode MS"/>
          <w:rtl w:val="0"/>
        </w:rPr>
        <w:t>205-14.</w:t>
      </w:r>
    </w:p>
    <w:p>
      <w:pPr>
        <w:pStyle w:val="Body"/>
      </w:pPr>
    </w:p>
    <w:p>
      <w:pPr>
        <w:pStyle w:val="Body"/>
      </w:pPr>
      <w:r>
        <w:rPr>
          <w:rFonts w:cs="Arial Unicode MS" w:eastAsia="Arial Unicode MS"/>
          <w:rtl w:val="0"/>
          <w:lang w:val="de-DE"/>
        </w:rPr>
        <w:t>Kirch, Patrick V</w:t>
      </w:r>
      <w:r>
        <w:rPr>
          <w:rFonts w:cs="Arial Unicode MS" w:eastAsia="Arial Unicode MS"/>
          <w:rtl w:val="0"/>
          <w:lang w:val="en-US"/>
        </w:rPr>
        <w:t>.</w:t>
      </w:r>
      <w:r>
        <w:rPr>
          <w:rFonts w:cs="Arial Unicode MS" w:eastAsia="Arial Unicode MS"/>
          <w:rtl w:val="0"/>
          <w:lang w:val="en-US"/>
        </w:rPr>
        <w:t xml:space="preserve">, Clive Ruggles, and Warren D Sharp, </w:t>
      </w:r>
      <w:r>
        <w:rPr>
          <w:rFonts w:cs="Arial Unicode MS" w:eastAsia="Arial Unicode MS" w:hint="default"/>
          <w:rtl w:val="1"/>
        </w:rPr>
        <w:t>‘</w:t>
      </w:r>
      <w:r>
        <w:rPr>
          <w:rFonts w:cs="Arial Unicode MS" w:eastAsia="Arial Unicode MS"/>
          <w:rtl w:val="0"/>
          <w:lang w:val="en-US"/>
        </w:rPr>
        <w:t>The P</w:t>
      </w:r>
      <w:r>
        <w:rPr>
          <w:rFonts w:cs="Arial Unicode MS" w:eastAsia="Arial Unicode MS" w:hint="default"/>
          <w:rtl w:val="0"/>
        </w:rPr>
        <w:t>ā</w:t>
      </w:r>
      <w:r>
        <w:rPr>
          <w:rFonts w:cs="Arial Unicode MS" w:eastAsia="Arial Unicode MS"/>
          <w:rtl w:val="0"/>
        </w:rPr>
        <w:t>n</w:t>
      </w:r>
      <w:r>
        <w:rPr>
          <w:rFonts w:cs="Arial Unicode MS" w:eastAsia="Arial Unicode MS" w:hint="default"/>
          <w:rtl w:val="0"/>
        </w:rPr>
        <w:t>ā</w:t>
      </w:r>
      <w:r>
        <w:rPr>
          <w:rFonts w:cs="Arial Unicode MS" w:eastAsia="Arial Unicode MS"/>
          <w:rtl w:val="0"/>
        </w:rPr>
        <w:t>n</w:t>
      </w:r>
      <w:r>
        <w:rPr>
          <w:rFonts w:cs="Arial Unicode MS" w:eastAsia="Arial Unicode MS" w:hint="default"/>
          <w:rtl w:val="0"/>
        </w:rPr>
        <w:t xml:space="preserve">ā </w:t>
      </w:r>
      <w:r>
        <w:rPr>
          <w:rFonts w:cs="Arial Unicode MS" w:eastAsia="Arial Unicode MS"/>
          <w:rtl w:val="0"/>
        </w:rPr>
        <w:t xml:space="preserve">or </w:t>
      </w:r>
      <w:r>
        <w:rPr>
          <w:rFonts w:cs="Arial Unicode MS" w:eastAsia="Arial Unicode MS" w:hint="default"/>
          <w:rtl w:val="0"/>
          <w:lang w:val="en-US"/>
        </w:rPr>
        <w:t>“</w:t>
      </w:r>
      <w:r>
        <w:rPr>
          <w:rFonts w:cs="Arial Unicode MS" w:eastAsia="Arial Unicode MS"/>
          <w:rtl w:val="0"/>
          <w:lang w:val="en-US"/>
        </w:rPr>
        <w:t>Sighting Wall</w:t>
      </w:r>
      <w:r>
        <w:rPr>
          <w:rFonts w:cs="Arial Unicode MS" w:eastAsia="Arial Unicode MS" w:hint="default"/>
          <w:rtl w:val="0"/>
          <w:lang w:val="en-US"/>
        </w:rPr>
        <w:t>”</w:t>
      </w:r>
      <w:r>
        <w:rPr>
          <w:rFonts w:cs="Arial Unicode MS" w:eastAsia="Arial Unicode MS"/>
          <w:rtl w:val="0"/>
          <w:lang w:val="en-US"/>
        </w:rPr>
        <w:t xml:space="preserve"> at Hanamauloa, Kahiknui, Maui: Archaeological Investigation of a Possible Navigational Monument</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The Journal of the Polynesian Society</w:t>
      </w:r>
      <w:r>
        <w:rPr>
          <w:rFonts w:cs="Arial Unicode MS" w:eastAsia="Arial Unicode MS"/>
          <w:rtl w:val="0"/>
        </w:rPr>
        <w:t xml:space="preserve"> (2013), </w:t>
      </w:r>
      <w:r>
        <w:rPr>
          <w:rFonts w:cs="Arial Unicode MS" w:eastAsia="Arial Unicode MS"/>
          <w:rtl w:val="0"/>
          <w:lang w:val="en-US"/>
        </w:rPr>
        <w:t xml:space="preserve">pp. </w:t>
      </w:r>
      <w:r>
        <w:rPr>
          <w:rFonts w:cs="Arial Unicode MS" w:eastAsia="Arial Unicode MS"/>
          <w:rtl w:val="0"/>
        </w:rPr>
        <w:t>45-68.</w:t>
      </w:r>
    </w:p>
    <w:p>
      <w:pPr>
        <w:pStyle w:val="Body"/>
      </w:pPr>
    </w:p>
    <w:p>
      <w:pPr>
        <w:pStyle w:val="Body"/>
      </w:pPr>
      <w:r>
        <w:rPr>
          <w:rFonts w:cs="Arial Unicode MS" w:eastAsia="Arial Unicode MS"/>
          <w:rtl w:val="0"/>
          <w:lang w:val="en-US"/>
        </w:rPr>
        <w:t xml:space="preserve">Kirch, Patrick Vinton, and Clive Ruggles, </w:t>
      </w:r>
      <w:r>
        <w:rPr>
          <w:rFonts w:cs="Arial Unicode MS" w:eastAsia="Arial Unicode MS"/>
          <w:i w:val="1"/>
          <w:iCs w:val="1"/>
          <w:rtl w:val="0"/>
        </w:rPr>
        <w:t>Heiau,</w:t>
      </w:r>
      <w:r>
        <w:rPr>
          <w:rFonts w:cs="Arial Unicode MS" w:eastAsia="Arial Unicode MS" w:hint="default"/>
          <w:i w:val="1"/>
          <w:iCs w:val="1"/>
          <w:rtl w:val="1"/>
        </w:rPr>
        <w:t>‘Ā</w:t>
      </w:r>
      <w:r>
        <w:rPr>
          <w:rFonts w:cs="Arial Unicode MS" w:eastAsia="Arial Unicode MS"/>
          <w:i w:val="1"/>
          <w:iCs w:val="1"/>
          <w:rtl w:val="0"/>
          <w:lang w:val="de-DE"/>
        </w:rPr>
        <w:t>ina, Lani: The Hawaiian Temple System in Ancient Kahikinui and Kaup</w:t>
      </w:r>
      <w:r>
        <w:rPr>
          <w:rFonts w:cs="Arial Unicode MS" w:eastAsia="Arial Unicode MS" w:hint="default"/>
          <w:i w:val="1"/>
          <w:iCs w:val="1"/>
          <w:rtl w:val="0"/>
        </w:rPr>
        <w:t>ō</w:t>
      </w:r>
      <w:r>
        <w:rPr>
          <w:rFonts w:cs="Arial Unicode MS" w:eastAsia="Arial Unicode MS"/>
          <w:i w:val="1"/>
          <w:iCs w:val="1"/>
          <w:rtl w:val="0"/>
          <w:lang w:val="fr-FR"/>
        </w:rPr>
        <w:t>, Maui</w:t>
      </w:r>
      <w:r>
        <w:rPr>
          <w:rFonts w:cs="Arial Unicode MS" w:eastAsia="Arial Unicode MS"/>
          <w:rtl w:val="0"/>
          <w:lang w:val="en-US"/>
        </w:rPr>
        <w:t xml:space="preserve"> (University of Hawaii Press, 2019).</w:t>
      </w:r>
    </w:p>
    <w:p>
      <w:pPr>
        <w:pStyle w:val="Body"/>
      </w:pPr>
    </w:p>
    <w:p>
      <w:pPr>
        <w:pStyle w:val="Body"/>
      </w:pPr>
      <w:r>
        <w:rPr>
          <w:rFonts w:cs="Arial Unicode MS" w:eastAsia="Arial Unicode MS"/>
          <w:rtl w:val="0"/>
          <w:lang w:val="en-US"/>
        </w:rPr>
        <w:t>Kos, S, and D Br</w:t>
      </w:r>
      <w:r>
        <w:rPr>
          <w:rFonts w:cs="Arial Unicode MS" w:eastAsia="Arial Unicode MS" w:hint="default"/>
          <w:rtl w:val="0"/>
        </w:rPr>
        <w:t>þ</w:t>
      </w:r>
      <w:r>
        <w:rPr>
          <w:rFonts w:cs="Arial Unicode MS" w:eastAsia="Arial Unicode MS"/>
          <w:rtl w:val="0"/>
        </w:rPr>
        <w:t>i</w:t>
      </w:r>
      <w:r>
        <w:rPr>
          <w:rFonts w:cs="Arial Unicode MS" w:eastAsia="Arial Unicode MS" w:hint="default"/>
          <w:rtl w:val="0"/>
        </w:rPr>
        <w:t>ü</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Approximation Models of Orthodromic Navigation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Methods and Algorithms in Navigation: Marine Navigation and Safety of Sea Transportation</w:t>
      </w:r>
      <w:r>
        <w:rPr>
          <w:rFonts w:cs="Arial Unicode MS" w:eastAsia="Arial Unicode MS"/>
          <w:rtl w:val="0"/>
        </w:rPr>
        <w:t xml:space="preserve"> (2011), </w:t>
      </w:r>
      <w:r>
        <w:rPr>
          <w:rFonts w:cs="Arial Unicode MS" w:eastAsia="Arial Unicode MS"/>
          <w:rtl w:val="0"/>
          <w:lang w:val="en-US"/>
        </w:rPr>
        <w:t xml:space="preserve">p. </w:t>
      </w:r>
      <w:r>
        <w:rPr>
          <w:rFonts w:cs="Arial Unicode MS" w:eastAsia="Arial Unicode MS"/>
          <w:rtl w:val="0"/>
        </w:rPr>
        <w:t>133.</w:t>
      </w:r>
    </w:p>
    <w:p>
      <w:pPr>
        <w:pStyle w:val="Body"/>
      </w:pPr>
    </w:p>
    <w:p>
      <w:pPr>
        <w:pStyle w:val="Body"/>
      </w:pPr>
      <w:r>
        <w:rPr>
          <w:rFonts w:cs="Arial Unicode MS" w:eastAsia="Arial Unicode MS"/>
          <w:rtl w:val="0"/>
          <w:lang w:val="da-DK"/>
        </w:rPr>
        <w:t>Kursh, Charlotte O</w:t>
      </w:r>
      <w:r>
        <w:rPr>
          <w:rFonts w:cs="Arial Unicode MS" w:eastAsia="Arial Unicode MS"/>
          <w:rtl w:val="0"/>
          <w:lang w:val="en-US"/>
        </w:rPr>
        <w:t>.</w:t>
      </w:r>
      <w:r>
        <w:rPr>
          <w:rFonts w:cs="Arial Unicode MS" w:eastAsia="Arial Unicode MS"/>
          <w:rtl w:val="0"/>
          <w:lang w:val="en-US"/>
        </w:rPr>
        <w:t>, and Theodora C</w:t>
      </w:r>
      <w:r>
        <w:rPr>
          <w:rFonts w:cs="Arial Unicode MS" w:eastAsia="Arial Unicode MS"/>
          <w:rtl w:val="0"/>
          <w:lang w:val="en-US"/>
        </w:rPr>
        <w:t>.</w:t>
      </w:r>
      <w:r>
        <w:rPr>
          <w:rFonts w:cs="Arial Unicode MS" w:eastAsia="Arial Unicode MS"/>
          <w:rtl w:val="0"/>
          <w:lang w:val="en-US"/>
        </w:rPr>
        <w:t xml:space="preserve"> Kreps, </w:t>
      </w:r>
      <w:r>
        <w:rPr>
          <w:rFonts w:cs="Arial Unicode MS" w:eastAsia="Arial Unicode MS" w:hint="default"/>
          <w:rtl w:val="1"/>
        </w:rPr>
        <w:t>‘</w:t>
      </w:r>
      <w:r>
        <w:rPr>
          <w:rFonts w:cs="Arial Unicode MS" w:eastAsia="Arial Unicode MS"/>
          <w:rtl w:val="0"/>
          <w:lang w:val="en-US"/>
        </w:rPr>
        <w:t>Starpaths: Linear Constellations in Tropical Navigation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Current Anthropology</w:t>
      </w:r>
      <w:r>
        <w:rPr>
          <w:rFonts w:cs="Arial Unicode MS" w:eastAsia="Arial Unicode MS"/>
          <w:rtl w:val="0"/>
        </w:rPr>
        <w:t xml:space="preserve">, 15 (1974), </w:t>
      </w:r>
      <w:r>
        <w:rPr>
          <w:rFonts w:cs="Arial Unicode MS" w:eastAsia="Arial Unicode MS"/>
          <w:rtl w:val="0"/>
          <w:lang w:val="en-US"/>
        </w:rPr>
        <w:t xml:space="preserve">pp. </w:t>
      </w:r>
      <w:r>
        <w:rPr>
          <w:rFonts w:cs="Arial Unicode MS" w:eastAsia="Arial Unicode MS"/>
          <w:rtl w:val="0"/>
          <w:lang w:val="it-IT"/>
        </w:rPr>
        <w:t>334-37.</w:t>
      </w:r>
    </w:p>
    <w:p>
      <w:pPr>
        <w:pStyle w:val="Body"/>
      </w:pPr>
    </w:p>
    <w:p>
      <w:pPr>
        <w:pStyle w:val="Body"/>
      </w:pPr>
      <w:r>
        <w:rPr>
          <w:rFonts w:cs="Arial Unicode MS" w:eastAsia="Arial Unicode MS"/>
          <w:rtl w:val="0"/>
          <w:lang w:val="pt-PT"/>
        </w:rPr>
        <w:t xml:space="preserve">Kyriakidis, Evangelos, </w:t>
      </w:r>
      <w:r>
        <w:rPr>
          <w:rFonts w:cs="Arial Unicode MS" w:eastAsia="Arial Unicode MS" w:hint="default"/>
          <w:rtl w:val="1"/>
        </w:rPr>
        <w:t>‘</w:t>
      </w:r>
      <w:r>
        <w:rPr>
          <w:rFonts w:cs="Arial Unicode MS" w:eastAsia="Arial Unicode MS"/>
          <w:rtl w:val="0"/>
          <w:lang w:val="en-US"/>
        </w:rPr>
        <w:t>Unidentified Floating Objects on Minoan Seals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American Journal of Archaeology</w:t>
      </w:r>
      <w:r>
        <w:rPr>
          <w:rFonts w:cs="Arial Unicode MS" w:eastAsia="Arial Unicode MS"/>
          <w:rtl w:val="0"/>
        </w:rPr>
        <w:t xml:space="preserve"> (2005), </w:t>
      </w:r>
      <w:r>
        <w:rPr>
          <w:rFonts w:cs="Arial Unicode MS" w:eastAsia="Arial Unicode MS"/>
          <w:rtl w:val="0"/>
          <w:lang w:val="en-US"/>
        </w:rPr>
        <w:t xml:space="preserve">pp. </w:t>
      </w:r>
      <w:r>
        <w:rPr>
          <w:rFonts w:cs="Arial Unicode MS" w:eastAsia="Arial Unicode MS"/>
          <w:rtl w:val="0"/>
        </w:rPr>
        <w:t>137-54.</w:t>
      </w:r>
    </w:p>
    <w:p>
      <w:pPr>
        <w:pStyle w:val="Body"/>
      </w:pPr>
    </w:p>
    <w:p>
      <w:pPr>
        <w:pStyle w:val="Body"/>
      </w:pPr>
      <w:r>
        <w:rPr>
          <w:rFonts w:cs="Arial Unicode MS" w:eastAsia="Arial Unicode MS"/>
          <w:rtl w:val="0"/>
          <w:lang w:val="pt-PT"/>
        </w:rPr>
        <w:t xml:space="preserve">Lambrou-Phillipson, Connie, </w:t>
      </w:r>
      <w:r>
        <w:rPr>
          <w:rFonts w:cs="Arial Unicode MS" w:eastAsia="Arial Unicode MS" w:hint="default"/>
          <w:rtl w:val="1"/>
        </w:rPr>
        <w:t>‘</w:t>
      </w:r>
      <w:r>
        <w:rPr>
          <w:rFonts w:cs="Arial Unicode MS" w:eastAsia="Arial Unicode MS"/>
          <w:rtl w:val="0"/>
          <w:lang w:val="en-US"/>
        </w:rPr>
        <w:t xml:space="preserve">Seafaring in the Bronze Age Mediterranean: The Parameters Involved in Maritime Travel', </w:t>
      </w:r>
      <w:r>
        <w:rPr>
          <w:rFonts w:cs="Arial Unicode MS" w:eastAsia="Arial Unicode MS"/>
          <w:rtl w:val="0"/>
          <w:lang w:val="en-US"/>
        </w:rPr>
        <w:t xml:space="preserve">in </w:t>
      </w:r>
      <w:r>
        <w:rPr>
          <w:rFonts w:cs="Arial Unicode MS" w:eastAsia="Arial Unicode MS"/>
          <w:i w:val="1"/>
          <w:iCs w:val="1"/>
          <w:rtl w:val="0"/>
          <w:lang w:val="en-US"/>
        </w:rPr>
        <w:t>THALASSA: L</w:t>
      </w:r>
      <w:r>
        <w:rPr>
          <w:rFonts w:cs="Arial Unicode MS" w:eastAsia="Arial Unicode MS" w:hint="default"/>
          <w:i w:val="1"/>
          <w:iCs w:val="1"/>
          <w:rtl w:val="1"/>
        </w:rPr>
        <w:t>’</w:t>
      </w:r>
      <w:r>
        <w:rPr>
          <w:rFonts w:cs="Arial Unicode MS" w:eastAsia="Arial Unicode MS"/>
          <w:i w:val="1"/>
          <w:iCs w:val="1"/>
          <w:rtl w:val="0"/>
        </w:rPr>
        <w:t>Eg</w:t>
      </w:r>
      <w:r>
        <w:rPr>
          <w:rFonts w:cs="Arial Unicode MS" w:eastAsia="Arial Unicode MS" w:hint="default"/>
          <w:i w:val="1"/>
          <w:iCs w:val="1"/>
          <w:rtl w:val="0"/>
          <w:lang w:val="fr-FR"/>
        </w:rPr>
        <w:t>é</w:t>
      </w:r>
      <w:r>
        <w:rPr>
          <w:rFonts w:cs="Arial Unicode MS" w:eastAsia="Arial Unicode MS"/>
          <w:i w:val="1"/>
          <w:iCs w:val="1"/>
          <w:rtl w:val="0"/>
        </w:rPr>
        <w:t>e pr</w:t>
      </w:r>
      <w:r>
        <w:rPr>
          <w:rFonts w:cs="Arial Unicode MS" w:eastAsia="Arial Unicode MS" w:hint="default"/>
          <w:i w:val="1"/>
          <w:iCs w:val="1"/>
          <w:rtl w:val="0"/>
          <w:lang w:val="fr-FR"/>
        </w:rPr>
        <w:t>é</w:t>
      </w:r>
      <w:r>
        <w:rPr>
          <w:rFonts w:cs="Arial Unicode MS" w:eastAsia="Arial Unicode MS"/>
          <w:i w:val="1"/>
          <w:iCs w:val="1"/>
          <w:rtl w:val="0"/>
          <w:lang w:val="fr-FR"/>
        </w:rPr>
        <w:t>historique et la mer. Actes de la troisi</w:t>
      </w:r>
      <w:r>
        <w:rPr>
          <w:rFonts w:cs="Arial Unicode MS" w:eastAsia="Arial Unicode MS" w:hint="default"/>
          <w:i w:val="1"/>
          <w:iCs w:val="1"/>
          <w:rtl w:val="0"/>
          <w:lang w:val="it-IT"/>
        </w:rPr>
        <w:t>è</w:t>
      </w:r>
      <w:r>
        <w:rPr>
          <w:rFonts w:cs="Arial Unicode MS" w:eastAsia="Arial Unicode MS"/>
          <w:i w:val="1"/>
          <w:iCs w:val="1"/>
          <w:rtl w:val="0"/>
          <w:lang w:val="fr-FR"/>
        </w:rPr>
        <w:t xml:space="preserve">me Rencontre </w:t>
      </w:r>
      <w:r>
        <w:rPr>
          <w:rFonts w:cs="Arial Unicode MS" w:eastAsia="Arial Unicode MS" w:hint="default"/>
          <w:i w:val="1"/>
          <w:iCs w:val="1"/>
          <w:rtl w:val="0"/>
          <w:lang w:val="fr-FR"/>
        </w:rPr>
        <w:t>é</w:t>
      </w:r>
      <w:r>
        <w:rPr>
          <w:rFonts w:cs="Arial Unicode MS" w:eastAsia="Arial Unicode MS"/>
          <w:i w:val="1"/>
          <w:iCs w:val="1"/>
          <w:rtl w:val="0"/>
        </w:rPr>
        <w:t>g</w:t>
      </w:r>
      <w:r>
        <w:rPr>
          <w:rFonts w:cs="Arial Unicode MS" w:eastAsia="Arial Unicode MS" w:hint="default"/>
          <w:i w:val="1"/>
          <w:iCs w:val="1"/>
          <w:rtl w:val="0"/>
          <w:lang w:val="fr-FR"/>
        </w:rPr>
        <w:t>é</w:t>
      </w:r>
      <w:r>
        <w:rPr>
          <w:rFonts w:cs="Arial Unicode MS" w:eastAsia="Arial Unicode MS"/>
          <w:i w:val="1"/>
          <w:iCs w:val="1"/>
          <w:rtl w:val="0"/>
          <w:lang w:val="fr-FR"/>
        </w:rPr>
        <w:t>enne internationale de l</w:t>
      </w:r>
      <w:r>
        <w:rPr>
          <w:rFonts w:cs="Arial Unicode MS" w:eastAsia="Arial Unicode MS" w:hint="default"/>
          <w:i w:val="1"/>
          <w:iCs w:val="1"/>
          <w:rtl w:val="1"/>
        </w:rPr>
        <w:t>’</w:t>
      </w:r>
      <w:r>
        <w:rPr>
          <w:rFonts w:cs="Arial Unicode MS" w:eastAsia="Arial Unicode MS"/>
          <w:i w:val="1"/>
          <w:iCs w:val="1"/>
          <w:rtl w:val="0"/>
        </w:rPr>
        <w:t>Universit</w:t>
      </w:r>
      <w:r>
        <w:rPr>
          <w:rFonts w:cs="Arial Unicode MS" w:eastAsia="Arial Unicode MS" w:hint="default"/>
          <w:i w:val="1"/>
          <w:iCs w:val="1"/>
          <w:rtl w:val="0"/>
          <w:lang w:val="fr-FR"/>
        </w:rPr>
        <w:t xml:space="preserve">é </w:t>
      </w:r>
      <w:r>
        <w:rPr>
          <w:rFonts w:cs="Arial Unicode MS" w:eastAsia="Arial Unicode MS"/>
          <w:i w:val="1"/>
          <w:iCs w:val="1"/>
          <w:rtl w:val="0"/>
          <w:lang w:val="pt-PT"/>
        </w:rPr>
        <w:t>de Li</w:t>
      </w:r>
      <w:r>
        <w:rPr>
          <w:rFonts w:cs="Arial Unicode MS" w:eastAsia="Arial Unicode MS" w:hint="default"/>
          <w:i w:val="1"/>
          <w:iCs w:val="1"/>
          <w:rtl w:val="0"/>
          <w:lang w:val="it-IT"/>
        </w:rPr>
        <w:t>è</w:t>
      </w:r>
      <w:r>
        <w:rPr>
          <w:rFonts w:cs="Arial Unicode MS" w:eastAsia="Arial Unicode MS"/>
          <w:i w:val="1"/>
          <w:iCs w:val="1"/>
          <w:rtl w:val="0"/>
          <w:lang w:val="it-IT"/>
        </w:rPr>
        <w:t>ge, Calvi, Corse, 23</w:t>
      </w:r>
      <w:r>
        <w:rPr>
          <w:rFonts w:cs="Arial Unicode MS" w:eastAsia="Arial Unicode MS" w:hint="default"/>
          <w:i w:val="1"/>
          <w:iCs w:val="1"/>
          <w:rtl w:val="0"/>
        </w:rPr>
        <w:t>–</w:t>
      </w:r>
      <w:r>
        <w:rPr>
          <w:rFonts w:cs="Arial Unicode MS" w:eastAsia="Arial Unicode MS"/>
          <w:i w:val="1"/>
          <w:iCs w:val="1"/>
          <w:rtl w:val="0"/>
          <w:lang w:val="fr-FR"/>
        </w:rPr>
        <w:t>25 avril 1990</w:t>
      </w:r>
      <w:r>
        <w:rPr>
          <w:rFonts w:cs="Arial Unicode MS" w:eastAsia="Arial Unicode MS"/>
          <w:rtl w:val="0"/>
        </w:rPr>
        <w:t xml:space="preserve"> </w:t>
      </w:r>
      <w:r>
        <w:rPr>
          <w:rFonts w:cs="Arial Unicode MS" w:eastAsia="Arial Unicode MS"/>
          <w:i w:val="1"/>
          <w:iCs w:val="1"/>
          <w:rtl w:val="0"/>
          <w:lang w:val="da-DK"/>
        </w:rPr>
        <w:t>Aegaeum,</w:t>
      </w:r>
      <w:r>
        <w:rPr>
          <w:rFonts w:cs="Arial Unicode MS" w:eastAsia="Arial Unicode MS"/>
          <w:rtl w:val="0"/>
        </w:rPr>
        <w:t xml:space="preserve"> 7 (1991), </w:t>
      </w:r>
      <w:r>
        <w:rPr>
          <w:rFonts w:cs="Arial Unicode MS" w:eastAsia="Arial Unicode MS"/>
          <w:rtl w:val="0"/>
          <w:lang w:val="en-US"/>
        </w:rPr>
        <w:t xml:space="preserve">pp. </w:t>
      </w:r>
      <w:r>
        <w:rPr>
          <w:rFonts w:cs="Arial Unicode MS" w:eastAsia="Arial Unicode MS"/>
          <w:rtl w:val="0"/>
        </w:rPr>
        <w:t>11-20.</w:t>
      </w:r>
    </w:p>
    <w:p>
      <w:pPr>
        <w:pStyle w:val="Body"/>
      </w:pPr>
    </w:p>
    <w:p>
      <w:pPr>
        <w:pStyle w:val="Body"/>
      </w:pPr>
      <w:r>
        <w:rPr>
          <w:rFonts w:cs="Arial Unicode MS" w:eastAsia="Arial Unicode MS"/>
          <w:rtl w:val="0"/>
          <w:lang w:val="de-DE"/>
        </w:rPr>
        <w:t xml:space="preserve">Lewis, David, </w:t>
      </w:r>
      <w:r>
        <w:rPr>
          <w:rFonts w:cs="Arial Unicode MS" w:eastAsia="Arial Unicode MS" w:hint="default"/>
          <w:rtl w:val="1"/>
        </w:rPr>
        <w:t>‘</w:t>
      </w:r>
      <w:r>
        <w:rPr>
          <w:rFonts w:cs="Arial Unicode MS" w:eastAsia="Arial Unicode MS"/>
          <w:rtl w:val="0"/>
          <w:lang w:val="en-US"/>
        </w:rPr>
        <w:t>Voyaging Stars: Aspects of Polynesian and Micronesian Astronomy</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Philosophical Transactions of the Royal Society of London. Series A, Mathematical and Physical Sciences</w:t>
      </w:r>
      <w:r>
        <w:rPr>
          <w:rFonts w:cs="Arial Unicode MS" w:eastAsia="Arial Unicode MS"/>
          <w:rtl w:val="0"/>
        </w:rPr>
        <w:t>, 276</w:t>
      </w:r>
      <w:r>
        <w:rPr>
          <w:rFonts w:cs="Arial Unicode MS" w:eastAsia="Arial Unicode MS"/>
          <w:rtl w:val="0"/>
          <w:lang w:val="en-US"/>
        </w:rPr>
        <w:t xml:space="preserve"> </w:t>
      </w:r>
      <w:r>
        <w:rPr>
          <w:rFonts w:cs="Arial Unicode MS" w:eastAsia="Arial Unicode MS"/>
          <w:rtl w:val="0"/>
        </w:rPr>
        <w:t xml:space="preserve">(1974), </w:t>
      </w:r>
      <w:r>
        <w:rPr>
          <w:rFonts w:cs="Arial Unicode MS" w:eastAsia="Arial Unicode MS"/>
          <w:rtl w:val="0"/>
          <w:lang w:val="en-US"/>
        </w:rPr>
        <w:t xml:space="preserve">pp. </w:t>
      </w:r>
      <w:r>
        <w:rPr>
          <w:rFonts w:cs="Arial Unicode MS" w:eastAsia="Arial Unicode MS"/>
          <w:rtl w:val="0"/>
        </w:rPr>
        <w:t>133-48.</w:t>
      </w:r>
    </w:p>
    <w:p>
      <w:pPr>
        <w:pStyle w:val="Body"/>
      </w:pPr>
    </w:p>
    <w:p>
      <w:pPr>
        <w:pStyle w:val="Body"/>
      </w:pPr>
      <w:r>
        <w:rPr>
          <w:rFonts w:cs="Arial Unicode MS" w:eastAsia="Arial Unicode MS"/>
          <w:rtl w:val="0"/>
          <w:lang w:val="de-DE"/>
        </w:rPr>
        <w:t>Lewis, David</w:t>
      </w:r>
      <w:r>
        <w:rPr>
          <w:rFonts w:cs="Arial Unicode MS" w:eastAsia="Arial Unicode MS"/>
          <w:rtl w:val="0"/>
        </w:rPr>
        <w:t xml:space="preserve">, </w:t>
      </w:r>
      <w:r>
        <w:rPr>
          <w:rFonts w:cs="Arial Unicode MS" w:eastAsia="Arial Unicode MS"/>
          <w:i w:val="1"/>
          <w:iCs w:val="1"/>
          <w:rtl w:val="0"/>
          <w:lang w:val="en-US"/>
        </w:rPr>
        <w:t xml:space="preserve">We, the Navigators: The Ancient Art of Landfinding in the Pacific </w:t>
      </w:r>
      <w:r>
        <w:rPr>
          <w:rFonts w:cs="Arial Unicode MS" w:eastAsia="Arial Unicode MS"/>
          <w:rtl w:val="0"/>
          <w:lang w:val="en-US"/>
        </w:rPr>
        <w:t>(University of Hawaii Press, 1994).</w:t>
      </w:r>
    </w:p>
    <w:p>
      <w:pPr>
        <w:pStyle w:val="Body"/>
      </w:pPr>
    </w:p>
    <w:p>
      <w:pPr>
        <w:pStyle w:val="Body"/>
      </w:pPr>
      <w:r>
        <w:rPr>
          <w:rFonts w:cs="Arial Unicode MS" w:eastAsia="Arial Unicode MS"/>
          <w:rtl w:val="0"/>
          <w:lang w:val="en-US"/>
        </w:rPr>
        <w:t xml:space="preserve">Lionel, Casson. "Ships and Seamanship in the Ancient World, Princeton, Newjersey." </w:t>
      </w:r>
      <w:r>
        <w:rPr>
          <w:rFonts w:cs="Arial Unicode MS" w:eastAsia="Arial Unicode MS"/>
          <w:rtl w:val="0"/>
          <w:lang w:val="en-US"/>
        </w:rPr>
        <w:t>(</w:t>
      </w:r>
      <w:r>
        <w:rPr>
          <w:rFonts w:cs="Arial Unicode MS" w:eastAsia="Arial Unicode MS"/>
          <w:rtl w:val="0"/>
          <w:lang w:val="en-US"/>
        </w:rPr>
        <w:t>Princeton, University Press, 1971</w:t>
      </w:r>
      <w:r>
        <w:rPr>
          <w:rFonts w:cs="Arial Unicode MS" w:eastAsia="Arial Unicode MS"/>
          <w:rtl w:val="0"/>
          <w:lang w:val="en-US"/>
        </w:rPr>
        <w:t>)</w:t>
      </w:r>
      <w:r>
        <w:rPr>
          <w:rFonts w:cs="Arial Unicode MS" w:eastAsia="Arial Unicode MS"/>
          <w:rtl w:val="0"/>
        </w:rPr>
        <w:t>.</w:t>
      </w:r>
    </w:p>
    <w:p>
      <w:pPr>
        <w:pStyle w:val="Body"/>
      </w:pPr>
    </w:p>
    <w:p>
      <w:pPr>
        <w:pStyle w:val="Body"/>
      </w:pPr>
      <w:r>
        <w:rPr>
          <w:rFonts w:cs="Arial Unicode MS" w:eastAsia="Arial Unicode MS"/>
          <w:rtl w:val="0"/>
          <w:lang w:val="fr-FR"/>
        </w:rPr>
        <w:t xml:space="preserve">MacGillivray, Joseph Alexander, </w:t>
      </w:r>
      <w:r>
        <w:rPr>
          <w:rFonts w:cs="Arial Unicode MS" w:eastAsia="Arial Unicode MS" w:hint="default"/>
          <w:rtl w:val="1"/>
        </w:rPr>
        <w:t>‘</w:t>
      </w:r>
      <w:r>
        <w:rPr>
          <w:rFonts w:cs="Arial Unicode MS" w:eastAsia="Arial Unicode MS"/>
          <w:rtl w:val="0"/>
          <w:lang w:val="en-US"/>
        </w:rPr>
        <w:t>A Middle Minoan Cup from Sidon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Archaeology &amp; history in Lebanon</w:t>
      </w:r>
      <w:r>
        <w:rPr>
          <w:rFonts w:cs="Arial Unicode MS" w:eastAsia="Arial Unicode MS"/>
          <w:rtl w:val="0"/>
        </w:rPr>
        <w:t xml:space="preserve"> (2003), </w:t>
      </w:r>
      <w:r>
        <w:rPr>
          <w:rFonts w:cs="Arial Unicode MS" w:eastAsia="Arial Unicode MS"/>
          <w:rtl w:val="0"/>
          <w:lang w:val="en-US"/>
        </w:rPr>
        <w:t xml:space="preserve">pp. </w:t>
      </w:r>
      <w:r>
        <w:rPr>
          <w:rFonts w:cs="Arial Unicode MS" w:eastAsia="Arial Unicode MS"/>
          <w:rtl w:val="0"/>
        </w:rPr>
        <w:t>20-24.</w:t>
      </w:r>
    </w:p>
    <w:p>
      <w:pPr>
        <w:pStyle w:val="Body"/>
      </w:pPr>
    </w:p>
    <w:p>
      <w:pPr>
        <w:pStyle w:val="Body"/>
      </w:pPr>
      <w:r>
        <w:rPr>
          <w:rFonts w:cs="Arial Unicode MS" w:eastAsia="Arial Unicode MS"/>
          <w:rtl w:val="0"/>
          <w:lang w:val="it-IT"/>
        </w:rPr>
        <w:t xml:space="preserve">Marinatos, Nanno, </w:t>
      </w:r>
      <w:r>
        <w:rPr>
          <w:rFonts w:cs="Arial Unicode MS" w:eastAsia="Arial Unicode MS"/>
          <w:i w:val="1"/>
          <w:iCs w:val="1"/>
          <w:rtl w:val="0"/>
          <w:lang w:val="en-US"/>
        </w:rPr>
        <w:t>Minoan Religion: Ritual, Image, and Symbol</w:t>
      </w:r>
      <w:r>
        <w:rPr>
          <w:rFonts w:cs="Arial Unicode MS" w:eastAsia="Arial Unicode MS"/>
          <w:rtl w:val="0"/>
          <w:lang w:val="en-US"/>
        </w:rPr>
        <w:t xml:space="preserve"> (University of South Carolina Press, 1993).</w:t>
      </w:r>
    </w:p>
    <w:p>
      <w:pPr>
        <w:pStyle w:val="Body"/>
      </w:pPr>
    </w:p>
    <w:p>
      <w:pPr>
        <w:pStyle w:val="Body"/>
      </w:pPr>
      <w:r>
        <w:rPr>
          <w:rFonts w:cs="Arial Unicode MS" w:eastAsia="Arial Unicode MS"/>
          <w:rtl w:val="0"/>
          <w:lang w:val="en-US"/>
        </w:rPr>
        <w:t xml:space="preserve">National Geophysical Data Center, </w:t>
      </w:r>
      <w:r>
        <w:rPr>
          <w:rFonts w:cs="Arial Unicode MS" w:eastAsia="Arial Unicode MS" w:hint="default"/>
          <w:rtl w:val="1"/>
        </w:rPr>
        <w:t>‘</w:t>
      </w:r>
      <w:r>
        <w:rPr>
          <w:rFonts w:cs="Arial Unicode MS" w:eastAsia="Arial Unicode MS"/>
          <w:rtl w:val="0"/>
          <w:lang w:val="it-IT"/>
        </w:rPr>
        <w:t>NCEI Geomagnetic Calculators</w:t>
      </w:r>
      <w:r>
        <w:rPr>
          <w:rFonts w:cs="Arial Unicode MS" w:eastAsia="Arial Unicode MS" w:hint="default"/>
          <w:rtl w:val="1"/>
        </w:rPr>
        <w:t>’</w:t>
      </w:r>
      <w:r>
        <w:rPr>
          <w:rFonts w:cs="Arial Unicode MS" w:eastAsia="Arial Unicode MS"/>
          <w:rtl w:val="0"/>
          <w:lang w:val="en-US"/>
        </w:rPr>
        <w:t>. NCEI Geomagnetic Calculators. U.S. Department of Commerce</w:t>
      </w:r>
      <w:r>
        <w:rPr>
          <w:rFonts w:cs="Arial Unicode MS" w:eastAsia="Arial Unicode MS"/>
          <w:rtl w:val="0"/>
          <w:lang w:val="en-US"/>
        </w:rPr>
        <w:t xml:space="preserve"> </w:t>
      </w:r>
      <w:r>
        <w:rPr>
          <w:rFonts w:cs="Arial Unicode MS" w:eastAsia="Arial Unicode MS"/>
          <w:rtl w:val="0"/>
          <w:lang w:val="en-US"/>
        </w:rPr>
        <w:t>from &lt;https://www.ngdc.noaa.gov/geomag/calculators/magcalc.shtml&gt;</w:t>
      </w:r>
      <w:r>
        <w:rPr>
          <w:rFonts w:cs="Arial Unicode MS" w:eastAsia="Arial Unicode MS"/>
          <w:rtl w:val="0"/>
          <w:lang w:val="en-US"/>
        </w:rPr>
        <w:t xml:space="preserve"> [</w:t>
      </w:r>
      <w:r>
        <w:rPr>
          <w:rFonts w:cs="Arial Unicode MS" w:eastAsia="Arial Unicode MS"/>
          <w:rtl w:val="0"/>
          <w:lang w:val="en-US"/>
        </w:rPr>
        <w:t>Accessed September 15, 2021</w:t>
      </w:r>
      <w:r>
        <w:rPr>
          <w:rFonts w:cs="Arial Unicode MS" w:eastAsia="Arial Unicode MS"/>
          <w:rtl w:val="0"/>
          <w:lang w:val="en-US"/>
        </w:rPr>
        <w:t>].</w:t>
      </w:r>
    </w:p>
    <w:p>
      <w:pPr>
        <w:pStyle w:val="Body"/>
      </w:pPr>
    </w:p>
    <w:p>
      <w:pPr>
        <w:pStyle w:val="Body"/>
      </w:pPr>
      <w:r>
        <w:rPr>
          <w:rFonts w:cs="Arial Unicode MS" w:eastAsia="Arial Unicode MS"/>
          <w:rtl w:val="0"/>
        </w:rPr>
        <w:t xml:space="preserve">Negbi, Ora, </w:t>
      </w:r>
      <w:r>
        <w:rPr>
          <w:rFonts w:cs="Arial Unicode MS" w:eastAsia="Arial Unicode MS" w:hint="default"/>
          <w:rtl w:val="1"/>
        </w:rPr>
        <w:t>‘</w:t>
      </w:r>
      <w:r>
        <w:rPr>
          <w:rFonts w:cs="Arial Unicode MS" w:eastAsia="Arial Unicode MS"/>
          <w:rtl w:val="0"/>
          <w:lang w:val="en-US"/>
        </w:rPr>
        <w:t>Early Phoenician Presence in the Mediterranean Islands: A Reappraisal</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American Journal of Archaeology</w:t>
      </w:r>
      <w:r>
        <w:rPr>
          <w:rFonts w:cs="Arial Unicode MS" w:eastAsia="Arial Unicode MS"/>
          <w:rtl w:val="0"/>
        </w:rPr>
        <w:t xml:space="preserve"> (1992), </w:t>
      </w:r>
      <w:r>
        <w:rPr>
          <w:rFonts w:cs="Arial Unicode MS" w:eastAsia="Arial Unicode MS"/>
          <w:rtl w:val="0"/>
          <w:lang w:val="en-US"/>
        </w:rPr>
        <w:t xml:space="preserve">pp. </w:t>
      </w:r>
      <w:r>
        <w:rPr>
          <w:rFonts w:cs="Arial Unicode MS" w:eastAsia="Arial Unicode MS"/>
          <w:rtl w:val="0"/>
        </w:rPr>
        <w:t>599-615.</w:t>
      </w:r>
    </w:p>
    <w:p>
      <w:pPr>
        <w:pStyle w:val="Body"/>
      </w:pPr>
    </w:p>
    <w:p>
      <w:pPr>
        <w:pStyle w:val="Body"/>
      </w:pPr>
      <w:r>
        <w:rPr>
          <w:rFonts w:cs="Arial Unicode MS" w:eastAsia="Arial Unicode MS"/>
          <w:rtl w:val="0"/>
          <w:lang w:val="de-DE"/>
        </w:rPr>
        <w:t xml:space="preserve">Nielbock, Markus, </w:t>
      </w:r>
      <w:r>
        <w:rPr>
          <w:rFonts w:cs="Arial Unicode MS" w:eastAsia="Arial Unicode MS" w:hint="default"/>
          <w:rtl w:val="1"/>
        </w:rPr>
        <w:t>‘</w:t>
      </w:r>
      <w:r>
        <w:rPr>
          <w:rFonts w:cs="Arial Unicode MS" w:eastAsia="Arial Unicode MS"/>
          <w:rtl w:val="0"/>
          <w:lang w:val="en-US"/>
        </w:rPr>
        <w:t>Navigation in the Ancient Mediterranean and Beyond</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rPr>
        <w:t>arXiv preprint arXiv:1708.07700</w:t>
      </w:r>
      <w:r>
        <w:rPr>
          <w:rFonts w:cs="Arial Unicode MS" w:eastAsia="Arial Unicode MS"/>
          <w:rtl w:val="0"/>
        </w:rPr>
        <w:t xml:space="preserve"> (2017).</w:t>
      </w:r>
    </w:p>
    <w:p>
      <w:pPr>
        <w:pStyle w:val="Body"/>
      </w:pPr>
    </w:p>
    <w:p>
      <w:pPr>
        <w:pStyle w:val="Body"/>
      </w:pPr>
      <w:r>
        <w:rPr>
          <w:rFonts w:cs="Arial Unicode MS" w:eastAsia="Arial Unicode MS"/>
          <w:rtl w:val="0"/>
          <w:lang w:val="de-DE"/>
        </w:rPr>
        <w:t>Niemeier, W</w:t>
      </w:r>
      <w:r>
        <w:rPr>
          <w:rFonts w:cs="Arial Unicode MS" w:eastAsia="Arial Unicode MS"/>
          <w:rtl w:val="0"/>
          <w:lang w:val="en-US"/>
        </w:rPr>
        <w:t>.</w:t>
      </w:r>
      <w:r>
        <w:rPr>
          <w:rFonts w:cs="Arial Unicode MS" w:eastAsia="Arial Unicode MS"/>
          <w:rtl w:val="0"/>
        </w:rPr>
        <w:t>D</w:t>
      </w:r>
      <w:r>
        <w:rPr>
          <w:rFonts w:cs="Arial Unicode MS" w:eastAsia="Arial Unicode MS"/>
          <w:rtl w:val="0"/>
          <w:lang w:val="en-US"/>
        </w:rPr>
        <w:t>.</w:t>
      </w:r>
      <w:r>
        <w:rPr>
          <w:rFonts w:cs="Arial Unicode MS" w:eastAsia="Arial Unicode MS"/>
          <w:rtl w:val="0"/>
          <w:lang w:val="en-US"/>
        </w:rPr>
        <w:t>, and B</w:t>
      </w:r>
      <w:r>
        <w:rPr>
          <w:rFonts w:cs="Arial Unicode MS" w:eastAsia="Arial Unicode MS"/>
          <w:rtl w:val="0"/>
          <w:lang w:val="en-US"/>
        </w:rPr>
        <w:t>.</w:t>
      </w:r>
      <w:r>
        <w:rPr>
          <w:rFonts w:cs="Arial Unicode MS" w:eastAsia="Arial Unicode MS"/>
          <w:rtl w:val="0"/>
          <w:lang w:val="de-DE"/>
        </w:rPr>
        <w:t xml:space="preserve"> Niemeier</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Minoan Frescoes in the Eastern Mediterranean. The Aegean and the Orient in the Second Millennium</w:t>
      </w:r>
      <w:r>
        <w:rPr>
          <w:rFonts w:cs="Arial Unicode MS" w:eastAsia="Arial Unicode MS" w:hint="default"/>
          <w:rtl w:val="0"/>
          <w:lang w:val="en-US"/>
        </w:rPr>
        <w:t xml:space="preserve">’ </w:t>
      </w:r>
      <w:r>
        <w:rPr>
          <w:rFonts w:cs="Arial Unicode MS" w:eastAsia="Arial Unicode MS"/>
          <w:rtl w:val="0"/>
          <w:lang w:val="en-US"/>
        </w:rPr>
        <w:t>in</w:t>
      </w:r>
      <w:r>
        <w:rPr>
          <w:rFonts w:cs="Arial Unicode MS" w:eastAsia="Arial Unicode MS"/>
          <w:rtl w:val="0"/>
        </w:rPr>
        <w:t xml:space="preserve"> </w:t>
      </w:r>
      <w:r>
        <w:rPr>
          <w:rFonts w:cs="Arial Unicode MS" w:eastAsia="Arial Unicode MS"/>
          <w:i w:val="1"/>
          <w:iCs w:val="1"/>
          <w:rtl w:val="0"/>
          <w:lang w:val="en-US"/>
        </w:rPr>
        <w:t>Proceedings of the 50th Anniversary Symposium Cincinati</w:t>
      </w:r>
      <w:r>
        <w:rPr>
          <w:rFonts w:cs="Arial Unicode MS" w:eastAsia="Arial Unicode MS"/>
          <w:i w:val="1"/>
          <w:iCs w:val="1"/>
          <w:rtl w:val="0"/>
          <w:lang w:val="en-US"/>
        </w:rPr>
        <w:t xml:space="preserve"> </w:t>
      </w:r>
      <w:r>
        <w:rPr>
          <w:rFonts w:cs="Arial Unicode MS" w:eastAsia="Arial Unicode MS"/>
          <w:rtl w:val="0"/>
          <w:lang w:val="en-US"/>
        </w:rPr>
        <w:t>(</w:t>
      </w:r>
      <w:r>
        <w:rPr>
          <w:rFonts w:cs="Arial Unicode MS" w:eastAsia="Arial Unicode MS"/>
          <w:rtl w:val="0"/>
        </w:rPr>
        <w:t>1997</w:t>
      </w:r>
      <w:r>
        <w:rPr>
          <w:rFonts w:cs="Arial Unicode MS" w:eastAsia="Arial Unicode MS"/>
          <w:rtl w:val="0"/>
          <w:lang w:val="en-US"/>
        </w:rPr>
        <w:t xml:space="preserve">), pp. </w:t>
      </w:r>
      <w:r>
        <w:rPr>
          <w:rFonts w:cs="Arial Unicode MS" w:eastAsia="Arial Unicode MS"/>
          <w:rtl w:val="0"/>
        </w:rPr>
        <w:t>18-20.</w:t>
      </w:r>
    </w:p>
    <w:p>
      <w:pPr>
        <w:pStyle w:val="Body"/>
      </w:pPr>
    </w:p>
    <w:p>
      <w:pPr>
        <w:pStyle w:val="Body"/>
      </w:pPr>
      <w:r>
        <w:rPr>
          <w:rFonts w:cs="Arial Unicode MS" w:eastAsia="Arial Unicode MS"/>
          <w:rtl w:val="0"/>
        </w:rPr>
        <w:t>Noureddine, Ibrahim</w:t>
      </w:r>
      <w:r>
        <w:rPr>
          <w:rFonts w:cs="Arial Unicode MS" w:eastAsia="Arial Unicode MS"/>
          <w:rtl w:val="0"/>
          <w:lang w:val="en-US"/>
        </w:rPr>
        <w:t>, and</w:t>
      </w:r>
      <w:r>
        <w:rPr>
          <w:rFonts w:cs="Arial Unicode MS" w:eastAsia="Arial Unicode MS"/>
          <w:rtl w:val="0"/>
          <w:lang w:val="en-US"/>
        </w:rPr>
        <w:t xml:space="preserve"> Mior, Aaron</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Archaeological Survey of the Phoenician Harbour at Tyre, Lebanon</w:t>
      </w:r>
      <w:r>
        <w:rPr>
          <w:rFonts w:cs="Arial Unicode MS" w:eastAsia="Arial Unicode MS" w:hint="default"/>
          <w:rtl w:val="0"/>
          <w:lang w:val="en-US"/>
        </w:rPr>
        <w:t>’</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rPr>
        <w:t>Bulletin d</w:t>
      </w:r>
      <w:r>
        <w:rPr>
          <w:rFonts w:cs="Arial Unicode MS" w:eastAsia="Arial Unicode MS" w:hint="default"/>
          <w:i w:val="1"/>
          <w:iCs w:val="1"/>
          <w:rtl w:val="1"/>
        </w:rPr>
        <w:t>’</w:t>
      </w:r>
      <w:r>
        <w:rPr>
          <w:rFonts w:cs="Arial Unicode MS" w:eastAsia="Arial Unicode MS"/>
          <w:i w:val="1"/>
          <w:iCs w:val="1"/>
          <w:rtl w:val="0"/>
          <w:lang w:val="en-US"/>
        </w:rPr>
        <w:t>Arch</w:t>
      </w:r>
      <w:r>
        <w:rPr>
          <w:rFonts w:cs="Arial Unicode MS" w:eastAsia="Arial Unicode MS" w:hint="default"/>
          <w:i w:val="1"/>
          <w:iCs w:val="1"/>
          <w:rtl w:val="0"/>
          <w:lang w:val="fr-FR"/>
        </w:rPr>
        <w:t>é</w:t>
      </w:r>
      <w:r>
        <w:rPr>
          <w:rFonts w:cs="Arial Unicode MS" w:eastAsia="Arial Unicode MS"/>
          <w:i w:val="1"/>
          <w:iCs w:val="1"/>
          <w:rtl w:val="0"/>
          <w:lang w:val="fr-FR"/>
        </w:rPr>
        <w:t>ologie et d</w:t>
      </w:r>
      <w:r>
        <w:rPr>
          <w:rFonts w:cs="Arial Unicode MS" w:eastAsia="Arial Unicode MS" w:hint="default"/>
          <w:i w:val="1"/>
          <w:iCs w:val="1"/>
          <w:rtl w:val="1"/>
        </w:rPr>
        <w:t>’</w:t>
      </w:r>
      <w:r>
        <w:rPr>
          <w:rFonts w:cs="Arial Unicode MS" w:eastAsia="Arial Unicode MS"/>
          <w:i w:val="1"/>
          <w:iCs w:val="1"/>
          <w:rtl w:val="0"/>
          <w:lang w:val="fr-FR"/>
        </w:rPr>
        <w:t>Architecture Libanaises</w:t>
      </w:r>
      <w:r>
        <w:rPr>
          <w:rFonts w:cs="Arial Unicode MS" w:eastAsia="Arial Unicode MS"/>
          <w:rtl w:val="0"/>
          <w:lang w:val="en-US"/>
        </w:rPr>
        <w:t xml:space="preserve"> </w:t>
      </w:r>
      <w:r>
        <w:rPr>
          <w:rFonts w:cs="Arial Unicode MS" w:eastAsia="Arial Unicode MS"/>
          <w:rtl w:val="0"/>
        </w:rPr>
        <w:t>(2018)</w:t>
      </w:r>
      <w:r>
        <w:rPr>
          <w:rFonts w:cs="Arial Unicode MS" w:eastAsia="Arial Unicode MS"/>
          <w:rtl w:val="0"/>
          <w:lang w:val="en-US"/>
        </w:rPr>
        <w:t>,</w:t>
      </w:r>
      <w:r>
        <w:rPr>
          <w:rFonts w:cs="Arial Unicode MS" w:eastAsia="Arial Unicode MS"/>
          <w:rtl w:val="0"/>
        </w:rPr>
        <w:t xml:space="preserve"> p</w:t>
      </w:r>
      <w:r>
        <w:rPr>
          <w:rFonts w:cs="Arial Unicode MS" w:eastAsia="Arial Unicode MS"/>
          <w:rtl w:val="0"/>
          <w:lang w:val="en-US"/>
        </w:rPr>
        <w:t>p</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rPr>
        <w:t>95-112</w:t>
      </w:r>
      <w:r>
        <w:rPr>
          <w:rFonts w:cs="Arial Unicode MS" w:eastAsia="Arial Unicode MS"/>
          <w:rtl w:val="0"/>
          <w:lang w:val="en-US"/>
        </w:rPr>
        <w:t>.</w:t>
      </w:r>
    </w:p>
    <w:p>
      <w:pPr>
        <w:pStyle w:val="Body"/>
      </w:pPr>
    </w:p>
    <w:p>
      <w:pPr>
        <w:pStyle w:val="Body"/>
      </w:pPr>
      <w:r>
        <w:rPr>
          <w:rFonts w:cs="Arial Unicode MS" w:eastAsia="Arial Unicode MS"/>
          <w:rtl w:val="0"/>
        </w:rPr>
        <w:t>Nov</w:t>
      </w:r>
      <w:r>
        <w:rPr>
          <w:rFonts w:cs="Arial Unicode MS" w:eastAsia="Arial Unicode MS" w:hint="default"/>
          <w:rtl w:val="0"/>
        </w:rPr>
        <w:t>á</w:t>
      </w:r>
      <w:r>
        <w:rPr>
          <w:rFonts w:cs="Arial Unicode MS" w:eastAsia="Arial Unicode MS"/>
          <w:rtl w:val="0"/>
        </w:rPr>
        <w:t xml:space="preserve">k, Mirko, </w:t>
      </w:r>
      <w:r>
        <w:rPr>
          <w:rFonts w:cs="Arial Unicode MS" w:eastAsia="Arial Unicode MS" w:hint="default"/>
          <w:rtl w:val="1"/>
        </w:rPr>
        <w:t>‘</w:t>
      </w:r>
      <w:r>
        <w:rPr>
          <w:rFonts w:cs="Arial Unicode MS" w:eastAsia="Arial Unicode MS"/>
          <w:rtl w:val="0"/>
          <w:lang w:val="en-US"/>
        </w:rPr>
        <w:t>The Chronology of the Bronze Age Palace of Qatna</w:t>
      </w:r>
      <w:r>
        <w:rPr>
          <w:rFonts w:cs="Arial Unicode MS" w:eastAsia="Arial Unicode MS" w:hint="default"/>
          <w:rtl w:val="1"/>
        </w:rPr>
        <w:t>’</w:t>
      </w:r>
      <w:r>
        <w:rPr>
          <w:rFonts w:cs="Arial Unicode MS" w:eastAsia="Arial Unicode MS"/>
          <w:rtl w:val="0"/>
        </w:rPr>
        <w:t xml:space="preserve">, </w:t>
      </w:r>
      <w:r>
        <w:rPr>
          <w:rFonts w:cs="Arial Unicode MS" w:eastAsia="Arial Unicode MS" w:hint="default"/>
          <w:i w:val="1"/>
          <w:iCs w:val="1"/>
          <w:rtl w:val="0"/>
          <w:lang w:val="sv-SE"/>
        </w:rPr>
        <w:t>Ä</w:t>
      </w:r>
      <w:r>
        <w:rPr>
          <w:rFonts w:cs="Arial Unicode MS" w:eastAsia="Arial Unicode MS"/>
          <w:i w:val="1"/>
          <w:iCs w:val="1"/>
          <w:rtl w:val="0"/>
          <w:lang w:val="de-DE"/>
        </w:rPr>
        <w:t>gypten und Levante</w:t>
      </w:r>
      <w:r>
        <w:rPr>
          <w:rFonts w:cs="Arial Unicode MS" w:eastAsia="Arial Unicode MS"/>
          <w:rtl w:val="0"/>
        </w:rPr>
        <w:t>, 14: (2004).</w:t>
      </w:r>
    </w:p>
    <w:p>
      <w:pPr>
        <w:pStyle w:val="Body"/>
      </w:pPr>
    </w:p>
    <w:p>
      <w:pPr>
        <w:pStyle w:val="Body"/>
      </w:pPr>
      <w:r>
        <w:rPr>
          <w:rFonts w:cs="Arial Unicode MS" w:eastAsia="Arial Unicode MS"/>
          <w:rtl w:val="0"/>
          <w:lang w:val="pt-PT"/>
        </w:rPr>
        <w:t>OpenCPN</w:t>
      </w:r>
      <w:r>
        <w:rPr>
          <w:rFonts w:cs="Arial Unicode MS" w:eastAsia="Arial Unicode MS"/>
          <w:rtl w:val="0"/>
          <w:lang w:val="en-US"/>
        </w:rPr>
        <w:t>,</w:t>
      </w:r>
      <w:r>
        <w:rPr>
          <w:rFonts w:cs="Arial Unicode MS" w:eastAsia="Arial Unicode MS" w:hint="default"/>
          <w:rtl w:val="1"/>
        </w:rPr>
        <w:t xml:space="preserve"> ‘</w:t>
      </w:r>
      <w:r>
        <w:rPr>
          <w:rFonts w:cs="Arial Unicode MS" w:eastAsia="Arial Unicode MS"/>
          <w:rtl w:val="0"/>
          <w:lang w:val="en-US"/>
        </w:rPr>
        <w:t>OpenCPN Chart Plotter NAVIGATION</w:t>
      </w:r>
      <w:r>
        <w:rPr>
          <w:rFonts w:cs="Arial Unicode MS" w:eastAsia="Arial Unicode MS" w:hint="default"/>
          <w:rtl w:val="1"/>
        </w:rPr>
        <w:t>’</w:t>
      </w:r>
      <w:r>
        <w:rPr>
          <w:rFonts w:cs="Arial Unicode MS" w:eastAsia="Arial Unicode MS"/>
          <w:rtl w:val="0"/>
          <w:lang w:val="en-US"/>
        </w:rPr>
        <w:t>. OpenCPN Official Site</w:t>
      </w:r>
      <w:r>
        <w:rPr>
          <w:rFonts w:cs="Arial Unicode MS" w:eastAsia="Arial Unicode MS"/>
          <w:rtl w:val="0"/>
          <w:lang w:val="en-US"/>
        </w:rPr>
        <w:t xml:space="preserve"> </w:t>
      </w:r>
      <w:r>
        <w:rPr>
          <w:rFonts w:cs="Arial Unicode MS" w:eastAsia="Arial Unicode MS"/>
          <w:rtl w:val="0"/>
          <w:lang w:val="en-US"/>
        </w:rPr>
        <w:t xml:space="preserve">from </w:t>
      </w:r>
      <w:r>
        <w:rPr>
          <w:rFonts w:cs="Arial Unicode MS" w:eastAsia="Arial Unicode MS"/>
          <w:rtl w:val="0"/>
          <w:lang w:val="en-US"/>
        </w:rPr>
        <w:t>&lt;</w:t>
      </w:r>
      <w:r>
        <w:rPr>
          <w:rFonts w:cs="Arial Unicode MS" w:eastAsia="Arial Unicode MS"/>
          <w:rtl w:val="0"/>
          <w:lang w:val="en-US"/>
        </w:rPr>
        <w:t>https://opencpn.org</w:t>
      </w:r>
      <w:r>
        <w:rPr>
          <w:rFonts w:cs="Arial Unicode MS" w:eastAsia="Arial Unicode MS"/>
          <w:rtl w:val="0"/>
          <w:lang w:val="en-US"/>
        </w:rPr>
        <w:t>&gt; [</w:t>
      </w:r>
      <w:r>
        <w:rPr>
          <w:rFonts w:cs="Arial Unicode MS" w:eastAsia="Arial Unicode MS"/>
          <w:rtl w:val="0"/>
          <w:lang w:val="en-US"/>
        </w:rPr>
        <w:t>Accessed September 15, 2021</w:t>
      </w:r>
      <w:r>
        <w:rPr>
          <w:rFonts w:cs="Arial Unicode MS" w:eastAsia="Arial Unicode MS"/>
          <w:rtl w:val="0"/>
          <w:lang w:val="en-US"/>
        </w:rPr>
        <w:t>].</w:t>
      </w:r>
    </w:p>
    <w:p>
      <w:pPr>
        <w:pStyle w:val="Body"/>
      </w:pPr>
    </w:p>
    <w:p>
      <w:pPr>
        <w:pStyle w:val="Body"/>
      </w:pPr>
      <w:r>
        <w:rPr>
          <w:rFonts w:cs="Arial Unicode MS" w:eastAsia="Arial Unicode MS"/>
          <w:rtl w:val="0"/>
          <w:lang w:val="fr-FR"/>
        </w:rPr>
        <w:t xml:space="preserve">Papageorgiou, Despoina, </w:t>
      </w:r>
      <w:r>
        <w:rPr>
          <w:rFonts w:cs="Arial Unicode MS" w:eastAsia="Arial Unicode MS" w:hint="default"/>
          <w:rtl w:val="1"/>
        </w:rPr>
        <w:t>‘</w:t>
      </w:r>
      <w:r>
        <w:rPr>
          <w:rFonts w:cs="Arial Unicode MS" w:eastAsia="Arial Unicode MS"/>
          <w:rtl w:val="0"/>
          <w:lang w:val="en-US"/>
        </w:rPr>
        <w:t>The Marine Environment and Its Influence on Seafaring and Maritime Routes in the Prehistoric Aegean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European Journal of Archaeology</w:t>
      </w:r>
      <w:r>
        <w:rPr>
          <w:rFonts w:cs="Arial Unicode MS" w:eastAsia="Arial Unicode MS"/>
          <w:rtl w:val="0"/>
        </w:rPr>
        <w:t xml:space="preserve">, 11 (2008), </w:t>
      </w:r>
      <w:r>
        <w:rPr>
          <w:rFonts w:cs="Arial Unicode MS" w:eastAsia="Arial Unicode MS"/>
          <w:rtl w:val="0"/>
          <w:lang w:val="en-US"/>
        </w:rPr>
        <w:t xml:space="preserve">pp. </w:t>
      </w:r>
      <w:r>
        <w:rPr>
          <w:rFonts w:cs="Arial Unicode MS" w:eastAsia="Arial Unicode MS"/>
          <w:rtl w:val="0"/>
        </w:rPr>
        <w:t>199-222.</w:t>
      </w:r>
    </w:p>
    <w:p>
      <w:pPr>
        <w:pStyle w:val="Body"/>
      </w:pPr>
    </w:p>
    <w:p>
      <w:pPr>
        <w:pStyle w:val="Body"/>
      </w:pPr>
      <w:r>
        <w:rPr>
          <w:rFonts w:cs="Arial Unicode MS" w:eastAsia="Arial Unicode MS"/>
          <w:rtl w:val="0"/>
          <w:lang w:val="pt-PT"/>
        </w:rPr>
        <w:t xml:space="preserve">Papathanassiou, Maria. </w:t>
      </w:r>
      <w:r>
        <w:rPr>
          <w:rFonts w:cs="Arial Unicode MS" w:eastAsia="Arial Unicode MS" w:hint="default"/>
          <w:rtl w:val="1"/>
        </w:rPr>
        <w:t>‘</w:t>
      </w:r>
      <w:r>
        <w:rPr>
          <w:rFonts w:cs="Arial Unicode MS" w:eastAsia="Arial Unicode MS"/>
          <w:rtl w:val="0"/>
          <w:lang w:val="en-US"/>
        </w:rPr>
        <w:t>Archaeoastronomy in Greece: Data, Problems and Perspectives</w:t>
      </w:r>
      <w:r>
        <w:rPr>
          <w:rFonts w:cs="Arial Unicode MS" w:eastAsia="Arial Unicode MS" w:hint="default"/>
          <w:rtl w:val="1"/>
        </w:rPr>
        <w:t xml:space="preserve">’ </w:t>
      </w:r>
      <w:r>
        <w:rPr>
          <w:rFonts w:cs="Arial Unicode MS" w:eastAsia="Arial Unicode MS"/>
          <w:rtl w:val="0"/>
        </w:rPr>
        <w:t>(1994).</w:t>
      </w:r>
    </w:p>
    <w:p>
      <w:pPr>
        <w:pStyle w:val="Body"/>
      </w:pPr>
    </w:p>
    <w:p>
      <w:pPr>
        <w:pStyle w:val="Body"/>
      </w:pPr>
      <w:r>
        <w:rPr>
          <w:rFonts w:cs="Arial Unicode MS" w:eastAsia="Arial Unicode MS"/>
          <w:rtl w:val="0"/>
          <w:lang w:val="da-DK"/>
        </w:rPr>
        <w:t xml:space="preserve">Pelgrift, Henry Curtis, </w:t>
      </w:r>
      <w:r>
        <w:rPr>
          <w:rFonts w:cs="Arial Unicode MS" w:eastAsia="Arial Unicode MS" w:hint="default"/>
          <w:rtl w:val="1"/>
        </w:rPr>
        <w:t>‘</w:t>
      </w:r>
      <w:r>
        <w:rPr>
          <w:rFonts w:cs="Arial Unicode MS" w:eastAsia="Arial Unicode MS"/>
          <w:rtl w:val="0"/>
          <w:lang w:val="en-US"/>
        </w:rPr>
        <w:t>Archaeological Excavations at Tel Kabri</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Ancient History Encyclopedia</w:t>
      </w:r>
      <w:r>
        <w:rPr>
          <w:rFonts w:cs="Arial Unicode MS" w:eastAsia="Arial Unicode MS"/>
          <w:rtl w:val="0"/>
        </w:rPr>
        <w:t>: (2015).</w:t>
      </w:r>
    </w:p>
    <w:p>
      <w:pPr>
        <w:pStyle w:val="Body"/>
      </w:pPr>
    </w:p>
    <w:p>
      <w:pPr>
        <w:pStyle w:val="Body"/>
      </w:pPr>
      <w:r>
        <w:rPr>
          <w:rFonts w:cs="Arial Unicode MS" w:eastAsia="Arial Unicode MS"/>
          <w:rtl w:val="0"/>
          <w:lang w:val="de-DE"/>
        </w:rPr>
        <w:t>Pf</w:t>
      </w:r>
      <w:r>
        <w:rPr>
          <w:rFonts w:cs="Arial Unicode MS" w:eastAsia="Arial Unicode MS" w:hint="default"/>
          <w:rtl w:val="0"/>
        </w:rPr>
        <w:t>ä</w:t>
      </w:r>
      <w:r>
        <w:rPr>
          <w:rFonts w:cs="Arial Unicode MS" w:eastAsia="Arial Unicode MS"/>
          <w:rtl w:val="0"/>
          <w:lang w:val="de-DE"/>
        </w:rPr>
        <w:t xml:space="preserve">lzner, Peter, </w:t>
      </w:r>
      <w:r>
        <w:rPr>
          <w:rFonts w:cs="Arial Unicode MS" w:eastAsia="Arial Unicode MS" w:hint="default"/>
          <w:rtl w:val="1"/>
        </w:rPr>
        <w:t>‘</w:t>
      </w:r>
      <w:r>
        <w:rPr>
          <w:rFonts w:cs="Arial Unicode MS" w:eastAsia="Arial Unicode MS"/>
          <w:rtl w:val="0"/>
          <w:lang w:val="en-US"/>
        </w:rPr>
        <w:t>Levantine Kingdoms of the Late Bronze Age</w:t>
      </w:r>
      <w:r>
        <w:rPr>
          <w:rFonts w:cs="Arial Unicode MS" w:eastAsia="Arial Unicode MS" w:hint="default"/>
          <w:rtl w:val="1"/>
        </w:rPr>
        <w:t xml:space="preserve">’ </w:t>
      </w:r>
      <w:r>
        <w:rPr>
          <w:rFonts w:cs="Arial Unicode MS" w:eastAsia="Arial Unicode MS"/>
          <w:rtl w:val="0"/>
        </w:rPr>
        <w:t>(2012).</w:t>
      </w:r>
    </w:p>
    <w:p>
      <w:pPr>
        <w:pStyle w:val="Body"/>
      </w:pPr>
    </w:p>
    <w:p>
      <w:pPr>
        <w:pStyle w:val="Body"/>
      </w:pPr>
      <w:r>
        <w:rPr>
          <w:rFonts w:cs="Arial Unicode MS" w:eastAsia="Arial Unicode MS"/>
          <w:rtl w:val="0"/>
          <w:lang w:val="es-ES_tradnl"/>
        </w:rPr>
        <w:t xml:space="preserve">Pimenta, Fernando, </w:t>
      </w:r>
      <w:r>
        <w:rPr>
          <w:rFonts w:cs="Arial Unicode MS" w:eastAsia="Arial Unicode MS" w:hint="default"/>
          <w:rtl w:val="1"/>
        </w:rPr>
        <w:t>‘</w:t>
      </w:r>
      <w:r>
        <w:rPr>
          <w:rFonts w:cs="Arial Unicode MS" w:eastAsia="Arial Unicode MS"/>
          <w:rtl w:val="0"/>
          <w:lang w:val="en-US"/>
        </w:rPr>
        <w:t>Astronomy and Navigation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Handbook of Archaeoastronomy and Ethnoastronomy</w:t>
      </w:r>
      <w:r>
        <w:rPr>
          <w:rFonts w:cs="Arial Unicode MS" w:eastAsia="Arial Unicode MS"/>
          <w:rtl w:val="0"/>
        </w:rPr>
        <w:t xml:space="preserve">: (2015), </w:t>
      </w:r>
      <w:r>
        <w:rPr>
          <w:rFonts w:cs="Arial Unicode MS" w:eastAsia="Arial Unicode MS"/>
          <w:rtl w:val="0"/>
          <w:lang w:val="en-US"/>
        </w:rPr>
        <w:t xml:space="preserve">p. </w:t>
      </w:r>
      <w:r>
        <w:rPr>
          <w:rFonts w:cs="Arial Unicode MS" w:eastAsia="Arial Unicode MS"/>
          <w:rtl w:val="0"/>
        </w:rPr>
        <w:t>43.</w:t>
      </w:r>
    </w:p>
    <w:p>
      <w:pPr>
        <w:pStyle w:val="Body"/>
      </w:pPr>
    </w:p>
    <w:p>
      <w:pPr>
        <w:pStyle w:val="Body"/>
      </w:pPr>
      <w:r>
        <w:rPr>
          <w:rFonts w:cs="Arial Unicode MS" w:eastAsia="Arial Unicode MS"/>
          <w:rtl w:val="0"/>
        </w:rPr>
        <w:t>Platon, N</w:t>
      </w:r>
      <w:r>
        <w:rPr>
          <w:rFonts w:cs="Arial Unicode MS" w:eastAsia="Arial Unicode MS"/>
          <w:rtl w:val="0"/>
          <w:lang w:val="en-US"/>
        </w:rPr>
        <w:t>ikolaos</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The Discovery of a Lost Palace of Ancient Crete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New York</w:t>
      </w:r>
      <w:r>
        <w:rPr>
          <w:rFonts w:cs="Arial Unicode MS" w:eastAsia="Arial Unicode MS"/>
          <w:rtl w:val="0"/>
        </w:rPr>
        <w:t>: (1971).</w:t>
      </w:r>
    </w:p>
    <w:p>
      <w:pPr>
        <w:pStyle w:val="Body"/>
      </w:pPr>
    </w:p>
    <w:p>
      <w:pPr>
        <w:pStyle w:val="Body"/>
      </w:pPr>
      <w:r>
        <w:rPr>
          <w:rFonts w:cs="Arial Unicode MS" w:eastAsia="Arial Unicode MS"/>
          <w:rtl w:val="0"/>
          <w:lang w:val="de-DE"/>
        </w:rPr>
        <w:t xml:space="preserve">Prendergast, Frank, </w:t>
      </w:r>
      <w:r>
        <w:rPr>
          <w:rFonts w:cs="Arial Unicode MS" w:eastAsia="Arial Unicode MS" w:hint="default"/>
          <w:rtl w:val="1"/>
        </w:rPr>
        <w:t>‘</w:t>
      </w:r>
      <w:r>
        <w:rPr>
          <w:rFonts w:cs="Arial Unicode MS" w:eastAsia="Arial Unicode MS"/>
          <w:rtl w:val="0"/>
          <w:lang w:val="en-US"/>
        </w:rPr>
        <w:t>Techniques of Field Survey</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Handbook of Archaeoastronomy and Ethnoastronomy</w:t>
      </w:r>
      <w:r>
        <w:rPr>
          <w:rFonts w:cs="Arial Unicode MS" w:eastAsia="Arial Unicode MS"/>
          <w:rtl w:val="0"/>
        </w:rPr>
        <w:t xml:space="preserve"> (2015), </w:t>
      </w:r>
      <w:r>
        <w:rPr>
          <w:rFonts w:cs="Arial Unicode MS" w:eastAsia="Arial Unicode MS"/>
          <w:rtl w:val="0"/>
          <w:lang w:val="en-US"/>
        </w:rPr>
        <w:t xml:space="preserve">p. </w:t>
      </w:r>
      <w:r>
        <w:rPr>
          <w:rFonts w:cs="Arial Unicode MS" w:eastAsia="Arial Unicode MS"/>
          <w:rtl w:val="0"/>
        </w:rPr>
        <w:t>389.</w:t>
      </w:r>
    </w:p>
    <w:p>
      <w:pPr>
        <w:pStyle w:val="Body"/>
      </w:pPr>
    </w:p>
    <w:p>
      <w:pPr>
        <w:pStyle w:val="Body"/>
      </w:pPr>
      <w:r>
        <w:rPr>
          <w:rFonts w:cs="Arial Unicode MS" w:eastAsia="Arial Unicode MS"/>
          <w:rtl w:val="0"/>
          <w:lang w:val="en-US"/>
        </w:rPr>
        <w:t>Puckett, Neil</w:t>
      </w:r>
      <w:r>
        <w:rPr>
          <w:rFonts w:cs="Arial Unicode MS" w:eastAsia="Arial Unicode MS"/>
          <w:rtl w:val="0"/>
          <w:lang w:val="en-US"/>
        </w:rPr>
        <w:t>,</w:t>
      </w:r>
      <w:r>
        <w:rPr>
          <w:rFonts w:cs="Arial Unicode MS" w:eastAsia="Arial Unicode MS" w:hint="default"/>
          <w:rtl w:val="1"/>
        </w:rPr>
        <w:t xml:space="preserve"> ‘</w:t>
      </w:r>
      <w:r>
        <w:rPr>
          <w:rFonts w:cs="Arial Unicode MS" w:eastAsia="Arial Unicode MS"/>
          <w:rtl w:val="0"/>
          <w:lang w:val="en-US"/>
        </w:rPr>
        <w:t>The Phoenician Trade Network: Tracing a Mediterranean Exchange System</w:t>
      </w:r>
      <w:r>
        <w:rPr>
          <w:rFonts w:cs="Arial Unicode MS" w:eastAsia="Arial Unicode MS" w:hint="default"/>
          <w:rtl w:val="0"/>
          <w:lang w:val="en-US"/>
        </w:rPr>
        <w:t xml:space="preserve">’ </w:t>
      </w:r>
      <w:r>
        <w:rPr>
          <w:rFonts w:cs="Arial Unicode MS" w:eastAsia="Arial Unicode MS"/>
          <w:rtl w:val="0"/>
          <w:lang w:val="en-US"/>
        </w:rPr>
        <w:t>(</w:t>
      </w:r>
      <w:r>
        <w:rPr>
          <w:rFonts w:cs="Arial Unicode MS" w:eastAsia="Arial Unicode MS"/>
          <w:rtl w:val="0"/>
        </w:rPr>
        <w:t>2012</w:t>
      </w:r>
      <w:r>
        <w:rPr>
          <w:rFonts w:cs="Arial Unicode MS" w:eastAsia="Arial Unicode MS"/>
          <w:rtl w:val="0"/>
          <w:lang w:val="en-US"/>
        </w:rPr>
        <w:t>).</w:t>
      </w:r>
    </w:p>
    <w:p>
      <w:pPr>
        <w:pStyle w:val="Body"/>
      </w:pPr>
    </w:p>
    <w:p>
      <w:pPr>
        <w:pStyle w:val="Body"/>
      </w:pPr>
      <w:r>
        <w:rPr>
          <w:rFonts w:cs="Arial Unicode MS" w:eastAsia="Arial Unicode MS"/>
          <w:rtl w:val="0"/>
          <w:lang w:val="en-US"/>
        </w:rPr>
        <w:t xml:space="preserve">Renfrew, Colin and Arnold Aspinall, </w:t>
      </w:r>
      <w:r>
        <w:rPr>
          <w:rFonts w:cs="Arial Unicode MS" w:eastAsia="Arial Unicode MS" w:hint="default"/>
          <w:rtl w:val="1"/>
        </w:rPr>
        <w:t>‘</w:t>
      </w:r>
      <w:r>
        <w:rPr>
          <w:rFonts w:cs="Arial Unicode MS" w:eastAsia="Arial Unicode MS"/>
          <w:rtl w:val="0"/>
          <w:lang w:val="en-US"/>
        </w:rPr>
        <w:t>Aegean Obsidian and Franchthi Cave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fr-FR"/>
        </w:rPr>
        <w:t>Les industries lithiques taill</w:t>
      </w:r>
      <w:r>
        <w:rPr>
          <w:rFonts w:cs="Arial Unicode MS" w:eastAsia="Arial Unicode MS" w:hint="default"/>
          <w:i w:val="1"/>
          <w:iCs w:val="1"/>
          <w:rtl w:val="0"/>
          <w:lang w:val="fr-FR"/>
        </w:rPr>
        <w:t>é</w:t>
      </w:r>
      <w:r>
        <w:rPr>
          <w:rFonts w:cs="Arial Unicode MS" w:eastAsia="Arial Unicode MS"/>
          <w:i w:val="1"/>
          <w:iCs w:val="1"/>
          <w:rtl w:val="0"/>
          <w:lang w:val="nl-NL"/>
        </w:rPr>
        <w:t>es de Franchthi (Argolide, Gr</w:t>
      </w:r>
      <w:r>
        <w:rPr>
          <w:rFonts w:cs="Arial Unicode MS" w:eastAsia="Arial Unicode MS" w:hint="default"/>
          <w:i w:val="1"/>
          <w:iCs w:val="1"/>
          <w:rtl w:val="0"/>
          <w:lang w:val="it-IT"/>
        </w:rPr>
        <w:t>è</w:t>
      </w:r>
      <w:r>
        <w:rPr>
          <w:rFonts w:cs="Arial Unicode MS" w:eastAsia="Arial Unicode MS"/>
          <w:i w:val="1"/>
          <w:iCs w:val="1"/>
          <w:rtl w:val="0"/>
          <w:lang w:val="fr-FR"/>
        </w:rPr>
        <w:t>ce). Les industries du M</w:t>
      </w:r>
      <w:r>
        <w:rPr>
          <w:rFonts w:cs="Arial Unicode MS" w:eastAsia="Arial Unicode MS" w:hint="default"/>
          <w:i w:val="1"/>
          <w:iCs w:val="1"/>
          <w:rtl w:val="0"/>
          <w:lang w:val="fr-FR"/>
        </w:rPr>
        <w:t>é</w:t>
      </w:r>
      <w:r>
        <w:rPr>
          <w:rFonts w:cs="Arial Unicode MS" w:eastAsia="Arial Unicode MS"/>
          <w:i w:val="1"/>
          <w:iCs w:val="1"/>
          <w:rtl w:val="0"/>
          <w:lang w:val="fr-FR"/>
        </w:rPr>
        <w:t>solithique et du N</w:t>
      </w:r>
      <w:r>
        <w:rPr>
          <w:rFonts w:cs="Arial Unicode MS" w:eastAsia="Arial Unicode MS" w:hint="default"/>
          <w:i w:val="1"/>
          <w:iCs w:val="1"/>
          <w:rtl w:val="0"/>
          <w:lang w:val="fr-FR"/>
        </w:rPr>
        <w:t>é</w:t>
      </w:r>
      <w:r>
        <w:rPr>
          <w:rFonts w:cs="Arial Unicode MS" w:eastAsia="Arial Unicode MS"/>
          <w:i w:val="1"/>
          <w:iCs w:val="1"/>
          <w:rtl w:val="0"/>
          <w:lang w:val="fr-FR"/>
        </w:rPr>
        <w:t>olithique initial, Excavations at Franchthi Cave, fasc, 5</w:t>
      </w:r>
      <w:r>
        <w:rPr>
          <w:rFonts w:cs="Arial Unicode MS" w:eastAsia="Arial Unicode MS"/>
          <w:rtl w:val="0"/>
        </w:rPr>
        <w:t xml:space="preserve"> (1990), </w:t>
      </w:r>
      <w:r>
        <w:rPr>
          <w:rFonts w:cs="Arial Unicode MS" w:eastAsia="Arial Unicode MS"/>
          <w:rtl w:val="0"/>
          <w:lang w:val="en-US"/>
        </w:rPr>
        <w:t xml:space="preserve">pp. </w:t>
      </w:r>
      <w:r>
        <w:rPr>
          <w:rFonts w:cs="Arial Unicode MS" w:eastAsia="Arial Unicode MS"/>
          <w:rtl w:val="0"/>
        </w:rPr>
        <w:t>257-70.</w:t>
      </w:r>
    </w:p>
    <w:p>
      <w:pPr>
        <w:pStyle w:val="Body"/>
      </w:pPr>
    </w:p>
    <w:p>
      <w:pPr>
        <w:pStyle w:val="Body"/>
      </w:pPr>
      <w:r>
        <w:rPr>
          <w:rFonts w:cs="Arial Unicode MS" w:eastAsia="Arial Unicode MS"/>
          <w:rtl w:val="0"/>
          <w:lang w:val="en-US"/>
        </w:rPr>
        <w:t>Ruggles, Clive L</w:t>
      </w:r>
      <w:r>
        <w:rPr>
          <w:rFonts w:cs="Arial Unicode MS" w:eastAsia="Arial Unicode MS"/>
          <w:rtl w:val="0"/>
          <w:lang w:val="en-US"/>
        </w:rPr>
        <w:t>.</w:t>
      </w:r>
      <w:r>
        <w:rPr>
          <w:rFonts w:cs="Arial Unicode MS" w:eastAsia="Arial Unicode MS"/>
          <w:rtl w:val="0"/>
        </w:rPr>
        <w:t>N</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Ancient Astronomy: An Encyclopedia of Cosmologies and Myth</w:t>
      </w:r>
      <w:r>
        <w:rPr>
          <w:rFonts w:cs="Arial Unicode MS" w:eastAsia="Arial Unicode MS"/>
          <w:rtl w:val="0"/>
          <w:lang w:val="it-IT"/>
        </w:rPr>
        <w:t xml:space="preserve"> (Abc-Clio, 2005).</w:t>
      </w:r>
    </w:p>
    <w:p>
      <w:pPr>
        <w:pStyle w:val="Body"/>
      </w:pPr>
    </w:p>
    <w:p>
      <w:pPr>
        <w:pStyle w:val="Body"/>
      </w:pPr>
      <w:r>
        <w:rPr>
          <w:rFonts w:cs="Arial Unicode MS" w:eastAsia="Arial Unicode MS"/>
          <w:rtl w:val="0"/>
          <w:lang w:val="en-US"/>
        </w:rPr>
        <w:t>Ruggles, Clive L</w:t>
      </w:r>
      <w:r>
        <w:rPr>
          <w:rFonts w:cs="Arial Unicode MS" w:eastAsia="Arial Unicode MS"/>
          <w:rtl w:val="0"/>
          <w:lang w:val="en-US"/>
        </w:rPr>
        <w:t>.</w:t>
      </w:r>
      <w:r>
        <w:rPr>
          <w:rFonts w:cs="Arial Unicode MS" w:eastAsia="Arial Unicode MS"/>
          <w:rtl w:val="0"/>
        </w:rPr>
        <w:t>N</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Analyzing Orientations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Handbook of Archaeoastronomy and Ethnoastronomy</w:t>
      </w:r>
      <w:r>
        <w:rPr>
          <w:rFonts w:cs="Arial Unicode MS" w:eastAsia="Arial Unicode MS"/>
          <w:rtl w:val="0"/>
        </w:rPr>
        <w:t xml:space="preserve"> (2015a), </w:t>
      </w:r>
      <w:r>
        <w:rPr>
          <w:rFonts w:cs="Arial Unicode MS" w:eastAsia="Arial Unicode MS"/>
          <w:rtl w:val="0"/>
          <w:lang w:val="en-US"/>
        </w:rPr>
        <w:t xml:space="preserve">p. </w:t>
      </w:r>
      <w:r>
        <w:rPr>
          <w:rFonts w:cs="Arial Unicode MS" w:eastAsia="Arial Unicode MS"/>
          <w:rtl w:val="0"/>
        </w:rPr>
        <w:t>411.</w:t>
      </w:r>
    </w:p>
    <w:p>
      <w:pPr>
        <w:pStyle w:val="Body"/>
      </w:pPr>
    </w:p>
    <w:p>
      <w:pPr>
        <w:pStyle w:val="Body"/>
      </w:pPr>
      <w:r>
        <w:rPr>
          <w:rFonts w:cs="Arial Unicode MS" w:eastAsia="Arial Unicode MS"/>
          <w:rtl w:val="0"/>
          <w:lang w:val="en-US"/>
        </w:rPr>
        <w:t>Ruggles, Clive L</w:t>
      </w:r>
      <w:r>
        <w:rPr>
          <w:rFonts w:cs="Arial Unicode MS" w:eastAsia="Arial Unicode MS"/>
          <w:rtl w:val="0"/>
          <w:lang w:val="en-US"/>
        </w:rPr>
        <w:t>.</w:t>
      </w:r>
      <w:r>
        <w:rPr>
          <w:rFonts w:cs="Arial Unicode MS" w:eastAsia="Arial Unicode MS"/>
          <w:rtl w:val="0"/>
        </w:rPr>
        <w:t>N</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Geoglyphs of the Peruvian Coast</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Handbook of Archaeoastronomy and Ethnoastronomy</w:t>
      </w:r>
      <w:r>
        <w:rPr>
          <w:rFonts w:cs="Arial Unicode MS" w:eastAsia="Arial Unicode MS"/>
          <w:rtl w:val="0"/>
        </w:rPr>
        <w:t xml:space="preserve"> (2015b), </w:t>
      </w:r>
      <w:r>
        <w:rPr>
          <w:rFonts w:cs="Arial Unicode MS" w:eastAsia="Arial Unicode MS"/>
          <w:rtl w:val="0"/>
          <w:lang w:val="en-US"/>
        </w:rPr>
        <w:t xml:space="preserve">p. </w:t>
      </w:r>
      <w:r>
        <w:rPr>
          <w:rFonts w:cs="Arial Unicode MS" w:eastAsia="Arial Unicode MS"/>
          <w:rtl w:val="0"/>
        </w:rPr>
        <w:t>821.</w:t>
      </w:r>
    </w:p>
    <w:p>
      <w:pPr>
        <w:pStyle w:val="Body"/>
      </w:pPr>
    </w:p>
    <w:p>
      <w:pPr>
        <w:pStyle w:val="Body"/>
      </w:pPr>
      <w:r>
        <w:rPr>
          <w:rFonts w:cs="Arial Unicode MS" w:eastAsia="Arial Unicode MS"/>
          <w:rtl w:val="0"/>
          <w:lang w:val="en-US"/>
        </w:rPr>
        <w:t>Ruggles, Clive L</w:t>
      </w:r>
      <w:r>
        <w:rPr>
          <w:rFonts w:cs="Arial Unicode MS" w:eastAsia="Arial Unicode MS"/>
          <w:rtl w:val="0"/>
          <w:lang w:val="en-US"/>
        </w:rPr>
        <w:t>.</w:t>
      </w:r>
      <w:r>
        <w:rPr>
          <w:rFonts w:cs="Arial Unicode MS" w:eastAsia="Arial Unicode MS"/>
          <w:rtl w:val="0"/>
        </w:rPr>
        <w:t>N</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Nature and Analysis of Material Evidence Relevant to Archaeoastronomy</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Handbook of Archaeoastronomy and Ethnoastronomy</w:t>
      </w:r>
      <w:r>
        <w:rPr>
          <w:rFonts w:cs="Arial Unicode MS" w:eastAsia="Arial Unicode MS"/>
          <w:rtl w:val="0"/>
        </w:rPr>
        <w:t xml:space="preserve"> (2015c), </w:t>
      </w:r>
      <w:r>
        <w:rPr>
          <w:rFonts w:cs="Arial Unicode MS" w:eastAsia="Arial Unicode MS"/>
          <w:rtl w:val="0"/>
          <w:lang w:val="en-US"/>
        </w:rPr>
        <w:t xml:space="preserve">p. </w:t>
      </w:r>
      <w:r>
        <w:rPr>
          <w:rFonts w:cs="Arial Unicode MS" w:eastAsia="Arial Unicode MS"/>
          <w:rtl w:val="0"/>
        </w:rPr>
        <w:t>353.</w:t>
      </w:r>
    </w:p>
    <w:p>
      <w:pPr>
        <w:pStyle w:val="Body"/>
      </w:pPr>
    </w:p>
    <w:p>
      <w:pPr>
        <w:pStyle w:val="Body"/>
      </w:pPr>
      <w:r>
        <w:rPr>
          <w:rFonts w:cs="Arial Unicode MS" w:eastAsia="Arial Unicode MS"/>
          <w:rtl w:val="0"/>
          <w:lang w:val="en-US"/>
        </w:rPr>
        <w:t>Ruggles, Clive L</w:t>
      </w:r>
      <w:r>
        <w:rPr>
          <w:rFonts w:cs="Arial Unicode MS" w:eastAsia="Arial Unicode MS"/>
          <w:rtl w:val="0"/>
          <w:lang w:val="en-US"/>
        </w:rPr>
        <w:t>.</w:t>
      </w:r>
      <w:r>
        <w:rPr>
          <w:rFonts w:cs="Arial Unicode MS" w:eastAsia="Arial Unicode MS"/>
          <w:rtl w:val="0"/>
        </w:rPr>
        <w:t>N</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Stellar Alignments-Identification and Analysis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Handbook of Archaeoastronomy and Ethnoastronomy</w:t>
      </w:r>
      <w:r>
        <w:rPr>
          <w:rFonts w:cs="Arial Unicode MS" w:eastAsia="Arial Unicode MS"/>
          <w:rtl w:val="0"/>
        </w:rPr>
        <w:t xml:space="preserve"> (2015d), </w:t>
      </w:r>
      <w:r>
        <w:rPr>
          <w:rFonts w:cs="Arial Unicode MS" w:eastAsia="Arial Unicode MS"/>
          <w:rtl w:val="0"/>
          <w:lang w:val="en-US"/>
        </w:rPr>
        <w:t xml:space="preserve">p. </w:t>
      </w:r>
      <w:r>
        <w:rPr>
          <w:rFonts w:cs="Arial Unicode MS" w:eastAsia="Arial Unicode MS"/>
          <w:rtl w:val="0"/>
        </w:rPr>
        <w:t>517.</w:t>
      </w:r>
    </w:p>
    <w:p>
      <w:pPr>
        <w:pStyle w:val="Body"/>
      </w:pPr>
    </w:p>
    <w:p>
      <w:pPr>
        <w:pStyle w:val="Body"/>
      </w:pPr>
      <w:r>
        <w:rPr>
          <w:rFonts w:cs="Arial Unicode MS" w:eastAsia="Arial Unicode MS"/>
          <w:rtl w:val="0"/>
          <w:lang w:val="en-US"/>
        </w:rPr>
        <w:t>Schaefer, Bradley E</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it-IT"/>
        </w:rPr>
        <w:t>Heliacal Rise Phenomena</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Journal for the History of Astronomy</w:t>
      </w:r>
      <w:r>
        <w:rPr>
          <w:rFonts w:cs="Arial Unicode MS" w:eastAsia="Arial Unicode MS"/>
          <w:rtl w:val="0"/>
        </w:rPr>
        <w:t xml:space="preserve">, 18 (1987), </w:t>
      </w:r>
      <w:r>
        <w:rPr>
          <w:rFonts w:cs="Arial Unicode MS" w:eastAsia="Arial Unicode MS"/>
          <w:rtl w:val="0"/>
          <w:lang w:val="en-US"/>
        </w:rPr>
        <w:t xml:space="preserve">pp. </w:t>
      </w:r>
      <w:r>
        <w:rPr>
          <w:rFonts w:cs="Arial Unicode MS" w:eastAsia="Arial Unicode MS"/>
          <w:rtl w:val="0"/>
        </w:rPr>
        <w:t>19-33.</w:t>
      </w:r>
    </w:p>
    <w:p>
      <w:pPr>
        <w:pStyle w:val="Body"/>
      </w:pPr>
    </w:p>
    <w:p>
      <w:pPr>
        <w:pStyle w:val="Body"/>
      </w:pPr>
      <w:r>
        <w:rPr>
          <w:rFonts w:cs="Arial Unicode MS" w:eastAsia="Arial Unicode MS"/>
          <w:rtl w:val="0"/>
          <w:lang w:val="en-US"/>
        </w:rPr>
        <w:t xml:space="preserve">Schaefer, Bradley E., </w:t>
      </w:r>
      <w:r>
        <w:rPr>
          <w:rFonts w:cs="Arial Unicode MS" w:eastAsia="Arial Unicode MS" w:hint="default"/>
          <w:rtl w:val="1"/>
        </w:rPr>
        <w:t>‘</w:t>
      </w:r>
      <w:r>
        <w:rPr>
          <w:rFonts w:cs="Arial Unicode MS" w:eastAsia="Arial Unicode MS"/>
          <w:rtl w:val="0"/>
          <w:lang w:val="en-US"/>
        </w:rPr>
        <w:t>The Latitude and Epoch for the Formation of the Southern Greek Constellations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Journal for the History of Astronomy</w:t>
      </w:r>
      <w:r>
        <w:rPr>
          <w:rFonts w:cs="Arial Unicode MS" w:eastAsia="Arial Unicode MS"/>
          <w:rtl w:val="0"/>
        </w:rPr>
        <w:t xml:space="preserve">, 33 (2002), </w:t>
      </w:r>
      <w:r>
        <w:rPr>
          <w:rFonts w:cs="Arial Unicode MS" w:eastAsia="Arial Unicode MS"/>
          <w:rtl w:val="0"/>
          <w:lang w:val="en-US"/>
        </w:rPr>
        <w:t xml:space="preserve">pp. </w:t>
      </w:r>
      <w:r>
        <w:rPr>
          <w:rFonts w:cs="Arial Unicode MS" w:eastAsia="Arial Unicode MS"/>
          <w:rtl w:val="0"/>
        </w:rPr>
        <w:t>313-50.</w:t>
      </w:r>
    </w:p>
    <w:p>
      <w:pPr>
        <w:pStyle w:val="Body"/>
      </w:pPr>
    </w:p>
    <w:p>
      <w:pPr>
        <w:pStyle w:val="Body"/>
      </w:pPr>
      <w:r>
        <w:rPr>
          <w:rFonts w:cs="Arial Unicode MS" w:eastAsia="Arial Unicode MS"/>
          <w:rtl w:val="0"/>
          <w:lang w:val="en-US"/>
        </w:rPr>
        <w:t xml:space="preserve">Schaefer, Bradley E., </w:t>
      </w:r>
      <w:r>
        <w:rPr>
          <w:rFonts w:cs="Arial Unicode MS" w:eastAsia="Arial Unicode MS" w:hint="default"/>
          <w:rtl w:val="1"/>
        </w:rPr>
        <w:t>‘</w:t>
      </w:r>
      <w:r>
        <w:rPr>
          <w:rFonts w:cs="Arial Unicode MS" w:eastAsia="Arial Unicode MS"/>
          <w:rtl w:val="0"/>
          <w:lang w:val="en-US"/>
        </w:rPr>
        <w:t>The Origin of the Greek Constellations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Scientific American</w:t>
      </w:r>
      <w:r>
        <w:rPr>
          <w:rFonts w:cs="Arial Unicode MS" w:eastAsia="Arial Unicode MS"/>
          <w:rtl w:val="0"/>
        </w:rPr>
        <w:t xml:space="preserve"> (2006), </w:t>
      </w:r>
      <w:r>
        <w:rPr>
          <w:rFonts w:cs="Arial Unicode MS" w:eastAsia="Arial Unicode MS"/>
          <w:rtl w:val="0"/>
          <w:lang w:val="en-US"/>
        </w:rPr>
        <w:t xml:space="preserve">pp. </w:t>
      </w:r>
      <w:r>
        <w:rPr>
          <w:rFonts w:cs="Arial Unicode MS" w:eastAsia="Arial Unicode MS"/>
          <w:rtl w:val="0"/>
        </w:rPr>
        <w:t>96-101.</w:t>
      </w:r>
    </w:p>
    <w:p>
      <w:pPr>
        <w:pStyle w:val="Body"/>
      </w:pPr>
    </w:p>
    <w:p>
      <w:pPr>
        <w:pStyle w:val="Body"/>
      </w:pPr>
      <w:r>
        <w:rPr>
          <w:rFonts w:cs="Arial Unicode MS" w:eastAsia="Arial Unicode MS"/>
          <w:rtl w:val="0"/>
          <w:lang w:val="en-US"/>
        </w:rPr>
        <w:t xml:space="preserve">Sharp, Andrew, </w:t>
      </w:r>
      <w:r>
        <w:rPr>
          <w:rFonts w:cs="Arial Unicode MS" w:eastAsia="Arial Unicode MS" w:hint="default"/>
          <w:rtl w:val="1"/>
        </w:rPr>
        <w:t>‘</w:t>
      </w:r>
      <w:r>
        <w:rPr>
          <w:rFonts w:cs="Arial Unicode MS" w:eastAsia="Arial Unicode MS"/>
          <w:rtl w:val="0"/>
          <w:lang w:val="en-US"/>
        </w:rPr>
        <w:t>Polynesian Navigation to Distant Islands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The Journal of the Polynesian Society</w:t>
      </w:r>
      <w:r>
        <w:rPr>
          <w:rFonts w:cs="Arial Unicode MS" w:eastAsia="Arial Unicode MS"/>
          <w:rtl w:val="0"/>
        </w:rPr>
        <w:t xml:space="preserve">: (1961), </w:t>
      </w:r>
      <w:r>
        <w:rPr>
          <w:rFonts w:cs="Arial Unicode MS" w:eastAsia="Arial Unicode MS"/>
          <w:rtl w:val="0"/>
          <w:lang w:val="en-US"/>
        </w:rPr>
        <w:t xml:space="preserve">pp. </w:t>
      </w:r>
      <w:r>
        <w:rPr>
          <w:rFonts w:cs="Arial Unicode MS" w:eastAsia="Arial Unicode MS"/>
          <w:rtl w:val="0"/>
        </w:rPr>
        <w:t>219-26.</w:t>
      </w:r>
    </w:p>
    <w:p>
      <w:pPr>
        <w:pStyle w:val="Body"/>
      </w:pPr>
    </w:p>
    <w:p>
      <w:pPr>
        <w:pStyle w:val="Body"/>
      </w:pPr>
      <w:r>
        <w:rPr>
          <w:rFonts w:cs="Arial Unicode MS" w:eastAsia="Arial Unicode MS"/>
          <w:rtl w:val="0"/>
          <w:lang w:val="en-US"/>
        </w:rPr>
        <w:t>Shaw, Joseph W</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The Orientation of the Minoan Palaces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it-IT"/>
        </w:rPr>
        <w:t>Antichita Cretesi (Catania) I</w:t>
      </w:r>
      <w:r>
        <w:rPr>
          <w:rFonts w:cs="Arial Unicode MS" w:eastAsia="Arial Unicode MS"/>
          <w:rtl w:val="0"/>
        </w:rPr>
        <w:t xml:space="preserve"> (1977).</w:t>
      </w:r>
    </w:p>
    <w:p>
      <w:pPr>
        <w:pStyle w:val="Body"/>
      </w:pPr>
    </w:p>
    <w:p>
      <w:pPr>
        <w:pStyle w:val="Body"/>
      </w:pPr>
      <w:r>
        <w:rPr>
          <w:rFonts w:cs="Arial Unicode MS" w:eastAsia="Arial Unicode MS"/>
          <w:rtl w:val="0"/>
          <w:lang w:val="en-US"/>
        </w:rPr>
        <w:t>Shaw, Joseph W</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Elite Minoan Architecture: Its Development at Knossos, Phaistos, and Malia</w:t>
      </w:r>
      <w:r>
        <w:rPr>
          <w:rFonts w:cs="Arial Unicode MS" w:eastAsia="Arial Unicode MS"/>
          <w:rtl w:val="0"/>
          <w:lang w:val="pt-PT"/>
        </w:rPr>
        <w:t xml:space="preserve"> (INSTAP Academic Press, 2015).</w:t>
      </w:r>
    </w:p>
    <w:p>
      <w:pPr>
        <w:pStyle w:val="Body"/>
      </w:pPr>
    </w:p>
    <w:p>
      <w:pPr>
        <w:pStyle w:val="Body"/>
      </w:pPr>
      <w:r>
        <w:rPr>
          <w:rFonts w:cs="Arial Unicode MS" w:eastAsia="Arial Unicode MS"/>
          <w:rtl w:val="0"/>
          <w:lang w:val="en-US"/>
        </w:rPr>
        <w:t xml:space="preserve">Silver, Morris, </w:t>
      </w:r>
      <w:r>
        <w:rPr>
          <w:rFonts w:cs="Arial Unicode MS" w:eastAsia="Arial Unicode MS" w:hint="default"/>
          <w:rtl w:val="1"/>
        </w:rPr>
        <w:t>‘</w:t>
      </w:r>
      <w:r>
        <w:rPr>
          <w:rFonts w:cs="Arial Unicode MS" w:eastAsia="Arial Unicode MS"/>
          <w:rtl w:val="0"/>
          <w:lang w:val="en-US"/>
        </w:rPr>
        <w:t>The Mythical Conflict between Osiris and Seth and Egypt</w:t>
      </w:r>
      <w:r>
        <w:rPr>
          <w:rFonts w:cs="Arial Unicode MS" w:eastAsia="Arial Unicode MS" w:hint="default"/>
          <w:rtl w:val="1"/>
        </w:rPr>
        <w:t>’</w:t>
      </w:r>
      <w:r>
        <w:rPr>
          <w:rFonts w:cs="Arial Unicode MS" w:eastAsia="Arial Unicode MS"/>
          <w:rtl w:val="0"/>
          <w:lang w:val="en-US"/>
        </w:rPr>
        <w:t>s Trade with Byblos During the Old Kingdom</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Ancient Economy in Mythology: East and West</w:t>
      </w:r>
      <w:r>
        <w:rPr>
          <w:rFonts w:cs="Arial Unicode MS" w:eastAsia="Arial Unicode MS"/>
          <w:rtl w:val="0"/>
        </w:rPr>
        <w:t xml:space="preserve"> (1991), </w:t>
      </w:r>
      <w:r>
        <w:rPr>
          <w:rFonts w:cs="Arial Unicode MS" w:eastAsia="Arial Unicode MS"/>
          <w:rtl w:val="0"/>
          <w:lang w:val="en-US"/>
        </w:rPr>
        <w:t xml:space="preserve">pp. </w:t>
      </w:r>
      <w:r>
        <w:rPr>
          <w:rFonts w:cs="Arial Unicode MS" w:eastAsia="Arial Unicode MS"/>
          <w:rtl w:val="0"/>
        </w:rPr>
        <w:t>193-96.</w:t>
      </w:r>
    </w:p>
    <w:p>
      <w:pPr>
        <w:pStyle w:val="Body"/>
      </w:pPr>
    </w:p>
    <w:p>
      <w:pPr>
        <w:pStyle w:val="Body"/>
      </w:pPr>
      <w:r>
        <w:rPr>
          <w:rFonts w:cs="Arial Unicode MS" w:eastAsia="Arial Unicode MS"/>
          <w:rtl w:val="0"/>
          <w:lang w:val="nl-NL"/>
        </w:rPr>
        <w:t xml:space="preserve">Silverberg, Joel, </w:t>
      </w:r>
      <w:r>
        <w:rPr>
          <w:rFonts w:cs="Arial Unicode MS" w:eastAsia="Arial Unicode MS" w:hint="default"/>
          <w:rtl w:val="1"/>
        </w:rPr>
        <w:t>‘</w:t>
      </w:r>
      <w:r>
        <w:rPr>
          <w:rFonts w:cs="Arial Unicode MS" w:eastAsia="Arial Unicode MS"/>
          <w:rtl w:val="0"/>
          <w:lang w:val="en-US"/>
        </w:rPr>
        <w:t>The Sailings: The Mathematics of Eighteenth Century Navigation in the American Colonies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Proceedings of the Canadian Society for the History and Philosophy of Mathematics</w:t>
      </w:r>
      <w:r>
        <w:rPr>
          <w:rFonts w:cs="Arial Unicode MS" w:eastAsia="Arial Unicode MS"/>
          <w:rtl w:val="0"/>
        </w:rPr>
        <w:t>, 18 (2005).</w:t>
      </w:r>
    </w:p>
    <w:p>
      <w:pPr>
        <w:pStyle w:val="Body"/>
      </w:pPr>
    </w:p>
    <w:p>
      <w:pPr>
        <w:pStyle w:val="Body"/>
      </w:pPr>
      <w:r>
        <w:rPr>
          <w:rFonts w:cs="Arial Unicode MS" w:eastAsia="Arial Unicode MS"/>
          <w:rtl w:val="0"/>
          <w:lang w:val="en-US"/>
        </w:rPr>
        <w:t xml:space="preserve">Smith, William, </w:t>
      </w:r>
      <w:r>
        <w:rPr>
          <w:rFonts w:cs="Arial Unicode MS" w:eastAsia="Arial Unicode MS"/>
          <w:i w:val="1"/>
          <w:iCs w:val="1"/>
          <w:rtl w:val="0"/>
          <w:lang w:val="en-US"/>
        </w:rPr>
        <w:t>Dictionary of Greek and Roman Biography and Mythology</w:t>
      </w:r>
      <w:r>
        <w:rPr>
          <w:rFonts w:cs="Arial Unicode MS" w:eastAsia="Arial Unicode MS"/>
          <w:rtl w:val="0"/>
          <w:lang w:val="en-US"/>
        </w:rPr>
        <w:t xml:space="preserve"> (CC Little and J. Brown, 1849).</w:t>
      </w:r>
    </w:p>
    <w:p>
      <w:pPr>
        <w:pStyle w:val="Body"/>
      </w:pPr>
    </w:p>
    <w:p>
      <w:pPr>
        <w:pStyle w:val="Body"/>
      </w:pPr>
      <w:r>
        <w:rPr>
          <w:rFonts w:cs="Arial Unicode MS" w:eastAsia="Arial Unicode MS"/>
          <w:rtl w:val="0"/>
        </w:rPr>
        <w:t>S</w:t>
      </w:r>
      <w:r>
        <w:rPr>
          <w:rFonts w:cs="Arial Unicode MS" w:eastAsia="Arial Unicode MS" w:hint="default"/>
          <w:rtl w:val="0"/>
          <w:lang w:val="da-DK"/>
        </w:rPr>
        <w:t>ø</w:t>
      </w:r>
      <w:r>
        <w:rPr>
          <w:rFonts w:cs="Arial Unicode MS" w:eastAsia="Arial Unicode MS"/>
          <w:rtl w:val="0"/>
          <w:lang w:val="da-DK"/>
        </w:rPr>
        <w:t>rensen, Annette H</w:t>
      </w:r>
      <w:r>
        <w:rPr>
          <w:rFonts w:cs="Arial Unicode MS" w:eastAsia="Arial Unicode MS" w:hint="default"/>
          <w:rtl w:val="0"/>
          <w:lang w:val="da-DK"/>
        </w:rPr>
        <w:t>ø</w:t>
      </w:r>
      <w:r>
        <w:rPr>
          <w:rFonts w:cs="Arial Unicode MS" w:eastAsia="Arial Unicode MS"/>
          <w:rtl w:val="0"/>
        </w:rPr>
        <w:t xml:space="preserve">jen, </w:t>
      </w:r>
      <w:r>
        <w:rPr>
          <w:rFonts w:cs="Arial Unicode MS" w:eastAsia="Arial Unicode MS" w:hint="default"/>
          <w:rtl w:val="1"/>
        </w:rPr>
        <w:t>‘</w:t>
      </w:r>
      <w:r>
        <w:rPr>
          <w:rFonts w:cs="Arial Unicode MS" w:eastAsia="Arial Unicode MS"/>
          <w:rtl w:val="0"/>
          <w:lang w:val="en-US"/>
        </w:rPr>
        <w:t>Approaching Levantine Shores: Aspects of Cretan Contacts with Western Asia During the Mm-Lm Periods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Proceedings of the Danish Institute at Athens</w:t>
      </w:r>
      <w:r>
        <w:rPr>
          <w:rFonts w:cs="Arial Unicode MS" w:eastAsia="Arial Unicode MS"/>
          <w:rtl w:val="0"/>
        </w:rPr>
        <w:t xml:space="preserve">: (2009), </w:t>
      </w:r>
      <w:r>
        <w:rPr>
          <w:rFonts w:cs="Arial Unicode MS" w:eastAsia="Arial Unicode MS"/>
          <w:rtl w:val="0"/>
          <w:lang w:val="en-US"/>
        </w:rPr>
        <w:t xml:space="preserve">pp. </w:t>
      </w:r>
      <w:r>
        <w:rPr>
          <w:rFonts w:cs="Arial Unicode MS" w:eastAsia="Arial Unicode MS"/>
          <w:rtl w:val="0"/>
        </w:rPr>
        <w:t>9-55.</w:t>
      </w:r>
    </w:p>
    <w:p>
      <w:pPr>
        <w:pStyle w:val="Body"/>
      </w:pPr>
    </w:p>
    <w:p>
      <w:pPr>
        <w:pStyle w:val="Body"/>
      </w:pPr>
      <w:r>
        <w:rPr>
          <w:rFonts w:cs="Arial Unicode MS" w:eastAsia="Arial Unicode MS"/>
          <w:rtl w:val="0"/>
          <w:lang w:val="da-DK"/>
        </w:rPr>
        <w:t>Spalinger, Anthony J</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The Northern Wars of Seti I: An Integrative Study</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Journal of the American Research Center in Egypt</w:t>
      </w:r>
      <w:r>
        <w:rPr>
          <w:rFonts w:cs="Arial Unicode MS" w:eastAsia="Arial Unicode MS"/>
          <w:rtl w:val="0"/>
        </w:rPr>
        <w:t xml:space="preserve">, 16 (1979), </w:t>
      </w:r>
      <w:r>
        <w:rPr>
          <w:rFonts w:cs="Arial Unicode MS" w:eastAsia="Arial Unicode MS"/>
          <w:rtl w:val="0"/>
          <w:lang w:val="en-US"/>
        </w:rPr>
        <w:t xml:space="preserve">pp. </w:t>
      </w:r>
      <w:r>
        <w:rPr>
          <w:rFonts w:cs="Arial Unicode MS" w:eastAsia="Arial Unicode MS"/>
          <w:rtl w:val="0"/>
        </w:rPr>
        <w:t>29-47.</w:t>
      </w:r>
    </w:p>
    <w:p>
      <w:pPr>
        <w:pStyle w:val="Body"/>
      </w:pPr>
    </w:p>
    <w:p>
      <w:pPr>
        <w:pStyle w:val="Body"/>
      </w:pPr>
      <w:r>
        <w:rPr>
          <w:rFonts w:cs="Arial Unicode MS" w:eastAsia="Arial Unicode MS"/>
          <w:rtl w:val="0"/>
          <w:lang w:val="it-IT"/>
        </w:rPr>
        <w:t>Stanley, Jean-Daniel, Maria Pia Bernasconi, and Thomas F</w:t>
      </w:r>
      <w:r>
        <w:rPr>
          <w:rFonts w:cs="Arial Unicode MS" w:eastAsia="Arial Unicode MS"/>
          <w:rtl w:val="0"/>
          <w:lang w:val="en-US"/>
        </w:rPr>
        <w:t>.</w:t>
      </w:r>
      <w:r>
        <w:rPr>
          <w:rFonts w:cs="Arial Unicode MS" w:eastAsia="Arial Unicode MS"/>
          <w:rtl w:val="0"/>
          <w:lang w:val="de-DE"/>
        </w:rPr>
        <w:t xml:space="preserve"> Jorstad, </w:t>
      </w:r>
      <w:r>
        <w:rPr>
          <w:rFonts w:cs="Arial Unicode MS" w:eastAsia="Arial Unicode MS" w:hint="default"/>
          <w:rtl w:val="1"/>
        </w:rPr>
        <w:t>‘</w:t>
      </w:r>
      <w:r>
        <w:rPr>
          <w:rFonts w:cs="Arial Unicode MS" w:eastAsia="Arial Unicode MS"/>
          <w:rtl w:val="0"/>
          <w:lang w:val="en-US"/>
        </w:rPr>
        <w:t>Pelusium, an Ancient Port Fortress on Egypt</w:t>
      </w:r>
      <w:r>
        <w:rPr>
          <w:rFonts w:cs="Arial Unicode MS" w:eastAsia="Arial Unicode MS" w:hint="default"/>
          <w:rtl w:val="1"/>
        </w:rPr>
        <w:t>’</w:t>
      </w:r>
      <w:r>
        <w:rPr>
          <w:rFonts w:cs="Arial Unicode MS" w:eastAsia="Arial Unicode MS"/>
          <w:rtl w:val="0"/>
          <w:lang w:val="en-US"/>
        </w:rPr>
        <w:t xml:space="preserve">s Nile Delta Coast: Its Evolving Environmental Setting from Foundation to Demise', </w:t>
      </w:r>
      <w:r>
        <w:rPr>
          <w:rFonts w:cs="Arial Unicode MS" w:eastAsia="Arial Unicode MS"/>
          <w:i w:val="1"/>
          <w:iCs w:val="1"/>
          <w:rtl w:val="0"/>
          <w:lang w:val="en-US"/>
        </w:rPr>
        <w:t>Journal of Coastal Research</w:t>
      </w:r>
      <w:r>
        <w:rPr>
          <w:rFonts w:cs="Arial Unicode MS" w:eastAsia="Arial Unicode MS"/>
          <w:rtl w:val="0"/>
        </w:rPr>
        <w:t xml:space="preserve">, 24 (2008), </w:t>
      </w:r>
      <w:r>
        <w:rPr>
          <w:rFonts w:cs="Arial Unicode MS" w:eastAsia="Arial Unicode MS"/>
          <w:rtl w:val="0"/>
          <w:lang w:val="en-US"/>
        </w:rPr>
        <w:t xml:space="preserve">pp. </w:t>
      </w:r>
      <w:r>
        <w:rPr>
          <w:rFonts w:cs="Arial Unicode MS" w:eastAsia="Arial Unicode MS"/>
          <w:rtl w:val="0"/>
        </w:rPr>
        <w:t>451-62.</w:t>
      </w:r>
    </w:p>
    <w:p>
      <w:pPr>
        <w:pStyle w:val="Body"/>
      </w:pPr>
    </w:p>
    <w:p>
      <w:pPr>
        <w:pStyle w:val="Body"/>
      </w:pPr>
      <w:r>
        <w:rPr>
          <w:rFonts w:cs="Arial Unicode MS" w:eastAsia="Arial Unicode MS"/>
          <w:rtl w:val="0"/>
        </w:rPr>
        <w:t>Suunto</w:t>
      </w:r>
      <w:r>
        <w:rPr>
          <w:rFonts w:cs="Arial Unicode MS" w:eastAsia="Arial Unicode MS"/>
          <w:rtl w:val="0"/>
          <w:lang w:val="en-US"/>
        </w:rPr>
        <w:t xml:space="preserve">, </w:t>
      </w:r>
      <w:r>
        <w:rPr>
          <w:rFonts w:cs="Arial Unicode MS" w:eastAsia="Arial Unicode MS" w:hint="default"/>
          <w:rtl w:val="1"/>
        </w:rPr>
        <w:t>‘</w:t>
      </w:r>
      <w:r>
        <w:rPr>
          <w:rFonts w:cs="Arial Unicode MS" w:eastAsia="Arial Unicode MS"/>
          <w:rtl w:val="0"/>
        </w:rPr>
        <w:t>Suunto Tandem/360PC/360R G Clino/compass - Compass &amp; Clinometer</w:t>
      </w:r>
      <w:r>
        <w:rPr>
          <w:rFonts w:cs="Arial Unicode MS" w:eastAsia="Arial Unicode MS" w:hint="default"/>
          <w:rtl w:val="1"/>
        </w:rPr>
        <w:t xml:space="preserve">’ </w:t>
      </w:r>
      <w:r>
        <w:rPr>
          <w:rFonts w:cs="Arial Unicode MS" w:eastAsia="Arial Unicode MS"/>
          <w:rtl w:val="0"/>
        </w:rPr>
        <w:t>from &lt;https://www.suunto.com/Products/Compasses/Suunto-Tandem/Suunto-Tandem-360PC-360R-G-Clino-Compass/&gt;</w:t>
      </w:r>
      <w:r>
        <w:rPr>
          <w:rFonts w:cs="Arial Unicode MS" w:eastAsia="Arial Unicode MS"/>
          <w:rtl w:val="0"/>
          <w:lang w:val="en-US"/>
        </w:rPr>
        <w:t xml:space="preserve"> [</w:t>
      </w:r>
      <w:r>
        <w:rPr>
          <w:rFonts w:cs="Arial Unicode MS" w:eastAsia="Arial Unicode MS"/>
          <w:rtl w:val="0"/>
          <w:lang w:val="en-US"/>
        </w:rPr>
        <w:t>Accessed September 15, 2021</w:t>
      </w:r>
      <w:r>
        <w:rPr>
          <w:rFonts w:cs="Arial Unicode MS" w:eastAsia="Arial Unicode MS"/>
          <w:rtl w:val="0"/>
          <w:lang w:val="en-US"/>
        </w:rPr>
        <w:t>].</w:t>
      </w:r>
    </w:p>
    <w:p>
      <w:pPr>
        <w:pStyle w:val="Body"/>
      </w:pPr>
    </w:p>
    <w:p>
      <w:pPr>
        <w:pStyle w:val="Body"/>
      </w:pPr>
      <w:r>
        <w:rPr>
          <w:rFonts w:cs="Arial Unicode MS" w:eastAsia="Arial Unicode MS"/>
          <w:rtl w:val="0"/>
          <w:lang w:val="it-IT"/>
        </w:rPr>
        <w:t>Tartaron, Thomas F</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Maritime Networks in the Mycenaean World</w:t>
      </w:r>
      <w:r>
        <w:rPr>
          <w:rFonts w:cs="Arial Unicode MS" w:eastAsia="Arial Unicode MS"/>
          <w:rtl w:val="0"/>
          <w:lang w:val="en-US"/>
        </w:rPr>
        <w:t xml:space="preserve"> (Cambridge University Press, 2013).</w:t>
      </w:r>
    </w:p>
    <w:p>
      <w:pPr>
        <w:pStyle w:val="Body"/>
      </w:pPr>
    </w:p>
    <w:p>
      <w:pPr>
        <w:pStyle w:val="Body"/>
      </w:pPr>
      <w:r>
        <w:rPr>
          <w:rFonts w:cs="Arial Unicode MS" w:eastAsia="Arial Unicode MS"/>
          <w:rtl w:val="0"/>
          <w:lang w:val="en-US"/>
        </w:rPr>
        <w:t xml:space="preserve">Theodolite, </w:t>
      </w:r>
      <w:r>
        <w:rPr>
          <w:rFonts w:cs="Arial Unicode MS" w:eastAsia="Arial Unicode MS" w:hint="default"/>
          <w:rtl w:val="1"/>
        </w:rPr>
        <w:t>‘</w:t>
      </w:r>
      <w:r>
        <w:rPr>
          <w:rFonts w:cs="Arial Unicode MS" w:eastAsia="Arial Unicode MS"/>
          <w:rtl w:val="0"/>
          <w:lang w:val="en-US"/>
        </w:rPr>
        <w:t>Theodolite Augmented Reality Viewfinder for iPhone and iPad. (n.d.)</w:t>
      </w:r>
      <w:r>
        <w:rPr>
          <w:rFonts w:cs="Arial Unicode MS" w:eastAsia="Arial Unicode MS" w:hint="default"/>
          <w:rtl w:val="1"/>
        </w:rPr>
        <w:t>’</w:t>
      </w:r>
      <w:r>
        <w:rPr>
          <w:rFonts w:cs="Arial Unicode MS" w:eastAsia="Arial Unicode MS"/>
          <w:rtl w:val="0"/>
          <w:lang w:val="en-US"/>
        </w:rPr>
        <w:t xml:space="preserve">, Hunter LLC from </w:t>
      </w:r>
      <w:r>
        <w:rPr>
          <w:rFonts w:cs="Arial Unicode MS" w:eastAsia="Arial Unicode MS"/>
          <w:rtl w:val="0"/>
          <w:lang w:val="en-US"/>
        </w:rPr>
        <w:t>&lt;</w:t>
      </w:r>
      <w:r>
        <w:rPr>
          <w:rFonts w:cs="Arial Unicode MS" w:eastAsia="Arial Unicode MS"/>
          <w:rtl w:val="0"/>
          <w:lang w:val="de-DE"/>
        </w:rPr>
        <w:t>http://hrtapps.com/theodolite/</w:t>
      </w:r>
      <w:r>
        <w:rPr>
          <w:rFonts w:cs="Arial Unicode MS" w:eastAsia="Arial Unicode MS"/>
          <w:rtl w:val="0"/>
          <w:lang w:val="en-US"/>
        </w:rPr>
        <w:t>&gt; [</w:t>
      </w:r>
      <w:r>
        <w:rPr>
          <w:rFonts w:cs="Arial Unicode MS" w:eastAsia="Arial Unicode MS"/>
          <w:rtl w:val="0"/>
          <w:lang w:val="en-US"/>
        </w:rPr>
        <w:t>Accessed</w:t>
      </w:r>
      <w:r>
        <w:rPr>
          <w:rFonts w:cs="Arial Unicode MS" w:eastAsia="Arial Unicode MS"/>
          <w:rtl w:val="0"/>
        </w:rPr>
        <w:t xml:space="preserve"> September 15, 2021</w:t>
      </w:r>
      <w:r>
        <w:rPr>
          <w:rFonts w:cs="Arial Unicode MS" w:eastAsia="Arial Unicode MS"/>
          <w:rtl w:val="0"/>
          <w:lang w:val="en-US"/>
        </w:rPr>
        <w:t>].</w:t>
      </w:r>
    </w:p>
    <w:p>
      <w:pPr>
        <w:pStyle w:val="Body"/>
      </w:pPr>
    </w:p>
    <w:p>
      <w:pPr>
        <w:pStyle w:val="Body"/>
      </w:pPr>
      <w:r>
        <w:rPr>
          <w:rFonts w:cs="Arial Unicode MS" w:eastAsia="Arial Unicode MS"/>
          <w:rtl w:val="0"/>
          <w:lang w:val="it-IT"/>
        </w:rPr>
        <w:t xml:space="preserve">Todaro, Simona, </w:t>
      </w:r>
      <w:r>
        <w:rPr>
          <w:rFonts w:cs="Arial Unicode MS" w:eastAsia="Arial Unicode MS" w:hint="default"/>
          <w:rtl w:val="1"/>
        </w:rPr>
        <w:t>‘</w:t>
      </w:r>
      <w:r>
        <w:rPr>
          <w:rFonts w:cs="Arial Unicode MS" w:eastAsia="Arial Unicode MS"/>
          <w:rtl w:val="0"/>
          <w:lang w:val="en-US"/>
        </w:rPr>
        <w:t>The Latest Prepalatial Period and the Foundation of the First Palace at Phaistos: A Stratigraphic and Chronological Re-Assessment</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it-IT"/>
        </w:rPr>
        <w:t>Creta Antica</w:t>
      </w:r>
      <w:r>
        <w:rPr>
          <w:rFonts w:cs="Arial Unicode MS" w:eastAsia="Arial Unicode MS"/>
          <w:rtl w:val="0"/>
        </w:rPr>
        <w:t xml:space="preserve"> (2009), </w:t>
      </w:r>
      <w:r>
        <w:rPr>
          <w:rFonts w:cs="Arial Unicode MS" w:eastAsia="Arial Unicode MS"/>
          <w:rtl w:val="0"/>
          <w:lang w:val="en-US"/>
        </w:rPr>
        <w:t xml:space="preserve">pp. </w:t>
      </w:r>
      <w:r>
        <w:rPr>
          <w:rFonts w:cs="Arial Unicode MS" w:eastAsia="Arial Unicode MS"/>
          <w:rtl w:val="0"/>
        </w:rPr>
        <w:t>105-45.</w:t>
      </w:r>
    </w:p>
    <w:p>
      <w:pPr>
        <w:pStyle w:val="Body"/>
      </w:pPr>
    </w:p>
    <w:p>
      <w:pPr>
        <w:pStyle w:val="Body"/>
      </w:pPr>
      <w:r>
        <w:rPr>
          <w:rFonts w:cs="Arial Unicode MS" w:eastAsia="Arial Unicode MS"/>
          <w:rtl w:val="0"/>
          <w:lang w:val="en-US"/>
        </w:rPr>
        <w:t xml:space="preserve">Van de Noort, Robert. "Argonauts of the North Sea-a Social Maritime Archaeology for the 2nd Millennium Bc." </w:t>
      </w:r>
      <w:r>
        <w:rPr>
          <w:rFonts w:cs="Arial Unicode MS" w:eastAsia="Arial Unicode MS"/>
          <w:i w:val="1"/>
          <w:iCs w:val="1"/>
          <w:rtl w:val="0"/>
          <w:lang w:val="en-US"/>
        </w:rPr>
        <w:t>Proceedings of the prehistoric Society</w:t>
      </w:r>
      <w:r>
        <w:rPr>
          <w:rFonts w:cs="Arial Unicode MS" w:eastAsia="Arial Unicode MS"/>
          <w:rtl w:val="0"/>
          <w:lang w:val="en-US"/>
        </w:rPr>
        <w:t xml:space="preserve"> (</w:t>
      </w:r>
      <w:r>
        <w:rPr>
          <w:rFonts w:cs="Arial Unicode MS" w:eastAsia="Arial Unicode MS"/>
          <w:rtl w:val="0"/>
        </w:rPr>
        <w:t>2006</w:t>
      </w:r>
      <w:r>
        <w:rPr>
          <w:rFonts w:cs="Arial Unicode MS" w:eastAsia="Arial Unicode MS"/>
          <w:rtl w:val="0"/>
          <w:lang w:val="en-US"/>
        </w:rPr>
        <w:t>) pp.</w:t>
      </w:r>
      <w:r>
        <w:rPr>
          <w:rFonts w:cs="Arial Unicode MS" w:eastAsia="Arial Unicode MS"/>
          <w:rtl w:val="0"/>
        </w:rPr>
        <w:t xml:space="preserve"> 267-87.</w:t>
      </w:r>
    </w:p>
    <w:p>
      <w:pPr>
        <w:pStyle w:val="Body"/>
      </w:pPr>
    </w:p>
    <w:p>
      <w:pPr>
        <w:pStyle w:val="Body"/>
      </w:pPr>
      <w:r>
        <w:rPr>
          <w:rFonts w:cs="Arial Unicode MS" w:eastAsia="Arial Unicode MS"/>
          <w:rtl w:val="0"/>
          <w:lang w:val="it-IT"/>
        </w:rPr>
        <w:t xml:space="preserve">Vianello, Andrea, </w:t>
      </w:r>
      <w:r>
        <w:rPr>
          <w:rFonts w:cs="Arial Unicode MS" w:eastAsia="Arial Unicode MS" w:hint="default"/>
          <w:rtl w:val="0"/>
          <w:lang w:val="en-US"/>
        </w:rPr>
        <w:t>‘</w:t>
      </w:r>
      <w:r>
        <w:rPr>
          <w:rFonts w:cs="Arial Unicode MS" w:eastAsia="Arial Unicode MS"/>
          <w:rtl w:val="0"/>
          <w:lang w:val="en-US"/>
        </w:rPr>
        <w:t>The Ship and Its Symbolism in the European Bronze Age</w:t>
      </w:r>
      <w:r>
        <w:rPr>
          <w:rFonts w:cs="Arial Unicode MS" w:eastAsia="Arial Unicode MS" w:hint="default"/>
          <w:rtl w:val="0"/>
          <w:lang w:val="en-US"/>
        </w:rPr>
        <w:t>’</w:t>
      </w:r>
      <w:r>
        <w:rPr>
          <w:rFonts w:cs="Arial Unicode MS" w:eastAsia="Arial Unicode MS"/>
          <w:rtl w:val="0"/>
        </w:rPr>
        <w:t xml:space="preserve">, </w:t>
      </w:r>
      <w:r>
        <w:rPr>
          <w:rFonts w:cs="Arial Unicode MS" w:eastAsia="Arial Unicode MS"/>
          <w:i w:val="1"/>
          <w:iCs w:val="1"/>
          <w:rtl w:val="0"/>
        </w:rPr>
        <w:t>B</w:t>
      </w:r>
      <w:r>
        <w:rPr>
          <w:rFonts w:cs="Arial Unicode MS" w:eastAsia="Arial Unicode MS"/>
          <w:i w:val="1"/>
          <w:iCs w:val="1"/>
          <w:rtl w:val="0"/>
          <w:lang w:val="en-US"/>
        </w:rPr>
        <w:t>ar</w:t>
      </w:r>
      <w:r>
        <w:rPr>
          <w:rFonts w:cs="Arial Unicode MS" w:eastAsia="Arial Unicode MS"/>
          <w:i w:val="1"/>
          <w:iCs w:val="1"/>
          <w:rtl w:val="0"/>
        </w:rPr>
        <w:t xml:space="preserve"> </w:t>
      </w:r>
      <w:r>
        <w:rPr>
          <w:rFonts w:cs="Arial Unicode MS" w:eastAsia="Arial Unicode MS"/>
          <w:i w:val="1"/>
          <w:iCs w:val="1"/>
          <w:rtl w:val="0"/>
          <w:lang w:val="en-US"/>
        </w:rPr>
        <w:t>International</w:t>
      </w:r>
      <w:r>
        <w:rPr>
          <w:rFonts w:cs="Arial Unicode MS" w:eastAsia="Arial Unicode MS"/>
          <w:i w:val="1"/>
          <w:iCs w:val="1"/>
          <w:rtl w:val="0"/>
        </w:rPr>
        <w:t xml:space="preserve"> </w:t>
      </w:r>
      <w:r>
        <w:rPr>
          <w:rFonts w:cs="Arial Unicode MS" w:eastAsia="Arial Unicode MS"/>
          <w:i w:val="1"/>
          <w:iCs w:val="1"/>
          <w:rtl w:val="0"/>
          <w:lang w:val="en-US"/>
        </w:rPr>
        <w:t>Series</w:t>
      </w:r>
      <w:r>
        <w:rPr>
          <w:rFonts w:cs="Arial Unicode MS" w:eastAsia="Arial Unicode MS"/>
          <w:rtl w:val="0"/>
        </w:rPr>
        <w:t>, 1737 (2008).</w:t>
      </w:r>
    </w:p>
    <w:p>
      <w:pPr>
        <w:pStyle w:val="Body"/>
      </w:pPr>
    </w:p>
    <w:p>
      <w:pPr>
        <w:pStyle w:val="Body"/>
      </w:pPr>
      <w:r>
        <w:rPr>
          <w:rFonts w:cs="Arial Unicode MS" w:eastAsia="Arial Unicode MS"/>
          <w:rtl w:val="0"/>
          <w:lang w:val="de-DE"/>
        </w:rPr>
        <w:t>von R</w:t>
      </w:r>
      <w:r>
        <w:rPr>
          <w:rFonts w:cs="Arial Unicode MS" w:eastAsia="Arial Unicode MS" w:hint="default"/>
          <w:rtl w:val="0"/>
        </w:rPr>
        <w:t>ü</w:t>
      </w:r>
      <w:r>
        <w:rPr>
          <w:rFonts w:cs="Arial Unicode MS" w:eastAsia="Arial Unicode MS"/>
          <w:rtl w:val="0"/>
          <w:lang w:val="fr-FR"/>
        </w:rPr>
        <w:t xml:space="preserve">den, Constance, </w:t>
      </w:r>
      <w:r>
        <w:rPr>
          <w:rFonts w:cs="Arial Unicode MS" w:eastAsia="Arial Unicode MS" w:hint="default"/>
          <w:rtl w:val="1"/>
        </w:rPr>
        <w:t>‘</w:t>
      </w:r>
      <w:r>
        <w:rPr>
          <w:rFonts w:cs="Arial Unicode MS" w:eastAsia="Arial Unicode MS"/>
          <w:rtl w:val="0"/>
          <w:lang w:val="en-US"/>
        </w:rPr>
        <w:t>Minoanizing Paintings in the Eastern Mediterranean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The Encyclopedia of Ancient History</w:t>
      </w:r>
      <w:r>
        <w:rPr>
          <w:rFonts w:cs="Arial Unicode MS" w:eastAsia="Arial Unicode MS"/>
          <w:rtl w:val="0"/>
        </w:rPr>
        <w:t xml:space="preserve"> (2013), </w:t>
      </w:r>
      <w:r>
        <w:rPr>
          <w:rFonts w:cs="Arial Unicode MS" w:eastAsia="Arial Unicode MS"/>
          <w:rtl w:val="0"/>
          <w:lang w:val="en-US"/>
        </w:rPr>
        <w:t xml:space="preserve">pp. </w:t>
      </w:r>
      <w:r>
        <w:rPr>
          <w:rFonts w:cs="Arial Unicode MS" w:eastAsia="Arial Unicode MS"/>
          <w:rtl w:val="0"/>
        </w:rPr>
        <w:t>1-7.</w:t>
      </w:r>
    </w:p>
    <w:p>
      <w:pPr>
        <w:pStyle w:val="Body"/>
      </w:pPr>
    </w:p>
    <w:p>
      <w:pPr>
        <w:pStyle w:val="Body"/>
      </w:pPr>
      <w:r>
        <w:rPr>
          <w:rFonts w:cs="Arial Unicode MS" w:eastAsia="Arial Unicode MS"/>
          <w:rtl w:val="0"/>
          <w:lang w:val="de-DE"/>
        </w:rPr>
        <w:t>Wachsmann, S</w:t>
      </w:r>
      <w:r>
        <w:rPr>
          <w:rFonts w:cs="Arial Unicode MS" w:eastAsia="Arial Unicode MS"/>
          <w:rtl w:val="0"/>
          <w:lang w:val="en-US"/>
        </w:rPr>
        <w:t>helley,</w:t>
      </w:r>
      <w:r>
        <w:rPr>
          <w:rFonts w:cs="Arial Unicode MS" w:eastAsia="Arial Unicode MS" w:hint="default"/>
          <w:rtl w:val="1"/>
        </w:rPr>
        <w:t xml:space="preserve"> ‘</w:t>
      </w:r>
      <w:r>
        <w:rPr>
          <w:rFonts w:cs="Arial Unicode MS" w:eastAsia="Arial Unicode MS"/>
          <w:rtl w:val="0"/>
          <w:lang w:val="it-IT"/>
        </w:rPr>
        <w:t>Minoan Seafaring</w:t>
      </w:r>
      <w:r>
        <w:rPr>
          <w:rFonts w:cs="Arial Unicode MS" w:eastAsia="Arial Unicode MS" w:hint="default"/>
          <w:rtl w:val="1"/>
        </w:rPr>
        <w:t xml:space="preserve">’ </w:t>
      </w:r>
      <w:r>
        <w:rPr>
          <w:rFonts w:cs="Arial Unicode MS" w:eastAsia="Arial Unicode MS"/>
          <w:rtl w:val="0"/>
        </w:rPr>
        <w:t xml:space="preserve">in </w:t>
      </w:r>
      <w:r>
        <w:rPr>
          <w:rFonts w:cs="Arial Unicode MS" w:eastAsia="Arial Unicode MS"/>
          <w:i w:val="1"/>
          <w:iCs w:val="1"/>
          <w:rtl w:val="0"/>
          <w:lang w:val="en-US"/>
        </w:rPr>
        <w:t>Oxford Encyclopedia of Maritime History</w:t>
      </w:r>
      <w:r>
        <w:rPr>
          <w:rFonts w:cs="Arial Unicode MS" w:eastAsia="Arial Unicode MS"/>
          <w:rtl w:val="0"/>
          <w:lang w:val="en-US"/>
        </w:rPr>
        <w:t xml:space="preserve"> (J. B. Hattendorf, ed. New York, Oxford University Press, 2007).</w:t>
      </w:r>
    </w:p>
    <w:p>
      <w:pPr>
        <w:pStyle w:val="Body"/>
      </w:pPr>
    </w:p>
    <w:p>
      <w:pPr>
        <w:pStyle w:val="Body"/>
      </w:pPr>
      <w:r>
        <w:rPr>
          <w:rFonts w:cs="Arial Unicode MS" w:eastAsia="Arial Unicode MS"/>
          <w:rtl w:val="0"/>
          <w:lang w:val="de-DE"/>
        </w:rPr>
        <w:t xml:space="preserve">Wachsmann, Shelley, </w:t>
      </w:r>
      <w:r>
        <w:rPr>
          <w:rFonts w:cs="Arial Unicode MS" w:eastAsia="Arial Unicode MS"/>
          <w:i w:val="1"/>
          <w:iCs w:val="1"/>
          <w:rtl w:val="0"/>
          <w:lang w:val="en-US"/>
        </w:rPr>
        <w:t>Seagoing Ships &amp; Seamanship in the Bronze Age Levant</w:t>
      </w:r>
      <w:r>
        <w:rPr>
          <w:rFonts w:cs="Arial Unicode MS" w:eastAsia="Arial Unicode MS"/>
          <w:rtl w:val="0"/>
          <w:lang w:val="en-US"/>
        </w:rPr>
        <w:t xml:space="preserve"> (Texas A&amp;M University Press, 2009).</w:t>
      </w:r>
    </w:p>
    <w:p>
      <w:pPr>
        <w:pStyle w:val="Body"/>
      </w:pPr>
    </w:p>
    <w:p>
      <w:pPr>
        <w:pStyle w:val="Body"/>
      </w:pPr>
      <w:r>
        <w:rPr>
          <w:rFonts w:cs="Arial Unicode MS" w:eastAsia="Arial Unicode MS"/>
          <w:rtl w:val="0"/>
          <w:lang w:val="en-US"/>
        </w:rPr>
        <w:t xml:space="preserve">White, Donald, </w:t>
      </w:r>
      <w:r>
        <w:rPr>
          <w:rFonts w:cs="Arial Unicode MS" w:eastAsia="Arial Unicode MS" w:hint="default"/>
          <w:rtl w:val="1"/>
        </w:rPr>
        <w:t>‘</w:t>
      </w:r>
      <w:r>
        <w:rPr>
          <w:rFonts w:cs="Arial Unicode MS" w:eastAsia="Arial Unicode MS"/>
          <w:rtl w:val="0"/>
          <w:lang w:val="en-US"/>
        </w:rPr>
        <w:t>1985 Excavations on Bates</w:t>
      </w:r>
      <w:r>
        <w:rPr>
          <w:rFonts w:cs="Arial Unicode MS" w:eastAsia="Arial Unicode MS" w:hint="default"/>
          <w:rtl w:val="1"/>
        </w:rPr>
        <w:t>’</w:t>
      </w:r>
      <w:r>
        <w:rPr>
          <w:rFonts w:cs="Arial Unicode MS" w:eastAsia="Arial Unicode MS"/>
          <w:rtl w:val="0"/>
        </w:rPr>
        <w:t>s Island, Marsa Matruh</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Journal of the American Research Center in Egypt</w:t>
      </w:r>
      <w:r>
        <w:rPr>
          <w:rFonts w:cs="Arial Unicode MS" w:eastAsia="Arial Unicode MS"/>
          <w:rtl w:val="0"/>
        </w:rPr>
        <w:t xml:space="preserve">, 23 (1986), </w:t>
      </w:r>
      <w:r>
        <w:rPr>
          <w:rFonts w:cs="Arial Unicode MS" w:eastAsia="Arial Unicode MS"/>
          <w:rtl w:val="0"/>
          <w:lang w:val="en-US"/>
        </w:rPr>
        <w:t xml:space="preserve">pp. </w:t>
      </w:r>
      <w:r>
        <w:rPr>
          <w:rFonts w:cs="Arial Unicode MS" w:eastAsia="Arial Unicode MS"/>
          <w:rtl w:val="0"/>
        </w:rPr>
        <w:t>51-84.</w:t>
      </w:r>
    </w:p>
    <w:p>
      <w:pPr>
        <w:pStyle w:val="Body"/>
      </w:pPr>
    </w:p>
    <w:p>
      <w:pPr>
        <w:pStyle w:val="Body"/>
      </w:pPr>
      <w:r>
        <w:rPr>
          <w:rFonts w:cs="Arial Unicode MS" w:eastAsia="Arial Unicode MS"/>
          <w:rtl w:val="0"/>
          <w:lang w:val="de-DE"/>
        </w:rPr>
        <w:t>Wilkinson, Richard H</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The Complete Gods and Goddesses of Ancient Egypt</w:t>
      </w:r>
      <w:r>
        <w:rPr>
          <w:rFonts w:cs="Arial Unicode MS" w:eastAsia="Arial Unicode MS"/>
          <w:rtl w:val="0"/>
          <w:lang w:val="en-US"/>
        </w:rPr>
        <w:t xml:space="preserve"> (Thames &amp; Hudson, 2003).</w:t>
      </w:r>
    </w:p>
    <w:p>
      <w:pPr>
        <w:pStyle w:val="Body"/>
      </w:pPr>
    </w:p>
    <w:p>
      <w:pPr>
        <w:pStyle w:val="Body"/>
      </w:pPr>
      <w:r>
        <w:rPr>
          <w:rFonts w:cs="Arial Unicode MS" w:eastAsia="Arial Unicode MS"/>
          <w:rtl w:val="0"/>
        </w:rPr>
        <w:t xml:space="preserve">Winkler, Captain, </w:t>
      </w:r>
      <w:r>
        <w:rPr>
          <w:rFonts w:cs="Arial Unicode MS" w:eastAsia="Arial Unicode MS" w:hint="default"/>
          <w:rtl w:val="1"/>
        </w:rPr>
        <w:t>‘</w:t>
      </w:r>
      <w:r>
        <w:rPr>
          <w:rFonts w:cs="Arial Unicode MS" w:eastAsia="Arial Unicode MS"/>
          <w:rtl w:val="0"/>
          <w:lang w:val="en-US"/>
        </w:rPr>
        <w:t>On Sea Charts Formerly Used in the Marshall Islands, with Notices on the Navigation of These Islanders in General</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Smithsonian Institute Report for 1899</w:t>
      </w:r>
      <w:r>
        <w:rPr>
          <w:rFonts w:cs="Arial Unicode MS" w:eastAsia="Arial Unicode MS"/>
          <w:rtl w:val="0"/>
        </w:rPr>
        <w:t xml:space="preserve">, 54 (1901), </w:t>
      </w:r>
      <w:r>
        <w:rPr>
          <w:rFonts w:cs="Arial Unicode MS" w:eastAsia="Arial Unicode MS"/>
          <w:rtl w:val="0"/>
          <w:lang w:val="en-US"/>
        </w:rPr>
        <w:t xml:space="preserve">pp. </w:t>
      </w:r>
      <w:r>
        <w:rPr>
          <w:rFonts w:cs="Arial Unicode MS" w:eastAsia="Arial Unicode MS"/>
          <w:rtl w:val="0"/>
        </w:rPr>
        <w:t>487-508.</w:t>
      </w:r>
    </w:p>
    <w:p>
      <w:pPr>
        <w:pStyle w:val="Body"/>
      </w:pPr>
    </w:p>
    <w:p>
      <w:pPr>
        <w:pStyle w:val="Body"/>
      </w:pPr>
      <w:r>
        <w:rPr>
          <w:rFonts w:cs="Arial Unicode MS" w:eastAsia="Arial Unicode MS"/>
          <w:rtl w:val="0"/>
        </w:rPr>
        <w:t>Zeman-Wi</w:t>
      </w:r>
      <w:r>
        <w:rPr>
          <w:rFonts w:cs="Arial Unicode MS" w:eastAsia="Arial Unicode MS" w:hint="default"/>
          <w:rtl w:val="0"/>
        </w:rPr>
        <w:t>ś</w:t>
      </w:r>
      <w:r>
        <w:rPr>
          <w:rFonts w:cs="Arial Unicode MS" w:eastAsia="Arial Unicode MS"/>
          <w:rtl w:val="0"/>
        </w:rPr>
        <w:t xml:space="preserve">niewska, Katarzyna, </w:t>
      </w:r>
      <w:r>
        <w:rPr>
          <w:rFonts w:cs="Arial Unicode MS" w:eastAsia="Arial Unicode MS" w:hint="default"/>
          <w:rtl w:val="1"/>
        </w:rPr>
        <w:t>‘</w:t>
      </w:r>
      <w:r>
        <w:rPr>
          <w:rFonts w:cs="Arial Unicode MS" w:eastAsia="Arial Unicode MS"/>
          <w:rtl w:val="0"/>
          <w:lang w:val="en-US"/>
        </w:rPr>
        <w:t>Re-Evaluation of Contacts between Cyprus and Crete from the Bronze Age to the Early Iron Age</w:t>
      </w:r>
      <w:r>
        <w:rPr>
          <w:rFonts w:cs="Arial Unicode MS" w:eastAsia="Arial Unicode MS" w:hint="default"/>
          <w:rtl w:val="1"/>
        </w:rPr>
        <w:t>’</w:t>
      </w:r>
      <w:r>
        <w:rPr>
          <w:rFonts w:cs="Arial Unicode MS" w:eastAsia="Arial Unicode MS"/>
          <w:rtl w:val="0"/>
          <w:lang w:val="en-US"/>
        </w:rPr>
        <w:t xml:space="preserve"> (2020)</w:t>
      </w:r>
      <w:r>
        <w:rPr>
          <w:rFonts w:cs="Arial Unicode MS" w:eastAsia="Arial Unicode MS"/>
          <w:rtl w:val="0"/>
        </w:rPr>
        <w:t>.</w:t>
      </w:r>
    </w:p>
    <w:p>
      <w:pPr>
        <w:pStyle w:val="Body"/>
      </w:pPr>
    </w:p>
    <w:p>
      <w:pPr>
        <w:pStyle w:val="Body"/>
      </w:pPr>
      <w:r>
        <w:rPr>
          <w:rFonts w:cs="Arial Unicode MS" w:eastAsia="Arial Unicode MS"/>
          <w:rtl w:val="0"/>
        </w:rPr>
        <w:t>Zhitomirsky, S</w:t>
      </w:r>
      <w:r>
        <w:rPr>
          <w:rFonts w:cs="Arial Unicode MS" w:eastAsia="Arial Unicode MS"/>
          <w:rtl w:val="0"/>
          <w:lang w:val="en-US"/>
        </w:rPr>
        <w:t>ergey</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nl-NL"/>
        </w:rPr>
        <w:t>Aratus</w:t>
      </w:r>
      <w:r>
        <w:rPr>
          <w:rFonts w:cs="Arial Unicode MS" w:eastAsia="Arial Unicode MS" w:hint="default"/>
          <w:rtl w:val="0"/>
          <w:lang w:val="en-US"/>
        </w:rPr>
        <w:t xml:space="preserve">’ </w:t>
      </w:r>
      <w:r>
        <w:rPr>
          <w:rFonts w:cs="Arial Unicode MS" w:eastAsia="Arial Unicode MS" w:hint="default"/>
          <w:rtl w:val="1"/>
          <w:lang w:val="ar-SA" w:bidi="ar-SA"/>
        </w:rPr>
        <w:t>“</w:t>
      </w:r>
      <w:r>
        <w:rPr>
          <w:rFonts w:cs="Arial Unicode MS" w:eastAsia="Arial Unicode MS"/>
          <w:rtl w:val="0"/>
          <w:lang w:val="nl-NL"/>
        </w:rPr>
        <w:t>Phaenomena</w:t>
      </w:r>
      <w:r>
        <w:rPr>
          <w:rFonts w:cs="Arial Unicode MS" w:eastAsia="Arial Unicode MS" w:hint="default"/>
          <w:rtl w:val="0"/>
        </w:rPr>
        <w:t>”</w:t>
      </w:r>
      <w:r>
        <w:rPr>
          <w:rFonts w:cs="Arial Unicode MS" w:eastAsia="Arial Unicode MS"/>
          <w:rtl w:val="0"/>
          <w:lang w:val="en-US"/>
        </w:rPr>
        <w:t>: Dating and Analysing Its Primary Source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Astronomical and astrophysical transactions, 17</w:t>
      </w:r>
      <w:r>
        <w:rPr>
          <w:rFonts w:cs="Arial Unicode MS" w:eastAsia="Arial Unicode MS"/>
          <w:rtl w:val="0"/>
        </w:rPr>
        <w:t xml:space="preserve"> (1999), </w:t>
      </w:r>
      <w:r>
        <w:rPr>
          <w:rFonts w:cs="Arial Unicode MS" w:eastAsia="Arial Unicode MS"/>
          <w:rtl w:val="0"/>
          <w:lang w:val="en-US"/>
        </w:rPr>
        <w:t xml:space="preserve">pp. </w:t>
      </w:r>
      <w:r>
        <w:rPr>
          <w:rFonts w:cs="Arial Unicode MS" w:eastAsia="Arial Unicode MS"/>
          <w:rtl w:val="0"/>
        </w:rPr>
        <w:t>483-500.</w:t>
      </w:r>
    </w:p>
    <w:p>
      <w:pPr>
        <w:pStyle w:val="Body"/>
      </w:pPr>
    </w:p>
    <w:p>
      <w:pPr>
        <w:pStyle w:val="Body"/>
      </w:pPr>
      <w:r>
        <w:rPr>
          <w:rFonts w:cs="Arial Unicode MS" w:eastAsia="Arial Unicode MS"/>
          <w:rtl w:val="0"/>
          <w:lang w:val="de-DE"/>
        </w:rPr>
        <w:t xml:space="preserve">Ziegler, Nele, </w:t>
      </w:r>
      <w:r>
        <w:rPr>
          <w:rFonts w:cs="Arial Unicode MS" w:eastAsia="Arial Unicode MS" w:hint="default"/>
          <w:rtl w:val="1"/>
        </w:rPr>
        <w:t>‘</w:t>
      </w:r>
      <w:r>
        <w:rPr>
          <w:rFonts w:cs="Arial Unicode MS" w:eastAsia="Arial Unicode MS"/>
          <w:rtl w:val="0"/>
          <w:lang w:val="fr-FR"/>
        </w:rPr>
        <w:t>Les Donn</w:t>
      </w:r>
      <w:r>
        <w:rPr>
          <w:rFonts w:cs="Arial Unicode MS" w:eastAsia="Arial Unicode MS" w:hint="default"/>
          <w:rtl w:val="0"/>
          <w:lang w:val="fr-FR"/>
        </w:rPr>
        <w:t>é</w:t>
      </w:r>
      <w:r>
        <w:rPr>
          <w:rFonts w:cs="Arial Unicode MS" w:eastAsia="Arial Unicode MS"/>
          <w:rtl w:val="0"/>
          <w:lang w:val="fr-FR"/>
        </w:rPr>
        <w:t>es Des Archives Royales De Mari Sur Le Milieu Naturel Et L</w:t>
      </w:r>
      <w:r>
        <w:rPr>
          <w:rFonts w:cs="Arial Unicode MS" w:eastAsia="Arial Unicode MS" w:hint="default"/>
          <w:rtl w:val="1"/>
        </w:rPr>
        <w:t>’</w:t>
      </w:r>
      <w:r>
        <w:rPr>
          <w:rFonts w:cs="Arial Unicode MS" w:eastAsia="Arial Unicode MS"/>
          <w:rtl w:val="0"/>
          <w:lang w:val="fr-FR"/>
        </w:rPr>
        <w:t>occupation Humaine En Syrie Centrale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fr-FR"/>
        </w:rPr>
        <w:t>Les donn</w:t>
      </w:r>
      <w:r>
        <w:rPr>
          <w:rFonts w:cs="Arial Unicode MS" w:eastAsia="Arial Unicode MS" w:hint="default"/>
          <w:i w:val="1"/>
          <w:iCs w:val="1"/>
          <w:rtl w:val="0"/>
          <w:lang w:val="fr-FR"/>
        </w:rPr>
        <w:t>é</w:t>
      </w:r>
      <w:r>
        <w:rPr>
          <w:rFonts w:cs="Arial Unicode MS" w:eastAsia="Arial Unicode MS"/>
          <w:i w:val="1"/>
          <w:iCs w:val="1"/>
          <w:rtl w:val="0"/>
          <w:lang w:val="fr-FR"/>
        </w:rPr>
        <w:t>es des archives royales de Mari sur le milieu naturel et l</w:t>
      </w:r>
      <w:r>
        <w:rPr>
          <w:rFonts w:cs="Arial Unicode MS" w:eastAsia="Arial Unicode MS" w:hint="default"/>
          <w:i w:val="1"/>
          <w:iCs w:val="1"/>
          <w:rtl w:val="1"/>
        </w:rPr>
        <w:t>’</w:t>
      </w:r>
      <w:r>
        <w:rPr>
          <w:rFonts w:cs="Arial Unicode MS" w:eastAsia="Arial Unicode MS"/>
          <w:i w:val="1"/>
          <w:iCs w:val="1"/>
          <w:rtl w:val="0"/>
          <w:lang w:val="fr-FR"/>
        </w:rPr>
        <w:t>occupation humaine en Syrie centrale</w:t>
      </w:r>
      <w:r>
        <w:rPr>
          <w:rFonts w:cs="Arial Unicode MS" w:eastAsia="Arial Unicode MS"/>
          <w:rtl w:val="0"/>
        </w:rPr>
        <w:t xml:space="preserve"> (2007), </w:t>
      </w:r>
      <w:r>
        <w:rPr>
          <w:rFonts w:cs="Arial Unicode MS" w:eastAsia="Arial Unicode MS"/>
          <w:rtl w:val="0"/>
          <w:lang w:val="en-US"/>
        </w:rPr>
        <w:t xml:space="preserve">pp. </w:t>
      </w:r>
      <w:r>
        <w:rPr>
          <w:rFonts w:cs="Arial Unicode MS" w:eastAsia="Arial Unicode MS"/>
          <w:rtl w:val="0"/>
          <w:lang w:val="pt-PT"/>
        </w:rPr>
        <w:t>1000-08.</w:t>
      </w:r>
    </w:p>
    <w:p>
      <w:pPr>
        <w:pStyle w:val="Body"/>
      </w:pPr>
    </w:p>
    <w:p>
      <w:pPr>
        <w:pStyle w:val="Body"/>
      </w:pPr>
      <w:r>
        <w:rPr>
          <w:rFonts w:cs="Arial Unicode MS" w:eastAsia="Arial Unicode MS"/>
          <w:rtl w:val="0"/>
          <w:lang w:val="it-IT"/>
        </w:rPr>
        <w:t>Zotti, Georg, Susanne M</w:t>
      </w:r>
      <w:r>
        <w:rPr>
          <w:rFonts w:cs="Arial Unicode MS" w:eastAsia="Arial Unicode MS"/>
          <w:rtl w:val="0"/>
          <w:lang w:val="en-US"/>
        </w:rPr>
        <w:t>.</w:t>
      </w:r>
      <w:r>
        <w:rPr>
          <w:rFonts w:cs="Arial Unicode MS" w:eastAsia="Arial Unicode MS"/>
          <w:rtl w:val="0"/>
          <w:lang w:val="de-DE"/>
        </w:rPr>
        <w:t xml:space="preserve"> Hoffmann, Alexander Wolf, Fabien Ch</w:t>
      </w:r>
      <w:r>
        <w:rPr>
          <w:rFonts w:cs="Arial Unicode MS" w:eastAsia="Arial Unicode MS" w:hint="default"/>
          <w:rtl w:val="0"/>
          <w:lang w:val="fr-FR"/>
        </w:rPr>
        <w:t>é</w:t>
      </w:r>
      <w:r>
        <w:rPr>
          <w:rFonts w:cs="Arial Unicode MS" w:eastAsia="Arial Unicode MS"/>
          <w:rtl w:val="0"/>
          <w:lang w:val="en-US"/>
        </w:rPr>
        <w:t>reau, and Guillaume Ch</w:t>
      </w:r>
      <w:r>
        <w:rPr>
          <w:rFonts w:cs="Arial Unicode MS" w:eastAsia="Arial Unicode MS" w:hint="default"/>
          <w:rtl w:val="0"/>
          <w:lang w:val="fr-FR"/>
        </w:rPr>
        <w:t>é</w:t>
      </w:r>
      <w:r>
        <w:rPr>
          <w:rFonts w:cs="Arial Unicode MS" w:eastAsia="Arial Unicode MS"/>
          <w:rtl w:val="0"/>
          <w:lang w:val="fr-FR"/>
        </w:rPr>
        <w:t xml:space="preserve">reau, </w:t>
      </w:r>
      <w:r>
        <w:rPr>
          <w:rFonts w:cs="Arial Unicode MS" w:eastAsia="Arial Unicode MS" w:hint="default"/>
          <w:rtl w:val="1"/>
        </w:rPr>
        <w:t>‘</w:t>
      </w:r>
      <w:r>
        <w:rPr>
          <w:rFonts w:cs="Arial Unicode MS" w:eastAsia="Arial Unicode MS"/>
          <w:rtl w:val="0"/>
          <w:lang w:val="en-US"/>
        </w:rPr>
        <w:t>The Simulated Sky: Stellarium for Cultural Astronomy Research</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rPr>
        <w:t>arXiv preprint arXiv:2104.01019</w:t>
      </w:r>
      <w:r>
        <w:rPr>
          <w:rFonts w:cs="Arial Unicode MS" w:eastAsia="Arial Unicode MS"/>
          <w:rtl w:val="0"/>
        </w:rPr>
        <w:t xml:space="preserve"> (2021).</w:t>
      </w:r>
    </w:p>
    <w:sectPr>
      <w:headerReference w:type="default" r:id="rId40"/>
      <w:footerReference w:type="default" r:id="rId41"/>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Lora Regular">
    <w:charset w:val="00"/>
    <w:family w:val="roman"/>
    <w:pitch w:val="default"/>
  </w:font>
  <w:font w:name="Lora Bold">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lang w:val="da-DK"/>
        </w:rPr>
        <w:t xml:space="preserve"> Clive LN</w:t>
      </w:r>
      <w:r>
        <w:rPr>
          <w:rFonts w:cs="Arial Unicode MS" w:eastAsia="Arial Unicode MS"/>
          <w:rtl w:val="0"/>
          <w:lang w:val="en-US"/>
        </w:rPr>
        <w:t xml:space="preserve"> </w:t>
      </w:r>
      <w:r>
        <w:rPr>
          <w:rFonts w:cs="Arial Unicode MS" w:eastAsia="Arial Unicode MS"/>
          <w:rtl w:val="0"/>
          <w:lang w:val="en-US"/>
        </w:rPr>
        <w:t xml:space="preserve">Ruggles, </w:t>
      </w:r>
      <w:r>
        <w:rPr>
          <w:rFonts w:cs="Arial Unicode MS" w:eastAsia="Arial Unicode MS"/>
          <w:i w:val="1"/>
          <w:iCs w:val="1"/>
          <w:rtl w:val="0"/>
          <w:lang w:val="en-US"/>
        </w:rPr>
        <w:t xml:space="preserve">Ancient Astronomy: An Encyclopedia of Cosmologies and Myth </w:t>
      </w:r>
      <w:r>
        <w:rPr>
          <w:rFonts w:cs="Arial Unicode MS" w:eastAsia="Arial Unicode MS"/>
          <w:rtl w:val="0"/>
          <w:lang w:val="it-IT"/>
        </w:rPr>
        <w:t>(Abc-Clio, 2005)</w:t>
      </w:r>
      <w:r>
        <w:rPr>
          <w:rFonts w:cs="Arial Unicode MS" w:eastAsia="Arial Unicode MS"/>
          <w:rtl w:val="0"/>
          <w:lang w:val="en-US"/>
        </w:rPr>
        <w:t>, p. 19.</w:t>
      </w:r>
    </w:p>
  </w:footnote>
  <w:footnote w:id="2">
    <w:p>
      <w:pPr>
        <w:pStyle w:val="Footnote"/>
        <w:bidi w:val="0"/>
      </w:pPr>
      <w:r>
        <w:rPr>
          <w:vertAlign w:val="superscript"/>
        </w:rPr>
        <w:footnoteRef/>
      </w:r>
      <w:r>
        <w:rPr>
          <w:rFonts w:cs="Arial Unicode MS" w:eastAsia="Arial Unicode MS"/>
          <w:rtl w:val="0"/>
          <w:lang w:val="de-DE"/>
        </w:rPr>
        <w:t xml:space="preserve"> John A</w:t>
      </w:r>
      <w:r>
        <w:rPr>
          <w:rFonts w:cs="Arial Unicode MS" w:eastAsia="Arial Unicode MS"/>
          <w:rtl w:val="0"/>
          <w:lang w:val="en-US"/>
        </w:rPr>
        <w:t xml:space="preserve"> </w:t>
      </w:r>
      <w:r>
        <w:rPr>
          <w:rFonts w:cs="Arial Unicode MS" w:eastAsia="Arial Unicode MS"/>
          <w:rtl w:val="0"/>
          <w:lang w:val="en-US"/>
        </w:rPr>
        <w:t xml:space="preserve">Gifford, Stylianos Alexiou, Stephanie Fay, and Steve Renick, </w:t>
      </w:r>
      <w:r>
        <w:rPr>
          <w:rFonts w:cs="Arial Unicode MS" w:eastAsia="Arial Unicode MS"/>
          <w:i w:val="1"/>
          <w:iCs w:val="1"/>
          <w:rtl w:val="0"/>
          <w:lang w:val="en-US"/>
        </w:rPr>
        <w:t>The Aerial Atlas of Ancient Crete</w:t>
      </w:r>
      <w:r>
        <w:rPr>
          <w:rFonts w:cs="Arial Unicode MS" w:eastAsia="Arial Unicode MS"/>
          <w:rtl w:val="0"/>
          <w:lang w:val="en-US"/>
        </w:rPr>
        <w:t xml:space="preserve"> (Univ of California Press, 1992)</w:t>
      </w:r>
      <w:r>
        <w:rPr>
          <w:rFonts w:cs="Arial Unicode MS" w:eastAsia="Arial Unicode MS"/>
          <w:rtl w:val="0"/>
          <w:lang w:val="en-US"/>
        </w:rPr>
        <w:t>, pp. 31, 124.</w:t>
      </w:r>
    </w:p>
  </w:footnote>
  <w:footnote w:id="3">
    <w:p>
      <w:pPr>
        <w:pStyle w:val="Footnote"/>
        <w:bidi w:val="0"/>
      </w:pPr>
      <w:r>
        <w:rPr>
          <w:vertAlign w:val="superscript"/>
        </w:rPr>
        <w:footnoteRef/>
      </w:r>
      <w:r>
        <w:rPr>
          <w:rFonts w:cs="Arial Unicode MS" w:eastAsia="Arial Unicode MS"/>
          <w:rtl w:val="0"/>
          <w:lang w:val="nl-NL"/>
        </w:rPr>
        <w:t xml:space="preserve"> Jan Driessen, </w:t>
      </w:r>
      <w:r>
        <w:rPr>
          <w:rFonts w:cs="Arial Unicode MS" w:eastAsia="Arial Unicode MS" w:hint="default"/>
          <w:rtl w:val="1"/>
        </w:rPr>
        <w:t>‘</w:t>
      </w:r>
      <w:r>
        <w:rPr>
          <w:rFonts w:cs="Arial Unicode MS" w:eastAsia="Arial Unicode MS"/>
          <w:rtl w:val="0"/>
          <w:lang w:val="en-US"/>
        </w:rPr>
        <w:t>IIb or Not IIb: On the Beginnings of Minoan Monument Building</w:t>
      </w:r>
      <w:r>
        <w:rPr>
          <w:rFonts w:cs="Arial Unicode MS" w:eastAsia="Arial Unicode MS" w:hint="default"/>
          <w:rtl w:val="1"/>
        </w:rPr>
        <w:t xml:space="preserve">’ </w:t>
      </w:r>
      <w:r>
        <w:rPr>
          <w:rFonts w:cs="Arial Unicode MS" w:eastAsia="Arial Unicode MS"/>
          <w:rtl w:val="0"/>
        </w:rPr>
        <w:t xml:space="preserve">(2007), p. </w:t>
      </w:r>
      <w:r>
        <w:rPr>
          <w:rFonts w:cs="Arial Unicode MS" w:eastAsia="Arial Unicode MS"/>
          <w:rtl w:val="0"/>
          <w:lang w:val="en-US"/>
        </w:rPr>
        <w:t>11.</w:t>
      </w:r>
    </w:p>
  </w:footnote>
  <w:footnote w:id="4">
    <w:p>
      <w:pPr>
        <w:pStyle w:val="Footnote"/>
        <w:bidi w:val="0"/>
      </w:pPr>
      <w:r>
        <w:rPr>
          <w:vertAlign w:val="superscript"/>
        </w:rPr>
        <w:footnoteRef/>
      </w:r>
      <w:r>
        <w:rPr>
          <w:rFonts w:cs="Arial Unicode MS" w:eastAsia="Arial Unicode MS"/>
          <w:rtl w:val="0"/>
          <w:lang w:val="it-IT"/>
        </w:rPr>
        <w:t xml:space="preserve"> Nanno</w:t>
      </w:r>
      <w:r>
        <w:rPr>
          <w:rFonts w:cs="Arial Unicode MS" w:eastAsia="Arial Unicode MS"/>
          <w:rtl w:val="0"/>
          <w:lang w:val="en-US"/>
        </w:rPr>
        <w:t xml:space="preserve"> </w:t>
      </w:r>
      <w:r>
        <w:rPr>
          <w:rFonts w:cs="Arial Unicode MS" w:eastAsia="Arial Unicode MS"/>
          <w:rtl w:val="0"/>
          <w:lang w:val="pt-PT"/>
        </w:rPr>
        <w:t xml:space="preserve">Marinatos, </w:t>
      </w:r>
      <w:r>
        <w:rPr>
          <w:rFonts w:cs="Arial Unicode MS" w:eastAsia="Arial Unicode MS"/>
          <w:i w:val="1"/>
          <w:iCs w:val="1"/>
          <w:rtl w:val="0"/>
          <w:lang w:val="en-US"/>
        </w:rPr>
        <w:t>Minoan Religion: Ritual, Image, and Symbol</w:t>
      </w:r>
      <w:r>
        <w:rPr>
          <w:rFonts w:cs="Arial Unicode MS" w:eastAsia="Arial Unicode MS"/>
          <w:rtl w:val="0"/>
          <w:lang w:val="en-US"/>
        </w:rPr>
        <w:t xml:space="preserve"> (University of South Carolina Press, 1993)</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p. 43; and</w:t>
      </w:r>
      <w:r>
        <w:rPr>
          <w:rFonts w:cs="Arial Unicode MS" w:eastAsia="Arial Unicode MS"/>
          <w:i w:val="1"/>
          <w:iCs w:val="1"/>
          <w:rtl w:val="0"/>
          <w:lang w:val="en-US"/>
        </w:rPr>
        <w:t xml:space="preserve"> </w:t>
      </w:r>
      <w:r>
        <w:rPr>
          <w:rFonts w:cs="Arial Unicode MS" w:eastAsia="Arial Unicode MS"/>
          <w:rtl w:val="0"/>
          <w:lang w:val="en-US"/>
        </w:rPr>
        <w:t xml:space="preserve">Joseph W. Shaw, </w:t>
      </w:r>
      <w:r>
        <w:rPr>
          <w:rFonts w:cs="Arial Unicode MS" w:eastAsia="Arial Unicode MS"/>
          <w:i w:val="1"/>
          <w:iCs w:val="1"/>
          <w:rtl w:val="0"/>
          <w:lang w:val="en-US"/>
        </w:rPr>
        <w:t>Elite Minoan Architecture: Its Development at Knossos, Phaistos, and Malia</w:t>
      </w:r>
      <w:r>
        <w:rPr>
          <w:rFonts w:cs="Arial Unicode MS" w:eastAsia="Arial Unicode MS"/>
          <w:rtl w:val="0"/>
          <w:lang w:val="pt-PT"/>
        </w:rPr>
        <w:t xml:space="preserve"> (INSTAP Academic Press, 2015)</w:t>
      </w:r>
      <w:r>
        <w:rPr>
          <w:rFonts w:cs="Arial Unicode MS" w:eastAsia="Arial Unicode MS"/>
          <w:rtl w:val="0"/>
          <w:lang w:val="en-US"/>
        </w:rPr>
        <w:t>, p. 22.</w:t>
      </w:r>
    </w:p>
  </w:footnote>
  <w:footnote w:id="5">
    <w:p>
      <w:pPr>
        <w:pStyle w:val="Footnote"/>
        <w:bidi w:val="0"/>
      </w:pPr>
      <w:r>
        <w:rPr>
          <w:vertAlign w:val="superscript"/>
        </w:rPr>
        <w:footnoteRef/>
      </w:r>
      <w:r>
        <w:rPr>
          <w:rFonts w:cs="Arial Unicode MS" w:eastAsia="Arial Unicode MS"/>
          <w:rtl w:val="0"/>
          <w:lang w:val="nl-NL"/>
        </w:rPr>
        <w:t xml:space="preserve"> Driessen, IIb, p</w:t>
      </w:r>
      <w:r>
        <w:rPr>
          <w:rFonts w:cs="Arial Unicode MS" w:eastAsia="Arial Unicode MS"/>
          <w:rtl w:val="0"/>
          <w:lang w:val="en-US"/>
        </w:rPr>
        <w:t>. 4.</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Driessen, </w:t>
      </w:r>
      <w:r>
        <w:rPr>
          <w:rFonts w:cs="Arial Unicode MS" w:eastAsia="Arial Unicode MS" w:hint="default"/>
          <w:rtl w:val="0"/>
          <w:lang w:val="en-US"/>
        </w:rPr>
        <w:t>‘</w:t>
      </w:r>
      <w:r>
        <w:rPr>
          <w:rFonts w:cs="Arial Unicode MS" w:eastAsia="Arial Unicode MS"/>
          <w:rtl w:val="0"/>
          <w:lang w:val="en-US"/>
        </w:rPr>
        <w:t>IIb</w:t>
      </w:r>
      <w:r>
        <w:rPr>
          <w:rFonts w:cs="Arial Unicode MS" w:eastAsia="Arial Unicode MS" w:hint="default"/>
          <w:rtl w:val="0"/>
          <w:lang w:val="en-US"/>
        </w:rPr>
        <w:t>’</w:t>
      </w:r>
      <w:r>
        <w:rPr>
          <w:rFonts w:cs="Arial Unicode MS" w:eastAsia="Arial Unicode MS"/>
          <w:rtl w:val="0"/>
          <w:lang w:val="en-US"/>
        </w:rPr>
        <w:t>, p. 10.</w:t>
      </w:r>
    </w:p>
  </w:footnote>
  <w:footnote w:id="7">
    <w:p>
      <w:pPr>
        <w:pStyle w:val="Footnote"/>
        <w:bidi w:val="0"/>
      </w:pPr>
      <w:r>
        <w:rPr>
          <w:vertAlign w:val="superscript"/>
        </w:rPr>
        <w:footnoteRef/>
      </w:r>
      <w:r>
        <w:rPr>
          <w:rFonts w:cs="Arial Unicode MS" w:eastAsia="Arial Unicode MS"/>
          <w:rtl w:val="0"/>
          <w:lang w:val="de-DE"/>
        </w:rPr>
        <w:t xml:space="preserve"> Warren R</w:t>
      </w:r>
      <w:r>
        <w:rPr>
          <w:rFonts w:cs="Arial Unicode MS" w:eastAsia="Arial Unicode MS"/>
          <w:rtl w:val="0"/>
          <w:lang w:val="en-US"/>
        </w:rPr>
        <w:t xml:space="preserve"> </w:t>
      </w:r>
      <w:r>
        <w:rPr>
          <w:rFonts w:cs="Arial Unicode MS" w:eastAsia="Arial Unicode MS"/>
          <w:rtl w:val="0"/>
          <w:lang w:val="en-US"/>
        </w:rPr>
        <w:t xml:space="preserve">DeBoer and John H Blitz, </w:t>
      </w:r>
      <w:r>
        <w:rPr>
          <w:rFonts w:cs="Arial Unicode MS" w:eastAsia="Arial Unicode MS" w:hint="default"/>
          <w:rtl w:val="1"/>
        </w:rPr>
        <w:t>‘</w:t>
      </w:r>
      <w:r>
        <w:rPr>
          <w:rFonts w:cs="Arial Unicode MS" w:eastAsia="Arial Unicode MS"/>
          <w:rtl w:val="0"/>
          <w:lang w:val="en-US"/>
        </w:rPr>
        <w:t>Ceremonial Centers of the Chachi</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Expedition</w:t>
      </w:r>
      <w:r>
        <w:rPr>
          <w:rFonts w:cs="Arial Unicode MS" w:eastAsia="Arial Unicode MS"/>
          <w:rtl w:val="0"/>
        </w:rPr>
        <w:t xml:space="preserve">, 33: (1991), </w:t>
      </w:r>
      <w:r>
        <w:rPr>
          <w:rFonts w:cs="Arial Unicode MS" w:eastAsia="Arial Unicode MS"/>
          <w:rtl w:val="0"/>
          <w:lang w:val="en-US"/>
        </w:rPr>
        <w:t xml:space="preserve">p. </w:t>
      </w:r>
      <w:r>
        <w:rPr>
          <w:rFonts w:cs="Arial Unicode MS" w:eastAsia="Arial Unicode MS"/>
          <w:rtl w:val="0"/>
        </w:rPr>
        <w:t>5</w:t>
      </w:r>
      <w:r>
        <w:rPr>
          <w:rFonts w:cs="Arial Unicode MS" w:eastAsia="Arial Unicode MS"/>
          <w:rtl w:val="0"/>
          <w:lang w:val="en-US"/>
        </w:rPr>
        <w:t>4.</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DeBoer </w:t>
      </w:r>
      <w:r>
        <w:rPr>
          <w:rFonts w:cs="Arial Unicode MS" w:eastAsia="Arial Unicode MS"/>
          <w:rtl w:val="0"/>
          <w:lang w:val="en-US"/>
        </w:rPr>
        <w:t>and others</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it-IT"/>
        </w:rPr>
        <w:t>Ceremonial</w:t>
      </w:r>
      <w:r>
        <w:rPr>
          <w:rFonts w:cs="Arial Unicode MS" w:eastAsia="Arial Unicode MS" w:hint="default"/>
          <w:rtl w:val="1"/>
        </w:rPr>
        <w:t>’</w:t>
      </w:r>
      <w:r>
        <w:rPr>
          <w:rFonts w:cs="Arial Unicode MS" w:eastAsia="Arial Unicode MS"/>
          <w:rtl w:val="0"/>
          <w:lang w:val="en-US"/>
        </w:rPr>
        <w:t xml:space="preserve"> p.</w:t>
      </w:r>
      <w:r>
        <w:rPr>
          <w:rFonts w:cs="Arial Unicode MS" w:eastAsia="Arial Unicode MS"/>
          <w:rtl w:val="0"/>
        </w:rPr>
        <w:t xml:space="preserve"> 62</w:t>
      </w:r>
      <w:r>
        <w:rPr>
          <w:rFonts w:cs="Arial Unicode MS" w:eastAsia="Arial Unicode MS"/>
          <w:rtl w:val="0"/>
          <w:lang w:val="en-US"/>
        </w:rPr>
        <w:t>.</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Driessen, </w:t>
      </w:r>
      <w:r>
        <w:rPr>
          <w:rFonts w:cs="Arial Unicode MS" w:eastAsia="Arial Unicode MS" w:hint="default"/>
          <w:rtl w:val="0"/>
          <w:lang w:val="en-US"/>
        </w:rPr>
        <w:t>‘</w:t>
      </w:r>
      <w:r>
        <w:rPr>
          <w:rFonts w:cs="Arial Unicode MS" w:eastAsia="Arial Unicode MS"/>
          <w:rtl w:val="0"/>
          <w:lang w:val="en-US"/>
        </w:rPr>
        <w:t>IIb</w:t>
      </w:r>
      <w:r>
        <w:rPr>
          <w:rFonts w:cs="Arial Unicode MS" w:eastAsia="Arial Unicode MS" w:hint="default"/>
          <w:rtl w:val="0"/>
          <w:lang w:val="en-US"/>
        </w:rPr>
        <w:t>’</w:t>
      </w:r>
      <w:r>
        <w:rPr>
          <w:rFonts w:cs="Arial Unicode MS" w:eastAsia="Arial Unicode MS"/>
          <w:rtl w:val="0"/>
          <w:lang w:val="en-US"/>
        </w:rPr>
        <w:t>, p. 4.</w:t>
      </w:r>
    </w:p>
  </w:footnote>
  <w:footnote w:id="10">
    <w:p>
      <w:pPr>
        <w:pStyle w:val="Footnote"/>
        <w:bidi w:val="0"/>
      </w:pPr>
      <w:r>
        <w:rPr>
          <w:vertAlign w:val="superscript"/>
        </w:rPr>
        <w:footnoteRef/>
      </w:r>
      <w:r>
        <w:rPr>
          <w:rFonts w:cs="Arial Unicode MS" w:eastAsia="Arial Unicode MS"/>
          <w:rtl w:val="0"/>
          <w:lang w:val="pt-PT"/>
        </w:rPr>
        <w:t xml:space="preserve"> Marinatos, </w:t>
      </w:r>
      <w:r>
        <w:rPr>
          <w:rFonts w:cs="Arial Unicode MS" w:eastAsia="Arial Unicode MS"/>
          <w:i w:val="1"/>
          <w:iCs w:val="1"/>
          <w:rtl w:val="0"/>
        </w:rPr>
        <w:t>Minoan</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p. 45.</w:t>
      </w:r>
    </w:p>
  </w:footnote>
  <w:footnote w:id="11">
    <w:p>
      <w:pPr>
        <w:pStyle w:val="Footnote"/>
        <w:bidi w:val="0"/>
      </w:pPr>
      <w:r>
        <w:rPr>
          <w:vertAlign w:val="superscript"/>
        </w:rPr>
        <w:footnoteRef/>
      </w:r>
      <w:r>
        <w:rPr>
          <w:rFonts w:cs="Arial Unicode MS" w:eastAsia="Arial Unicode MS"/>
          <w:rtl w:val="0"/>
          <w:lang w:val="nl-NL"/>
        </w:rPr>
        <w:t xml:space="preserve"> Driessen, </w:t>
      </w:r>
      <w:r>
        <w:rPr>
          <w:rFonts w:cs="Arial Unicode MS" w:eastAsia="Arial Unicode MS" w:hint="default"/>
          <w:rtl w:val="0"/>
          <w:lang w:val="en-US"/>
        </w:rPr>
        <w:t>‘</w:t>
      </w:r>
      <w:r>
        <w:rPr>
          <w:rFonts w:cs="Arial Unicode MS" w:eastAsia="Arial Unicode MS"/>
          <w:rtl w:val="0"/>
        </w:rPr>
        <w:t>IIb</w:t>
      </w:r>
      <w:r>
        <w:rPr>
          <w:rFonts w:cs="Arial Unicode MS" w:eastAsia="Arial Unicode MS" w:hint="default"/>
          <w:rtl w:val="1"/>
        </w:rPr>
        <w:t>’</w:t>
      </w:r>
      <w:r>
        <w:rPr>
          <w:rFonts w:cs="Arial Unicode MS" w:eastAsia="Arial Unicode MS"/>
          <w:rtl w:val="0"/>
          <w:lang w:val="en-US"/>
        </w:rPr>
        <w:t xml:space="preserve"> p. 5.</w:t>
      </w:r>
    </w:p>
  </w:footnote>
  <w:footnote w:id="12">
    <w:p>
      <w:pPr>
        <w:pStyle w:val="Footnote"/>
        <w:bidi w:val="0"/>
      </w:pPr>
      <w:r>
        <w:rPr>
          <w:vertAlign w:val="superscript"/>
        </w:rPr>
        <w:footnoteRef/>
      </w:r>
      <w:r>
        <w:rPr>
          <w:rFonts w:cs="Arial Unicode MS" w:eastAsia="Arial Unicode MS"/>
          <w:rtl w:val="0"/>
        </w:rPr>
        <w:t xml:space="preserve"> Ho</w:t>
      </w:r>
      <w:r>
        <w:rPr>
          <w:rFonts w:cs="Arial Unicode MS" w:eastAsia="Arial Unicode MS"/>
          <w:rtl w:val="0"/>
          <w:lang w:val="en-US"/>
        </w:rPr>
        <w:t xml:space="preserve">mer, </w:t>
      </w:r>
      <w:r>
        <w:rPr>
          <w:rFonts w:cs="Arial Unicode MS" w:eastAsia="Arial Unicode MS"/>
          <w:i w:val="1"/>
          <w:iCs w:val="1"/>
          <w:rtl w:val="0"/>
          <w:lang w:val="en-US"/>
        </w:rPr>
        <w:t>Odyssey</w:t>
      </w:r>
      <w:r>
        <w:rPr>
          <w:rFonts w:cs="Arial Unicode MS" w:eastAsia="Arial Unicode MS"/>
          <w:rtl w:val="0"/>
          <w:lang w:val="en-US"/>
        </w:rPr>
        <w:t xml:space="preserve">, XI 567, XIX </w:t>
      </w:r>
      <w:r>
        <w:rPr>
          <w:rFonts w:cs="Arial Unicode MS" w:eastAsia="Arial Unicode MS"/>
          <w:rtl w:val="0"/>
        </w:rPr>
        <w:t>175</w:t>
      </w:r>
      <w:r>
        <w:rPr>
          <w:rFonts w:cs="Arial Unicode MS" w:eastAsia="Arial Unicode MS"/>
          <w:rtl w:val="0"/>
          <w:lang w:val="en-US"/>
        </w:rPr>
        <w:t>.</w:t>
      </w:r>
    </w:p>
  </w:footnote>
  <w:footnote w:id="13">
    <w:p>
      <w:pPr>
        <w:pStyle w:val="Footnote"/>
        <w:bidi w:val="0"/>
      </w:pPr>
      <w:r>
        <w:rPr>
          <w:vertAlign w:val="superscript"/>
        </w:rPr>
        <w:footnoteRef/>
      </w:r>
      <w:r>
        <w:rPr>
          <w:rFonts w:cs="Arial Unicode MS" w:eastAsia="Arial Unicode MS"/>
          <w:rtl w:val="0"/>
          <w:lang w:val="it-IT"/>
        </w:rPr>
        <w:t xml:space="preserve"> William</w:t>
      </w:r>
      <w:r>
        <w:rPr>
          <w:rFonts w:cs="Arial Unicode MS" w:eastAsia="Arial Unicode MS"/>
          <w:rtl w:val="0"/>
          <w:lang w:val="en-US"/>
        </w:rPr>
        <w:t xml:space="preserve"> </w:t>
      </w:r>
      <w:r>
        <w:rPr>
          <w:rFonts w:cs="Arial Unicode MS" w:eastAsia="Arial Unicode MS"/>
          <w:rtl w:val="0"/>
          <w:lang w:val="en-US"/>
        </w:rPr>
        <w:t xml:space="preserve">Smith, </w:t>
      </w:r>
      <w:r>
        <w:rPr>
          <w:rFonts w:cs="Arial Unicode MS" w:eastAsia="Arial Unicode MS"/>
          <w:i w:val="1"/>
          <w:iCs w:val="1"/>
          <w:rtl w:val="0"/>
          <w:lang w:val="en-US"/>
        </w:rPr>
        <w:t>Dictionary of Greek and Roman Biography and Mythology</w:t>
      </w:r>
      <w:r>
        <w:rPr>
          <w:rFonts w:cs="Arial Unicode MS" w:eastAsia="Arial Unicode MS"/>
          <w:rtl w:val="0"/>
          <w:lang w:val="en-US"/>
        </w:rPr>
        <w:t xml:space="preserve"> (CC Little and J. Brown, 1849)</w:t>
      </w:r>
      <w:r>
        <w:rPr>
          <w:rFonts w:cs="Arial Unicode MS" w:eastAsia="Arial Unicode MS"/>
          <w:rtl w:val="0"/>
          <w:lang w:val="en-US"/>
        </w:rPr>
        <w:t>, Vol. II, p. 1091.</w:t>
      </w:r>
    </w:p>
  </w:footnote>
  <w:footnote w:id="1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Gifford </w:t>
      </w:r>
      <w:r>
        <w:rPr>
          <w:rFonts w:cs="Arial Unicode MS" w:eastAsia="Arial Unicode MS"/>
          <w:rtl w:val="0"/>
          <w:lang w:val="en-US"/>
        </w:rPr>
        <w:t>and others</w:t>
      </w:r>
      <w:r>
        <w:rPr>
          <w:rFonts w:cs="Arial Unicode MS" w:eastAsia="Arial Unicode MS"/>
          <w:rtl w:val="0"/>
          <w:lang w:val="en-US"/>
        </w:rPr>
        <w:t xml:space="preserve">, </w:t>
      </w:r>
      <w:r>
        <w:rPr>
          <w:rFonts w:cs="Arial Unicode MS" w:eastAsia="Arial Unicode MS"/>
          <w:i w:val="1"/>
          <w:iCs w:val="1"/>
          <w:rtl w:val="0"/>
          <w:lang w:val="en-US"/>
        </w:rPr>
        <w:t>Atlas</w:t>
      </w:r>
      <w:r>
        <w:rPr>
          <w:rFonts w:cs="Arial Unicode MS" w:eastAsia="Arial Unicode MS"/>
          <w:rtl w:val="0"/>
          <w:lang w:val="en-US"/>
        </w:rPr>
        <w:t>, p. 234.</w:t>
      </w:r>
    </w:p>
  </w:footnote>
  <w:footnote w:id="1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Jan Driessen, </w:t>
      </w:r>
      <w:r>
        <w:rPr>
          <w:rFonts w:cs="Arial Unicode MS" w:eastAsia="Arial Unicode MS" w:hint="default"/>
          <w:rtl w:val="0"/>
          <w:lang w:val="en-US"/>
        </w:rPr>
        <w:t>‘</w:t>
      </w:r>
      <w:r>
        <w:rPr>
          <w:rFonts w:cs="Arial Unicode MS" w:eastAsia="Arial Unicode MS"/>
          <w:rtl w:val="0"/>
          <w:lang w:val="it-IT"/>
        </w:rPr>
        <w:t>Malia</w:t>
      </w:r>
      <w:r>
        <w:rPr>
          <w:rFonts w:cs="Arial Unicode MS" w:eastAsia="Arial Unicode MS" w:hint="default"/>
          <w:rtl w:val="1"/>
        </w:rPr>
        <w:t>’</w:t>
      </w:r>
      <w:r>
        <w:rPr>
          <w:rFonts w:cs="Arial Unicode MS" w:eastAsia="Arial Unicode MS"/>
          <w:rtl w:val="0"/>
          <w:lang w:val="en-US"/>
        </w:rPr>
        <w:t xml:space="preserve">. in </w:t>
      </w:r>
      <w:r>
        <w:rPr>
          <w:rFonts w:cs="Arial Unicode MS" w:eastAsia="Arial Unicode MS"/>
          <w:i w:val="1"/>
          <w:iCs w:val="1"/>
          <w:rtl w:val="0"/>
          <w:lang w:val="en-US"/>
        </w:rPr>
        <w:t>The Oxford Handbook of the Bronze Age Aegean</w:t>
      </w:r>
      <w:r>
        <w:rPr>
          <w:rFonts w:cs="Arial Unicode MS" w:eastAsia="Arial Unicode MS"/>
          <w:rtl w:val="0"/>
        </w:rPr>
        <w:t xml:space="preserve"> (2010)</w:t>
      </w:r>
      <w:r>
        <w:rPr>
          <w:rFonts w:cs="Arial Unicode MS" w:eastAsia="Arial Unicode MS"/>
          <w:rtl w:val="0"/>
          <w:lang w:val="en-US"/>
        </w:rPr>
        <w:t xml:space="preserve">, pp. 558, </w:t>
      </w:r>
      <w:r>
        <w:rPr>
          <w:rFonts w:cs="Arial Unicode MS" w:eastAsia="Arial Unicode MS"/>
          <w:rtl w:val="0"/>
        </w:rPr>
        <w:t>564</w:t>
      </w:r>
      <w:r>
        <w:rPr>
          <w:rFonts w:cs="Arial Unicode MS" w:eastAsia="Arial Unicode MS"/>
          <w:rtl w:val="0"/>
          <w:lang w:val="en-US"/>
        </w:rPr>
        <w:t>.</w:t>
      </w:r>
    </w:p>
  </w:footnote>
  <w:footnote w:id="1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Driessen, </w:t>
      </w:r>
      <w:r>
        <w:rPr>
          <w:rFonts w:cs="Arial Unicode MS" w:eastAsia="Arial Unicode MS" w:hint="default"/>
          <w:rtl w:val="0"/>
          <w:lang w:val="en-US"/>
        </w:rPr>
        <w:t>‘</w:t>
      </w:r>
      <w:r>
        <w:rPr>
          <w:rFonts w:cs="Arial Unicode MS" w:eastAsia="Arial Unicode MS"/>
          <w:rtl w:val="0"/>
          <w:lang w:val="en-US"/>
        </w:rPr>
        <w:t>IIb</w:t>
      </w:r>
      <w:r>
        <w:rPr>
          <w:rFonts w:cs="Arial Unicode MS" w:eastAsia="Arial Unicode MS" w:hint="default"/>
          <w:rtl w:val="0"/>
          <w:lang w:val="en-US"/>
        </w:rPr>
        <w:t>’</w:t>
      </w:r>
      <w:r>
        <w:rPr>
          <w:rFonts w:cs="Arial Unicode MS" w:eastAsia="Arial Unicode MS"/>
          <w:rtl w:val="0"/>
          <w:lang w:val="en-US"/>
        </w:rPr>
        <w:t>, p. 7.</w:t>
      </w:r>
    </w:p>
  </w:footnote>
  <w:footnote w:id="17">
    <w:p>
      <w:pPr>
        <w:pStyle w:val="Footnote"/>
        <w:bidi w:val="0"/>
      </w:pPr>
      <w:r>
        <w:rPr>
          <w:vertAlign w:val="superscript"/>
        </w:rPr>
        <w:footnoteRef/>
      </w:r>
      <w:r>
        <w:rPr>
          <w:rFonts w:cs="Arial Unicode MS" w:eastAsia="Arial Unicode MS"/>
          <w:rtl w:val="0"/>
          <w:lang w:val="nl-NL"/>
        </w:rPr>
        <w:t xml:space="preserve"> Driessen, </w:t>
      </w:r>
      <w:r>
        <w:rPr>
          <w:rFonts w:cs="Arial Unicode MS" w:eastAsia="Arial Unicode MS" w:hint="default"/>
          <w:rtl w:val="1"/>
        </w:rPr>
        <w:t>‘</w:t>
      </w:r>
      <w:r>
        <w:rPr>
          <w:rFonts w:cs="Arial Unicode MS" w:eastAsia="Arial Unicode MS"/>
          <w:rtl w:val="0"/>
        </w:rPr>
        <w:t>IIb</w:t>
      </w:r>
      <w:r>
        <w:rPr>
          <w:rFonts w:cs="Arial Unicode MS" w:eastAsia="Arial Unicode MS" w:hint="default"/>
          <w:rtl w:val="1"/>
        </w:rPr>
        <w:t>’</w:t>
      </w:r>
      <w:r>
        <w:rPr>
          <w:rFonts w:cs="Arial Unicode MS" w:eastAsia="Arial Unicode MS"/>
          <w:rtl w:val="0"/>
        </w:rPr>
        <w:t>, p. 7</w:t>
      </w:r>
      <w:r>
        <w:rPr>
          <w:rFonts w:cs="Arial Unicode MS" w:eastAsia="Arial Unicode MS"/>
          <w:rtl w:val="0"/>
          <w:lang w:val="en-US"/>
        </w:rPr>
        <w:t>.</w:t>
      </w:r>
    </w:p>
  </w:footnote>
  <w:footnote w:id="18">
    <w:p>
      <w:pPr>
        <w:pStyle w:val="Footnote"/>
        <w:bidi w:val="0"/>
      </w:pPr>
      <w:r>
        <w:rPr>
          <w:vertAlign w:val="superscript"/>
        </w:rPr>
        <w:footnoteRef/>
      </w:r>
      <w:r>
        <w:rPr>
          <w:rFonts w:cs="Arial Unicode MS" w:eastAsia="Arial Unicode MS"/>
          <w:rtl w:val="0"/>
          <w:lang w:val="da-DK"/>
        </w:rPr>
        <w:t xml:space="preserve"> Dennis</w:t>
      </w:r>
      <w:r>
        <w:rPr>
          <w:rFonts w:cs="Arial Unicode MS" w:eastAsia="Arial Unicode MS"/>
          <w:rtl w:val="0"/>
          <w:lang w:val="en-US"/>
        </w:rPr>
        <w:t xml:space="preserve"> </w:t>
      </w:r>
      <w:r>
        <w:rPr>
          <w:rFonts w:cs="Arial Unicode MS" w:eastAsia="Arial Unicode MS"/>
          <w:rtl w:val="0"/>
          <w:lang w:val="en-US"/>
        </w:rPr>
        <w:t xml:space="preserve">Doxtater, </w:t>
      </w:r>
      <w:r>
        <w:rPr>
          <w:rFonts w:cs="Arial Unicode MS" w:eastAsia="Arial Unicode MS" w:hint="default"/>
          <w:rtl w:val="0"/>
          <w:lang w:val="en-US"/>
        </w:rPr>
        <w:t>‘</w:t>
      </w:r>
      <w:r>
        <w:rPr>
          <w:rFonts w:cs="Arial Unicode MS" w:eastAsia="Arial Unicode MS"/>
          <w:rtl w:val="0"/>
          <w:lang w:val="en-US"/>
        </w:rPr>
        <w:t>Rethinking the Sacred Landscape Minoan Palaces in a Georitual Framework of Natural Features on Crete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Landscape Journal</w:t>
      </w:r>
      <w:r>
        <w:rPr>
          <w:rFonts w:cs="Arial Unicode MS" w:eastAsia="Arial Unicode MS"/>
          <w:rtl w:val="0"/>
        </w:rPr>
        <w:t xml:space="preserve">, 28 (2009), </w:t>
      </w:r>
      <w:r>
        <w:rPr>
          <w:rFonts w:cs="Arial Unicode MS" w:eastAsia="Arial Unicode MS"/>
          <w:rtl w:val="0"/>
          <w:lang w:val="en-US"/>
        </w:rPr>
        <w:t>p.</w:t>
      </w:r>
      <w:r>
        <w:rPr>
          <w:rFonts w:cs="Arial Unicode MS" w:eastAsia="Arial Unicode MS"/>
          <w:rtl w:val="0"/>
        </w:rPr>
        <w:t xml:space="preserve"> 12</w:t>
      </w:r>
      <w:r>
        <w:rPr>
          <w:rFonts w:cs="Arial Unicode MS" w:eastAsia="Arial Unicode MS"/>
          <w:rtl w:val="0"/>
          <w:lang w:val="en-US"/>
        </w:rPr>
        <w:t>.</w:t>
      </w:r>
    </w:p>
  </w:footnote>
  <w:footnote w:id="19">
    <w:p>
      <w:pPr>
        <w:pStyle w:val="Footnote"/>
        <w:bidi w:val="0"/>
      </w:pPr>
      <w:r>
        <w:rPr>
          <w:vertAlign w:val="superscript"/>
        </w:rPr>
        <w:footnoteRef/>
      </w:r>
      <w:r>
        <w:rPr>
          <w:rFonts w:cs="Arial Unicode MS" w:eastAsia="Arial Unicode MS"/>
          <w:rtl w:val="0"/>
          <w:lang w:val="en-US"/>
        </w:rPr>
        <w:t xml:space="preserve"> Evans, Arthur J, </w:t>
      </w:r>
      <w:r>
        <w:rPr>
          <w:rFonts w:cs="Arial Unicode MS" w:eastAsia="Arial Unicode MS"/>
          <w:i w:val="1"/>
          <w:iCs w:val="1"/>
          <w:rtl w:val="0"/>
          <w:lang w:val="en-US"/>
        </w:rPr>
        <w:t>The Palace of Minos at Knossos</w:t>
      </w:r>
      <w:r>
        <w:rPr>
          <w:rFonts w:cs="Arial Unicode MS" w:eastAsia="Arial Unicode MS"/>
          <w:rtl w:val="0"/>
          <w:lang w:val="en-US"/>
        </w:rPr>
        <w:t>,</w:t>
      </w:r>
      <w:r>
        <w:rPr>
          <w:rFonts w:cs="Arial Unicode MS" w:eastAsia="Arial Unicode MS"/>
          <w:rtl w:val="0"/>
          <w:lang w:val="it-IT"/>
        </w:rPr>
        <w:t xml:space="preserve"> Vol. 2, (London</w:t>
      </w:r>
      <w:r>
        <w:rPr>
          <w:rFonts w:cs="Arial Unicode MS" w:eastAsia="Arial Unicode MS"/>
          <w:rtl w:val="0"/>
          <w:lang w:val="en-US"/>
        </w:rPr>
        <w:t xml:space="preserve">: </w:t>
      </w:r>
      <w:r>
        <w:rPr>
          <w:rFonts w:cs="Arial Unicode MS" w:eastAsia="Arial Unicode MS"/>
          <w:rtl w:val="0"/>
        </w:rPr>
        <w:t>1928a)</w:t>
      </w:r>
      <w:r>
        <w:rPr>
          <w:rFonts w:cs="Arial Unicode MS" w:eastAsia="Arial Unicode MS"/>
          <w:b w:val="1"/>
          <w:bCs w:val="1"/>
          <w:rtl w:val="0"/>
        </w:rPr>
        <w:t>,</w:t>
      </w:r>
      <w:r>
        <w:rPr>
          <w:rFonts w:cs="Arial Unicode MS" w:eastAsia="Arial Unicode MS"/>
          <w:b w:val="1"/>
          <w:bCs w:val="1"/>
          <w:rtl w:val="0"/>
          <w:lang w:val="en-US"/>
        </w:rPr>
        <w:t xml:space="preserve"> </w:t>
      </w:r>
      <w:r>
        <w:rPr>
          <w:rFonts w:cs="Arial Unicode MS" w:eastAsia="Arial Unicode MS"/>
          <w:rtl w:val="0"/>
          <w:lang w:val="en-US"/>
        </w:rPr>
        <w:t>p.</w:t>
      </w:r>
      <w:r>
        <w:rPr>
          <w:rFonts w:cs="Arial Unicode MS" w:eastAsia="Arial Unicode MS"/>
          <w:rtl w:val="0"/>
        </w:rPr>
        <w:t xml:space="preserve"> 423</w:t>
      </w:r>
      <w:r>
        <w:rPr>
          <w:rFonts w:cs="Arial Unicode MS" w:eastAsia="Arial Unicode MS"/>
          <w:rtl w:val="0"/>
          <w:lang w:val="en-US"/>
        </w:rPr>
        <w:t>; and</w:t>
      </w:r>
      <w:r>
        <w:rPr>
          <w:rFonts w:cs="Arial Unicode MS" w:eastAsia="Arial Unicode MS"/>
          <w:b w:val="1"/>
          <w:bCs w:val="1"/>
          <w:rtl w:val="0"/>
          <w:lang w:val="en-US"/>
        </w:rPr>
        <w:t xml:space="preserve"> </w:t>
      </w:r>
      <w:r>
        <w:rPr>
          <w:rFonts w:cs="Arial Unicode MS" w:eastAsia="Arial Unicode MS"/>
          <w:rtl w:val="0"/>
          <w:lang w:val="en-US"/>
        </w:rPr>
        <w:t xml:space="preserve">Shaw, </w:t>
      </w:r>
      <w:r>
        <w:rPr>
          <w:rFonts w:cs="Arial Unicode MS" w:eastAsia="Arial Unicode MS" w:hint="default"/>
          <w:rtl w:val="1"/>
        </w:rPr>
        <w:t>‘</w:t>
      </w:r>
      <w:r>
        <w:rPr>
          <w:rFonts w:cs="Arial Unicode MS" w:eastAsia="Arial Unicode MS"/>
          <w:rtl w:val="0"/>
          <w:lang w:val="es-ES_tradnl"/>
        </w:rPr>
        <w:t>Elite</w:t>
      </w:r>
      <w:r>
        <w:rPr>
          <w:rFonts w:cs="Arial Unicode MS" w:eastAsia="Arial Unicode MS" w:hint="default"/>
          <w:rtl w:val="1"/>
        </w:rPr>
        <w:t>’</w:t>
      </w:r>
      <w:r>
        <w:rPr>
          <w:rFonts w:cs="Arial Unicode MS" w:eastAsia="Arial Unicode MS"/>
          <w:rtl w:val="0"/>
        </w:rPr>
        <w:t>, p. 2</w:t>
      </w:r>
      <w:r>
        <w:rPr>
          <w:rFonts w:cs="Arial Unicode MS" w:eastAsia="Arial Unicode MS"/>
          <w:rtl w:val="0"/>
          <w:lang w:val="en-US"/>
        </w:rPr>
        <w:t>4.</w:t>
      </w:r>
    </w:p>
  </w:footnote>
  <w:footnote w:id="2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Shaw, </w:t>
      </w:r>
      <w:r>
        <w:rPr>
          <w:rFonts w:cs="Arial Unicode MS" w:eastAsia="Arial Unicode MS" w:hint="default"/>
          <w:rtl w:val="0"/>
          <w:lang w:val="en-US"/>
        </w:rPr>
        <w:t>‘</w:t>
      </w:r>
      <w:r>
        <w:rPr>
          <w:rFonts w:cs="Arial Unicode MS" w:eastAsia="Arial Unicode MS"/>
          <w:rtl w:val="0"/>
          <w:lang w:val="en-US"/>
        </w:rPr>
        <w:t>Elite</w:t>
      </w:r>
      <w:r>
        <w:rPr>
          <w:rFonts w:cs="Arial Unicode MS" w:eastAsia="Arial Unicode MS" w:hint="default"/>
          <w:rtl w:val="0"/>
          <w:lang w:val="en-US"/>
        </w:rPr>
        <w:t>’</w:t>
      </w:r>
      <w:r>
        <w:rPr>
          <w:rFonts w:cs="Arial Unicode MS" w:eastAsia="Arial Unicode MS"/>
          <w:rtl w:val="0"/>
          <w:lang w:val="en-US"/>
        </w:rPr>
        <w:t xml:space="preserve">, p. 23;  and </w:t>
      </w:r>
      <w:r>
        <w:rPr>
          <w:rFonts w:cs="Arial Unicode MS" w:eastAsia="Arial Unicode MS"/>
          <w:rtl w:val="0"/>
          <w:lang w:val="en-US"/>
        </w:rPr>
        <w:t xml:space="preserve">Joseph W. Shaw, </w:t>
      </w:r>
      <w:r>
        <w:rPr>
          <w:rFonts w:cs="Arial Unicode MS" w:eastAsia="Arial Unicode MS" w:hint="default"/>
          <w:rtl w:val="0"/>
          <w:lang w:val="en-US"/>
        </w:rPr>
        <w:t>‘</w:t>
      </w:r>
      <w:r>
        <w:rPr>
          <w:rFonts w:cs="Arial Unicode MS" w:eastAsia="Arial Unicode MS"/>
          <w:rtl w:val="0"/>
          <w:lang w:val="en-US"/>
        </w:rPr>
        <w:t>The Orientation of the Minoan Palaces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it-IT"/>
        </w:rPr>
        <w:t>Antichita Cretesi (Catania) I</w:t>
      </w:r>
      <w:r>
        <w:rPr>
          <w:rFonts w:cs="Arial Unicode MS" w:eastAsia="Arial Unicode MS"/>
          <w:rtl w:val="0"/>
        </w:rPr>
        <w:t xml:space="preserve">, 4759: (1977), p. </w:t>
      </w:r>
      <w:r>
        <w:rPr>
          <w:rFonts w:cs="Arial Unicode MS" w:eastAsia="Arial Unicode MS"/>
          <w:rtl w:val="0"/>
          <w:lang w:val="en-US"/>
        </w:rPr>
        <w:t>58.</w:t>
      </w:r>
    </w:p>
  </w:footnote>
  <w:footnote w:id="2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Doxtater, </w:t>
      </w:r>
      <w:r>
        <w:rPr>
          <w:rFonts w:cs="Arial Unicode MS" w:eastAsia="Arial Unicode MS" w:hint="default"/>
          <w:rtl w:val="0"/>
          <w:lang w:val="en-US"/>
        </w:rPr>
        <w:t>‘</w:t>
      </w:r>
      <w:r>
        <w:rPr>
          <w:rFonts w:cs="Arial Unicode MS" w:eastAsia="Arial Unicode MS"/>
          <w:rtl w:val="0"/>
          <w:lang w:val="en-US"/>
        </w:rPr>
        <w:t>Rethinking</w:t>
      </w:r>
      <w:r>
        <w:rPr>
          <w:rFonts w:cs="Arial Unicode MS" w:eastAsia="Arial Unicode MS" w:hint="default"/>
          <w:rtl w:val="0"/>
          <w:lang w:val="en-US"/>
        </w:rPr>
        <w:t>’</w:t>
      </w:r>
      <w:r>
        <w:rPr>
          <w:rFonts w:cs="Arial Unicode MS" w:eastAsia="Arial Unicode MS"/>
          <w:rtl w:val="0"/>
          <w:lang w:val="en-US"/>
        </w:rPr>
        <w:t>, p. 3.</w:t>
      </w:r>
    </w:p>
  </w:footnote>
  <w:footnote w:id="22">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Shaw, </w:t>
      </w:r>
      <w:r>
        <w:rPr>
          <w:rFonts w:cs="Arial Unicode MS" w:eastAsia="Arial Unicode MS" w:hint="default"/>
          <w:rtl w:val="0"/>
          <w:lang w:val="en-US"/>
        </w:rPr>
        <w:t>‘</w:t>
      </w:r>
      <w:r>
        <w:rPr>
          <w:rFonts w:cs="Arial Unicode MS" w:eastAsia="Arial Unicode MS"/>
          <w:rtl w:val="0"/>
          <w:lang w:val="fr-FR"/>
        </w:rPr>
        <w:t>Orientation</w:t>
      </w:r>
      <w:r>
        <w:rPr>
          <w:rFonts w:cs="Arial Unicode MS" w:eastAsia="Arial Unicode MS" w:hint="default"/>
          <w:rtl w:val="0"/>
          <w:lang w:val="en-US"/>
        </w:rPr>
        <w:t>’</w:t>
      </w:r>
      <w:r>
        <w:rPr>
          <w:rFonts w:cs="Arial Unicode MS" w:eastAsia="Arial Unicode MS"/>
          <w:rtl w:val="0"/>
          <w:lang w:val="en-US"/>
        </w:rPr>
        <w:t>, p. 54.</w:t>
      </w:r>
    </w:p>
  </w:footnote>
  <w:footnote w:id="23">
    <w:p>
      <w:pPr>
        <w:pStyle w:val="Footnote"/>
        <w:bidi w:val="0"/>
      </w:pPr>
      <w:r>
        <w:rPr>
          <w:vertAlign w:val="superscript"/>
        </w:rPr>
        <w:footnoteRef/>
      </w:r>
      <w:r>
        <w:rPr>
          <w:rFonts w:cs="Arial Unicode MS" w:eastAsia="Arial Unicode MS"/>
          <w:rtl w:val="0"/>
          <w:lang w:val="en-US"/>
        </w:rPr>
        <w:t xml:space="preserve"> Shaw, </w:t>
      </w:r>
      <w:r>
        <w:rPr>
          <w:rFonts w:cs="Arial Unicode MS" w:eastAsia="Arial Unicode MS" w:hint="default"/>
          <w:rtl w:val="1"/>
        </w:rPr>
        <w:t>‘</w:t>
      </w:r>
      <w:r>
        <w:rPr>
          <w:rFonts w:cs="Arial Unicode MS" w:eastAsia="Arial Unicode MS"/>
          <w:rtl w:val="0"/>
          <w:lang w:val="fr-FR"/>
        </w:rPr>
        <w:t>Orientation</w:t>
      </w:r>
      <w:r>
        <w:rPr>
          <w:rFonts w:cs="Arial Unicode MS" w:eastAsia="Arial Unicode MS" w:hint="default"/>
          <w:rtl w:val="1"/>
        </w:rPr>
        <w:t>’</w:t>
      </w:r>
      <w:r>
        <w:rPr>
          <w:rFonts w:cs="Arial Unicode MS" w:eastAsia="Arial Unicode MS"/>
          <w:rtl w:val="0"/>
        </w:rPr>
        <w:t>, p. 54</w:t>
      </w:r>
      <w:r>
        <w:rPr>
          <w:rFonts w:cs="Arial Unicode MS" w:eastAsia="Arial Unicode MS"/>
          <w:rtl w:val="0"/>
          <w:lang w:val="en-US"/>
        </w:rPr>
        <w:t>.</w:t>
      </w:r>
    </w:p>
  </w:footnote>
  <w:footnote w:id="24">
    <w:p>
      <w:pPr>
        <w:pStyle w:val="Footnote"/>
        <w:bidi w:val="0"/>
      </w:pPr>
      <w:r>
        <w:rPr>
          <w:vertAlign w:val="superscript"/>
        </w:rPr>
        <w:footnoteRef/>
      </w:r>
      <w:r>
        <w:rPr>
          <w:rFonts w:cs="Arial Unicode MS" w:eastAsia="Arial Unicode MS"/>
          <w:rtl w:val="0"/>
          <w:lang w:val="en-US"/>
        </w:rPr>
        <w:t xml:space="preserve"> Shaw, </w:t>
      </w:r>
      <w:r>
        <w:rPr>
          <w:rFonts w:cs="Arial Unicode MS" w:eastAsia="Arial Unicode MS" w:hint="default"/>
          <w:rtl w:val="1"/>
        </w:rPr>
        <w:t>‘</w:t>
      </w:r>
      <w:r>
        <w:rPr>
          <w:rFonts w:cs="Arial Unicode MS" w:eastAsia="Arial Unicode MS"/>
          <w:rtl w:val="0"/>
          <w:lang w:val="fr-FR"/>
        </w:rPr>
        <w:t>Orientation</w:t>
      </w:r>
      <w:r>
        <w:rPr>
          <w:rFonts w:cs="Arial Unicode MS" w:eastAsia="Arial Unicode MS" w:hint="default"/>
          <w:rtl w:val="1"/>
        </w:rPr>
        <w:t>’</w:t>
      </w:r>
      <w:r>
        <w:rPr>
          <w:rFonts w:cs="Arial Unicode MS" w:eastAsia="Arial Unicode MS"/>
          <w:rtl w:val="0"/>
        </w:rPr>
        <w:t>, p. 5</w:t>
      </w:r>
      <w:r>
        <w:rPr>
          <w:rFonts w:cs="Arial Unicode MS" w:eastAsia="Arial Unicode MS"/>
          <w:rtl w:val="0"/>
          <w:lang w:val="en-US"/>
        </w:rPr>
        <w:t>5.</w:t>
      </w:r>
    </w:p>
  </w:footnote>
  <w:footnote w:id="25">
    <w:p>
      <w:pPr>
        <w:pStyle w:val="Footnote"/>
        <w:bidi w:val="0"/>
      </w:pPr>
      <w:r>
        <w:rPr>
          <w:vertAlign w:val="superscript"/>
        </w:rPr>
        <w:footnoteRef/>
      </w:r>
      <w:r>
        <w:rPr>
          <w:rFonts w:cs="Arial Unicode MS" w:eastAsia="Arial Unicode MS"/>
          <w:rtl w:val="0"/>
          <w:lang w:val="en-US"/>
        </w:rPr>
        <w:t xml:space="preserve"> Shaw, </w:t>
      </w:r>
      <w:r>
        <w:rPr>
          <w:rFonts w:cs="Arial Unicode MS" w:eastAsia="Arial Unicode MS" w:hint="default"/>
          <w:rtl w:val="1"/>
        </w:rPr>
        <w:t>‘</w:t>
      </w:r>
      <w:r>
        <w:rPr>
          <w:rFonts w:cs="Arial Unicode MS" w:eastAsia="Arial Unicode MS"/>
          <w:rtl w:val="0"/>
          <w:lang w:val="fr-FR"/>
        </w:rPr>
        <w:t>Orientation</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p</w:t>
      </w:r>
      <w:r>
        <w:rPr>
          <w:rFonts w:cs="Arial Unicode MS" w:eastAsia="Arial Unicode MS"/>
          <w:rtl w:val="0"/>
        </w:rPr>
        <w:t>. 54</w:t>
      </w:r>
      <w:r>
        <w:rPr>
          <w:rFonts w:cs="Arial Unicode MS" w:eastAsia="Arial Unicode MS"/>
          <w:rtl w:val="0"/>
          <w:lang w:val="en-US"/>
        </w:rPr>
        <w:t>-55.</w:t>
      </w:r>
    </w:p>
  </w:footnote>
  <w:footnote w:id="26">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Doxtater, </w:t>
      </w:r>
      <w:r>
        <w:rPr>
          <w:rFonts w:cs="Arial Unicode MS" w:eastAsia="Arial Unicode MS" w:hint="default"/>
          <w:rtl w:val="1"/>
        </w:rPr>
        <w:t>‘</w:t>
      </w:r>
      <w:r>
        <w:rPr>
          <w:rFonts w:cs="Arial Unicode MS" w:eastAsia="Arial Unicode MS"/>
          <w:rtl w:val="0"/>
          <w:lang w:val="en-US"/>
        </w:rPr>
        <w:t>Rethinking</w:t>
      </w:r>
      <w:r>
        <w:rPr>
          <w:rFonts w:cs="Arial Unicode MS" w:eastAsia="Arial Unicode MS" w:hint="default"/>
          <w:rtl w:val="1"/>
        </w:rPr>
        <w:t>’</w:t>
      </w:r>
      <w:r>
        <w:rPr>
          <w:rFonts w:cs="Arial Unicode MS" w:eastAsia="Arial Unicode MS"/>
          <w:rtl w:val="0"/>
        </w:rPr>
        <w:t xml:space="preserve">, p. </w:t>
      </w:r>
      <w:r>
        <w:rPr>
          <w:rFonts w:cs="Arial Unicode MS" w:eastAsia="Arial Unicode MS"/>
          <w:rtl w:val="0"/>
          <w:lang w:val="en-US"/>
        </w:rPr>
        <w:t>1.</w:t>
      </w:r>
    </w:p>
  </w:footnote>
  <w:footnote w:id="2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Doxtater, </w:t>
      </w:r>
      <w:r>
        <w:rPr>
          <w:rFonts w:cs="Arial Unicode MS" w:eastAsia="Arial Unicode MS" w:hint="default"/>
          <w:rtl w:val="0"/>
          <w:lang w:val="en-US"/>
        </w:rPr>
        <w:t>‘</w:t>
      </w:r>
      <w:r>
        <w:rPr>
          <w:rFonts w:cs="Arial Unicode MS" w:eastAsia="Arial Unicode MS"/>
          <w:rtl w:val="0"/>
          <w:lang w:val="en-US"/>
        </w:rPr>
        <w:t>Rethinking</w:t>
      </w:r>
      <w:r>
        <w:rPr>
          <w:rFonts w:cs="Arial Unicode MS" w:eastAsia="Arial Unicode MS" w:hint="default"/>
          <w:rtl w:val="0"/>
          <w:lang w:val="en-US"/>
        </w:rPr>
        <w:t>’</w:t>
      </w:r>
      <w:r>
        <w:rPr>
          <w:rFonts w:cs="Arial Unicode MS" w:eastAsia="Arial Unicode MS"/>
          <w:rtl w:val="0"/>
          <w:lang w:val="en-US"/>
        </w:rPr>
        <w:t>, p. 9.</w:t>
      </w:r>
    </w:p>
  </w:footnote>
  <w:footnote w:id="28">
    <w:p>
      <w:pPr>
        <w:pStyle w:val="Footnote"/>
        <w:bidi w:val="0"/>
      </w:pPr>
      <w:r>
        <w:rPr>
          <w:vertAlign w:val="superscript"/>
        </w:rPr>
        <w:footnoteRef/>
      </w:r>
      <w:r>
        <w:rPr>
          <w:rFonts w:cs="Arial Unicode MS" w:eastAsia="Arial Unicode MS"/>
          <w:rtl w:val="0"/>
          <w:lang w:val="en-US"/>
        </w:rPr>
        <w:t xml:space="preserve"> Shaw, </w:t>
      </w:r>
      <w:r>
        <w:rPr>
          <w:rFonts w:cs="Arial Unicode MS" w:eastAsia="Arial Unicode MS" w:hint="default"/>
          <w:rtl w:val="1"/>
        </w:rPr>
        <w:t>‘</w:t>
      </w:r>
      <w:r>
        <w:rPr>
          <w:rFonts w:cs="Arial Unicode MS" w:eastAsia="Arial Unicode MS"/>
          <w:rtl w:val="0"/>
          <w:lang w:val="es-ES_tradnl"/>
        </w:rPr>
        <w:t>Elite</w:t>
      </w:r>
      <w:r>
        <w:rPr>
          <w:rFonts w:cs="Arial Unicode MS" w:eastAsia="Arial Unicode MS" w:hint="default"/>
          <w:rtl w:val="1"/>
        </w:rPr>
        <w:t>’</w:t>
      </w:r>
      <w:r>
        <w:rPr>
          <w:rFonts w:cs="Arial Unicode MS" w:eastAsia="Arial Unicode MS"/>
          <w:rtl w:val="0"/>
        </w:rPr>
        <w:t>, p. 2</w:t>
      </w:r>
      <w:r>
        <w:rPr>
          <w:rFonts w:cs="Arial Unicode MS" w:eastAsia="Arial Unicode MS"/>
          <w:rtl w:val="0"/>
          <w:lang w:val="en-US"/>
        </w:rPr>
        <w:t>4.</w:t>
      </w:r>
    </w:p>
  </w:footnote>
  <w:footnote w:id="2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Doxtater, </w:t>
      </w:r>
      <w:r>
        <w:rPr>
          <w:rFonts w:cs="Arial Unicode MS" w:eastAsia="Arial Unicode MS" w:hint="default"/>
          <w:rtl w:val="0"/>
          <w:lang w:val="en-US"/>
        </w:rPr>
        <w:t>‘</w:t>
      </w:r>
      <w:r>
        <w:rPr>
          <w:rFonts w:cs="Arial Unicode MS" w:eastAsia="Arial Unicode MS"/>
          <w:rtl w:val="0"/>
          <w:lang w:val="en-US"/>
        </w:rPr>
        <w:t>Rethinking</w:t>
      </w:r>
      <w:r>
        <w:rPr>
          <w:rFonts w:cs="Arial Unicode MS" w:eastAsia="Arial Unicode MS" w:hint="default"/>
          <w:rtl w:val="0"/>
          <w:lang w:val="en-US"/>
        </w:rPr>
        <w:t>’</w:t>
      </w:r>
      <w:r>
        <w:rPr>
          <w:rFonts w:cs="Arial Unicode MS" w:eastAsia="Arial Unicode MS"/>
          <w:rtl w:val="0"/>
          <w:lang w:val="en-US"/>
        </w:rPr>
        <w:t>, p. 2.</w:t>
      </w:r>
    </w:p>
  </w:footnote>
  <w:footnote w:id="30">
    <w:p>
      <w:pPr>
        <w:pStyle w:val="Footnote"/>
        <w:bidi w:val="0"/>
      </w:pPr>
      <w:r>
        <w:rPr>
          <w:vertAlign w:val="superscript"/>
        </w:rPr>
        <w:footnoteRef/>
      </w:r>
      <w:r>
        <w:rPr>
          <w:rFonts w:cs="Arial Unicode MS" w:eastAsia="Arial Unicode MS"/>
          <w:rtl w:val="0"/>
          <w:lang w:val="en-US"/>
        </w:rPr>
        <w:t xml:space="preserve"> Mary</w:t>
      </w:r>
      <w:r>
        <w:rPr>
          <w:rFonts w:cs="Arial Unicode MS" w:eastAsia="Arial Unicode MS"/>
          <w:rtl w:val="0"/>
          <w:lang w:val="en-US"/>
        </w:rPr>
        <w:t xml:space="preserve"> </w:t>
      </w:r>
      <w:r>
        <w:rPr>
          <w:rFonts w:cs="Arial Unicode MS" w:eastAsia="Arial Unicode MS"/>
          <w:rtl w:val="0"/>
          <w:lang w:val="en-US"/>
        </w:rPr>
        <w:t>Blomberg and G</w:t>
      </w:r>
      <w:r>
        <w:rPr>
          <w:rFonts w:cs="Arial Unicode MS" w:eastAsia="Arial Unicode MS" w:hint="default"/>
          <w:rtl w:val="0"/>
          <w:lang w:val="sv-SE"/>
        </w:rPr>
        <w:t>ö</w:t>
      </w:r>
      <w:r>
        <w:rPr>
          <w:rFonts w:cs="Arial Unicode MS" w:eastAsia="Arial Unicode MS"/>
          <w:rtl w:val="0"/>
        </w:rPr>
        <w:t xml:space="preserve">ran Henriksson, </w:t>
      </w:r>
      <w:r>
        <w:rPr>
          <w:rFonts w:cs="Arial Unicode MS" w:eastAsia="Arial Unicode MS" w:hint="default"/>
          <w:rtl w:val="0"/>
          <w:lang w:val="en-US"/>
        </w:rPr>
        <w:t>‘</w:t>
      </w:r>
      <w:r>
        <w:rPr>
          <w:rFonts w:cs="Arial Unicode MS" w:eastAsia="Arial Unicode MS"/>
          <w:rtl w:val="0"/>
          <w:lang w:val="en-US"/>
        </w:rPr>
        <w:t>Orientations of the Minoan Palace at Phaistos in Crete</w:t>
      </w:r>
      <w:r>
        <w:rPr>
          <w:rFonts w:cs="Arial Unicode MS" w:eastAsia="Arial Unicode MS" w:hint="default"/>
          <w:rtl w:val="0"/>
          <w:lang w:val="en-US"/>
        </w:rPr>
        <w:t>’</w:t>
      </w:r>
      <w:r>
        <w:rPr>
          <w:rFonts w:cs="Arial Unicode MS" w:eastAsia="Arial Unicode MS"/>
          <w:rtl w:val="0"/>
        </w:rPr>
        <w:t xml:space="preserve">, </w:t>
      </w:r>
      <w:r>
        <w:rPr>
          <w:rFonts w:cs="Arial Unicode MS" w:eastAsia="Arial Unicode MS"/>
          <w:i w:val="1"/>
          <w:iCs w:val="1"/>
          <w:rtl w:val="0"/>
          <w:lang w:val="en-US"/>
        </w:rPr>
        <w:t>Ancient watching of cosmic space and observation of astronomical phenomena 6-10 April, 2006, Rhodes, Greece</w:t>
      </w:r>
      <w:r>
        <w:rPr>
          <w:rFonts w:cs="Arial Unicode MS" w:eastAsia="Arial Unicode MS"/>
          <w:rtl w:val="0"/>
        </w:rPr>
        <w:t xml:space="preserve"> (2007), </w:t>
      </w:r>
      <w:r>
        <w:rPr>
          <w:rFonts w:cs="Arial Unicode MS" w:eastAsia="Arial Unicode MS"/>
          <w:rtl w:val="0"/>
          <w:lang w:val="en-US"/>
        </w:rPr>
        <w:t xml:space="preserve">p. </w:t>
      </w:r>
      <w:r>
        <w:rPr>
          <w:rFonts w:cs="Arial Unicode MS" w:eastAsia="Arial Unicode MS"/>
          <w:rtl w:val="0"/>
        </w:rPr>
        <w:t>18</w:t>
      </w:r>
      <w:r>
        <w:rPr>
          <w:rFonts w:cs="Arial Unicode MS" w:eastAsia="Arial Unicode MS"/>
          <w:rtl w:val="0"/>
          <w:lang w:val="en-US"/>
        </w:rPr>
        <w:t>6.</w:t>
      </w:r>
    </w:p>
  </w:footnote>
  <w:footnote w:id="31">
    <w:p>
      <w:pPr>
        <w:pStyle w:val="Footnote"/>
        <w:bidi w:val="0"/>
      </w:pPr>
      <w:r>
        <w:rPr>
          <w:vertAlign w:val="superscript"/>
        </w:rPr>
        <w:footnoteRef/>
      </w:r>
      <w:r>
        <w:rPr>
          <w:rFonts w:cs="Arial Unicode MS" w:eastAsia="Arial Unicode MS"/>
          <w:rtl w:val="0"/>
        </w:rPr>
        <w:t xml:space="preserve"> Blomberg and Henriksson, </w:t>
      </w:r>
      <w:r>
        <w:rPr>
          <w:rFonts w:cs="Arial Unicode MS" w:eastAsia="Arial Unicode MS" w:hint="default"/>
          <w:rtl w:val="1"/>
        </w:rPr>
        <w:t>‘</w:t>
      </w:r>
      <w:r>
        <w:rPr>
          <w:rFonts w:cs="Arial Unicode MS" w:eastAsia="Arial Unicode MS"/>
          <w:rtl w:val="0"/>
        </w:rPr>
        <w:t>Phaistos</w:t>
      </w:r>
      <w:r>
        <w:rPr>
          <w:rFonts w:cs="Arial Unicode MS" w:eastAsia="Arial Unicode MS" w:hint="default"/>
          <w:rtl w:val="1"/>
        </w:rPr>
        <w:t>’</w:t>
      </w:r>
      <w:r>
        <w:rPr>
          <w:rFonts w:cs="Arial Unicode MS" w:eastAsia="Arial Unicode MS"/>
          <w:rtl w:val="0"/>
        </w:rPr>
        <w:t xml:space="preserve">, </w:t>
      </w:r>
      <w:r>
        <w:rPr>
          <w:rFonts w:cs="Arial Unicode MS" w:eastAsia="Arial Unicode MS"/>
          <w:rtl w:val="0"/>
          <w:lang w:val="en-US"/>
        </w:rPr>
        <w:t xml:space="preserve">p. </w:t>
      </w:r>
      <w:r>
        <w:rPr>
          <w:rFonts w:cs="Arial Unicode MS" w:eastAsia="Arial Unicode MS"/>
          <w:rtl w:val="0"/>
        </w:rPr>
        <w:t>1</w:t>
      </w:r>
      <w:r>
        <w:rPr>
          <w:rFonts w:cs="Arial Unicode MS" w:eastAsia="Arial Unicode MS"/>
          <w:rtl w:val="0"/>
          <w:lang w:val="en-US"/>
        </w:rPr>
        <w:t>90-191.</w:t>
      </w:r>
    </w:p>
  </w:footnote>
  <w:footnote w:id="3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Mary </w:t>
      </w:r>
      <w:r>
        <w:rPr>
          <w:rFonts w:cs="Arial Unicode MS" w:eastAsia="Arial Unicode MS"/>
          <w:rtl w:val="0"/>
          <w:lang w:val="en-US"/>
        </w:rPr>
        <w:t>Blomberg and G</w:t>
      </w:r>
      <w:r>
        <w:rPr>
          <w:rFonts w:cs="Arial Unicode MS" w:eastAsia="Arial Unicode MS" w:hint="default"/>
          <w:rtl w:val="0"/>
          <w:lang w:val="sv-SE"/>
        </w:rPr>
        <w:t>ö</w:t>
      </w:r>
      <w:r>
        <w:rPr>
          <w:rFonts w:cs="Arial Unicode MS" w:eastAsia="Arial Unicode MS"/>
          <w:rtl w:val="0"/>
        </w:rPr>
        <w:t xml:space="preserve">ran Henriksson. </w:t>
      </w:r>
      <w:r>
        <w:rPr>
          <w:rFonts w:cs="Arial Unicode MS" w:eastAsia="Arial Unicode MS" w:hint="default"/>
          <w:rtl w:val="0"/>
          <w:lang w:val="en-US"/>
        </w:rPr>
        <w:t>‘</w:t>
      </w:r>
      <w:r>
        <w:rPr>
          <w:rFonts w:cs="Arial Unicode MS" w:eastAsia="Arial Unicode MS"/>
          <w:rtl w:val="0"/>
          <w:lang w:val="en-US"/>
        </w:rPr>
        <w:t>Crossing Geographical Borders from Minoan Crete</w:t>
      </w:r>
      <w:r>
        <w:rPr>
          <w:rFonts w:cs="Arial Unicode MS" w:eastAsia="Arial Unicode MS" w:hint="default"/>
          <w:rtl w:val="0"/>
          <w:lang w:val="en-US"/>
        </w:rPr>
        <w:t>’</w:t>
      </w:r>
      <w:r>
        <w:rPr>
          <w:rFonts w:cs="Arial Unicode MS" w:eastAsia="Arial Unicode MS"/>
          <w:rtl w:val="0"/>
          <w:lang w:val="en-US"/>
        </w:rPr>
        <w:t xml:space="preserve"> In </w:t>
      </w:r>
      <w:r>
        <w:rPr>
          <w:rFonts w:cs="Arial Unicode MS" w:eastAsia="Arial Unicode MS"/>
          <w:i w:val="1"/>
          <w:iCs w:val="1"/>
          <w:rtl w:val="0"/>
          <w:lang w:val="en-US"/>
        </w:rPr>
        <w:t>Crossing Borders: Trade and Production in Premonetary Greece. Proceedings of the 7th, 8th and 9th International Workshops, Athens</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rPr>
        <w:t>1997</w:t>
      </w:r>
      <w:r>
        <w:rPr>
          <w:rFonts w:cs="Arial Unicode MS" w:eastAsia="Arial Unicode MS"/>
          <w:rtl w:val="0"/>
          <w:lang w:val="en-US"/>
        </w:rPr>
        <w:t>). p. 193.</w:t>
      </w:r>
    </w:p>
  </w:footnote>
  <w:footnote w:id="33">
    <w:p>
      <w:pPr>
        <w:pStyle w:val="Footnote"/>
        <w:bidi w:val="0"/>
      </w:pPr>
      <w:r>
        <w:rPr>
          <w:vertAlign w:val="superscript"/>
        </w:rPr>
        <w:footnoteRef/>
      </w:r>
      <w:r>
        <w:rPr>
          <w:rFonts w:cs="Arial Unicode MS" w:eastAsia="Arial Unicode MS"/>
          <w:rtl w:val="0"/>
        </w:rPr>
        <w:t xml:space="preserve"> G</w:t>
      </w:r>
      <w:r>
        <w:rPr>
          <w:rFonts w:cs="Arial Unicode MS" w:eastAsia="Arial Unicode MS" w:hint="default"/>
          <w:rtl w:val="0"/>
          <w:lang w:val="sv-SE"/>
        </w:rPr>
        <w:t>ö</w:t>
      </w:r>
      <w:r>
        <w:rPr>
          <w:rFonts w:cs="Arial Unicode MS" w:eastAsia="Arial Unicode MS"/>
          <w:rtl w:val="0"/>
        </w:rPr>
        <w:t>ran</w:t>
      </w:r>
      <w:r>
        <w:rPr>
          <w:rFonts w:cs="Arial Unicode MS" w:eastAsia="Arial Unicode MS"/>
          <w:rtl w:val="0"/>
          <w:lang w:val="en-US"/>
        </w:rPr>
        <w:t xml:space="preserve"> </w:t>
      </w:r>
      <w:r>
        <w:rPr>
          <w:rFonts w:cs="Arial Unicode MS" w:eastAsia="Arial Unicode MS"/>
          <w:rtl w:val="0"/>
        </w:rPr>
        <w:t xml:space="preserve">Henriksson and Mary Blomberg, </w:t>
      </w:r>
      <w:r>
        <w:rPr>
          <w:rFonts w:cs="Arial Unicode MS" w:eastAsia="Arial Unicode MS"/>
          <w:i w:val="1"/>
          <w:iCs w:val="1"/>
          <w:rtl w:val="0"/>
          <w:lang w:val="en-US"/>
        </w:rPr>
        <w:t>Evidence for Minoan Astronomical Observations from the Peak Sanctuaries on Petsophas and Traostalos</w:t>
      </w:r>
      <w:r>
        <w:rPr>
          <w:rFonts w:cs="Arial Unicode MS" w:eastAsia="Arial Unicode MS"/>
          <w:rtl w:val="0"/>
        </w:rPr>
        <w:t xml:space="preserve"> (1996) p</w:t>
      </w:r>
      <w:r>
        <w:rPr>
          <w:rFonts w:cs="Arial Unicode MS" w:eastAsia="Arial Unicode MS"/>
          <w:rtl w:val="0"/>
          <w:lang w:val="en-US"/>
        </w:rPr>
        <w:t>p.</w:t>
      </w:r>
      <w:r>
        <w:rPr>
          <w:rFonts w:cs="Arial Unicode MS" w:eastAsia="Arial Unicode MS"/>
          <w:rtl w:val="0"/>
        </w:rPr>
        <w:t xml:space="preserve"> 111</w:t>
      </w:r>
      <w:r>
        <w:rPr>
          <w:rFonts w:cs="Arial Unicode MS" w:eastAsia="Arial Unicode MS"/>
          <w:rtl w:val="0"/>
          <w:lang w:val="en-US"/>
        </w:rPr>
        <w:t xml:space="preserve">, </w:t>
      </w:r>
      <w:r>
        <w:rPr>
          <w:rFonts w:cs="Arial Unicode MS" w:eastAsia="Arial Unicode MS"/>
          <w:rtl w:val="0"/>
        </w:rPr>
        <w:t>114</w:t>
      </w:r>
      <w:r>
        <w:rPr>
          <w:rFonts w:cs="Arial Unicode MS" w:eastAsia="Arial Unicode MS"/>
          <w:rtl w:val="0"/>
          <w:lang w:val="en-US"/>
        </w:rPr>
        <w:t>.</w:t>
      </w:r>
    </w:p>
  </w:footnote>
  <w:footnote w:id="3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Aratus</w:t>
      </w:r>
      <w:r>
        <w:rPr>
          <w:rFonts w:cs="Arial Unicode MS" w:eastAsia="Arial Unicode MS"/>
          <w:rtl w:val="0"/>
        </w:rPr>
        <w:t xml:space="preserve">, </w:t>
      </w:r>
      <w:r>
        <w:rPr>
          <w:rFonts w:cs="Arial Unicode MS" w:eastAsia="Arial Unicode MS"/>
          <w:i w:val="1"/>
          <w:iCs w:val="1"/>
          <w:rtl w:val="0"/>
          <w:lang w:val="en-US"/>
        </w:rPr>
        <w:t>The Phenomena</w:t>
      </w:r>
      <w:r>
        <w:rPr>
          <w:rFonts w:cs="Arial Unicode MS" w:eastAsia="Arial Unicode MS"/>
          <w:rtl w:val="0"/>
          <w:lang w:val="en-US"/>
        </w:rPr>
        <w:t xml:space="preserve">  </w:t>
      </w:r>
      <w:r>
        <w:rPr>
          <w:rFonts w:cs="Arial Unicode MS" w:eastAsia="Arial Unicode MS"/>
          <w:rtl w:val="0"/>
          <w:lang w:val="ru-RU"/>
        </w:rPr>
        <w:t>744-747</w:t>
      </w:r>
      <w:r>
        <w:rPr>
          <w:rFonts w:cs="Arial Unicode MS" w:eastAsia="Arial Unicode MS"/>
          <w:rtl w:val="0"/>
          <w:lang w:val="en-US"/>
        </w:rPr>
        <w:t xml:space="preserve">; and </w:t>
      </w:r>
      <w:r>
        <w:rPr>
          <w:rFonts w:cs="Arial Unicode MS" w:eastAsia="Arial Unicode MS"/>
          <w:rtl w:val="0"/>
        </w:rPr>
        <w:t>Blomberg</w:t>
      </w:r>
      <w:r>
        <w:rPr>
          <w:rFonts w:cs="Arial Unicode MS" w:eastAsia="Arial Unicode MS"/>
          <w:rtl w:val="0"/>
          <w:lang w:val="en-US"/>
        </w:rPr>
        <w:t xml:space="preserve"> and </w:t>
      </w:r>
      <w:r>
        <w:rPr>
          <w:rFonts w:cs="Arial Unicode MS" w:eastAsia="Arial Unicode MS"/>
          <w:rtl w:val="0"/>
        </w:rPr>
        <w:t xml:space="preserve">Henriksson, </w:t>
      </w:r>
      <w:r>
        <w:rPr>
          <w:rFonts w:cs="Arial Unicode MS" w:eastAsia="Arial Unicode MS" w:hint="default"/>
          <w:rtl w:val="1"/>
        </w:rPr>
        <w:t>‘</w:t>
      </w:r>
      <w:r>
        <w:rPr>
          <w:rFonts w:cs="Arial Unicode MS" w:eastAsia="Arial Unicode MS"/>
          <w:i w:val="1"/>
          <w:iCs w:val="1"/>
          <w:rtl w:val="0"/>
          <w:lang w:val="en-US"/>
        </w:rPr>
        <w:t>Evidence</w:t>
      </w:r>
      <w:r>
        <w:rPr>
          <w:rFonts w:cs="Arial Unicode MS" w:eastAsia="Arial Unicode MS" w:hint="default"/>
          <w:rtl w:val="1"/>
        </w:rPr>
        <w:t>’</w:t>
      </w:r>
      <w:r>
        <w:rPr>
          <w:rFonts w:cs="Arial Unicode MS" w:eastAsia="Arial Unicode MS"/>
          <w:rtl w:val="0"/>
        </w:rPr>
        <w:t>, p. 1</w:t>
      </w:r>
      <w:r>
        <w:rPr>
          <w:rFonts w:cs="Arial Unicode MS" w:eastAsia="Arial Unicode MS"/>
          <w:rtl w:val="0"/>
          <w:lang w:val="en-US"/>
        </w:rPr>
        <w:t>13.</w:t>
      </w:r>
    </w:p>
  </w:footnote>
  <w:footnote w:id="35">
    <w:p>
      <w:pPr>
        <w:pStyle w:val="Footnote"/>
        <w:bidi w:val="0"/>
      </w:pPr>
      <w:r>
        <w:rPr>
          <w:vertAlign w:val="superscript"/>
        </w:rPr>
        <w:footnoteRef/>
      </w:r>
      <w:r>
        <w:rPr>
          <w:rFonts w:cs="Arial Unicode MS" w:eastAsia="Arial Unicode MS"/>
          <w:rtl w:val="0"/>
          <w:lang w:val="en-US"/>
        </w:rPr>
        <w:t xml:space="preserve"> Mary</w:t>
      </w:r>
      <w:r>
        <w:rPr>
          <w:rFonts w:cs="Arial Unicode MS" w:eastAsia="Arial Unicode MS"/>
          <w:rtl w:val="0"/>
          <w:lang w:val="en-US"/>
        </w:rPr>
        <w:t xml:space="preserve"> </w:t>
      </w:r>
      <w:r>
        <w:rPr>
          <w:rFonts w:cs="Arial Unicode MS" w:eastAsia="Arial Unicode MS"/>
          <w:rtl w:val="0"/>
          <w:lang w:val="en-US"/>
        </w:rPr>
        <w:t>Blomberg and G</w:t>
      </w:r>
      <w:r>
        <w:rPr>
          <w:rFonts w:cs="Arial Unicode MS" w:eastAsia="Arial Unicode MS" w:hint="default"/>
          <w:rtl w:val="0"/>
          <w:lang w:val="sv-SE"/>
        </w:rPr>
        <w:t>ö</w:t>
      </w:r>
      <w:r>
        <w:rPr>
          <w:rFonts w:cs="Arial Unicode MS" w:eastAsia="Arial Unicode MS"/>
          <w:rtl w:val="0"/>
        </w:rPr>
        <w:t xml:space="preserve">ran Henriksson, </w:t>
      </w:r>
      <w:r>
        <w:rPr>
          <w:rFonts w:cs="Arial Unicode MS" w:eastAsia="Arial Unicode MS" w:hint="default"/>
          <w:rtl w:val="1"/>
        </w:rPr>
        <w:t>‘</w:t>
      </w:r>
      <w:r>
        <w:rPr>
          <w:rFonts w:cs="Arial Unicode MS" w:eastAsia="Arial Unicode MS"/>
          <w:rtl w:val="0"/>
          <w:lang w:val="en-US"/>
        </w:rPr>
        <w:t>Evidence for the Minoan Origins of Stellar Navigation in the Aegean</w:t>
      </w:r>
      <w:r>
        <w:rPr>
          <w:rFonts w:cs="Arial Unicode MS" w:eastAsia="Arial Unicode MS" w:hint="default"/>
          <w:rtl w:val="1"/>
        </w:rPr>
        <w:t xml:space="preserve">’ </w:t>
      </w:r>
      <w:r>
        <w:rPr>
          <w:rFonts w:cs="Arial Unicode MS" w:eastAsia="Arial Unicode MS"/>
          <w:rtl w:val="0"/>
        </w:rPr>
        <w:t>(1999)</w:t>
      </w:r>
      <w:r>
        <w:rPr>
          <w:rFonts w:cs="Arial Unicode MS" w:eastAsia="Arial Unicode MS"/>
          <w:rtl w:val="0"/>
          <w:lang w:val="en-US"/>
        </w:rPr>
        <w:t xml:space="preserve"> pp.</w:t>
      </w:r>
      <w:r>
        <w:rPr>
          <w:rFonts w:cs="Arial Unicode MS" w:eastAsia="Arial Unicode MS"/>
          <w:rtl w:val="0"/>
        </w:rPr>
        <w:t xml:space="preserve"> 76-77</w:t>
      </w:r>
      <w:r>
        <w:rPr>
          <w:rFonts w:cs="Arial Unicode MS" w:eastAsia="Arial Unicode MS"/>
          <w:rtl w:val="0"/>
          <w:lang w:val="en-US"/>
        </w:rPr>
        <w:t xml:space="preserve">; and </w:t>
      </w:r>
      <w:r>
        <w:rPr>
          <w:rFonts w:cs="Arial Unicode MS" w:eastAsia="Arial Unicode MS"/>
          <w:rtl w:val="0"/>
          <w:lang w:val="it-IT"/>
        </w:rPr>
        <w:t>Lionel Casson</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Ships and Seamanship in the Ancient World, Princeton, New</w:t>
      </w:r>
      <w:r>
        <w:rPr>
          <w:rFonts w:cs="Arial Unicode MS" w:eastAsia="Arial Unicode MS"/>
          <w:i w:val="1"/>
          <w:iCs w:val="1"/>
          <w:rtl w:val="0"/>
          <w:lang w:val="en-US"/>
        </w:rPr>
        <w:t xml:space="preserve"> J</w:t>
      </w:r>
      <w:r>
        <w:rPr>
          <w:rFonts w:cs="Arial Unicode MS" w:eastAsia="Arial Unicode MS"/>
          <w:i w:val="1"/>
          <w:iCs w:val="1"/>
          <w:rtl w:val="0"/>
          <w:lang w:val="en-US"/>
        </w:rPr>
        <w:t>ersey</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lang w:val="en-US"/>
        </w:rPr>
        <w:t>Princeton University Press, 1971</w:t>
      </w:r>
      <w:r>
        <w:rPr>
          <w:rFonts w:cs="Arial Unicode MS" w:eastAsia="Arial Unicode MS"/>
          <w:rtl w:val="0"/>
          <w:lang w:val="en-US"/>
        </w:rPr>
        <w:t xml:space="preserve">), p. </w:t>
      </w:r>
      <w:r>
        <w:rPr>
          <w:rFonts w:cs="Arial Unicode MS" w:eastAsia="Arial Unicode MS"/>
          <w:rtl w:val="0"/>
        </w:rPr>
        <w:t>27</w:t>
      </w:r>
      <w:r>
        <w:rPr>
          <w:rFonts w:cs="Arial Unicode MS" w:eastAsia="Arial Unicode MS"/>
          <w:rtl w:val="0"/>
          <w:lang w:val="en-US"/>
        </w:rPr>
        <w:t xml:space="preserve">0; and Hesiod, </w:t>
      </w:r>
      <w:r>
        <w:rPr>
          <w:rFonts w:cs="Arial Unicode MS" w:eastAsia="Arial Unicode MS"/>
          <w:i w:val="1"/>
          <w:iCs w:val="1"/>
          <w:rtl w:val="0"/>
          <w:lang w:val="en-US"/>
        </w:rPr>
        <w:t>Works and Days</w:t>
      </w:r>
      <w:r>
        <w:rPr>
          <w:rFonts w:cs="Arial Unicode MS" w:eastAsia="Arial Unicode MS"/>
          <w:rtl w:val="0"/>
          <w:lang w:val="en-US"/>
        </w:rPr>
        <w:t xml:space="preserve">, 663-665; and Vegetius, </w:t>
      </w:r>
      <w:r>
        <w:rPr>
          <w:rFonts w:cs="Arial Unicode MS" w:eastAsia="Arial Unicode MS"/>
          <w:i w:val="1"/>
          <w:iCs w:val="1"/>
          <w:rtl w:val="0"/>
          <w:lang w:val="en-US"/>
        </w:rPr>
        <w:t>De Re Militari</w:t>
      </w:r>
      <w:r>
        <w:rPr>
          <w:rFonts w:cs="Arial Unicode MS" w:eastAsia="Arial Unicode MS"/>
          <w:rtl w:val="0"/>
          <w:lang w:val="en-US"/>
        </w:rPr>
        <w:t>, 4.39</w:t>
      </w:r>
    </w:p>
  </w:footnote>
  <w:footnote w:id="36">
    <w:p>
      <w:pPr>
        <w:pStyle w:val="Footnote"/>
        <w:bidi w:val="0"/>
      </w:pPr>
      <w:r>
        <w:rPr>
          <w:vertAlign w:val="superscript"/>
        </w:rPr>
        <w:footnoteRef/>
      </w:r>
      <w:r>
        <w:rPr>
          <w:rFonts w:cs="Arial Unicode MS" w:eastAsia="Arial Unicode MS"/>
          <w:rtl w:val="0"/>
        </w:rPr>
        <w:t xml:space="preserve"> Blomberg</w:t>
      </w:r>
      <w:r>
        <w:rPr>
          <w:rFonts w:cs="Arial Unicode MS" w:eastAsia="Arial Unicode MS"/>
          <w:rtl w:val="0"/>
          <w:lang w:val="en-US"/>
        </w:rPr>
        <w:t xml:space="preserve"> and </w:t>
      </w:r>
      <w:r>
        <w:rPr>
          <w:rFonts w:cs="Arial Unicode MS" w:eastAsia="Arial Unicode MS"/>
          <w:rtl w:val="0"/>
        </w:rPr>
        <w:t xml:space="preserve">Henriksson, </w:t>
      </w:r>
      <w:r>
        <w:rPr>
          <w:rFonts w:cs="Arial Unicode MS" w:eastAsia="Arial Unicode MS" w:hint="default"/>
          <w:rtl w:val="1"/>
        </w:rPr>
        <w:t>‘</w:t>
      </w:r>
      <w:r>
        <w:rPr>
          <w:rFonts w:cs="Arial Unicode MS" w:eastAsia="Arial Unicode MS"/>
          <w:i w:val="1"/>
          <w:iCs w:val="1"/>
          <w:rtl w:val="0"/>
          <w:lang w:val="en-US"/>
        </w:rPr>
        <w:t>Evidence</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p.</w:t>
      </w:r>
      <w:r>
        <w:rPr>
          <w:rFonts w:cs="Arial Unicode MS" w:eastAsia="Arial Unicode MS"/>
          <w:rtl w:val="0"/>
        </w:rPr>
        <w:t xml:space="preserve"> 111</w:t>
      </w:r>
      <w:r>
        <w:rPr>
          <w:rFonts w:cs="Arial Unicode MS" w:eastAsia="Arial Unicode MS"/>
          <w:rtl w:val="0"/>
          <w:lang w:val="en-US"/>
        </w:rPr>
        <w:t xml:space="preserve">, </w:t>
      </w:r>
      <w:r>
        <w:rPr>
          <w:rFonts w:cs="Arial Unicode MS" w:eastAsia="Arial Unicode MS"/>
          <w:rtl w:val="0"/>
        </w:rPr>
        <w:t>114</w:t>
      </w:r>
      <w:r>
        <w:rPr>
          <w:rFonts w:cs="Arial Unicode MS" w:eastAsia="Arial Unicode MS"/>
          <w:rtl w:val="0"/>
          <w:lang w:val="en-US"/>
        </w:rPr>
        <w:t>.</w:t>
      </w:r>
    </w:p>
  </w:footnote>
  <w:footnote w:id="37">
    <w:p>
      <w:pPr>
        <w:pStyle w:val="Footnote"/>
        <w:bidi w:val="0"/>
      </w:pPr>
      <w:r>
        <w:rPr>
          <w:vertAlign w:val="superscript"/>
        </w:rPr>
        <w:footnoteRef/>
      </w:r>
      <w:r>
        <w:rPr>
          <w:rFonts w:cs="Arial Unicode MS" w:eastAsia="Arial Unicode MS"/>
          <w:rtl w:val="0"/>
          <w:lang w:val="en-US"/>
        </w:rPr>
        <w:t xml:space="preserve"> Shaw, </w:t>
      </w:r>
      <w:r>
        <w:rPr>
          <w:rFonts w:cs="Arial Unicode MS" w:eastAsia="Arial Unicode MS" w:hint="default"/>
          <w:rtl w:val="1"/>
        </w:rPr>
        <w:t>‘</w:t>
      </w:r>
      <w:r>
        <w:rPr>
          <w:rFonts w:cs="Arial Unicode MS" w:eastAsia="Arial Unicode MS"/>
          <w:rtl w:val="0"/>
          <w:lang w:val="fr-FR"/>
        </w:rPr>
        <w:t>Orientation</w:t>
      </w:r>
      <w:r>
        <w:rPr>
          <w:rFonts w:cs="Arial Unicode MS" w:eastAsia="Arial Unicode MS" w:hint="default"/>
          <w:rtl w:val="1"/>
        </w:rPr>
        <w:t>’</w:t>
      </w:r>
      <w:r>
        <w:rPr>
          <w:rFonts w:cs="Arial Unicode MS" w:eastAsia="Arial Unicode MS"/>
          <w:rtl w:val="0"/>
        </w:rPr>
        <w:t>, p. 5</w:t>
      </w:r>
      <w:r>
        <w:rPr>
          <w:rFonts w:cs="Arial Unicode MS" w:eastAsia="Arial Unicode MS"/>
          <w:rtl w:val="0"/>
          <w:lang w:val="en-US"/>
        </w:rPr>
        <w:t>5.</w:t>
      </w:r>
    </w:p>
  </w:footnote>
  <w:footnote w:id="38">
    <w:p>
      <w:pPr>
        <w:pStyle w:val="Footnote"/>
        <w:bidi w:val="0"/>
      </w:pPr>
      <w:r>
        <w:rPr>
          <w:vertAlign w:val="superscript"/>
        </w:rPr>
        <w:footnoteRef/>
      </w:r>
      <w:r>
        <w:rPr>
          <w:rFonts w:cs="Arial Unicode MS" w:eastAsia="Arial Unicode MS"/>
          <w:rtl w:val="0"/>
          <w:lang w:val="da-DK"/>
        </w:rPr>
        <w:t xml:space="preserve"> Dennis</w:t>
      </w:r>
      <w:r>
        <w:rPr>
          <w:rFonts w:cs="Arial Unicode MS" w:eastAsia="Arial Unicode MS"/>
          <w:rtl w:val="0"/>
          <w:lang w:val="en-US"/>
        </w:rPr>
        <w:t xml:space="preserve"> </w:t>
      </w:r>
      <w:r>
        <w:rPr>
          <w:rFonts w:cs="Arial Unicode MS" w:eastAsia="Arial Unicode MS"/>
          <w:rtl w:val="0"/>
          <w:lang w:val="en-US"/>
        </w:rPr>
        <w:t xml:space="preserve">Doxtater, </w:t>
      </w:r>
      <w:r>
        <w:rPr>
          <w:rFonts w:cs="Arial Unicode MS" w:eastAsia="Arial Unicode MS" w:hint="default"/>
          <w:rtl w:val="1"/>
        </w:rPr>
        <w:t>‘</w:t>
      </w:r>
      <w:r>
        <w:rPr>
          <w:rFonts w:cs="Arial Unicode MS" w:eastAsia="Arial Unicode MS"/>
          <w:rtl w:val="0"/>
          <w:lang w:val="en-US"/>
        </w:rPr>
        <w:t xml:space="preserve">Rethinking the Sacred Landscape Minoan Palaces in a Georitual Framework of Natural Features on Crete', </w:t>
      </w:r>
      <w:r>
        <w:rPr>
          <w:rFonts w:cs="Arial Unicode MS" w:eastAsia="Arial Unicode MS"/>
          <w:i w:val="1"/>
          <w:iCs w:val="1"/>
          <w:rtl w:val="0"/>
          <w:lang w:val="en-US"/>
        </w:rPr>
        <w:t>Landscape Journal</w:t>
      </w:r>
      <w:r>
        <w:rPr>
          <w:rFonts w:cs="Arial Unicode MS" w:eastAsia="Arial Unicode MS"/>
          <w:rtl w:val="0"/>
        </w:rPr>
        <w:t>, 28: (2009), 1-21.</w:t>
      </w:r>
    </w:p>
  </w:footnote>
  <w:footnote w:id="39">
    <w:p>
      <w:pPr>
        <w:pStyle w:val="Footnote"/>
        <w:bidi w:val="0"/>
      </w:pPr>
      <w:r>
        <w:rPr>
          <w:vertAlign w:val="superscript"/>
        </w:rPr>
        <w:footnoteRef/>
      </w:r>
      <w:r>
        <w:rPr>
          <w:rFonts w:cs="Arial Unicode MS" w:eastAsia="Arial Unicode MS"/>
          <w:rtl w:val="0"/>
        </w:rPr>
        <w:t xml:space="preserve"> Blomberg</w:t>
      </w:r>
      <w:r>
        <w:rPr>
          <w:rFonts w:cs="Arial Unicode MS" w:eastAsia="Arial Unicode MS"/>
          <w:rtl w:val="0"/>
          <w:lang w:val="en-US"/>
        </w:rPr>
        <w:t xml:space="preserve"> and </w:t>
      </w:r>
      <w:r>
        <w:rPr>
          <w:rFonts w:cs="Arial Unicode MS" w:eastAsia="Arial Unicode MS"/>
          <w:rtl w:val="0"/>
        </w:rPr>
        <w:t xml:space="preserve">Henriksson, </w:t>
      </w:r>
      <w:r>
        <w:rPr>
          <w:rFonts w:cs="Arial Unicode MS" w:eastAsia="Arial Unicode MS" w:hint="default"/>
          <w:rtl w:val="1"/>
        </w:rPr>
        <w:t>‘</w:t>
      </w:r>
      <w:r>
        <w:rPr>
          <w:rFonts w:cs="Arial Unicode MS" w:eastAsia="Arial Unicode MS"/>
          <w:rtl w:val="0"/>
          <w:lang w:val="en-US"/>
        </w:rPr>
        <w:t>Evidence</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p.</w:t>
      </w:r>
      <w:r>
        <w:rPr>
          <w:rFonts w:cs="Arial Unicode MS" w:eastAsia="Arial Unicode MS"/>
          <w:rtl w:val="0"/>
        </w:rPr>
        <w:t xml:space="preserve"> 111</w:t>
      </w:r>
      <w:r>
        <w:rPr>
          <w:rFonts w:cs="Arial Unicode MS" w:eastAsia="Arial Unicode MS"/>
          <w:rtl w:val="0"/>
          <w:lang w:val="en-US"/>
        </w:rPr>
        <w:t xml:space="preserve">, </w:t>
      </w:r>
      <w:r>
        <w:rPr>
          <w:rFonts w:cs="Arial Unicode MS" w:eastAsia="Arial Unicode MS"/>
          <w:rtl w:val="0"/>
        </w:rPr>
        <w:t>114</w:t>
      </w:r>
      <w:r>
        <w:rPr>
          <w:rFonts w:cs="Arial Unicode MS" w:eastAsia="Arial Unicode MS"/>
          <w:rtl w:val="0"/>
          <w:lang w:val="en-US"/>
        </w:rPr>
        <w:t>.</w:t>
      </w:r>
    </w:p>
  </w:footnote>
  <w:footnote w:id="40">
    <w:p>
      <w:pPr>
        <w:pStyle w:val="Footnote"/>
        <w:bidi w:val="0"/>
      </w:pPr>
      <w:r>
        <w:rPr>
          <w:vertAlign w:val="superscript"/>
        </w:rPr>
        <w:footnoteRef/>
      </w:r>
      <w:r>
        <w:rPr>
          <w:rFonts w:cs="Arial Unicode MS" w:eastAsia="Arial Unicode MS"/>
          <w:rtl w:val="0"/>
        </w:rPr>
        <w:t xml:space="preserve"> S</w:t>
      </w:r>
      <w:r>
        <w:rPr>
          <w:rFonts w:cs="Arial Unicode MS" w:eastAsia="Arial Unicode MS"/>
          <w:rtl w:val="0"/>
          <w:lang w:val="en-US"/>
        </w:rPr>
        <w:t>tella</w:t>
      </w:r>
      <w:r>
        <w:rPr>
          <w:rFonts w:cs="Arial Unicode MS" w:eastAsia="Arial Unicode MS"/>
          <w:rtl w:val="0"/>
          <w:lang w:val="fr-FR"/>
        </w:rPr>
        <w:t xml:space="preserve"> Chryssoulaki, </w:t>
      </w:r>
      <w:r>
        <w:rPr>
          <w:rFonts w:cs="Arial Unicode MS" w:eastAsia="Arial Unicode MS" w:hint="default"/>
          <w:rtl w:val="0"/>
          <w:lang w:val="en-US"/>
        </w:rPr>
        <w:t>‘</w:t>
      </w:r>
      <w:r>
        <w:rPr>
          <w:rFonts w:cs="Arial Unicode MS" w:eastAsia="Arial Unicode MS"/>
          <w:rtl w:val="0"/>
          <w:lang w:val="en-US"/>
        </w:rPr>
        <w:t>The Imaginary Navy of Minoan Crete: Rocky Coasts and Probable Harbours</w:t>
      </w:r>
      <w:r>
        <w:rPr>
          <w:rFonts w:cs="Arial Unicode MS" w:eastAsia="Arial Unicode MS" w:hint="default"/>
          <w:rtl w:val="0"/>
          <w:lang w:val="en-US"/>
        </w:rPr>
        <w:t>’</w:t>
      </w:r>
      <w:r>
        <w:rPr>
          <w:rFonts w:cs="Arial Unicode MS" w:eastAsia="Arial Unicode MS"/>
          <w:rtl w:val="0"/>
        </w:rPr>
        <w:t xml:space="preserve"> </w:t>
      </w:r>
      <w:r>
        <w:rPr>
          <w:rFonts w:cs="Arial Unicode MS" w:eastAsia="Arial Unicode MS"/>
          <w:rtl w:val="0"/>
          <w:lang w:val="en-US"/>
        </w:rPr>
        <w:t>i</w:t>
      </w:r>
      <w:r>
        <w:rPr>
          <w:rFonts w:cs="Arial Unicode MS" w:eastAsia="Arial Unicode MS"/>
          <w:rtl w:val="0"/>
        </w:rPr>
        <w:t xml:space="preserve">n </w:t>
      </w:r>
      <w:r>
        <w:rPr>
          <w:rFonts w:cs="Arial Unicode MS" w:eastAsia="Arial Unicode MS"/>
          <w:i w:val="1"/>
          <w:iCs w:val="1"/>
          <w:rtl w:val="0"/>
          <w:lang w:val="en-US"/>
        </w:rPr>
        <w:t>Emporia: Aegeans in the Central and Eastern Mediterranean. Proceedings of the 10th International Aegean Conference, Athens, Italian School of Archaeology, 14</w:t>
      </w:r>
      <w:r>
        <w:rPr>
          <w:rFonts w:cs="Arial Unicode MS" w:eastAsia="Arial Unicode MS" w:hint="default"/>
          <w:i w:val="1"/>
          <w:iCs w:val="1"/>
          <w:rtl w:val="0"/>
        </w:rPr>
        <w:t>–</w:t>
      </w:r>
      <w:r>
        <w:rPr>
          <w:rFonts w:cs="Arial Unicode MS" w:eastAsia="Arial Unicode MS"/>
          <w:i w:val="1"/>
          <w:iCs w:val="1"/>
          <w:rtl w:val="0"/>
          <w:lang w:val="it-IT"/>
        </w:rPr>
        <w:t>18 April 2004</w:t>
      </w:r>
      <w:r>
        <w:rPr>
          <w:rFonts w:cs="Arial Unicode MS" w:eastAsia="Arial Unicode MS"/>
          <w:i w:val="1"/>
          <w:iCs w:val="1"/>
          <w:rtl w:val="0"/>
          <w:lang w:val="en-US"/>
        </w:rPr>
        <w:t xml:space="preserve"> </w:t>
      </w:r>
      <w:r>
        <w:rPr>
          <w:rFonts w:cs="Arial Unicode MS" w:eastAsia="Arial Unicode MS"/>
          <w:rtl w:val="0"/>
          <w:lang w:val="en-US"/>
        </w:rPr>
        <w:t xml:space="preserve">(2004), </w:t>
      </w:r>
      <w:r>
        <w:rPr>
          <w:rFonts w:cs="Arial Unicode MS" w:eastAsia="Arial Unicode MS"/>
          <w:rtl w:val="0"/>
        </w:rPr>
        <w:t>p. 78</w:t>
      </w:r>
      <w:r>
        <w:rPr>
          <w:rFonts w:cs="Arial Unicode MS" w:eastAsia="Arial Unicode MS"/>
          <w:rtl w:val="0"/>
          <w:lang w:val="en-US"/>
        </w:rPr>
        <w:t>.</w:t>
      </w:r>
    </w:p>
  </w:footnote>
  <w:footnote w:id="41">
    <w:p>
      <w:pPr>
        <w:pStyle w:val="Footnote"/>
        <w:bidi w:val="0"/>
      </w:pPr>
      <w:r>
        <w:rPr>
          <w:vertAlign w:val="superscript"/>
        </w:rPr>
        <w:footnoteRef/>
      </w:r>
      <w:r>
        <w:rPr>
          <w:rFonts w:cs="Arial Unicode MS" w:eastAsia="Arial Unicode MS"/>
          <w:rtl w:val="0"/>
          <w:lang w:val="fr-FR"/>
        </w:rPr>
        <w:t xml:space="preserve"> Chryssoulaki, </w:t>
      </w:r>
      <w:r>
        <w:rPr>
          <w:rFonts w:cs="Arial Unicode MS" w:eastAsia="Arial Unicode MS" w:hint="default"/>
          <w:rtl w:val="1"/>
        </w:rPr>
        <w:t>‘</w:t>
      </w:r>
      <w:r>
        <w:rPr>
          <w:rFonts w:cs="Arial Unicode MS" w:eastAsia="Arial Unicode MS"/>
          <w:rtl w:val="0"/>
          <w:lang w:val="en-US"/>
        </w:rPr>
        <w:t>Imaginary</w:t>
      </w:r>
      <w:r>
        <w:rPr>
          <w:rFonts w:cs="Arial Unicode MS" w:eastAsia="Arial Unicode MS" w:hint="default"/>
          <w:rtl w:val="1"/>
        </w:rPr>
        <w:t>’</w:t>
      </w:r>
      <w:r>
        <w:rPr>
          <w:rFonts w:cs="Arial Unicode MS" w:eastAsia="Arial Unicode MS"/>
          <w:rtl w:val="0"/>
        </w:rPr>
        <w:t>, p. 78</w:t>
      </w:r>
      <w:r>
        <w:rPr>
          <w:rFonts w:cs="Arial Unicode MS" w:eastAsia="Arial Unicode MS"/>
          <w:rtl w:val="0"/>
          <w:lang w:val="en-US"/>
        </w:rPr>
        <w:t>.</w:t>
      </w:r>
    </w:p>
  </w:footnote>
  <w:footnote w:id="42">
    <w:p>
      <w:pPr>
        <w:pStyle w:val="Footnote"/>
        <w:bidi w:val="0"/>
      </w:pPr>
      <w:r>
        <w:rPr>
          <w:vertAlign w:val="superscript"/>
        </w:rPr>
        <w:footnoteRef/>
      </w:r>
      <w:r>
        <w:rPr>
          <w:rFonts w:cs="Arial Unicode MS" w:eastAsia="Arial Unicode MS"/>
          <w:rtl w:val="0"/>
          <w:lang w:val="es-ES_tradnl"/>
        </w:rPr>
        <w:t xml:space="preserve"> Fernando</w:t>
      </w:r>
      <w:r>
        <w:rPr>
          <w:rFonts w:cs="Arial Unicode MS" w:eastAsia="Arial Unicode MS"/>
          <w:rtl w:val="0"/>
          <w:lang w:val="en-US"/>
        </w:rPr>
        <w:t xml:space="preserve"> </w:t>
      </w:r>
      <w:r>
        <w:rPr>
          <w:rFonts w:cs="Arial Unicode MS" w:eastAsia="Arial Unicode MS"/>
          <w:rtl w:val="0"/>
        </w:rPr>
        <w:t xml:space="preserve">Pimenta, </w:t>
      </w:r>
      <w:r>
        <w:rPr>
          <w:rFonts w:cs="Arial Unicode MS" w:eastAsia="Arial Unicode MS" w:hint="default"/>
          <w:rtl w:val="1"/>
        </w:rPr>
        <w:t>‘</w:t>
      </w:r>
      <w:r>
        <w:rPr>
          <w:rFonts w:cs="Arial Unicode MS" w:eastAsia="Arial Unicode MS"/>
          <w:rtl w:val="0"/>
          <w:lang w:val="en-US"/>
        </w:rPr>
        <w:t>Astronomy and Navigation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Handbook of Archaeoastronomy and Ethnoastronomy</w:t>
      </w:r>
      <w:r>
        <w:rPr>
          <w:rFonts w:cs="Arial Unicode MS" w:eastAsia="Arial Unicode MS"/>
          <w:rtl w:val="0"/>
        </w:rPr>
        <w:t xml:space="preserve"> (2015), p. 4</w:t>
      </w:r>
      <w:r>
        <w:rPr>
          <w:rFonts w:cs="Arial Unicode MS" w:eastAsia="Arial Unicode MS"/>
          <w:rtl w:val="0"/>
          <w:lang w:val="en-US"/>
        </w:rPr>
        <w:t>5.</w:t>
      </w:r>
    </w:p>
  </w:footnote>
  <w:footnote w:id="43">
    <w:p>
      <w:pPr>
        <w:pStyle w:val="Footnote"/>
        <w:bidi w:val="0"/>
      </w:pPr>
      <w:r>
        <w:rPr>
          <w:vertAlign w:val="superscript"/>
        </w:rPr>
        <w:footnoteRef/>
      </w:r>
      <w:r>
        <w:rPr>
          <w:rFonts w:cs="Arial Unicode MS" w:eastAsia="Arial Unicode MS"/>
          <w:rtl w:val="0"/>
        </w:rPr>
        <w:t xml:space="preserve"> Cyprian</w:t>
      </w:r>
      <w:r>
        <w:rPr>
          <w:rFonts w:cs="Arial Unicode MS" w:eastAsia="Arial Unicode MS"/>
          <w:rtl w:val="0"/>
          <w:lang w:val="en-US"/>
        </w:rPr>
        <w:t xml:space="preserve"> </w:t>
      </w:r>
      <w:r>
        <w:rPr>
          <w:rFonts w:cs="Arial Unicode MS" w:eastAsia="Arial Unicode MS"/>
          <w:rtl w:val="0"/>
          <w:lang w:val="en-US"/>
        </w:rPr>
        <w:t xml:space="preserve">Broodbank and Thomas F Strasser, </w:t>
      </w:r>
      <w:r>
        <w:rPr>
          <w:rFonts w:cs="Arial Unicode MS" w:eastAsia="Arial Unicode MS" w:hint="default"/>
          <w:rtl w:val="1"/>
        </w:rPr>
        <w:t>‘</w:t>
      </w:r>
      <w:r>
        <w:rPr>
          <w:rFonts w:cs="Arial Unicode MS" w:eastAsia="Arial Unicode MS"/>
          <w:rtl w:val="0"/>
          <w:lang w:val="en-US"/>
        </w:rPr>
        <w:t>Migrant Farmers and the Neolithic Colonization of Crete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fr-FR"/>
        </w:rPr>
        <w:t>Antiquity</w:t>
      </w:r>
      <w:r>
        <w:rPr>
          <w:rFonts w:cs="Arial Unicode MS" w:eastAsia="Arial Unicode MS"/>
          <w:rtl w:val="0"/>
        </w:rPr>
        <w:t xml:space="preserve">, 65 (1991), </w:t>
      </w:r>
      <w:r>
        <w:rPr>
          <w:rFonts w:cs="Arial Unicode MS" w:eastAsia="Arial Unicode MS"/>
          <w:rtl w:val="0"/>
          <w:lang w:val="en-US"/>
        </w:rPr>
        <w:t xml:space="preserve">p. </w:t>
      </w:r>
      <w:r>
        <w:rPr>
          <w:rFonts w:cs="Arial Unicode MS" w:eastAsia="Arial Unicode MS"/>
          <w:rtl w:val="0"/>
        </w:rPr>
        <w:t>23</w:t>
      </w:r>
      <w:r>
        <w:rPr>
          <w:rFonts w:cs="Arial Unicode MS" w:eastAsia="Arial Unicode MS"/>
          <w:rtl w:val="0"/>
          <w:lang w:val="en-US"/>
        </w:rPr>
        <w:t>4.</w:t>
      </w:r>
    </w:p>
  </w:footnote>
  <w:footnote w:id="44">
    <w:p>
      <w:pPr>
        <w:pStyle w:val="Footnote"/>
        <w:bidi w:val="0"/>
      </w:pPr>
      <w:r>
        <w:rPr>
          <w:vertAlign w:val="superscript"/>
        </w:rPr>
        <w:footnoteRef/>
      </w:r>
      <w:r>
        <w:rPr>
          <w:rFonts w:cs="Arial Unicode MS" w:eastAsia="Arial Unicode MS"/>
          <w:rtl w:val="0"/>
        </w:rPr>
        <w:t xml:space="preserve"> Pimenta, </w:t>
      </w:r>
      <w:r>
        <w:rPr>
          <w:rFonts w:cs="Arial Unicode MS" w:eastAsia="Arial Unicode MS" w:hint="default"/>
          <w:rtl w:val="1"/>
        </w:rPr>
        <w:t>‘</w:t>
      </w:r>
      <w:r>
        <w:rPr>
          <w:rFonts w:cs="Arial Unicode MS" w:eastAsia="Arial Unicode MS"/>
          <w:rtl w:val="0"/>
          <w:lang w:val="en-US"/>
        </w:rPr>
        <w:t>Astronomy</w:t>
      </w:r>
      <w:r>
        <w:rPr>
          <w:rFonts w:cs="Arial Unicode MS" w:eastAsia="Arial Unicode MS" w:hint="default"/>
          <w:rtl w:val="1"/>
        </w:rPr>
        <w:t>’</w:t>
      </w:r>
      <w:r>
        <w:rPr>
          <w:rFonts w:cs="Arial Unicode MS" w:eastAsia="Arial Unicode MS"/>
          <w:rtl w:val="0"/>
        </w:rPr>
        <w:t>, p. 45</w:t>
      </w:r>
      <w:r>
        <w:rPr>
          <w:rFonts w:cs="Arial Unicode MS" w:eastAsia="Arial Unicode MS"/>
          <w:rtl w:val="0"/>
          <w:lang w:val="en-US"/>
        </w:rPr>
        <w:t>.</w:t>
      </w:r>
    </w:p>
  </w:footnote>
  <w:footnote w:id="45">
    <w:p>
      <w:pPr>
        <w:pStyle w:val="Footnote"/>
        <w:bidi w:val="0"/>
      </w:pPr>
      <w:r>
        <w:rPr>
          <w:vertAlign w:val="superscript"/>
        </w:rPr>
        <w:footnoteRef/>
      </w:r>
      <w:r>
        <w:rPr>
          <w:rFonts w:cs="Arial Unicode MS" w:eastAsia="Arial Unicode MS"/>
          <w:rtl w:val="0"/>
        </w:rPr>
        <w:t xml:space="preserve"> Pimenta, </w:t>
      </w:r>
      <w:r>
        <w:rPr>
          <w:rFonts w:cs="Arial Unicode MS" w:eastAsia="Arial Unicode MS" w:hint="default"/>
          <w:rtl w:val="1"/>
        </w:rPr>
        <w:t>‘</w:t>
      </w:r>
      <w:r>
        <w:rPr>
          <w:rFonts w:cs="Arial Unicode MS" w:eastAsia="Arial Unicode MS"/>
          <w:rtl w:val="0"/>
          <w:lang w:val="en-US"/>
        </w:rPr>
        <w:t>Astronomy</w:t>
      </w:r>
      <w:r>
        <w:rPr>
          <w:rFonts w:cs="Arial Unicode MS" w:eastAsia="Arial Unicode MS" w:hint="default"/>
          <w:rtl w:val="1"/>
        </w:rPr>
        <w:t>’</w:t>
      </w:r>
      <w:r>
        <w:rPr>
          <w:rFonts w:cs="Arial Unicode MS" w:eastAsia="Arial Unicode MS"/>
          <w:rtl w:val="0"/>
        </w:rPr>
        <w:t>, p. 4</w:t>
      </w:r>
      <w:r>
        <w:rPr>
          <w:rFonts w:cs="Arial Unicode MS" w:eastAsia="Arial Unicode MS"/>
          <w:rtl w:val="0"/>
          <w:lang w:val="en-US"/>
        </w:rPr>
        <w:t>5.</w:t>
      </w:r>
    </w:p>
  </w:footnote>
  <w:footnote w:id="46">
    <w:p>
      <w:pPr>
        <w:pStyle w:val="Footnote"/>
        <w:bidi w:val="0"/>
      </w:pPr>
      <w:r>
        <w:rPr>
          <w:vertAlign w:val="superscript"/>
        </w:rPr>
        <w:footnoteRef/>
      </w:r>
      <w:r>
        <w:rPr>
          <w:rFonts w:cs="Arial Unicode MS" w:eastAsia="Arial Unicode MS"/>
          <w:rtl w:val="0"/>
          <w:lang w:val="it-IT"/>
        </w:rPr>
        <w:t xml:space="preserve"> Casson</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Seamanship</w:t>
      </w:r>
      <w:r>
        <w:rPr>
          <w:rFonts w:cs="Arial Unicode MS" w:eastAsia="Arial Unicode MS" w:hint="default"/>
          <w:rtl w:val="0"/>
          <w:lang w:val="en-US"/>
        </w:rPr>
        <w:t>’</w:t>
      </w:r>
      <w:r>
        <w:rPr>
          <w:rFonts w:cs="Arial Unicode MS" w:eastAsia="Arial Unicode MS"/>
          <w:rtl w:val="0"/>
          <w:lang w:val="en-US"/>
        </w:rPr>
        <w:t>, p. 30.</w:t>
      </w:r>
    </w:p>
  </w:footnote>
  <w:footnote w:id="4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Thucydides, </w:t>
      </w:r>
      <w:r>
        <w:rPr>
          <w:rFonts w:cs="Arial Unicode MS" w:eastAsia="Arial Unicode MS"/>
          <w:i w:val="1"/>
          <w:iCs w:val="1"/>
          <w:rtl w:val="0"/>
          <w:lang w:val="en-US"/>
        </w:rPr>
        <w:t>History of The Peloponnesian War</w:t>
      </w:r>
      <w:r>
        <w:rPr>
          <w:rFonts w:cs="Arial Unicode MS" w:eastAsia="Arial Unicode MS"/>
          <w:rtl w:val="0"/>
          <w:lang w:val="en-US"/>
        </w:rPr>
        <w:t>, 1.4.</w:t>
      </w:r>
    </w:p>
  </w:footnote>
  <w:footnote w:id="48">
    <w:p>
      <w:pPr>
        <w:pStyle w:val="Footnote"/>
        <w:bidi w:val="0"/>
      </w:pPr>
      <w:r>
        <w:rPr>
          <w:vertAlign w:val="superscript"/>
        </w:rPr>
        <w:footnoteRef/>
      </w:r>
      <w:r>
        <w:rPr>
          <w:rFonts w:cs="Arial Unicode MS" w:eastAsia="Arial Unicode MS"/>
          <w:rtl w:val="0"/>
        </w:rPr>
        <w:t xml:space="preserve"> Claude</w:t>
      </w:r>
      <w:r>
        <w:rPr>
          <w:rFonts w:cs="Arial Unicode MS" w:eastAsia="Arial Unicode MS"/>
          <w:rtl w:val="0"/>
          <w:lang w:val="en-US"/>
        </w:rPr>
        <w:t xml:space="preserve"> </w:t>
      </w:r>
      <w:r>
        <w:rPr>
          <w:rFonts w:cs="Arial Unicode MS" w:eastAsia="Arial Unicode MS"/>
          <w:rtl w:val="0"/>
          <w:lang w:val="fr-FR"/>
        </w:rPr>
        <w:t xml:space="preserve">Baurain, </w:t>
      </w:r>
      <w:r>
        <w:rPr>
          <w:rFonts w:cs="Arial Unicode MS" w:eastAsia="Arial Unicode MS" w:hint="default"/>
          <w:rtl w:val="1"/>
        </w:rPr>
        <w:t>‘</w:t>
      </w:r>
      <w:r>
        <w:rPr>
          <w:rFonts w:cs="Arial Unicode MS" w:eastAsia="Arial Unicode MS"/>
          <w:rtl w:val="0"/>
          <w:lang w:val="fr-FR"/>
        </w:rPr>
        <w:t>Minos Et La Thalassocratie Minoenne. R</w:t>
      </w:r>
      <w:r>
        <w:rPr>
          <w:rFonts w:cs="Arial Unicode MS" w:eastAsia="Arial Unicode MS" w:hint="default"/>
          <w:rtl w:val="0"/>
          <w:lang w:val="fr-FR"/>
        </w:rPr>
        <w:t>é</w:t>
      </w:r>
      <w:r>
        <w:rPr>
          <w:rFonts w:cs="Arial Unicode MS" w:eastAsia="Arial Unicode MS"/>
          <w:rtl w:val="0"/>
          <w:lang w:val="fr-FR"/>
        </w:rPr>
        <w:t>flexions Historiographiques Sur La Naissance D</w:t>
      </w:r>
      <w:r>
        <w:rPr>
          <w:rFonts w:cs="Arial Unicode MS" w:eastAsia="Arial Unicode MS" w:hint="default"/>
          <w:rtl w:val="1"/>
        </w:rPr>
        <w:t>’</w:t>
      </w:r>
      <w:r>
        <w:rPr>
          <w:rFonts w:cs="Arial Unicode MS" w:eastAsia="Arial Unicode MS"/>
          <w:rtl w:val="0"/>
          <w:lang w:val="en-US"/>
        </w:rPr>
        <w:t>un Mythe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rPr>
        <w:t>Thalassa. L</w:t>
      </w:r>
      <w:r>
        <w:rPr>
          <w:rFonts w:cs="Arial Unicode MS" w:eastAsia="Arial Unicode MS" w:hint="default"/>
          <w:i w:val="1"/>
          <w:iCs w:val="1"/>
          <w:rtl w:val="0"/>
          <w:lang w:val="fr-FR"/>
        </w:rPr>
        <w:t>’É</w:t>
      </w:r>
      <w:r>
        <w:rPr>
          <w:rFonts w:cs="Arial Unicode MS" w:eastAsia="Arial Unicode MS"/>
          <w:i w:val="1"/>
          <w:iCs w:val="1"/>
          <w:rtl w:val="0"/>
        </w:rPr>
        <w:t>g</w:t>
      </w:r>
      <w:r>
        <w:rPr>
          <w:rFonts w:cs="Arial Unicode MS" w:eastAsia="Arial Unicode MS" w:hint="default"/>
          <w:i w:val="1"/>
          <w:iCs w:val="1"/>
          <w:rtl w:val="0"/>
          <w:lang w:val="fr-FR"/>
        </w:rPr>
        <w:t>é</w:t>
      </w:r>
      <w:r>
        <w:rPr>
          <w:rFonts w:cs="Arial Unicode MS" w:eastAsia="Arial Unicode MS"/>
          <w:i w:val="1"/>
          <w:iCs w:val="1"/>
          <w:rtl w:val="0"/>
        </w:rPr>
        <w:t>e pr</w:t>
      </w:r>
      <w:r>
        <w:rPr>
          <w:rFonts w:cs="Arial Unicode MS" w:eastAsia="Arial Unicode MS" w:hint="default"/>
          <w:i w:val="1"/>
          <w:iCs w:val="1"/>
          <w:rtl w:val="0"/>
          <w:lang w:val="fr-FR"/>
        </w:rPr>
        <w:t>é</w:t>
      </w:r>
      <w:r>
        <w:rPr>
          <w:rFonts w:cs="Arial Unicode MS" w:eastAsia="Arial Unicode MS"/>
          <w:i w:val="1"/>
          <w:iCs w:val="1"/>
          <w:rtl w:val="0"/>
          <w:lang w:val="fr-FR"/>
        </w:rPr>
        <w:t>historique et la mer (</w:t>
      </w:r>
      <w:r>
        <w:rPr>
          <w:rFonts w:cs="Arial Unicode MS" w:eastAsia="Arial Unicode MS" w:hint="default"/>
          <w:i w:val="1"/>
          <w:iCs w:val="1"/>
          <w:rtl w:val="0"/>
          <w:lang w:val="fr-FR"/>
        </w:rPr>
        <w:t>«</w:t>
      </w:r>
      <w:r>
        <w:rPr>
          <w:rFonts w:cs="Arial Unicode MS" w:eastAsia="Arial Unicode MS"/>
          <w:i w:val="1"/>
          <w:iCs w:val="1"/>
          <w:rtl w:val="0"/>
          <w:lang w:val="da-DK"/>
        </w:rPr>
        <w:t>Aegaeum</w:t>
      </w:r>
      <w:r>
        <w:rPr>
          <w:rFonts w:cs="Arial Unicode MS" w:eastAsia="Arial Unicode MS" w:hint="default"/>
          <w:i w:val="1"/>
          <w:iCs w:val="1"/>
          <w:rtl w:val="0"/>
          <w:lang w:val="it-IT"/>
        </w:rPr>
        <w:t xml:space="preserve">» </w:t>
      </w:r>
      <w:r>
        <w:rPr>
          <w:rFonts w:cs="Arial Unicode MS" w:eastAsia="Arial Unicode MS"/>
          <w:i w:val="1"/>
          <w:iCs w:val="1"/>
          <w:rtl w:val="0"/>
        </w:rPr>
        <w:t xml:space="preserve">7), </w:t>
      </w:r>
      <w:r>
        <w:rPr>
          <w:rFonts w:cs="Arial Unicode MS" w:eastAsia="Arial Unicode MS" w:hint="default"/>
          <w:i w:val="1"/>
          <w:iCs w:val="1"/>
          <w:rtl w:val="0"/>
          <w:lang w:val="fr-FR"/>
        </w:rPr>
        <w:t>é</w:t>
      </w:r>
      <w:r>
        <w:rPr>
          <w:rFonts w:cs="Arial Unicode MS" w:eastAsia="Arial Unicode MS"/>
          <w:i w:val="1"/>
          <w:iCs w:val="1"/>
          <w:rtl w:val="0"/>
          <w:lang w:val="fr-FR"/>
        </w:rPr>
        <w:t>d. par R. Laffineur-L. Basch, Li</w:t>
      </w:r>
      <w:r>
        <w:rPr>
          <w:rFonts w:cs="Arial Unicode MS" w:eastAsia="Arial Unicode MS" w:hint="default"/>
          <w:i w:val="1"/>
          <w:iCs w:val="1"/>
          <w:rtl w:val="0"/>
          <w:lang w:val="it-IT"/>
        </w:rPr>
        <w:t>è</w:t>
      </w:r>
      <w:r>
        <w:rPr>
          <w:rFonts w:cs="Arial Unicode MS" w:eastAsia="Arial Unicode MS"/>
          <w:i w:val="1"/>
          <w:iCs w:val="1"/>
          <w:rtl w:val="0"/>
        </w:rPr>
        <w:t>ge</w:t>
      </w:r>
      <w:r>
        <w:rPr>
          <w:rFonts w:cs="Arial Unicode MS" w:eastAsia="Arial Unicode MS"/>
          <w:rtl w:val="0"/>
        </w:rPr>
        <w:t xml:space="preserve"> (1991), </w:t>
      </w:r>
      <w:r>
        <w:rPr>
          <w:rFonts w:cs="Arial Unicode MS" w:eastAsia="Arial Unicode MS"/>
          <w:rtl w:val="0"/>
          <w:lang w:val="en-US"/>
        </w:rPr>
        <w:t>pp. 264-265.</w:t>
      </w:r>
    </w:p>
  </w:footnote>
  <w:footnote w:id="49">
    <w:p>
      <w:pPr>
        <w:pStyle w:val="Footnote"/>
        <w:bidi w:val="0"/>
      </w:pPr>
      <w:r>
        <w:rPr>
          <w:vertAlign w:val="superscript"/>
        </w:rPr>
        <w:footnoteRef/>
      </w:r>
      <w:r>
        <w:rPr>
          <w:rFonts w:cs="Arial Unicode MS" w:eastAsia="Arial Unicode MS"/>
          <w:rtl w:val="0"/>
          <w:lang w:val="fr-FR"/>
        </w:rPr>
        <w:t xml:space="preserve"> Chryssoulaki, </w:t>
      </w:r>
      <w:r>
        <w:rPr>
          <w:rFonts w:cs="Arial Unicode MS" w:eastAsia="Arial Unicode MS" w:hint="default"/>
          <w:rtl w:val="0"/>
          <w:lang w:val="en-US"/>
        </w:rPr>
        <w:t>‘</w:t>
      </w:r>
      <w:r>
        <w:rPr>
          <w:rFonts w:cs="Arial Unicode MS" w:eastAsia="Arial Unicode MS"/>
          <w:rtl w:val="0"/>
          <w:lang w:val="en-US"/>
        </w:rPr>
        <w:t>Imaginary</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rtl w:val="0"/>
        </w:rPr>
        <w:t>p. 77</w:t>
      </w:r>
      <w:r>
        <w:rPr>
          <w:rFonts w:cs="Arial Unicode MS" w:eastAsia="Arial Unicode MS"/>
          <w:rtl w:val="0"/>
          <w:lang w:val="en-US"/>
        </w:rPr>
        <w:t>.</w:t>
      </w:r>
    </w:p>
  </w:footnote>
  <w:footnote w:id="50">
    <w:p>
      <w:pPr>
        <w:pStyle w:val="Footnote"/>
        <w:bidi w:val="0"/>
      </w:pPr>
      <w:r>
        <w:rPr>
          <w:vertAlign w:val="superscript"/>
        </w:rPr>
        <w:footnoteRef/>
      </w:r>
      <w:r>
        <w:rPr>
          <w:rFonts w:cs="Arial Unicode MS" w:eastAsia="Arial Unicode MS"/>
          <w:rtl w:val="0"/>
          <w:lang w:val="fr-FR"/>
        </w:rPr>
        <w:t xml:space="preserve"> Chryssoulaki, </w:t>
      </w:r>
      <w:r>
        <w:rPr>
          <w:rFonts w:cs="Arial Unicode MS" w:eastAsia="Arial Unicode MS" w:hint="default"/>
          <w:rtl w:val="1"/>
        </w:rPr>
        <w:t>‘</w:t>
      </w:r>
      <w:r>
        <w:rPr>
          <w:rFonts w:cs="Arial Unicode MS" w:eastAsia="Arial Unicode MS"/>
          <w:rtl w:val="0"/>
          <w:lang w:val="en-US"/>
        </w:rPr>
        <w:t>Imaginary</w:t>
      </w:r>
      <w:r>
        <w:rPr>
          <w:rFonts w:cs="Arial Unicode MS" w:eastAsia="Arial Unicode MS" w:hint="default"/>
          <w:rtl w:val="1"/>
        </w:rPr>
        <w:t>’</w:t>
      </w:r>
      <w:r>
        <w:rPr>
          <w:rFonts w:cs="Arial Unicode MS" w:eastAsia="Arial Unicode MS"/>
          <w:rtl w:val="0"/>
        </w:rPr>
        <w:t>, p. 78</w:t>
      </w:r>
      <w:r>
        <w:rPr>
          <w:rFonts w:cs="Arial Unicode MS" w:eastAsia="Arial Unicode MS"/>
          <w:rtl w:val="0"/>
          <w:lang w:val="en-US"/>
        </w:rPr>
        <w:t>.</w:t>
      </w:r>
    </w:p>
  </w:footnote>
  <w:footnote w:id="51">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a-DK"/>
        </w:rPr>
        <w:t>Thomas F</w:t>
      </w:r>
      <w:r>
        <w:rPr>
          <w:rFonts w:cs="Arial Unicode MS" w:eastAsia="Arial Unicode MS"/>
          <w:rtl w:val="0"/>
          <w:lang w:val="en-US"/>
        </w:rPr>
        <w:t xml:space="preserve"> </w:t>
      </w:r>
      <w:r>
        <w:rPr>
          <w:rFonts w:cs="Arial Unicode MS" w:eastAsia="Arial Unicode MS"/>
          <w:rtl w:val="0"/>
          <w:lang w:val="it-IT"/>
        </w:rPr>
        <w:t xml:space="preserve">Tartaron, </w:t>
      </w:r>
      <w:r>
        <w:rPr>
          <w:rFonts w:cs="Arial Unicode MS" w:eastAsia="Arial Unicode MS"/>
          <w:i w:val="1"/>
          <w:iCs w:val="1"/>
          <w:rtl w:val="0"/>
          <w:lang w:val="en-US"/>
        </w:rPr>
        <w:t>Maritime Networks in the Mycenaean World</w:t>
      </w:r>
      <w:r>
        <w:rPr>
          <w:rFonts w:cs="Arial Unicode MS" w:eastAsia="Arial Unicode MS"/>
          <w:rtl w:val="0"/>
          <w:lang w:val="en-US"/>
        </w:rPr>
        <w:t xml:space="preserve"> (Cambridge University Press, 2013)</w:t>
      </w:r>
      <w:r>
        <w:rPr>
          <w:rFonts w:cs="Arial Unicode MS" w:eastAsia="Arial Unicode MS"/>
          <w:rtl w:val="0"/>
          <w:lang w:val="en-US"/>
        </w:rPr>
        <w:t>, pp. 27, 28.</w:t>
      </w:r>
    </w:p>
  </w:footnote>
  <w:footnote w:id="52">
    <w:p>
      <w:pPr>
        <w:pStyle w:val="Footnote"/>
        <w:bidi w:val="0"/>
      </w:pPr>
      <w:r>
        <w:rPr>
          <w:vertAlign w:val="superscript"/>
        </w:rPr>
        <w:footnoteRef/>
      </w:r>
      <w:r>
        <w:rPr>
          <w:rFonts w:cs="Arial Unicode MS" w:eastAsia="Arial Unicode MS"/>
          <w:rtl w:val="0"/>
          <w:lang w:val="sv-SE"/>
        </w:rPr>
        <w:t xml:space="preserve"> Kristina</w:t>
      </w:r>
      <w:r>
        <w:rPr>
          <w:rFonts w:cs="Arial Unicode MS" w:eastAsia="Arial Unicode MS"/>
          <w:rtl w:val="0"/>
          <w:lang w:val="en-US"/>
        </w:rPr>
        <w:t xml:space="preserve"> </w:t>
      </w:r>
      <w:r>
        <w:rPr>
          <w:rFonts w:cs="Arial Unicode MS" w:eastAsia="Arial Unicode MS"/>
          <w:rtl w:val="0"/>
          <w:lang w:val="de-DE"/>
        </w:rPr>
        <w:t xml:space="preserve">Josephson Hesse, </w:t>
      </w:r>
      <w:r>
        <w:rPr>
          <w:rFonts w:cs="Arial Unicode MS" w:eastAsia="Arial Unicode MS" w:hint="default"/>
          <w:rtl w:val="0"/>
          <w:lang w:val="en-US"/>
        </w:rPr>
        <w:t>‘</w:t>
      </w:r>
      <w:r>
        <w:rPr>
          <w:rFonts w:cs="Arial Unicode MS" w:eastAsia="Arial Unicode MS"/>
          <w:rtl w:val="0"/>
          <w:lang w:val="en-US"/>
        </w:rPr>
        <w:t>Late Bronze Age Maritime Trade in the Eastern Mediterranean: An Inland Levantine Perspective</w:t>
      </w:r>
      <w:r>
        <w:rPr>
          <w:rFonts w:cs="Arial Unicode MS" w:eastAsia="Arial Unicode MS" w:hint="default"/>
          <w:rtl w:val="1"/>
        </w:rPr>
        <w:t xml:space="preserve">’ </w:t>
      </w:r>
      <w:r>
        <w:rPr>
          <w:rFonts w:cs="Arial Unicode MS" w:eastAsia="Arial Unicode MS"/>
          <w:rtl w:val="0"/>
          <w:lang w:val="en-US"/>
        </w:rPr>
        <w:t>(</w:t>
      </w:r>
      <w:r>
        <w:rPr>
          <w:rFonts w:cs="Arial Unicode MS" w:eastAsia="Arial Unicode MS"/>
          <w:rtl w:val="0"/>
        </w:rPr>
        <w:t>2008</w:t>
      </w:r>
      <w:r>
        <w:rPr>
          <w:rFonts w:cs="Arial Unicode MS" w:eastAsia="Arial Unicode MS"/>
          <w:rtl w:val="0"/>
          <w:lang w:val="en-US"/>
        </w:rPr>
        <w:t xml:space="preserve">), p. 54; and </w:t>
      </w:r>
      <w:r>
        <w:rPr>
          <w:rFonts w:cs="Arial Unicode MS" w:eastAsia="Arial Unicode MS"/>
          <w:rtl w:val="0"/>
          <w:lang w:val="da-DK"/>
        </w:rPr>
        <w:t>Peter</w:t>
      </w:r>
      <w:r>
        <w:rPr>
          <w:rFonts w:cs="Arial Unicode MS" w:eastAsia="Arial Unicode MS"/>
          <w:rtl w:val="0"/>
          <w:lang w:val="en-US"/>
        </w:rPr>
        <w:t xml:space="preserve"> </w:t>
      </w:r>
      <w:r>
        <w:rPr>
          <w:rFonts w:cs="Arial Unicode MS" w:eastAsia="Arial Unicode MS"/>
          <w:rtl w:val="0"/>
          <w:lang w:val="de-DE"/>
        </w:rPr>
        <w:t>Pf</w:t>
      </w:r>
      <w:r>
        <w:rPr>
          <w:rFonts w:cs="Arial Unicode MS" w:eastAsia="Arial Unicode MS" w:hint="default"/>
          <w:rtl w:val="0"/>
        </w:rPr>
        <w:t>ä</w:t>
      </w:r>
      <w:r>
        <w:rPr>
          <w:rFonts w:cs="Arial Unicode MS" w:eastAsia="Arial Unicode MS"/>
          <w:rtl w:val="0"/>
        </w:rPr>
        <w:t xml:space="preserve">lzner, </w:t>
      </w:r>
      <w:r>
        <w:rPr>
          <w:rFonts w:cs="Arial Unicode MS" w:eastAsia="Arial Unicode MS" w:hint="default"/>
          <w:rtl w:val="1"/>
        </w:rPr>
        <w:t>‘</w:t>
      </w:r>
      <w:r>
        <w:rPr>
          <w:rFonts w:cs="Arial Unicode MS" w:eastAsia="Arial Unicode MS"/>
          <w:rtl w:val="0"/>
          <w:lang w:val="en-US"/>
        </w:rPr>
        <w:t>Levantine Kingdoms of the Late Bronze Age</w:t>
      </w:r>
      <w:r>
        <w:rPr>
          <w:rFonts w:cs="Arial Unicode MS" w:eastAsia="Arial Unicode MS" w:hint="default"/>
          <w:rtl w:val="1"/>
        </w:rPr>
        <w:t>’</w:t>
      </w:r>
      <w:r>
        <w:rPr>
          <w:rFonts w:cs="Arial Unicode MS" w:eastAsia="Arial Unicode MS"/>
          <w:rtl w:val="0"/>
          <w:lang w:val="en-US"/>
        </w:rPr>
        <w:t xml:space="preserve"> </w:t>
      </w:r>
      <w:r>
        <w:rPr>
          <w:rFonts w:cs="Arial Unicode MS" w:eastAsia="Arial Unicode MS"/>
          <w:rtl w:val="0"/>
        </w:rPr>
        <w:t>(2012)</w:t>
      </w:r>
      <w:r>
        <w:rPr>
          <w:rFonts w:cs="Arial Unicode MS" w:eastAsia="Arial Unicode MS"/>
          <w:rtl w:val="0"/>
          <w:lang w:val="en-US"/>
        </w:rPr>
        <w:t>, p. 793</w:t>
      </w:r>
    </w:p>
  </w:footnote>
  <w:footnote w:id="53">
    <w:p>
      <w:pPr>
        <w:pStyle w:val="Footnote"/>
        <w:bidi w:val="0"/>
      </w:pPr>
      <w:r>
        <w:rPr>
          <w:vertAlign w:val="superscript"/>
        </w:rPr>
        <w:footnoteRef/>
      </w:r>
      <w:r>
        <w:rPr>
          <w:rFonts w:cs="Arial Unicode MS" w:eastAsia="Arial Unicode MS"/>
          <w:rtl w:val="0"/>
          <w:lang w:val="de-DE"/>
        </w:rPr>
        <w:t xml:space="preserve"> Hesse, </w:t>
      </w:r>
      <w:r>
        <w:rPr>
          <w:rFonts w:cs="Arial Unicode MS" w:eastAsia="Arial Unicode MS" w:hint="default"/>
          <w:rtl w:val="1"/>
        </w:rPr>
        <w:t>‘</w:t>
      </w:r>
      <w:r>
        <w:rPr>
          <w:rFonts w:cs="Arial Unicode MS" w:eastAsia="Arial Unicode MS"/>
          <w:rtl w:val="0"/>
          <w:lang w:val="nl-NL"/>
        </w:rPr>
        <w:t>Late</w:t>
      </w:r>
      <w:r>
        <w:rPr>
          <w:rFonts w:cs="Arial Unicode MS" w:eastAsia="Arial Unicode MS" w:hint="default"/>
          <w:rtl w:val="0"/>
          <w:lang w:val="en-US"/>
        </w:rPr>
        <w:t>’</w:t>
      </w:r>
      <w:r>
        <w:rPr>
          <w:rFonts w:cs="Arial Unicode MS" w:eastAsia="Arial Unicode MS"/>
          <w:rtl w:val="0"/>
          <w:lang w:val="en-US"/>
        </w:rPr>
        <w:t>, pp. 53-54.</w:t>
      </w:r>
    </w:p>
  </w:footnote>
  <w:footnote w:id="54">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 xml:space="preserve">Hesse, </w:t>
      </w:r>
      <w:r>
        <w:rPr>
          <w:rFonts w:cs="Arial Unicode MS" w:eastAsia="Arial Unicode MS" w:hint="default"/>
          <w:rtl w:val="1"/>
        </w:rPr>
        <w:t>‘</w:t>
      </w:r>
      <w:r>
        <w:rPr>
          <w:rFonts w:cs="Arial Unicode MS" w:eastAsia="Arial Unicode MS"/>
          <w:rtl w:val="0"/>
          <w:lang w:val="nl-NL"/>
        </w:rPr>
        <w:t>Late</w:t>
      </w:r>
      <w:r>
        <w:rPr>
          <w:rFonts w:cs="Arial Unicode MS" w:eastAsia="Arial Unicode MS" w:hint="default"/>
          <w:rtl w:val="1"/>
        </w:rPr>
        <w:t>’</w:t>
      </w:r>
      <w:r>
        <w:rPr>
          <w:rFonts w:cs="Arial Unicode MS" w:eastAsia="Arial Unicode MS"/>
          <w:rtl w:val="0"/>
        </w:rPr>
        <w:t>, pp. 53-54</w:t>
      </w:r>
      <w:r>
        <w:rPr>
          <w:rFonts w:cs="Arial Unicode MS" w:eastAsia="Arial Unicode MS"/>
          <w:rtl w:val="0"/>
          <w:lang w:val="en-US"/>
        </w:rPr>
        <w:t>.</w:t>
      </w:r>
    </w:p>
  </w:footnote>
  <w:footnote w:id="55">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 xml:space="preserve">Hesse, </w:t>
      </w:r>
      <w:r>
        <w:rPr>
          <w:rFonts w:cs="Arial Unicode MS" w:eastAsia="Arial Unicode MS" w:hint="default"/>
          <w:rtl w:val="1"/>
        </w:rPr>
        <w:t>‘</w:t>
      </w:r>
      <w:r>
        <w:rPr>
          <w:rFonts w:cs="Arial Unicode MS" w:eastAsia="Arial Unicode MS"/>
          <w:rtl w:val="0"/>
          <w:lang w:val="nl-NL"/>
        </w:rPr>
        <w:t>Late</w:t>
      </w:r>
      <w:r>
        <w:rPr>
          <w:rFonts w:cs="Arial Unicode MS" w:eastAsia="Arial Unicode MS" w:hint="default"/>
          <w:rtl w:val="1"/>
        </w:rPr>
        <w:t>’</w:t>
      </w:r>
      <w:r>
        <w:rPr>
          <w:rFonts w:cs="Arial Unicode MS" w:eastAsia="Arial Unicode MS"/>
          <w:rtl w:val="0"/>
        </w:rPr>
        <w:t>, pp. 53-54</w:t>
      </w:r>
      <w:r>
        <w:rPr>
          <w:rFonts w:cs="Arial Unicode MS" w:eastAsia="Arial Unicode MS"/>
          <w:rtl w:val="0"/>
          <w:lang w:val="en-US"/>
        </w:rPr>
        <w:t>.</w:t>
      </w:r>
    </w:p>
  </w:footnote>
  <w:footnote w:id="56">
    <w:p>
      <w:pPr>
        <w:pStyle w:val="Footnote"/>
        <w:bidi w:val="0"/>
      </w:pPr>
      <w:r>
        <w:rPr>
          <w:vertAlign w:val="superscript"/>
        </w:rPr>
        <w:footnoteRef/>
      </w:r>
      <w:r>
        <w:rPr>
          <w:rFonts w:cs="Arial Unicode MS" w:eastAsia="Arial Unicode MS"/>
          <w:rtl w:val="0"/>
          <w:lang w:val="fr-FR"/>
        </w:rPr>
        <w:t xml:space="preserve"> Chryssoulaki</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Imaginary</w:t>
      </w:r>
      <w:r>
        <w:rPr>
          <w:rFonts w:cs="Arial Unicode MS" w:eastAsia="Arial Unicode MS" w:hint="default"/>
          <w:rtl w:val="0"/>
          <w:lang w:val="en-US"/>
        </w:rPr>
        <w:t>’</w:t>
      </w:r>
      <w:r>
        <w:rPr>
          <w:rFonts w:cs="Arial Unicode MS" w:eastAsia="Arial Unicode MS"/>
          <w:rtl w:val="0"/>
          <w:lang w:val="en-US"/>
        </w:rPr>
        <w:t>, p. 81.</w:t>
      </w:r>
    </w:p>
  </w:footnote>
  <w:footnote w:id="57">
    <w:p>
      <w:pPr>
        <w:pStyle w:val="Footnote"/>
        <w:bidi w:val="0"/>
      </w:pPr>
      <w:r>
        <w:rPr>
          <w:vertAlign w:val="superscript"/>
        </w:rPr>
        <w:footnoteRef/>
      </w:r>
      <w:r>
        <w:rPr>
          <w:rFonts w:cs="Arial Unicode MS" w:eastAsia="Arial Unicode MS"/>
          <w:rtl w:val="0"/>
        </w:rPr>
        <w:t xml:space="preserve"> S</w:t>
      </w:r>
      <w:r>
        <w:rPr>
          <w:rFonts w:cs="Arial Unicode MS" w:eastAsia="Arial Unicode MS"/>
          <w:rtl w:val="0"/>
          <w:lang w:val="en-US"/>
        </w:rPr>
        <w:t>helley</w:t>
      </w:r>
      <w:r>
        <w:rPr>
          <w:rFonts w:cs="Arial Unicode MS" w:eastAsia="Arial Unicode MS"/>
          <w:rtl w:val="0"/>
          <w:lang w:val="de-DE"/>
        </w:rPr>
        <w:t xml:space="preserve"> Wachsmann,</w:t>
      </w:r>
      <w:r>
        <w:rPr>
          <w:rFonts w:cs="Arial Unicode MS" w:eastAsia="Arial Unicode MS" w:hint="default"/>
          <w:rtl w:val="0"/>
          <w:lang w:val="en-US"/>
        </w:rPr>
        <w:t xml:space="preserve"> ‘</w:t>
      </w:r>
      <w:r>
        <w:rPr>
          <w:rFonts w:cs="Arial Unicode MS" w:eastAsia="Arial Unicode MS"/>
          <w:rtl w:val="0"/>
          <w:lang w:val="it-IT"/>
        </w:rPr>
        <w:t>Minoan Seafaring</w:t>
      </w:r>
      <w:r>
        <w:rPr>
          <w:rFonts w:cs="Arial Unicode MS" w:eastAsia="Arial Unicode MS" w:hint="default"/>
          <w:rtl w:val="1"/>
        </w:rPr>
        <w:t xml:space="preserve">’ </w:t>
      </w:r>
      <w:r>
        <w:rPr>
          <w:rFonts w:cs="Arial Unicode MS" w:eastAsia="Arial Unicode MS"/>
          <w:rtl w:val="0"/>
        </w:rPr>
        <w:t xml:space="preserve">in </w:t>
      </w:r>
      <w:r>
        <w:rPr>
          <w:rFonts w:cs="Arial Unicode MS" w:eastAsia="Arial Unicode MS"/>
          <w:i w:val="1"/>
          <w:iCs w:val="1"/>
          <w:rtl w:val="0"/>
          <w:lang w:val="en-US"/>
        </w:rPr>
        <w:t>Oxford Encyclopedia of Maritime History</w:t>
      </w:r>
      <w:r>
        <w:rPr>
          <w:rFonts w:cs="Arial Unicode MS" w:eastAsia="Arial Unicode MS"/>
          <w:rtl w:val="0"/>
          <w:lang w:val="en-US"/>
        </w:rPr>
        <w:t xml:space="preserve"> (J. B. Hattendorf, ed. New York, Oxford University Press, 2007)</w:t>
      </w:r>
      <w:r>
        <w:rPr>
          <w:rFonts w:cs="Arial Unicode MS" w:eastAsia="Arial Unicode MS"/>
          <w:rtl w:val="0"/>
          <w:lang w:val="en-US"/>
        </w:rPr>
        <w:t>, p.</w:t>
      </w:r>
      <w:r>
        <w:rPr>
          <w:rFonts w:cs="Arial Unicode MS" w:eastAsia="Arial Unicode MS"/>
          <w:rtl w:val="0"/>
          <w:lang w:val="ru-RU"/>
        </w:rPr>
        <w:t xml:space="preserve"> 575</w:t>
      </w:r>
      <w:r>
        <w:rPr>
          <w:rFonts w:cs="Arial Unicode MS" w:eastAsia="Arial Unicode MS"/>
          <w:rtl w:val="0"/>
          <w:lang w:val="en-US"/>
        </w:rPr>
        <w:t>.</w:t>
      </w:r>
    </w:p>
  </w:footnote>
  <w:footnote w:id="5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Tartaron, </w:t>
      </w:r>
      <w:r>
        <w:rPr>
          <w:rFonts w:cs="Arial Unicode MS" w:eastAsia="Arial Unicode MS" w:hint="default"/>
          <w:rtl w:val="0"/>
          <w:lang w:val="en-US"/>
        </w:rPr>
        <w:t>‘</w:t>
      </w:r>
      <w:r>
        <w:rPr>
          <w:rFonts w:cs="Arial Unicode MS" w:eastAsia="Arial Unicode MS"/>
          <w:rtl w:val="0"/>
          <w:lang w:val="en-US"/>
        </w:rPr>
        <w:t>Networks</w:t>
      </w:r>
      <w:r>
        <w:rPr>
          <w:rFonts w:cs="Arial Unicode MS" w:eastAsia="Arial Unicode MS" w:hint="default"/>
          <w:rtl w:val="0"/>
          <w:lang w:val="en-US"/>
        </w:rPr>
        <w:t>’</w:t>
      </w:r>
      <w:r>
        <w:rPr>
          <w:rFonts w:cs="Arial Unicode MS" w:eastAsia="Arial Unicode MS"/>
          <w:rtl w:val="0"/>
          <w:lang w:val="en-US"/>
        </w:rPr>
        <w:t>, p.</w:t>
      </w:r>
      <w:r>
        <w:rPr>
          <w:rFonts w:cs="Arial Unicode MS" w:eastAsia="Arial Unicode MS"/>
          <w:rtl w:val="0"/>
        </w:rPr>
        <w:t xml:space="preserve"> 20-21</w:t>
      </w:r>
      <w:r>
        <w:rPr>
          <w:rFonts w:cs="Arial Unicode MS" w:eastAsia="Arial Unicode MS"/>
          <w:rtl w:val="0"/>
          <w:lang w:val="en-US"/>
        </w:rPr>
        <w:t>.</w:t>
      </w:r>
    </w:p>
  </w:footnote>
  <w:footnote w:id="59">
    <w:p>
      <w:pPr>
        <w:pStyle w:val="Footnote"/>
        <w:bidi w:val="0"/>
      </w:pPr>
      <w:r>
        <w:rPr>
          <w:vertAlign w:val="superscript"/>
        </w:rPr>
        <w:footnoteRef/>
      </w:r>
      <w:r>
        <w:rPr>
          <w:rFonts w:cs="Arial Unicode MS" w:eastAsia="Arial Unicode MS"/>
          <w:rtl w:val="0"/>
        </w:rPr>
        <w:t xml:space="preserve"> Tim</w:t>
      </w:r>
      <w:r>
        <w:rPr>
          <w:rFonts w:cs="Arial Unicode MS" w:eastAsia="Arial Unicode MS"/>
          <w:rtl w:val="0"/>
          <w:lang w:val="en-US"/>
        </w:rPr>
        <w:t xml:space="preserve"> </w:t>
      </w:r>
      <w:r>
        <w:rPr>
          <w:rFonts w:cs="Arial Unicode MS" w:eastAsia="Arial Unicode MS"/>
          <w:rtl w:val="0"/>
          <w:lang w:val="da-DK"/>
        </w:rPr>
        <w:t xml:space="preserve">Ingold, </w:t>
      </w:r>
      <w:r>
        <w:rPr>
          <w:rFonts w:cs="Arial Unicode MS" w:eastAsia="Arial Unicode MS"/>
          <w:i w:val="1"/>
          <w:iCs w:val="1"/>
          <w:rtl w:val="0"/>
          <w:lang w:val="de-DE"/>
        </w:rPr>
        <w:t>Lines: A Brief History</w:t>
      </w:r>
      <w:r>
        <w:rPr>
          <w:rFonts w:cs="Arial Unicode MS" w:eastAsia="Arial Unicode MS"/>
          <w:rtl w:val="0"/>
          <w:lang w:val="en-US"/>
        </w:rPr>
        <w:t xml:space="preserve"> (Routledge, 2016)</w:t>
      </w:r>
      <w:r>
        <w:rPr>
          <w:rFonts w:cs="Arial Unicode MS" w:eastAsia="Arial Unicode MS"/>
          <w:rtl w:val="0"/>
          <w:lang w:val="en-US"/>
        </w:rPr>
        <w:t>, p. 2.</w:t>
      </w:r>
    </w:p>
  </w:footnote>
  <w:footnote w:id="60">
    <w:p>
      <w:pPr>
        <w:pStyle w:val="Footnote"/>
        <w:bidi w:val="0"/>
      </w:pPr>
      <w:r>
        <w:rPr>
          <w:vertAlign w:val="superscript"/>
        </w:rPr>
        <w:footnoteRef/>
      </w:r>
      <w:r>
        <w:rPr>
          <w:rFonts w:cs="Arial Unicode MS" w:eastAsia="Arial Unicode MS"/>
          <w:rtl w:val="0"/>
          <w:lang w:val="fr-FR"/>
        </w:rPr>
        <w:t xml:space="preserve"> Chryssoulaki, </w:t>
      </w:r>
      <w:r>
        <w:rPr>
          <w:rFonts w:cs="Arial Unicode MS" w:eastAsia="Arial Unicode MS" w:hint="default"/>
          <w:rtl w:val="1"/>
        </w:rPr>
        <w:t>‘</w:t>
      </w:r>
      <w:r>
        <w:rPr>
          <w:rFonts w:cs="Arial Unicode MS" w:eastAsia="Arial Unicode MS"/>
          <w:rtl w:val="0"/>
          <w:lang w:val="en-US"/>
        </w:rPr>
        <w:t>Imaginary</w:t>
      </w:r>
      <w:r>
        <w:rPr>
          <w:rFonts w:cs="Arial Unicode MS" w:eastAsia="Arial Unicode MS" w:hint="default"/>
          <w:rtl w:val="1"/>
        </w:rPr>
        <w:t>’</w:t>
      </w:r>
      <w:r>
        <w:rPr>
          <w:rFonts w:cs="Arial Unicode MS" w:eastAsia="Arial Unicode MS"/>
          <w:rtl w:val="0"/>
        </w:rPr>
        <w:t>, p. 79</w:t>
      </w:r>
      <w:r>
        <w:rPr>
          <w:rFonts w:cs="Arial Unicode MS" w:eastAsia="Arial Unicode MS"/>
          <w:rtl w:val="0"/>
          <w:lang w:val="en-US"/>
        </w:rPr>
        <w:t>.</w:t>
      </w:r>
    </w:p>
  </w:footnote>
  <w:footnote w:id="61">
    <w:p>
      <w:pPr>
        <w:pStyle w:val="Footnote"/>
        <w:bidi w:val="0"/>
      </w:pPr>
      <w:r>
        <w:rPr>
          <w:vertAlign w:val="superscript"/>
        </w:rPr>
        <w:footnoteRef/>
      </w:r>
      <w:r>
        <w:rPr>
          <w:rFonts w:cs="Arial Unicode MS" w:eastAsia="Arial Unicode MS"/>
          <w:rtl w:val="0"/>
          <w:lang w:val="fr-FR"/>
        </w:rPr>
        <w:t xml:space="preserve"> Chryssoulaki, </w:t>
      </w:r>
      <w:r>
        <w:rPr>
          <w:rFonts w:cs="Arial Unicode MS" w:eastAsia="Arial Unicode MS" w:hint="default"/>
          <w:rtl w:val="1"/>
        </w:rPr>
        <w:t>‘</w:t>
      </w:r>
      <w:r>
        <w:rPr>
          <w:rFonts w:cs="Arial Unicode MS" w:eastAsia="Arial Unicode MS"/>
          <w:rtl w:val="0"/>
          <w:lang w:val="en-US"/>
        </w:rPr>
        <w:t>Imaginary</w:t>
      </w:r>
      <w:r>
        <w:rPr>
          <w:rFonts w:cs="Arial Unicode MS" w:eastAsia="Arial Unicode MS" w:hint="default"/>
          <w:rtl w:val="1"/>
        </w:rPr>
        <w:t>’</w:t>
      </w:r>
      <w:r>
        <w:rPr>
          <w:rFonts w:cs="Arial Unicode MS" w:eastAsia="Arial Unicode MS"/>
          <w:rtl w:val="0"/>
        </w:rPr>
        <w:t>, p. 78</w:t>
      </w:r>
      <w:r>
        <w:rPr>
          <w:rFonts w:cs="Arial Unicode MS" w:eastAsia="Arial Unicode MS"/>
          <w:rtl w:val="0"/>
          <w:lang w:val="en-US"/>
        </w:rPr>
        <w:t>.</w:t>
      </w:r>
    </w:p>
  </w:footnote>
  <w:footnote w:id="62">
    <w:p>
      <w:pPr>
        <w:pStyle w:val="Footnote"/>
        <w:bidi w:val="0"/>
      </w:pPr>
      <w:r>
        <w:rPr>
          <w:vertAlign w:val="superscript"/>
        </w:rPr>
        <w:footnoteRef/>
      </w:r>
      <w:r>
        <w:rPr>
          <w:rFonts w:cs="Arial Unicode MS" w:eastAsia="Arial Unicode MS"/>
          <w:rtl w:val="0"/>
          <w:lang w:val="en-US"/>
        </w:rPr>
        <w:t xml:space="preserve"> Hesse, </w:t>
      </w:r>
      <w:r>
        <w:rPr>
          <w:rFonts w:cs="Arial Unicode MS" w:eastAsia="Arial Unicode MS" w:hint="default"/>
          <w:rtl w:val="0"/>
          <w:lang w:val="en-US"/>
        </w:rPr>
        <w:t>‘</w:t>
      </w:r>
      <w:r>
        <w:rPr>
          <w:rFonts w:cs="Arial Unicode MS" w:eastAsia="Arial Unicode MS"/>
          <w:rtl w:val="0"/>
          <w:lang w:val="en-US"/>
        </w:rPr>
        <w:t>Late</w:t>
      </w:r>
      <w:r>
        <w:rPr>
          <w:rFonts w:cs="Arial Unicode MS" w:eastAsia="Arial Unicode MS" w:hint="default"/>
          <w:rtl w:val="0"/>
          <w:lang w:val="en-US"/>
        </w:rPr>
        <w:t>’</w:t>
      </w:r>
      <w:r>
        <w:rPr>
          <w:rFonts w:cs="Arial Unicode MS" w:eastAsia="Arial Unicode MS"/>
          <w:rtl w:val="0"/>
          <w:lang w:val="en-US"/>
        </w:rPr>
        <w:t>, p. 54.</w:t>
      </w:r>
    </w:p>
  </w:footnote>
  <w:footnote w:id="63">
    <w:p>
      <w:pPr>
        <w:pStyle w:val="Footnote"/>
        <w:bidi w:val="0"/>
      </w:pPr>
      <w:r>
        <w:rPr>
          <w:vertAlign w:val="superscript"/>
        </w:rPr>
        <w:footnoteRef/>
      </w:r>
      <w:r>
        <w:rPr>
          <w:rFonts w:cs="Arial Unicode MS" w:eastAsia="Arial Unicode MS"/>
          <w:rtl w:val="0"/>
        </w:rPr>
        <w:t xml:space="preserve"> Katarzyna Zeman-Wi</w:t>
      </w:r>
      <w:r>
        <w:rPr>
          <w:rFonts w:cs="Arial Unicode MS" w:eastAsia="Arial Unicode MS" w:hint="default"/>
          <w:rtl w:val="0"/>
        </w:rPr>
        <w:t>ś</w:t>
      </w:r>
      <w:r>
        <w:rPr>
          <w:rFonts w:cs="Arial Unicode MS" w:eastAsia="Arial Unicode MS"/>
          <w:rtl w:val="0"/>
        </w:rPr>
        <w:t xml:space="preserve">niewska, </w:t>
      </w:r>
      <w:r>
        <w:rPr>
          <w:rFonts w:cs="Arial Unicode MS" w:eastAsia="Arial Unicode MS" w:hint="default"/>
          <w:rtl w:val="1"/>
        </w:rPr>
        <w:t>‘</w:t>
      </w:r>
      <w:r>
        <w:rPr>
          <w:rFonts w:cs="Arial Unicode MS" w:eastAsia="Arial Unicode MS"/>
          <w:rtl w:val="0"/>
          <w:lang w:val="en-US"/>
        </w:rPr>
        <w:t>Re-Evaluation of Contacts between Cyprus and Crete from the Bronze Age to the Early Iron Age</w:t>
      </w:r>
      <w:r>
        <w:rPr>
          <w:rFonts w:cs="Arial Unicode MS" w:eastAsia="Arial Unicode MS" w:hint="default"/>
          <w:rtl w:val="1"/>
        </w:rPr>
        <w:t>’</w:t>
      </w:r>
      <w:r>
        <w:rPr>
          <w:rFonts w:cs="Arial Unicode MS" w:eastAsia="Arial Unicode MS"/>
          <w:rtl w:val="0"/>
          <w:lang w:val="en-US"/>
        </w:rPr>
        <w:t xml:space="preserve"> (2020), p. 13.</w:t>
      </w:r>
    </w:p>
  </w:footnote>
  <w:footnote w:id="64">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 xml:space="preserve">Neil Puckett, </w:t>
      </w:r>
      <w:r>
        <w:rPr>
          <w:rFonts w:cs="Arial Unicode MS" w:eastAsia="Arial Unicode MS" w:hint="default"/>
          <w:rtl w:val="1"/>
        </w:rPr>
        <w:t>‘</w:t>
      </w:r>
      <w:r>
        <w:rPr>
          <w:rFonts w:cs="Arial Unicode MS" w:eastAsia="Arial Unicode MS"/>
          <w:rtl w:val="0"/>
          <w:lang w:val="en-US"/>
        </w:rPr>
        <w:t>The Phoenician Trade Network: Tracing a Mediterranean Exchange System</w:t>
      </w:r>
      <w:r>
        <w:rPr>
          <w:rFonts w:cs="Arial Unicode MS" w:eastAsia="Arial Unicode MS" w:hint="default"/>
          <w:rtl w:val="1"/>
        </w:rPr>
        <w:t xml:space="preserve">’ </w:t>
      </w:r>
      <w:r>
        <w:rPr>
          <w:rFonts w:cs="Arial Unicode MS" w:eastAsia="Arial Unicode MS"/>
          <w:rtl w:val="0"/>
          <w:lang w:val="en-US"/>
        </w:rPr>
        <w:t>(</w:t>
      </w:r>
      <w:r>
        <w:rPr>
          <w:rFonts w:cs="Arial Unicode MS" w:eastAsia="Arial Unicode MS"/>
          <w:rtl w:val="0"/>
        </w:rPr>
        <w:t>2012</w:t>
      </w:r>
      <w:r>
        <w:rPr>
          <w:rFonts w:cs="Arial Unicode MS" w:eastAsia="Arial Unicode MS"/>
          <w:rtl w:val="0"/>
          <w:lang w:val="en-US"/>
        </w:rPr>
        <w:t>)</w:t>
      </w:r>
      <w:r>
        <w:rPr>
          <w:rFonts w:cs="Arial Unicode MS" w:eastAsia="Arial Unicode MS"/>
          <w:rtl w:val="0"/>
        </w:rPr>
        <w:t>,</w:t>
      </w:r>
      <w:r>
        <w:rPr>
          <w:rFonts w:cs="Arial Unicode MS" w:eastAsia="Arial Unicode MS"/>
          <w:rtl w:val="0"/>
          <w:lang w:val="en-US"/>
        </w:rPr>
        <w:t xml:space="preserve"> p. 87.</w:t>
      </w:r>
    </w:p>
  </w:footnote>
  <w:footnote w:id="6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Tartaron, </w:t>
      </w:r>
      <w:r>
        <w:rPr>
          <w:rFonts w:cs="Arial Unicode MS" w:eastAsia="Arial Unicode MS"/>
          <w:i w:val="1"/>
          <w:iCs w:val="1"/>
          <w:rtl w:val="0"/>
          <w:lang w:val="en-US"/>
        </w:rPr>
        <w:t>Networks</w:t>
      </w:r>
      <w:r>
        <w:rPr>
          <w:rFonts w:cs="Arial Unicode MS" w:eastAsia="Arial Unicode MS"/>
          <w:rtl w:val="0"/>
          <w:lang w:val="en-US"/>
        </w:rPr>
        <w:t>, p. 30.</w:t>
      </w:r>
    </w:p>
  </w:footnote>
  <w:footnote w:id="66">
    <w:p>
      <w:pPr>
        <w:pStyle w:val="Footnote"/>
        <w:bidi w:val="0"/>
      </w:pPr>
      <w:r>
        <w:rPr>
          <w:vertAlign w:val="superscript"/>
        </w:rPr>
        <w:footnoteRef/>
      </w:r>
      <w:r>
        <w:rPr>
          <w:rFonts w:cs="Arial Unicode MS" w:eastAsia="Arial Unicode MS"/>
          <w:rtl w:val="0"/>
          <w:lang w:val="fr-FR"/>
        </w:rPr>
        <w:t xml:space="preserve"> Despoina</w:t>
      </w:r>
      <w:r>
        <w:rPr>
          <w:rFonts w:cs="Arial Unicode MS" w:eastAsia="Arial Unicode MS"/>
          <w:rtl w:val="0"/>
          <w:lang w:val="en-US"/>
        </w:rPr>
        <w:t xml:space="preserve"> </w:t>
      </w:r>
      <w:r>
        <w:rPr>
          <w:rFonts w:cs="Arial Unicode MS" w:eastAsia="Arial Unicode MS"/>
          <w:rtl w:val="0"/>
          <w:lang w:val="pt-PT"/>
        </w:rPr>
        <w:t xml:space="preserve">Papageorgiou, </w:t>
      </w:r>
      <w:r>
        <w:rPr>
          <w:rFonts w:cs="Arial Unicode MS" w:eastAsia="Arial Unicode MS" w:hint="default"/>
          <w:rtl w:val="1"/>
        </w:rPr>
        <w:t>‘</w:t>
      </w:r>
      <w:r>
        <w:rPr>
          <w:rFonts w:cs="Arial Unicode MS" w:eastAsia="Arial Unicode MS"/>
          <w:rtl w:val="0"/>
          <w:lang w:val="en-US"/>
        </w:rPr>
        <w:t>The Marine Environment and Its Influence on Seafaring and Maritime Routes in the Prehistoric Aegean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European Journal of Archaeology</w:t>
      </w:r>
      <w:r>
        <w:rPr>
          <w:rFonts w:cs="Arial Unicode MS" w:eastAsia="Arial Unicode MS"/>
          <w:rtl w:val="0"/>
        </w:rPr>
        <w:t xml:space="preserve">, 11 (2008), </w:t>
      </w:r>
      <w:r>
        <w:rPr>
          <w:rFonts w:cs="Arial Unicode MS" w:eastAsia="Arial Unicode MS"/>
          <w:rtl w:val="0"/>
          <w:lang w:val="en-US"/>
        </w:rPr>
        <w:t>p.</w:t>
      </w:r>
      <w:r>
        <w:rPr>
          <w:rFonts w:cs="Arial Unicode MS" w:eastAsia="Arial Unicode MS"/>
          <w:rtl w:val="0"/>
        </w:rPr>
        <w:t xml:space="preserve"> 204</w:t>
      </w:r>
      <w:r>
        <w:rPr>
          <w:rFonts w:cs="Arial Unicode MS" w:eastAsia="Arial Unicode MS"/>
          <w:rtl w:val="0"/>
          <w:lang w:val="en-US"/>
        </w:rPr>
        <w:t>.</w:t>
      </w:r>
    </w:p>
  </w:footnote>
  <w:footnote w:id="67">
    <w:p>
      <w:pPr>
        <w:pStyle w:val="Footnote"/>
        <w:bidi w:val="0"/>
      </w:pPr>
      <w:r>
        <w:rPr>
          <w:vertAlign w:val="superscript"/>
        </w:rPr>
        <w:footnoteRef/>
      </w:r>
      <w:r>
        <w:rPr>
          <w:rFonts w:cs="Arial Unicode MS" w:eastAsia="Arial Unicode MS"/>
          <w:rtl w:val="0"/>
          <w:lang w:val="pt-PT"/>
        </w:rPr>
        <w:t xml:space="preserve"> Papageorgiou, </w:t>
      </w:r>
      <w:r>
        <w:rPr>
          <w:rFonts w:cs="Arial Unicode MS" w:eastAsia="Arial Unicode MS" w:hint="default"/>
          <w:rtl w:val="1"/>
        </w:rPr>
        <w:t>‘</w:t>
      </w:r>
      <w:r>
        <w:rPr>
          <w:rFonts w:cs="Arial Unicode MS" w:eastAsia="Arial Unicode MS"/>
          <w:rtl w:val="0"/>
        </w:rPr>
        <w:t>Seafaring</w:t>
      </w:r>
      <w:r>
        <w:rPr>
          <w:rFonts w:cs="Arial Unicode MS" w:eastAsia="Arial Unicode MS" w:hint="default"/>
          <w:rtl w:val="1"/>
        </w:rPr>
        <w:t>’</w:t>
      </w:r>
      <w:r>
        <w:rPr>
          <w:rFonts w:cs="Arial Unicode MS" w:eastAsia="Arial Unicode MS"/>
          <w:rtl w:val="0"/>
        </w:rPr>
        <w:t>, p 204</w:t>
      </w:r>
      <w:r>
        <w:rPr>
          <w:rFonts w:cs="Arial Unicode MS" w:eastAsia="Arial Unicode MS"/>
          <w:rtl w:val="0"/>
          <w:lang w:val="en-US"/>
        </w:rPr>
        <w:t>.</w:t>
      </w:r>
    </w:p>
  </w:footnote>
  <w:footnote w:id="6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Puckett, </w:t>
      </w:r>
      <w:r>
        <w:rPr>
          <w:rFonts w:cs="Arial Unicode MS" w:eastAsia="Arial Unicode MS" w:hint="default"/>
          <w:rtl w:val="0"/>
          <w:lang w:val="en-US"/>
        </w:rPr>
        <w:t>‘</w:t>
      </w:r>
      <w:r>
        <w:rPr>
          <w:rFonts w:cs="Arial Unicode MS" w:eastAsia="Arial Unicode MS"/>
          <w:rtl w:val="0"/>
          <w:lang w:val="en-US"/>
        </w:rPr>
        <w:t>Phoenician</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rtl w:val="0"/>
        </w:rPr>
        <w:t>p. 69</w:t>
      </w:r>
      <w:r>
        <w:rPr>
          <w:rFonts w:cs="Arial Unicode MS" w:eastAsia="Arial Unicode MS"/>
          <w:rtl w:val="0"/>
          <w:lang w:val="en-US"/>
        </w:rPr>
        <w:t>.</w:t>
      </w:r>
    </w:p>
  </w:footnote>
  <w:footnote w:id="69">
    <w:p>
      <w:pPr>
        <w:pStyle w:val="Footnote"/>
        <w:bidi w:val="0"/>
      </w:pPr>
      <w:r>
        <w:rPr>
          <w:vertAlign w:val="superscript"/>
        </w:rPr>
        <w:footnoteRef/>
      </w:r>
      <w:r>
        <w:rPr>
          <w:rFonts w:cs="Arial Unicode MS" w:eastAsia="Arial Unicode MS"/>
          <w:rtl w:val="0"/>
          <w:lang w:val="en-US"/>
        </w:rPr>
        <w:t xml:space="preserve"> Danny Lee Davis, </w:t>
      </w:r>
      <w:r>
        <w:rPr>
          <w:rFonts w:cs="Arial Unicode MS" w:eastAsia="Arial Unicode MS" w:hint="default"/>
          <w:rtl w:val="1"/>
        </w:rPr>
        <w:t>‘</w:t>
      </w:r>
      <w:r>
        <w:rPr>
          <w:rFonts w:cs="Arial Unicode MS" w:eastAsia="Arial Unicode MS"/>
          <w:rtl w:val="0"/>
          <w:lang w:val="en-US"/>
        </w:rPr>
        <w:t>Navigation in the Ancient Eastern Mediterranean</w:t>
      </w:r>
      <w:r>
        <w:rPr>
          <w:rFonts w:cs="Arial Unicode MS" w:eastAsia="Arial Unicode MS" w:hint="default"/>
          <w:rtl w:val="1"/>
        </w:rPr>
        <w:t xml:space="preserve">’ </w:t>
      </w:r>
      <w:r>
        <w:rPr>
          <w:rFonts w:cs="Arial Unicode MS" w:eastAsia="Arial Unicode MS"/>
          <w:rtl w:val="0"/>
          <w:lang w:val="en-US"/>
        </w:rPr>
        <w:t>(</w:t>
      </w:r>
      <w:r>
        <w:rPr>
          <w:rFonts w:cs="Arial Unicode MS" w:eastAsia="Arial Unicode MS"/>
          <w:rtl w:val="0"/>
          <w:lang w:val="en-US"/>
        </w:rPr>
        <w:t>Texas A&amp;M University 2001),</w:t>
      </w:r>
      <w:r>
        <w:rPr>
          <w:rFonts w:cs="Arial Unicode MS" w:eastAsia="Arial Unicode MS"/>
          <w:rtl w:val="0"/>
          <w:lang w:val="en-US"/>
        </w:rPr>
        <w:t xml:space="preserve"> p. 59.</w:t>
      </w:r>
    </w:p>
  </w:footnote>
  <w:footnote w:id="7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Agouridis, </w:t>
      </w:r>
      <w:r>
        <w:rPr>
          <w:rFonts w:cs="Arial Unicode MS" w:eastAsia="Arial Unicode MS" w:hint="default"/>
          <w:rtl w:val="0"/>
          <w:lang w:val="en-US"/>
        </w:rPr>
        <w:t>‘</w:t>
      </w:r>
      <w:r>
        <w:rPr>
          <w:rFonts w:cs="Arial Unicode MS" w:eastAsia="Arial Unicode MS"/>
          <w:rtl w:val="0"/>
          <w:lang w:val="en-US"/>
        </w:rPr>
        <w:t>Routes</w:t>
      </w:r>
      <w:r>
        <w:rPr>
          <w:rFonts w:cs="Arial Unicode MS" w:eastAsia="Arial Unicode MS" w:hint="default"/>
          <w:rtl w:val="0"/>
          <w:lang w:val="en-US"/>
        </w:rPr>
        <w:t>’</w:t>
      </w:r>
      <w:r>
        <w:rPr>
          <w:rFonts w:cs="Arial Unicode MS" w:eastAsia="Arial Unicode MS"/>
          <w:rtl w:val="0"/>
          <w:lang w:val="en-US"/>
        </w:rPr>
        <w:t>,</w:t>
      </w:r>
      <w:r>
        <w:rPr>
          <w:rFonts w:cs="Arial Unicode MS" w:eastAsia="Arial Unicode MS"/>
          <w:rtl w:val="0"/>
        </w:rPr>
        <w:t xml:space="preserve"> p. 3</w:t>
      </w:r>
      <w:r>
        <w:rPr>
          <w:rFonts w:cs="Arial Unicode MS" w:eastAsia="Arial Unicode MS"/>
          <w:rtl w:val="0"/>
          <w:lang w:val="en-US"/>
        </w:rPr>
        <w:t>.</w:t>
      </w:r>
    </w:p>
  </w:footnote>
  <w:footnote w:id="71">
    <w:p>
      <w:pPr>
        <w:pStyle w:val="Footnote"/>
        <w:bidi w:val="0"/>
      </w:pPr>
      <w:r>
        <w:rPr>
          <w:vertAlign w:val="superscript"/>
        </w:rPr>
        <w:footnoteRef/>
      </w:r>
      <w:r>
        <w:rPr>
          <w:rFonts w:cs="Arial Unicode MS" w:eastAsia="Arial Unicode MS"/>
          <w:rtl w:val="0"/>
        </w:rPr>
        <w:t xml:space="preserve"> Cyprian</w:t>
      </w:r>
      <w:r>
        <w:rPr>
          <w:rFonts w:cs="Arial Unicode MS" w:eastAsia="Arial Unicode MS"/>
          <w:rtl w:val="0"/>
          <w:lang w:val="en-US"/>
        </w:rPr>
        <w:t xml:space="preserve"> </w:t>
      </w:r>
      <w:r>
        <w:rPr>
          <w:rFonts w:cs="Arial Unicode MS" w:eastAsia="Arial Unicode MS"/>
          <w:rtl w:val="0"/>
          <w:lang w:val="nl-NL"/>
        </w:rPr>
        <w:t xml:space="preserve">Broodbank, </w:t>
      </w:r>
      <w:r>
        <w:rPr>
          <w:rFonts w:cs="Arial Unicode MS" w:eastAsia="Arial Unicode MS"/>
          <w:i w:val="1"/>
          <w:iCs w:val="1"/>
          <w:rtl w:val="0"/>
          <w:lang w:val="en-US"/>
        </w:rPr>
        <w:t>An Island Archaeology of the Early Cyclades</w:t>
      </w:r>
      <w:r>
        <w:rPr>
          <w:rFonts w:cs="Arial Unicode MS" w:eastAsia="Arial Unicode MS"/>
          <w:rtl w:val="0"/>
          <w:lang w:val="en-US"/>
        </w:rPr>
        <w:t xml:space="preserve"> (Cambridge University Press, 2002)</w:t>
      </w:r>
      <w:r>
        <w:rPr>
          <w:rFonts w:cs="Arial Unicode MS" w:eastAsia="Arial Unicode MS"/>
          <w:rtl w:val="0"/>
          <w:lang w:val="en-US"/>
        </w:rPr>
        <w:t>, p. 341-342.</w:t>
      </w:r>
    </w:p>
  </w:footnote>
  <w:footnote w:id="72">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Connie</w:t>
      </w:r>
      <w:r>
        <w:rPr>
          <w:rFonts w:cs="Arial Unicode MS" w:eastAsia="Arial Unicode MS"/>
          <w:rtl w:val="0"/>
          <w:lang w:val="en-US"/>
        </w:rPr>
        <w:t xml:space="preserve"> </w:t>
      </w:r>
      <w:r>
        <w:rPr>
          <w:rFonts w:cs="Arial Unicode MS" w:eastAsia="Arial Unicode MS"/>
          <w:rtl w:val="0"/>
          <w:lang w:val="pt-PT"/>
        </w:rPr>
        <w:t xml:space="preserve">Lambrou-Phillipson, </w:t>
      </w:r>
      <w:r>
        <w:rPr>
          <w:rFonts w:cs="Arial Unicode MS" w:eastAsia="Arial Unicode MS" w:hint="default"/>
          <w:rtl w:val="1"/>
        </w:rPr>
        <w:t>‘</w:t>
      </w:r>
      <w:r>
        <w:rPr>
          <w:rFonts w:cs="Arial Unicode MS" w:eastAsia="Arial Unicode MS"/>
          <w:rtl w:val="0"/>
          <w:lang w:val="en-US"/>
        </w:rPr>
        <w:t>Seafaring in the Bronze Age Mediterranean: The Parameters Involved in Maritime Travel</w:t>
      </w:r>
      <w:r>
        <w:rPr>
          <w:rFonts w:cs="Arial Unicode MS" w:eastAsia="Arial Unicode MS" w:hint="default"/>
          <w:rtl w:val="1"/>
        </w:rPr>
        <w:t>’</w:t>
      </w:r>
      <w:r>
        <w:rPr>
          <w:rFonts w:cs="Arial Unicode MS" w:eastAsia="Arial Unicode MS"/>
          <w:rtl w:val="0"/>
          <w:lang w:val="en-US"/>
        </w:rPr>
        <w:t>, THALASSA: L</w:t>
      </w:r>
      <w:r>
        <w:rPr>
          <w:rFonts w:cs="Arial Unicode MS" w:eastAsia="Arial Unicode MS" w:hint="default"/>
          <w:rtl w:val="1"/>
        </w:rPr>
        <w:t>’</w:t>
      </w:r>
      <w:r>
        <w:rPr>
          <w:rFonts w:cs="Arial Unicode MS" w:eastAsia="Arial Unicode MS"/>
          <w:rtl w:val="0"/>
        </w:rPr>
        <w:t>Eg</w:t>
      </w:r>
      <w:r>
        <w:rPr>
          <w:rFonts w:cs="Arial Unicode MS" w:eastAsia="Arial Unicode MS" w:hint="default"/>
          <w:rtl w:val="0"/>
          <w:lang w:val="fr-FR"/>
        </w:rPr>
        <w:t>é</w:t>
      </w:r>
      <w:r>
        <w:rPr>
          <w:rFonts w:cs="Arial Unicode MS" w:eastAsia="Arial Unicode MS"/>
          <w:rtl w:val="0"/>
        </w:rPr>
        <w:t>e pr</w:t>
      </w:r>
      <w:r>
        <w:rPr>
          <w:rFonts w:cs="Arial Unicode MS" w:eastAsia="Arial Unicode MS" w:hint="default"/>
          <w:rtl w:val="0"/>
          <w:lang w:val="fr-FR"/>
        </w:rPr>
        <w:t>é</w:t>
      </w:r>
      <w:r>
        <w:rPr>
          <w:rFonts w:cs="Arial Unicode MS" w:eastAsia="Arial Unicode MS"/>
          <w:rtl w:val="0"/>
          <w:lang w:val="fr-FR"/>
        </w:rPr>
        <w:t>historique et la mer. Actes de la troisi</w:t>
      </w:r>
      <w:r>
        <w:rPr>
          <w:rFonts w:cs="Arial Unicode MS" w:eastAsia="Arial Unicode MS" w:hint="default"/>
          <w:rtl w:val="0"/>
          <w:lang w:val="it-IT"/>
        </w:rPr>
        <w:t>è</w:t>
      </w:r>
      <w:r>
        <w:rPr>
          <w:rFonts w:cs="Arial Unicode MS" w:eastAsia="Arial Unicode MS"/>
          <w:rtl w:val="0"/>
          <w:lang w:val="fr-FR"/>
        </w:rPr>
        <w:t xml:space="preserve">me Rencontre </w:t>
      </w:r>
      <w:r>
        <w:rPr>
          <w:rFonts w:cs="Arial Unicode MS" w:eastAsia="Arial Unicode MS" w:hint="default"/>
          <w:rtl w:val="0"/>
          <w:lang w:val="fr-FR"/>
        </w:rPr>
        <w:t>é</w:t>
      </w:r>
      <w:r>
        <w:rPr>
          <w:rFonts w:cs="Arial Unicode MS" w:eastAsia="Arial Unicode MS"/>
          <w:rtl w:val="0"/>
        </w:rPr>
        <w:t>g</w:t>
      </w:r>
      <w:r>
        <w:rPr>
          <w:rFonts w:cs="Arial Unicode MS" w:eastAsia="Arial Unicode MS" w:hint="default"/>
          <w:rtl w:val="0"/>
          <w:lang w:val="fr-FR"/>
        </w:rPr>
        <w:t>é</w:t>
      </w:r>
      <w:r>
        <w:rPr>
          <w:rFonts w:cs="Arial Unicode MS" w:eastAsia="Arial Unicode MS"/>
          <w:rtl w:val="0"/>
          <w:lang w:val="fr-FR"/>
        </w:rPr>
        <w:t>enne internationale de l</w:t>
      </w:r>
      <w:r>
        <w:rPr>
          <w:rFonts w:cs="Arial Unicode MS" w:eastAsia="Arial Unicode MS" w:hint="default"/>
          <w:rtl w:val="1"/>
        </w:rPr>
        <w:t>’</w:t>
      </w:r>
      <w:r>
        <w:rPr>
          <w:rFonts w:cs="Arial Unicode MS" w:eastAsia="Arial Unicode MS"/>
          <w:rtl w:val="0"/>
        </w:rPr>
        <w:t>Universit</w:t>
      </w:r>
      <w:r>
        <w:rPr>
          <w:rFonts w:cs="Arial Unicode MS" w:eastAsia="Arial Unicode MS" w:hint="default"/>
          <w:rtl w:val="0"/>
          <w:lang w:val="fr-FR"/>
        </w:rPr>
        <w:t xml:space="preserve">é </w:t>
      </w:r>
      <w:r>
        <w:rPr>
          <w:rFonts w:cs="Arial Unicode MS" w:eastAsia="Arial Unicode MS"/>
          <w:rtl w:val="0"/>
          <w:lang w:val="pt-PT"/>
        </w:rPr>
        <w:t>de Li</w:t>
      </w:r>
      <w:r>
        <w:rPr>
          <w:rFonts w:cs="Arial Unicode MS" w:eastAsia="Arial Unicode MS" w:hint="default"/>
          <w:rtl w:val="0"/>
          <w:lang w:val="it-IT"/>
        </w:rPr>
        <w:t>è</w:t>
      </w:r>
      <w:r>
        <w:rPr>
          <w:rFonts w:cs="Arial Unicode MS" w:eastAsia="Arial Unicode MS"/>
          <w:rtl w:val="0"/>
          <w:lang w:val="it-IT"/>
        </w:rPr>
        <w:t>ge, Calvi, Corse, 23</w:t>
      </w:r>
      <w:r>
        <w:rPr>
          <w:rFonts w:cs="Arial Unicode MS" w:eastAsia="Arial Unicode MS" w:hint="default"/>
          <w:rtl w:val="0"/>
        </w:rPr>
        <w:t>–</w:t>
      </w:r>
      <w:r>
        <w:rPr>
          <w:rFonts w:cs="Arial Unicode MS" w:eastAsia="Arial Unicode MS"/>
          <w:rtl w:val="0"/>
          <w:lang w:val="fr-FR"/>
        </w:rPr>
        <w:t xml:space="preserve">25 avril 1990 (Aegaeum, 7: (1991), </w:t>
      </w:r>
      <w:r>
        <w:rPr>
          <w:rFonts w:cs="Arial Unicode MS" w:eastAsia="Arial Unicode MS"/>
          <w:rtl w:val="0"/>
          <w:lang w:val="en-US"/>
        </w:rPr>
        <w:t xml:space="preserve">p. 15; and Broodbank, </w:t>
      </w:r>
      <w:r>
        <w:rPr>
          <w:rFonts w:cs="Arial Unicode MS" w:eastAsia="Arial Unicode MS"/>
          <w:i w:val="1"/>
          <w:iCs w:val="1"/>
          <w:rtl w:val="0"/>
          <w:lang w:val="en-US"/>
        </w:rPr>
        <w:t>Island</w:t>
      </w:r>
      <w:r>
        <w:rPr>
          <w:rFonts w:cs="Arial Unicode MS" w:eastAsia="Arial Unicode MS"/>
          <w:rtl w:val="0"/>
          <w:lang w:val="en-US"/>
        </w:rPr>
        <w:t>, p. 342.</w:t>
      </w:r>
    </w:p>
  </w:footnote>
  <w:footnote w:id="73">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pt-PT"/>
        </w:rPr>
        <w:t xml:space="preserve">Lambrou-Phillipson, </w:t>
      </w:r>
      <w:r>
        <w:rPr>
          <w:rFonts w:cs="Arial Unicode MS" w:eastAsia="Arial Unicode MS" w:hint="default"/>
          <w:rtl w:val="0"/>
          <w:lang w:val="en-US"/>
        </w:rPr>
        <w:t>‘</w:t>
      </w:r>
      <w:r>
        <w:rPr>
          <w:rFonts w:cs="Arial Unicode MS" w:eastAsia="Arial Unicode MS"/>
          <w:rtl w:val="0"/>
        </w:rPr>
        <w:t>Seafaring</w:t>
      </w:r>
      <w:r>
        <w:rPr>
          <w:rFonts w:cs="Arial Unicode MS" w:eastAsia="Arial Unicode MS" w:hint="default"/>
          <w:rtl w:val="0"/>
          <w:lang w:val="en-US"/>
        </w:rPr>
        <w:t>’</w:t>
      </w:r>
      <w:r>
        <w:rPr>
          <w:rFonts w:cs="Arial Unicode MS" w:eastAsia="Arial Unicode MS"/>
          <w:rtl w:val="0"/>
          <w:lang w:val="en-US"/>
        </w:rPr>
        <w:t xml:space="preserve">, p. 11; and </w:t>
      </w:r>
      <w:r>
        <w:rPr>
          <w:rFonts w:cs="Arial Unicode MS" w:eastAsia="Arial Unicode MS"/>
          <w:rtl w:val="0"/>
        </w:rPr>
        <w:t>Donald</w:t>
      </w:r>
      <w:r>
        <w:rPr>
          <w:rFonts w:cs="Arial Unicode MS" w:eastAsia="Arial Unicode MS"/>
          <w:rtl w:val="0"/>
          <w:lang w:val="en-US"/>
        </w:rPr>
        <w:t xml:space="preserve"> </w:t>
      </w:r>
      <w:r>
        <w:rPr>
          <w:rFonts w:cs="Arial Unicode MS" w:eastAsia="Arial Unicode MS"/>
          <w:rtl w:val="0"/>
          <w:lang w:val="en-US"/>
        </w:rPr>
        <w:t xml:space="preserve">White, </w:t>
      </w:r>
      <w:r>
        <w:rPr>
          <w:rFonts w:cs="Arial Unicode MS" w:eastAsia="Arial Unicode MS" w:hint="default"/>
          <w:rtl w:val="1"/>
        </w:rPr>
        <w:t>‘</w:t>
      </w:r>
      <w:r>
        <w:rPr>
          <w:rFonts w:cs="Arial Unicode MS" w:eastAsia="Arial Unicode MS"/>
          <w:rtl w:val="0"/>
          <w:lang w:val="en-US"/>
        </w:rPr>
        <w:t>1985 Excavations on Bates</w:t>
      </w:r>
      <w:r>
        <w:rPr>
          <w:rFonts w:cs="Arial Unicode MS" w:eastAsia="Arial Unicode MS" w:hint="default"/>
          <w:rtl w:val="1"/>
        </w:rPr>
        <w:t>’</w:t>
      </w:r>
      <w:r>
        <w:rPr>
          <w:rFonts w:cs="Arial Unicode MS" w:eastAsia="Arial Unicode MS"/>
          <w:rtl w:val="0"/>
        </w:rPr>
        <w:t>s Island, Marsa Matruh</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Journal of the American Research Center in Egypt</w:t>
      </w:r>
      <w:r>
        <w:rPr>
          <w:rFonts w:cs="Arial Unicode MS" w:eastAsia="Arial Unicode MS"/>
          <w:rtl w:val="0"/>
        </w:rPr>
        <w:t xml:space="preserve">, 23 (1986), </w:t>
      </w:r>
      <w:r>
        <w:rPr>
          <w:rFonts w:cs="Arial Unicode MS" w:eastAsia="Arial Unicode MS"/>
          <w:rtl w:val="0"/>
          <w:lang w:val="en-US"/>
        </w:rPr>
        <w:t>p. 77.</w:t>
      </w:r>
    </w:p>
  </w:footnote>
  <w:footnote w:id="74">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Shelley</w:t>
      </w:r>
      <w:r>
        <w:rPr>
          <w:rFonts w:cs="Arial Unicode MS" w:eastAsia="Arial Unicode MS"/>
          <w:rtl w:val="0"/>
          <w:lang w:val="en-US"/>
        </w:rPr>
        <w:t xml:space="preserve"> </w:t>
      </w:r>
      <w:r>
        <w:rPr>
          <w:rFonts w:cs="Arial Unicode MS" w:eastAsia="Arial Unicode MS"/>
          <w:rtl w:val="0"/>
          <w:lang w:val="de-DE"/>
        </w:rPr>
        <w:t xml:space="preserve">Wachsmann. </w:t>
      </w:r>
      <w:r>
        <w:rPr>
          <w:rFonts w:cs="Arial Unicode MS" w:eastAsia="Arial Unicode MS" w:hint="default"/>
          <w:rtl w:val="1"/>
        </w:rPr>
        <w:t>‘</w:t>
      </w:r>
      <w:r>
        <w:rPr>
          <w:rFonts w:cs="Arial Unicode MS" w:eastAsia="Arial Unicode MS"/>
          <w:rtl w:val="0"/>
          <w:lang w:val="it-IT"/>
        </w:rPr>
        <w:t>Minoan Seafaring</w:t>
      </w:r>
      <w:r>
        <w:rPr>
          <w:rFonts w:cs="Arial Unicode MS" w:eastAsia="Arial Unicode MS" w:hint="default"/>
          <w:rtl w:val="1"/>
        </w:rPr>
        <w:t>’</w:t>
      </w:r>
      <w:r>
        <w:rPr>
          <w:rFonts w:cs="Arial Unicode MS" w:eastAsia="Arial Unicode MS"/>
          <w:rtl w:val="0"/>
          <w:lang w:val="en-US"/>
        </w:rPr>
        <w:t xml:space="preserve">. in </w:t>
      </w:r>
      <w:r>
        <w:rPr>
          <w:rFonts w:cs="Arial Unicode MS" w:eastAsia="Arial Unicode MS"/>
          <w:i w:val="1"/>
          <w:iCs w:val="1"/>
          <w:rtl w:val="0"/>
          <w:lang w:val="en-US"/>
        </w:rPr>
        <w:t>Oxford Encyclopedia of Maritime History</w:t>
      </w:r>
      <w:r>
        <w:rPr>
          <w:rFonts w:cs="Arial Unicode MS" w:eastAsia="Arial Unicode MS"/>
          <w:rtl w:val="0"/>
          <w:lang w:val="en-US"/>
        </w:rPr>
        <w:t xml:space="preserve"> (J. B. Hattendorf, ed. New York, Oxford University Press, 2007)</w:t>
      </w:r>
      <w:r>
        <w:rPr>
          <w:rFonts w:cs="Arial Unicode MS" w:eastAsia="Arial Unicode MS"/>
          <w:rtl w:val="0"/>
          <w:lang w:val="en-US"/>
        </w:rPr>
        <w:t xml:space="preserve"> p. 575; and </w:t>
      </w:r>
      <w:r>
        <w:rPr>
          <w:rFonts w:cs="Arial Unicode MS" w:eastAsia="Arial Unicode MS"/>
          <w:rtl w:val="0"/>
          <w:lang w:val="en-US"/>
        </w:rPr>
        <w:t>Shelley</w:t>
      </w:r>
      <w:r>
        <w:rPr>
          <w:rFonts w:cs="Arial Unicode MS" w:eastAsia="Arial Unicode MS"/>
          <w:rtl w:val="0"/>
          <w:lang w:val="en-US"/>
        </w:rPr>
        <w:t xml:space="preserve"> </w:t>
      </w:r>
      <w:r>
        <w:rPr>
          <w:rFonts w:cs="Arial Unicode MS" w:eastAsia="Arial Unicode MS"/>
          <w:rtl w:val="0"/>
          <w:lang w:val="de-DE"/>
        </w:rPr>
        <w:t xml:space="preserve">Wachsmann, </w:t>
      </w:r>
      <w:r>
        <w:rPr>
          <w:rFonts w:cs="Arial Unicode MS" w:eastAsia="Arial Unicode MS"/>
          <w:i w:val="1"/>
          <w:iCs w:val="1"/>
          <w:rtl w:val="0"/>
          <w:lang w:val="en-US"/>
        </w:rPr>
        <w:t>Seagoing Ships &amp; Seamanship in the Bronze Age Levant</w:t>
      </w:r>
      <w:r>
        <w:rPr>
          <w:rFonts w:cs="Arial Unicode MS" w:eastAsia="Arial Unicode MS"/>
          <w:rtl w:val="0"/>
          <w:lang w:val="en-US"/>
        </w:rPr>
        <w:t xml:space="preserve"> (Texas A&amp;M University Press, 2009)</w:t>
      </w:r>
      <w:r>
        <w:rPr>
          <w:rFonts w:cs="Arial Unicode MS" w:eastAsia="Arial Unicode MS"/>
          <w:rtl w:val="0"/>
          <w:lang w:val="en-US"/>
        </w:rPr>
        <w:t>, p. 85.</w:t>
      </w:r>
    </w:p>
  </w:footnote>
  <w:footnote w:id="75">
    <w:p>
      <w:pPr>
        <w:pStyle w:val="Footnote"/>
        <w:bidi w:val="0"/>
      </w:pPr>
      <w:r>
        <w:rPr>
          <w:vertAlign w:val="superscript"/>
        </w:rPr>
        <w:footnoteRef/>
      </w:r>
      <w:r>
        <w:rPr>
          <w:rFonts w:cs="Arial Unicode MS" w:eastAsia="Arial Unicode MS"/>
          <w:rtl w:val="0"/>
          <w:lang w:val="it-IT"/>
        </w:rPr>
        <w:t xml:space="preserve"> Tartaron. </w:t>
      </w:r>
      <w:r>
        <w:rPr>
          <w:rFonts w:cs="Arial Unicode MS" w:eastAsia="Arial Unicode MS" w:hint="default"/>
          <w:rtl w:val="1"/>
        </w:rPr>
        <w:t>‘</w:t>
      </w:r>
      <w:r>
        <w:rPr>
          <w:rFonts w:cs="Arial Unicode MS" w:eastAsia="Arial Unicode MS"/>
          <w:rtl w:val="0"/>
          <w:lang w:val="en-US"/>
        </w:rPr>
        <w:t>Networks</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28; and </w:t>
      </w:r>
      <w:r>
        <w:rPr>
          <w:rFonts w:cs="Arial Unicode MS" w:eastAsia="Arial Unicode MS"/>
          <w:rtl w:val="0"/>
        </w:rPr>
        <w:t>Eric H</w:t>
      </w:r>
      <w:r>
        <w:rPr>
          <w:rFonts w:cs="Arial Unicode MS" w:eastAsia="Arial Unicode MS"/>
          <w:rtl w:val="0"/>
          <w:lang w:val="en-US"/>
        </w:rPr>
        <w:t xml:space="preserve">. </w:t>
      </w:r>
      <w:r>
        <w:rPr>
          <w:rFonts w:cs="Arial Unicode MS" w:eastAsia="Arial Unicode MS"/>
          <w:rtl w:val="0"/>
          <w:lang w:val="pt-PT"/>
        </w:rPr>
        <w:t xml:space="preserve">Cline, </w:t>
      </w:r>
      <w:r>
        <w:rPr>
          <w:rFonts w:cs="Arial Unicode MS" w:eastAsia="Arial Unicode MS" w:hint="default"/>
          <w:rtl w:val="1"/>
        </w:rPr>
        <w:t>‘</w:t>
      </w:r>
      <w:r>
        <w:rPr>
          <w:rFonts w:cs="Arial Unicode MS" w:eastAsia="Arial Unicode MS"/>
          <w:rtl w:val="0"/>
          <w:lang w:val="en-US"/>
        </w:rPr>
        <w:t>Rethinking Mycenaean International Trade with Egypt and the near East</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Rethinking Mycenaean Palaces II</w:t>
      </w:r>
      <w:r>
        <w:rPr>
          <w:rFonts w:cs="Arial Unicode MS" w:eastAsia="Arial Unicode MS"/>
          <w:rtl w:val="0"/>
        </w:rPr>
        <w:t xml:space="preserve"> (2007), </w:t>
      </w:r>
      <w:r>
        <w:rPr>
          <w:rFonts w:cs="Arial Unicode MS" w:eastAsia="Arial Unicode MS"/>
          <w:rtl w:val="0"/>
          <w:lang w:val="en-US"/>
        </w:rPr>
        <w:t>p. 194.</w:t>
      </w:r>
    </w:p>
  </w:footnote>
  <w:footnote w:id="76">
    <w:p>
      <w:pPr>
        <w:pStyle w:val="Footnote"/>
        <w:bidi w:val="0"/>
      </w:pPr>
      <w:r>
        <w:rPr>
          <w:vertAlign w:val="superscript"/>
        </w:rPr>
        <w:footnoteRef/>
      </w:r>
      <w:r>
        <w:rPr>
          <w:rFonts w:cs="Arial Unicode MS" w:eastAsia="Arial Unicode MS"/>
          <w:rtl w:val="0"/>
          <w:lang w:val="it-IT"/>
        </w:rPr>
        <w:t xml:space="preserve"> Tartaron. </w:t>
      </w:r>
      <w:r>
        <w:rPr>
          <w:rFonts w:cs="Arial Unicode MS" w:eastAsia="Arial Unicode MS" w:hint="default"/>
          <w:rtl w:val="1"/>
        </w:rPr>
        <w:t>‘</w:t>
      </w:r>
      <w:r>
        <w:rPr>
          <w:rFonts w:cs="Arial Unicode MS" w:eastAsia="Arial Unicode MS"/>
          <w:rtl w:val="0"/>
          <w:lang w:val="en-US"/>
        </w:rPr>
        <w:t>Networks</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28; and </w:t>
      </w:r>
      <w:r>
        <w:rPr>
          <w:rFonts w:cs="Arial Unicode MS" w:eastAsia="Arial Unicode MS"/>
          <w:rtl w:val="0"/>
          <w:lang w:val="pt-PT"/>
        </w:rPr>
        <w:t xml:space="preserve">Cline, </w:t>
      </w:r>
      <w:r>
        <w:rPr>
          <w:rFonts w:cs="Arial Unicode MS" w:eastAsia="Arial Unicode MS" w:hint="default"/>
          <w:rtl w:val="0"/>
          <w:lang w:val="en-US"/>
        </w:rPr>
        <w:t>‘</w:t>
      </w:r>
      <w:r>
        <w:rPr>
          <w:rFonts w:cs="Arial Unicode MS" w:eastAsia="Arial Unicode MS"/>
          <w:rtl w:val="0"/>
          <w:lang w:val="en-US"/>
        </w:rPr>
        <w:t>Rethinking</w:t>
      </w:r>
      <w:r>
        <w:rPr>
          <w:rFonts w:cs="Arial Unicode MS" w:eastAsia="Arial Unicode MS" w:hint="default"/>
          <w:rtl w:val="1"/>
        </w:rPr>
        <w:t>’</w:t>
      </w:r>
      <w:r>
        <w:rPr>
          <w:rFonts w:cs="Arial Unicode MS" w:eastAsia="Arial Unicode MS"/>
          <w:rtl w:val="0"/>
        </w:rPr>
        <w:t xml:space="preserve">, </w:t>
      </w:r>
      <w:r>
        <w:rPr>
          <w:rFonts w:cs="Arial Unicode MS" w:eastAsia="Arial Unicode MS"/>
          <w:rtl w:val="0"/>
          <w:lang w:val="en-US"/>
        </w:rPr>
        <w:t xml:space="preserve">p. 194; and </w:t>
      </w:r>
      <w:r>
        <w:rPr>
          <w:rFonts w:cs="Arial Unicode MS" w:eastAsia="Arial Unicode MS"/>
          <w:rtl w:val="0"/>
          <w:lang w:val="fr-FR"/>
        </w:rPr>
        <w:t xml:space="preserve">Chryssoulaki, </w:t>
      </w:r>
      <w:r>
        <w:rPr>
          <w:rFonts w:cs="Arial Unicode MS" w:eastAsia="Arial Unicode MS" w:hint="default"/>
          <w:rtl w:val="1"/>
        </w:rPr>
        <w:t>‘</w:t>
      </w:r>
      <w:r>
        <w:rPr>
          <w:rFonts w:cs="Arial Unicode MS" w:eastAsia="Arial Unicode MS"/>
          <w:rtl w:val="0"/>
          <w:lang w:val="en-US"/>
        </w:rPr>
        <w:t>Imaginary</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p.</w:t>
      </w:r>
      <w:r>
        <w:rPr>
          <w:rFonts w:cs="Arial Unicode MS" w:eastAsia="Arial Unicode MS"/>
          <w:rtl w:val="0"/>
        </w:rPr>
        <w:t xml:space="preserve"> 81</w:t>
      </w:r>
      <w:r>
        <w:rPr>
          <w:rFonts w:cs="Arial Unicode MS" w:eastAsia="Arial Unicode MS"/>
          <w:rtl w:val="0"/>
          <w:lang w:val="en-US"/>
        </w:rPr>
        <w:t>.</w:t>
      </w:r>
    </w:p>
  </w:footnote>
  <w:footnote w:id="77">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 xml:space="preserve">Niemeier and Niemeier, </w:t>
      </w:r>
      <w:r>
        <w:rPr>
          <w:rFonts w:cs="Arial Unicode MS" w:eastAsia="Arial Unicode MS" w:hint="default"/>
          <w:rtl w:val="1"/>
        </w:rPr>
        <w:t>‘</w:t>
      </w:r>
      <w:r>
        <w:rPr>
          <w:rFonts w:cs="Arial Unicode MS" w:eastAsia="Arial Unicode MS"/>
          <w:rtl w:val="0"/>
          <w:lang w:val="pt-PT"/>
        </w:rPr>
        <w:t>Frescoes</w:t>
      </w:r>
      <w:r>
        <w:rPr>
          <w:rFonts w:cs="Arial Unicode MS" w:eastAsia="Arial Unicode MS" w:hint="default"/>
          <w:rtl w:val="1"/>
        </w:rPr>
        <w:t>’</w:t>
      </w:r>
      <w:r>
        <w:rPr>
          <w:rFonts w:cs="Arial Unicode MS" w:eastAsia="Arial Unicode MS"/>
          <w:rtl w:val="0"/>
        </w:rPr>
        <w:t>, p. 94</w:t>
      </w:r>
      <w:r>
        <w:rPr>
          <w:rFonts w:cs="Arial Unicode MS" w:eastAsia="Arial Unicode MS"/>
          <w:rtl w:val="0"/>
          <w:lang w:val="en-US"/>
        </w:rPr>
        <w:t>.</w:t>
      </w:r>
    </w:p>
  </w:footnote>
  <w:footnote w:id="78">
    <w:p>
      <w:pPr>
        <w:pStyle w:val="Footnote"/>
        <w:bidi w:val="0"/>
      </w:pPr>
      <w:r>
        <w:rPr>
          <w:vertAlign w:val="superscript"/>
        </w:rPr>
        <w:footnoteRef/>
      </w:r>
      <w:r>
        <w:rPr>
          <w:rFonts w:cs="Arial Unicode MS" w:eastAsia="Arial Unicode MS"/>
          <w:rtl w:val="0"/>
          <w:lang w:val="de-DE"/>
        </w:rPr>
        <w:t xml:space="preserve"> Niemeier and Niemeier, </w:t>
      </w:r>
      <w:r>
        <w:rPr>
          <w:rFonts w:cs="Arial Unicode MS" w:eastAsia="Arial Unicode MS" w:hint="default"/>
          <w:rtl w:val="1"/>
        </w:rPr>
        <w:t>‘</w:t>
      </w:r>
      <w:r>
        <w:rPr>
          <w:rFonts w:cs="Arial Unicode MS" w:eastAsia="Arial Unicode MS"/>
          <w:rtl w:val="0"/>
          <w:lang w:val="pt-PT"/>
        </w:rPr>
        <w:t>Frescoes</w:t>
      </w:r>
      <w:r>
        <w:rPr>
          <w:rFonts w:cs="Arial Unicode MS" w:eastAsia="Arial Unicode MS" w:hint="default"/>
          <w:rtl w:val="1"/>
        </w:rPr>
        <w:t>’</w:t>
      </w:r>
      <w:r>
        <w:rPr>
          <w:rFonts w:cs="Arial Unicode MS" w:eastAsia="Arial Unicode MS"/>
          <w:rtl w:val="0"/>
        </w:rPr>
        <w:t>, p. 94</w:t>
      </w:r>
      <w:r>
        <w:rPr>
          <w:rFonts w:cs="Arial Unicode MS" w:eastAsia="Arial Unicode MS"/>
          <w:rtl w:val="0"/>
          <w:lang w:val="en-US"/>
        </w:rPr>
        <w:t>.</w:t>
      </w:r>
    </w:p>
  </w:footnote>
  <w:footnote w:id="79">
    <w:p>
      <w:pPr>
        <w:pStyle w:val="Footnote"/>
        <w:bidi w:val="0"/>
      </w:pPr>
      <w:r>
        <w:rPr>
          <w:vertAlign w:val="superscript"/>
        </w:rPr>
        <w:footnoteRef/>
      </w:r>
      <w:r>
        <w:rPr>
          <w:rFonts w:cs="Arial Unicode MS" w:eastAsia="Arial Unicode MS"/>
          <w:rtl w:val="0"/>
          <w:lang w:val="fr-FR"/>
        </w:rPr>
        <w:t xml:space="preserve"> Chryssoulaki, </w:t>
      </w:r>
      <w:r>
        <w:rPr>
          <w:rFonts w:cs="Arial Unicode MS" w:eastAsia="Arial Unicode MS" w:hint="default"/>
          <w:rtl w:val="1"/>
        </w:rPr>
        <w:t>‘</w:t>
      </w:r>
      <w:r>
        <w:rPr>
          <w:rFonts w:cs="Arial Unicode MS" w:eastAsia="Arial Unicode MS"/>
          <w:rtl w:val="0"/>
          <w:lang w:val="en-US"/>
        </w:rPr>
        <w:t>Imaginary</w:t>
      </w:r>
      <w:r>
        <w:rPr>
          <w:rFonts w:cs="Arial Unicode MS" w:eastAsia="Arial Unicode MS" w:hint="default"/>
          <w:rtl w:val="1"/>
        </w:rPr>
        <w:t>’</w:t>
      </w:r>
      <w:r>
        <w:rPr>
          <w:rFonts w:cs="Arial Unicode MS" w:eastAsia="Arial Unicode MS"/>
          <w:rtl w:val="0"/>
        </w:rPr>
        <w:t xml:space="preserve">, p. </w:t>
      </w:r>
      <w:r>
        <w:rPr>
          <w:rFonts w:cs="Arial Unicode MS" w:eastAsia="Arial Unicode MS"/>
          <w:rtl w:val="0"/>
          <w:lang w:val="en-US"/>
        </w:rPr>
        <w:t xml:space="preserve">78; and </w:t>
      </w:r>
      <w:r>
        <w:rPr>
          <w:rFonts w:cs="Arial Unicode MS" w:eastAsia="Arial Unicode MS"/>
          <w:rtl w:val="0"/>
          <w:lang w:val="de-DE"/>
        </w:rPr>
        <w:t xml:space="preserve">Hesse, </w:t>
      </w:r>
      <w:r>
        <w:rPr>
          <w:rFonts w:cs="Arial Unicode MS" w:eastAsia="Arial Unicode MS" w:hint="default"/>
          <w:rtl w:val="1"/>
        </w:rPr>
        <w:t>‘</w:t>
      </w:r>
      <w:r>
        <w:rPr>
          <w:rFonts w:cs="Arial Unicode MS" w:eastAsia="Arial Unicode MS"/>
          <w:rtl w:val="0"/>
          <w:lang w:val="nl-NL"/>
        </w:rPr>
        <w:t>Late</w:t>
      </w:r>
      <w:r>
        <w:rPr>
          <w:rFonts w:cs="Arial Unicode MS" w:eastAsia="Arial Unicode MS" w:hint="default"/>
          <w:rtl w:val="1"/>
        </w:rPr>
        <w:t>’</w:t>
      </w:r>
      <w:r>
        <w:rPr>
          <w:rFonts w:cs="Arial Unicode MS" w:eastAsia="Arial Unicode MS"/>
          <w:rtl w:val="0"/>
        </w:rPr>
        <w:t>, p. 5</w:t>
      </w:r>
      <w:r>
        <w:rPr>
          <w:rFonts w:cs="Arial Unicode MS" w:eastAsia="Arial Unicode MS"/>
          <w:rtl w:val="0"/>
          <w:lang w:val="en-US"/>
        </w:rPr>
        <w:t>1.</w:t>
      </w:r>
    </w:p>
  </w:footnote>
  <w:footnote w:id="80">
    <w:p>
      <w:pPr>
        <w:pStyle w:val="Footnote"/>
        <w:bidi w:val="0"/>
      </w:pPr>
      <w:r>
        <w:rPr>
          <w:vertAlign w:val="superscript"/>
        </w:rPr>
        <w:footnoteRef/>
      </w:r>
      <w:r>
        <w:rPr>
          <w:rFonts w:cs="Arial Unicode MS" w:eastAsia="Arial Unicode MS"/>
          <w:rtl w:val="0"/>
          <w:lang w:val="da-DK"/>
        </w:rPr>
        <w:t xml:space="preserve"> Annette H</w:t>
      </w:r>
      <w:r>
        <w:rPr>
          <w:rFonts w:cs="Arial Unicode MS" w:eastAsia="Arial Unicode MS" w:hint="default"/>
          <w:rtl w:val="0"/>
          <w:lang w:val="da-DK"/>
        </w:rPr>
        <w:t>ø</w:t>
      </w:r>
      <w:r>
        <w:rPr>
          <w:rFonts w:cs="Arial Unicode MS" w:eastAsia="Arial Unicode MS"/>
          <w:rtl w:val="0"/>
        </w:rPr>
        <w:t>jen</w:t>
      </w:r>
      <w:r>
        <w:rPr>
          <w:rFonts w:cs="Arial Unicode MS" w:eastAsia="Arial Unicode MS"/>
          <w:rtl w:val="0"/>
          <w:lang w:val="en-US"/>
        </w:rPr>
        <w:t xml:space="preserve"> </w:t>
      </w:r>
      <w:r>
        <w:rPr>
          <w:rFonts w:cs="Arial Unicode MS" w:eastAsia="Arial Unicode MS"/>
          <w:rtl w:val="0"/>
        </w:rPr>
        <w:t>S</w:t>
      </w:r>
      <w:r>
        <w:rPr>
          <w:rFonts w:cs="Arial Unicode MS" w:eastAsia="Arial Unicode MS" w:hint="default"/>
          <w:rtl w:val="0"/>
          <w:lang w:val="da-DK"/>
        </w:rPr>
        <w:t>ø</w:t>
      </w:r>
      <w:r>
        <w:rPr>
          <w:rFonts w:cs="Arial Unicode MS" w:eastAsia="Arial Unicode MS"/>
          <w:rtl w:val="0"/>
          <w:lang w:val="da-DK"/>
        </w:rPr>
        <w:t xml:space="preserve">rensen, </w:t>
      </w:r>
      <w:r>
        <w:rPr>
          <w:rFonts w:cs="Arial Unicode MS" w:eastAsia="Arial Unicode MS" w:hint="default"/>
          <w:rtl w:val="1"/>
        </w:rPr>
        <w:t>‘</w:t>
      </w:r>
      <w:r>
        <w:rPr>
          <w:rFonts w:cs="Arial Unicode MS" w:eastAsia="Arial Unicode MS"/>
          <w:rtl w:val="0"/>
          <w:lang w:val="en-US"/>
        </w:rPr>
        <w:t>Approaching Levantine Shores: Aspects of Cretan Contacts with Western Asia During the Mm-Lm Periods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Proceedings of the Danish Institute at Athens</w:t>
      </w:r>
      <w:r>
        <w:rPr>
          <w:rFonts w:cs="Arial Unicode MS" w:eastAsia="Arial Unicode MS"/>
          <w:rtl w:val="0"/>
        </w:rPr>
        <w:t xml:space="preserve">: (2009), </w:t>
      </w:r>
      <w:r>
        <w:rPr>
          <w:rFonts w:cs="Arial Unicode MS" w:eastAsia="Arial Unicode MS"/>
          <w:rtl w:val="0"/>
          <w:lang w:val="en-US"/>
        </w:rPr>
        <w:t>p. 25.</w:t>
      </w:r>
    </w:p>
  </w:footnote>
  <w:footnote w:id="81">
    <w:p>
      <w:pPr>
        <w:pStyle w:val="Footnote"/>
        <w:bidi w:val="0"/>
      </w:pPr>
      <w:r>
        <w:rPr>
          <w:vertAlign w:val="superscript"/>
        </w:rPr>
        <w:footnoteRef/>
      </w:r>
      <w:r>
        <w:rPr>
          <w:rFonts w:cs="Arial Unicode MS" w:eastAsia="Arial Unicode MS"/>
          <w:rtl w:val="0"/>
        </w:rPr>
        <w:t xml:space="preserve"> S</w:t>
      </w:r>
      <w:r>
        <w:rPr>
          <w:rFonts w:cs="Arial Unicode MS" w:eastAsia="Arial Unicode MS" w:hint="default"/>
          <w:rtl w:val="0"/>
          <w:lang w:val="da-DK"/>
        </w:rPr>
        <w:t>ø</w:t>
      </w:r>
      <w:r>
        <w:rPr>
          <w:rFonts w:cs="Arial Unicode MS" w:eastAsia="Arial Unicode MS"/>
          <w:rtl w:val="0"/>
          <w:lang w:val="da-DK"/>
        </w:rPr>
        <w:t xml:space="preserve">rensen, </w:t>
      </w:r>
      <w:r>
        <w:rPr>
          <w:rFonts w:cs="Arial Unicode MS" w:eastAsia="Arial Unicode MS" w:hint="default"/>
          <w:rtl w:val="0"/>
          <w:lang w:val="en-US"/>
        </w:rPr>
        <w:t>‘</w:t>
      </w:r>
      <w:r>
        <w:rPr>
          <w:rFonts w:cs="Arial Unicode MS" w:eastAsia="Arial Unicode MS"/>
          <w:rtl w:val="0"/>
          <w:lang w:val="en-US"/>
        </w:rPr>
        <w:t>Approaching</w:t>
      </w:r>
      <w:r>
        <w:rPr>
          <w:rFonts w:cs="Arial Unicode MS" w:eastAsia="Arial Unicode MS" w:hint="default"/>
          <w:rtl w:val="0"/>
          <w:lang w:val="en-US"/>
        </w:rPr>
        <w:t>’</w:t>
      </w:r>
      <w:r>
        <w:rPr>
          <w:rFonts w:cs="Arial Unicode MS" w:eastAsia="Arial Unicode MS"/>
          <w:rtl w:val="0"/>
          <w:lang w:val="en-US"/>
        </w:rPr>
        <w:t>, pp. 22, 25.</w:t>
      </w:r>
    </w:p>
  </w:footnote>
  <w:footnote w:id="82">
    <w:p>
      <w:pPr>
        <w:pStyle w:val="Footnote"/>
        <w:bidi w:val="0"/>
      </w:pPr>
      <w:r>
        <w:rPr>
          <w:vertAlign w:val="superscript"/>
        </w:rPr>
        <w:footnoteRef/>
      </w:r>
      <w:r>
        <w:rPr>
          <w:rFonts w:cs="Arial Unicode MS" w:eastAsia="Arial Unicode MS"/>
          <w:rtl w:val="0"/>
          <w:lang w:val="de-DE"/>
        </w:rPr>
        <w:t xml:space="preserve"> Wachsmann, </w:t>
      </w:r>
      <w:r>
        <w:rPr>
          <w:rFonts w:cs="Arial Unicode MS" w:eastAsia="Arial Unicode MS"/>
          <w:i w:val="1"/>
          <w:iCs w:val="1"/>
          <w:rtl w:val="0"/>
          <w:lang w:val="en-US"/>
        </w:rPr>
        <w:t>Seagoing</w:t>
      </w:r>
      <w:r>
        <w:rPr>
          <w:rFonts w:cs="Arial Unicode MS" w:eastAsia="Arial Unicode MS"/>
          <w:rtl w:val="0"/>
          <w:lang w:val="en-US"/>
        </w:rPr>
        <w:t>, p. 83.</w:t>
      </w:r>
    </w:p>
  </w:footnote>
  <w:footnote w:id="83">
    <w:p>
      <w:pPr>
        <w:pStyle w:val="Footnote"/>
        <w:bidi w:val="0"/>
      </w:pPr>
      <w:r>
        <w:rPr>
          <w:vertAlign w:val="superscript"/>
        </w:rPr>
        <w:footnoteRef/>
      </w:r>
      <w:r>
        <w:rPr>
          <w:rFonts w:cs="Arial Unicode MS" w:eastAsia="Arial Unicode MS"/>
          <w:rtl w:val="0"/>
          <w:lang w:val="de-DE"/>
        </w:rPr>
        <w:t xml:space="preserve"> Wachsmann, </w:t>
      </w:r>
      <w:r>
        <w:rPr>
          <w:rFonts w:cs="Arial Unicode MS" w:eastAsia="Arial Unicode MS"/>
          <w:i w:val="1"/>
          <w:iCs w:val="1"/>
          <w:rtl w:val="0"/>
          <w:lang w:val="en-US"/>
        </w:rPr>
        <w:t>Seagoing</w:t>
      </w:r>
      <w:r>
        <w:rPr>
          <w:rFonts w:cs="Arial Unicode MS" w:eastAsia="Arial Unicode MS"/>
          <w:rtl w:val="0"/>
          <w:lang w:val="en-US"/>
        </w:rPr>
        <w:t>, p. 83.</w:t>
      </w:r>
    </w:p>
  </w:footnote>
  <w:footnote w:id="84">
    <w:p>
      <w:pPr>
        <w:pStyle w:val="Footnote"/>
        <w:bidi w:val="0"/>
      </w:pPr>
      <w:r>
        <w:rPr>
          <w:vertAlign w:val="superscript"/>
        </w:rPr>
        <w:footnoteRef/>
      </w:r>
      <w:r>
        <w:rPr>
          <w:rFonts w:cs="Arial Unicode MS" w:eastAsia="Arial Unicode MS"/>
          <w:rtl w:val="0"/>
          <w:lang w:val="de-DE"/>
        </w:rPr>
        <w:t xml:space="preserve"> WD</w:t>
      </w:r>
      <w:r>
        <w:rPr>
          <w:rFonts w:cs="Arial Unicode MS" w:eastAsia="Arial Unicode MS"/>
          <w:rtl w:val="0"/>
          <w:lang w:val="en-US"/>
        </w:rPr>
        <w:t xml:space="preserve"> </w:t>
      </w:r>
      <w:r>
        <w:rPr>
          <w:rFonts w:cs="Arial Unicode MS" w:eastAsia="Arial Unicode MS"/>
          <w:rtl w:val="0"/>
          <w:lang w:val="de-DE"/>
        </w:rPr>
        <w:t xml:space="preserve">Niemeier and B Niemeier. </w:t>
      </w:r>
      <w:r>
        <w:rPr>
          <w:rFonts w:cs="Arial Unicode MS" w:eastAsia="Arial Unicode MS" w:hint="default"/>
          <w:rtl w:val="0"/>
          <w:lang w:val="en-US"/>
        </w:rPr>
        <w:t>‘</w:t>
      </w:r>
      <w:r>
        <w:rPr>
          <w:rFonts w:cs="Arial Unicode MS" w:eastAsia="Arial Unicode MS"/>
          <w:rtl w:val="0"/>
          <w:lang w:val="en-US"/>
        </w:rPr>
        <w:t>Minoan Frescoes in the Eastern Mediterranean. The Aegean and the Orient in the Second Millennium</w:t>
      </w:r>
      <w:r>
        <w:rPr>
          <w:rFonts w:cs="Arial Unicode MS" w:eastAsia="Arial Unicode MS" w:hint="default"/>
          <w:rtl w:val="1"/>
        </w:rPr>
        <w:t>’</w:t>
      </w:r>
      <w:r>
        <w:rPr>
          <w:rFonts w:cs="Arial Unicode MS" w:eastAsia="Arial Unicode MS"/>
          <w:rtl w:val="0"/>
          <w:lang w:val="en-US"/>
        </w:rPr>
        <w:t xml:space="preserve">. In </w:t>
      </w:r>
      <w:r>
        <w:rPr>
          <w:rFonts w:cs="Arial Unicode MS" w:eastAsia="Arial Unicode MS"/>
          <w:i w:val="1"/>
          <w:iCs w:val="1"/>
          <w:rtl w:val="0"/>
          <w:lang w:val="en-US"/>
        </w:rPr>
        <w:t>Proceedings of the 50th Anniversary Symposium Cincinati</w:t>
      </w:r>
      <w:r>
        <w:rPr>
          <w:rFonts w:cs="Arial Unicode MS" w:eastAsia="Arial Unicode MS"/>
          <w:i w:val="1"/>
          <w:iCs w:val="1"/>
          <w:rtl w:val="0"/>
          <w:lang w:val="en-US"/>
        </w:rPr>
        <w:t xml:space="preserve"> </w:t>
      </w:r>
      <w:r>
        <w:rPr>
          <w:rFonts w:cs="Arial Unicode MS" w:eastAsia="Arial Unicode MS"/>
          <w:rtl w:val="0"/>
          <w:lang w:val="en-US"/>
        </w:rPr>
        <w:t>(</w:t>
      </w:r>
      <w:r>
        <w:rPr>
          <w:rFonts w:cs="Arial Unicode MS" w:eastAsia="Arial Unicode MS"/>
          <w:rtl w:val="0"/>
        </w:rPr>
        <w:t>1997</w:t>
      </w:r>
      <w:r>
        <w:rPr>
          <w:rFonts w:cs="Arial Unicode MS" w:eastAsia="Arial Unicode MS"/>
          <w:rtl w:val="0"/>
          <w:lang w:val="en-US"/>
        </w:rPr>
        <w:t>), p. 96.</w:t>
      </w:r>
    </w:p>
  </w:footnote>
  <w:footnote w:id="85">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fr-FR"/>
        </w:rPr>
        <w:t>Constance</w:t>
      </w:r>
      <w:r>
        <w:rPr>
          <w:rFonts w:cs="Arial Unicode MS" w:eastAsia="Arial Unicode MS"/>
          <w:rtl w:val="0"/>
          <w:lang w:val="en-US"/>
        </w:rPr>
        <w:t xml:space="preserve"> </w:t>
      </w:r>
      <w:r>
        <w:rPr>
          <w:rFonts w:cs="Arial Unicode MS" w:eastAsia="Arial Unicode MS"/>
          <w:rtl w:val="0"/>
          <w:lang w:val="de-DE"/>
        </w:rPr>
        <w:t>von R</w:t>
      </w:r>
      <w:r>
        <w:rPr>
          <w:rFonts w:cs="Arial Unicode MS" w:eastAsia="Arial Unicode MS" w:hint="default"/>
          <w:rtl w:val="0"/>
        </w:rPr>
        <w:t>ü</w:t>
      </w:r>
      <w:r>
        <w:rPr>
          <w:rFonts w:cs="Arial Unicode MS" w:eastAsia="Arial Unicode MS"/>
          <w:rtl w:val="0"/>
          <w:lang w:val="de-DE"/>
        </w:rPr>
        <w:t xml:space="preserve">den, </w:t>
      </w:r>
      <w:r>
        <w:rPr>
          <w:rFonts w:cs="Arial Unicode MS" w:eastAsia="Arial Unicode MS" w:hint="default"/>
          <w:rtl w:val="1"/>
        </w:rPr>
        <w:t>‘</w:t>
      </w:r>
      <w:r>
        <w:rPr>
          <w:rFonts w:cs="Arial Unicode MS" w:eastAsia="Arial Unicode MS"/>
          <w:rtl w:val="0"/>
          <w:lang w:val="en-US"/>
        </w:rPr>
        <w:t>Minoanizing Paintings in the Eastern Mediterranean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The Encyclopedia of Ancient History</w:t>
      </w:r>
      <w:r>
        <w:rPr>
          <w:rFonts w:cs="Arial Unicode MS" w:eastAsia="Arial Unicode MS"/>
          <w:rtl w:val="0"/>
        </w:rPr>
        <w:t>: (2013),</w:t>
      </w:r>
      <w:r>
        <w:rPr>
          <w:rFonts w:cs="Arial Unicode MS" w:eastAsia="Arial Unicode MS"/>
          <w:rtl w:val="0"/>
          <w:lang w:val="en-US"/>
        </w:rPr>
        <w:t xml:space="preserve"> p. 1.</w:t>
      </w:r>
    </w:p>
  </w:footnote>
  <w:footnote w:id="86">
    <w:p>
      <w:pPr>
        <w:pStyle w:val="Footnote"/>
        <w:bidi w:val="0"/>
      </w:pPr>
      <w:r>
        <w:rPr>
          <w:vertAlign w:val="superscript"/>
        </w:rPr>
        <w:footnoteRef/>
      </w:r>
      <w:r>
        <w:rPr>
          <w:rFonts w:cs="Arial Unicode MS" w:eastAsia="Arial Unicode MS"/>
          <w:rtl w:val="0"/>
          <w:lang w:val="de-DE"/>
        </w:rPr>
        <w:t xml:space="preserve"> Niemeier</w:t>
      </w:r>
      <w:r>
        <w:rPr>
          <w:rFonts w:cs="Arial Unicode MS" w:eastAsia="Arial Unicode MS"/>
          <w:rtl w:val="0"/>
          <w:lang w:val="en-US"/>
        </w:rPr>
        <w:t xml:space="preserve"> and Niemeier, </w:t>
      </w:r>
      <w:r>
        <w:rPr>
          <w:rFonts w:cs="Arial Unicode MS" w:eastAsia="Arial Unicode MS" w:hint="default"/>
          <w:rtl w:val="0"/>
          <w:lang w:val="en-US"/>
        </w:rPr>
        <w:t>‘</w:t>
      </w:r>
      <w:r>
        <w:rPr>
          <w:rFonts w:cs="Arial Unicode MS" w:eastAsia="Arial Unicode MS"/>
          <w:rtl w:val="0"/>
          <w:lang w:val="en-US"/>
        </w:rPr>
        <w:t>Frescoes</w:t>
      </w:r>
      <w:r>
        <w:rPr>
          <w:rFonts w:cs="Arial Unicode MS" w:eastAsia="Arial Unicode MS" w:hint="default"/>
          <w:rtl w:val="0"/>
          <w:lang w:val="en-US"/>
        </w:rPr>
        <w:t>’</w:t>
      </w:r>
      <w:r>
        <w:rPr>
          <w:rFonts w:cs="Arial Unicode MS" w:eastAsia="Arial Unicode MS"/>
          <w:rtl w:val="0"/>
          <w:lang w:val="en-US"/>
        </w:rPr>
        <w:t>, p. 94.</w:t>
      </w:r>
    </w:p>
  </w:footnote>
  <w:footnote w:id="87">
    <w:p>
      <w:pPr>
        <w:pStyle w:val="Footnote"/>
        <w:bidi w:val="0"/>
      </w:pPr>
      <w:r>
        <w:rPr>
          <w:vertAlign w:val="superscript"/>
        </w:rPr>
        <w:footnoteRef/>
      </w:r>
      <w:r>
        <w:rPr>
          <w:rFonts w:cs="Arial Unicode MS" w:eastAsia="Arial Unicode MS"/>
          <w:rtl w:val="0"/>
          <w:lang w:val="de-DE"/>
        </w:rPr>
        <w:t xml:space="preserve"> von R</w:t>
      </w:r>
      <w:r>
        <w:rPr>
          <w:rFonts w:cs="Arial Unicode MS" w:eastAsia="Arial Unicode MS" w:hint="default"/>
          <w:rtl w:val="0"/>
        </w:rPr>
        <w:t>ü</w:t>
      </w:r>
      <w:r>
        <w:rPr>
          <w:rFonts w:cs="Arial Unicode MS" w:eastAsia="Arial Unicode MS"/>
          <w:rtl w:val="0"/>
          <w:lang w:val="de-DE"/>
        </w:rPr>
        <w:t xml:space="preserve">den, </w:t>
      </w:r>
      <w:r>
        <w:rPr>
          <w:rFonts w:cs="Arial Unicode MS" w:eastAsia="Arial Unicode MS" w:hint="default"/>
          <w:rtl w:val="0"/>
          <w:lang w:val="en-US"/>
        </w:rPr>
        <w:t>‘</w:t>
      </w:r>
      <w:r>
        <w:rPr>
          <w:rFonts w:cs="Arial Unicode MS" w:eastAsia="Arial Unicode MS"/>
          <w:rtl w:val="0"/>
          <w:lang w:val="en-US"/>
        </w:rPr>
        <w:t>Minoanizing</w:t>
      </w:r>
      <w:r>
        <w:rPr>
          <w:rFonts w:cs="Arial Unicode MS" w:eastAsia="Arial Unicode MS" w:hint="default"/>
          <w:rtl w:val="0"/>
          <w:lang w:val="en-US"/>
        </w:rPr>
        <w:t>’</w:t>
      </w:r>
      <w:r>
        <w:rPr>
          <w:rFonts w:cs="Arial Unicode MS" w:eastAsia="Arial Unicode MS"/>
          <w:rtl w:val="0"/>
          <w:lang w:val="en-US"/>
        </w:rPr>
        <w:t>, pp. 1-2.</w:t>
      </w:r>
    </w:p>
  </w:footnote>
  <w:footnote w:id="88">
    <w:p>
      <w:pPr>
        <w:pStyle w:val="Footnote"/>
        <w:bidi w:val="0"/>
      </w:pPr>
      <w:r>
        <w:rPr>
          <w:vertAlign w:val="superscript"/>
        </w:rPr>
        <w:footnoteRef/>
      </w:r>
      <w:r>
        <w:rPr>
          <w:rFonts w:cs="Arial Unicode MS" w:eastAsia="Arial Unicode MS"/>
          <w:rtl w:val="0"/>
          <w:lang w:val="de-DE"/>
        </w:rPr>
        <w:t xml:space="preserve"> Niemeier and Niemeier, </w:t>
      </w:r>
      <w:r>
        <w:rPr>
          <w:rFonts w:cs="Arial Unicode MS" w:eastAsia="Arial Unicode MS" w:hint="default"/>
          <w:rtl w:val="1"/>
        </w:rPr>
        <w:t>‘</w:t>
      </w:r>
      <w:r>
        <w:rPr>
          <w:rFonts w:cs="Arial Unicode MS" w:eastAsia="Arial Unicode MS"/>
          <w:rtl w:val="0"/>
          <w:lang w:val="pt-PT"/>
        </w:rPr>
        <w:t>Frescoes</w:t>
      </w:r>
      <w:r>
        <w:rPr>
          <w:rFonts w:cs="Arial Unicode MS" w:eastAsia="Arial Unicode MS" w:hint="default"/>
          <w:rtl w:val="1"/>
        </w:rPr>
        <w:t>’</w:t>
      </w:r>
      <w:r>
        <w:rPr>
          <w:rFonts w:cs="Arial Unicode MS" w:eastAsia="Arial Unicode MS"/>
          <w:rtl w:val="0"/>
        </w:rPr>
        <w:t>, p. 94</w:t>
      </w:r>
      <w:r>
        <w:rPr>
          <w:rFonts w:cs="Arial Unicode MS" w:eastAsia="Arial Unicode MS"/>
          <w:rtl w:val="0"/>
          <w:lang w:val="en-US"/>
        </w:rPr>
        <w:t>.</w:t>
      </w:r>
    </w:p>
  </w:footnote>
  <w:footnote w:id="8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Davis, </w:t>
      </w:r>
      <w:r>
        <w:rPr>
          <w:rFonts w:cs="Arial Unicode MS" w:eastAsia="Arial Unicode MS" w:hint="default"/>
          <w:rtl w:val="0"/>
          <w:lang w:val="en-US"/>
        </w:rPr>
        <w:t>‘</w:t>
      </w:r>
      <w:r>
        <w:rPr>
          <w:rFonts w:cs="Arial Unicode MS" w:eastAsia="Arial Unicode MS"/>
          <w:rtl w:val="0"/>
          <w:lang w:val="en-US"/>
        </w:rPr>
        <w:t>Navigation</w:t>
      </w:r>
      <w:r>
        <w:rPr>
          <w:rFonts w:cs="Arial Unicode MS" w:eastAsia="Arial Unicode MS" w:hint="default"/>
          <w:rtl w:val="0"/>
          <w:lang w:val="en-US"/>
        </w:rPr>
        <w:t>’</w:t>
      </w:r>
      <w:r>
        <w:rPr>
          <w:rFonts w:cs="Arial Unicode MS" w:eastAsia="Arial Unicode MS"/>
          <w:rtl w:val="0"/>
          <w:lang w:val="en-US"/>
        </w:rPr>
        <w:t>, p.187.</w:t>
      </w:r>
    </w:p>
  </w:footnote>
  <w:footnote w:id="90">
    <w:p>
      <w:pPr>
        <w:pStyle w:val="Footnote"/>
        <w:bidi w:val="0"/>
      </w:pPr>
      <w:r>
        <w:rPr>
          <w:vertAlign w:val="superscript"/>
        </w:rPr>
        <w:footnoteRef/>
      </w:r>
      <w:r>
        <w:rPr>
          <w:rFonts w:cs="Arial Unicode MS" w:eastAsia="Arial Unicode MS"/>
          <w:rtl w:val="0"/>
          <w:lang w:val="fr-FR"/>
        </w:rPr>
        <w:t xml:space="preserve"> Chryssoulaki, </w:t>
      </w:r>
      <w:r>
        <w:rPr>
          <w:rFonts w:cs="Arial Unicode MS" w:eastAsia="Arial Unicode MS" w:hint="default"/>
          <w:rtl w:val="1"/>
        </w:rPr>
        <w:t>‘</w:t>
      </w:r>
      <w:r>
        <w:rPr>
          <w:rFonts w:cs="Arial Unicode MS" w:eastAsia="Arial Unicode MS"/>
          <w:rtl w:val="0"/>
          <w:lang w:val="en-US"/>
        </w:rPr>
        <w:t>Imaginary</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w:t>
      </w:r>
      <w:r>
        <w:rPr>
          <w:rFonts w:cs="Arial Unicode MS" w:eastAsia="Arial Unicode MS"/>
          <w:rtl w:val="0"/>
        </w:rPr>
        <w:t>79</w:t>
      </w:r>
      <w:r>
        <w:rPr>
          <w:rFonts w:cs="Arial Unicode MS" w:eastAsia="Arial Unicode MS"/>
          <w:rtl w:val="0"/>
          <w:lang w:val="en-US"/>
        </w:rPr>
        <w:t>.</w:t>
      </w:r>
    </w:p>
  </w:footnote>
  <w:footnote w:id="91">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0"/>
          <w:lang w:val="en-US"/>
        </w:rPr>
        <w:t>’</w:t>
      </w:r>
      <w:r>
        <w:rPr>
          <w:rFonts w:cs="Arial Unicode MS" w:eastAsia="Arial Unicode MS"/>
          <w:rtl w:val="0"/>
          <w:lang w:val="en-US"/>
        </w:rPr>
        <w:t>, p. 145.</w:t>
      </w:r>
    </w:p>
  </w:footnote>
  <w:footnote w:id="92">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0"/>
          <w:lang w:val="en-US"/>
        </w:rPr>
        <w:t>’</w:t>
      </w:r>
      <w:r>
        <w:rPr>
          <w:rFonts w:cs="Arial Unicode MS" w:eastAsia="Arial Unicode MS"/>
          <w:rtl w:val="0"/>
          <w:lang w:val="en-US"/>
        </w:rPr>
        <w:t>, p. 145.</w:t>
      </w:r>
    </w:p>
  </w:footnote>
  <w:footnote w:id="93">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0"/>
          <w:lang w:val="en-US"/>
        </w:rPr>
        <w:t>’</w:t>
      </w:r>
      <w:r>
        <w:rPr>
          <w:rFonts w:cs="Arial Unicode MS" w:eastAsia="Arial Unicode MS"/>
          <w:rtl w:val="0"/>
          <w:lang w:val="en-US"/>
        </w:rPr>
        <w:t>, p. 146.</w:t>
      </w:r>
    </w:p>
  </w:footnote>
  <w:footnote w:id="94">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0"/>
          <w:lang w:val="en-US"/>
        </w:rPr>
        <w:t>’</w:t>
      </w:r>
      <w:r>
        <w:rPr>
          <w:rFonts w:cs="Arial Unicode MS" w:eastAsia="Arial Unicode MS"/>
          <w:rtl w:val="0"/>
          <w:lang w:val="en-US"/>
        </w:rPr>
        <w:t>, p. 192.</w:t>
      </w:r>
    </w:p>
  </w:footnote>
  <w:footnote w:id="95">
    <w:p>
      <w:pPr>
        <w:pStyle w:val="Footnote"/>
        <w:bidi w:val="0"/>
      </w:pPr>
      <w:r>
        <w:rPr>
          <w:vertAlign w:val="superscript"/>
        </w:rPr>
        <w:footnoteRef/>
      </w:r>
      <w:r>
        <w:rPr>
          <w:rFonts w:cs="Arial Unicode MS" w:eastAsia="Arial Unicode MS"/>
          <w:rtl w:val="0"/>
        </w:rPr>
        <w:t xml:space="preserve"> Pimenta, </w:t>
      </w:r>
      <w:r>
        <w:rPr>
          <w:rFonts w:cs="Arial Unicode MS" w:eastAsia="Arial Unicode MS" w:hint="default"/>
          <w:rtl w:val="1"/>
        </w:rPr>
        <w:t>‘</w:t>
      </w:r>
      <w:r>
        <w:rPr>
          <w:rFonts w:cs="Arial Unicode MS" w:eastAsia="Arial Unicode MS"/>
          <w:rtl w:val="0"/>
          <w:lang w:val="en-US"/>
        </w:rPr>
        <w:t>Astronomy</w:t>
      </w:r>
      <w:r>
        <w:rPr>
          <w:rFonts w:cs="Arial Unicode MS" w:eastAsia="Arial Unicode MS" w:hint="default"/>
          <w:rtl w:val="1"/>
        </w:rPr>
        <w:t>’</w:t>
      </w:r>
      <w:r>
        <w:rPr>
          <w:rFonts w:cs="Arial Unicode MS" w:eastAsia="Arial Unicode MS"/>
          <w:rtl w:val="0"/>
        </w:rPr>
        <w:t>, p. 45</w:t>
      </w:r>
      <w:r>
        <w:rPr>
          <w:rFonts w:cs="Arial Unicode MS" w:eastAsia="Arial Unicode MS"/>
          <w:rtl w:val="0"/>
          <w:lang w:val="en-US"/>
        </w:rPr>
        <w:t>.</w:t>
      </w:r>
    </w:p>
  </w:footnote>
  <w:footnote w:id="96">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0"/>
          <w:lang w:val="en-US"/>
        </w:rPr>
        <w:t>’</w:t>
      </w:r>
      <w:r>
        <w:rPr>
          <w:rFonts w:cs="Arial Unicode MS" w:eastAsia="Arial Unicode MS"/>
          <w:rtl w:val="0"/>
          <w:lang w:val="en-US"/>
        </w:rPr>
        <w:t>, p. 59.</w:t>
      </w:r>
    </w:p>
  </w:footnote>
  <w:footnote w:id="97">
    <w:p>
      <w:pPr>
        <w:pStyle w:val="Footnote"/>
        <w:bidi w:val="0"/>
      </w:pPr>
      <w:r>
        <w:rPr>
          <w:vertAlign w:val="superscript"/>
        </w:rPr>
        <w:footnoteRef/>
      </w:r>
      <w:r>
        <w:rPr>
          <w:rFonts w:cs="Arial Unicode MS" w:eastAsia="Arial Unicode MS"/>
          <w:rtl w:val="0"/>
        </w:rPr>
        <w:t xml:space="preserve"> S</w:t>
      </w:r>
      <w:r>
        <w:rPr>
          <w:rFonts w:cs="Arial Unicode MS" w:eastAsia="Arial Unicode MS" w:hint="default"/>
          <w:rtl w:val="0"/>
          <w:lang w:val="da-DK"/>
        </w:rPr>
        <w:t>ø</w:t>
      </w:r>
      <w:r>
        <w:rPr>
          <w:rFonts w:cs="Arial Unicode MS" w:eastAsia="Arial Unicode MS"/>
          <w:rtl w:val="0"/>
          <w:lang w:val="da-DK"/>
        </w:rPr>
        <w:t xml:space="preserve">rensen, </w:t>
      </w:r>
      <w:r>
        <w:rPr>
          <w:rFonts w:cs="Arial Unicode MS" w:eastAsia="Arial Unicode MS" w:hint="default"/>
          <w:rtl w:val="0"/>
          <w:lang w:val="en-US"/>
        </w:rPr>
        <w:t>‘</w:t>
      </w:r>
      <w:r>
        <w:rPr>
          <w:rFonts w:cs="Arial Unicode MS" w:eastAsia="Arial Unicode MS"/>
          <w:rtl w:val="0"/>
          <w:lang w:val="en-US"/>
        </w:rPr>
        <w:t>Approaching</w:t>
      </w:r>
      <w:r>
        <w:rPr>
          <w:rFonts w:cs="Arial Unicode MS" w:eastAsia="Arial Unicode MS" w:hint="default"/>
          <w:rtl w:val="0"/>
          <w:lang w:val="en-US"/>
        </w:rPr>
        <w:t>’</w:t>
      </w:r>
      <w:r>
        <w:rPr>
          <w:rFonts w:cs="Arial Unicode MS" w:eastAsia="Arial Unicode MS"/>
          <w:rtl w:val="0"/>
          <w:lang w:val="en-US"/>
        </w:rPr>
        <w:t>, pp. 22, 25.</w:t>
      </w:r>
    </w:p>
  </w:footnote>
  <w:footnote w:id="98">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von R</w:t>
      </w:r>
      <w:r>
        <w:rPr>
          <w:rFonts w:cs="Arial Unicode MS" w:eastAsia="Arial Unicode MS" w:hint="default"/>
          <w:rtl w:val="0"/>
        </w:rPr>
        <w:t>ü</w:t>
      </w:r>
      <w:r>
        <w:rPr>
          <w:rFonts w:cs="Arial Unicode MS" w:eastAsia="Arial Unicode MS"/>
          <w:rtl w:val="0"/>
          <w:lang w:val="de-DE"/>
        </w:rPr>
        <w:t xml:space="preserve">den, </w:t>
      </w:r>
      <w:r>
        <w:rPr>
          <w:rFonts w:cs="Arial Unicode MS" w:eastAsia="Arial Unicode MS" w:hint="default"/>
          <w:rtl w:val="1"/>
        </w:rPr>
        <w:t>‘</w:t>
      </w:r>
      <w:r>
        <w:rPr>
          <w:rFonts w:cs="Arial Unicode MS" w:eastAsia="Arial Unicode MS"/>
          <w:rtl w:val="0"/>
          <w:lang w:val="en-US"/>
        </w:rPr>
        <w:t>Minoanizing</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p. 1.</w:t>
      </w:r>
    </w:p>
  </w:footnote>
  <w:footnote w:id="99">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0"/>
          <w:lang w:val="en-US"/>
        </w:rPr>
        <w:t>’</w:t>
      </w:r>
      <w:r>
        <w:rPr>
          <w:rFonts w:cs="Arial Unicode MS" w:eastAsia="Arial Unicode MS"/>
          <w:rtl w:val="0"/>
          <w:lang w:val="en-US"/>
        </w:rPr>
        <w:t>, p. 145.</w:t>
      </w:r>
    </w:p>
  </w:footnote>
  <w:footnote w:id="100">
    <w:p>
      <w:pPr>
        <w:pStyle w:val="Footnote"/>
        <w:bidi w:val="0"/>
      </w:pPr>
      <w:r>
        <w:rPr>
          <w:vertAlign w:val="superscript"/>
        </w:rPr>
        <w:footnoteRef/>
      </w:r>
      <w:r>
        <w:rPr>
          <w:rFonts w:cs="Arial Unicode MS" w:eastAsia="Arial Unicode MS"/>
          <w:rtl w:val="0"/>
          <w:lang w:val="da-DK"/>
        </w:rPr>
        <w:t xml:space="preserve"> Clive</w:t>
      </w:r>
      <w:r>
        <w:rPr>
          <w:rFonts w:cs="Arial Unicode MS" w:eastAsia="Arial Unicode MS"/>
          <w:rtl w:val="0"/>
          <w:lang w:val="en-US"/>
        </w:rPr>
        <w:t xml:space="preserve"> </w:t>
      </w:r>
      <w:r>
        <w:rPr>
          <w:rFonts w:cs="Arial Unicode MS" w:eastAsia="Arial Unicode MS"/>
          <w:rtl w:val="0"/>
          <w:lang w:val="en-US"/>
        </w:rPr>
        <w:t xml:space="preserve">Ruggles, </w:t>
      </w:r>
      <w:r>
        <w:rPr>
          <w:rFonts w:cs="Arial Unicode MS" w:eastAsia="Arial Unicode MS" w:hint="default"/>
          <w:rtl w:val="1"/>
        </w:rPr>
        <w:t>‘</w:t>
      </w:r>
      <w:r>
        <w:rPr>
          <w:rFonts w:cs="Arial Unicode MS" w:eastAsia="Arial Unicode MS"/>
          <w:rtl w:val="0"/>
          <w:lang w:val="en-US"/>
        </w:rPr>
        <w:t>Nature and Analysis of Material Evidence Relevant to Archaeoastronomy</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Handbook of Archaeoastronomy and Ethnoastronomy</w:t>
      </w:r>
      <w:r>
        <w:rPr>
          <w:rFonts w:cs="Arial Unicode MS" w:eastAsia="Arial Unicode MS"/>
          <w:rtl w:val="0"/>
        </w:rPr>
        <w:t xml:space="preserve"> (2015), </w:t>
      </w:r>
      <w:r>
        <w:rPr>
          <w:rFonts w:cs="Arial Unicode MS" w:eastAsia="Arial Unicode MS"/>
          <w:rtl w:val="0"/>
          <w:lang w:val="en-US"/>
        </w:rPr>
        <w:t>p. 354.</w:t>
      </w:r>
    </w:p>
  </w:footnote>
  <w:footnote w:id="101">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1"/>
        </w:rPr>
        <w:t>‘</w:t>
      </w:r>
      <w:r>
        <w:rPr>
          <w:rFonts w:cs="Arial Unicode MS" w:eastAsia="Arial Unicode MS"/>
          <w:rtl w:val="0"/>
          <w:lang w:val="fr-FR"/>
        </w:rPr>
        <w:t>Voyaging</w:t>
      </w:r>
      <w:r>
        <w:rPr>
          <w:rFonts w:cs="Arial Unicode MS" w:eastAsia="Arial Unicode MS" w:hint="default"/>
          <w:rtl w:val="1"/>
        </w:rPr>
        <w:t>’</w:t>
      </w:r>
      <w:r>
        <w:rPr>
          <w:rFonts w:cs="Arial Unicode MS" w:eastAsia="Arial Unicode MS"/>
          <w:rtl w:val="0"/>
        </w:rPr>
        <w:t xml:space="preserve">, </w:t>
      </w:r>
      <w:r>
        <w:rPr>
          <w:rFonts w:cs="Arial Unicode MS" w:eastAsia="Arial Unicode MS"/>
          <w:rtl w:val="0"/>
          <w:lang w:val="en-US"/>
        </w:rPr>
        <w:t>p.</w:t>
      </w:r>
      <w:r>
        <w:rPr>
          <w:rFonts w:cs="Arial Unicode MS" w:eastAsia="Arial Unicode MS"/>
          <w:rtl w:val="0"/>
        </w:rPr>
        <w:t xml:space="preserve"> 141</w:t>
      </w:r>
      <w:r>
        <w:rPr>
          <w:rFonts w:cs="Arial Unicode MS" w:eastAsia="Arial Unicode MS"/>
          <w:rtl w:val="0"/>
          <w:lang w:val="en-US"/>
        </w:rPr>
        <w:t>.</w:t>
      </w:r>
    </w:p>
  </w:footnote>
  <w:footnote w:id="102">
    <w:p>
      <w:pPr>
        <w:pStyle w:val="Footnote"/>
        <w:bidi w:val="0"/>
      </w:pPr>
      <w:r>
        <w:rPr>
          <w:vertAlign w:val="superscript"/>
        </w:rPr>
        <w:footnoteRef/>
      </w:r>
      <w:r>
        <w:rPr>
          <w:rFonts w:cs="Arial Unicode MS" w:eastAsia="Arial Unicode MS"/>
          <w:rtl w:val="0"/>
          <w:lang w:val="en-US"/>
        </w:rPr>
        <w:t xml:space="preserve"> Andrew</w:t>
      </w:r>
      <w:r>
        <w:rPr>
          <w:rFonts w:cs="Arial Unicode MS" w:eastAsia="Arial Unicode MS"/>
          <w:rtl w:val="0"/>
          <w:lang w:val="en-US"/>
        </w:rPr>
        <w:t xml:space="preserve"> </w:t>
      </w:r>
      <w:r>
        <w:rPr>
          <w:rFonts w:cs="Arial Unicode MS" w:eastAsia="Arial Unicode MS"/>
          <w:rtl w:val="0"/>
          <w:lang w:val="da-DK"/>
        </w:rPr>
        <w:t xml:space="preserve">Sharp, </w:t>
      </w:r>
      <w:r>
        <w:rPr>
          <w:rFonts w:cs="Arial Unicode MS" w:eastAsia="Arial Unicode MS" w:hint="default"/>
          <w:rtl w:val="1"/>
        </w:rPr>
        <w:t>‘</w:t>
      </w:r>
      <w:r>
        <w:rPr>
          <w:rFonts w:cs="Arial Unicode MS" w:eastAsia="Arial Unicode MS"/>
          <w:rtl w:val="0"/>
          <w:lang w:val="en-US"/>
        </w:rPr>
        <w:t>Polynesian Navigation to Distant Islands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The Journal of the Polynesian Society</w:t>
      </w:r>
      <w:r>
        <w:rPr>
          <w:rFonts w:cs="Arial Unicode MS" w:eastAsia="Arial Unicode MS"/>
          <w:rtl w:val="0"/>
        </w:rPr>
        <w:t xml:space="preserve"> (1961), </w:t>
      </w:r>
      <w:r>
        <w:rPr>
          <w:rFonts w:cs="Arial Unicode MS" w:eastAsia="Arial Unicode MS"/>
          <w:rtl w:val="0"/>
          <w:lang w:val="en-US"/>
        </w:rPr>
        <w:t xml:space="preserve">p. </w:t>
      </w:r>
      <w:r>
        <w:rPr>
          <w:rFonts w:cs="Arial Unicode MS" w:eastAsia="Arial Unicode MS"/>
          <w:rtl w:val="0"/>
        </w:rPr>
        <w:t>219</w:t>
      </w:r>
      <w:r>
        <w:rPr>
          <w:rFonts w:cs="Arial Unicode MS" w:eastAsia="Arial Unicode MS"/>
          <w:rtl w:val="0"/>
          <w:lang w:val="en-US"/>
        </w:rPr>
        <w:t>.</w:t>
      </w:r>
    </w:p>
  </w:footnote>
  <w:footnote w:id="103">
    <w:p>
      <w:pPr>
        <w:pStyle w:val="Footnote"/>
        <w:bidi w:val="0"/>
      </w:pPr>
      <w:r>
        <w:rPr>
          <w:vertAlign w:val="superscript"/>
        </w:rPr>
        <w:footnoteRef/>
      </w:r>
      <w:r>
        <w:rPr>
          <w:rFonts w:cs="Arial Unicode MS" w:eastAsia="Arial Unicode MS"/>
          <w:rtl w:val="0"/>
          <w:lang w:val="it-IT"/>
        </w:rPr>
        <w:t xml:space="preserve"> Geoffrey</w:t>
      </w:r>
      <w:r>
        <w:rPr>
          <w:rFonts w:cs="Arial Unicode MS" w:eastAsia="Arial Unicode MS"/>
          <w:rtl w:val="0"/>
          <w:lang w:val="en-US"/>
        </w:rPr>
        <w:t xml:space="preserve"> </w:t>
      </w:r>
      <w:r>
        <w:rPr>
          <w:rFonts w:cs="Arial Unicode MS" w:eastAsia="Arial Unicode MS"/>
          <w:rtl w:val="0"/>
          <w:lang w:val="en-US"/>
        </w:rPr>
        <w:t xml:space="preserve">Irwin, Simon Bickler, and Philip Quirke, </w:t>
      </w:r>
      <w:r>
        <w:rPr>
          <w:rFonts w:cs="Arial Unicode MS" w:eastAsia="Arial Unicode MS" w:hint="default"/>
          <w:rtl w:val="1"/>
        </w:rPr>
        <w:t>‘</w:t>
      </w:r>
      <w:r>
        <w:rPr>
          <w:rFonts w:cs="Arial Unicode MS" w:eastAsia="Arial Unicode MS"/>
          <w:rtl w:val="0"/>
          <w:lang w:val="en-US"/>
        </w:rPr>
        <w:t>Voyaging by Canoe and Computer: Experiments in the Settlement of the Pacific Ocean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fr-FR"/>
        </w:rPr>
        <w:t>Antiquity</w:t>
      </w:r>
      <w:r>
        <w:rPr>
          <w:rFonts w:cs="Arial Unicode MS" w:eastAsia="Arial Unicode MS"/>
          <w:rtl w:val="0"/>
        </w:rPr>
        <w:t xml:space="preserve">, 64 (1990), </w:t>
      </w:r>
      <w:r>
        <w:rPr>
          <w:rFonts w:cs="Arial Unicode MS" w:eastAsia="Arial Unicode MS"/>
          <w:rtl w:val="0"/>
          <w:lang w:val="en-US"/>
        </w:rPr>
        <w:t xml:space="preserve">p. </w:t>
      </w:r>
      <w:r>
        <w:rPr>
          <w:rFonts w:cs="Arial Unicode MS" w:eastAsia="Arial Unicode MS"/>
          <w:rtl w:val="0"/>
          <w:lang w:val="ru-RU"/>
        </w:rPr>
        <w:t>34</w:t>
      </w:r>
      <w:r>
        <w:rPr>
          <w:rFonts w:cs="Arial Unicode MS" w:eastAsia="Arial Unicode MS"/>
          <w:rtl w:val="0"/>
          <w:lang w:val="en-US"/>
        </w:rPr>
        <w:t>.</w:t>
      </w:r>
    </w:p>
  </w:footnote>
  <w:footnote w:id="104">
    <w:p>
      <w:pPr>
        <w:pStyle w:val="Footnote"/>
        <w:bidi w:val="0"/>
      </w:pPr>
      <w:r>
        <w:rPr>
          <w:vertAlign w:val="superscript"/>
        </w:rPr>
        <w:footnoteRef/>
      </w:r>
      <w:r>
        <w:rPr>
          <w:rFonts w:cs="Arial Unicode MS" w:eastAsia="Arial Unicode MS"/>
          <w:rtl w:val="0"/>
          <w:lang w:val="da-DK"/>
        </w:rPr>
        <w:t xml:space="preserve"> Marianne</w:t>
      </w:r>
      <w:r>
        <w:rPr>
          <w:rFonts w:cs="Arial Unicode MS" w:eastAsia="Arial Unicode MS"/>
          <w:rtl w:val="0"/>
          <w:lang w:val="en-US"/>
        </w:rPr>
        <w:t xml:space="preserve"> </w:t>
      </w:r>
      <w:r>
        <w:rPr>
          <w:rFonts w:cs="Arial Unicode MS" w:eastAsia="Arial Unicode MS"/>
          <w:rtl w:val="0"/>
        </w:rPr>
        <w:t xml:space="preserve">George, </w:t>
      </w:r>
      <w:r>
        <w:rPr>
          <w:rFonts w:cs="Arial Unicode MS" w:eastAsia="Arial Unicode MS" w:hint="default"/>
          <w:rtl w:val="1"/>
        </w:rPr>
        <w:t>‘</w:t>
      </w:r>
      <w:r>
        <w:rPr>
          <w:rFonts w:cs="Arial Unicode MS" w:eastAsia="Arial Unicode MS"/>
          <w:rtl w:val="0"/>
          <w:lang w:val="en-US"/>
        </w:rPr>
        <w:t xml:space="preserve">The Return of Lata: Building an Authentic Polynesian Voyaging Canoe', </w:t>
      </w:r>
      <w:r>
        <w:rPr>
          <w:rFonts w:cs="Arial Unicode MS" w:eastAsia="Arial Unicode MS"/>
          <w:i w:val="1"/>
          <w:iCs w:val="1"/>
          <w:rtl w:val="0"/>
          <w:lang w:val="en-US"/>
        </w:rPr>
        <w:t>Sea History Journal</w:t>
      </w:r>
      <w:r>
        <w:rPr>
          <w:rFonts w:cs="Arial Unicode MS" w:eastAsia="Arial Unicode MS"/>
          <w:rtl w:val="0"/>
        </w:rPr>
        <w:t xml:space="preserve">, 84 (1998), </w:t>
      </w:r>
      <w:r>
        <w:rPr>
          <w:rFonts w:cs="Arial Unicode MS" w:eastAsia="Arial Unicode MS"/>
          <w:rtl w:val="0"/>
          <w:lang w:val="en-US"/>
        </w:rPr>
        <w:t xml:space="preserve">p. </w:t>
      </w:r>
      <w:r>
        <w:rPr>
          <w:rFonts w:cs="Arial Unicode MS" w:eastAsia="Arial Unicode MS"/>
          <w:rtl w:val="0"/>
        </w:rPr>
        <w:t>40</w:t>
      </w:r>
      <w:r>
        <w:rPr>
          <w:rFonts w:cs="Arial Unicode MS" w:eastAsia="Arial Unicode MS"/>
          <w:rtl w:val="0"/>
          <w:lang w:val="en-US"/>
        </w:rPr>
        <w:t>-42.</w:t>
      </w:r>
    </w:p>
  </w:footnote>
  <w:footnote w:id="105">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Puckett</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it-IT"/>
        </w:rPr>
        <w:t>Phoenician</w:t>
      </w:r>
      <w:r>
        <w:rPr>
          <w:rFonts w:cs="Arial Unicode MS" w:eastAsia="Arial Unicode MS" w:hint="default"/>
          <w:rtl w:val="0"/>
          <w:lang w:val="en-US"/>
        </w:rPr>
        <w:t>’</w:t>
      </w:r>
      <w:r>
        <w:rPr>
          <w:rFonts w:cs="Arial Unicode MS" w:eastAsia="Arial Unicode MS"/>
          <w:rtl w:val="0"/>
          <w:lang w:val="en-US"/>
        </w:rPr>
        <w:t xml:space="preserve">, p. </w:t>
      </w:r>
      <w:r>
        <w:rPr>
          <w:rFonts w:cs="Arial Unicode MS" w:eastAsia="Arial Unicode MS"/>
          <w:rtl w:val="0"/>
        </w:rPr>
        <w:t>50</w:t>
      </w:r>
      <w:r>
        <w:rPr>
          <w:rFonts w:cs="Arial Unicode MS" w:eastAsia="Arial Unicode MS"/>
          <w:rtl w:val="0"/>
          <w:lang w:val="en-US"/>
        </w:rPr>
        <w:t>.</w:t>
      </w:r>
    </w:p>
  </w:footnote>
  <w:footnote w:id="106">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177, p. 56.</w:t>
      </w:r>
    </w:p>
  </w:footnote>
  <w:footnote w:id="10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Tartaron,</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Networks</w:t>
      </w:r>
      <w:r>
        <w:rPr>
          <w:rFonts w:cs="Arial Unicode MS" w:eastAsia="Arial Unicode MS" w:hint="default"/>
          <w:rtl w:val="0"/>
          <w:lang w:val="en-US"/>
        </w:rPr>
        <w:t>’</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 xml:space="preserve">p. </w:t>
      </w:r>
      <w:r>
        <w:rPr>
          <w:rFonts w:cs="Arial Unicode MS" w:eastAsia="Arial Unicode MS"/>
          <w:rtl w:val="0"/>
        </w:rPr>
        <w:t>126</w:t>
      </w:r>
      <w:r>
        <w:rPr>
          <w:rFonts w:cs="Arial Unicode MS" w:eastAsia="Arial Unicode MS"/>
          <w:rtl w:val="0"/>
          <w:lang w:val="en-US"/>
        </w:rPr>
        <w:t>.</w:t>
      </w:r>
    </w:p>
  </w:footnote>
  <w:footnote w:id="108">
    <w:p>
      <w:pPr>
        <w:pStyle w:val="Footnote"/>
        <w:bidi w:val="0"/>
      </w:pPr>
      <w:r>
        <w:rPr>
          <w:vertAlign w:val="superscript"/>
        </w:rPr>
        <w:footnoteRef/>
      </w:r>
      <w:r>
        <w:rPr>
          <w:rFonts w:cs="Arial Unicode MS" w:eastAsia="Arial Unicode MS"/>
          <w:rtl w:val="0"/>
          <w:lang w:val="en-US"/>
        </w:rPr>
        <w:t xml:space="preserve"> Kursh and Kreps, </w:t>
      </w:r>
      <w:r>
        <w:rPr>
          <w:rFonts w:cs="Arial Unicode MS" w:eastAsia="Arial Unicode MS" w:hint="default"/>
          <w:rtl w:val="0"/>
          <w:lang w:val="en-US"/>
        </w:rPr>
        <w:t>‘</w:t>
      </w:r>
      <w:r>
        <w:rPr>
          <w:rFonts w:cs="Arial Unicode MS" w:eastAsia="Arial Unicode MS"/>
          <w:rtl w:val="0"/>
          <w:lang w:val="en-US"/>
        </w:rPr>
        <w:t>Starpaths</w:t>
      </w:r>
      <w:r>
        <w:rPr>
          <w:rFonts w:cs="Arial Unicode MS" w:eastAsia="Arial Unicode MS" w:hint="default"/>
          <w:rtl w:val="0"/>
          <w:lang w:val="en-US"/>
        </w:rPr>
        <w:t>’</w:t>
      </w:r>
      <w:r>
        <w:rPr>
          <w:rFonts w:cs="Arial Unicode MS" w:eastAsia="Arial Unicode MS"/>
          <w:rtl w:val="0"/>
          <w:lang w:val="en-US"/>
        </w:rPr>
        <w:t>, p. 335.</w:t>
      </w:r>
    </w:p>
  </w:footnote>
  <w:footnote w:id="109">
    <w:p>
      <w:pPr>
        <w:pStyle w:val="Footnote"/>
        <w:bidi w:val="0"/>
      </w:pPr>
      <w:r>
        <w:rPr>
          <w:vertAlign w:val="superscript"/>
        </w:rPr>
        <w:footnoteRef/>
      </w:r>
      <w:r>
        <w:rPr>
          <w:rFonts w:cs="Arial Unicode MS" w:eastAsia="Arial Unicode MS"/>
          <w:rtl w:val="0"/>
        </w:rPr>
        <w:t xml:space="preserve"> David</w:t>
      </w:r>
      <w:r>
        <w:rPr>
          <w:rFonts w:cs="Arial Unicode MS" w:eastAsia="Arial Unicode MS"/>
          <w:rtl w:val="0"/>
          <w:lang w:val="en-US"/>
        </w:rPr>
        <w:t xml:space="preserve"> </w:t>
      </w:r>
      <w:r>
        <w:rPr>
          <w:rFonts w:cs="Arial Unicode MS" w:eastAsia="Arial Unicode MS"/>
          <w:rtl w:val="0"/>
          <w:lang w:val="de-DE"/>
        </w:rPr>
        <w:t xml:space="preserve">Lewis, </w:t>
      </w:r>
      <w:r>
        <w:rPr>
          <w:rFonts w:cs="Arial Unicode MS" w:eastAsia="Arial Unicode MS"/>
          <w:i w:val="1"/>
          <w:iCs w:val="1"/>
          <w:rtl w:val="0"/>
          <w:lang w:val="en-US"/>
        </w:rPr>
        <w:t>We, the Navigators: The Ancient Art of Landfinding in the Pacific</w:t>
      </w:r>
      <w:r>
        <w:rPr>
          <w:rFonts w:cs="Arial Unicode MS" w:eastAsia="Arial Unicode MS"/>
          <w:i w:val="1"/>
          <w:iCs w:val="1"/>
          <w:rtl w:val="0"/>
          <w:lang w:val="en-US"/>
        </w:rPr>
        <w:t>,</w:t>
      </w:r>
      <w:r>
        <w:rPr>
          <w:rFonts w:cs="Arial Unicode MS" w:eastAsia="Arial Unicode MS"/>
          <w:rtl w:val="0"/>
          <w:lang w:val="en-US"/>
        </w:rPr>
        <w:t xml:space="preserve"> (University of Hawaii Press, 1994), p.</w:t>
      </w:r>
      <w:r>
        <w:rPr>
          <w:rFonts w:cs="Arial Unicode MS" w:eastAsia="Arial Unicode MS"/>
          <w:rtl w:val="0"/>
          <w:lang w:val="en-US"/>
        </w:rPr>
        <w:t xml:space="preserve"> 82.</w:t>
      </w:r>
    </w:p>
  </w:footnote>
  <w:footnote w:id="110">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1"/>
        </w:rPr>
        <w:t>‘</w:t>
      </w:r>
      <w:r>
        <w:rPr>
          <w:rFonts w:cs="Arial Unicode MS" w:eastAsia="Arial Unicode MS"/>
          <w:rtl w:val="0"/>
          <w:lang w:val="it-IT"/>
        </w:rPr>
        <w:t>Navigators</w:t>
      </w:r>
      <w:r>
        <w:rPr>
          <w:rFonts w:cs="Arial Unicode MS" w:eastAsia="Arial Unicode MS" w:hint="default"/>
          <w:rtl w:val="1"/>
        </w:rPr>
        <w:t>’</w:t>
      </w:r>
      <w:r>
        <w:rPr>
          <w:rFonts w:cs="Arial Unicode MS" w:eastAsia="Arial Unicode MS"/>
          <w:rtl w:val="0"/>
        </w:rPr>
        <w:t xml:space="preserve">, p. </w:t>
      </w:r>
      <w:r>
        <w:rPr>
          <w:rFonts w:cs="Arial Unicode MS" w:eastAsia="Arial Unicode MS"/>
          <w:rtl w:val="0"/>
          <w:lang w:val="en-US"/>
        </w:rPr>
        <w:t>84.</w:t>
      </w:r>
    </w:p>
  </w:footnote>
  <w:footnote w:id="111">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177.</w:t>
      </w:r>
    </w:p>
  </w:footnote>
  <w:footnote w:id="112">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1"/>
        </w:rPr>
        <w:t>‘</w:t>
      </w:r>
      <w:r>
        <w:rPr>
          <w:rFonts w:cs="Arial Unicode MS" w:eastAsia="Arial Unicode MS"/>
          <w:rtl w:val="0"/>
          <w:lang w:val="it-IT"/>
        </w:rPr>
        <w:t>Navigators</w:t>
      </w:r>
      <w:r>
        <w:rPr>
          <w:rFonts w:cs="Arial Unicode MS" w:eastAsia="Arial Unicode MS" w:hint="default"/>
          <w:rtl w:val="1"/>
        </w:rPr>
        <w:t>’</w:t>
      </w:r>
      <w:r>
        <w:rPr>
          <w:rFonts w:cs="Arial Unicode MS" w:eastAsia="Arial Unicode MS"/>
          <w:rtl w:val="0"/>
        </w:rPr>
        <w:t xml:space="preserve">, p. </w:t>
      </w:r>
      <w:r>
        <w:rPr>
          <w:rFonts w:cs="Arial Unicode MS" w:eastAsia="Arial Unicode MS"/>
          <w:rtl w:val="0"/>
          <w:lang w:val="en-US"/>
        </w:rPr>
        <w:t>98.</w:t>
      </w:r>
    </w:p>
  </w:footnote>
  <w:footnote w:id="113">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1"/>
        </w:rPr>
        <w:t>‘</w:t>
      </w:r>
      <w:r>
        <w:rPr>
          <w:rFonts w:cs="Arial Unicode MS" w:eastAsia="Arial Unicode MS"/>
          <w:rtl w:val="0"/>
          <w:lang w:val="it-IT"/>
        </w:rPr>
        <w:t>Navigators</w:t>
      </w:r>
      <w:r>
        <w:rPr>
          <w:rFonts w:cs="Arial Unicode MS" w:eastAsia="Arial Unicode MS" w:hint="default"/>
          <w:rtl w:val="1"/>
        </w:rPr>
        <w:t>’</w:t>
      </w:r>
      <w:r>
        <w:rPr>
          <w:rFonts w:cs="Arial Unicode MS" w:eastAsia="Arial Unicode MS"/>
          <w:rtl w:val="0"/>
        </w:rPr>
        <w:t xml:space="preserve">, p. </w:t>
      </w:r>
      <w:r>
        <w:rPr>
          <w:rFonts w:cs="Arial Unicode MS" w:eastAsia="Arial Unicode MS"/>
          <w:rtl w:val="0"/>
          <w:lang w:val="en-US"/>
        </w:rPr>
        <w:t>83.</w:t>
      </w:r>
    </w:p>
  </w:footnote>
  <w:footnote w:id="114">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1"/>
        </w:rPr>
        <w:t>‘</w:t>
      </w:r>
      <w:r>
        <w:rPr>
          <w:rFonts w:cs="Arial Unicode MS" w:eastAsia="Arial Unicode MS"/>
          <w:rtl w:val="0"/>
          <w:lang w:val="it-IT"/>
        </w:rPr>
        <w:t>Navigators</w:t>
      </w:r>
      <w:r>
        <w:rPr>
          <w:rFonts w:cs="Arial Unicode MS" w:eastAsia="Arial Unicode MS" w:hint="default"/>
          <w:rtl w:val="1"/>
        </w:rPr>
        <w:t>’</w:t>
      </w:r>
      <w:r>
        <w:rPr>
          <w:rFonts w:cs="Arial Unicode MS" w:eastAsia="Arial Unicode MS"/>
          <w:rtl w:val="0"/>
        </w:rPr>
        <w:t xml:space="preserve">, p. </w:t>
      </w:r>
      <w:r>
        <w:rPr>
          <w:rFonts w:cs="Arial Unicode MS" w:eastAsia="Arial Unicode MS"/>
          <w:rtl w:val="0"/>
          <w:lang w:val="en-US"/>
        </w:rPr>
        <w:t>100.</w:t>
      </w:r>
    </w:p>
  </w:footnote>
  <w:footnote w:id="115">
    <w:p>
      <w:pPr>
        <w:pStyle w:val="Footnote"/>
        <w:bidi w:val="0"/>
      </w:pPr>
      <w:r>
        <w:rPr>
          <w:vertAlign w:val="superscript"/>
        </w:rPr>
        <w:footnoteRef/>
      </w:r>
      <w:r>
        <w:rPr>
          <w:rFonts w:cs="Arial Unicode MS" w:eastAsia="Arial Unicode MS"/>
          <w:rtl w:val="0"/>
          <w:lang w:val="nl-NL"/>
        </w:rPr>
        <w:t xml:space="preserve"> Joel</w:t>
      </w:r>
      <w:r>
        <w:rPr>
          <w:rFonts w:cs="Arial Unicode MS" w:eastAsia="Arial Unicode MS"/>
          <w:rtl w:val="0"/>
          <w:lang w:val="en-US"/>
        </w:rPr>
        <w:t xml:space="preserve"> </w:t>
      </w:r>
      <w:r>
        <w:rPr>
          <w:rFonts w:cs="Arial Unicode MS" w:eastAsia="Arial Unicode MS"/>
          <w:rtl w:val="0"/>
          <w:lang w:val="da-DK"/>
        </w:rPr>
        <w:t xml:space="preserve">Silverberg, </w:t>
      </w:r>
      <w:r>
        <w:rPr>
          <w:rFonts w:cs="Arial Unicode MS" w:eastAsia="Arial Unicode MS" w:hint="default"/>
          <w:rtl w:val="1"/>
        </w:rPr>
        <w:t>‘</w:t>
      </w:r>
      <w:r>
        <w:rPr>
          <w:rFonts w:cs="Arial Unicode MS" w:eastAsia="Arial Unicode MS"/>
          <w:rtl w:val="0"/>
          <w:lang w:val="en-US"/>
        </w:rPr>
        <w:t>The Sailings: The Mathematics of Eighteenth Century Navigation in the American Colonies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Proceedings of the Canadian Society for the History and Philosophy of Mathematics</w:t>
      </w:r>
      <w:r>
        <w:rPr>
          <w:rFonts w:cs="Arial Unicode MS" w:eastAsia="Arial Unicode MS"/>
          <w:rtl w:val="0"/>
        </w:rPr>
        <w:t xml:space="preserve">, 18 (2005), </w:t>
      </w:r>
      <w:r>
        <w:rPr>
          <w:rFonts w:cs="Arial Unicode MS" w:eastAsia="Arial Unicode MS"/>
          <w:rtl w:val="0"/>
          <w:lang w:val="en-US"/>
        </w:rPr>
        <w:t>p.</w:t>
      </w:r>
      <w:r>
        <w:rPr>
          <w:rFonts w:cs="Arial Unicode MS" w:eastAsia="Arial Unicode MS"/>
          <w:rtl w:val="0"/>
        </w:rPr>
        <w:t xml:space="preserve"> 15</w:t>
      </w:r>
      <w:r>
        <w:rPr>
          <w:rFonts w:cs="Arial Unicode MS" w:eastAsia="Arial Unicode MS"/>
          <w:rtl w:val="0"/>
          <w:lang w:val="en-US"/>
        </w:rPr>
        <w:t>.</w:t>
      </w:r>
    </w:p>
  </w:footnote>
  <w:footnote w:id="116">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Ward H</w:t>
      </w:r>
      <w:r>
        <w:rPr>
          <w:rFonts w:cs="Arial Unicode MS" w:eastAsia="Arial Unicode MS"/>
          <w:rtl w:val="0"/>
          <w:lang w:val="en-US"/>
        </w:rPr>
        <w:t xml:space="preserve">. </w:t>
      </w:r>
      <w:r>
        <w:rPr>
          <w:rFonts w:cs="Arial Unicode MS" w:eastAsia="Arial Unicode MS"/>
          <w:rtl w:val="0"/>
          <w:lang w:val="en-US"/>
        </w:rPr>
        <w:t>Goodenough and Stephen D</w:t>
      </w:r>
      <w:r>
        <w:rPr>
          <w:rFonts w:cs="Arial Unicode MS" w:eastAsia="Arial Unicode MS"/>
          <w:rtl w:val="0"/>
          <w:lang w:val="en-US"/>
        </w:rPr>
        <w:t>.</w:t>
      </w:r>
      <w:r>
        <w:rPr>
          <w:rFonts w:cs="Arial Unicode MS" w:eastAsia="Arial Unicode MS"/>
          <w:rtl w:val="0"/>
          <w:lang w:val="da-DK"/>
        </w:rPr>
        <w:t xml:space="preserve"> Thomas, </w:t>
      </w:r>
      <w:r>
        <w:rPr>
          <w:rFonts w:cs="Arial Unicode MS" w:eastAsia="Arial Unicode MS" w:hint="default"/>
          <w:rtl w:val="1"/>
        </w:rPr>
        <w:t>‘</w:t>
      </w:r>
      <w:r>
        <w:rPr>
          <w:rFonts w:cs="Arial Unicode MS" w:eastAsia="Arial Unicode MS"/>
          <w:rtl w:val="0"/>
          <w:lang w:val="en-US"/>
        </w:rPr>
        <w:t>Traditional Navigation in the Western Pacific</w:t>
      </w:r>
      <w:r>
        <w:rPr>
          <w:rFonts w:cs="Arial Unicode MS" w:eastAsia="Arial Unicode MS" w:hint="default"/>
          <w:rtl w:val="1"/>
        </w:rPr>
        <w:t>’</w:t>
      </w:r>
      <w:r>
        <w:rPr>
          <w:rFonts w:cs="Arial Unicode MS" w:eastAsia="Arial Unicode MS"/>
          <w:rtl w:val="0"/>
          <w:lang w:val="en-US"/>
        </w:rPr>
        <w:t xml:space="preserve">, Expedition, 29 (1987), </w:t>
      </w:r>
      <w:r>
        <w:rPr>
          <w:rFonts w:cs="Arial Unicode MS" w:eastAsia="Arial Unicode MS"/>
          <w:rtl w:val="0"/>
          <w:lang w:val="en-US"/>
        </w:rPr>
        <w:t>p. 10.</w:t>
      </w:r>
    </w:p>
  </w:footnote>
  <w:footnote w:id="117">
    <w:p>
      <w:pPr>
        <w:pStyle w:val="Footnote"/>
        <w:bidi w:val="0"/>
      </w:pPr>
      <w:r>
        <w:rPr>
          <w:vertAlign w:val="superscript"/>
        </w:rPr>
        <w:footnoteRef/>
      </w:r>
      <w:r>
        <w:rPr>
          <w:rFonts w:cs="Arial Unicode MS" w:eastAsia="Arial Unicode MS"/>
          <w:rtl w:val="0"/>
          <w:lang w:val="en-US"/>
        </w:rPr>
        <w:t xml:space="preserve"> Arthur</w:t>
      </w:r>
      <w:r>
        <w:rPr>
          <w:rFonts w:cs="Arial Unicode MS" w:eastAsia="Arial Unicode MS"/>
          <w:rtl w:val="0"/>
          <w:lang w:val="en-US"/>
        </w:rPr>
        <w:t xml:space="preserve"> </w:t>
      </w:r>
      <w:r>
        <w:rPr>
          <w:rFonts w:cs="Arial Unicode MS" w:eastAsia="Arial Unicode MS"/>
          <w:rtl w:val="0"/>
          <w:lang w:val="fr-FR"/>
        </w:rPr>
        <w:t xml:space="preserve">Grimble, </w:t>
      </w:r>
      <w:r>
        <w:rPr>
          <w:rFonts w:cs="Arial Unicode MS" w:eastAsia="Arial Unicode MS" w:hint="default"/>
          <w:rtl w:val="1"/>
        </w:rPr>
        <w:t>‘</w:t>
      </w:r>
      <w:r>
        <w:rPr>
          <w:rFonts w:cs="Arial Unicode MS" w:eastAsia="Arial Unicode MS"/>
          <w:rtl w:val="0"/>
          <w:lang w:val="en-US"/>
        </w:rPr>
        <w:t>Gilbertese Astronomy and Astronomical Observances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The Journal of the Polynesian Society</w:t>
      </w:r>
      <w:r>
        <w:rPr>
          <w:rFonts w:cs="Arial Unicode MS" w:eastAsia="Arial Unicode MS"/>
          <w:rtl w:val="0"/>
        </w:rPr>
        <w:t xml:space="preserve">, 40 (1931), </w:t>
      </w:r>
      <w:r>
        <w:rPr>
          <w:rFonts w:cs="Arial Unicode MS" w:eastAsia="Arial Unicode MS"/>
          <w:rtl w:val="0"/>
          <w:lang w:val="en-US"/>
        </w:rPr>
        <w:t xml:space="preserve">p. </w:t>
      </w:r>
      <w:r>
        <w:rPr>
          <w:rFonts w:cs="Arial Unicode MS" w:eastAsia="Arial Unicode MS"/>
          <w:rtl w:val="0"/>
        </w:rPr>
        <w:t>197</w:t>
      </w:r>
      <w:r>
        <w:rPr>
          <w:rFonts w:cs="Arial Unicode MS" w:eastAsia="Arial Unicode MS"/>
          <w:rtl w:val="0"/>
          <w:lang w:val="en-US"/>
        </w:rPr>
        <w:t>.</w:t>
      </w:r>
    </w:p>
  </w:footnote>
  <w:footnote w:id="118">
    <w:p>
      <w:pPr>
        <w:pStyle w:val="Footnote"/>
        <w:bidi w:val="0"/>
      </w:pPr>
      <w:r>
        <w:rPr>
          <w:vertAlign w:val="superscript"/>
        </w:rPr>
        <w:footnoteRef/>
      </w:r>
      <w:r>
        <w:rPr>
          <w:rFonts w:cs="Arial Unicode MS" w:eastAsia="Arial Unicode MS"/>
          <w:rtl w:val="0"/>
        </w:rPr>
        <w:t xml:space="preserve"> S</w:t>
      </w:r>
      <w:r>
        <w:rPr>
          <w:rFonts w:cs="Arial Unicode MS" w:eastAsia="Arial Unicode MS"/>
          <w:rtl w:val="0"/>
          <w:lang w:val="en-US"/>
        </w:rPr>
        <w:t xml:space="preserve">ergey </w:t>
      </w:r>
      <w:r>
        <w:rPr>
          <w:rFonts w:cs="Arial Unicode MS" w:eastAsia="Arial Unicode MS"/>
          <w:rtl w:val="0"/>
        </w:rPr>
        <w:t xml:space="preserve">Zhitomirsky, </w:t>
      </w:r>
      <w:r>
        <w:rPr>
          <w:rFonts w:cs="Arial Unicode MS" w:eastAsia="Arial Unicode MS" w:hint="default"/>
          <w:rtl w:val="1"/>
        </w:rPr>
        <w:t>‘</w:t>
      </w:r>
      <w:r>
        <w:rPr>
          <w:rFonts w:cs="Arial Unicode MS" w:eastAsia="Arial Unicode MS"/>
          <w:rtl w:val="0"/>
          <w:lang w:val="nl-NL"/>
        </w:rPr>
        <w:t>Aratus</w:t>
      </w:r>
      <w:r>
        <w:rPr>
          <w:rFonts w:cs="Arial Unicode MS" w:eastAsia="Arial Unicode MS" w:hint="default"/>
          <w:rtl w:val="1"/>
        </w:rPr>
        <w:t>’“</w:t>
      </w:r>
      <w:r>
        <w:rPr>
          <w:rFonts w:cs="Arial Unicode MS" w:eastAsia="Arial Unicode MS"/>
          <w:rtl w:val="0"/>
          <w:lang w:val="nl-NL"/>
        </w:rPr>
        <w:t>Phaenomena</w:t>
      </w:r>
      <w:r>
        <w:rPr>
          <w:rFonts w:cs="Arial Unicode MS" w:eastAsia="Arial Unicode MS" w:hint="default"/>
          <w:rtl w:val="0"/>
        </w:rPr>
        <w:t>”</w:t>
      </w:r>
      <w:r>
        <w:rPr>
          <w:rFonts w:cs="Arial Unicode MS" w:eastAsia="Arial Unicode MS"/>
          <w:rtl w:val="0"/>
          <w:lang w:val="en-US"/>
        </w:rPr>
        <w:t>: Dating and Analysing Its Primary Source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Astronomical and astrophysical transactions</w:t>
      </w:r>
      <w:r>
        <w:rPr>
          <w:rFonts w:cs="Arial Unicode MS" w:eastAsia="Arial Unicode MS"/>
          <w:rtl w:val="0"/>
        </w:rPr>
        <w:t xml:space="preserve">, 17 (1999), </w:t>
      </w:r>
      <w:r>
        <w:rPr>
          <w:rFonts w:cs="Arial Unicode MS" w:eastAsia="Arial Unicode MS"/>
          <w:rtl w:val="0"/>
          <w:lang w:val="en-US"/>
        </w:rPr>
        <w:t>p. 498.</w:t>
      </w:r>
    </w:p>
  </w:footnote>
  <w:footnote w:id="119">
    <w:p>
      <w:pPr>
        <w:pStyle w:val="Footnote"/>
        <w:bidi w:val="0"/>
      </w:pPr>
      <w:r>
        <w:rPr>
          <w:vertAlign w:val="superscript"/>
        </w:rPr>
        <w:footnoteRef/>
      </w:r>
      <w:r>
        <w:rPr>
          <w:rFonts w:cs="Arial Unicode MS" w:eastAsia="Arial Unicode MS"/>
          <w:rtl w:val="0"/>
        </w:rPr>
        <w:t xml:space="preserve"> Zhitomirsky</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Aratus</w:t>
      </w:r>
      <w:r>
        <w:rPr>
          <w:rFonts w:cs="Arial Unicode MS" w:eastAsia="Arial Unicode MS" w:hint="default"/>
          <w:rtl w:val="0"/>
          <w:lang w:val="en-US"/>
        </w:rPr>
        <w:t xml:space="preserve">’ </w:t>
      </w:r>
      <w:r>
        <w:rPr>
          <w:rFonts w:cs="Arial Unicode MS" w:eastAsia="Arial Unicode MS"/>
          <w:rtl w:val="0"/>
          <w:lang w:val="en-US"/>
        </w:rPr>
        <w:t>p.</w:t>
      </w:r>
      <w:r>
        <w:rPr>
          <w:rFonts w:cs="Arial Unicode MS" w:eastAsia="Arial Unicode MS"/>
          <w:rtl w:val="0"/>
        </w:rPr>
        <w:t xml:space="preserve"> 493</w:t>
      </w:r>
      <w:r>
        <w:rPr>
          <w:rFonts w:cs="Arial Unicode MS" w:eastAsia="Arial Unicode MS"/>
          <w:rtl w:val="0"/>
          <w:lang w:val="en-US"/>
        </w:rPr>
        <w:t>.</w:t>
      </w:r>
    </w:p>
  </w:footnote>
  <w:footnote w:id="120">
    <w:p>
      <w:pPr>
        <w:pStyle w:val="Footnote"/>
        <w:bidi w:val="0"/>
      </w:pPr>
      <w:r>
        <w:rPr>
          <w:vertAlign w:val="superscript"/>
        </w:rPr>
        <w:footnoteRef/>
      </w:r>
      <w:r>
        <w:rPr>
          <w:rFonts w:cs="Arial Unicode MS" w:eastAsia="Arial Unicode MS"/>
          <w:rtl w:val="0"/>
        </w:rPr>
        <w:t xml:space="preserve"> Henriksson and Blomberg, </w:t>
      </w:r>
      <w:r>
        <w:rPr>
          <w:rFonts w:cs="Arial Unicode MS" w:eastAsia="Arial Unicode MS" w:hint="default"/>
          <w:rtl w:val="1"/>
        </w:rPr>
        <w:t>‘</w:t>
      </w:r>
      <w:r>
        <w:rPr>
          <w:rFonts w:cs="Arial Unicode MS" w:eastAsia="Arial Unicode MS"/>
          <w:rtl w:val="0"/>
          <w:lang w:val="en-US"/>
        </w:rPr>
        <w:t>Evidence</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72.</w:t>
      </w:r>
    </w:p>
  </w:footnote>
  <w:footnote w:id="121">
    <w:p>
      <w:pPr>
        <w:pStyle w:val="Footnote"/>
        <w:bidi w:val="0"/>
      </w:pPr>
      <w:r>
        <w:rPr>
          <w:vertAlign w:val="superscript"/>
        </w:rPr>
        <w:footnoteRef/>
      </w:r>
      <w:r>
        <w:rPr>
          <w:rFonts w:cs="Arial Unicode MS" w:eastAsia="Arial Unicode MS"/>
          <w:rtl w:val="0"/>
          <w:lang w:val="en-US"/>
        </w:rPr>
        <w:t xml:space="preserve"> Brady</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s-ES_tradnl"/>
        </w:rPr>
        <w:t>Stones</w:t>
      </w:r>
      <w:r>
        <w:rPr>
          <w:rFonts w:cs="Arial Unicode MS" w:eastAsia="Arial Unicode MS" w:hint="default"/>
          <w:rtl w:val="0"/>
          <w:lang w:val="en-US"/>
        </w:rPr>
        <w:t>’</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p. 3.</w:t>
      </w:r>
    </w:p>
  </w:footnote>
  <w:footnote w:id="122">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1"/>
        </w:rPr>
        <w:t>‘</w:t>
      </w:r>
      <w:r>
        <w:rPr>
          <w:rFonts w:cs="Arial Unicode MS" w:eastAsia="Arial Unicode MS"/>
          <w:rtl w:val="0"/>
          <w:lang w:val="it-IT"/>
        </w:rPr>
        <w:t>Navigators</w:t>
      </w:r>
      <w:r>
        <w:rPr>
          <w:rFonts w:cs="Arial Unicode MS" w:eastAsia="Arial Unicode MS" w:hint="default"/>
          <w:rtl w:val="1"/>
        </w:rPr>
        <w:t>’</w:t>
      </w:r>
      <w:r>
        <w:rPr>
          <w:rFonts w:cs="Arial Unicode MS" w:eastAsia="Arial Unicode MS"/>
          <w:rtl w:val="0"/>
        </w:rPr>
        <w:t>, p. 109</w:t>
      </w:r>
      <w:r>
        <w:rPr>
          <w:rFonts w:cs="Arial Unicode MS" w:eastAsia="Arial Unicode MS"/>
          <w:rtl w:val="0"/>
          <w:lang w:val="en-US"/>
        </w:rPr>
        <w:t>.</w:t>
      </w:r>
    </w:p>
  </w:footnote>
  <w:footnote w:id="123">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1"/>
        </w:rPr>
        <w:t>‘</w:t>
      </w:r>
      <w:r>
        <w:rPr>
          <w:rFonts w:cs="Arial Unicode MS" w:eastAsia="Arial Unicode MS"/>
          <w:rtl w:val="0"/>
          <w:lang w:val="it-IT"/>
        </w:rPr>
        <w:t>Navigators</w:t>
      </w:r>
      <w:r>
        <w:rPr>
          <w:rFonts w:cs="Arial Unicode MS" w:eastAsia="Arial Unicode MS" w:hint="default"/>
          <w:rtl w:val="1"/>
        </w:rPr>
        <w:t>’</w:t>
      </w:r>
      <w:r>
        <w:rPr>
          <w:rFonts w:cs="Arial Unicode MS" w:eastAsia="Arial Unicode MS"/>
          <w:rtl w:val="0"/>
        </w:rPr>
        <w:t>, p. 102</w:t>
      </w:r>
      <w:r>
        <w:rPr>
          <w:rFonts w:cs="Arial Unicode MS" w:eastAsia="Arial Unicode MS"/>
          <w:rtl w:val="0"/>
          <w:lang w:val="en-US"/>
        </w:rPr>
        <w:t>.</w:t>
      </w:r>
    </w:p>
  </w:footnote>
  <w:footnote w:id="124">
    <w:p>
      <w:pPr>
        <w:pStyle w:val="Footnote"/>
        <w:bidi w:val="0"/>
      </w:pPr>
      <w:r>
        <w:rPr>
          <w:vertAlign w:val="superscript"/>
        </w:rPr>
        <w:footnoteRef/>
      </w:r>
      <w:r>
        <w:rPr>
          <w:rFonts w:cs="Arial Unicode MS" w:eastAsia="Arial Unicode MS"/>
          <w:rtl w:val="0"/>
          <w:lang w:val="da-DK"/>
        </w:rPr>
        <w:t xml:space="preserve"> Thomas</w:t>
      </w:r>
      <w:r>
        <w:rPr>
          <w:rFonts w:cs="Arial Unicode MS" w:eastAsia="Arial Unicode MS"/>
          <w:rtl w:val="0"/>
          <w:lang w:val="en-US"/>
        </w:rPr>
        <w:t xml:space="preserve"> </w:t>
      </w:r>
      <w:r>
        <w:rPr>
          <w:rFonts w:cs="Arial Unicode MS" w:eastAsia="Arial Unicode MS"/>
          <w:rtl w:val="0"/>
          <w:lang w:val="nl-NL"/>
        </w:rPr>
        <w:t xml:space="preserve">Gladwin, </w:t>
      </w:r>
      <w:r>
        <w:rPr>
          <w:rFonts w:cs="Arial Unicode MS" w:eastAsia="Arial Unicode MS"/>
          <w:i w:val="1"/>
          <w:iCs w:val="1"/>
          <w:rtl w:val="0"/>
          <w:lang w:val="en-US"/>
        </w:rPr>
        <w:t xml:space="preserve">East Is a Big Bird: Navigation and Logic on Puluwat Atoll </w:t>
      </w:r>
      <w:r>
        <w:rPr>
          <w:rFonts w:cs="Arial Unicode MS" w:eastAsia="Arial Unicode MS"/>
          <w:rtl w:val="0"/>
          <w:lang w:val="en-US"/>
        </w:rPr>
        <w:t>(Harvard University Press, 2009)</w:t>
      </w:r>
      <w:r>
        <w:rPr>
          <w:rFonts w:cs="Arial Unicode MS" w:eastAsia="Arial Unicode MS"/>
          <w:rtl w:val="0"/>
          <w:lang w:val="en-US"/>
        </w:rPr>
        <w:t>, p.</w:t>
      </w:r>
      <w:r>
        <w:rPr>
          <w:rFonts w:cs="Arial Unicode MS" w:eastAsia="Arial Unicode MS"/>
          <w:rtl w:val="0"/>
        </w:rPr>
        <w:t xml:space="preserve"> 148</w:t>
      </w:r>
      <w:r>
        <w:rPr>
          <w:rFonts w:cs="Arial Unicode MS" w:eastAsia="Arial Unicode MS"/>
          <w:rtl w:val="0"/>
          <w:lang w:val="en-US"/>
        </w:rPr>
        <w:t>.</w:t>
      </w:r>
    </w:p>
  </w:footnote>
  <w:footnote w:id="125">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Ward Hunt</w:t>
      </w:r>
      <w:r>
        <w:rPr>
          <w:rFonts w:cs="Arial Unicode MS" w:eastAsia="Arial Unicode MS"/>
          <w:rtl w:val="0"/>
          <w:lang w:val="en-US"/>
        </w:rPr>
        <w:t xml:space="preserve"> </w:t>
      </w:r>
      <w:r>
        <w:rPr>
          <w:rFonts w:cs="Arial Unicode MS" w:eastAsia="Arial Unicode MS"/>
          <w:rtl w:val="0"/>
          <w:lang w:val="en-US"/>
        </w:rPr>
        <w:t xml:space="preserve">Goodenough, </w:t>
      </w:r>
      <w:r>
        <w:rPr>
          <w:rFonts w:cs="Arial Unicode MS" w:eastAsia="Arial Unicode MS"/>
          <w:i w:val="1"/>
          <w:iCs w:val="1"/>
          <w:rtl w:val="0"/>
          <w:lang w:val="en-US"/>
        </w:rPr>
        <w:t>Native Astronomy in the Central Carolines</w:t>
      </w:r>
      <w:r>
        <w:rPr>
          <w:rFonts w:cs="Arial Unicode MS" w:eastAsia="Arial Unicode MS"/>
          <w:rtl w:val="0"/>
          <w:lang w:val="en-US"/>
        </w:rPr>
        <w:t xml:space="preserve"> (University Museum, University of Pennsylvania, 1953)</w:t>
      </w:r>
      <w:r>
        <w:rPr>
          <w:rFonts w:cs="Arial Unicode MS" w:eastAsia="Arial Unicode MS"/>
          <w:rtl w:val="0"/>
          <w:lang w:val="en-US"/>
        </w:rPr>
        <w:t xml:space="preserve">, </w:t>
      </w:r>
      <w:r>
        <w:rPr>
          <w:rFonts w:cs="Arial Unicode MS" w:eastAsia="Arial Unicode MS"/>
          <w:rtl w:val="0"/>
        </w:rPr>
        <w:t>p. 7</w:t>
      </w:r>
      <w:r>
        <w:rPr>
          <w:rFonts w:cs="Arial Unicode MS" w:eastAsia="Arial Unicode MS"/>
          <w:rtl w:val="0"/>
          <w:lang w:val="en-US"/>
        </w:rPr>
        <w:t xml:space="preserve">; and </w:t>
      </w:r>
      <w:r>
        <w:rPr>
          <w:rFonts w:cs="Arial Unicode MS" w:eastAsia="Arial Unicode MS"/>
          <w:rtl w:val="0"/>
          <w:lang w:val="da-DK"/>
        </w:rPr>
        <w:t>Michael David</w:t>
      </w:r>
      <w:r>
        <w:rPr>
          <w:rFonts w:cs="Arial Unicode MS" w:eastAsia="Arial Unicode MS"/>
          <w:rtl w:val="0"/>
          <w:lang w:val="en-US"/>
        </w:rPr>
        <w:t xml:space="preserve"> </w:t>
      </w:r>
      <w:r>
        <w:rPr>
          <w:rFonts w:cs="Arial Unicode MS" w:eastAsia="Arial Unicode MS"/>
          <w:rtl w:val="0"/>
        </w:rPr>
        <w:t>Halpern</w:t>
      </w:r>
      <w:r>
        <w:rPr>
          <w:rFonts w:cs="Arial Unicode MS" w:eastAsia="Arial Unicode MS"/>
          <w:rtl w:val="0"/>
          <w:lang w:val="en-US"/>
        </w:rPr>
        <w:t>,</w:t>
      </w:r>
      <w:r>
        <w:rPr>
          <w:rFonts w:cs="Arial Unicode MS" w:eastAsia="Arial Unicode MS" w:hint="default"/>
          <w:rtl w:val="1"/>
        </w:rPr>
        <w:t xml:space="preserve"> ‘</w:t>
      </w:r>
      <w:r>
        <w:rPr>
          <w:rFonts w:cs="Arial Unicode MS" w:eastAsia="Arial Unicode MS"/>
          <w:rtl w:val="0"/>
          <w:lang w:val="en-US"/>
        </w:rPr>
        <w:t>The Origins of the Carolinian Sidereal Compass</w:t>
      </w:r>
      <w:r>
        <w:rPr>
          <w:rFonts w:cs="Arial Unicode MS" w:eastAsia="Arial Unicode MS" w:hint="default"/>
          <w:rtl w:val="0"/>
          <w:lang w:val="en-US"/>
        </w:rPr>
        <w:t>’</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lang w:val="en-US"/>
        </w:rPr>
        <w:t>Texas A&amp;M University 1985</w:t>
      </w:r>
      <w:r>
        <w:rPr>
          <w:rFonts w:cs="Arial Unicode MS" w:eastAsia="Arial Unicode MS"/>
          <w:rtl w:val="0"/>
          <w:lang w:val="en-US"/>
        </w:rPr>
        <w:t xml:space="preserve">), p. 27; and </w:t>
      </w:r>
      <w:r>
        <w:rPr>
          <w:rFonts w:cs="Arial Unicode MS" w:eastAsia="Arial Unicode MS"/>
          <w:rtl w:val="0"/>
        </w:rPr>
        <w:t xml:space="preserve">Pimenta, </w:t>
      </w:r>
      <w:r>
        <w:rPr>
          <w:rFonts w:cs="Arial Unicode MS" w:eastAsia="Arial Unicode MS" w:hint="default"/>
          <w:rtl w:val="1"/>
        </w:rPr>
        <w:t>‘</w:t>
      </w:r>
      <w:r>
        <w:rPr>
          <w:rFonts w:cs="Arial Unicode MS" w:eastAsia="Arial Unicode MS"/>
          <w:rtl w:val="0"/>
          <w:lang w:val="en-US"/>
        </w:rPr>
        <w:t>Astronomy</w:t>
      </w:r>
      <w:r>
        <w:rPr>
          <w:rFonts w:cs="Arial Unicode MS" w:eastAsia="Arial Unicode MS" w:hint="default"/>
          <w:rtl w:val="1"/>
        </w:rPr>
        <w:t>’</w:t>
      </w:r>
      <w:r>
        <w:rPr>
          <w:rFonts w:cs="Arial Unicode MS" w:eastAsia="Arial Unicode MS"/>
          <w:rtl w:val="0"/>
        </w:rPr>
        <w:t xml:space="preserve">, </w:t>
      </w:r>
      <w:r>
        <w:rPr>
          <w:rFonts w:cs="Arial Unicode MS" w:eastAsia="Arial Unicode MS"/>
          <w:rtl w:val="0"/>
          <w:lang w:val="en-US"/>
        </w:rPr>
        <w:t>p</w:t>
      </w:r>
      <w:r>
        <w:rPr>
          <w:rFonts w:cs="Arial Unicode MS" w:eastAsia="Arial Unicode MS"/>
          <w:rtl w:val="0"/>
        </w:rPr>
        <w:t>p.</w:t>
      </w:r>
      <w:r>
        <w:rPr>
          <w:rFonts w:cs="Arial Unicode MS" w:eastAsia="Arial Unicode MS"/>
          <w:rtl w:val="0"/>
          <w:lang w:val="en-US"/>
        </w:rPr>
        <w:t xml:space="preserve"> 47-48.</w:t>
      </w:r>
    </w:p>
  </w:footnote>
  <w:footnote w:id="126">
    <w:p>
      <w:pPr>
        <w:pStyle w:val="Footnote"/>
        <w:bidi w:val="0"/>
      </w:pPr>
      <w:r>
        <w:rPr>
          <w:vertAlign w:val="superscript"/>
        </w:rPr>
        <w:footnoteRef/>
      </w:r>
      <w:r>
        <w:rPr>
          <w:rFonts w:cs="Arial Unicode MS" w:eastAsia="Arial Unicode MS"/>
          <w:rtl w:val="0"/>
        </w:rPr>
        <w:t xml:space="preserve"> al-Najd</w:t>
      </w:r>
      <w:r>
        <w:rPr>
          <w:rFonts w:cs="Arial Unicode MS" w:eastAsia="Arial Unicode MS" w:hint="default"/>
          <w:rtl w:val="0"/>
        </w:rPr>
        <w:t>ī</w:t>
      </w:r>
      <w:r>
        <w:rPr>
          <w:rFonts w:cs="Arial Unicode MS" w:eastAsia="Arial Unicode MS"/>
          <w:rtl w:val="0"/>
          <w:lang w:val="da-DK"/>
        </w:rPr>
        <w:t>, A.I.M., A.I.M. al-Nadjd</w:t>
      </w:r>
      <w:r>
        <w:rPr>
          <w:rFonts w:cs="Arial Unicode MS" w:eastAsia="Arial Unicode MS" w:hint="default"/>
          <w:rtl w:val="0"/>
        </w:rPr>
        <w:t>ī</w:t>
      </w:r>
      <w:r>
        <w:rPr>
          <w:rFonts w:cs="Arial Unicode MS" w:eastAsia="Arial Unicode MS"/>
          <w:rtl w:val="0"/>
        </w:rPr>
        <w:t>, A.M. Sa</w:t>
      </w:r>
      <w:r>
        <w:rPr>
          <w:rFonts w:cs="Arial Unicode MS" w:eastAsia="Arial Unicode MS" w:hint="default"/>
          <w:rtl w:val="0"/>
        </w:rPr>
        <w:t>ʿ</w:t>
      </w:r>
      <w:r>
        <w:rPr>
          <w:rFonts w:cs="Arial Unicode MS" w:eastAsia="Arial Unicode MS"/>
          <w:rtl w:val="0"/>
        </w:rPr>
        <w:t>d</w:t>
      </w:r>
      <w:r>
        <w:rPr>
          <w:rFonts w:cs="Arial Unicode MS" w:eastAsia="Arial Unicode MS" w:hint="default"/>
          <w:rtl w:val="0"/>
        </w:rPr>
        <w:t>ī</w:t>
      </w:r>
      <w:r>
        <w:rPr>
          <w:rFonts w:cs="Arial Unicode MS" w:eastAsia="Arial Unicode MS"/>
          <w:rtl w:val="0"/>
          <w:lang w:val="en-US"/>
        </w:rPr>
        <w:t xml:space="preserve">, G.R. Tibbetts, and A.M. al-Sadi, </w:t>
      </w:r>
      <w:r>
        <w:rPr>
          <w:rFonts w:cs="Arial Unicode MS" w:eastAsia="Arial Unicode MS"/>
          <w:i w:val="1"/>
          <w:iCs w:val="1"/>
          <w:rtl w:val="0"/>
          <w:lang w:val="en-US"/>
        </w:rPr>
        <w:t>Arab Navigation in the Indian Ocean before the Coming of the Portuguese: Being a Translation of Kit</w:t>
      </w:r>
      <w:r>
        <w:rPr>
          <w:rFonts w:cs="Arial Unicode MS" w:eastAsia="Arial Unicode MS" w:hint="default"/>
          <w:i w:val="1"/>
          <w:iCs w:val="1"/>
          <w:rtl w:val="0"/>
        </w:rPr>
        <w:t>ā</w:t>
      </w:r>
      <w:r>
        <w:rPr>
          <w:rFonts w:cs="Arial Unicode MS" w:eastAsia="Arial Unicode MS"/>
          <w:i w:val="1"/>
          <w:iCs w:val="1"/>
          <w:rtl w:val="0"/>
          <w:lang w:val="de-DE"/>
        </w:rPr>
        <w:t>b Al-Faw</w:t>
      </w:r>
      <w:r>
        <w:rPr>
          <w:rFonts w:cs="Arial Unicode MS" w:eastAsia="Arial Unicode MS" w:hint="default"/>
          <w:i w:val="1"/>
          <w:iCs w:val="1"/>
          <w:rtl w:val="0"/>
        </w:rPr>
        <w:t>ā</w:t>
      </w:r>
      <w:r>
        <w:rPr>
          <w:rFonts w:cs="Arial Unicode MS" w:eastAsia="Arial Unicode MS"/>
          <w:i w:val="1"/>
          <w:iCs w:val="1"/>
          <w:rtl w:val="0"/>
        </w:rPr>
        <w:t>i</w:t>
      </w:r>
      <w:r>
        <w:rPr>
          <w:rFonts w:cs="Arial Unicode MS" w:eastAsia="Arial Unicode MS" w:hint="default"/>
          <w:i w:val="1"/>
          <w:iCs w:val="1"/>
          <w:rtl w:val="0"/>
        </w:rPr>
        <w:t>̓</w:t>
      </w:r>
      <w:r>
        <w:rPr>
          <w:rFonts w:cs="Arial Unicode MS" w:eastAsia="Arial Unicode MS"/>
          <w:i w:val="1"/>
          <w:iCs w:val="1"/>
          <w:rtl w:val="0"/>
        </w:rPr>
        <w:t>Df</w:t>
      </w:r>
      <w:r>
        <w:rPr>
          <w:rFonts w:cs="Arial Unicode MS" w:eastAsia="Arial Unicode MS" w:hint="default"/>
          <w:i w:val="1"/>
          <w:iCs w:val="1"/>
          <w:rtl w:val="0"/>
        </w:rPr>
        <w:t xml:space="preserve">ī </w:t>
      </w:r>
      <w:r>
        <w:rPr>
          <w:rFonts w:cs="Arial Unicode MS" w:eastAsia="Arial Unicode MS"/>
          <w:i w:val="1"/>
          <w:iCs w:val="1"/>
          <w:rtl w:val="0"/>
        </w:rPr>
        <w:t>Us</w:t>
      </w:r>
      <w:r>
        <w:rPr>
          <w:rFonts w:cs="Arial Unicode MS" w:eastAsia="Arial Unicode MS" w:hint="default"/>
          <w:i w:val="1"/>
          <w:iCs w:val="1"/>
          <w:rtl w:val="0"/>
        </w:rPr>
        <w:t>ū</w:t>
      </w:r>
      <w:r>
        <w:rPr>
          <w:rFonts w:cs="Arial Unicode MS" w:eastAsia="Arial Unicode MS"/>
          <w:i w:val="1"/>
          <w:iCs w:val="1"/>
          <w:rtl w:val="0"/>
          <w:lang w:val="de-DE"/>
        </w:rPr>
        <w:t>l Al-Bahr Wa</w:t>
      </w:r>
      <w:r>
        <w:rPr>
          <w:rFonts w:cs="Arial Unicode MS" w:eastAsia="Arial Unicode MS" w:hint="default"/>
          <w:i w:val="1"/>
          <w:iCs w:val="1"/>
          <w:rtl w:val="1"/>
        </w:rPr>
        <w:t>’</w:t>
      </w:r>
      <w:r>
        <w:rPr>
          <w:rFonts w:cs="Arial Unicode MS" w:eastAsia="Arial Unicode MS"/>
          <w:i w:val="1"/>
          <w:iCs w:val="1"/>
          <w:rtl w:val="0"/>
        </w:rPr>
        <w:t>l-Qaw</w:t>
      </w:r>
      <w:r>
        <w:rPr>
          <w:rFonts w:cs="Arial Unicode MS" w:eastAsia="Arial Unicode MS" w:hint="default"/>
          <w:i w:val="1"/>
          <w:iCs w:val="1"/>
          <w:rtl w:val="1"/>
        </w:rPr>
        <w:t>ā’</w:t>
      </w:r>
      <w:r>
        <w:rPr>
          <w:rFonts w:cs="Arial Unicode MS" w:eastAsia="Arial Unicode MS"/>
          <w:i w:val="1"/>
          <w:iCs w:val="1"/>
          <w:rtl w:val="0"/>
          <w:lang w:val="en-US"/>
        </w:rPr>
        <w:t>id of Ahmad B. M</w:t>
      </w:r>
      <w:r>
        <w:rPr>
          <w:rFonts w:cs="Arial Unicode MS" w:eastAsia="Arial Unicode MS" w:hint="default"/>
          <w:i w:val="1"/>
          <w:iCs w:val="1"/>
          <w:rtl w:val="0"/>
        </w:rPr>
        <w:t>ā</w:t>
      </w:r>
      <w:r>
        <w:rPr>
          <w:rFonts w:cs="Arial Unicode MS" w:eastAsia="Arial Unicode MS"/>
          <w:i w:val="1"/>
          <w:iCs w:val="1"/>
          <w:rtl w:val="0"/>
        </w:rPr>
        <w:t>jid Al-Najd</w:t>
      </w:r>
      <w:r>
        <w:rPr>
          <w:rFonts w:cs="Arial Unicode MS" w:eastAsia="Arial Unicode MS" w:hint="default"/>
          <w:i w:val="1"/>
          <w:iCs w:val="1"/>
          <w:rtl w:val="0"/>
        </w:rPr>
        <w:t>ī</w:t>
      </w:r>
      <w:r>
        <w:rPr>
          <w:rFonts w:cs="Arial Unicode MS" w:eastAsia="Arial Unicode MS"/>
          <w:rtl w:val="0"/>
          <w:lang w:val="en-US"/>
        </w:rPr>
        <w:t xml:space="preserve"> (Royal Asiatic Society of Great Britain and Ireland, 1971)</w:t>
      </w:r>
      <w:r>
        <w:rPr>
          <w:rFonts w:cs="Arial Unicode MS" w:eastAsia="Arial Unicode MS"/>
          <w:rtl w:val="0"/>
          <w:lang w:val="en-US"/>
        </w:rPr>
        <w:t xml:space="preserve">, pp. 294-298; and </w:t>
      </w:r>
      <w:r>
        <w:rPr>
          <w:rFonts w:cs="Arial Unicode MS" w:eastAsia="Arial Unicode MS"/>
          <w:rtl w:val="0"/>
        </w:rPr>
        <w:t xml:space="preserve">Pimenta, </w:t>
      </w:r>
      <w:r>
        <w:rPr>
          <w:rFonts w:cs="Arial Unicode MS" w:eastAsia="Arial Unicode MS" w:hint="default"/>
          <w:rtl w:val="1"/>
        </w:rPr>
        <w:t>‘</w:t>
      </w:r>
      <w:r>
        <w:rPr>
          <w:rFonts w:cs="Arial Unicode MS" w:eastAsia="Arial Unicode MS"/>
          <w:rtl w:val="0"/>
          <w:lang w:val="en-US"/>
        </w:rPr>
        <w:t>Astronomy</w:t>
      </w:r>
      <w:r>
        <w:rPr>
          <w:rFonts w:cs="Arial Unicode MS" w:eastAsia="Arial Unicode MS" w:hint="default"/>
          <w:rtl w:val="1"/>
        </w:rPr>
        <w:t>’</w:t>
      </w:r>
      <w:r>
        <w:rPr>
          <w:rFonts w:cs="Arial Unicode MS" w:eastAsia="Arial Unicode MS"/>
          <w:rtl w:val="0"/>
        </w:rPr>
        <w:t>, p. 4</w:t>
      </w:r>
      <w:r>
        <w:rPr>
          <w:rFonts w:cs="Arial Unicode MS" w:eastAsia="Arial Unicode MS"/>
          <w:rtl w:val="0"/>
          <w:lang w:val="en-US"/>
        </w:rPr>
        <w:t>9.</w:t>
      </w:r>
    </w:p>
  </w:footnote>
  <w:footnote w:id="127">
    <w:p>
      <w:pPr>
        <w:pStyle w:val="Footnote"/>
        <w:bidi w:val="0"/>
      </w:pPr>
      <w:r>
        <w:rPr>
          <w:vertAlign w:val="superscript"/>
        </w:rPr>
        <w:footnoteRef/>
      </w:r>
      <w:r>
        <w:rPr>
          <w:rFonts w:cs="Arial Unicode MS" w:eastAsia="Arial Unicode MS"/>
          <w:rtl w:val="0"/>
        </w:rPr>
        <w:t xml:space="preserve"> Pimenta, </w:t>
      </w:r>
      <w:r>
        <w:rPr>
          <w:rFonts w:cs="Arial Unicode MS" w:eastAsia="Arial Unicode MS" w:hint="default"/>
          <w:rtl w:val="1"/>
        </w:rPr>
        <w:t>‘</w:t>
      </w:r>
      <w:r>
        <w:rPr>
          <w:rFonts w:cs="Arial Unicode MS" w:eastAsia="Arial Unicode MS"/>
          <w:rtl w:val="0"/>
          <w:lang w:val="en-US"/>
        </w:rPr>
        <w:t>Astronomy</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p</w:t>
      </w:r>
      <w:r>
        <w:rPr>
          <w:rFonts w:cs="Arial Unicode MS" w:eastAsia="Arial Unicode MS"/>
          <w:rtl w:val="0"/>
        </w:rPr>
        <w:t>.</w:t>
      </w:r>
      <w:r>
        <w:rPr>
          <w:rFonts w:cs="Arial Unicode MS" w:eastAsia="Arial Unicode MS"/>
          <w:rtl w:val="0"/>
          <w:lang w:val="en-US"/>
        </w:rPr>
        <w:t xml:space="preserve"> 47-48.</w:t>
      </w:r>
    </w:p>
  </w:footnote>
  <w:footnote w:id="128">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1"/>
        </w:rPr>
        <w:t>‘</w:t>
      </w:r>
      <w:r>
        <w:rPr>
          <w:rFonts w:cs="Arial Unicode MS" w:eastAsia="Arial Unicode MS"/>
          <w:rtl w:val="0"/>
          <w:lang w:val="it-IT"/>
        </w:rPr>
        <w:t>Navigators</w:t>
      </w:r>
      <w:r>
        <w:rPr>
          <w:rFonts w:cs="Arial Unicode MS" w:eastAsia="Arial Unicode MS" w:hint="default"/>
          <w:rtl w:val="1"/>
        </w:rPr>
        <w:t>’</w:t>
      </w:r>
      <w:r>
        <w:rPr>
          <w:rFonts w:cs="Arial Unicode MS" w:eastAsia="Arial Unicode MS"/>
          <w:rtl w:val="0"/>
        </w:rPr>
        <w:t>, p. 107</w:t>
      </w:r>
      <w:r>
        <w:rPr>
          <w:rFonts w:cs="Arial Unicode MS" w:eastAsia="Arial Unicode MS"/>
          <w:rtl w:val="0"/>
          <w:lang w:val="en-US"/>
        </w:rPr>
        <w:t>.</w:t>
      </w:r>
    </w:p>
  </w:footnote>
  <w:footnote w:id="129">
    <w:p>
      <w:pPr>
        <w:pStyle w:val="Footnote"/>
        <w:bidi w:val="0"/>
      </w:pPr>
      <w:r>
        <w:rPr>
          <w:vertAlign w:val="superscript"/>
        </w:rPr>
        <w:footnoteRef/>
      </w:r>
      <w:r>
        <w:rPr>
          <w:rFonts w:cs="Arial Unicode MS" w:eastAsia="Arial Unicode MS"/>
          <w:rtl w:val="0"/>
        </w:rPr>
        <w:t xml:space="preserve"> Pimenta, </w:t>
      </w:r>
      <w:r>
        <w:rPr>
          <w:rFonts w:cs="Arial Unicode MS" w:eastAsia="Arial Unicode MS" w:hint="default"/>
          <w:rtl w:val="1"/>
        </w:rPr>
        <w:t>‘</w:t>
      </w:r>
      <w:r>
        <w:rPr>
          <w:rFonts w:cs="Arial Unicode MS" w:eastAsia="Arial Unicode MS"/>
          <w:rtl w:val="0"/>
          <w:lang w:val="en-US"/>
        </w:rPr>
        <w:t>Astronomy</w:t>
      </w:r>
      <w:r>
        <w:rPr>
          <w:rFonts w:cs="Arial Unicode MS" w:eastAsia="Arial Unicode MS" w:hint="default"/>
          <w:rtl w:val="1"/>
        </w:rPr>
        <w:t>’</w:t>
      </w:r>
      <w:r>
        <w:rPr>
          <w:rFonts w:cs="Arial Unicode MS" w:eastAsia="Arial Unicode MS"/>
          <w:rtl w:val="0"/>
        </w:rPr>
        <w:t xml:space="preserve">, </w:t>
      </w:r>
      <w:r>
        <w:rPr>
          <w:rFonts w:cs="Arial Unicode MS" w:eastAsia="Arial Unicode MS"/>
          <w:rtl w:val="0"/>
          <w:lang w:val="en-US"/>
        </w:rPr>
        <w:t>p.</w:t>
      </w:r>
      <w:r>
        <w:rPr>
          <w:rFonts w:cs="Arial Unicode MS" w:eastAsia="Arial Unicode MS"/>
          <w:rtl w:val="0"/>
        </w:rPr>
        <w:t xml:space="preserve"> 48</w:t>
      </w:r>
      <w:r>
        <w:rPr>
          <w:rFonts w:cs="Arial Unicode MS" w:eastAsia="Arial Unicode MS"/>
          <w:rtl w:val="0"/>
          <w:lang w:val="en-US"/>
        </w:rPr>
        <w:t>.</w:t>
      </w:r>
    </w:p>
  </w:footnote>
  <w:footnote w:id="130">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1"/>
        </w:rPr>
        <w:t>‘</w:t>
      </w:r>
      <w:r>
        <w:rPr>
          <w:rFonts w:cs="Arial Unicode MS" w:eastAsia="Arial Unicode MS"/>
          <w:rtl w:val="0"/>
          <w:lang w:val="it-IT"/>
        </w:rPr>
        <w:t>Navigators</w:t>
      </w:r>
      <w:r>
        <w:rPr>
          <w:rFonts w:cs="Arial Unicode MS" w:eastAsia="Arial Unicode MS" w:hint="default"/>
          <w:rtl w:val="1"/>
        </w:rPr>
        <w:t>’</w:t>
      </w:r>
      <w:r>
        <w:rPr>
          <w:rFonts w:cs="Arial Unicode MS" w:eastAsia="Arial Unicode MS"/>
          <w:rtl w:val="0"/>
        </w:rPr>
        <w:t>, p.105</w:t>
      </w:r>
      <w:r>
        <w:rPr>
          <w:rFonts w:cs="Arial Unicode MS" w:eastAsia="Arial Unicode MS"/>
          <w:rtl w:val="0"/>
          <w:lang w:val="en-US"/>
        </w:rPr>
        <w:t>.</w:t>
      </w:r>
    </w:p>
  </w:footnote>
  <w:footnote w:id="131">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1"/>
        </w:rPr>
        <w:t>‘</w:t>
      </w:r>
      <w:r>
        <w:rPr>
          <w:rFonts w:cs="Arial Unicode MS" w:eastAsia="Arial Unicode MS"/>
          <w:rtl w:val="0"/>
          <w:lang w:val="it-IT"/>
        </w:rPr>
        <w:t>Navigators</w:t>
      </w:r>
      <w:r>
        <w:rPr>
          <w:rFonts w:cs="Arial Unicode MS" w:eastAsia="Arial Unicode MS" w:hint="default"/>
          <w:rtl w:val="1"/>
        </w:rPr>
        <w:t>’</w:t>
      </w:r>
      <w:r>
        <w:rPr>
          <w:rFonts w:cs="Arial Unicode MS" w:eastAsia="Arial Unicode MS"/>
          <w:rtl w:val="0"/>
        </w:rPr>
        <w:t>, p.102</w:t>
      </w:r>
      <w:r>
        <w:rPr>
          <w:rFonts w:cs="Arial Unicode MS" w:eastAsia="Arial Unicode MS"/>
          <w:rtl w:val="0"/>
          <w:lang w:val="en-US"/>
        </w:rPr>
        <w:t>.</w:t>
      </w:r>
    </w:p>
  </w:footnote>
  <w:footnote w:id="132">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1"/>
        </w:rPr>
        <w:t>‘</w:t>
      </w:r>
      <w:r>
        <w:rPr>
          <w:rFonts w:cs="Arial Unicode MS" w:eastAsia="Arial Unicode MS"/>
          <w:rtl w:val="0"/>
          <w:lang w:val="it-IT"/>
        </w:rPr>
        <w:t>Navigators</w:t>
      </w:r>
      <w:r>
        <w:rPr>
          <w:rFonts w:cs="Arial Unicode MS" w:eastAsia="Arial Unicode MS" w:hint="default"/>
          <w:rtl w:val="1"/>
        </w:rPr>
        <w:t>’</w:t>
      </w:r>
      <w:r>
        <w:rPr>
          <w:rFonts w:cs="Arial Unicode MS" w:eastAsia="Arial Unicode MS"/>
          <w:rtl w:val="0"/>
        </w:rPr>
        <w:t>, p.102</w:t>
      </w:r>
      <w:r>
        <w:rPr>
          <w:rFonts w:cs="Arial Unicode MS" w:eastAsia="Arial Unicode MS"/>
          <w:rtl w:val="0"/>
          <w:lang w:val="en-US"/>
        </w:rPr>
        <w:t>.</w:t>
      </w:r>
    </w:p>
  </w:footnote>
  <w:footnote w:id="133">
    <w:p>
      <w:pPr>
        <w:pStyle w:val="Footnote"/>
        <w:bidi w:val="0"/>
      </w:pPr>
      <w:r>
        <w:rPr>
          <w:vertAlign w:val="superscript"/>
        </w:rPr>
        <w:footnoteRef/>
      </w:r>
      <w:r>
        <w:rPr>
          <w:rFonts w:cs="Arial Unicode MS" w:eastAsia="Arial Unicode MS"/>
          <w:rtl w:val="0"/>
        </w:rPr>
        <w:t xml:space="preserve"> Zhitomirsky, </w:t>
      </w:r>
      <w:r>
        <w:rPr>
          <w:rFonts w:cs="Arial Unicode MS" w:eastAsia="Arial Unicode MS" w:hint="default"/>
          <w:rtl w:val="0"/>
          <w:lang w:val="en-US"/>
        </w:rPr>
        <w:t>‘</w:t>
      </w:r>
      <w:r>
        <w:rPr>
          <w:rFonts w:cs="Arial Unicode MS" w:eastAsia="Arial Unicode MS"/>
          <w:rtl w:val="0"/>
          <w:lang w:val="nl-NL"/>
        </w:rPr>
        <w:t>Aratus</w:t>
      </w:r>
      <w:r>
        <w:rPr>
          <w:rFonts w:cs="Arial Unicode MS" w:eastAsia="Arial Unicode MS" w:hint="default"/>
          <w:rtl w:val="0"/>
          <w:lang w:val="en-US"/>
        </w:rPr>
        <w:t>’</w:t>
      </w:r>
      <w:r>
        <w:rPr>
          <w:rFonts w:cs="Arial Unicode MS" w:eastAsia="Arial Unicode MS"/>
          <w:rtl w:val="0"/>
          <w:lang w:val="en-US"/>
        </w:rPr>
        <w:t>, pp. 498-499.</w:t>
      </w:r>
    </w:p>
  </w:footnote>
  <w:footnote w:id="134">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0"/>
          <w:lang w:val="en-US"/>
        </w:rPr>
        <w:t>‘</w:t>
      </w:r>
      <w:r>
        <w:rPr>
          <w:rFonts w:cs="Arial Unicode MS" w:eastAsia="Arial Unicode MS"/>
          <w:rtl w:val="0"/>
          <w:lang w:val="it-IT"/>
        </w:rPr>
        <w:t>Navigators</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rtl w:val="0"/>
        </w:rPr>
        <w:t>p. 9</w:t>
      </w:r>
      <w:r>
        <w:rPr>
          <w:rFonts w:cs="Arial Unicode MS" w:eastAsia="Arial Unicode MS"/>
          <w:rtl w:val="0"/>
          <w:lang w:val="en-US"/>
        </w:rPr>
        <w:t>6.</w:t>
      </w:r>
    </w:p>
  </w:footnote>
  <w:footnote w:id="135">
    <w:p>
      <w:pPr>
        <w:pStyle w:val="Footnote"/>
        <w:bidi w:val="0"/>
      </w:pPr>
      <w:r>
        <w:rPr>
          <w:vertAlign w:val="superscript"/>
        </w:rPr>
        <w:footnoteRef/>
      </w:r>
      <w:r>
        <w:rPr>
          <w:rFonts w:cs="Arial Unicode MS" w:eastAsia="Arial Unicode MS"/>
          <w:rtl w:val="0"/>
          <w:lang w:val="en-US"/>
        </w:rPr>
        <w:t xml:space="preserve"> Goodenough and Thomas, </w:t>
      </w:r>
      <w:r>
        <w:rPr>
          <w:rFonts w:cs="Arial Unicode MS" w:eastAsia="Arial Unicode MS" w:hint="default"/>
          <w:rtl w:val="0"/>
          <w:lang w:val="en-US"/>
        </w:rPr>
        <w:t>‘</w:t>
      </w:r>
      <w:r>
        <w:rPr>
          <w:rFonts w:cs="Arial Unicode MS" w:eastAsia="Arial Unicode MS"/>
          <w:rtl w:val="0"/>
          <w:lang w:val="fr-FR"/>
        </w:rPr>
        <w:t>Traditional</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rPr>
        <w:t xml:space="preserve">p. </w:t>
      </w:r>
      <w:r>
        <w:rPr>
          <w:rFonts w:cs="Arial Unicode MS" w:eastAsia="Arial Unicode MS"/>
          <w:rtl w:val="0"/>
          <w:lang w:val="en-US"/>
        </w:rPr>
        <w:t>4.</w:t>
      </w:r>
    </w:p>
  </w:footnote>
  <w:footnote w:id="136">
    <w:p>
      <w:pPr>
        <w:pStyle w:val="Footnote"/>
        <w:bidi w:val="0"/>
      </w:pPr>
      <w:r>
        <w:rPr>
          <w:vertAlign w:val="superscript"/>
        </w:rPr>
        <w:footnoteRef/>
      </w:r>
      <w:r>
        <w:rPr>
          <w:rFonts w:cs="Arial Unicode MS" w:eastAsia="Arial Unicode MS"/>
          <w:rtl w:val="0"/>
          <w:lang w:val="en-US"/>
        </w:rPr>
        <w:t xml:space="preserve"> Goodenough and Thomas, </w:t>
      </w:r>
      <w:r>
        <w:rPr>
          <w:rFonts w:cs="Arial Unicode MS" w:eastAsia="Arial Unicode MS" w:hint="default"/>
          <w:rtl w:val="1"/>
        </w:rPr>
        <w:t>‘</w:t>
      </w:r>
      <w:r>
        <w:rPr>
          <w:rFonts w:cs="Arial Unicode MS" w:eastAsia="Arial Unicode MS"/>
          <w:rtl w:val="0"/>
          <w:lang w:val="fr-FR"/>
        </w:rPr>
        <w:t>Traditional</w:t>
      </w:r>
      <w:r>
        <w:rPr>
          <w:rFonts w:cs="Arial Unicode MS" w:eastAsia="Arial Unicode MS" w:hint="default"/>
          <w:rtl w:val="1"/>
        </w:rPr>
        <w:t>’</w:t>
      </w:r>
      <w:r>
        <w:rPr>
          <w:rFonts w:cs="Arial Unicode MS" w:eastAsia="Arial Unicode MS"/>
          <w:rtl w:val="0"/>
        </w:rPr>
        <w:t>, p. 4</w:t>
      </w:r>
      <w:r>
        <w:rPr>
          <w:rFonts w:cs="Arial Unicode MS" w:eastAsia="Arial Unicode MS"/>
          <w:rtl w:val="0"/>
          <w:lang w:val="en-US"/>
        </w:rPr>
        <w:t>.</w:t>
      </w:r>
    </w:p>
  </w:footnote>
  <w:footnote w:id="137">
    <w:p>
      <w:pPr>
        <w:pStyle w:val="Footnote"/>
        <w:bidi w:val="0"/>
      </w:pPr>
      <w:r>
        <w:rPr>
          <w:vertAlign w:val="superscript"/>
        </w:rPr>
        <w:footnoteRef/>
      </w:r>
      <w:r>
        <w:rPr>
          <w:rFonts w:cs="Arial Unicode MS" w:eastAsia="Arial Unicode MS"/>
          <w:rtl w:val="0"/>
          <w:lang w:val="de-DE"/>
        </w:rPr>
        <w:t xml:space="preserve"> Frank</w:t>
      </w:r>
      <w:r>
        <w:rPr>
          <w:rFonts w:cs="Arial Unicode MS" w:eastAsia="Arial Unicode MS"/>
          <w:rtl w:val="0"/>
          <w:lang w:val="en-US"/>
        </w:rPr>
        <w:t xml:space="preserve"> </w:t>
      </w:r>
      <w:r>
        <w:rPr>
          <w:rFonts w:cs="Arial Unicode MS" w:eastAsia="Arial Unicode MS"/>
          <w:rtl w:val="0"/>
          <w:lang w:val="de-DE"/>
        </w:rPr>
        <w:t xml:space="preserve">Prendergast, </w:t>
      </w:r>
      <w:r>
        <w:rPr>
          <w:rFonts w:cs="Arial Unicode MS" w:eastAsia="Arial Unicode MS" w:hint="default"/>
          <w:rtl w:val="1"/>
        </w:rPr>
        <w:t>‘</w:t>
      </w:r>
      <w:r>
        <w:rPr>
          <w:rFonts w:cs="Arial Unicode MS" w:eastAsia="Arial Unicode MS"/>
          <w:rtl w:val="0"/>
          <w:lang w:val="en-US"/>
        </w:rPr>
        <w:t>Techniques of Field Survey</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Handbook of Archaeoastronomy and Ethnoastronomy</w:t>
      </w:r>
      <w:r>
        <w:rPr>
          <w:rFonts w:cs="Arial Unicode MS" w:eastAsia="Arial Unicode MS"/>
          <w:rtl w:val="0"/>
        </w:rPr>
        <w:t xml:space="preserve"> (2015), </w:t>
      </w:r>
      <w:r>
        <w:rPr>
          <w:rFonts w:cs="Arial Unicode MS" w:eastAsia="Arial Unicode MS"/>
          <w:rtl w:val="0"/>
          <w:lang w:val="en-US"/>
        </w:rPr>
        <w:t>p. 391.</w:t>
      </w:r>
    </w:p>
  </w:footnote>
  <w:footnote w:id="138">
    <w:p>
      <w:pPr>
        <w:pStyle w:val="Footnote"/>
        <w:bidi w:val="0"/>
      </w:pPr>
      <w:r>
        <w:rPr>
          <w:vertAlign w:val="superscript"/>
        </w:rPr>
        <w:footnoteRef/>
      </w:r>
      <w:r>
        <w:rPr>
          <w:rFonts w:cs="Arial Unicode MS" w:eastAsia="Arial Unicode MS"/>
          <w:rtl w:val="0"/>
          <w:lang w:val="da-DK"/>
        </w:rPr>
        <w:t xml:space="preserve"> Charlotte O</w:t>
      </w:r>
      <w:r>
        <w:rPr>
          <w:rFonts w:cs="Arial Unicode MS" w:eastAsia="Arial Unicode MS"/>
          <w:rtl w:val="0"/>
          <w:lang w:val="en-US"/>
        </w:rPr>
        <w:t xml:space="preserve">. </w:t>
      </w:r>
      <w:r>
        <w:rPr>
          <w:rFonts w:cs="Arial Unicode MS" w:eastAsia="Arial Unicode MS"/>
          <w:rtl w:val="0"/>
          <w:lang w:val="en-US"/>
        </w:rPr>
        <w:t>Kursh and Theodora C</w:t>
      </w:r>
      <w:r>
        <w:rPr>
          <w:rFonts w:cs="Arial Unicode MS" w:eastAsia="Arial Unicode MS"/>
          <w:rtl w:val="0"/>
          <w:lang w:val="en-US"/>
        </w:rPr>
        <w:t>.</w:t>
      </w:r>
      <w:r>
        <w:rPr>
          <w:rFonts w:cs="Arial Unicode MS" w:eastAsia="Arial Unicode MS"/>
          <w:rtl w:val="0"/>
          <w:lang w:val="en-US"/>
        </w:rPr>
        <w:t xml:space="preserve"> Kreps, </w:t>
      </w:r>
      <w:r>
        <w:rPr>
          <w:rFonts w:cs="Arial Unicode MS" w:eastAsia="Arial Unicode MS" w:hint="default"/>
          <w:rtl w:val="1"/>
        </w:rPr>
        <w:t>‘</w:t>
      </w:r>
      <w:r>
        <w:rPr>
          <w:rFonts w:cs="Arial Unicode MS" w:eastAsia="Arial Unicode MS"/>
          <w:rtl w:val="0"/>
          <w:lang w:val="en-US"/>
        </w:rPr>
        <w:t>Starpaths: Linear Constellations in Tropical Navigation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Current Anthropology</w:t>
      </w:r>
      <w:r>
        <w:rPr>
          <w:rFonts w:cs="Arial Unicode MS" w:eastAsia="Arial Unicode MS"/>
          <w:rtl w:val="0"/>
        </w:rPr>
        <w:t>, 15 (1974),</w:t>
      </w:r>
      <w:r>
        <w:rPr>
          <w:rFonts w:cs="Arial Unicode MS" w:eastAsia="Arial Unicode MS"/>
          <w:rtl w:val="0"/>
          <w:lang w:val="en-US"/>
        </w:rPr>
        <w:t xml:space="preserve"> p. 336.</w:t>
      </w:r>
    </w:p>
  </w:footnote>
  <w:footnote w:id="139">
    <w:p>
      <w:pPr>
        <w:pStyle w:val="Footnote"/>
        <w:bidi w:val="0"/>
      </w:pPr>
      <w:r>
        <w:rPr>
          <w:vertAlign w:val="superscript"/>
        </w:rPr>
        <w:footnoteRef/>
      </w:r>
      <w:r>
        <w:rPr>
          <w:rFonts w:cs="Arial Unicode MS" w:eastAsia="Arial Unicode MS"/>
          <w:rtl w:val="0"/>
        </w:rPr>
        <w:t xml:space="preserve"> JC</w:t>
      </w:r>
      <w:r>
        <w:rPr>
          <w:rFonts w:cs="Arial Unicode MS" w:eastAsia="Arial Unicode MS"/>
          <w:rtl w:val="0"/>
          <w:lang w:val="en-US"/>
        </w:rPr>
        <w:t xml:space="preserve"> </w:t>
      </w:r>
      <w:r>
        <w:rPr>
          <w:rFonts w:cs="Arial Unicode MS" w:eastAsia="Arial Unicode MS"/>
          <w:rtl w:val="0"/>
          <w:lang w:val="nl-NL"/>
        </w:rPr>
        <w:t>Holbrook</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Celestial Navigators and Navigation Stories</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Culture and Cosmos</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rPr>
        <w:t>2005</w:t>
      </w:r>
      <w:r>
        <w:rPr>
          <w:rFonts w:cs="Arial Unicode MS" w:eastAsia="Arial Unicode MS"/>
          <w:rtl w:val="0"/>
          <w:lang w:val="en-US"/>
        </w:rPr>
        <w:t>), pp. 71-72.</w:t>
      </w:r>
    </w:p>
  </w:footnote>
  <w:footnote w:id="140">
    <w:p>
      <w:pPr>
        <w:pStyle w:val="Footnote"/>
        <w:bidi w:val="0"/>
      </w:pPr>
      <w:r>
        <w:rPr>
          <w:vertAlign w:val="superscript"/>
        </w:rPr>
        <w:footnoteRef/>
      </w:r>
      <w:r>
        <w:rPr>
          <w:rFonts w:cs="Arial Unicode MS" w:eastAsia="Arial Unicode MS"/>
          <w:rtl w:val="0"/>
          <w:lang w:val="en-US"/>
        </w:rPr>
        <w:t xml:space="preserve"> Lewis, </w:t>
      </w:r>
      <w:r>
        <w:rPr>
          <w:rFonts w:cs="Arial Unicode MS" w:eastAsia="Arial Unicode MS" w:hint="default"/>
          <w:rtl w:val="0"/>
          <w:lang w:val="en-US"/>
        </w:rPr>
        <w:t>‘</w:t>
      </w:r>
      <w:r>
        <w:rPr>
          <w:rFonts w:cs="Arial Unicode MS" w:eastAsia="Arial Unicode MS"/>
          <w:rtl w:val="0"/>
          <w:lang w:val="en-US"/>
        </w:rPr>
        <w:t>Navigators</w:t>
      </w:r>
      <w:r>
        <w:rPr>
          <w:rFonts w:cs="Arial Unicode MS" w:eastAsia="Arial Unicode MS" w:hint="default"/>
          <w:rtl w:val="0"/>
          <w:lang w:val="en-US"/>
        </w:rPr>
        <w:t>’</w:t>
      </w:r>
      <w:r>
        <w:rPr>
          <w:rFonts w:cs="Arial Unicode MS" w:eastAsia="Arial Unicode MS"/>
          <w:rtl w:val="0"/>
          <w:lang w:val="en-US"/>
        </w:rPr>
        <w:t>, p. 97.</w:t>
      </w:r>
    </w:p>
  </w:footnote>
  <w:footnote w:id="141">
    <w:p>
      <w:pPr>
        <w:pStyle w:val="Footnote"/>
        <w:bidi w:val="0"/>
      </w:pPr>
      <w:r>
        <w:rPr>
          <w:vertAlign w:val="superscript"/>
        </w:rPr>
        <w:footnoteRef/>
      </w:r>
      <w:r>
        <w:rPr>
          <w:rFonts w:cs="Arial Unicode MS" w:eastAsia="Arial Unicode MS"/>
          <w:rtl w:val="0"/>
        </w:rPr>
        <w:t xml:space="preserve"> Efrosyni</w:t>
      </w:r>
      <w:r>
        <w:rPr>
          <w:rFonts w:cs="Arial Unicode MS" w:eastAsia="Arial Unicode MS"/>
          <w:rtl w:val="0"/>
          <w:lang w:val="en-US"/>
        </w:rPr>
        <w:t xml:space="preserve"> </w:t>
      </w:r>
      <w:r>
        <w:rPr>
          <w:rFonts w:cs="Arial Unicode MS" w:eastAsia="Arial Unicode MS"/>
          <w:rtl w:val="0"/>
        </w:rPr>
        <w:t xml:space="preserve">Boutsikas, </w:t>
      </w:r>
      <w:r>
        <w:rPr>
          <w:rFonts w:cs="Arial Unicode MS" w:eastAsia="Arial Unicode MS" w:hint="default"/>
          <w:rtl w:val="1"/>
        </w:rPr>
        <w:t>‘</w:t>
      </w:r>
      <w:r>
        <w:rPr>
          <w:rFonts w:cs="Arial Unicode MS" w:eastAsia="Arial Unicode MS"/>
          <w:rtl w:val="0"/>
          <w:lang w:val="en-US"/>
        </w:rPr>
        <w:t>Greek Temples and Rituals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Handbook of Archaeoastronomy and Ethnoastronomy</w:t>
      </w:r>
      <w:r>
        <w:rPr>
          <w:rFonts w:cs="Arial Unicode MS" w:eastAsia="Arial Unicode MS"/>
          <w:rtl w:val="0"/>
        </w:rPr>
        <w:t xml:space="preserve"> (2015), </w:t>
      </w:r>
      <w:r>
        <w:rPr>
          <w:rFonts w:cs="Arial Unicode MS" w:eastAsia="Arial Unicode MS"/>
          <w:rtl w:val="0"/>
          <w:lang w:val="en-US"/>
        </w:rPr>
        <w:t xml:space="preserve">p. </w:t>
      </w:r>
      <w:r>
        <w:rPr>
          <w:rFonts w:cs="Arial Unicode MS" w:eastAsia="Arial Unicode MS"/>
          <w:rtl w:val="0"/>
        </w:rPr>
        <w:t>157</w:t>
      </w:r>
      <w:r>
        <w:rPr>
          <w:rFonts w:cs="Arial Unicode MS" w:eastAsia="Arial Unicode MS"/>
          <w:rtl w:val="0"/>
          <w:lang w:val="en-US"/>
        </w:rPr>
        <w:t>7.</w:t>
      </w:r>
    </w:p>
  </w:footnote>
  <w:footnote w:id="142">
    <w:p>
      <w:pPr>
        <w:pStyle w:val="Footnote"/>
        <w:bidi w:val="0"/>
      </w:pPr>
      <w:r>
        <w:rPr>
          <w:vertAlign w:val="superscript"/>
        </w:rPr>
        <w:footnoteRef/>
      </w:r>
      <w:r>
        <w:rPr>
          <w:rFonts w:cs="Arial Unicode MS" w:eastAsia="Arial Unicode MS"/>
          <w:rtl w:val="0"/>
        </w:rPr>
        <w:t xml:space="preserve"> </w:t>
      </w:r>
      <w:r>
        <w:rPr>
          <w:rFonts w:cs="Arial Unicode MS" w:eastAsia="Arial Unicode MS"/>
          <w:i w:val="1"/>
          <w:iCs w:val="1"/>
          <w:rtl w:val="0"/>
          <w:lang w:val="en-US"/>
        </w:rPr>
        <w:t>Homeric Hymn to Apollo</w:t>
      </w:r>
      <w:r>
        <w:rPr>
          <w:rFonts w:cs="Arial Unicode MS" w:eastAsia="Arial Unicode MS"/>
          <w:rtl w:val="0"/>
        </w:rPr>
        <w:t>, 399</w:t>
      </w:r>
      <w:r>
        <w:rPr>
          <w:rFonts w:cs="Arial Unicode MS" w:eastAsia="Arial Unicode MS" w:hint="default"/>
          <w:rtl w:val="0"/>
        </w:rPr>
        <w:t>–</w:t>
      </w:r>
      <w:r>
        <w:rPr>
          <w:rFonts w:cs="Arial Unicode MS" w:eastAsia="Arial Unicode MS"/>
          <w:rtl w:val="0"/>
        </w:rPr>
        <w:t>401, 440</w:t>
      </w:r>
      <w:r>
        <w:rPr>
          <w:rFonts w:cs="Arial Unicode MS" w:eastAsia="Arial Unicode MS" w:hint="default"/>
          <w:rtl w:val="0"/>
        </w:rPr>
        <w:t>–</w:t>
      </w:r>
      <w:r>
        <w:rPr>
          <w:rFonts w:cs="Arial Unicode MS" w:eastAsia="Arial Unicode MS"/>
          <w:rtl w:val="0"/>
        </w:rPr>
        <w:t>443</w:t>
      </w:r>
      <w:r>
        <w:rPr>
          <w:rFonts w:cs="Arial Unicode MS" w:eastAsia="Arial Unicode MS"/>
          <w:rtl w:val="0"/>
          <w:lang w:val="en-US"/>
        </w:rPr>
        <w:t>.</w:t>
      </w:r>
    </w:p>
  </w:footnote>
  <w:footnote w:id="143">
    <w:p>
      <w:pPr>
        <w:pStyle w:val="Footnote"/>
        <w:bidi w:val="0"/>
      </w:pPr>
      <w:r>
        <w:rPr>
          <w:vertAlign w:val="superscript"/>
        </w:rPr>
        <w:footnoteRef/>
      </w:r>
      <w:r>
        <w:rPr>
          <w:rFonts w:cs="Arial Unicode MS" w:eastAsia="Arial Unicode MS"/>
          <w:rtl w:val="0"/>
          <w:lang w:val="en-US"/>
        </w:rPr>
        <w:t xml:space="preserve"> Patrick Vinton</w:t>
      </w:r>
      <w:r>
        <w:rPr>
          <w:rFonts w:cs="Arial Unicode MS" w:eastAsia="Arial Unicode MS"/>
          <w:rtl w:val="0"/>
          <w:lang w:val="en-US"/>
        </w:rPr>
        <w:t xml:space="preserve"> </w:t>
      </w:r>
      <w:r>
        <w:rPr>
          <w:rFonts w:cs="Arial Unicode MS" w:eastAsia="Arial Unicode MS"/>
          <w:rtl w:val="0"/>
          <w:lang w:val="en-US"/>
        </w:rPr>
        <w:t>Kirch, Clive Ruggles, and Warren D</w:t>
      </w:r>
      <w:r>
        <w:rPr>
          <w:rFonts w:cs="Arial Unicode MS" w:eastAsia="Arial Unicode MS"/>
          <w:rtl w:val="0"/>
          <w:lang w:val="en-US"/>
        </w:rPr>
        <w:t>.</w:t>
      </w:r>
      <w:r>
        <w:rPr>
          <w:rFonts w:cs="Arial Unicode MS" w:eastAsia="Arial Unicode MS"/>
          <w:rtl w:val="0"/>
          <w:lang w:val="da-DK"/>
        </w:rPr>
        <w:t xml:space="preserve"> Sharp, </w:t>
      </w:r>
      <w:r>
        <w:rPr>
          <w:rFonts w:cs="Arial Unicode MS" w:eastAsia="Arial Unicode MS" w:hint="default"/>
          <w:rtl w:val="0"/>
          <w:lang w:val="en-US"/>
        </w:rPr>
        <w:t>‘</w:t>
      </w:r>
      <w:r>
        <w:rPr>
          <w:rFonts w:cs="Arial Unicode MS" w:eastAsia="Arial Unicode MS"/>
          <w:rtl w:val="0"/>
          <w:lang w:val="en-US"/>
        </w:rPr>
        <w:t>The P</w:t>
      </w:r>
      <w:r>
        <w:rPr>
          <w:rFonts w:cs="Arial Unicode MS" w:eastAsia="Arial Unicode MS" w:hint="default"/>
          <w:rtl w:val="0"/>
        </w:rPr>
        <w:t>ā</w:t>
      </w:r>
      <w:r>
        <w:rPr>
          <w:rFonts w:cs="Arial Unicode MS" w:eastAsia="Arial Unicode MS"/>
          <w:rtl w:val="0"/>
        </w:rPr>
        <w:t>n</w:t>
      </w:r>
      <w:r>
        <w:rPr>
          <w:rFonts w:cs="Arial Unicode MS" w:eastAsia="Arial Unicode MS" w:hint="default"/>
          <w:rtl w:val="0"/>
        </w:rPr>
        <w:t>ā</w:t>
      </w:r>
      <w:r>
        <w:rPr>
          <w:rFonts w:cs="Arial Unicode MS" w:eastAsia="Arial Unicode MS"/>
          <w:rtl w:val="0"/>
        </w:rPr>
        <w:t>n</w:t>
      </w:r>
      <w:r>
        <w:rPr>
          <w:rFonts w:cs="Arial Unicode MS" w:eastAsia="Arial Unicode MS" w:hint="default"/>
          <w:rtl w:val="0"/>
        </w:rPr>
        <w:t xml:space="preserve">ā </w:t>
      </w:r>
      <w:r>
        <w:rPr>
          <w:rFonts w:cs="Arial Unicode MS" w:eastAsia="Arial Unicode MS"/>
          <w:rtl w:val="0"/>
        </w:rPr>
        <w:t xml:space="preserve">or </w:t>
      </w:r>
      <w:r>
        <w:rPr>
          <w:rFonts w:cs="Arial Unicode MS" w:eastAsia="Arial Unicode MS" w:hint="default"/>
          <w:rtl w:val="0"/>
          <w:lang w:val="en-US"/>
        </w:rPr>
        <w:t>“</w:t>
      </w:r>
      <w:r>
        <w:rPr>
          <w:rFonts w:cs="Arial Unicode MS" w:eastAsia="Arial Unicode MS"/>
          <w:rtl w:val="0"/>
          <w:lang w:val="en-US"/>
        </w:rPr>
        <w:t>Sighting Wall</w:t>
      </w:r>
      <w:r>
        <w:rPr>
          <w:rFonts w:cs="Arial Unicode MS" w:eastAsia="Arial Unicode MS" w:hint="default"/>
          <w:rtl w:val="0"/>
          <w:lang w:val="en-US"/>
        </w:rPr>
        <w:t>”</w:t>
      </w:r>
      <w:r>
        <w:rPr>
          <w:rFonts w:cs="Arial Unicode MS" w:eastAsia="Arial Unicode MS"/>
          <w:rtl w:val="0"/>
          <w:lang w:val="en-US"/>
        </w:rPr>
        <w:t xml:space="preserve"> at Hanamauloa, Kahiknui, Maui: Archaeological Investigation of a Possible Navigational Monument</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The Journal of the Polynesian Society</w:t>
      </w:r>
      <w:r>
        <w:rPr>
          <w:rFonts w:cs="Arial Unicode MS" w:eastAsia="Arial Unicode MS"/>
          <w:rtl w:val="0"/>
        </w:rPr>
        <w:t xml:space="preserve"> (2013), </w:t>
      </w:r>
      <w:r>
        <w:rPr>
          <w:rFonts w:cs="Arial Unicode MS" w:eastAsia="Arial Unicode MS"/>
          <w:rtl w:val="0"/>
          <w:lang w:val="en-US"/>
        </w:rPr>
        <w:t>p. 57.</w:t>
      </w:r>
    </w:p>
  </w:footnote>
  <w:footnote w:id="14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Clive Ruggles</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Stellar Alignments-Identification and Analysis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Handbook of Archaeoastronomy and Ethnoastronomy</w:t>
      </w:r>
      <w:r>
        <w:rPr>
          <w:rFonts w:cs="Arial Unicode MS" w:eastAsia="Arial Unicode MS"/>
          <w:rtl w:val="0"/>
        </w:rPr>
        <w:t xml:space="preserve"> (2015b)</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p. 526-7</w:t>
      </w:r>
    </w:p>
  </w:footnote>
  <w:footnote w:id="145">
    <w:p>
      <w:pPr>
        <w:pStyle w:val="Footnote"/>
        <w:bidi w:val="0"/>
      </w:pPr>
      <w:r>
        <w:rPr>
          <w:vertAlign w:val="superscript"/>
        </w:rPr>
        <w:footnoteRef/>
      </w:r>
      <w:r>
        <w:rPr>
          <w:rFonts w:cs="Arial Unicode MS" w:eastAsia="Arial Unicode MS"/>
          <w:rtl w:val="0"/>
          <w:lang w:val="en-US"/>
        </w:rPr>
        <w:t xml:space="preserve"> Patrick Vinton</w:t>
      </w:r>
      <w:r>
        <w:rPr>
          <w:rFonts w:cs="Arial Unicode MS" w:eastAsia="Arial Unicode MS"/>
          <w:rtl w:val="0"/>
          <w:lang w:val="en-US"/>
        </w:rPr>
        <w:t xml:space="preserve"> </w:t>
      </w:r>
      <w:r>
        <w:rPr>
          <w:rFonts w:cs="Arial Unicode MS" w:eastAsia="Arial Unicode MS"/>
          <w:rtl w:val="0"/>
          <w:lang w:val="en-US"/>
        </w:rPr>
        <w:t xml:space="preserve">Kirch and Clive Ruggles, </w:t>
      </w:r>
      <w:r>
        <w:rPr>
          <w:rFonts w:cs="Arial Unicode MS" w:eastAsia="Arial Unicode MS"/>
          <w:i w:val="1"/>
          <w:iCs w:val="1"/>
          <w:rtl w:val="0"/>
        </w:rPr>
        <w:t>Heiau,</w:t>
      </w:r>
      <w:r>
        <w:rPr>
          <w:rFonts w:cs="Arial Unicode MS" w:eastAsia="Arial Unicode MS" w:hint="default"/>
          <w:i w:val="1"/>
          <w:iCs w:val="1"/>
          <w:rtl w:val="1"/>
        </w:rPr>
        <w:t>‘Ā</w:t>
      </w:r>
      <w:r>
        <w:rPr>
          <w:rFonts w:cs="Arial Unicode MS" w:eastAsia="Arial Unicode MS"/>
          <w:i w:val="1"/>
          <w:iCs w:val="1"/>
          <w:rtl w:val="0"/>
          <w:lang w:val="de-DE"/>
        </w:rPr>
        <w:t>ina, Lani: The Hawaiian Temple System in Ancient Kahikinui and Kaup</w:t>
      </w:r>
      <w:r>
        <w:rPr>
          <w:rFonts w:cs="Arial Unicode MS" w:eastAsia="Arial Unicode MS" w:hint="default"/>
          <w:i w:val="1"/>
          <w:iCs w:val="1"/>
          <w:rtl w:val="0"/>
        </w:rPr>
        <w:t>ō</w:t>
      </w:r>
      <w:r>
        <w:rPr>
          <w:rFonts w:cs="Arial Unicode MS" w:eastAsia="Arial Unicode MS"/>
          <w:i w:val="1"/>
          <w:iCs w:val="1"/>
          <w:rtl w:val="0"/>
          <w:lang w:val="fr-FR"/>
        </w:rPr>
        <w:t>, Maui</w:t>
      </w:r>
      <w:r>
        <w:rPr>
          <w:rFonts w:cs="Arial Unicode MS" w:eastAsia="Arial Unicode MS"/>
          <w:rtl w:val="0"/>
          <w:lang w:val="en-US"/>
        </w:rPr>
        <w:t xml:space="preserve"> (University of Hawaii Press, 2019)</w:t>
      </w:r>
      <w:r>
        <w:rPr>
          <w:rFonts w:cs="Arial Unicode MS" w:eastAsia="Arial Unicode MS"/>
          <w:rtl w:val="0"/>
          <w:lang w:val="en-US"/>
        </w:rPr>
        <w:t>, p. 170.</w:t>
      </w:r>
    </w:p>
  </w:footnote>
  <w:footnote w:id="146">
    <w:p>
      <w:pPr>
        <w:pStyle w:val="Footnote"/>
        <w:bidi w:val="0"/>
      </w:pPr>
      <w:r>
        <w:rPr>
          <w:vertAlign w:val="superscript"/>
        </w:rPr>
        <w:footnoteRef/>
      </w:r>
      <w:r>
        <w:rPr>
          <w:rFonts w:cs="Arial Unicode MS" w:eastAsia="Arial Unicode MS"/>
          <w:rtl w:val="0"/>
          <w:lang w:val="it-IT"/>
        </w:rPr>
        <w:t xml:space="preserve"> Brett</w:t>
      </w:r>
      <w:r>
        <w:rPr>
          <w:rFonts w:cs="Arial Unicode MS" w:eastAsia="Arial Unicode MS"/>
          <w:rtl w:val="0"/>
          <w:lang w:val="en-US"/>
        </w:rPr>
        <w:t xml:space="preserve"> </w:t>
      </w:r>
      <w:r>
        <w:rPr>
          <w:rFonts w:cs="Arial Unicode MS" w:eastAsia="Arial Unicode MS"/>
          <w:rtl w:val="0"/>
          <w:lang w:val="da-DK"/>
        </w:rPr>
        <w:t xml:space="preserve">Hilder, </w:t>
      </w:r>
      <w:r>
        <w:rPr>
          <w:rFonts w:cs="Arial Unicode MS" w:eastAsia="Arial Unicode MS" w:hint="default"/>
          <w:rtl w:val="0"/>
          <w:lang w:val="en-US"/>
        </w:rPr>
        <w:t>‘</w:t>
      </w:r>
      <w:r>
        <w:rPr>
          <w:rFonts w:cs="Arial Unicode MS" w:eastAsia="Arial Unicode MS"/>
          <w:rtl w:val="0"/>
          <w:lang w:val="en-US"/>
        </w:rPr>
        <w:t>Polynesian Navigational Stones</w:t>
      </w:r>
      <w:r>
        <w:rPr>
          <w:rFonts w:cs="Arial Unicode MS" w:eastAsia="Arial Unicode MS" w:hint="default"/>
          <w:rtl w:val="0"/>
          <w:lang w:val="en-US"/>
        </w:rPr>
        <w:t>’</w:t>
      </w:r>
      <w:r>
        <w:rPr>
          <w:rFonts w:cs="Arial Unicode MS" w:eastAsia="Arial Unicode MS"/>
          <w:rtl w:val="0"/>
        </w:rPr>
        <w:t xml:space="preserve">, </w:t>
      </w:r>
      <w:r>
        <w:rPr>
          <w:rFonts w:cs="Arial Unicode MS" w:eastAsia="Arial Unicode MS"/>
          <w:i w:val="1"/>
          <w:iCs w:val="1"/>
          <w:rtl w:val="0"/>
          <w:lang w:val="en-US"/>
        </w:rPr>
        <w:t>The Journal of Navigation</w:t>
      </w:r>
      <w:r>
        <w:rPr>
          <w:rFonts w:cs="Arial Unicode MS" w:eastAsia="Arial Unicode MS"/>
          <w:rtl w:val="0"/>
        </w:rPr>
        <w:t xml:space="preserve">, 12 (1959), </w:t>
      </w:r>
      <w:r>
        <w:rPr>
          <w:rFonts w:cs="Arial Unicode MS" w:eastAsia="Arial Unicode MS"/>
          <w:rtl w:val="0"/>
          <w:lang w:val="en-US"/>
        </w:rPr>
        <w:t>p. 238.</w:t>
      </w:r>
    </w:p>
  </w:footnote>
  <w:footnote w:id="147">
    <w:p>
      <w:pPr>
        <w:pStyle w:val="Footnote"/>
        <w:bidi w:val="0"/>
      </w:pPr>
      <w:r>
        <w:rPr>
          <w:vertAlign w:val="superscript"/>
        </w:rPr>
        <w:footnoteRef/>
      </w:r>
      <w:r>
        <w:rPr>
          <w:rFonts w:cs="Arial Unicode MS" w:eastAsia="Arial Unicode MS"/>
          <w:rtl w:val="0"/>
          <w:lang w:val="en-US"/>
        </w:rPr>
        <w:t xml:space="preserve">Goto Akira, Ohnishi Hideyuki, and Ishimura Tomo, </w:t>
      </w:r>
      <w:r>
        <w:rPr>
          <w:rFonts w:cs="Arial Unicode MS" w:eastAsia="Arial Unicode MS" w:hint="default"/>
          <w:rtl w:val="1"/>
        </w:rPr>
        <w:t>‘</w:t>
      </w:r>
      <w:r>
        <w:rPr>
          <w:rFonts w:cs="Arial Unicode MS" w:eastAsia="Arial Unicode MS"/>
          <w:rtl w:val="0"/>
          <w:lang w:val="en-US"/>
        </w:rPr>
        <w:t>A Report on the Reassessment of Navigation Stones on Arorae, Kiribati</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People and Culture in Oceania</w:t>
      </w:r>
      <w:r>
        <w:rPr>
          <w:rFonts w:cs="Arial Unicode MS" w:eastAsia="Arial Unicode MS"/>
          <w:rtl w:val="0"/>
        </w:rPr>
        <w:t>, 35</w:t>
      </w:r>
      <w:r>
        <w:rPr>
          <w:rFonts w:cs="Arial Unicode MS" w:eastAsia="Arial Unicode MS"/>
          <w:rtl w:val="0"/>
          <w:lang w:val="en-US"/>
        </w:rPr>
        <w:t xml:space="preserve"> </w:t>
      </w:r>
      <w:r>
        <w:rPr>
          <w:rFonts w:cs="Arial Unicode MS" w:eastAsia="Arial Unicode MS"/>
          <w:rtl w:val="0"/>
        </w:rPr>
        <w:t xml:space="preserve">(2019), </w:t>
      </w:r>
      <w:r>
        <w:rPr>
          <w:rFonts w:cs="Arial Unicode MS" w:eastAsia="Arial Unicode MS"/>
          <w:rtl w:val="0"/>
          <w:lang w:val="en-US"/>
        </w:rPr>
        <w:t>p. 105</w:t>
      </w:r>
    </w:p>
  </w:footnote>
  <w:footnote w:id="14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Hilder, </w:t>
      </w:r>
      <w:r>
        <w:rPr>
          <w:rFonts w:cs="Arial Unicode MS" w:eastAsia="Arial Unicode MS" w:hint="default"/>
          <w:rtl w:val="0"/>
          <w:lang w:val="en-US"/>
        </w:rPr>
        <w:t>‘</w:t>
      </w:r>
      <w:r>
        <w:rPr>
          <w:rFonts w:cs="Arial Unicode MS" w:eastAsia="Arial Unicode MS"/>
          <w:rtl w:val="0"/>
          <w:lang w:val="en-US"/>
        </w:rPr>
        <w:t>Polynesian</w:t>
      </w:r>
      <w:r>
        <w:rPr>
          <w:rFonts w:cs="Arial Unicode MS" w:eastAsia="Arial Unicode MS" w:hint="default"/>
          <w:rtl w:val="0"/>
          <w:lang w:val="en-US"/>
        </w:rPr>
        <w:t>’</w:t>
      </w:r>
      <w:r>
        <w:rPr>
          <w:rFonts w:cs="Arial Unicode MS" w:eastAsia="Arial Unicode MS"/>
          <w:rtl w:val="0"/>
          <w:lang w:val="en-US"/>
        </w:rPr>
        <w:t>, p. 238</w:t>
      </w:r>
    </w:p>
  </w:footnote>
  <w:footnote w:id="149">
    <w:p>
      <w:pPr>
        <w:pStyle w:val="Footnote"/>
        <w:bidi w:val="0"/>
      </w:pPr>
      <w:r>
        <w:rPr>
          <w:vertAlign w:val="superscript"/>
        </w:rPr>
        <w:footnoteRef/>
      </w:r>
      <w:r>
        <w:rPr>
          <w:rFonts w:cs="Arial Unicode MS" w:eastAsia="Arial Unicode MS"/>
          <w:rtl w:val="0"/>
          <w:lang w:val="en-US"/>
        </w:rPr>
        <w:t xml:space="preserve"> Brady, </w:t>
      </w:r>
      <w:r>
        <w:rPr>
          <w:rFonts w:cs="Arial Unicode MS" w:eastAsia="Arial Unicode MS" w:hint="default"/>
          <w:rtl w:val="0"/>
          <w:lang w:val="en-US"/>
        </w:rPr>
        <w:t>‘</w:t>
      </w:r>
      <w:r>
        <w:rPr>
          <w:rFonts w:cs="Arial Unicode MS" w:eastAsia="Arial Unicode MS"/>
          <w:rtl w:val="0"/>
          <w:lang w:val="en-US"/>
        </w:rPr>
        <w:t>Stones</w:t>
      </w:r>
      <w:r>
        <w:rPr>
          <w:rFonts w:cs="Arial Unicode MS" w:eastAsia="Arial Unicode MS" w:hint="default"/>
          <w:rtl w:val="0"/>
          <w:lang w:val="en-US"/>
        </w:rPr>
        <w:t>’</w:t>
      </w:r>
      <w:r>
        <w:rPr>
          <w:rFonts w:cs="Arial Unicode MS" w:eastAsia="Arial Unicode MS"/>
          <w:rtl w:val="0"/>
        </w:rPr>
        <w:t>, p. 4</w:t>
      </w:r>
      <w:r>
        <w:rPr>
          <w:rFonts w:cs="Arial Unicode MS" w:eastAsia="Arial Unicode MS"/>
          <w:rtl w:val="0"/>
          <w:lang w:val="en-US"/>
        </w:rPr>
        <w:t>.</w:t>
      </w:r>
    </w:p>
  </w:footnote>
  <w:footnote w:id="150">
    <w:p>
      <w:pPr>
        <w:pStyle w:val="Footnote"/>
        <w:bidi w:val="0"/>
      </w:pPr>
      <w:r>
        <w:rPr>
          <w:vertAlign w:val="superscript"/>
        </w:rPr>
        <w:footnoteRef/>
      </w:r>
      <w:r>
        <w:rPr>
          <w:rFonts w:cs="Arial Unicode MS" w:eastAsia="Arial Unicode MS"/>
          <w:rtl w:val="0"/>
        </w:rPr>
        <w:t xml:space="preserve"> Akira</w:t>
      </w:r>
      <w:r>
        <w:rPr>
          <w:rFonts w:cs="Arial Unicode MS" w:eastAsia="Arial Unicode MS"/>
          <w:rtl w:val="0"/>
          <w:lang w:val="en-US"/>
        </w:rPr>
        <w:t xml:space="preserve"> </w:t>
      </w:r>
      <w:r>
        <w:rPr>
          <w:rFonts w:cs="Arial Unicode MS" w:eastAsia="Arial Unicode MS"/>
          <w:rtl w:val="0"/>
          <w:lang w:val="en-US"/>
        </w:rPr>
        <w:t xml:space="preserve">and others, </w:t>
      </w:r>
      <w:r>
        <w:rPr>
          <w:rFonts w:cs="Arial Unicode MS" w:eastAsia="Arial Unicode MS" w:hint="default"/>
          <w:rtl w:val="0"/>
          <w:lang w:val="en-US"/>
        </w:rPr>
        <w:t>‘</w:t>
      </w:r>
      <w:r>
        <w:rPr>
          <w:rFonts w:cs="Arial Unicode MS" w:eastAsia="Arial Unicode MS"/>
          <w:rtl w:val="0"/>
          <w:lang w:val="en-US"/>
        </w:rPr>
        <w:t>Stones</w:t>
      </w:r>
      <w:r>
        <w:rPr>
          <w:rFonts w:cs="Arial Unicode MS" w:eastAsia="Arial Unicode MS" w:hint="default"/>
          <w:rtl w:val="0"/>
          <w:lang w:val="en-US"/>
        </w:rPr>
        <w:t xml:space="preserve">’ </w:t>
      </w:r>
      <w:r>
        <w:rPr>
          <w:rFonts w:cs="Arial Unicode MS" w:eastAsia="Arial Unicode MS"/>
          <w:rtl w:val="0"/>
          <w:lang w:val="en-US"/>
        </w:rPr>
        <w:t>p. 124.</w:t>
      </w:r>
    </w:p>
  </w:footnote>
  <w:footnote w:id="151">
    <w:p>
      <w:pPr>
        <w:pStyle w:val="Footnote"/>
        <w:bidi w:val="0"/>
      </w:pPr>
      <w:r>
        <w:rPr>
          <w:vertAlign w:val="superscript"/>
        </w:rPr>
        <w:footnoteRef/>
      </w:r>
      <w:r>
        <w:rPr>
          <w:rFonts w:cs="Arial Unicode MS" w:eastAsia="Arial Unicode MS"/>
          <w:rtl w:val="0"/>
          <w:lang w:val="da-DK"/>
        </w:rPr>
        <w:t xml:space="preserve"> Hilder, </w:t>
      </w:r>
      <w:r>
        <w:rPr>
          <w:rFonts w:cs="Arial Unicode MS" w:eastAsia="Arial Unicode MS" w:hint="default"/>
          <w:rtl w:val="1"/>
        </w:rPr>
        <w:t>‘</w:t>
      </w:r>
      <w:r>
        <w:rPr>
          <w:rFonts w:cs="Arial Unicode MS" w:eastAsia="Arial Unicode MS"/>
          <w:rtl w:val="0"/>
        </w:rPr>
        <w:t>Polynesian</w:t>
      </w:r>
      <w:r>
        <w:rPr>
          <w:rFonts w:cs="Arial Unicode MS" w:eastAsia="Arial Unicode MS" w:hint="default"/>
          <w:rtl w:val="0"/>
          <w:lang w:val="en-US"/>
        </w:rPr>
        <w:t>’</w:t>
      </w:r>
      <w:r>
        <w:rPr>
          <w:rFonts w:cs="Arial Unicode MS" w:eastAsia="Arial Unicode MS"/>
          <w:rtl w:val="0"/>
          <w:lang w:val="en-US"/>
        </w:rPr>
        <w:t>, p.</w:t>
      </w:r>
      <w:r>
        <w:rPr>
          <w:rFonts w:cs="Arial Unicode MS" w:eastAsia="Arial Unicode MS"/>
          <w:rtl w:val="0"/>
        </w:rPr>
        <w:t xml:space="preserve"> 238</w:t>
      </w:r>
      <w:r>
        <w:rPr>
          <w:rFonts w:cs="Arial Unicode MS" w:eastAsia="Arial Unicode MS"/>
          <w:rtl w:val="0"/>
          <w:lang w:val="en-US"/>
        </w:rPr>
        <w:t>.</w:t>
      </w:r>
    </w:p>
  </w:footnote>
  <w:footnote w:id="152">
    <w:p>
      <w:pPr>
        <w:pStyle w:val="Footnote"/>
        <w:bidi w:val="0"/>
      </w:pPr>
      <w:r>
        <w:rPr>
          <w:vertAlign w:val="superscript"/>
        </w:rPr>
        <w:footnoteRef/>
      </w:r>
      <w:r>
        <w:rPr>
          <w:rFonts w:cs="Arial Unicode MS" w:eastAsia="Arial Unicode MS"/>
          <w:rtl w:val="0"/>
        </w:rPr>
        <w:t xml:space="preserve"> Mark</w:t>
      </w:r>
      <w:r>
        <w:rPr>
          <w:rFonts w:cs="Arial Unicode MS" w:eastAsia="Arial Unicode MS"/>
          <w:rtl w:val="0"/>
          <w:lang w:val="en-US"/>
        </w:rPr>
        <w:t xml:space="preserve"> </w:t>
      </w:r>
      <w:r>
        <w:rPr>
          <w:rFonts w:cs="Arial Unicode MS" w:eastAsia="Arial Unicode MS"/>
          <w:rtl w:val="0"/>
          <w:lang w:val="en-US"/>
        </w:rPr>
        <w:t>Cartwright.</w:t>
      </w:r>
      <w:r>
        <w:rPr>
          <w:rFonts w:cs="Arial Unicode MS" w:eastAsia="Arial Unicode MS" w:hint="default"/>
          <w:rtl w:val="0"/>
          <w:lang w:val="en-US"/>
        </w:rPr>
        <w:t xml:space="preserve"> ‘</w:t>
      </w:r>
      <w:r>
        <w:rPr>
          <w:rFonts w:cs="Arial Unicode MS" w:eastAsia="Arial Unicode MS"/>
          <w:rtl w:val="0"/>
          <w:lang w:val="it-IT"/>
        </w:rPr>
        <w:t>Coricancha</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World History Encyclopedia</w:t>
      </w:r>
      <w:r>
        <w:rPr>
          <w:rFonts w:cs="Arial Unicode MS" w:eastAsia="Arial Unicode MS"/>
          <w:rtl w:val="0"/>
        </w:rPr>
        <w:t xml:space="preserve">, </w:t>
      </w:r>
      <w:r>
        <w:rPr>
          <w:rFonts w:cs="Arial Unicode MS" w:eastAsia="Arial Unicode MS"/>
          <w:rtl w:val="0"/>
          <w:lang w:val="en-US"/>
        </w:rPr>
        <w:t>&lt;</w:t>
      </w:r>
      <w:r>
        <w:rPr>
          <w:rFonts w:cs="Arial Unicode MS" w:eastAsia="Arial Unicode MS"/>
          <w:rtl w:val="0"/>
          <w:lang w:val="en-US"/>
        </w:rPr>
        <w:t>https://www.worldhistory.org/Coricancha/</w:t>
      </w:r>
      <w:r>
        <w:rPr>
          <w:rFonts w:cs="Arial Unicode MS" w:eastAsia="Arial Unicode MS"/>
          <w:rtl w:val="0"/>
          <w:lang w:val="en-US"/>
        </w:rPr>
        <w:t>&gt; [</w:t>
      </w:r>
      <w:r>
        <w:rPr>
          <w:rFonts w:cs="Arial Unicode MS" w:eastAsia="Arial Unicode MS"/>
          <w:rtl w:val="0"/>
          <w:lang w:val="en-US"/>
        </w:rPr>
        <w:t>Accessed on September 17, 2021</w:t>
      </w:r>
      <w:r>
        <w:rPr>
          <w:rFonts w:cs="Arial Unicode MS" w:eastAsia="Arial Unicode MS"/>
          <w:rtl w:val="0"/>
          <w:lang w:val="en-US"/>
        </w:rPr>
        <w:t>].</w:t>
      </w:r>
    </w:p>
  </w:footnote>
  <w:footnote w:id="15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Clive Ruggles</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Geoglyphs of the Peruvian Coast</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Handbook of Archaeoastronomy and Ethnoastronomy</w:t>
      </w:r>
      <w:r>
        <w:rPr>
          <w:rFonts w:cs="Arial Unicode MS" w:eastAsia="Arial Unicode MS"/>
          <w:rtl w:val="0"/>
        </w:rPr>
        <w:t xml:space="preserve"> (2015b), </w:t>
      </w:r>
      <w:r>
        <w:rPr>
          <w:rFonts w:cs="Arial Unicode MS" w:eastAsia="Arial Unicode MS"/>
          <w:rtl w:val="0"/>
          <w:lang w:val="en-US"/>
        </w:rPr>
        <w:t>p. 825.</w:t>
      </w:r>
    </w:p>
  </w:footnote>
  <w:footnote w:id="154">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0"/>
          <w:lang w:val="en-US"/>
        </w:rPr>
        <w:t>‘</w:t>
      </w:r>
      <w:r>
        <w:rPr>
          <w:rFonts w:cs="Arial Unicode MS" w:eastAsia="Arial Unicode MS"/>
          <w:rtl w:val="0"/>
          <w:lang w:val="fr-FR"/>
        </w:rPr>
        <w:t>Voyaging</w:t>
      </w:r>
      <w:r>
        <w:rPr>
          <w:rFonts w:cs="Arial Unicode MS" w:eastAsia="Arial Unicode MS" w:hint="default"/>
          <w:rtl w:val="0"/>
          <w:lang w:val="en-US"/>
        </w:rPr>
        <w:t>’</w:t>
      </w:r>
      <w:r>
        <w:rPr>
          <w:rFonts w:cs="Arial Unicode MS" w:eastAsia="Arial Unicode MS"/>
          <w:rtl w:val="0"/>
          <w:lang w:val="en-US"/>
        </w:rPr>
        <w:t>, pp.</w:t>
      </w:r>
      <w:r>
        <w:rPr>
          <w:rFonts w:cs="Arial Unicode MS" w:eastAsia="Arial Unicode MS"/>
          <w:rtl w:val="0"/>
        </w:rPr>
        <w:t xml:space="preserve"> 137</w:t>
      </w:r>
      <w:r>
        <w:rPr>
          <w:rFonts w:cs="Arial Unicode MS" w:eastAsia="Arial Unicode MS"/>
          <w:rtl w:val="0"/>
          <w:lang w:val="en-US"/>
        </w:rPr>
        <w:t xml:space="preserve">, </w:t>
      </w:r>
      <w:r>
        <w:rPr>
          <w:rFonts w:cs="Arial Unicode MS" w:eastAsia="Arial Unicode MS"/>
          <w:rtl w:val="0"/>
        </w:rPr>
        <w:t>138</w:t>
      </w:r>
      <w:r>
        <w:rPr>
          <w:rFonts w:cs="Arial Unicode MS" w:eastAsia="Arial Unicode MS"/>
          <w:rtl w:val="0"/>
          <w:lang w:val="en-US"/>
        </w:rPr>
        <w:t>.</w:t>
      </w:r>
    </w:p>
  </w:footnote>
  <w:footnote w:id="155">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0"/>
          <w:lang w:val="en-US"/>
        </w:rPr>
        <w:t xml:space="preserve">’ </w:t>
      </w:r>
      <w:r>
        <w:rPr>
          <w:rFonts w:cs="Arial Unicode MS" w:eastAsia="Arial Unicode MS"/>
          <w:rtl w:val="0"/>
          <w:lang w:val="en-US"/>
        </w:rPr>
        <w:t>p. 146.</w:t>
      </w:r>
    </w:p>
  </w:footnote>
  <w:footnote w:id="156">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w:t>
      </w:r>
      <w:r>
        <w:rPr>
          <w:rFonts w:cs="Arial Unicode MS" w:eastAsia="Arial Unicode MS"/>
          <w:rtl w:val="0"/>
          <w:lang w:val="en-US"/>
        </w:rPr>
        <w:t>n</w:t>
      </w:r>
      <w:r>
        <w:rPr>
          <w:rFonts w:cs="Arial Unicode MS" w:eastAsia="Arial Unicode MS" w:hint="default"/>
          <w:rtl w:val="0"/>
          <w:lang w:val="en-US"/>
        </w:rPr>
        <w:t>’</w:t>
      </w:r>
      <w:r>
        <w:rPr>
          <w:rFonts w:cs="Arial Unicode MS" w:eastAsia="Arial Unicode MS"/>
          <w:rtl w:val="0"/>
          <w:lang w:val="en-US"/>
        </w:rPr>
        <w:t>, p. 151.</w:t>
      </w:r>
    </w:p>
  </w:footnote>
  <w:footnote w:id="157">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0"/>
          <w:lang w:val="en-US"/>
        </w:rPr>
        <w:t>’</w:t>
      </w:r>
      <w:r>
        <w:rPr>
          <w:rFonts w:cs="Arial Unicode MS" w:eastAsia="Arial Unicode MS"/>
          <w:rtl w:val="0"/>
          <w:lang w:val="en-US"/>
        </w:rPr>
        <w:t>, p. 154.</w:t>
      </w:r>
    </w:p>
  </w:footnote>
  <w:footnote w:id="158">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0"/>
          <w:lang w:val="en-US"/>
        </w:rPr>
        <w:t>’</w:t>
      </w:r>
      <w:r>
        <w:rPr>
          <w:rFonts w:cs="Arial Unicode MS" w:eastAsia="Arial Unicode MS"/>
          <w:rtl w:val="0"/>
          <w:lang w:val="en-US"/>
        </w:rPr>
        <w:t>, p. 154.</w:t>
      </w:r>
    </w:p>
  </w:footnote>
  <w:footnote w:id="159">
    <w:p>
      <w:pPr>
        <w:pStyle w:val="Footnote"/>
        <w:bidi w:val="0"/>
      </w:pPr>
      <w:r>
        <w:rPr>
          <w:vertAlign w:val="superscript"/>
        </w:rPr>
        <w:footnoteRef/>
      </w:r>
      <w:r>
        <w:rPr>
          <w:rFonts w:cs="Arial Unicode MS" w:eastAsia="Arial Unicode MS"/>
          <w:rtl w:val="0"/>
          <w:lang w:val="de-DE"/>
        </w:rPr>
        <w:t xml:space="preserve"> John E</w:t>
      </w:r>
      <w:r>
        <w:rPr>
          <w:rFonts w:cs="Arial Unicode MS" w:eastAsia="Arial Unicode MS"/>
          <w:rtl w:val="0"/>
          <w:lang w:val="en-US"/>
        </w:rPr>
        <w:t xml:space="preserve">. </w:t>
      </w:r>
      <w:r>
        <w:rPr>
          <w:rFonts w:cs="Arial Unicode MS" w:eastAsia="Arial Unicode MS"/>
          <w:rtl w:val="0"/>
        </w:rPr>
        <w:t xml:space="preserve">Coleman, </w:t>
      </w:r>
      <w:r>
        <w:rPr>
          <w:rFonts w:cs="Arial Unicode MS" w:eastAsia="Arial Unicode MS" w:hint="default"/>
          <w:rtl w:val="1"/>
        </w:rPr>
        <w:t>‘</w:t>
      </w:r>
      <w:r>
        <w:rPr>
          <w:rFonts w:cs="Arial Unicode MS" w:eastAsia="Arial Unicode MS"/>
          <w:rtl w:val="0"/>
          <w:lang w:val="en-US"/>
        </w:rPr>
        <w:t>"Frying Pans" of the Early Bronze Age Aegean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American Journal of Archaeology</w:t>
      </w:r>
      <w:r>
        <w:rPr>
          <w:rFonts w:cs="Arial Unicode MS" w:eastAsia="Arial Unicode MS"/>
          <w:rtl w:val="0"/>
        </w:rPr>
        <w:t xml:space="preserve">: (1985), </w:t>
      </w:r>
      <w:r>
        <w:rPr>
          <w:rFonts w:cs="Arial Unicode MS" w:eastAsia="Arial Unicode MS"/>
          <w:rtl w:val="0"/>
          <w:lang w:val="en-US"/>
        </w:rPr>
        <w:t xml:space="preserve">p. </w:t>
      </w:r>
      <w:r>
        <w:rPr>
          <w:rFonts w:cs="Arial Unicode MS" w:eastAsia="Arial Unicode MS"/>
          <w:rtl w:val="0"/>
        </w:rPr>
        <w:t>191</w:t>
      </w:r>
      <w:r>
        <w:rPr>
          <w:rFonts w:cs="Arial Unicode MS" w:eastAsia="Arial Unicode MS"/>
          <w:rtl w:val="0"/>
          <w:lang w:val="en-US"/>
        </w:rPr>
        <w:t>.</w:t>
      </w:r>
    </w:p>
  </w:footnote>
  <w:footnote w:id="160">
    <w:p>
      <w:pPr>
        <w:pStyle w:val="Footnote"/>
        <w:bidi w:val="0"/>
      </w:pPr>
      <w:r>
        <w:rPr>
          <w:vertAlign w:val="superscript"/>
        </w:rPr>
        <w:footnoteRef/>
      </w:r>
      <w:r>
        <w:rPr>
          <w:rFonts w:cs="Arial Unicode MS" w:eastAsia="Arial Unicode MS"/>
          <w:rtl w:val="0"/>
          <w:lang w:val="en-US"/>
          <w14:textOutline w14:w="12700" w14:cap="flat">
            <w14:noFill/>
            <w14:miter w14:lim="400000"/>
          </w14:textOutline>
        </w:rPr>
        <w:t xml:space="preserve"> </w:t>
      </w:r>
      <w:r>
        <w:rPr>
          <w:rFonts w:cs="Arial Unicode MS" w:eastAsia="Arial Unicode MS"/>
          <w:rtl w:val="0"/>
          <w:lang w:val="it-IT"/>
          <w14:textOutline w14:w="12700" w14:cap="flat">
            <w14:noFill/>
            <w14:miter w14:lim="400000"/>
          </w14:textOutline>
        </w:rPr>
        <w:t>Andrea</w:t>
      </w:r>
      <w:r>
        <w:rPr>
          <w:rFonts w:cs="Arial Unicode MS" w:eastAsia="Arial Unicode MS"/>
          <w:rtl w:val="0"/>
          <w:lang w:val="en-US"/>
          <w14:textOutline w14:w="12700" w14:cap="flat">
            <w14:noFill/>
            <w14:miter w14:lim="400000"/>
          </w14:textOutline>
        </w:rPr>
        <w:t xml:space="preserve"> Vianello, </w:t>
      </w:r>
      <w:r>
        <w:rPr>
          <w:rFonts w:cs="Arial Unicode MS" w:eastAsia="Arial Unicode MS" w:hint="default"/>
          <w:rtl w:val="0"/>
          <w:lang w:val="en-US"/>
          <w14:textOutline w14:w="12700" w14:cap="flat">
            <w14:noFill/>
            <w14:miter w14:lim="400000"/>
          </w14:textOutline>
        </w:rPr>
        <w:t>‘</w:t>
      </w:r>
      <w:r>
        <w:rPr>
          <w:rFonts w:cs="Arial Unicode MS" w:eastAsia="Arial Unicode MS"/>
          <w:rtl w:val="0"/>
          <w:lang w:val="en-US"/>
          <w14:textOutline w14:w="12700" w14:cap="flat">
            <w14:noFill/>
            <w14:miter w14:lim="400000"/>
          </w14:textOutline>
        </w:rPr>
        <w:t>The Ship and Its Symbolism in the European Bronze Age</w:t>
      </w:r>
      <w:r>
        <w:rPr>
          <w:rFonts w:cs="Arial Unicode MS" w:eastAsia="Arial Unicode MS" w:hint="default"/>
          <w:rtl w:val="0"/>
          <w:lang w:val="en-US"/>
          <w14:textOutline w14:w="12700" w14:cap="flat">
            <w14:noFill/>
            <w14:miter w14:lim="400000"/>
          </w14:textOutline>
        </w:rPr>
        <w:t>’</w:t>
      </w:r>
      <w:r>
        <w:rPr>
          <w:rFonts w:cs="Arial Unicode MS" w:eastAsia="Arial Unicode MS"/>
          <w:rtl w:val="0"/>
          <w:lang w:val="en-US"/>
          <w14:textOutline w14:w="12700" w14:cap="flat">
            <w14:noFill/>
            <w14:miter w14:lim="400000"/>
          </w14:textOutline>
        </w:rPr>
        <w:t xml:space="preserve">, </w:t>
      </w:r>
      <w:r>
        <w:rPr>
          <w:rFonts w:ascii="Lora Regular" w:hAnsi="Lora Regular"/>
          <w:i w:val="1"/>
          <w:iCs w:val="1"/>
          <w:rtl w:val="0"/>
          <w:lang w:val="en-US"/>
          <w14:textOutline w14:w="12700" w14:cap="flat">
            <w14:noFill/>
            <w14:miter w14:lim="400000"/>
          </w14:textOutline>
        </w:rPr>
        <w:t>Bar</w:t>
      </w:r>
      <w:r>
        <w:rPr>
          <w:rFonts w:ascii="Lora Regular" w:hAnsi="Lora Regular"/>
          <w:i w:val="1"/>
          <w:iCs w:val="1"/>
          <w:rtl w:val="0"/>
          <w:lang w:val="de-DE"/>
          <w14:textOutline w14:w="12700" w14:cap="flat">
            <w14:noFill/>
            <w14:miter w14:lim="400000"/>
          </w14:textOutline>
        </w:rPr>
        <w:t xml:space="preserve"> </w:t>
      </w:r>
      <w:r>
        <w:rPr>
          <w:rFonts w:ascii="Lora Regular" w:hAnsi="Lora Regular"/>
          <w:i w:val="1"/>
          <w:iCs w:val="1"/>
          <w:rtl w:val="0"/>
          <w:lang w:val="en-US"/>
          <w14:textOutline w14:w="12700" w14:cap="flat">
            <w14:noFill/>
            <w14:miter w14:lim="400000"/>
          </w14:textOutline>
        </w:rPr>
        <w:t>International</w:t>
      </w:r>
      <w:r>
        <w:rPr>
          <w:rFonts w:ascii="Lora Regular" w:hAnsi="Lora Regular"/>
          <w:i w:val="1"/>
          <w:iCs w:val="1"/>
          <w:rtl w:val="0"/>
          <w:lang w:val="de-DE"/>
          <w14:textOutline w14:w="12700" w14:cap="flat">
            <w14:noFill/>
            <w14:miter w14:lim="400000"/>
          </w14:textOutline>
        </w:rPr>
        <w:t xml:space="preserve"> S</w:t>
      </w:r>
      <w:r>
        <w:rPr>
          <w:rFonts w:ascii="Lora Regular" w:hAnsi="Lora Regular"/>
          <w:i w:val="1"/>
          <w:iCs w:val="1"/>
          <w:rtl w:val="0"/>
          <w:lang w:val="en-US"/>
          <w14:textOutline w14:w="12700" w14:cap="flat">
            <w14:noFill/>
            <w14:miter w14:lim="400000"/>
          </w14:textOutline>
        </w:rPr>
        <w:t>eries</w:t>
      </w:r>
      <w:r>
        <w:rPr>
          <w:rFonts w:cs="Arial Unicode MS" w:eastAsia="Arial Unicode MS"/>
          <w:rtl w:val="0"/>
          <w:lang w:val="en-US"/>
          <w14:textOutline w14:w="12700" w14:cap="flat">
            <w14:noFill/>
            <w14:miter w14:lim="400000"/>
          </w14:textOutline>
        </w:rPr>
        <w:t xml:space="preserve">, 1737 (2008), </w:t>
      </w:r>
      <w:r>
        <w:rPr>
          <w:rFonts w:cs="Arial Unicode MS" w:eastAsia="Arial Unicode MS"/>
          <w:rtl w:val="0"/>
          <w:lang w:val="en-US"/>
          <w14:textOutline w14:w="12700" w14:cap="flat">
            <w14:noFill/>
            <w14:miter w14:lim="400000"/>
          </w14:textOutline>
        </w:rPr>
        <w:t>p. 30</w:t>
      </w:r>
      <w:r>
        <w:rPr>
          <w:rFonts w:cs="Arial Unicode MS" w:eastAsia="Arial Unicode MS"/>
          <w:rtl w:val="0"/>
          <w:lang w:val="en-US"/>
          <w14:textOutline w14:w="12700" w14:cap="flat">
            <w14:noFill/>
            <w14:miter w14:lim="400000"/>
          </w14:textOutline>
        </w:rPr>
        <w:t>.</w:t>
      </w:r>
    </w:p>
  </w:footnote>
  <w:footnote w:id="161">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0"/>
          <w:lang w:val="en-US"/>
        </w:rPr>
        <w:t>’</w:t>
      </w:r>
      <w:r>
        <w:rPr>
          <w:rFonts w:cs="Arial Unicode MS" w:eastAsia="Arial Unicode MS"/>
          <w:rtl w:val="0"/>
          <w:lang w:val="en-US"/>
        </w:rPr>
        <w:t>, p. 151.</w:t>
      </w:r>
    </w:p>
  </w:footnote>
  <w:footnote w:id="162">
    <w:p>
      <w:pPr>
        <w:pStyle w:val="Footnote"/>
        <w:bidi w:val="0"/>
      </w:pPr>
      <w:r>
        <w:rPr>
          <w:vertAlign w:val="superscript"/>
        </w:rPr>
        <w:footnoteRef/>
      </w:r>
      <w:r>
        <w:rPr>
          <w:rFonts w:cs="Arial Unicode MS" w:eastAsia="Arial Unicode MS"/>
          <w:rtl w:val="0"/>
          <w:lang w:val="en-US"/>
        </w:rPr>
        <w:t xml:space="preserve"> Arthur Evans, </w:t>
      </w:r>
      <w:r>
        <w:rPr>
          <w:rFonts w:cs="Arial Unicode MS" w:eastAsia="Arial Unicode MS" w:hint="default"/>
          <w:rtl w:val="1"/>
        </w:rPr>
        <w:t>‘</w:t>
      </w:r>
      <w:r>
        <w:rPr>
          <w:rFonts w:cs="Arial Unicode MS" w:eastAsia="Arial Unicode MS"/>
          <w:rtl w:val="0"/>
          <w:lang w:val="en-US"/>
        </w:rPr>
        <w:t>The Early Nilotic, Libyan and Egyptian Relations with Minoan Crete</w:t>
      </w:r>
      <w:r>
        <w:rPr>
          <w:rFonts w:cs="Arial Unicode MS" w:eastAsia="Arial Unicode MS" w:hint="default"/>
          <w:rtl w:val="1"/>
        </w:rPr>
        <w:t>’</w:t>
      </w:r>
      <w:r>
        <w:rPr>
          <w:rFonts w:cs="Arial Unicode MS" w:eastAsia="Arial Unicode MS"/>
          <w:rtl w:val="0"/>
          <w:lang w:val="en-US"/>
        </w:rPr>
        <w:t>, The Journal of the Royal Anthropological Institute of Great Britain and Ireland, 55 (1925), p. 207</w:t>
      </w:r>
      <w:r>
        <w:rPr>
          <w:rFonts w:cs="Arial Unicode MS" w:eastAsia="Arial Unicode MS"/>
          <w:rtl w:val="0"/>
          <w:lang w:val="en-US"/>
        </w:rPr>
        <w:t>.</w:t>
      </w:r>
    </w:p>
  </w:footnote>
  <w:footnote w:id="163">
    <w:p>
      <w:pPr>
        <w:pStyle w:val="Footnote"/>
        <w:bidi w:val="0"/>
      </w:pPr>
      <w:r>
        <w:rPr>
          <w:vertAlign w:val="superscript"/>
        </w:rPr>
        <w:footnoteRef/>
      </w:r>
      <w:r>
        <w:rPr>
          <w:rFonts w:cs="Arial Unicode MS" w:eastAsia="Arial Unicode MS"/>
          <w:rtl w:val="0"/>
          <w:lang w:val="en-US"/>
        </w:rPr>
        <w:t xml:space="preserve"> Ingold, </w:t>
      </w:r>
      <w:r>
        <w:rPr>
          <w:rFonts w:cs="Arial Unicode MS" w:eastAsia="Arial Unicode MS"/>
          <w:i w:val="1"/>
          <w:iCs w:val="1"/>
          <w:rtl w:val="0"/>
          <w:lang w:val="en-US"/>
        </w:rPr>
        <w:t>Lines</w:t>
      </w:r>
      <w:r>
        <w:rPr>
          <w:rFonts w:cs="Arial Unicode MS" w:eastAsia="Arial Unicode MS"/>
          <w:rtl w:val="0"/>
          <w:lang w:val="en-US"/>
        </w:rPr>
        <w:t xml:space="preserve">, p. </w:t>
      </w:r>
      <w:r>
        <w:rPr>
          <w:rFonts w:cs="Arial Unicode MS" w:eastAsia="Arial Unicode MS"/>
          <w:rtl w:val="0"/>
        </w:rPr>
        <w:t>49</w:t>
      </w:r>
      <w:r>
        <w:rPr>
          <w:rFonts w:cs="Arial Unicode MS" w:eastAsia="Arial Unicode MS"/>
          <w:rtl w:val="0"/>
          <w:lang w:val="en-US"/>
        </w:rPr>
        <w:t>.</w:t>
      </w:r>
    </w:p>
  </w:footnote>
  <w:footnote w:id="164">
    <w:p>
      <w:pPr>
        <w:pStyle w:val="Footnote"/>
        <w:bidi w:val="0"/>
      </w:pPr>
      <w:r>
        <w:rPr>
          <w:vertAlign w:val="superscript"/>
        </w:rPr>
        <w:footnoteRef/>
      </w:r>
      <w:r>
        <w:rPr>
          <w:rFonts w:cs="Arial Unicode MS" w:eastAsia="Arial Unicode MS"/>
          <w:rtl w:val="0"/>
        </w:rPr>
        <w:t xml:space="preserve"> Henriksson and Blomberg, </w:t>
      </w:r>
      <w:r>
        <w:rPr>
          <w:rFonts w:cs="Arial Unicode MS" w:eastAsia="Arial Unicode MS" w:hint="default"/>
          <w:rtl w:val="0"/>
          <w:lang w:val="en-US"/>
        </w:rPr>
        <w:t>‘</w:t>
      </w:r>
      <w:r>
        <w:rPr>
          <w:rFonts w:cs="Arial Unicode MS" w:eastAsia="Arial Unicode MS"/>
          <w:rtl w:val="0"/>
          <w:lang w:val="en-US"/>
        </w:rPr>
        <w:t>Evidence</w:t>
      </w:r>
      <w:r>
        <w:rPr>
          <w:rFonts w:cs="Arial Unicode MS" w:eastAsia="Arial Unicode MS" w:hint="default"/>
          <w:rtl w:val="0"/>
          <w:lang w:val="en-US"/>
        </w:rPr>
        <w:t>’</w:t>
      </w:r>
      <w:r>
        <w:rPr>
          <w:rFonts w:cs="Arial Unicode MS" w:eastAsia="Arial Unicode MS"/>
          <w:rtl w:val="0"/>
          <w:lang w:val="en-US"/>
        </w:rPr>
        <w:t xml:space="preserve">, p. </w:t>
      </w:r>
      <w:r>
        <w:rPr>
          <w:rFonts w:cs="Arial Unicode MS" w:eastAsia="Arial Unicode MS"/>
          <w:rtl w:val="0"/>
        </w:rPr>
        <w:t>72</w:t>
      </w:r>
      <w:r>
        <w:rPr>
          <w:rFonts w:cs="Arial Unicode MS" w:eastAsia="Arial Unicode MS"/>
          <w:rtl w:val="0"/>
          <w:lang w:val="en-US"/>
        </w:rPr>
        <w:t xml:space="preserve">; Blomberg and Henriksson, </w:t>
      </w:r>
      <w:r>
        <w:rPr>
          <w:rFonts w:cs="Arial Unicode MS" w:eastAsia="Arial Unicode MS" w:hint="default"/>
          <w:rtl w:val="0"/>
          <w:lang w:val="en-US"/>
        </w:rPr>
        <w:t>‘</w:t>
      </w:r>
      <w:r>
        <w:rPr>
          <w:rFonts w:cs="Arial Unicode MS" w:eastAsia="Arial Unicode MS"/>
          <w:rtl w:val="0"/>
          <w:lang w:val="en-US"/>
        </w:rPr>
        <w:t>Crossing</w:t>
      </w:r>
      <w:r>
        <w:rPr>
          <w:rFonts w:cs="Arial Unicode MS" w:eastAsia="Arial Unicode MS" w:hint="default"/>
          <w:rtl w:val="0"/>
          <w:lang w:val="en-US"/>
        </w:rPr>
        <w:t>’</w:t>
      </w:r>
      <w:r>
        <w:rPr>
          <w:rFonts w:cs="Arial Unicode MS" w:eastAsia="Arial Unicode MS"/>
          <w:rtl w:val="0"/>
          <w:lang w:val="en-US"/>
        </w:rPr>
        <w:t xml:space="preserve">, p. </w:t>
      </w:r>
      <w:r>
        <w:rPr>
          <w:rFonts w:cs="Arial Unicode MS" w:eastAsia="Arial Unicode MS"/>
          <w:rtl w:val="0"/>
        </w:rPr>
        <w:t>204</w:t>
      </w:r>
      <w:r>
        <w:rPr>
          <w:rFonts w:cs="Arial Unicode MS" w:eastAsia="Arial Unicode MS"/>
          <w:rtl w:val="0"/>
          <w:lang w:val="en-US"/>
        </w:rPr>
        <w:t>.</w:t>
      </w:r>
    </w:p>
  </w:footnote>
  <w:footnote w:id="165">
    <w:p>
      <w:pPr>
        <w:pStyle w:val="Footnote"/>
        <w:bidi w:val="0"/>
      </w:pPr>
      <w:r>
        <w:rPr>
          <w:vertAlign w:val="superscript"/>
        </w:rPr>
        <w:footnoteRef/>
      </w:r>
      <w:r>
        <w:rPr>
          <w:rFonts w:cs="Arial Unicode MS" w:eastAsia="Arial Unicode MS"/>
          <w:rtl w:val="0"/>
          <w:lang w:val="fr-FR"/>
        </w:rPr>
        <w:t xml:space="preserve"> Boutsikas, </w:t>
      </w:r>
      <w:r>
        <w:rPr>
          <w:rFonts w:cs="Arial Unicode MS" w:eastAsia="Arial Unicode MS" w:hint="default"/>
          <w:rtl w:val="1"/>
        </w:rPr>
        <w:t>‘</w:t>
      </w:r>
      <w:r>
        <w:rPr>
          <w:rFonts w:cs="Arial Unicode MS" w:eastAsia="Arial Unicode MS"/>
          <w:rtl w:val="0"/>
          <w:lang w:val="nl-NL"/>
        </w:rPr>
        <w:t>Greek</w:t>
      </w:r>
      <w:r>
        <w:rPr>
          <w:rFonts w:cs="Arial Unicode MS" w:eastAsia="Arial Unicode MS" w:hint="default"/>
          <w:rtl w:val="1"/>
        </w:rPr>
        <w:t>’</w:t>
      </w:r>
      <w:r>
        <w:rPr>
          <w:rFonts w:cs="Arial Unicode MS" w:eastAsia="Arial Unicode MS"/>
          <w:rtl w:val="0"/>
        </w:rPr>
        <w:t xml:space="preserve">, </w:t>
      </w:r>
      <w:r>
        <w:rPr>
          <w:rFonts w:cs="Arial Unicode MS" w:eastAsia="Arial Unicode MS"/>
          <w:rtl w:val="0"/>
          <w:lang w:val="en-US"/>
        </w:rPr>
        <w:t>p. 1574.</w:t>
      </w:r>
    </w:p>
  </w:footnote>
  <w:footnote w:id="166">
    <w:p>
      <w:pPr>
        <w:pStyle w:val="Footnote"/>
        <w:bidi w:val="0"/>
      </w:pPr>
      <w:r>
        <w:rPr>
          <w:vertAlign w:val="superscript"/>
        </w:rPr>
        <w:footnoteRef/>
      </w:r>
      <w:r>
        <w:rPr>
          <w:rFonts w:cs="Arial Unicode MS" w:eastAsia="Arial Unicode MS"/>
          <w:rtl w:val="0"/>
          <w:lang w:val="it-IT"/>
        </w:rPr>
        <w:t xml:space="preserve"> Tartaron, </w:t>
      </w:r>
      <w:r>
        <w:rPr>
          <w:rFonts w:cs="Arial Unicode MS" w:eastAsia="Arial Unicode MS" w:hint="default"/>
          <w:rtl w:val="1"/>
        </w:rPr>
        <w:t>‘</w:t>
      </w:r>
      <w:r>
        <w:rPr>
          <w:rFonts w:cs="Arial Unicode MS" w:eastAsia="Arial Unicode MS"/>
          <w:rtl w:val="0"/>
          <w:lang w:val="en-US"/>
        </w:rPr>
        <w:t>Networks</w:t>
      </w:r>
      <w:r>
        <w:rPr>
          <w:rFonts w:cs="Arial Unicode MS" w:eastAsia="Arial Unicode MS" w:hint="default"/>
          <w:rtl w:val="1"/>
        </w:rPr>
        <w:t>’</w:t>
      </w:r>
      <w:r>
        <w:rPr>
          <w:rFonts w:cs="Arial Unicode MS" w:eastAsia="Arial Unicode MS"/>
          <w:rtl w:val="0"/>
        </w:rPr>
        <w:t>, p. 127-8</w:t>
      </w:r>
      <w:r>
        <w:rPr>
          <w:rFonts w:cs="Arial Unicode MS" w:eastAsia="Arial Unicode MS"/>
          <w:rtl w:val="0"/>
          <w:lang w:val="en-US"/>
        </w:rPr>
        <w:t>.</w:t>
      </w:r>
    </w:p>
  </w:footnote>
  <w:footnote w:id="167">
    <w:p>
      <w:pPr>
        <w:pStyle w:val="Footnote"/>
        <w:bidi w:val="0"/>
      </w:pPr>
      <w:r>
        <w:rPr>
          <w:vertAlign w:val="superscript"/>
        </w:rPr>
        <w:footnoteRef/>
      </w:r>
      <w:r>
        <w:rPr>
          <w:rFonts w:cs="Arial Unicode MS" w:eastAsia="Arial Unicode MS"/>
          <w:rtl w:val="0"/>
          <w:lang w:val="en-US"/>
        </w:rPr>
        <w:t xml:space="preserve"> Bradley E</w:t>
      </w:r>
      <w:r>
        <w:rPr>
          <w:rFonts w:cs="Arial Unicode MS" w:eastAsia="Arial Unicode MS"/>
          <w:rtl w:val="0"/>
          <w:lang w:val="en-US"/>
        </w:rPr>
        <w:t xml:space="preserve">. </w:t>
      </w:r>
      <w:r>
        <w:rPr>
          <w:rFonts w:cs="Arial Unicode MS" w:eastAsia="Arial Unicode MS"/>
          <w:rtl w:val="0"/>
          <w:lang w:val="de-DE"/>
        </w:rPr>
        <w:t xml:space="preserve">Schaefer, </w:t>
      </w:r>
      <w:r>
        <w:rPr>
          <w:rFonts w:cs="Arial Unicode MS" w:eastAsia="Arial Unicode MS" w:hint="default"/>
          <w:rtl w:val="1"/>
        </w:rPr>
        <w:t>‘</w:t>
      </w:r>
      <w:r>
        <w:rPr>
          <w:rFonts w:cs="Arial Unicode MS" w:eastAsia="Arial Unicode MS"/>
          <w:rtl w:val="0"/>
          <w:lang w:val="en-US"/>
        </w:rPr>
        <w:t>The Latitude and Epoch for the Formation of the Southern Greek Constellations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Journal for the History of Astronomy</w:t>
      </w:r>
      <w:r>
        <w:rPr>
          <w:rFonts w:cs="Arial Unicode MS" w:eastAsia="Arial Unicode MS"/>
          <w:rtl w:val="0"/>
        </w:rPr>
        <w:t xml:space="preserve">, 33 (2002), </w:t>
      </w:r>
      <w:r>
        <w:rPr>
          <w:rFonts w:cs="Arial Unicode MS" w:eastAsia="Arial Unicode MS"/>
          <w:rtl w:val="0"/>
          <w:lang w:val="en-US"/>
        </w:rPr>
        <w:t xml:space="preserve">p. </w:t>
      </w:r>
      <w:r>
        <w:rPr>
          <w:rFonts w:cs="Arial Unicode MS" w:eastAsia="Arial Unicode MS"/>
          <w:rtl w:val="0"/>
        </w:rPr>
        <w:t>3</w:t>
      </w:r>
      <w:r>
        <w:rPr>
          <w:rFonts w:cs="Arial Unicode MS" w:eastAsia="Arial Unicode MS"/>
          <w:rtl w:val="0"/>
          <w:lang w:val="en-US"/>
        </w:rPr>
        <w:t>16.</w:t>
      </w:r>
    </w:p>
  </w:footnote>
  <w:footnote w:id="168">
    <w:p>
      <w:pPr>
        <w:pStyle w:val="Footnote"/>
        <w:bidi w:val="0"/>
      </w:pPr>
      <w:r>
        <w:rPr>
          <w:vertAlign w:val="superscript"/>
        </w:rPr>
        <w:footnoteRef/>
      </w:r>
      <w:r>
        <w:rPr>
          <w:rFonts w:cs="Arial Unicode MS" w:eastAsia="Arial Unicode MS"/>
          <w:rtl w:val="0"/>
          <w:lang w:val="nl-NL"/>
        </w:rPr>
        <w:t xml:space="preserve"> Evangelos</w:t>
      </w:r>
      <w:r>
        <w:rPr>
          <w:rFonts w:cs="Arial Unicode MS" w:eastAsia="Arial Unicode MS"/>
          <w:rtl w:val="0"/>
          <w:lang w:val="en-US"/>
        </w:rPr>
        <w:t xml:space="preserve"> </w:t>
      </w:r>
      <w:r>
        <w:rPr>
          <w:rFonts w:cs="Arial Unicode MS" w:eastAsia="Arial Unicode MS"/>
          <w:rtl w:val="0"/>
        </w:rPr>
        <w:t xml:space="preserve">Kyriakidis, </w:t>
      </w:r>
      <w:r>
        <w:rPr>
          <w:rFonts w:cs="Arial Unicode MS" w:eastAsia="Arial Unicode MS" w:hint="default"/>
          <w:rtl w:val="1"/>
        </w:rPr>
        <w:t>‘</w:t>
      </w:r>
      <w:r>
        <w:rPr>
          <w:rFonts w:cs="Arial Unicode MS" w:eastAsia="Arial Unicode MS"/>
          <w:rtl w:val="0"/>
          <w:lang w:val="en-US"/>
        </w:rPr>
        <w:t>Unidentified Floating Objects on Minoan Seals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American Journal of Archaeology</w:t>
      </w:r>
      <w:r>
        <w:rPr>
          <w:rFonts w:cs="Arial Unicode MS" w:eastAsia="Arial Unicode MS"/>
          <w:rtl w:val="0"/>
        </w:rPr>
        <w:t xml:space="preserve"> (2005), </w:t>
      </w:r>
      <w:r>
        <w:rPr>
          <w:rFonts w:cs="Arial Unicode MS" w:eastAsia="Arial Unicode MS"/>
          <w:rtl w:val="0"/>
          <w:lang w:val="en-US"/>
        </w:rPr>
        <w:t>p. 150.</w:t>
      </w:r>
    </w:p>
  </w:footnote>
  <w:footnote w:id="169">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1"/>
        </w:rPr>
        <w:t>‘</w:t>
      </w:r>
      <w:r>
        <w:rPr>
          <w:rFonts w:cs="Arial Unicode MS" w:eastAsia="Arial Unicode MS"/>
          <w:rtl w:val="0"/>
          <w:lang w:val="it-IT"/>
        </w:rPr>
        <w:t>Navigators</w:t>
      </w:r>
      <w:r>
        <w:rPr>
          <w:rFonts w:cs="Arial Unicode MS" w:eastAsia="Arial Unicode MS" w:hint="default"/>
          <w:rtl w:val="1"/>
        </w:rPr>
        <w:t>’</w:t>
      </w:r>
      <w:r>
        <w:rPr>
          <w:rFonts w:cs="Arial Unicode MS" w:eastAsia="Arial Unicode MS"/>
          <w:rtl w:val="0"/>
        </w:rPr>
        <w:t>, p. 107</w:t>
      </w:r>
      <w:r>
        <w:rPr>
          <w:rFonts w:cs="Arial Unicode MS" w:eastAsia="Arial Unicode MS"/>
          <w:rtl w:val="0"/>
          <w:lang w:val="en-US"/>
        </w:rPr>
        <w:t xml:space="preserve">, </w:t>
      </w:r>
      <w:r>
        <w:rPr>
          <w:rFonts w:cs="Arial Unicode MS" w:eastAsia="Arial Unicode MS"/>
          <w:rtl w:val="0"/>
        </w:rPr>
        <w:t>109</w:t>
      </w:r>
      <w:r>
        <w:rPr>
          <w:rFonts w:cs="Arial Unicode MS" w:eastAsia="Arial Unicode MS"/>
          <w:rtl w:val="0"/>
          <w:lang w:val="en-US"/>
        </w:rPr>
        <w:t>.</w:t>
      </w:r>
    </w:p>
  </w:footnote>
  <w:footnote w:id="170">
    <w:p>
      <w:pPr>
        <w:pStyle w:val="Footnote"/>
        <w:bidi w:val="0"/>
      </w:pPr>
      <w:r>
        <w:rPr>
          <w:vertAlign w:val="superscript"/>
        </w:rPr>
        <w:footnoteRef/>
      </w:r>
      <w:r>
        <w:rPr>
          <w:rFonts w:cs="Arial Unicode MS" w:eastAsia="Arial Unicode MS"/>
          <w:rtl w:val="0"/>
          <w:lang w:val="en-US"/>
        </w:rPr>
        <w:t xml:space="preserve"> Akira and others, </w:t>
      </w:r>
      <w:r>
        <w:rPr>
          <w:rFonts w:cs="Arial Unicode MS" w:eastAsia="Arial Unicode MS" w:hint="default"/>
          <w:rtl w:val="1"/>
        </w:rPr>
        <w:t>‘</w:t>
      </w:r>
      <w:r>
        <w:rPr>
          <w:rFonts w:cs="Arial Unicode MS" w:eastAsia="Arial Unicode MS"/>
          <w:rtl w:val="0"/>
          <w:lang w:val="es-ES_tradnl"/>
        </w:rPr>
        <w:t>Stones</w:t>
      </w:r>
      <w:r>
        <w:rPr>
          <w:rFonts w:cs="Arial Unicode MS" w:eastAsia="Arial Unicode MS" w:hint="default"/>
          <w:rtl w:val="1"/>
        </w:rPr>
        <w:t>’</w:t>
      </w:r>
      <w:r>
        <w:rPr>
          <w:rFonts w:cs="Arial Unicode MS" w:eastAsia="Arial Unicode MS"/>
          <w:rtl w:val="0"/>
        </w:rPr>
        <w:t xml:space="preserve">, p. </w:t>
      </w:r>
      <w:r>
        <w:rPr>
          <w:rFonts w:cs="Arial Unicode MS" w:eastAsia="Arial Unicode MS"/>
          <w:rtl w:val="0"/>
          <w:lang w:val="en-US"/>
        </w:rPr>
        <w:t>113.</w:t>
      </w:r>
    </w:p>
  </w:footnote>
  <w:footnote w:id="171">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1"/>
        </w:rPr>
        <w:t>‘</w:t>
      </w:r>
      <w:r>
        <w:rPr>
          <w:rFonts w:cs="Arial Unicode MS" w:eastAsia="Arial Unicode MS"/>
          <w:rtl w:val="0"/>
          <w:lang w:val="it-IT"/>
        </w:rPr>
        <w:t>Navigators</w:t>
      </w:r>
      <w:r>
        <w:rPr>
          <w:rFonts w:cs="Arial Unicode MS" w:eastAsia="Arial Unicode MS" w:hint="default"/>
          <w:rtl w:val="1"/>
        </w:rPr>
        <w:t>’</w:t>
      </w:r>
      <w:r>
        <w:rPr>
          <w:rFonts w:cs="Arial Unicode MS" w:eastAsia="Arial Unicode MS"/>
          <w:rtl w:val="0"/>
        </w:rPr>
        <w:t>, p.109</w:t>
      </w:r>
      <w:r>
        <w:rPr>
          <w:rFonts w:cs="Arial Unicode MS" w:eastAsia="Arial Unicode MS"/>
          <w:rtl w:val="0"/>
          <w:lang w:val="en-US"/>
        </w:rPr>
        <w:t>.</w:t>
      </w:r>
    </w:p>
  </w:footnote>
  <w:footnote w:id="172">
    <w:p>
      <w:pPr>
        <w:pStyle w:val="Footnote"/>
        <w:bidi w:val="0"/>
      </w:pPr>
      <w:r>
        <w:rPr>
          <w:vertAlign w:val="superscript"/>
        </w:rPr>
        <w:footnoteRef/>
      </w:r>
      <w:r>
        <w:rPr>
          <w:rFonts w:cs="Arial Unicode MS" w:eastAsia="Arial Unicode MS"/>
          <w:rtl w:val="0"/>
        </w:rPr>
        <w:t xml:space="preserve"> Pimenta, </w:t>
      </w:r>
      <w:r>
        <w:rPr>
          <w:rFonts w:cs="Arial Unicode MS" w:eastAsia="Arial Unicode MS" w:hint="default"/>
          <w:rtl w:val="1"/>
        </w:rPr>
        <w:t>‘</w:t>
      </w:r>
      <w:r>
        <w:rPr>
          <w:rFonts w:cs="Arial Unicode MS" w:eastAsia="Arial Unicode MS"/>
          <w:rtl w:val="0"/>
          <w:lang w:val="en-US"/>
        </w:rPr>
        <w:t>Astronomy</w:t>
      </w:r>
      <w:r>
        <w:rPr>
          <w:rFonts w:cs="Arial Unicode MS" w:eastAsia="Arial Unicode MS" w:hint="default"/>
          <w:rtl w:val="1"/>
        </w:rPr>
        <w:t>’</w:t>
      </w:r>
      <w:r>
        <w:rPr>
          <w:rFonts w:cs="Arial Unicode MS" w:eastAsia="Arial Unicode MS"/>
          <w:rtl w:val="0"/>
        </w:rPr>
        <w:t xml:space="preserve">, </w:t>
      </w:r>
      <w:r>
        <w:rPr>
          <w:rFonts w:cs="Arial Unicode MS" w:eastAsia="Arial Unicode MS"/>
          <w:rtl w:val="0"/>
          <w:lang w:val="en-US"/>
        </w:rPr>
        <w:t>p.</w:t>
      </w:r>
      <w:r>
        <w:rPr>
          <w:rFonts w:cs="Arial Unicode MS" w:eastAsia="Arial Unicode MS"/>
          <w:rtl w:val="0"/>
        </w:rPr>
        <w:t xml:space="preserve"> 61</w:t>
      </w:r>
      <w:r>
        <w:rPr>
          <w:rFonts w:cs="Arial Unicode MS" w:eastAsia="Arial Unicode MS"/>
          <w:rtl w:val="0"/>
          <w:lang w:val="en-US"/>
        </w:rPr>
        <w:t>.</w:t>
      </w:r>
    </w:p>
  </w:footnote>
  <w:footnote w:id="17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Homer, </w:t>
      </w:r>
      <w:r>
        <w:rPr>
          <w:rFonts w:cs="Arial Unicode MS" w:eastAsia="Arial Unicode MS"/>
          <w:i w:val="1"/>
          <w:iCs w:val="1"/>
          <w:rtl w:val="0"/>
          <w:lang w:val="en-US"/>
        </w:rPr>
        <w:t>Odyssey</w:t>
      </w:r>
      <w:r>
        <w:rPr>
          <w:rFonts w:cs="Arial Unicode MS" w:eastAsia="Arial Unicode MS"/>
          <w:rtl w:val="0"/>
          <w:lang w:val="en-US"/>
        </w:rPr>
        <w:t>, 5.269.</w:t>
      </w:r>
    </w:p>
  </w:footnote>
  <w:footnote w:id="174">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0"/>
          <w:lang w:val="en-US"/>
        </w:rPr>
        <w:t>’</w:t>
      </w:r>
      <w:r>
        <w:rPr>
          <w:rFonts w:cs="Arial Unicode MS" w:eastAsia="Arial Unicode MS"/>
          <w:rtl w:val="0"/>
          <w:lang w:val="en-US"/>
        </w:rPr>
        <w:t>, p. 169.</w:t>
      </w:r>
    </w:p>
  </w:footnote>
  <w:footnote w:id="175">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0"/>
          <w:lang w:val="en-US"/>
        </w:rPr>
        <w:t>’</w:t>
      </w:r>
      <w:r>
        <w:rPr>
          <w:rFonts w:cs="Arial Unicode MS" w:eastAsia="Arial Unicode MS"/>
          <w:rtl w:val="0"/>
          <w:lang w:val="en-US"/>
        </w:rPr>
        <w:t>, p. 169.</w:t>
      </w:r>
    </w:p>
  </w:footnote>
  <w:footnote w:id="17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Aratus, </w:t>
      </w:r>
      <w:r>
        <w:rPr>
          <w:rFonts w:cs="Arial Unicode MS" w:eastAsia="Arial Unicode MS"/>
          <w:i w:val="1"/>
          <w:iCs w:val="1"/>
          <w:rtl w:val="0"/>
          <w:lang w:val="en-US"/>
        </w:rPr>
        <w:t>Phaenomena</w:t>
      </w:r>
      <w:r>
        <w:rPr>
          <w:rFonts w:cs="Arial Unicode MS" w:eastAsia="Arial Unicode MS"/>
          <w:rtl w:val="0"/>
          <w:lang w:val="en-US"/>
        </w:rPr>
        <w:t>, 37-44.</w:t>
      </w:r>
    </w:p>
  </w:footnote>
  <w:footnote w:id="177">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1"/>
        </w:rPr>
        <w:t xml:space="preserve">’ </w:t>
      </w:r>
      <w:r>
        <w:rPr>
          <w:rFonts w:cs="Arial Unicode MS" w:eastAsia="Arial Unicode MS"/>
          <w:rtl w:val="0"/>
        </w:rPr>
        <w:t>p.</w:t>
      </w:r>
      <w:r>
        <w:rPr>
          <w:rFonts w:cs="Arial Unicode MS" w:eastAsia="Arial Unicode MS"/>
          <w:rtl w:val="0"/>
          <w:lang w:val="en-US"/>
        </w:rPr>
        <w:t xml:space="preserve"> 166; and Herodotus, </w:t>
      </w:r>
      <w:r>
        <w:rPr>
          <w:rFonts w:cs="Arial Unicode MS" w:eastAsia="Arial Unicode MS"/>
          <w:i w:val="1"/>
          <w:iCs w:val="1"/>
          <w:rtl w:val="0"/>
          <w:lang w:val="en-US"/>
        </w:rPr>
        <w:t>Histories</w:t>
      </w:r>
      <w:r>
        <w:rPr>
          <w:rFonts w:cs="Arial Unicode MS" w:eastAsia="Arial Unicode MS"/>
          <w:rtl w:val="0"/>
          <w:lang w:val="en-US"/>
        </w:rPr>
        <w:t xml:space="preserve">, 8.9; and Xenophon, </w:t>
      </w:r>
      <w:r>
        <w:rPr>
          <w:rFonts w:cs="Arial Unicode MS" w:eastAsia="Arial Unicode MS"/>
          <w:i w:val="1"/>
          <w:iCs w:val="1"/>
          <w:rtl w:val="0"/>
          <w:lang w:val="en-US"/>
        </w:rPr>
        <w:t>Hellenica</w:t>
      </w:r>
      <w:r>
        <w:rPr>
          <w:rFonts w:cs="Arial Unicode MS" w:eastAsia="Arial Unicode MS"/>
          <w:rtl w:val="0"/>
          <w:lang w:val="en-US"/>
        </w:rPr>
        <w:t xml:space="preserve">, 2.2.3; and Thucydides, </w:t>
      </w:r>
      <w:r>
        <w:rPr>
          <w:rFonts w:cs="Arial Unicode MS" w:eastAsia="Arial Unicode MS"/>
          <w:i w:val="1"/>
          <w:iCs w:val="1"/>
          <w:rtl w:val="0"/>
          <w:lang w:val="en-US"/>
        </w:rPr>
        <w:t>The Peloponnesian War</w:t>
      </w:r>
      <w:r>
        <w:rPr>
          <w:rFonts w:cs="Arial Unicode MS" w:eastAsia="Arial Unicode MS"/>
          <w:rtl w:val="0"/>
          <w:lang w:val="en-US"/>
        </w:rPr>
        <w:t>, 1.48.</w:t>
      </w:r>
    </w:p>
  </w:footnote>
  <w:footnote w:id="17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Silius Italicus, </w:t>
      </w:r>
      <w:r>
        <w:rPr>
          <w:rFonts w:cs="Arial Unicode MS" w:eastAsia="Arial Unicode MS"/>
          <w:i w:val="1"/>
          <w:iCs w:val="1"/>
          <w:rtl w:val="0"/>
          <w:lang w:val="en-US"/>
        </w:rPr>
        <w:t>Punica</w:t>
      </w:r>
      <w:r>
        <w:rPr>
          <w:rFonts w:cs="Arial Unicode MS" w:eastAsia="Arial Unicode MS"/>
          <w:rtl w:val="0"/>
          <w:lang w:val="en-US"/>
        </w:rPr>
        <w:t xml:space="preserve">, 3.664; and </w:t>
      </w:r>
      <w:r>
        <w:rPr>
          <w:rFonts w:cs="Arial Unicode MS" w:eastAsia="Arial Unicode MS"/>
          <w:rtl w:val="0"/>
          <w:lang w:val="it-IT"/>
        </w:rPr>
        <w:t xml:space="preserve">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1"/>
        </w:rPr>
        <w:t>’</w:t>
      </w:r>
      <w:r>
        <w:rPr>
          <w:rFonts w:cs="Arial Unicode MS" w:eastAsia="Arial Unicode MS"/>
          <w:rtl w:val="0"/>
          <w:lang w:val="en-US"/>
        </w:rPr>
        <w:t>, p. 170.</w:t>
      </w:r>
    </w:p>
  </w:footnote>
  <w:footnote w:id="17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Ovid, </w:t>
      </w:r>
      <w:r>
        <w:rPr>
          <w:rFonts w:cs="Arial Unicode MS" w:eastAsia="Arial Unicode MS"/>
          <w:i w:val="1"/>
          <w:iCs w:val="1"/>
          <w:rtl w:val="0"/>
          <w:lang w:val="it-IT"/>
        </w:rPr>
        <w:t>Ars Amatoriae</w:t>
      </w:r>
      <w:r>
        <w:rPr>
          <w:rFonts w:cs="Arial Unicode MS" w:eastAsia="Arial Unicode MS"/>
          <w:rtl w:val="0"/>
          <w:lang w:val="en-US"/>
        </w:rPr>
        <w:t xml:space="preserve">, </w:t>
      </w:r>
      <w:r>
        <w:rPr>
          <w:rFonts w:cs="Arial Unicode MS" w:eastAsia="Arial Unicode MS"/>
          <w:rtl w:val="0"/>
        </w:rPr>
        <w:t>2.55-6</w:t>
      </w:r>
      <w:r>
        <w:rPr>
          <w:rFonts w:cs="Arial Unicode MS" w:eastAsia="Arial Unicode MS"/>
          <w:rtl w:val="0"/>
          <w:lang w:val="en-US"/>
        </w:rPr>
        <w:t>.</w:t>
      </w:r>
    </w:p>
  </w:footnote>
  <w:footnote w:id="18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Mary </w:t>
      </w:r>
      <w:r>
        <w:rPr>
          <w:rFonts w:cs="Arial Unicode MS" w:eastAsia="Arial Unicode MS"/>
          <w:rtl w:val="0"/>
          <w:lang w:val="en-US"/>
        </w:rPr>
        <w:t>Blomberg and G</w:t>
      </w:r>
      <w:r>
        <w:rPr>
          <w:rFonts w:cs="Arial Unicode MS" w:eastAsia="Arial Unicode MS" w:hint="default"/>
          <w:rtl w:val="0"/>
          <w:lang w:val="sv-SE"/>
        </w:rPr>
        <w:t>ö</w:t>
      </w:r>
      <w:r>
        <w:rPr>
          <w:rFonts w:cs="Arial Unicode MS" w:eastAsia="Arial Unicode MS"/>
          <w:rtl w:val="0"/>
        </w:rPr>
        <w:t>ran Henriksson</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Crossing Geographical Borders from Minoan Crete</w:t>
      </w:r>
      <w:r>
        <w:rPr>
          <w:rFonts w:cs="Arial Unicode MS" w:eastAsia="Arial Unicode MS" w:hint="default"/>
          <w:rtl w:val="0"/>
          <w:lang w:val="en-US"/>
        </w:rPr>
        <w:t>’</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i</w:t>
      </w:r>
      <w:r>
        <w:rPr>
          <w:rFonts w:cs="Arial Unicode MS" w:eastAsia="Arial Unicode MS"/>
          <w:rtl w:val="0"/>
        </w:rPr>
        <w:t xml:space="preserve">n </w:t>
      </w:r>
      <w:r>
        <w:rPr>
          <w:rFonts w:cs="Arial Unicode MS" w:eastAsia="Arial Unicode MS"/>
          <w:i w:val="1"/>
          <w:iCs w:val="1"/>
          <w:rtl w:val="0"/>
          <w:lang w:val="en-US"/>
        </w:rPr>
        <w:t>Crossing Borders: Trade and Production</w:t>
      </w:r>
      <w:r>
        <w:rPr>
          <w:rFonts w:cs="Arial Unicode MS" w:eastAsia="Arial Unicode MS"/>
          <w:rtl w:val="0"/>
          <w:lang w:val="en-US"/>
        </w:rPr>
        <w:t xml:space="preserve"> in </w:t>
      </w:r>
      <w:r>
        <w:rPr>
          <w:rFonts w:cs="Arial Unicode MS" w:eastAsia="Arial Unicode MS"/>
          <w:i w:val="1"/>
          <w:iCs w:val="1"/>
          <w:rtl w:val="0"/>
          <w:lang w:val="en-US"/>
        </w:rPr>
        <w:t>Premonetary Greece. Proceedings of the 7th, 8th and 9th International Workshops, Athens</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rPr>
        <w:t>1997</w:t>
      </w:r>
      <w:r>
        <w:rPr>
          <w:rFonts w:cs="Arial Unicode MS" w:eastAsia="Arial Unicode MS"/>
          <w:rtl w:val="0"/>
          <w:lang w:val="en-US"/>
        </w:rPr>
        <w:t>), p. 206.</w:t>
      </w:r>
    </w:p>
  </w:footnote>
  <w:footnote w:id="18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Aratus, </w:t>
      </w:r>
      <w:r>
        <w:rPr>
          <w:rFonts w:cs="Arial Unicode MS" w:eastAsia="Arial Unicode MS"/>
          <w:i w:val="1"/>
          <w:iCs w:val="1"/>
          <w:rtl w:val="0"/>
          <w:lang w:val="en-US"/>
        </w:rPr>
        <w:t>Phaenomena</w:t>
      </w:r>
      <w:r>
        <w:rPr>
          <w:rFonts w:cs="Arial Unicode MS" w:eastAsia="Arial Unicode MS"/>
          <w:rtl w:val="0"/>
          <w:lang w:val="en-US"/>
        </w:rPr>
        <w:t xml:space="preserve">, </w:t>
      </w:r>
      <w:r>
        <w:rPr>
          <w:rFonts w:cs="Arial Unicode MS" w:eastAsia="Arial Unicode MS"/>
          <w:rtl w:val="0"/>
        </w:rPr>
        <w:t>728-732</w:t>
      </w:r>
      <w:r>
        <w:rPr>
          <w:rFonts w:cs="Arial Unicode MS" w:eastAsia="Arial Unicode MS"/>
          <w:rtl w:val="0"/>
          <w:lang w:val="en-US"/>
        </w:rPr>
        <w:t>.</w:t>
      </w:r>
    </w:p>
  </w:footnote>
  <w:footnote w:id="182">
    <w:p>
      <w:pPr>
        <w:pStyle w:val="Footnote"/>
        <w:bidi w:val="0"/>
      </w:pPr>
      <w:r>
        <w:rPr>
          <w:vertAlign w:val="superscript"/>
        </w:rPr>
        <w:footnoteRef/>
      </w:r>
      <w:r>
        <w:rPr>
          <w:rFonts w:cs="Arial Unicode MS" w:eastAsia="Arial Unicode MS"/>
          <w:rtl w:val="0"/>
        </w:rPr>
        <w:t xml:space="preserve"> Blomberg </w:t>
      </w:r>
      <w:r>
        <w:rPr>
          <w:rFonts w:cs="Arial Unicode MS" w:eastAsia="Arial Unicode MS"/>
          <w:rtl w:val="0"/>
          <w:lang w:val="en-US"/>
        </w:rPr>
        <w:t xml:space="preserve">and </w:t>
      </w:r>
      <w:r>
        <w:rPr>
          <w:rFonts w:cs="Arial Unicode MS" w:eastAsia="Arial Unicode MS"/>
          <w:rtl w:val="0"/>
        </w:rPr>
        <w:t>Henriksson</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it-IT"/>
        </w:rPr>
        <w:t>Crossing</w:t>
      </w:r>
      <w:r>
        <w:rPr>
          <w:rFonts w:cs="Arial Unicode MS" w:eastAsia="Arial Unicode MS" w:hint="default"/>
          <w:rtl w:val="0"/>
          <w:lang w:val="en-US"/>
        </w:rPr>
        <w:t>’</w:t>
      </w:r>
      <w:r>
        <w:rPr>
          <w:rFonts w:cs="Arial Unicode MS" w:eastAsia="Arial Unicode MS"/>
          <w:rtl w:val="0"/>
          <w:lang w:val="en-US"/>
        </w:rPr>
        <w:t xml:space="preserve">, pp. </w:t>
      </w:r>
      <w:r>
        <w:rPr>
          <w:rFonts w:cs="Arial Unicode MS" w:eastAsia="Arial Unicode MS"/>
          <w:rtl w:val="0"/>
        </w:rPr>
        <w:t>20</w:t>
      </w:r>
      <w:r>
        <w:rPr>
          <w:rFonts w:cs="Arial Unicode MS" w:eastAsia="Arial Unicode MS"/>
          <w:rtl w:val="0"/>
          <w:lang w:val="en-US"/>
        </w:rPr>
        <w:t>6</w:t>
      </w:r>
      <w:r>
        <w:rPr>
          <w:rFonts w:cs="Arial Unicode MS" w:eastAsia="Arial Unicode MS"/>
          <w:rtl w:val="0"/>
          <w:lang w:val="ru-RU"/>
        </w:rPr>
        <w:t>-7</w:t>
      </w:r>
      <w:r>
        <w:rPr>
          <w:rFonts w:cs="Arial Unicode MS" w:eastAsia="Arial Unicode MS"/>
          <w:rtl w:val="0"/>
          <w:lang w:val="en-US"/>
        </w:rPr>
        <w:t>.</w:t>
      </w:r>
    </w:p>
  </w:footnote>
  <w:footnote w:id="183">
    <w:p>
      <w:pPr>
        <w:pStyle w:val="Footnote"/>
        <w:bidi w:val="0"/>
      </w:pPr>
      <w:r>
        <w:rPr>
          <w:vertAlign w:val="superscript"/>
        </w:rPr>
        <w:footnoteRef/>
      </w:r>
      <w:r>
        <w:rPr>
          <w:rFonts w:cs="Arial Unicode MS" w:eastAsia="Arial Unicode MS"/>
          <w:rtl w:val="0"/>
          <w:lang w:val="en-US"/>
        </w:rPr>
        <w:t xml:space="preserve"> Brady. </w:t>
      </w:r>
      <w:r>
        <w:rPr>
          <w:rFonts w:cs="Arial Unicode MS" w:eastAsia="Arial Unicode MS" w:hint="default"/>
          <w:rtl w:val="1"/>
        </w:rPr>
        <w:t>‘</w:t>
      </w:r>
      <w:r>
        <w:rPr>
          <w:rFonts w:cs="Arial Unicode MS" w:eastAsia="Arial Unicode MS"/>
          <w:rtl w:val="0"/>
          <w:lang w:val="es-ES_tradnl"/>
        </w:rPr>
        <w:t>Stones</w:t>
      </w:r>
      <w:r>
        <w:rPr>
          <w:rFonts w:cs="Arial Unicode MS" w:eastAsia="Arial Unicode MS" w:hint="default"/>
          <w:rtl w:val="1"/>
        </w:rPr>
        <w:t>’</w:t>
      </w:r>
      <w:r>
        <w:rPr>
          <w:rFonts w:cs="Arial Unicode MS" w:eastAsia="Arial Unicode MS"/>
          <w:rtl w:val="0"/>
        </w:rPr>
        <w:t>, p. 4</w:t>
      </w:r>
      <w:r>
        <w:rPr>
          <w:rFonts w:cs="Arial Unicode MS" w:eastAsia="Arial Unicode MS"/>
          <w:rtl w:val="0"/>
          <w:lang w:val="en-US"/>
        </w:rPr>
        <w:t>.</w:t>
      </w:r>
    </w:p>
  </w:footnote>
  <w:footnote w:id="184">
    <w:p>
      <w:pPr>
        <w:pStyle w:val="Footnote"/>
        <w:bidi w:val="0"/>
      </w:pPr>
      <w:r>
        <w:rPr>
          <w:vertAlign w:val="superscript"/>
        </w:rPr>
        <w:footnoteRef/>
      </w:r>
      <w:r>
        <w:rPr>
          <w:rFonts w:cs="Arial Unicode MS" w:eastAsia="Arial Unicode MS"/>
          <w:rtl w:val="0"/>
        </w:rPr>
        <w:t xml:space="preserve"> Ov</w:t>
      </w:r>
      <w:r>
        <w:rPr>
          <w:rFonts w:cs="Arial Unicode MS" w:eastAsia="Arial Unicode MS"/>
          <w:rtl w:val="0"/>
          <w:lang w:val="en-US"/>
        </w:rPr>
        <w:t>id,</w:t>
      </w:r>
      <w:r>
        <w:rPr>
          <w:rFonts w:cs="Arial Unicode MS" w:eastAsia="Arial Unicode MS"/>
          <w:rtl w:val="0"/>
        </w:rPr>
        <w:t xml:space="preserve"> </w:t>
      </w:r>
      <w:r>
        <w:rPr>
          <w:rFonts w:cs="Arial Unicode MS" w:eastAsia="Arial Unicode MS"/>
          <w:i w:val="1"/>
          <w:iCs w:val="1"/>
          <w:rtl w:val="0"/>
        </w:rPr>
        <w:t>Met</w:t>
      </w:r>
      <w:r>
        <w:rPr>
          <w:rFonts w:cs="Arial Unicode MS" w:eastAsia="Arial Unicode MS"/>
          <w:i w:val="1"/>
          <w:iCs w:val="1"/>
          <w:rtl w:val="0"/>
          <w:lang w:val="en-US"/>
        </w:rPr>
        <w:t>amorphoses</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2</w:t>
      </w:r>
      <w:r>
        <w:rPr>
          <w:rFonts w:cs="Arial Unicode MS" w:eastAsia="Arial Unicode MS"/>
          <w:rtl w:val="0"/>
        </w:rPr>
        <w:t>.839</w:t>
      </w:r>
      <w:r>
        <w:rPr>
          <w:rFonts w:cs="Arial Unicode MS" w:eastAsia="Arial Unicode MS"/>
          <w:rtl w:val="0"/>
          <w:lang w:val="en-US"/>
        </w:rPr>
        <w:t>.</w:t>
      </w:r>
    </w:p>
  </w:footnote>
  <w:footnote w:id="185">
    <w:p>
      <w:pPr>
        <w:pStyle w:val="Footnote"/>
        <w:bidi w:val="0"/>
      </w:pPr>
      <w:r>
        <w:rPr>
          <w:vertAlign w:val="superscript"/>
        </w:rPr>
        <w:footnoteRef/>
      </w:r>
      <w:r>
        <w:rPr>
          <w:rFonts w:cs="Arial Unicode MS" w:eastAsia="Arial Unicode MS"/>
          <w:rtl w:val="0"/>
          <w:lang w:val="de-DE"/>
        </w:rPr>
        <w:t xml:space="preserve"> Holger Sonnabend, </w:t>
      </w:r>
      <w:r>
        <w:rPr>
          <w:rFonts w:cs="Arial Unicode MS" w:eastAsia="Arial Unicode MS" w:hint="default"/>
          <w:rtl w:val="0"/>
          <w:lang w:val="en-US"/>
        </w:rPr>
        <w:t>‘</w:t>
      </w:r>
      <w:r>
        <w:rPr>
          <w:rFonts w:cs="Arial Unicode MS" w:eastAsia="Arial Unicode MS"/>
          <w:rtl w:val="0"/>
          <w:lang w:val="es-ES_tradnl"/>
        </w:rPr>
        <w:t>Matalum</w:t>
      </w:r>
      <w:r>
        <w:rPr>
          <w:rFonts w:cs="Arial Unicode MS" w:eastAsia="Arial Unicode MS" w:hint="default"/>
          <w:rtl w:val="0"/>
          <w:lang w:val="en-US"/>
        </w:rPr>
        <w:t>’</w:t>
      </w:r>
      <w:r>
        <w:rPr>
          <w:rFonts w:cs="Arial Unicode MS" w:eastAsia="Arial Unicode MS"/>
          <w:rtl w:val="0"/>
        </w:rPr>
        <w:t xml:space="preserve">, </w:t>
      </w:r>
      <w:r>
        <w:rPr>
          <w:rFonts w:cs="Arial Unicode MS" w:eastAsia="Arial Unicode MS"/>
          <w:i w:val="1"/>
          <w:iCs w:val="1"/>
          <w:rtl w:val="0"/>
        </w:rPr>
        <w:t>Brill</w:t>
      </w:r>
      <w:r>
        <w:rPr>
          <w:rFonts w:cs="Arial Unicode MS" w:eastAsia="Arial Unicode MS" w:hint="default"/>
          <w:i w:val="1"/>
          <w:iCs w:val="1"/>
          <w:rtl w:val="1"/>
        </w:rPr>
        <w:t>’</w:t>
      </w:r>
      <w:r>
        <w:rPr>
          <w:rFonts w:cs="Arial Unicode MS" w:eastAsia="Arial Unicode MS"/>
          <w:i w:val="1"/>
          <w:iCs w:val="1"/>
          <w:rtl w:val="0"/>
          <w:lang w:val="en-US"/>
        </w:rPr>
        <w:t>s New Pauly</w:t>
      </w:r>
      <w:r>
        <w:rPr>
          <w:rFonts w:cs="Arial Unicode MS" w:eastAsia="Arial Unicode MS"/>
          <w:rtl w:val="0"/>
          <w:lang w:val="en-US"/>
        </w:rPr>
        <w:t>, Antiquity volumes edited by: Hubert Cancik and Helmuth Schneider. &lt;http://dx.doi.org/10.1163/1574-9347_bnp_e726130&gt;</w:t>
      </w:r>
      <w:r>
        <w:rPr>
          <w:rFonts w:cs="Arial Unicode MS" w:eastAsia="Arial Unicode MS"/>
          <w:rtl w:val="0"/>
          <w:lang w:val="en-US"/>
        </w:rPr>
        <w:t xml:space="preserve"> [</w:t>
      </w:r>
      <w:r>
        <w:rPr>
          <w:rFonts w:cs="Arial Unicode MS" w:eastAsia="Arial Unicode MS"/>
          <w:rtl w:val="0"/>
          <w:lang w:val="en-US"/>
        </w:rPr>
        <w:t>Accessed on 11 August 2021</w:t>
      </w:r>
      <w:r>
        <w:rPr>
          <w:rFonts w:cs="Arial Unicode MS" w:eastAsia="Arial Unicode MS"/>
          <w:rtl w:val="0"/>
          <w:lang w:val="en-US"/>
        </w:rPr>
        <w:t>]</w:t>
      </w:r>
    </w:p>
  </w:footnote>
  <w:footnote w:id="18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Lucian, </w:t>
      </w:r>
      <w:r>
        <w:rPr>
          <w:rFonts w:cs="Arial Unicode MS" w:eastAsia="Arial Unicode MS"/>
          <w:i w:val="1"/>
          <w:iCs w:val="1"/>
          <w:rtl w:val="0"/>
          <w:lang w:val="en-US"/>
        </w:rPr>
        <w:t>De Dea Syria</w:t>
      </w:r>
      <w:r>
        <w:rPr>
          <w:rFonts w:cs="Arial Unicode MS" w:eastAsia="Arial Unicode MS"/>
          <w:rtl w:val="0"/>
          <w:lang w:val="en-US"/>
        </w:rPr>
        <w:t>, 4.</w:t>
      </w:r>
    </w:p>
  </w:footnote>
  <w:footnote w:id="18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Lucian, </w:t>
      </w:r>
      <w:r>
        <w:rPr>
          <w:rFonts w:cs="Arial Unicode MS" w:eastAsia="Arial Unicode MS"/>
          <w:i w:val="1"/>
          <w:iCs w:val="1"/>
          <w:rtl w:val="0"/>
          <w:lang w:val="en-US"/>
        </w:rPr>
        <w:t>De Dea Syria</w:t>
      </w:r>
      <w:r>
        <w:rPr>
          <w:rFonts w:cs="Arial Unicode MS" w:eastAsia="Arial Unicode MS"/>
          <w:rtl w:val="0"/>
          <w:lang w:val="en-US"/>
        </w:rPr>
        <w:t>, 4.</w:t>
      </w:r>
    </w:p>
  </w:footnote>
  <w:footnote w:id="188">
    <w:p>
      <w:pPr>
        <w:pStyle w:val="Footnote"/>
        <w:bidi w:val="0"/>
      </w:pPr>
      <w:r>
        <w:rPr>
          <w:vertAlign w:val="superscript"/>
        </w:rPr>
        <w:footnoteRef/>
      </w:r>
      <w:r>
        <w:rPr>
          <w:rFonts w:cs="Arial Unicode MS" w:eastAsia="Arial Unicode MS"/>
          <w:rtl w:val="0"/>
        </w:rPr>
        <w:t xml:space="preserve"> P</w:t>
      </w:r>
      <w:r>
        <w:rPr>
          <w:rFonts w:cs="Arial Unicode MS" w:eastAsia="Arial Unicode MS"/>
          <w:rtl w:val="0"/>
          <w:lang w:val="en-US"/>
        </w:rPr>
        <w:t>.</w:t>
      </w:r>
      <w:r>
        <w:rPr>
          <w:rFonts w:cs="Arial Unicode MS" w:eastAsia="Arial Unicode MS"/>
          <w:rtl w:val="0"/>
        </w:rPr>
        <w:t>B</w:t>
      </w:r>
      <w:r>
        <w:rPr>
          <w:rFonts w:cs="Arial Unicode MS" w:eastAsia="Arial Unicode MS"/>
          <w:rtl w:val="0"/>
          <w:lang w:val="en-US"/>
        </w:rPr>
        <w:t>.</w:t>
      </w:r>
      <w:r>
        <w:rPr>
          <w:rFonts w:cs="Arial Unicode MS" w:eastAsia="Arial Unicode MS"/>
          <w:rtl w:val="0"/>
        </w:rPr>
        <w:t>S</w:t>
      </w:r>
      <w:r>
        <w:rPr>
          <w:rFonts w:cs="Arial Unicode MS" w:eastAsia="Arial Unicode MS"/>
          <w:rtl w:val="0"/>
          <w:lang w:val="en-US"/>
        </w:rPr>
        <w:t xml:space="preserve">. </w:t>
      </w:r>
      <w:r>
        <w:rPr>
          <w:rFonts w:cs="Arial Unicode MS" w:eastAsia="Arial Unicode MS"/>
          <w:rtl w:val="0"/>
          <w:lang w:val="en-US"/>
        </w:rPr>
        <w:t xml:space="preserve">Andrews, </w:t>
      </w:r>
      <w:r>
        <w:rPr>
          <w:rFonts w:cs="Arial Unicode MS" w:eastAsia="Arial Unicode MS" w:hint="default"/>
          <w:rtl w:val="1"/>
        </w:rPr>
        <w:t>‘</w:t>
      </w:r>
      <w:r>
        <w:rPr>
          <w:rFonts w:cs="Arial Unicode MS" w:eastAsia="Arial Unicode MS"/>
          <w:rtl w:val="0"/>
          <w:lang w:val="en-US"/>
        </w:rPr>
        <w:t>The Myth of Europa and Minos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Greece &amp; Rome</w:t>
      </w:r>
      <w:r>
        <w:rPr>
          <w:rFonts w:cs="Arial Unicode MS" w:eastAsia="Arial Unicode MS"/>
          <w:rtl w:val="0"/>
        </w:rPr>
        <w:t xml:space="preserve">, 16: (1969), </w:t>
      </w:r>
      <w:r>
        <w:rPr>
          <w:rFonts w:cs="Arial Unicode MS" w:eastAsia="Arial Unicode MS"/>
          <w:rtl w:val="0"/>
          <w:lang w:val="en-US"/>
        </w:rPr>
        <w:t>p. 61.</w:t>
      </w:r>
    </w:p>
  </w:footnote>
  <w:footnote w:id="189">
    <w:p>
      <w:pPr>
        <w:pStyle w:val="Footnote"/>
        <w:bidi w:val="0"/>
      </w:pPr>
      <w:r>
        <w:rPr>
          <w:vertAlign w:val="superscript"/>
        </w:rPr>
        <w:footnoteRef/>
      </w:r>
      <w:r>
        <w:rPr>
          <w:rFonts w:cs="Arial Unicode MS" w:eastAsia="Arial Unicode MS"/>
          <w:rtl w:val="0"/>
          <w:lang w:val="it-IT"/>
        </w:rPr>
        <w:t xml:space="preserve"> Apollod</w:t>
      </w:r>
      <w:r>
        <w:rPr>
          <w:rFonts w:cs="Arial Unicode MS" w:eastAsia="Arial Unicode MS"/>
          <w:rtl w:val="0"/>
          <w:lang w:val="en-US"/>
        </w:rPr>
        <w:t xml:space="preserve">orus, </w:t>
      </w:r>
      <w:r>
        <w:rPr>
          <w:rFonts w:cs="Arial Unicode MS" w:eastAsia="Arial Unicode MS"/>
          <w:i w:val="1"/>
          <w:iCs w:val="1"/>
          <w:rtl w:val="0"/>
          <w:lang w:val="en-US"/>
        </w:rPr>
        <w:t>Library</w:t>
      </w:r>
      <w:r>
        <w:rPr>
          <w:rFonts w:cs="Arial Unicode MS" w:eastAsia="Arial Unicode MS"/>
          <w:rtl w:val="0"/>
          <w:lang w:val="en-US"/>
        </w:rPr>
        <w:t>,</w:t>
      </w:r>
      <w:r>
        <w:rPr>
          <w:rFonts w:cs="Arial Unicode MS" w:eastAsia="Arial Unicode MS"/>
          <w:rtl w:val="0"/>
        </w:rPr>
        <w:t xml:space="preserve"> 3.1.1</w:t>
      </w:r>
      <w:r>
        <w:rPr>
          <w:rFonts w:cs="Arial Unicode MS" w:eastAsia="Arial Unicode MS"/>
          <w:rtl w:val="0"/>
          <w:lang w:val="en-US"/>
        </w:rPr>
        <w:t>, footnote 2.</w:t>
      </w:r>
    </w:p>
  </w:footnote>
  <w:footnote w:id="190">
    <w:p>
      <w:pPr>
        <w:pStyle w:val="Footnote"/>
        <w:bidi w:val="0"/>
      </w:pPr>
      <w:r>
        <w:rPr>
          <w:vertAlign w:val="superscript"/>
        </w:rPr>
        <w:footnoteRef/>
      </w:r>
      <w:r>
        <w:rPr>
          <w:rFonts w:cs="Arial Unicode MS" w:eastAsia="Arial Unicode MS" w:hint="default"/>
          <w:rtl w:val="0"/>
          <w:lang w:val="en-US"/>
        </w:rPr>
        <w:t xml:space="preserve"> ‘</w:t>
      </w:r>
      <w:r>
        <w:rPr>
          <w:rFonts w:cs="Arial Unicode MS" w:eastAsia="Arial Unicode MS"/>
          <w:rtl w:val="0"/>
          <w:lang w:val="en-US"/>
        </w:rPr>
        <w:t>Pleiad</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i w:val="1"/>
          <w:iCs w:val="1"/>
          <w:rtl w:val="0"/>
          <w:lang w:val="en-US"/>
        </w:rPr>
        <w:t>Oxford English Dictionary</w:t>
      </w:r>
      <w:r>
        <w:rPr>
          <w:rFonts w:cs="Arial Unicode MS" w:eastAsia="Arial Unicode MS"/>
          <w:rtl w:val="0"/>
          <w:lang w:val="en-US"/>
        </w:rPr>
        <w:t>, second edition (1989)</w:t>
      </w:r>
      <w:r>
        <w:rPr>
          <w:rFonts w:cs="Arial Unicode MS" w:eastAsia="Arial Unicode MS"/>
          <w:rtl w:val="0"/>
          <w:lang w:val="en-US"/>
        </w:rPr>
        <w:t>, accessed September 10, 2021 &lt;</w:t>
      </w:r>
      <w:r>
        <w:rPr>
          <w:rFonts w:cs="Arial Unicode MS" w:eastAsia="Arial Unicode MS"/>
          <w:rtl w:val="0"/>
          <w:lang w:val="en-US"/>
        </w:rPr>
        <w:t>https://www.oed.com/oed2/00181393;jsessionid=EF5BA135EF8443BE04F077F5B0E6570B</w:t>
      </w:r>
      <w:r>
        <w:rPr>
          <w:rFonts w:cs="Arial Unicode MS" w:eastAsia="Arial Unicode MS"/>
          <w:rtl w:val="0"/>
          <w:lang w:val="en-US"/>
        </w:rPr>
        <w:t>&gt;</w:t>
      </w:r>
    </w:p>
  </w:footnote>
  <w:footnote w:id="191">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rPr>
        <w:t>Suunto</w:t>
      </w:r>
      <w:r>
        <w:rPr>
          <w:rFonts w:cs="Arial Unicode MS" w:eastAsia="Arial Unicode MS"/>
          <w:rtl w:val="0"/>
          <w:lang w:val="en-US"/>
        </w:rPr>
        <w:t xml:space="preserve">, </w:t>
      </w:r>
      <w:r>
        <w:rPr>
          <w:rFonts w:cs="Arial Unicode MS" w:eastAsia="Arial Unicode MS" w:hint="default"/>
          <w:rtl w:val="1"/>
        </w:rPr>
        <w:t>‘</w:t>
      </w:r>
      <w:r>
        <w:rPr>
          <w:rFonts w:cs="Arial Unicode MS" w:eastAsia="Arial Unicode MS"/>
          <w:rtl w:val="0"/>
        </w:rPr>
        <w:t>Suunto Tandem/360PC/360R G Clino/compass - Compass &amp; Clinometer</w:t>
      </w:r>
      <w:r>
        <w:rPr>
          <w:rFonts w:cs="Arial Unicode MS" w:eastAsia="Arial Unicode MS" w:hint="default"/>
          <w:rtl w:val="1"/>
        </w:rPr>
        <w:t>’</w:t>
      </w:r>
      <w:r>
        <w:rPr>
          <w:rFonts w:cs="Arial Unicode MS" w:eastAsia="Arial Unicode MS"/>
          <w:rtl w:val="0"/>
          <w:lang w:val="en-US"/>
        </w:rPr>
        <w:t xml:space="preserve"> </w:t>
      </w:r>
      <w:r>
        <w:rPr>
          <w:rFonts w:cs="Arial Unicode MS" w:eastAsia="Arial Unicode MS"/>
          <w:rtl w:val="0"/>
          <w:lang w:val="en-US"/>
        </w:rPr>
        <w:t>from</w:t>
      </w:r>
      <w:r>
        <w:rPr>
          <w:rFonts w:cs="Arial Unicode MS" w:eastAsia="Arial Unicode MS"/>
          <w:rtl w:val="0"/>
          <w:lang w:val="en-US"/>
        </w:rPr>
        <w:t xml:space="preserve"> &lt;</w:t>
      </w:r>
      <w:r>
        <w:rPr>
          <w:rFonts w:cs="Arial Unicode MS" w:eastAsia="Arial Unicode MS"/>
          <w:rtl w:val="0"/>
        </w:rPr>
        <w:t>https://www.suunto.com/Products/Compasses/Suunto-Tandem/Suunto-Tandem-360PC-360R-G-Clino-Compass/</w:t>
      </w:r>
      <w:r>
        <w:rPr>
          <w:rFonts w:cs="Arial Unicode MS" w:eastAsia="Arial Unicode MS"/>
          <w:rtl w:val="0"/>
          <w:lang w:val="en-US"/>
        </w:rPr>
        <w:t>&gt; [</w:t>
      </w:r>
      <w:r>
        <w:rPr>
          <w:rFonts w:cs="Arial Unicode MS" w:eastAsia="Arial Unicode MS"/>
          <w:rtl w:val="0"/>
          <w:lang w:val="en-US"/>
        </w:rPr>
        <w:t>Accessed September 15, 2021</w:t>
      </w:r>
      <w:r>
        <w:rPr>
          <w:rFonts w:cs="Arial Unicode MS" w:eastAsia="Arial Unicode MS"/>
          <w:rtl w:val="0"/>
          <w:lang w:val="en-US"/>
        </w:rPr>
        <w:t>].</w:t>
      </w:r>
    </w:p>
  </w:footnote>
  <w:footnote w:id="192">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National Geophysical Data</w:t>
      </w:r>
      <w:r>
        <w:rPr>
          <w:rFonts w:cs="Arial Unicode MS" w:eastAsia="Arial Unicode MS"/>
          <w:rtl w:val="0"/>
          <w:lang w:val="en-US"/>
        </w:rPr>
        <w:t xml:space="preserve"> </w:t>
      </w:r>
      <w:r>
        <w:rPr>
          <w:rFonts w:cs="Arial Unicode MS" w:eastAsia="Arial Unicode MS"/>
          <w:rtl w:val="0"/>
          <w:lang w:val="en-US"/>
        </w:rPr>
        <w:t>Center</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it-IT"/>
        </w:rPr>
        <w:t>NCEI Geomagnetic Calculators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it-IT"/>
        </w:rPr>
        <w:t>NCEI Geomagnetic Calculators</w:t>
      </w:r>
      <w:r>
        <w:rPr>
          <w:rFonts w:cs="Arial Unicode MS" w:eastAsia="Arial Unicode MS"/>
          <w:i w:val="1"/>
          <w:iCs w:val="1"/>
          <w:rtl w:val="0"/>
          <w:lang w:val="en-US"/>
        </w:rPr>
        <w:t xml:space="preserve">, </w:t>
      </w:r>
      <w:r>
        <w:rPr>
          <w:rFonts w:cs="Arial Unicode MS" w:eastAsia="Arial Unicode MS"/>
          <w:rtl w:val="0"/>
          <w:lang w:val="en-US"/>
        </w:rPr>
        <w:t>from</w:t>
      </w:r>
      <w:r>
        <w:rPr>
          <w:rFonts w:cs="Arial Unicode MS" w:eastAsia="Arial Unicode MS"/>
          <w:rtl w:val="0"/>
          <w:lang w:val="en-US"/>
        </w:rPr>
        <w:t xml:space="preserve"> &lt;</w:t>
      </w:r>
      <w:r>
        <w:rPr>
          <w:rFonts w:cs="Arial Unicode MS" w:eastAsia="Arial Unicode MS"/>
          <w:rtl w:val="0"/>
          <w:lang w:val="en-US"/>
        </w:rPr>
        <w:t>https://www.ngdc.noaa.gov/geomag/calculators/magcalc.shtml</w:t>
      </w:r>
      <w:r>
        <w:rPr>
          <w:rFonts w:cs="Arial Unicode MS" w:eastAsia="Arial Unicode MS"/>
          <w:rtl w:val="0"/>
          <w:lang w:val="en-US"/>
        </w:rPr>
        <w:t>&gt;</w:t>
      </w:r>
      <w:r>
        <w:rPr>
          <w:rFonts w:cs="Arial Unicode MS" w:eastAsia="Arial Unicode MS"/>
          <w:rtl w:val="0"/>
        </w:rPr>
        <w:t xml:space="preserve"> </w:t>
      </w:r>
      <w:r>
        <w:rPr>
          <w:rFonts w:cs="Arial Unicode MS" w:eastAsia="Arial Unicode MS"/>
          <w:rtl w:val="0"/>
          <w:lang w:val="en-US"/>
        </w:rPr>
        <w:t>[</w:t>
      </w:r>
      <w:r>
        <w:rPr>
          <w:rFonts w:cs="Arial Unicode MS" w:eastAsia="Arial Unicode MS"/>
          <w:rtl w:val="0"/>
          <w:lang w:val="en-US"/>
        </w:rPr>
        <w:t>Accessed September 15, 2021</w:t>
      </w:r>
      <w:r>
        <w:rPr>
          <w:rFonts w:cs="Arial Unicode MS" w:eastAsia="Arial Unicode MS"/>
          <w:rtl w:val="0"/>
          <w:lang w:val="en-US"/>
        </w:rPr>
        <w:t>].</w:t>
      </w:r>
    </w:p>
  </w:footnote>
  <w:footnote w:id="193">
    <w:p>
      <w:pPr>
        <w:pStyle w:val="Footnote"/>
        <w:bidi w:val="0"/>
      </w:pPr>
      <w:r>
        <w:rPr>
          <w:vertAlign w:val="superscript"/>
        </w:rPr>
        <w:footnoteRef/>
      </w:r>
      <w:r>
        <w:rPr>
          <w:rFonts w:cs="Arial Unicode MS" w:eastAsia="Arial Unicode MS"/>
          <w:rtl w:val="0"/>
          <w:lang w:val="en-US"/>
        </w:rPr>
        <w:t xml:space="preserve"> Theodolite, </w:t>
      </w:r>
      <w:r>
        <w:rPr>
          <w:rFonts w:cs="Arial Unicode MS" w:eastAsia="Arial Unicode MS" w:hint="default"/>
          <w:rtl w:val="0"/>
          <w:lang w:val="en-US"/>
        </w:rPr>
        <w:t>‘</w:t>
      </w:r>
      <w:r>
        <w:rPr>
          <w:rFonts w:cs="Arial Unicode MS" w:eastAsia="Arial Unicode MS"/>
          <w:rtl w:val="0"/>
          <w:lang w:val="en-US"/>
        </w:rPr>
        <w:t>Theodolite Augmented Reality Viewfinder for iPhone and iPad. (n.d.)</w:t>
      </w:r>
      <w:r>
        <w:rPr>
          <w:rFonts w:cs="Arial Unicode MS" w:eastAsia="Arial Unicode MS" w:hint="default"/>
          <w:rtl w:val="0"/>
          <w:lang w:val="en-US"/>
        </w:rPr>
        <w:t>’</w:t>
      </w:r>
      <w:r>
        <w:rPr>
          <w:rFonts w:cs="Arial Unicode MS" w:eastAsia="Arial Unicode MS"/>
          <w:rtl w:val="0"/>
          <w:lang w:val="en-US"/>
        </w:rPr>
        <w:t>, Hunter LLC</w:t>
      </w:r>
      <w:r>
        <w:rPr>
          <w:rFonts w:cs="Arial Unicode MS" w:eastAsia="Arial Unicode MS"/>
          <w:rtl w:val="0"/>
          <w:lang w:val="en-US"/>
        </w:rPr>
        <w:t xml:space="preserve"> from </w:t>
      </w:r>
      <w:r>
        <w:rPr>
          <w:rFonts w:cs="Arial Unicode MS" w:eastAsia="Arial Unicode MS"/>
          <w:rtl w:val="0"/>
          <w:lang w:val="en-US"/>
        </w:rPr>
        <w:t>&lt;</w:t>
      </w:r>
      <w:r>
        <w:rPr>
          <w:rFonts w:cs="Arial Unicode MS" w:eastAsia="Arial Unicode MS"/>
          <w:rtl w:val="0"/>
          <w:lang w:val="de-DE"/>
        </w:rPr>
        <w:t>http://hrtapps.com/theodolite/</w:t>
      </w:r>
      <w:r>
        <w:rPr>
          <w:rFonts w:cs="Arial Unicode MS" w:eastAsia="Arial Unicode MS"/>
          <w:rtl w:val="0"/>
          <w:lang w:val="en-US"/>
        </w:rPr>
        <w:t>&gt; [</w:t>
      </w:r>
      <w:r>
        <w:rPr>
          <w:rFonts w:cs="Arial Unicode MS" w:eastAsia="Arial Unicode MS"/>
          <w:rtl w:val="0"/>
          <w:lang w:val="en-US"/>
        </w:rPr>
        <w:t>Accessed September 15, 2021</w:t>
      </w:r>
      <w:r>
        <w:rPr>
          <w:rFonts w:cs="Arial Unicode MS" w:eastAsia="Arial Unicode MS"/>
          <w:rtl w:val="0"/>
          <w:lang w:val="en-US"/>
        </w:rPr>
        <w:t xml:space="preserve">]; and </w:t>
      </w:r>
      <w:r>
        <w:rPr>
          <w:rFonts w:cs="Arial Unicode MS" w:eastAsia="Arial Unicode MS"/>
          <w:rtl w:val="0"/>
          <w:lang w:val="en-US"/>
        </w:rPr>
        <w:t xml:space="preserve">Shaw, </w:t>
      </w:r>
      <w:r>
        <w:rPr>
          <w:rFonts w:cs="Arial Unicode MS" w:eastAsia="Arial Unicode MS" w:hint="default"/>
          <w:rtl w:val="1"/>
        </w:rPr>
        <w:t>‘</w:t>
      </w:r>
      <w:r>
        <w:rPr>
          <w:rFonts w:cs="Arial Unicode MS" w:eastAsia="Arial Unicode MS"/>
          <w:rtl w:val="0"/>
          <w:lang w:val="fr-FR"/>
        </w:rPr>
        <w:t>Orientation</w:t>
      </w:r>
      <w:r>
        <w:rPr>
          <w:rFonts w:cs="Arial Unicode MS" w:eastAsia="Arial Unicode MS" w:hint="default"/>
          <w:rtl w:val="1"/>
        </w:rPr>
        <w:t>’</w:t>
      </w:r>
      <w:r>
        <w:rPr>
          <w:rFonts w:cs="Arial Unicode MS" w:eastAsia="Arial Unicode MS"/>
          <w:rtl w:val="0"/>
        </w:rPr>
        <w:t>, p. 49</w:t>
      </w:r>
      <w:r>
        <w:rPr>
          <w:rFonts w:cs="Arial Unicode MS" w:eastAsia="Arial Unicode MS"/>
          <w:rtl w:val="0"/>
          <w:lang w:val="en-US"/>
        </w:rPr>
        <w:t>.</w:t>
      </w:r>
    </w:p>
  </w:footnote>
  <w:footnote w:id="194">
    <w:p>
      <w:pPr>
        <w:pStyle w:val="Footnote"/>
        <w:bidi w:val="0"/>
      </w:pPr>
      <w:r>
        <w:rPr>
          <w:vertAlign w:val="superscript"/>
        </w:rPr>
        <w:footnoteRef/>
      </w:r>
      <w:r>
        <w:rPr>
          <w:rFonts w:cs="Arial Unicode MS" w:eastAsia="Arial Unicode MS"/>
          <w:rtl w:val="0"/>
          <w:lang w:val="de-DE"/>
        </w:rPr>
        <w:t xml:space="preserve"> Georg</w:t>
      </w:r>
      <w:r>
        <w:rPr>
          <w:rFonts w:cs="Arial Unicode MS" w:eastAsia="Arial Unicode MS"/>
          <w:rtl w:val="0"/>
          <w:lang w:val="en-US"/>
        </w:rPr>
        <w:t xml:space="preserve"> </w:t>
      </w:r>
      <w:r>
        <w:rPr>
          <w:rFonts w:cs="Arial Unicode MS" w:eastAsia="Arial Unicode MS"/>
          <w:rtl w:val="0"/>
          <w:lang w:val="de-DE"/>
        </w:rPr>
        <w:t>Zotti, Susanne M Hoffmann, Alexander Wolf, Fabien Ch</w:t>
      </w:r>
      <w:r>
        <w:rPr>
          <w:rFonts w:cs="Arial Unicode MS" w:eastAsia="Arial Unicode MS" w:hint="default"/>
          <w:rtl w:val="0"/>
          <w:lang w:val="fr-FR"/>
        </w:rPr>
        <w:t>é</w:t>
      </w:r>
      <w:r>
        <w:rPr>
          <w:rFonts w:cs="Arial Unicode MS" w:eastAsia="Arial Unicode MS"/>
          <w:rtl w:val="0"/>
          <w:lang w:val="en-US"/>
        </w:rPr>
        <w:t>reau, and Guillaume Ch</w:t>
      </w:r>
      <w:r>
        <w:rPr>
          <w:rFonts w:cs="Arial Unicode MS" w:eastAsia="Arial Unicode MS" w:hint="default"/>
          <w:rtl w:val="0"/>
          <w:lang w:val="fr-FR"/>
        </w:rPr>
        <w:t>é</w:t>
      </w:r>
      <w:r>
        <w:rPr>
          <w:rFonts w:cs="Arial Unicode MS" w:eastAsia="Arial Unicode MS"/>
          <w:rtl w:val="0"/>
          <w:lang w:val="fr-FR"/>
        </w:rPr>
        <w:t xml:space="preserve">reau, </w:t>
      </w:r>
      <w:r>
        <w:rPr>
          <w:rFonts w:cs="Arial Unicode MS" w:eastAsia="Arial Unicode MS" w:hint="default"/>
          <w:rtl w:val="1"/>
        </w:rPr>
        <w:t>‘</w:t>
      </w:r>
      <w:r>
        <w:rPr>
          <w:rFonts w:cs="Arial Unicode MS" w:eastAsia="Arial Unicode MS"/>
          <w:rtl w:val="0"/>
          <w:lang w:val="en-US"/>
        </w:rPr>
        <w:t xml:space="preserve">The Simulated Sky: Stellarium for Cultural Astronomy Research', </w:t>
      </w:r>
      <w:r>
        <w:rPr>
          <w:rFonts w:cs="Arial Unicode MS" w:eastAsia="Arial Unicode MS"/>
          <w:i w:val="1"/>
          <w:iCs w:val="1"/>
          <w:rtl w:val="0"/>
        </w:rPr>
        <w:t>arXiv preprint arXiv:2104.01019</w:t>
      </w:r>
      <w:r>
        <w:rPr>
          <w:rFonts w:cs="Arial Unicode MS" w:eastAsia="Arial Unicode MS"/>
          <w:rtl w:val="0"/>
        </w:rPr>
        <w:t>: (2021)</w:t>
      </w:r>
      <w:r>
        <w:rPr>
          <w:rFonts w:cs="Arial Unicode MS" w:eastAsia="Arial Unicode MS"/>
          <w:rtl w:val="0"/>
          <w:lang w:val="en-US"/>
        </w:rPr>
        <w:t xml:space="preserve">, p. </w:t>
      </w:r>
      <w:r>
        <w:rPr>
          <w:rFonts w:cs="Arial Unicode MS" w:eastAsia="Arial Unicode MS"/>
          <w:rtl w:val="0"/>
        </w:rPr>
        <w:t>226</w:t>
      </w:r>
      <w:r>
        <w:rPr>
          <w:rFonts w:cs="Arial Unicode MS" w:eastAsia="Arial Unicode MS"/>
          <w:rtl w:val="0"/>
          <w:lang w:val="en-US"/>
        </w:rPr>
        <w:t>.</w:t>
      </w:r>
    </w:p>
  </w:footnote>
  <w:footnote w:id="195">
    <w:p>
      <w:pPr>
        <w:pStyle w:val="Footnote"/>
        <w:bidi w:val="0"/>
      </w:pPr>
      <w:r>
        <w:rPr>
          <w:vertAlign w:val="superscript"/>
        </w:rPr>
        <w:footnoteRef/>
      </w:r>
      <w:r>
        <w:rPr>
          <w:rFonts w:cs="Arial Unicode MS" w:eastAsia="Arial Unicode MS"/>
          <w:rtl w:val="0"/>
          <w:lang w:val="it-IT"/>
        </w:rPr>
        <w:t xml:space="preserve"> Stellarium, 2016. Website. </w:t>
      </w:r>
      <w:r>
        <w:rPr>
          <w:rFonts w:cs="Arial Unicode MS" w:eastAsia="Arial Unicode MS"/>
          <w:rtl w:val="0"/>
          <w:lang w:val="en-US"/>
        </w:rPr>
        <w:t>&lt;</w:t>
      </w:r>
      <w:r>
        <w:rPr>
          <w:rFonts w:cs="Arial Unicode MS" w:eastAsia="Arial Unicode MS"/>
          <w:rtl w:val="0"/>
          <w:lang w:val="en-US"/>
        </w:rPr>
        <w:t>https://stellarium.org/doc/0.18/group__observability.html</w:t>
      </w:r>
      <w:r>
        <w:rPr>
          <w:rFonts w:cs="Arial Unicode MS" w:eastAsia="Arial Unicode MS"/>
          <w:rtl w:val="0"/>
          <w:lang w:val="en-US"/>
        </w:rPr>
        <w:t>&gt; [</w:t>
      </w:r>
      <w:r>
        <w:rPr>
          <w:rFonts w:cs="Arial Unicode MS" w:eastAsia="Arial Unicode MS"/>
          <w:rtl w:val="0"/>
          <w:lang w:val="en-US"/>
        </w:rPr>
        <w:t>Accessed February 2017</w:t>
      </w:r>
      <w:r>
        <w:rPr>
          <w:rFonts w:cs="Arial Unicode MS" w:eastAsia="Arial Unicode MS"/>
          <w:rtl w:val="0"/>
          <w:lang w:val="en-US"/>
        </w:rPr>
        <w:t>].</w:t>
      </w:r>
    </w:p>
  </w:footnote>
  <w:footnote w:id="196">
    <w:p>
      <w:pPr>
        <w:pStyle w:val="Footnote"/>
        <w:bidi w:val="0"/>
      </w:pPr>
      <w:r>
        <w:rPr>
          <w:vertAlign w:val="superscript"/>
        </w:rPr>
        <w:footnoteRef/>
      </w:r>
      <w:r>
        <w:rPr>
          <w:rFonts w:cs="Arial Unicode MS" w:eastAsia="Arial Unicode MS"/>
          <w:rtl w:val="0"/>
          <w:lang w:val="pt-PT"/>
        </w:rPr>
        <w:t xml:space="preserve"> OpenCPN. </w:t>
      </w:r>
      <w:r>
        <w:rPr>
          <w:rFonts w:cs="Arial Unicode MS" w:eastAsia="Arial Unicode MS" w:hint="default"/>
          <w:rtl w:val="0"/>
          <w:lang w:val="en-US"/>
        </w:rPr>
        <w:t>‘</w:t>
      </w:r>
      <w:r>
        <w:rPr>
          <w:rFonts w:cs="Arial Unicode MS" w:eastAsia="Arial Unicode MS"/>
          <w:rtl w:val="0"/>
          <w:lang w:val="en-US"/>
        </w:rPr>
        <w:t>OpenCPN Chart Plotter NAVIGATION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OpenCPN Official Site</w:t>
      </w:r>
      <w:r>
        <w:rPr>
          <w:rFonts w:cs="Arial Unicode MS" w:eastAsia="Arial Unicode MS"/>
          <w:i w:val="1"/>
          <w:iCs w:val="1"/>
          <w:rtl w:val="0"/>
          <w:lang w:val="en-US"/>
        </w:rPr>
        <w:t xml:space="preserve"> </w:t>
      </w:r>
      <w:r>
        <w:rPr>
          <w:rFonts w:cs="Arial Unicode MS" w:eastAsia="Arial Unicode MS"/>
          <w:rtl w:val="0"/>
          <w:lang w:val="en-US"/>
        </w:rPr>
        <w:t>from &lt;</w:t>
      </w:r>
      <w:r>
        <w:rPr>
          <w:rFonts w:cs="Arial Unicode MS" w:eastAsia="Arial Unicode MS"/>
          <w:rtl w:val="0"/>
          <w:lang w:val="en-US"/>
        </w:rPr>
        <w:t>https://opencpn.org</w:t>
      </w:r>
      <w:r>
        <w:rPr>
          <w:rFonts w:cs="Arial Unicode MS" w:eastAsia="Arial Unicode MS"/>
          <w:rtl w:val="0"/>
          <w:lang w:val="en-US"/>
        </w:rPr>
        <w:t>&gt; [</w:t>
      </w:r>
      <w:r>
        <w:rPr>
          <w:rFonts w:cs="Arial Unicode MS" w:eastAsia="Arial Unicode MS"/>
          <w:rtl w:val="0"/>
          <w:lang w:val="en-US"/>
        </w:rPr>
        <w:t>Accessed September 15, 2021</w:t>
      </w:r>
      <w:r>
        <w:rPr>
          <w:rFonts w:cs="Arial Unicode MS" w:eastAsia="Arial Unicode MS"/>
          <w:rtl w:val="0"/>
          <w:lang w:val="en-US"/>
        </w:rPr>
        <w:t>].</w:t>
      </w:r>
    </w:p>
  </w:footnote>
  <w:footnote w:id="197">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it-IT"/>
        </w:rPr>
        <w:t>Anton</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Course Angle and the Distance between the Two Points on Loxodrome (rhumb Line)</w:t>
      </w:r>
      <w:r>
        <w:rPr>
          <w:rFonts w:cs="Arial Unicode MS" w:eastAsia="Arial Unicode MS" w:hint="default"/>
          <w:rtl w:val="0"/>
          <w:lang w:val="en-US"/>
        </w:rPr>
        <w:t>’</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pt-PT"/>
        </w:rPr>
        <w:t>Online Calculators</w:t>
      </w:r>
      <w:r>
        <w:rPr>
          <w:rFonts w:cs="Arial Unicode MS" w:eastAsia="Arial Unicode MS"/>
          <w:rtl w:val="0"/>
        </w:rPr>
        <w:t xml:space="preserve"> </w:t>
      </w:r>
      <w:r>
        <w:rPr>
          <w:rFonts w:cs="Arial Unicode MS" w:eastAsia="Arial Unicode MS"/>
          <w:rtl w:val="0"/>
          <w:lang w:val="en-US"/>
        </w:rPr>
        <w:t>from &lt;</w:t>
      </w:r>
      <w:r>
        <w:rPr>
          <w:rFonts w:cs="Arial Unicode MS" w:eastAsia="Arial Unicode MS"/>
          <w:rtl w:val="0"/>
          <w:lang w:val="en-US"/>
        </w:rPr>
        <w:t>https://planetcalc.com/713</w:t>
      </w:r>
      <w:r>
        <w:rPr>
          <w:rFonts w:cs="Arial Unicode MS" w:eastAsia="Arial Unicode MS"/>
          <w:rtl w:val="0"/>
          <w:lang w:val="en-US"/>
        </w:rPr>
        <w:t>&gt; [</w:t>
      </w:r>
      <w:r>
        <w:rPr>
          <w:rFonts w:cs="Arial Unicode MS" w:eastAsia="Arial Unicode MS"/>
          <w:rtl w:val="0"/>
          <w:lang w:val="en-US"/>
        </w:rPr>
        <w:t>Accessed September 15, 2021</w:t>
      </w:r>
      <w:r>
        <w:rPr>
          <w:rFonts w:cs="Arial Unicode MS" w:eastAsia="Arial Unicode MS"/>
          <w:rtl w:val="0"/>
          <w:lang w:val="en-US"/>
        </w:rPr>
        <w:t>].</w:t>
      </w:r>
    </w:p>
  </w:footnote>
  <w:footnote w:id="198">
    <w:p>
      <w:pPr>
        <w:pStyle w:val="Footnote"/>
        <w:bidi w:val="0"/>
      </w:pPr>
      <w:r>
        <w:rPr>
          <w:vertAlign w:val="superscript"/>
        </w:rPr>
        <w:footnoteRef/>
      </w:r>
      <w:r>
        <w:rPr>
          <w:rFonts w:cs="Arial Unicode MS" w:eastAsia="Arial Unicode MS"/>
          <w:rtl w:val="0"/>
          <w:lang w:val="es-ES_tradnl"/>
        </w:rPr>
        <w:t xml:space="preserve"> Juan Antonio</w:t>
      </w:r>
      <w:r>
        <w:rPr>
          <w:rFonts w:cs="Arial Unicode MS" w:eastAsia="Arial Unicode MS"/>
          <w:rtl w:val="0"/>
          <w:lang w:val="en-US"/>
        </w:rPr>
        <w:t xml:space="preserve"> </w:t>
      </w:r>
      <w:r>
        <w:rPr>
          <w:rFonts w:cs="Arial Unicode MS" w:eastAsia="Arial Unicode MS"/>
          <w:rtl w:val="0"/>
        </w:rPr>
        <w:t xml:space="preserve">Belmonte, </w:t>
      </w:r>
      <w:r>
        <w:rPr>
          <w:rFonts w:cs="Arial Unicode MS" w:eastAsia="Arial Unicode MS" w:hint="default"/>
          <w:rtl w:val="1"/>
        </w:rPr>
        <w:t>‘</w:t>
      </w:r>
      <w:r>
        <w:rPr>
          <w:rFonts w:cs="Arial Unicode MS" w:eastAsia="Arial Unicode MS"/>
          <w:rtl w:val="0"/>
          <w:lang w:val="en-US"/>
        </w:rPr>
        <w:t>Finding Our Place in the Cosmos: The Role of Astronomy in Ancient Cultures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Journal of Cosmology</w:t>
      </w:r>
      <w:r>
        <w:rPr>
          <w:rFonts w:cs="Arial Unicode MS" w:eastAsia="Arial Unicode MS"/>
          <w:rtl w:val="0"/>
        </w:rPr>
        <w:t xml:space="preserve">, 9 (2010), </w:t>
      </w:r>
      <w:r>
        <w:rPr>
          <w:rFonts w:cs="Arial Unicode MS" w:eastAsia="Arial Unicode MS"/>
          <w:rtl w:val="0"/>
          <w:lang w:val="en-US"/>
        </w:rPr>
        <w:t xml:space="preserve">p. </w:t>
      </w:r>
      <w:r>
        <w:rPr>
          <w:rFonts w:cs="Arial Unicode MS" w:eastAsia="Arial Unicode MS"/>
          <w:rtl w:val="0"/>
        </w:rPr>
        <w:t>205</w:t>
      </w:r>
      <w:r>
        <w:rPr>
          <w:rFonts w:cs="Arial Unicode MS" w:eastAsia="Arial Unicode MS"/>
          <w:rtl w:val="0"/>
          <w:lang w:val="en-US"/>
        </w:rPr>
        <w:t>6.</w:t>
      </w:r>
    </w:p>
  </w:footnote>
  <w:footnote w:id="19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Ruggles, </w:t>
      </w:r>
      <w:r>
        <w:rPr>
          <w:rFonts w:cs="Arial Unicode MS" w:eastAsia="Arial Unicode MS"/>
          <w:i w:val="1"/>
          <w:iCs w:val="1"/>
          <w:rtl w:val="0"/>
          <w:lang w:val="en-US"/>
        </w:rPr>
        <w:t>Stellar</w:t>
      </w:r>
      <w:r>
        <w:rPr>
          <w:rFonts w:cs="Arial Unicode MS" w:eastAsia="Arial Unicode MS"/>
          <w:rtl w:val="0"/>
          <w:lang w:val="en-US"/>
        </w:rPr>
        <w:t>, p. 517.</w:t>
      </w:r>
    </w:p>
  </w:footnote>
  <w:footnote w:id="200">
    <w:p>
      <w:pPr>
        <w:pStyle w:val="Footnote"/>
        <w:bidi w:val="0"/>
      </w:pPr>
      <w:r>
        <w:rPr>
          <w:vertAlign w:val="superscript"/>
        </w:rPr>
        <w:footnoteRef/>
      </w:r>
      <w:r>
        <w:rPr>
          <w:rFonts w:cs="Arial Unicode MS" w:eastAsia="Arial Unicode MS"/>
          <w:rtl w:val="0"/>
          <w:lang w:val="pt-PT"/>
        </w:rPr>
        <w:t xml:space="preserve"> Marinatos, </w:t>
      </w:r>
      <w:r>
        <w:rPr>
          <w:rFonts w:cs="Arial Unicode MS" w:eastAsia="Arial Unicode MS" w:hint="default"/>
          <w:rtl w:val="0"/>
          <w:lang w:val="en-US"/>
        </w:rPr>
        <w:t>‘</w:t>
      </w:r>
      <w:r>
        <w:rPr>
          <w:rFonts w:cs="Arial Unicode MS" w:eastAsia="Arial Unicode MS"/>
          <w:i w:val="1"/>
          <w:iCs w:val="1"/>
          <w:rtl w:val="0"/>
        </w:rPr>
        <w:t>Minoan</w:t>
      </w:r>
      <w:r>
        <w:rPr>
          <w:rFonts w:cs="Arial Unicode MS" w:eastAsia="Arial Unicode MS" w:hint="default"/>
          <w:i w:val="1"/>
          <w:iCs w:val="1"/>
          <w:rtl w:val="0"/>
          <w:lang w:val="en-US"/>
        </w:rPr>
        <w:t>’</w:t>
      </w:r>
      <w:r>
        <w:rPr>
          <w:rFonts w:cs="Arial Unicode MS" w:eastAsia="Arial Unicode MS"/>
          <w:rtl w:val="0"/>
        </w:rPr>
        <w:t xml:space="preserve"> </w:t>
      </w:r>
      <w:r>
        <w:rPr>
          <w:rFonts w:cs="Arial Unicode MS" w:eastAsia="Arial Unicode MS"/>
          <w:rtl w:val="0"/>
          <w:lang w:val="en-US"/>
        </w:rPr>
        <w:t>p. 43; and</w:t>
      </w:r>
      <w:r>
        <w:rPr>
          <w:rFonts w:cs="Arial Unicode MS" w:eastAsia="Arial Unicode MS"/>
          <w:i w:val="1"/>
          <w:iCs w:val="1"/>
          <w:rtl w:val="0"/>
          <w:lang w:val="en-US"/>
        </w:rPr>
        <w:t xml:space="preserve"> </w:t>
      </w:r>
      <w:r>
        <w:rPr>
          <w:rFonts w:cs="Arial Unicode MS" w:eastAsia="Arial Unicode MS"/>
          <w:rtl w:val="0"/>
          <w:lang w:val="en-US"/>
        </w:rPr>
        <w:t xml:space="preserve">Joseph W. Shaw, </w:t>
      </w:r>
      <w:r>
        <w:rPr>
          <w:rFonts w:cs="Arial Unicode MS" w:eastAsia="Arial Unicode MS"/>
          <w:i w:val="1"/>
          <w:iCs w:val="1"/>
          <w:rtl w:val="0"/>
          <w:lang w:val="en-US"/>
        </w:rPr>
        <w:t>Elite Minoan Architecture: Its Development at Knossos, Phaistos, and Malia</w:t>
      </w:r>
      <w:r>
        <w:rPr>
          <w:rFonts w:cs="Arial Unicode MS" w:eastAsia="Arial Unicode MS"/>
          <w:rtl w:val="0"/>
          <w:lang w:val="pt-PT"/>
        </w:rPr>
        <w:t xml:space="preserve"> (INSTAP Academic Press, 2015)</w:t>
      </w:r>
      <w:r>
        <w:rPr>
          <w:rFonts w:cs="Arial Unicode MS" w:eastAsia="Arial Unicode MS"/>
          <w:rtl w:val="0"/>
          <w:lang w:val="en-US"/>
        </w:rPr>
        <w:t>, p. 22.</w:t>
      </w:r>
    </w:p>
  </w:footnote>
  <w:footnote w:id="20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Clive Ruggles</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Analyzing Orientations</w:t>
      </w:r>
      <w:r>
        <w:rPr>
          <w:rFonts w:cs="Arial Unicode MS" w:eastAsia="Arial Unicode MS" w:hint="default"/>
          <w:rtl w:val="1"/>
        </w:rPr>
        <w:t>’</w:t>
      </w:r>
      <w:r>
        <w:rPr>
          <w:rFonts w:cs="Arial Unicode MS" w:eastAsia="Arial Unicode MS"/>
          <w:rtl w:val="0"/>
          <w:lang w:val="en-US"/>
        </w:rPr>
        <w:t>, Handbook of Archaeoastronomy and Ethnoastronomy</w:t>
      </w:r>
      <w:r>
        <w:rPr>
          <w:rFonts w:cs="Arial Unicode MS" w:eastAsia="Arial Unicode MS"/>
          <w:rtl w:val="0"/>
          <w:lang w:val="en-US"/>
        </w:rPr>
        <w:t xml:space="preserve"> </w:t>
      </w:r>
      <w:r>
        <w:rPr>
          <w:rFonts w:cs="Arial Unicode MS" w:eastAsia="Arial Unicode MS"/>
          <w:rtl w:val="0"/>
        </w:rPr>
        <w:t xml:space="preserve">(2015a), </w:t>
      </w:r>
      <w:r>
        <w:rPr>
          <w:rFonts w:cs="Arial Unicode MS" w:eastAsia="Arial Unicode MS"/>
          <w:rtl w:val="0"/>
          <w:lang w:val="en-US"/>
        </w:rPr>
        <w:t xml:space="preserve">p. </w:t>
      </w:r>
      <w:r>
        <w:rPr>
          <w:rFonts w:cs="Arial Unicode MS" w:eastAsia="Arial Unicode MS"/>
          <w:rtl w:val="0"/>
        </w:rPr>
        <w:t>41</w:t>
      </w:r>
      <w:r>
        <w:rPr>
          <w:rFonts w:cs="Arial Unicode MS" w:eastAsia="Arial Unicode MS"/>
          <w:rtl w:val="0"/>
          <w:lang w:val="en-US"/>
        </w:rPr>
        <w:t>7.</w:t>
      </w:r>
    </w:p>
  </w:footnote>
  <w:footnote w:id="202">
    <w:p>
      <w:pPr>
        <w:pStyle w:val="Footnote"/>
        <w:bidi w:val="0"/>
      </w:pPr>
      <w:r>
        <w:rPr>
          <w:vertAlign w:val="superscript"/>
        </w:rPr>
        <w:footnoteRef/>
      </w:r>
      <w:r>
        <w:rPr>
          <w:rFonts w:cs="Arial Unicode MS" w:eastAsia="Arial Unicode MS"/>
          <w:rtl w:val="0"/>
          <w:lang w:val="en-US"/>
        </w:rPr>
        <w:t xml:space="preserve"> Arthur J</w:t>
      </w:r>
      <w:r>
        <w:rPr>
          <w:rFonts w:cs="Arial Unicode MS" w:eastAsia="Arial Unicode MS"/>
          <w:rtl w:val="0"/>
          <w:lang w:val="en-US"/>
        </w:rPr>
        <w:t xml:space="preserve"> </w:t>
      </w:r>
      <w:r>
        <w:rPr>
          <w:rFonts w:cs="Arial Unicode MS" w:eastAsia="Arial Unicode MS"/>
          <w:rtl w:val="0"/>
          <w:lang w:val="nl-NL"/>
        </w:rPr>
        <w:t xml:space="preserve">Evans, </w:t>
      </w:r>
      <w:r>
        <w:rPr>
          <w:rFonts w:cs="Arial Unicode MS" w:eastAsia="Arial Unicode MS"/>
          <w:i w:val="1"/>
          <w:iCs w:val="1"/>
          <w:rtl w:val="0"/>
          <w:lang w:val="en-US"/>
        </w:rPr>
        <w:t>The Palace of Minos at Knossos</w:t>
      </w:r>
      <w:r>
        <w:rPr>
          <w:rFonts w:cs="Arial Unicode MS" w:eastAsia="Arial Unicode MS"/>
          <w:rtl w:val="0"/>
        </w:rPr>
        <w:t xml:space="preserve">. </w:t>
      </w:r>
      <w:r>
        <w:rPr>
          <w:rFonts w:cs="Arial Unicode MS" w:eastAsia="Arial Unicode MS"/>
          <w:i w:val="1"/>
          <w:iCs w:val="1"/>
          <w:rtl w:val="0"/>
          <w:lang w:val="pt-PT"/>
        </w:rPr>
        <w:t>Vol. 2</w:t>
      </w:r>
      <w:r>
        <w:rPr>
          <w:rFonts w:cs="Arial Unicode MS" w:eastAsia="Arial Unicode MS"/>
          <w:rtl w:val="0"/>
        </w:rPr>
        <w:t>, London (1928a)</w:t>
      </w:r>
      <w:r>
        <w:rPr>
          <w:rFonts w:cs="Arial Unicode MS" w:eastAsia="Arial Unicode MS"/>
          <w:b w:val="1"/>
          <w:bCs w:val="1"/>
          <w:rtl w:val="0"/>
        </w:rPr>
        <w:t>,</w:t>
      </w:r>
      <w:r>
        <w:rPr>
          <w:rFonts w:cs="Arial Unicode MS" w:eastAsia="Arial Unicode MS"/>
          <w:b w:val="1"/>
          <w:bCs w:val="1"/>
          <w:rtl w:val="0"/>
          <w:lang w:val="en-US"/>
        </w:rPr>
        <w:t xml:space="preserve"> </w:t>
      </w:r>
      <w:r>
        <w:rPr>
          <w:rFonts w:cs="Arial Unicode MS" w:eastAsia="Arial Unicode MS"/>
          <w:rtl w:val="0"/>
          <w:lang w:val="en-US"/>
        </w:rPr>
        <w:t>p.</w:t>
      </w:r>
      <w:r>
        <w:rPr>
          <w:rFonts w:cs="Arial Unicode MS" w:eastAsia="Arial Unicode MS"/>
          <w:rtl w:val="0"/>
        </w:rPr>
        <w:t xml:space="preserve"> 423</w:t>
      </w:r>
      <w:r>
        <w:rPr>
          <w:rFonts w:cs="Arial Unicode MS" w:eastAsia="Arial Unicode MS"/>
          <w:rtl w:val="0"/>
          <w:lang w:val="en-US"/>
        </w:rPr>
        <w:t>; and</w:t>
      </w:r>
      <w:r>
        <w:rPr>
          <w:rFonts w:cs="Arial Unicode MS" w:eastAsia="Arial Unicode MS"/>
          <w:b w:val="1"/>
          <w:bCs w:val="1"/>
          <w:rtl w:val="0"/>
          <w:lang w:val="en-US"/>
        </w:rPr>
        <w:t xml:space="preserve"> </w:t>
      </w:r>
      <w:r>
        <w:rPr>
          <w:rFonts w:cs="Arial Unicode MS" w:eastAsia="Arial Unicode MS"/>
          <w:rtl w:val="0"/>
          <w:lang w:val="en-US"/>
        </w:rPr>
        <w:t xml:space="preserve">Shaw, </w:t>
      </w:r>
      <w:r>
        <w:rPr>
          <w:rFonts w:cs="Arial Unicode MS" w:eastAsia="Arial Unicode MS" w:hint="default"/>
          <w:rtl w:val="1"/>
        </w:rPr>
        <w:t>‘</w:t>
      </w:r>
      <w:r>
        <w:rPr>
          <w:rFonts w:cs="Arial Unicode MS" w:eastAsia="Arial Unicode MS"/>
          <w:rtl w:val="0"/>
          <w:lang w:val="es-ES_tradnl"/>
        </w:rPr>
        <w:t>Elite</w:t>
      </w:r>
      <w:r>
        <w:rPr>
          <w:rFonts w:cs="Arial Unicode MS" w:eastAsia="Arial Unicode MS" w:hint="default"/>
          <w:rtl w:val="1"/>
        </w:rPr>
        <w:t>’</w:t>
      </w:r>
      <w:r>
        <w:rPr>
          <w:rFonts w:cs="Arial Unicode MS" w:eastAsia="Arial Unicode MS"/>
          <w:rtl w:val="0"/>
        </w:rPr>
        <w:t>, p. 2</w:t>
      </w:r>
      <w:r>
        <w:rPr>
          <w:rFonts w:cs="Arial Unicode MS" w:eastAsia="Arial Unicode MS"/>
          <w:rtl w:val="0"/>
          <w:lang w:val="en-US"/>
        </w:rPr>
        <w:t>4.</w:t>
      </w:r>
    </w:p>
  </w:footnote>
  <w:footnote w:id="20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Shaw, </w:t>
      </w:r>
      <w:r>
        <w:rPr>
          <w:rFonts w:cs="Arial Unicode MS" w:eastAsia="Arial Unicode MS" w:hint="default"/>
          <w:rtl w:val="0"/>
          <w:lang w:val="en-US"/>
        </w:rPr>
        <w:t>‘</w:t>
      </w:r>
      <w:r>
        <w:rPr>
          <w:rFonts w:cs="Arial Unicode MS" w:eastAsia="Arial Unicode MS"/>
          <w:rtl w:val="0"/>
          <w:lang w:val="en-US"/>
        </w:rPr>
        <w:t>Elite</w:t>
      </w:r>
      <w:r>
        <w:rPr>
          <w:rFonts w:cs="Arial Unicode MS" w:eastAsia="Arial Unicode MS" w:hint="default"/>
          <w:rtl w:val="0"/>
          <w:lang w:val="en-US"/>
        </w:rPr>
        <w:t>’</w:t>
      </w:r>
      <w:r>
        <w:rPr>
          <w:rFonts w:cs="Arial Unicode MS" w:eastAsia="Arial Unicode MS"/>
          <w:rtl w:val="0"/>
          <w:lang w:val="en-US"/>
        </w:rPr>
        <w:t xml:space="preserve">, p. 23;  and </w:t>
      </w:r>
      <w:r>
        <w:rPr>
          <w:rFonts w:cs="Arial Unicode MS" w:eastAsia="Arial Unicode MS"/>
          <w:rtl w:val="0"/>
          <w:lang w:val="en-US"/>
        </w:rPr>
        <w:t xml:space="preserve">Shaw, </w:t>
      </w:r>
      <w:r>
        <w:rPr>
          <w:rFonts w:cs="Arial Unicode MS" w:eastAsia="Arial Unicode MS" w:hint="default"/>
          <w:rtl w:val="1"/>
        </w:rPr>
        <w:t>‘</w:t>
      </w:r>
      <w:r>
        <w:rPr>
          <w:rFonts w:cs="Arial Unicode MS" w:eastAsia="Arial Unicode MS"/>
          <w:rtl w:val="0"/>
          <w:lang w:val="fr-FR"/>
        </w:rPr>
        <w:t>Orientation</w:t>
      </w:r>
      <w:r>
        <w:rPr>
          <w:rFonts w:cs="Arial Unicode MS" w:eastAsia="Arial Unicode MS" w:hint="default"/>
          <w:rtl w:val="1"/>
        </w:rPr>
        <w:t>’</w:t>
      </w:r>
      <w:r>
        <w:rPr>
          <w:rFonts w:cs="Arial Unicode MS" w:eastAsia="Arial Unicode MS"/>
          <w:rtl w:val="0"/>
        </w:rPr>
        <w:t xml:space="preserve">, p. </w:t>
      </w:r>
      <w:r>
        <w:rPr>
          <w:rFonts w:cs="Arial Unicode MS" w:eastAsia="Arial Unicode MS"/>
          <w:rtl w:val="0"/>
          <w:lang w:val="en-US"/>
        </w:rPr>
        <w:t>58.</w:t>
      </w:r>
    </w:p>
  </w:footnote>
  <w:footnote w:id="204">
    <w:p>
      <w:pPr>
        <w:pStyle w:val="Footnote"/>
        <w:bidi w:val="0"/>
      </w:pPr>
      <w:r>
        <w:rPr>
          <w:vertAlign w:val="superscript"/>
        </w:rPr>
        <w:footnoteRef/>
      </w:r>
      <w:r>
        <w:rPr>
          <w:rFonts w:cs="Arial Unicode MS" w:eastAsia="Arial Unicode MS"/>
          <w:rtl w:val="0"/>
          <w:lang w:val="nl-NL"/>
        </w:rPr>
        <w:t xml:space="preserve"> Joel</w:t>
      </w:r>
      <w:r>
        <w:rPr>
          <w:rFonts w:cs="Arial Unicode MS" w:eastAsia="Arial Unicode MS"/>
          <w:rtl w:val="0"/>
          <w:lang w:val="en-US"/>
        </w:rPr>
        <w:t xml:space="preserve"> </w:t>
      </w:r>
      <w:r>
        <w:rPr>
          <w:rFonts w:cs="Arial Unicode MS" w:eastAsia="Arial Unicode MS"/>
          <w:rtl w:val="0"/>
          <w:lang w:val="da-DK"/>
        </w:rPr>
        <w:t xml:space="preserve">Silverberg, </w:t>
      </w:r>
      <w:r>
        <w:rPr>
          <w:rFonts w:cs="Arial Unicode MS" w:eastAsia="Arial Unicode MS" w:hint="default"/>
          <w:rtl w:val="1"/>
        </w:rPr>
        <w:t>‘</w:t>
      </w:r>
      <w:r>
        <w:rPr>
          <w:rFonts w:cs="Arial Unicode MS" w:eastAsia="Arial Unicode MS"/>
          <w:rtl w:val="0"/>
          <w:lang w:val="en-US"/>
        </w:rPr>
        <w:t>The Sailings: The Mathematics of Eighteenth Century Navigation in the American Colonies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Proceedings of the Canadian Society for the History and Philosophy of Mathematics</w:t>
      </w:r>
      <w:r>
        <w:rPr>
          <w:rFonts w:cs="Arial Unicode MS" w:eastAsia="Arial Unicode MS"/>
          <w:rtl w:val="0"/>
        </w:rPr>
        <w:t xml:space="preserve">, 18: (2005), </w:t>
      </w:r>
      <w:r>
        <w:rPr>
          <w:rFonts w:cs="Arial Unicode MS" w:eastAsia="Arial Unicode MS"/>
          <w:rtl w:val="0"/>
          <w:lang w:val="en-US"/>
        </w:rPr>
        <w:t>p. 9.</w:t>
      </w:r>
    </w:p>
  </w:footnote>
  <w:footnote w:id="205">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0"/>
          <w:lang w:val="en-US"/>
        </w:rPr>
        <w:t>‘</w:t>
      </w:r>
      <w:r>
        <w:rPr>
          <w:rFonts w:cs="Arial Unicode MS" w:eastAsia="Arial Unicode MS"/>
          <w:rtl w:val="0"/>
          <w:lang w:val="it-IT"/>
        </w:rPr>
        <w:t>Navigators</w:t>
      </w:r>
      <w:r>
        <w:rPr>
          <w:rFonts w:cs="Arial Unicode MS" w:eastAsia="Arial Unicode MS" w:hint="default"/>
          <w:rtl w:val="0"/>
          <w:lang w:val="en-US"/>
        </w:rPr>
        <w:t>’</w:t>
      </w:r>
      <w:r>
        <w:rPr>
          <w:rFonts w:cs="Arial Unicode MS" w:eastAsia="Arial Unicode MS"/>
          <w:rtl w:val="0"/>
          <w:lang w:val="en-US"/>
        </w:rPr>
        <w:t>, p. 84.</w:t>
      </w:r>
    </w:p>
  </w:footnote>
  <w:footnote w:id="206">
    <w:p>
      <w:pPr>
        <w:pStyle w:val="Footnote"/>
        <w:bidi w:val="0"/>
      </w:pPr>
      <w:r>
        <w:rPr>
          <w:vertAlign w:val="superscript"/>
        </w:rPr>
        <w:footnoteRef/>
      </w:r>
      <w:r>
        <w:rPr>
          <w:rFonts w:cs="Arial Unicode MS" w:eastAsia="Arial Unicode MS"/>
          <w:rtl w:val="0"/>
        </w:rPr>
        <w:t xml:space="preserve"> H</w:t>
      </w:r>
      <w:r>
        <w:rPr>
          <w:rFonts w:cs="Arial Unicode MS" w:eastAsia="Arial Unicode MS"/>
          <w:rtl w:val="0"/>
          <w:lang w:val="en-US"/>
        </w:rPr>
        <w:t xml:space="preserve">. </w:t>
      </w:r>
      <w:r>
        <w:rPr>
          <w:rFonts w:cs="Arial Unicode MS" w:eastAsia="Arial Unicode MS"/>
          <w:rtl w:val="0"/>
          <w:lang w:val="da-DK"/>
        </w:rPr>
        <w:t xml:space="preserve">Cotter, </w:t>
      </w:r>
      <w:r>
        <w:rPr>
          <w:rFonts w:cs="Arial Unicode MS" w:eastAsia="Arial Unicode MS" w:hint="default"/>
          <w:rtl w:val="1"/>
        </w:rPr>
        <w:t>‘</w:t>
      </w:r>
      <w:r>
        <w:rPr>
          <w:rFonts w:cs="Arial Unicode MS" w:eastAsia="Arial Unicode MS"/>
          <w:rtl w:val="0"/>
          <w:lang w:val="en-US"/>
        </w:rPr>
        <w:t>The Early History of Great Circle Sailing</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The Journal of Navigation</w:t>
      </w:r>
      <w:r>
        <w:rPr>
          <w:rFonts w:cs="Arial Unicode MS" w:eastAsia="Arial Unicode MS"/>
          <w:rtl w:val="0"/>
        </w:rPr>
        <w:t>, 29 (1976), 254</w:t>
      </w:r>
      <w:r>
        <w:rPr>
          <w:rFonts w:cs="Arial Unicode MS" w:eastAsia="Arial Unicode MS"/>
          <w:rtl w:val="0"/>
          <w:lang w:val="en-US"/>
        </w:rPr>
        <w:t xml:space="preserve">; and </w:t>
      </w:r>
      <w:r>
        <w:rPr>
          <w:rFonts w:cs="Arial Unicode MS" w:eastAsia="Arial Unicode MS"/>
          <w:rtl w:val="0"/>
        </w:rPr>
        <w:t>S</w:t>
      </w:r>
      <w:r>
        <w:rPr>
          <w:rFonts w:cs="Arial Unicode MS" w:eastAsia="Arial Unicode MS"/>
          <w:rtl w:val="0"/>
          <w:lang w:val="en-US"/>
        </w:rPr>
        <w:t xml:space="preserve">. </w:t>
      </w:r>
      <w:r>
        <w:rPr>
          <w:rFonts w:cs="Arial Unicode MS" w:eastAsia="Arial Unicode MS"/>
          <w:rtl w:val="0"/>
          <w:lang w:val="en-US"/>
        </w:rPr>
        <w:t>Kos, and D</w:t>
      </w:r>
      <w:r>
        <w:rPr>
          <w:rFonts w:cs="Arial Unicode MS" w:eastAsia="Arial Unicode MS"/>
          <w:rtl w:val="0"/>
          <w:lang w:val="en-US"/>
        </w:rPr>
        <w:t>.</w:t>
      </w:r>
      <w:r>
        <w:rPr>
          <w:rFonts w:cs="Arial Unicode MS" w:eastAsia="Arial Unicode MS"/>
          <w:rtl w:val="0"/>
        </w:rPr>
        <w:t xml:space="preserve"> Br</w:t>
      </w:r>
      <w:r>
        <w:rPr>
          <w:rFonts w:cs="Arial Unicode MS" w:eastAsia="Arial Unicode MS" w:hint="default"/>
          <w:rtl w:val="0"/>
        </w:rPr>
        <w:t>þ</w:t>
      </w:r>
      <w:r>
        <w:rPr>
          <w:rFonts w:cs="Arial Unicode MS" w:eastAsia="Arial Unicode MS"/>
          <w:rtl w:val="0"/>
        </w:rPr>
        <w:t>i</w:t>
      </w:r>
      <w:r>
        <w:rPr>
          <w:rFonts w:cs="Arial Unicode MS" w:eastAsia="Arial Unicode MS" w:hint="default"/>
          <w:rtl w:val="0"/>
        </w:rPr>
        <w:t>ü</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Approximation Models of Orthodromic Navigation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Methods and Algorithms in Navigation: Marine Navigation and Safety of Sea Transportation</w:t>
      </w:r>
      <w:r>
        <w:rPr>
          <w:rFonts w:cs="Arial Unicode MS" w:eastAsia="Arial Unicode MS"/>
          <w:rtl w:val="0"/>
        </w:rPr>
        <w:t xml:space="preserve"> (2011), </w:t>
      </w:r>
      <w:r>
        <w:rPr>
          <w:rFonts w:cs="Arial Unicode MS" w:eastAsia="Arial Unicode MS"/>
          <w:rtl w:val="0"/>
          <w:lang w:val="en-US"/>
        </w:rPr>
        <w:t>p. 519.</w:t>
      </w:r>
    </w:p>
  </w:footnote>
  <w:footnote w:id="207">
    <w:p>
      <w:pPr>
        <w:pStyle w:val="Footnote"/>
        <w:bidi w:val="0"/>
      </w:pPr>
      <w:r>
        <w:rPr>
          <w:vertAlign w:val="superscript"/>
        </w:rPr>
        <w:footnoteRef/>
      </w:r>
      <w:r>
        <w:rPr>
          <w:rFonts w:cs="Arial Unicode MS" w:eastAsia="Arial Unicode MS"/>
          <w:rtl w:val="0"/>
          <w:lang w:val="de-DE"/>
        </w:rPr>
        <w:t xml:space="preserve"> Lewis, </w:t>
      </w:r>
      <w:r>
        <w:rPr>
          <w:rFonts w:cs="Arial Unicode MS" w:eastAsia="Arial Unicode MS" w:hint="default"/>
          <w:rtl w:val="1"/>
        </w:rPr>
        <w:t>‘</w:t>
      </w:r>
      <w:r>
        <w:rPr>
          <w:rFonts w:cs="Arial Unicode MS" w:eastAsia="Arial Unicode MS"/>
          <w:rtl w:val="0"/>
          <w:lang w:val="it-IT"/>
        </w:rPr>
        <w:t>Navigators</w:t>
      </w:r>
      <w:r>
        <w:rPr>
          <w:rFonts w:cs="Arial Unicode MS" w:eastAsia="Arial Unicode MS" w:hint="default"/>
          <w:rtl w:val="1"/>
        </w:rPr>
        <w:t>’</w:t>
      </w:r>
      <w:r>
        <w:rPr>
          <w:rFonts w:cs="Arial Unicode MS" w:eastAsia="Arial Unicode MS"/>
          <w:rtl w:val="0"/>
        </w:rPr>
        <w:t xml:space="preserve">, p. </w:t>
      </w:r>
      <w:r>
        <w:rPr>
          <w:rFonts w:cs="Arial Unicode MS" w:eastAsia="Arial Unicode MS"/>
          <w:rtl w:val="0"/>
          <w:lang w:val="en-US"/>
        </w:rPr>
        <w:t>98.</w:t>
      </w:r>
    </w:p>
  </w:footnote>
  <w:footnote w:id="208">
    <w:p>
      <w:pPr>
        <w:pStyle w:val="Footnote"/>
        <w:bidi w:val="0"/>
      </w:pPr>
      <w:r>
        <w:rPr>
          <w:vertAlign w:val="superscript"/>
        </w:rPr>
        <w:footnoteRef/>
      </w:r>
      <w:r>
        <w:rPr>
          <w:rFonts w:cs="Arial Unicode MS" w:eastAsia="Arial Unicode MS"/>
          <w:rtl w:val="0"/>
          <w:lang w:val="es-ES_tradnl"/>
        </w:rPr>
        <w:t xml:space="preserve"> Juan Antonio</w:t>
      </w:r>
      <w:r>
        <w:rPr>
          <w:rFonts w:cs="Arial Unicode MS" w:eastAsia="Arial Unicode MS"/>
          <w:rtl w:val="0"/>
          <w:lang w:val="en-US"/>
        </w:rPr>
        <w:t xml:space="preserve"> </w:t>
      </w:r>
      <w:r>
        <w:rPr>
          <w:rFonts w:cs="Arial Unicode MS" w:eastAsia="Arial Unicode MS"/>
          <w:rtl w:val="0"/>
        </w:rPr>
        <w:t>Belmonte</w:t>
      </w:r>
      <w:r>
        <w:rPr>
          <w:rFonts w:cs="Arial Unicode MS" w:eastAsia="Arial Unicode MS"/>
          <w:rtl w:val="0"/>
          <w:lang w:val="en-US"/>
        </w:rPr>
        <w:t xml:space="preserve"> and </w:t>
      </w:r>
      <w:r>
        <w:rPr>
          <w:rFonts w:cs="Arial Unicode MS" w:eastAsia="Arial Unicode MS"/>
          <w:rtl w:val="0"/>
          <w:lang w:val="it-IT"/>
        </w:rPr>
        <w:t>Mosalam Shaltout, and Magdi Fekri</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Astronomy, Landscape and Symbolism: A Study of the Orientation of Ancient Egyptian Temples</w:t>
      </w:r>
      <w:r>
        <w:rPr>
          <w:rFonts w:cs="Arial Unicode MS" w:eastAsia="Arial Unicode MS" w:hint="default"/>
          <w:rtl w:val="1"/>
        </w:rPr>
        <w:t xml:space="preserve">’ </w:t>
      </w:r>
      <w:r>
        <w:rPr>
          <w:rFonts w:cs="Arial Unicode MS" w:eastAsia="Arial Unicode MS"/>
          <w:rtl w:val="0"/>
          <w:lang w:val="en-US"/>
        </w:rPr>
        <w:t>(</w:t>
      </w:r>
      <w:r>
        <w:rPr>
          <w:rFonts w:cs="Arial Unicode MS" w:eastAsia="Arial Unicode MS"/>
          <w:rtl w:val="0"/>
          <w:lang w:val="en-US"/>
        </w:rPr>
        <w:t>Cairo: Supreme Council of Antiquities press, 2009</w:t>
      </w:r>
      <w:r>
        <w:rPr>
          <w:rFonts w:cs="Arial Unicode MS" w:eastAsia="Arial Unicode MS"/>
          <w:rtl w:val="0"/>
          <w:lang w:val="en-US"/>
        </w:rPr>
        <w:t>), p 12.</w:t>
      </w:r>
    </w:p>
  </w:footnote>
  <w:footnote w:id="209">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 xml:space="preserve">Schaefer, </w:t>
      </w:r>
      <w:r>
        <w:rPr>
          <w:rFonts w:cs="Arial Unicode MS" w:eastAsia="Arial Unicode MS" w:hint="default"/>
          <w:rtl w:val="1"/>
        </w:rPr>
        <w:t>‘</w:t>
      </w:r>
      <w:r>
        <w:rPr>
          <w:rFonts w:cs="Arial Unicode MS" w:eastAsia="Arial Unicode MS"/>
          <w:rtl w:val="0"/>
          <w:lang w:val="pt-PT"/>
        </w:rPr>
        <w:t>Latitude</w:t>
      </w:r>
      <w:r>
        <w:rPr>
          <w:rFonts w:cs="Arial Unicode MS" w:eastAsia="Arial Unicode MS" w:hint="default"/>
          <w:rtl w:val="1"/>
        </w:rPr>
        <w:t>’</w:t>
      </w:r>
      <w:r>
        <w:rPr>
          <w:rFonts w:cs="Arial Unicode MS" w:eastAsia="Arial Unicode MS"/>
          <w:rtl w:val="0"/>
        </w:rPr>
        <w:t xml:space="preserve">, </w:t>
      </w:r>
      <w:r>
        <w:rPr>
          <w:rFonts w:cs="Arial Unicode MS" w:eastAsia="Arial Unicode MS"/>
          <w:rtl w:val="0"/>
          <w:lang w:val="en-US"/>
        </w:rPr>
        <w:t xml:space="preserve">p. </w:t>
      </w:r>
      <w:r>
        <w:rPr>
          <w:rFonts w:cs="Arial Unicode MS" w:eastAsia="Arial Unicode MS"/>
          <w:rtl w:val="0"/>
        </w:rPr>
        <w:t>3</w:t>
      </w:r>
      <w:r>
        <w:rPr>
          <w:rFonts w:cs="Arial Unicode MS" w:eastAsia="Arial Unicode MS"/>
          <w:rtl w:val="0"/>
          <w:lang w:val="en-US"/>
        </w:rPr>
        <w:t>49.</w:t>
      </w:r>
    </w:p>
  </w:footnote>
  <w:footnote w:id="210">
    <w:p>
      <w:pPr>
        <w:pStyle w:val="Footnote"/>
        <w:bidi w:val="0"/>
      </w:pPr>
      <w:r>
        <w:rPr>
          <w:vertAlign w:val="superscript"/>
        </w:rPr>
        <w:footnoteRef/>
      </w:r>
      <w:r>
        <w:rPr>
          <w:rFonts w:cs="Arial Unicode MS" w:eastAsia="Arial Unicode MS"/>
          <w:rtl w:val="0"/>
          <w:lang w:val="en-US"/>
        </w:rPr>
        <w:t xml:space="preserve"> Goodenough and Thomas, </w:t>
      </w:r>
      <w:r>
        <w:rPr>
          <w:rFonts w:cs="Arial Unicode MS" w:eastAsia="Arial Unicode MS" w:hint="default"/>
          <w:rtl w:val="0"/>
          <w:lang w:val="en-US"/>
        </w:rPr>
        <w:t>‘</w:t>
      </w:r>
      <w:r>
        <w:rPr>
          <w:rFonts w:cs="Arial Unicode MS" w:eastAsia="Arial Unicode MS"/>
          <w:rtl w:val="0"/>
          <w:lang w:val="fr-FR"/>
        </w:rPr>
        <w:t>Traditional</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rPr>
        <w:t xml:space="preserve">p. </w:t>
      </w:r>
      <w:r>
        <w:rPr>
          <w:rFonts w:cs="Arial Unicode MS" w:eastAsia="Arial Unicode MS"/>
          <w:rtl w:val="0"/>
          <w:lang w:val="en-US"/>
        </w:rPr>
        <w:t>4.</w:t>
      </w:r>
    </w:p>
  </w:footnote>
  <w:footnote w:id="21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Kirch and Ruggles, </w:t>
      </w:r>
      <w:r>
        <w:rPr>
          <w:rFonts w:cs="Arial Unicode MS" w:eastAsia="Arial Unicode MS"/>
          <w:i w:val="1"/>
          <w:iCs w:val="1"/>
          <w:rtl w:val="0"/>
          <w:lang w:val="en-US"/>
        </w:rPr>
        <w:t>Heiau</w:t>
      </w:r>
      <w:r>
        <w:rPr>
          <w:rFonts w:cs="Arial Unicode MS" w:eastAsia="Arial Unicode MS"/>
          <w:rtl w:val="0"/>
          <w:lang w:val="en-US"/>
        </w:rPr>
        <w:t>, p. 141.</w:t>
      </w:r>
    </w:p>
  </w:footnote>
  <w:footnote w:id="212">
    <w:p>
      <w:pPr>
        <w:pStyle w:val="Footnote"/>
        <w:bidi w:val="0"/>
      </w:pPr>
      <w:r>
        <w:rPr>
          <w:vertAlign w:val="superscript"/>
        </w:rPr>
        <w:footnoteRef/>
      </w:r>
      <w:r>
        <w:rPr>
          <w:rFonts w:cs="Arial Unicode MS" w:eastAsia="Arial Unicode MS"/>
          <w:rtl w:val="0"/>
          <w:lang w:val="en-US"/>
        </w:rPr>
        <w:t xml:space="preserve"> Kursh and Kreps, </w:t>
      </w:r>
      <w:r>
        <w:rPr>
          <w:rFonts w:cs="Arial Unicode MS" w:eastAsia="Arial Unicode MS" w:hint="default"/>
          <w:rtl w:val="1"/>
        </w:rPr>
        <w:t>‘</w:t>
      </w:r>
      <w:r>
        <w:rPr>
          <w:rFonts w:cs="Arial Unicode MS" w:eastAsia="Arial Unicode MS"/>
          <w:rtl w:val="0"/>
          <w:lang w:val="en-US"/>
        </w:rPr>
        <w:t>Starpaths</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337.</w:t>
      </w:r>
    </w:p>
  </w:footnote>
  <w:footnote w:id="21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Shaw, </w:t>
      </w:r>
      <w:r>
        <w:rPr>
          <w:rFonts w:cs="Arial Unicode MS" w:eastAsia="Arial Unicode MS" w:hint="default"/>
          <w:rtl w:val="0"/>
          <w:lang w:val="en-US"/>
        </w:rPr>
        <w:t>‘</w:t>
      </w:r>
      <w:r>
        <w:rPr>
          <w:rFonts w:cs="Arial Unicode MS" w:eastAsia="Arial Unicode MS"/>
          <w:rtl w:val="0"/>
          <w:lang w:val="en-US"/>
        </w:rPr>
        <w:t>Orientation</w:t>
      </w:r>
      <w:r>
        <w:rPr>
          <w:rFonts w:cs="Arial Unicode MS" w:eastAsia="Arial Unicode MS" w:hint="default"/>
          <w:rtl w:val="0"/>
          <w:lang w:val="en-US"/>
        </w:rPr>
        <w:t>’</w:t>
      </w:r>
      <w:r>
        <w:rPr>
          <w:rFonts w:cs="Arial Unicode MS" w:eastAsia="Arial Unicode MS"/>
          <w:rtl w:val="0"/>
          <w:lang w:val="en-US"/>
        </w:rPr>
        <w:t>, p.</w:t>
        <w:tab/>
        <w:t>58.</w:t>
      </w:r>
    </w:p>
  </w:footnote>
  <w:footnote w:id="214">
    <w:p>
      <w:pPr>
        <w:pStyle w:val="Footnote"/>
        <w:bidi w:val="0"/>
      </w:pPr>
      <w:r>
        <w:rPr>
          <w:vertAlign w:val="superscript"/>
        </w:rPr>
        <w:footnoteRef/>
      </w:r>
      <w:r>
        <w:rPr>
          <w:rFonts w:cs="Arial Unicode MS" w:eastAsia="Arial Unicode MS"/>
          <w:rtl w:val="0"/>
          <w:lang w:val="fr-FR"/>
        </w:rPr>
        <w:t xml:space="preserve"> Chryssoulaki, </w:t>
      </w:r>
      <w:r>
        <w:rPr>
          <w:rFonts w:cs="Arial Unicode MS" w:eastAsia="Arial Unicode MS" w:hint="default"/>
          <w:rtl w:val="1"/>
        </w:rPr>
        <w:t>‘</w:t>
      </w:r>
      <w:r>
        <w:rPr>
          <w:rFonts w:cs="Arial Unicode MS" w:eastAsia="Arial Unicode MS"/>
          <w:rtl w:val="0"/>
          <w:lang w:val="en-US"/>
        </w:rPr>
        <w:t>Imaginary</w:t>
      </w:r>
      <w:r>
        <w:rPr>
          <w:rFonts w:cs="Arial Unicode MS" w:eastAsia="Arial Unicode MS" w:hint="default"/>
          <w:rtl w:val="1"/>
        </w:rPr>
        <w:t>’</w:t>
      </w:r>
      <w:r>
        <w:rPr>
          <w:rFonts w:cs="Arial Unicode MS" w:eastAsia="Arial Unicode MS"/>
          <w:rtl w:val="0"/>
        </w:rPr>
        <w:t>, p. 88</w:t>
      </w:r>
      <w:r>
        <w:rPr>
          <w:rFonts w:cs="Arial Unicode MS" w:eastAsia="Arial Unicode MS"/>
          <w:rtl w:val="0"/>
          <w:lang w:val="en-US"/>
        </w:rPr>
        <w:t>.</w:t>
      </w:r>
    </w:p>
  </w:footnote>
  <w:footnote w:id="215">
    <w:p>
      <w:pPr>
        <w:pStyle w:val="Footnote"/>
        <w:bidi w:val="0"/>
      </w:pPr>
      <w:r>
        <w:rPr>
          <w:vertAlign w:val="superscript"/>
        </w:rPr>
        <w:footnoteRef/>
      </w:r>
      <w:r>
        <w:rPr>
          <w:rFonts w:cs="Arial Unicode MS" w:eastAsia="Arial Unicode MS"/>
          <w:rtl w:val="0"/>
        </w:rPr>
        <w:t xml:space="preserve"> S</w:t>
      </w:r>
      <w:r>
        <w:rPr>
          <w:rFonts w:cs="Arial Unicode MS" w:eastAsia="Arial Unicode MS" w:hint="default"/>
          <w:rtl w:val="0"/>
          <w:lang w:val="da-DK"/>
        </w:rPr>
        <w:t>ø</w:t>
      </w:r>
      <w:r>
        <w:rPr>
          <w:rFonts w:cs="Arial Unicode MS" w:eastAsia="Arial Unicode MS"/>
          <w:rtl w:val="0"/>
          <w:lang w:val="da-DK"/>
        </w:rPr>
        <w:t xml:space="preserve">rensen, </w:t>
      </w:r>
      <w:r>
        <w:rPr>
          <w:rFonts w:cs="Arial Unicode MS" w:eastAsia="Arial Unicode MS" w:hint="default"/>
          <w:rtl w:val="1"/>
        </w:rPr>
        <w:t>‘</w:t>
      </w:r>
      <w:r>
        <w:rPr>
          <w:rFonts w:cs="Arial Unicode MS" w:eastAsia="Arial Unicode MS"/>
          <w:rtl w:val="0"/>
          <w:lang w:val="en-US"/>
        </w:rPr>
        <w:t>Approaching</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p.</w:t>
      </w:r>
      <w:r>
        <w:rPr>
          <w:rFonts w:cs="Arial Unicode MS" w:eastAsia="Arial Unicode MS"/>
          <w:rtl w:val="0"/>
        </w:rPr>
        <w:t xml:space="preserve"> 19</w:t>
      </w:r>
      <w:r>
        <w:rPr>
          <w:rFonts w:cs="Arial Unicode MS" w:eastAsia="Arial Unicode MS"/>
          <w:rtl w:val="0"/>
          <w:lang w:val="en-US"/>
        </w:rPr>
        <w:t>.</w:t>
      </w:r>
    </w:p>
  </w:footnote>
  <w:footnote w:id="21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Gladwin, </w:t>
      </w:r>
      <w:r>
        <w:rPr>
          <w:rFonts w:cs="Arial Unicode MS" w:eastAsia="Arial Unicode MS" w:hint="default"/>
          <w:rtl w:val="0"/>
          <w:lang w:val="en-US"/>
        </w:rPr>
        <w:t>‘</w:t>
      </w:r>
      <w:r>
        <w:rPr>
          <w:rFonts w:cs="Arial Unicode MS" w:eastAsia="Arial Unicode MS"/>
          <w:rtl w:val="0"/>
          <w:lang w:val="en-US"/>
        </w:rPr>
        <w:t>East</w:t>
      </w:r>
      <w:r>
        <w:rPr>
          <w:rFonts w:cs="Arial Unicode MS" w:eastAsia="Arial Unicode MS" w:hint="default"/>
          <w:rtl w:val="0"/>
          <w:lang w:val="en-US"/>
        </w:rPr>
        <w:t>’</w:t>
      </w:r>
      <w:r>
        <w:rPr>
          <w:rFonts w:cs="Arial Unicode MS" w:eastAsia="Arial Unicode MS"/>
          <w:rtl w:val="0"/>
          <w:lang w:val="en-US"/>
        </w:rPr>
        <w:t>, p. 160.</w:t>
      </w:r>
    </w:p>
  </w:footnote>
  <w:footnote w:id="21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Hilder, </w:t>
      </w:r>
      <w:r>
        <w:rPr>
          <w:rFonts w:cs="Arial Unicode MS" w:eastAsia="Arial Unicode MS" w:hint="default"/>
          <w:rtl w:val="0"/>
          <w:lang w:val="en-US"/>
        </w:rPr>
        <w:t>‘</w:t>
      </w:r>
      <w:r>
        <w:rPr>
          <w:rFonts w:cs="Arial Unicode MS" w:eastAsia="Arial Unicode MS"/>
          <w:rtl w:val="0"/>
          <w:lang w:val="en-US"/>
        </w:rPr>
        <w:t>Polynesian</w:t>
      </w:r>
      <w:r>
        <w:rPr>
          <w:rFonts w:cs="Arial Unicode MS" w:eastAsia="Arial Unicode MS" w:hint="default"/>
          <w:rtl w:val="0"/>
          <w:lang w:val="en-US"/>
        </w:rPr>
        <w:t>’</w:t>
      </w:r>
      <w:r>
        <w:rPr>
          <w:rFonts w:cs="Arial Unicode MS" w:eastAsia="Arial Unicode MS"/>
          <w:rtl w:val="0"/>
          <w:lang w:val="en-US"/>
        </w:rPr>
        <w:t>, pp. 237, 238.</w:t>
      </w:r>
    </w:p>
  </w:footnote>
  <w:footnote w:id="218">
    <w:p>
      <w:pPr>
        <w:pStyle w:val="Footnote"/>
        <w:bidi w:val="0"/>
      </w:pPr>
      <w:r>
        <w:rPr>
          <w:vertAlign w:val="superscript"/>
        </w:rPr>
        <w:footnoteRef/>
      </w:r>
      <w:r>
        <w:rPr>
          <w:rFonts w:cs="Arial Unicode MS" w:eastAsia="Arial Unicode MS"/>
          <w:rtl w:val="0"/>
          <w:lang w:val="en-US"/>
        </w:rPr>
        <w:t xml:space="preserve"> Goodenough and Thomas, </w:t>
      </w:r>
      <w:r>
        <w:rPr>
          <w:rFonts w:cs="Arial Unicode MS" w:eastAsia="Arial Unicode MS" w:hint="default"/>
          <w:rtl w:val="0"/>
          <w:lang w:val="en-US"/>
        </w:rPr>
        <w:t>‘</w:t>
      </w:r>
      <w:r>
        <w:rPr>
          <w:rFonts w:cs="Arial Unicode MS" w:eastAsia="Arial Unicode MS"/>
          <w:rtl w:val="0"/>
          <w:lang w:val="fr-FR"/>
        </w:rPr>
        <w:t>Traditional</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w:t>
      </w:r>
      <w:r>
        <w:rPr>
          <w:rFonts w:cs="Arial Unicode MS" w:eastAsia="Arial Unicode MS"/>
          <w:rtl w:val="0"/>
        </w:rPr>
        <w:t xml:space="preserve">p. </w:t>
      </w:r>
      <w:r>
        <w:rPr>
          <w:rFonts w:cs="Arial Unicode MS" w:eastAsia="Arial Unicode MS"/>
          <w:rtl w:val="0"/>
          <w:lang w:val="en-US"/>
        </w:rPr>
        <w:t>4.</w:t>
      </w:r>
    </w:p>
  </w:footnote>
  <w:footnote w:id="219">
    <w:p>
      <w:pPr>
        <w:pStyle w:val="Footnote"/>
        <w:bidi w:val="0"/>
      </w:pPr>
      <w:r>
        <w:rPr>
          <w:vertAlign w:val="superscript"/>
        </w:rPr>
        <w:footnoteRef/>
      </w:r>
      <w:r>
        <w:rPr>
          <w:rFonts w:cs="Arial Unicode MS" w:eastAsia="Arial Unicode MS"/>
          <w:rtl w:val="0"/>
          <w:lang w:val="de-DE"/>
        </w:rPr>
        <w:t>Joseph Alexander</w:t>
      </w:r>
      <w:r>
        <w:rPr>
          <w:rFonts w:cs="Arial Unicode MS" w:eastAsia="Arial Unicode MS"/>
          <w:rtl w:val="0"/>
          <w:lang w:val="en-US"/>
        </w:rPr>
        <w:t xml:space="preserve"> </w:t>
      </w:r>
      <w:r>
        <w:rPr>
          <w:rFonts w:cs="Arial Unicode MS" w:eastAsia="Arial Unicode MS"/>
          <w:rtl w:val="0"/>
        </w:rPr>
        <w:t xml:space="preserve">MacGillivray, </w:t>
      </w:r>
      <w:r>
        <w:rPr>
          <w:rFonts w:cs="Arial Unicode MS" w:eastAsia="Arial Unicode MS" w:hint="default"/>
          <w:rtl w:val="1"/>
        </w:rPr>
        <w:t>‘</w:t>
      </w:r>
      <w:r>
        <w:rPr>
          <w:rFonts w:cs="Arial Unicode MS" w:eastAsia="Arial Unicode MS"/>
          <w:rtl w:val="0"/>
          <w:lang w:val="en-US"/>
        </w:rPr>
        <w:t>A Middle Minoan Cup from Sidon</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 xml:space="preserve">Archaeology &amp; history </w:t>
      </w:r>
      <w:r>
        <w:rPr>
          <w:rFonts w:cs="Arial Unicode MS" w:eastAsia="Arial Unicode MS"/>
          <w:rtl w:val="0"/>
        </w:rPr>
        <w:t>in</w:t>
      </w:r>
      <w:r>
        <w:rPr>
          <w:rFonts w:cs="Arial Unicode MS" w:eastAsia="Arial Unicode MS"/>
          <w:i w:val="1"/>
          <w:iCs w:val="1"/>
          <w:rtl w:val="0"/>
        </w:rPr>
        <w:t xml:space="preserve"> </w:t>
      </w:r>
      <w:r>
        <w:rPr>
          <w:rFonts w:cs="Arial Unicode MS" w:eastAsia="Arial Unicode MS"/>
          <w:i w:val="1"/>
          <w:iCs w:val="1"/>
          <w:rtl w:val="0"/>
          <w:lang w:val="en-US"/>
        </w:rPr>
        <w:t>(</w:t>
      </w:r>
      <w:r>
        <w:rPr>
          <w:rFonts w:cs="Arial Unicode MS" w:eastAsia="Arial Unicode MS"/>
          <w:rtl w:val="0"/>
        </w:rPr>
        <w:t xml:space="preserve">Lebanon: 2003), </w:t>
      </w:r>
      <w:r>
        <w:rPr>
          <w:rFonts w:cs="Arial Unicode MS" w:eastAsia="Arial Unicode MS"/>
          <w:rtl w:val="0"/>
          <w:lang w:val="en-US"/>
        </w:rPr>
        <w:t>p. 20.</w:t>
      </w:r>
    </w:p>
  </w:footnote>
  <w:footnote w:id="22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Aratus</w:t>
      </w:r>
      <w:r>
        <w:rPr>
          <w:rFonts w:cs="Arial Unicode MS" w:eastAsia="Arial Unicode MS"/>
          <w:rtl w:val="0"/>
        </w:rPr>
        <w:t xml:space="preserve">, </w:t>
      </w:r>
      <w:r>
        <w:rPr>
          <w:rFonts w:cs="Arial Unicode MS" w:eastAsia="Arial Unicode MS"/>
          <w:i w:val="1"/>
          <w:iCs w:val="1"/>
          <w:rtl w:val="0"/>
          <w:lang w:val="en-US"/>
        </w:rPr>
        <w:t>The Phenomena,</w:t>
      </w:r>
      <w:r>
        <w:rPr>
          <w:rFonts w:cs="Arial Unicode MS" w:eastAsia="Arial Unicode MS"/>
          <w:rtl w:val="0"/>
          <w:lang w:val="en-US"/>
        </w:rPr>
        <w:t xml:space="preserve"> </w:t>
      </w:r>
      <w:r>
        <w:rPr>
          <w:rFonts w:cs="Arial Unicode MS" w:eastAsia="Arial Unicode MS"/>
          <w:rtl w:val="0"/>
          <w:lang w:val="ru-RU"/>
        </w:rPr>
        <w:t>744-747</w:t>
      </w:r>
      <w:r>
        <w:rPr>
          <w:rFonts w:cs="Arial Unicode MS" w:eastAsia="Arial Unicode MS"/>
          <w:rtl w:val="0"/>
          <w:lang w:val="en-US"/>
        </w:rPr>
        <w:t xml:space="preserve">, </w:t>
      </w:r>
      <w:r>
        <w:rPr>
          <w:rFonts w:cs="Arial Unicode MS" w:eastAsia="Arial Unicode MS"/>
          <w:rtl w:val="0"/>
        </w:rPr>
        <w:t>Henriksson</w:t>
      </w:r>
      <w:r>
        <w:rPr>
          <w:rFonts w:cs="Arial Unicode MS" w:eastAsia="Arial Unicode MS"/>
          <w:rtl w:val="0"/>
          <w:lang w:val="en-US"/>
        </w:rPr>
        <w:t xml:space="preserve"> and</w:t>
      </w:r>
      <w:r>
        <w:rPr>
          <w:rFonts w:cs="Arial Unicode MS" w:eastAsia="Arial Unicode MS"/>
          <w:rtl w:val="0"/>
          <w:lang w:val="da-DK"/>
        </w:rPr>
        <w:t xml:space="preserve"> Blomberg, </w:t>
      </w:r>
      <w:r>
        <w:rPr>
          <w:rFonts w:cs="Arial Unicode MS" w:eastAsia="Arial Unicode MS" w:hint="default"/>
          <w:rtl w:val="1"/>
        </w:rPr>
        <w:t>‘</w:t>
      </w:r>
      <w:r>
        <w:rPr>
          <w:rFonts w:cs="Arial Unicode MS" w:eastAsia="Arial Unicode MS"/>
          <w:rtl w:val="0"/>
          <w:lang w:val="en-US"/>
        </w:rPr>
        <w:t>Evidence</w:t>
      </w:r>
      <w:r>
        <w:rPr>
          <w:rFonts w:cs="Arial Unicode MS" w:eastAsia="Arial Unicode MS" w:hint="default"/>
          <w:rtl w:val="1"/>
        </w:rPr>
        <w:t>’</w:t>
      </w:r>
      <w:r>
        <w:rPr>
          <w:rFonts w:cs="Arial Unicode MS" w:eastAsia="Arial Unicode MS"/>
          <w:rtl w:val="0"/>
        </w:rPr>
        <w:t>, p. 1</w:t>
      </w:r>
      <w:r>
        <w:rPr>
          <w:rFonts w:cs="Arial Unicode MS" w:eastAsia="Arial Unicode MS"/>
          <w:rtl w:val="0"/>
          <w:lang w:val="en-US"/>
        </w:rPr>
        <w:t>13.</w:t>
      </w:r>
    </w:p>
  </w:footnote>
  <w:footnote w:id="22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Davis, </w:t>
      </w:r>
      <w:r>
        <w:rPr>
          <w:rFonts w:cs="Arial Unicode MS" w:eastAsia="Arial Unicode MS" w:hint="default"/>
          <w:rtl w:val="0"/>
          <w:lang w:val="en-US"/>
        </w:rPr>
        <w:t>‘</w:t>
      </w:r>
      <w:r>
        <w:rPr>
          <w:rFonts w:cs="Arial Unicode MS" w:eastAsia="Arial Unicode MS"/>
          <w:rtl w:val="0"/>
          <w:lang w:val="en-US"/>
        </w:rPr>
        <w:t>Navigation</w:t>
      </w:r>
      <w:r>
        <w:rPr>
          <w:rFonts w:cs="Arial Unicode MS" w:eastAsia="Arial Unicode MS" w:hint="default"/>
          <w:rtl w:val="0"/>
          <w:lang w:val="en-US"/>
        </w:rPr>
        <w:t>’</w:t>
      </w:r>
      <w:r>
        <w:rPr>
          <w:rFonts w:cs="Arial Unicode MS" w:eastAsia="Arial Unicode MS"/>
          <w:rtl w:val="0"/>
          <w:lang w:val="en-US"/>
        </w:rPr>
        <w:t>, p. 16.</w:t>
      </w:r>
    </w:p>
  </w:footnote>
  <w:footnote w:id="22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Silius Italicus, </w:t>
      </w:r>
      <w:r>
        <w:rPr>
          <w:rFonts w:cs="Arial Unicode MS" w:eastAsia="Arial Unicode MS"/>
          <w:i w:val="1"/>
          <w:iCs w:val="1"/>
          <w:rtl w:val="0"/>
          <w:lang w:val="en-US"/>
        </w:rPr>
        <w:t>Punica</w:t>
      </w:r>
      <w:r>
        <w:rPr>
          <w:rFonts w:cs="Arial Unicode MS" w:eastAsia="Arial Unicode MS"/>
          <w:rtl w:val="0"/>
          <w:lang w:val="en-US"/>
        </w:rPr>
        <w:t>, 3.664.</w:t>
      </w:r>
    </w:p>
  </w:footnote>
  <w:footnote w:id="223">
    <w:p>
      <w:pPr>
        <w:pStyle w:val="Footnote"/>
        <w:bidi w:val="0"/>
      </w:pPr>
      <w:r>
        <w:rPr>
          <w:vertAlign w:val="superscript"/>
        </w:rPr>
        <w:footnoteRef/>
      </w:r>
      <w:r>
        <w:rPr>
          <w:rFonts w:cs="Arial Unicode MS" w:eastAsia="Arial Unicode MS"/>
          <w:rtl w:val="0"/>
          <w:lang w:val="es-ES_tradnl"/>
        </w:rPr>
        <w:t xml:space="preserve"> Roy J</w:t>
      </w:r>
      <w:r>
        <w:rPr>
          <w:rFonts w:cs="Arial Unicode MS" w:eastAsia="Arial Unicode MS"/>
          <w:rtl w:val="0"/>
          <w:lang w:val="en-US"/>
        </w:rPr>
        <w:t xml:space="preserve">. </w:t>
      </w:r>
      <w:r>
        <w:rPr>
          <w:rFonts w:cs="Arial Unicode MS" w:eastAsia="Arial Unicode MS"/>
          <w:rtl w:val="0"/>
        </w:rPr>
        <w:t xml:space="preserve">King, SS </w:t>
      </w:r>
      <w:r>
        <w:rPr>
          <w:rFonts w:cs="Arial Unicode MS" w:eastAsia="Arial Unicode MS" w:hint="default"/>
          <w:rtl w:val="0"/>
        </w:rPr>
        <w:t>Ö</w:t>
      </w:r>
      <w:r>
        <w:rPr>
          <w:rFonts w:cs="Arial Unicode MS" w:eastAsia="Arial Unicode MS"/>
          <w:rtl w:val="0"/>
          <w:lang w:val="es-ES_tradnl"/>
        </w:rPr>
        <w:t>zcan, Tristan Carter, E Kalfo</w:t>
      </w:r>
      <w:r>
        <w:rPr>
          <w:rFonts w:cs="Arial Unicode MS" w:eastAsia="Arial Unicode MS" w:hint="default"/>
          <w:rtl w:val="0"/>
        </w:rPr>
        <w:t>ğ</w:t>
      </w:r>
      <w:r>
        <w:rPr>
          <w:rFonts w:cs="Arial Unicode MS" w:eastAsia="Arial Unicode MS"/>
          <w:rtl w:val="0"/>
        </w:rPr>
        <w:t>lu, Sevil Atasoy, Costas Triantaphyllidis, Anastasia Kouvatsi, Alice A Lin, C</w:t>
      </w:r>
      <w:r>
        <w:rPr>
          <w:rFonts w:ascii="Arial Unicode MS" w:cs="Arial Unicode MS" w:hAnsi="Arial Unicode MS" w:eastAsia="Arial Unicode MS" w:hint="default"/>
          <w:b w:val="0"/>
          <w:bCs w:val="0"/>
          <w:i w:val="0"/>
          <w:iCs w:val="0"/>
          <w:rtl w:val="0"/>
        </w:rPr>
        <w:t>‐</w:t>
      </w:r>
      <w:r>
        <w:rPr>
          <w:rFonts w:cs="Arial Unicode MS" w:eastAsia="Arial Unicode MS"/>
          <w:rtl w:val="0"/>
          <w:lang w:val="en-US"/>
        </w:rPr>
        <w:t xml:space="preserve">ET Chow, and Lev A Zhivotovsky, </w:t>
      </w:r>
      <w:r>
        <w:rPr>
          <w:rFonts w:cs="Arial Unicode MS" w:eastAsia="Arial Unicode MS" w:hint="default"/>
          <w:rtl w:val="1"/>
        </w:rPr>
        <w:t>‘</w:t>
      </w:r>
      <w:r>
        <w:rPr>
          <w:rFonts w:cs="Arial Unicode MS" w:eastAsia="Arial Unicode MS"/>
          <w:rtl w:val="0"/>
          <w:lang w:val="en-US"/>
        </w:rPr>
        <w:t>Differential Y</w:t>
      </w:r>
      <w:r>
        <w:rPr>
          <w:rFonts w:ascii="Arial Unicode MS" w:cs="Arial Unicode MS" w:hAnsi="Arial Unicode MS" w:eastAsia="Arial Unicode MS" w:hint="default"/>
          <w:b w:val="0"/>
          <w:bCs w:val="0"/>
          <w:i w:val="0"/>
          <w:iCs w:val="0"/>
          <w:rtl w:val="0"/>
        </w:rPr>
        <w:t>‐</w:t>
      </w:r>
      <w:r>
        <w:rPr>
          <w:rFonts w:cs="Arial Unicode MS" w:eastAsia="Arial Unicode MS"/>
          <w:rtl w:val="0"/>
          <w:lang w:val="en-US"/>
        </w:rPr>
        <w:t>Chromosome Anatolian Influences on the Greek and Cretan Neolithic</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Annals of human genetics</w:t>
      </w:r>
      <w:r>
        <w:rPr>
          <w:rFonts w:cs="Arial Unicode MS" w:eastAsia="Arial Unicode MS"/>
          <w:rtl w:val="0"/>
        </w:rPr>
        <w:t>, 72: (2008),</w:t>
      </w:r>
      <w:r>
        <w:rPr>
          <w:rFonts w:cs="Arial Unicode MS" w:eastAsia="Arial Unicode MS"/>
          <w:rtl w:val="0"/>
          <w:lang w:val="en-US"/>
        </w:rPr>
        <w:t xml:space="preserve"> p.</w:t>
      </w:r>
      <w:r>
        <w:rPr>
          <w:rFonts w:cs="Arial Unicode MS" w:eastAsia="Arial Unicode MS"/>
          <w:rtl w:val="0"/>
        </w:rPr>
        <w:t xml:space="preserve"> 205</w:t>
      </w:r>
      <w:r>
        <w:rPr>
          <w:rFonts w:cs="Arial Unicode MS" w:eastAsia="Arial Unicode MS"/>
          <w:rtl w:val="0"/>
          <w:lang w:val="en-US"/>
        </w:rPr>
        <w:t>.</w:t>
      </w:r>
    </w:p>
  </w:footnote>
  <w:footnote w:id="224">
    <w:p>
      <w:pPr>
        <w:pStyle w:val="Footnote"/>
        <w:bidi w:val="0"/>
      </w:pPr>
      <w:r>
        <w:rPr>
          <w:vertAlign w:val="superscript"/>
        </w:rPr>
        <w:footnoteRef/>
      </w:r>
      <w:r>
        <w:rPr>
          <w:rFonts w:cs="Arial Unicode MS" w:eastAsia="Arial Unicode MS"/>
          <w:rtl w:val="0"/>
          <w:lang w:val="de-DE"/>
        </w:rPr>
        <w:t xml:space="preserve"> Nicholas</w:t>
      </w:r>
      <w:r>
        <w:rPr>
          <w:rFonts w:cs="Arial Unicode MS" w:eastAsia="Arial Unicode MS"/>
          <w:rtl w:val="0"/>
          <w:lang w:val="en-US"/>
        </w:rPr>
        <w:t xml:space="preserve"> </w:t>
      </w:r>
      <w:r>
        <w:rPr>
          <w:rFonts w:cs="Arial Unicode MS" w:eastAsia="Arial Unicode MS"/>
          <w:rtl w:val="0"/>
          <w:lang w:val="it-IT"/>
        </w:rPr>
        <w:t>Campio</w:t>
      </w:r>
      <w:r>
        <w:rPr>
          <w:rFonts w:cs="Arial Unicode MS" w:eastAsia="Arial Unicode MS"/>
          <w:rtl w:val="0"/>
          <w:lang w:val="en-US"/>
        </w:rPr>
        <w:t>n</w:t>
      </w:r>
      <w:r>
        <w:rPr>
          <w:rFonts w:cs="Arial Unicode MS" w:eastAsia="Arial Unicode MS"/>
          <w:rtl w:val="0"/>
        </w:rPr>
        <w:t xml:space="preserve">, </w:t>
      </w:r>
      <w:r>
        <w:rPr>
          <w:rFonts w:cs="Arial Unicode MS" w:eastAsia="Arial Unicode MS" w:hint="default"/>
          <w:rtl w:val="1"/>
        </w:rPr>
        <w:t>‘</w:t>
      </w:r>
      <w:r>
        <w:rPr>
          <w:rFonts w:cs="Arial Unicode MS" w:eastAsia="Arial Unicode MS"/>
          <w:rtl w:val="0"/>
          <w:lang w:val="en-US"/>
        </w:rPr>
        <w:t>Skyscapes: Locating Archaeoastronomy within Academia</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Skyscapes: The Role and Importance of the Sky in Archaeology, edited by F. Silva and N. Campion</w:t>
      </w:r>
      <w:r>
        <w:rPr>
          <w:rFonts w:cs="Arial Unicode MS" w:eastAsia="Arial Unicode MS"/>
          <w:rtl w:val="0"/>
        </w:rPr>
        <w:t xml:space="preserve"> (2015), p</w:t>
      </w:r>
      <w:r>
        <w:rPr>
          <w:rFonts w:cs="Arial Unicode MS" w:eastAsia="Arial Unicode MS"/>
          <w:rtl w:val="0"/>
          <w:lang w:val="en-US"/>
        </w:rPr>
        <w:t xml:space="preserve">. </w:t>
      </w:r>
      <w:r>
        <w:rPr>
          <w:rFonts w:cs="Arial Unicode MS" w:eastAsia="Arial Unicode MS"/>
          <w:rtl w:val="0"/>
        </w:rPr>
        <w:t>9</w:t>
      </w:r>
      <w:r>
        <w:rPr>
          <w:rFonts w:cs="Arial Unicode MS" w:eastAsia="Arial Unicode MS"/>
          <w:rtl w:val="0"/>
          <w:lang w:val="en-US"/>
        </w:rPr>
        <w:t>.</w:t>
      </w:r>
    </w:p>
  </w:footnote>
  <w:footnote w:id="225">
    <w:p>
      <w:pPr>
        <w:pStyle w:val="Footnote"/>
        <w:bidi w:val="0"/>
      </w:pPr>
      <w:r>
        <w:rPr>
          <w:vertAlign w:val="superscript"/>
        </w:rPr>
        <w:footnoteRef/>
      </w:r>
      <w:r>
        <w:rPr>
          <w:rFonts w:cs="Arial Unicode MS" w:eastAsia="Arial Unicode MS"/>
          <w:rtl w:val="0"/>
          <w:lang w:val="fr-FR"/>
        </w:rPr>
        <w:t xml:space="preserve"> Sinclair</w:t>
      </w:r>
      <w:r>
        <w:rPr>
          <w:rFonts w:cs="Arial Unicode MS" w:eastAsia="Arial Unicode MS"/>
          <w:rtl w:val="0"/>
          <w:lang w:val="en-US"/>
        </w:rPr>
        <w:t xml:space="preserve"> Hood</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The Middle Minoan Cemetery on Ailias at Knossos</w:t>
      </w:r>
      <w:r>
        <w:rPr>
          <w:rFonts w:cs="Arial Unicode MS" w:eastAsia="Arial Unicode MS" w:hint="default"/>
          <w:rtl w:val="0"/>
          <w:lang w:val="en-US"/>
        </w:rPr>
        <w:t>’</w:t>
      </w:r>
      <w:r>
        <w:rPr>
          <w:rFonts w:cs="Arial Unicode MS" w:eastAsia="Arial Unicode MS"/>
          <w:rtl w:val="0"/>
        </w:rPr>
        <w:t xml:space="preserve">, </w:t>
      </w:r>
      <w:r>
        <w:rPr>
          <w:rFonts w:cs="Arial Unicode MS" w:eastAsia="Arial Unicode MS"/>
          <w:i w:val="1"/>
          <w:iCs w:val="1"/>
          <w:rtl w:val="0"/>
          <w:lang w:val="en-US"/>
        </w:rPr>
        <w:t>British School at Athens Studies</w:t>
      </w:r>
      <w:r>
        <w:rPr>
          <w:rFonts w:cs="Arial Unicode MS" w:eastAsia="Arial Unicode MS"/>
          <w:rtl w:val="0"/>
        </w:rPr>
        <w:t>: (2010),</w:t>
      </w:r>
      <w:r>
        <w:rPr>
          <w:rFonts w:cs="Arial Unicode MS" w:eastAsia="Arial Unicode MS"/>
          <w:rtl w:val="0"/>
          <w:lang w:val="en-US"/>
        </w:rPr>
        <w:t xml:space="preserve"> p 161.</w:t>
      </w:r>
    </w:p>
  </w:footnote>
  <w:footnote w:id="22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Pausanias, </w:t>
      </w:r>
      <w:r>
        <w:rPr>
          <w:rFonts w:cs="Arial Unicode MS" w:eastAsia="Arial Unicode MS"/>
          <w:i w:val="1"/>
          <w:iCs w:val="1"/>
          <w:rtl w:val="0"/>
          <w:lang w:val="en-US"/>
        </w:rPr>
        <w:t>Description of Greece,</w:t>
      </w:r>
      <w:r>
        <w:rPr>
          <w:rFonts w:cs="Arial Unicode MS" w:eastAsia="Arial Unicode MS"/>
          <w:rtl w:val="0"/>
          <w:lang w:val="en-US"/>
        </w:rPr>
        <w:t xml:space="preserve"> 9.39.4; and Smith, </w:t>
      </w:r>
      <w:r>
        <w:rPr>
          <w:rFonts w:cs="Arial Unicode MS" w:eastAsia="Arial Unicode MS" w:hint="default"/>
          <w:rtl w:val="0"/>
          <w:lang w:val="en-US"/>
        </w:rPr>
        <w:t>‘</w:t>
      </w:r>
      <w:r>
        <w:rPr>
          <w:rFonts w:cs="Arial Unicode MS" w:eastAsia="Arial Unicode MS"/>
          <w:rtl w:val="0"/>
          <w:lang w:val="en-US"/>
        </w:rPr>
        <w:t>Vol II</w:t>
      </w:r>
      <w:r>
        <w:rPr>
          <w:rFonts w:cs="Arial Unicode MS" w:eastAsia="Arial Unicode MS" w:hint="default"/>
          <w:rtl w:val="0"/>
          <w:lang w:val="en-US"/>
        </w:rPr>
        <w:t>’</w:t>
      </w:r>
      <w:r>
        <w:rPr>
          <w:rFonts w:cs="Arial Unicode MS" w:eastAsia="Arial Unicode MS"/>
          <w:rtl w:val="0"/>
          <w:lang w:val="en-US"/>
        </w:rPr>
        <w:t>, p. 108.</w:t>
      </w:r>
    </w:p>
  </w:footnote>
  <w:footnote w:id="22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Manilius, </w:t>
      </w:r>
      <w:r>
        <w:rPr>
          <w:rFonts w:cs="Arial Unicode MS" w:eastAsia="Arial Unicode MS"/>
          <w:i w:val="1"/>
          <w:iCs w:val="1"/>
          <w:rtl w:val="0"/>
          <w:lang w:val="en-US"/>
        </w:rPr>
        <w:t>Astronomica</w:t>
      </w:r>
      <w:r>
        <w:rPr>
          <w:rFonts w:cs="Arial Unicode MS" w:eastAsia="Arial Unicode MS"/>
          <w:rtl w:val="0"/>
        </w:rPr>
        <w:t>, 2.445</w:t>
      </w:r>
      <w:r>
        <w:rPr>
          <w:rFonts w:cs="Arial Unicode MS" w:eastAsia="Arial Unicode MS"/>
          <w:rtl w:val="0"/>
          <w:lang w:val="en-US"/>
        </w:rPr>
        <w:t>.</w:t>
      </w:r>
    </w:p>
  </w:footnote>
  <w:footnote w:id="228">
    <w:p>
      <w:pPr>
        <w:pStyle w:val="Footnote"/>
        <w:bidi w:val="0"/>
      </w:pPr>
      <w:r>
        <w:rPr>
          <w:vertAlign w:val="superscript"/>
        </w:rPr>
        <w:footnoteRef/>
      </w:r>
      <w:r>
        <w:rPr>
          <w:rFonts w:cs="Arial Unicode MS" w:eastAsia="Arial Unicode MS"/>
          <w:rtl w:val="0"/>
        </w:rPr>
        <w:t xml:space="preserve"> </w:t>
      </w:r>
      <w:r>
        <w:rPr>
          <w:rFonts w:cs="Arial Unicode MS" w:eastAsia="Arial Unicode MS"/>
          <w:i w:val="1"/>
          <w:iCs w:val="1"/>
          <w:rtl w:val="0"/>
          <w:lang w:val="en-US"/>
        </w:rPr>
        <w:t>Homeric Hymn to Demeter</w:t>
      </w:r>
      <w:r>
        <w:rPr>
          <w:rFonts w:cs="Arial Unicode MS" w:eastAsia="Arial Unicode MS"/>
          <w:rtl w:val="0"/>
          <w:lang w:val="en-US"/>
        </w:rPr>
        <w:t>, 123.</w:t>
      </w:r>
    </w:p>
  </w:footnote>
  <w:footnote w:id="229">
    <w:p>
      <w:pPr>
        <w:pStyle w:val="Footnote"/>
        <w:bidi w:val="0"/>
      </w:pPr>
      <w:r>
        <w:rPr>
          <w:vertAlign w:val="superscript"/>
        </w:rPr>
        <w:footnoteRef/>
      </w:r>
      <w:r>
        <w:rPr>
          <w:rFonts w:cs="Arial Unicode MS" w:eastAsia="Arial Unicode MS"/>
          <w:rtl w:val="0"/>
          <w:lang w:val="en-US"/>
        </w:rPr>
        <w:t xml:space="preserve"> Martin Litchfield</w:t>
      </w:r>
      <w:r>
        <w:rPr>
          <w:rFonts w:cs="Arial Unicode MS" w:eastAsia="Arial Unicode MS"/>
          <w:rtl w:val="0"/>
          <w:lang w:val="en-US"/>
        </w:rPr>
        <w:t xml:space="preserve"> </w:t>
      </w:r>
      <w:r>
        <w:rPr>
          <w:rFonts w:cs="Arial Unicode MS" w:eastAsia="Arial Unicode MS"/>
          <w:rtl w:val="0"/>
          <w:lang w:val="en-US"/>
        </w:rPr>
        <w:t xml:space="preserve">West and Morris West, </w:t>
      </w:r>
      <w:r>
        <w:rPr>
          <w:rFonts w:cs="Arial Unicode MS" w:eastAsia="Arial Unicode MS"/>
          <w:i w:val="1"/>
          <w:iCs w:val="1"/>
          <w:rtl w:val="0"/>
          <w:lang w:val="en-US"/>
        </w:rPr>
        <w:t>Indo-European Poetry and Myth</w:t>
      </w:r>
      <w:r>
        <w:rPr>
          <w:rFonts w:cs="Arial Unicode MS" w:eastAsia="Arial Unicode MS"/>
          <w:rtl w:val="0"/>
          <w:lang w:val="en-US"/>
        </w:rPr>
        <w:t xml:space="preserve"> (Oxford University Press, 2007)</w:t>
      </w:r>
      <w:r>
        <w:rPr>
          <w:rFonts w:cs="Arial Unicode MS" w:eastAsia="Arial Unicode MS"/>
          <w:rtl w:val="0"/>
          <w:lang w:val="en-US"/>
        </w:rPr>
        <w:t>, p. 178-179.</w:t>
      </w:r>
    </w:p>
  </w:footnote>
  <w:footnote w:id="230">
    <w:p>
      <w:pPr>
        <w:pStyle w:val="Footnote"/>
        <w:bidi w:val="0"/>
      </w:pPr>
      <w:r>
        <w:rPr>
          <w:vertAlign w:val="superscript"/>
        </w:rPr>
        <w:footnoteRef/>
      </w:r>
      <w:r>
        <w:rPr>
          <w:rFonts w:cs="Arial Unicode MS" w:eastAsia="Arial Unicode MS"/>
          <w:rtl w:val="0"/>
          <w:lang w:val="nl-NL"/>
        </w:rPr>
        <w:t xml:space="preserve"> Driessen, </w:t>
      </w:r>
      <w:r>
        <w:rPr>
          <w:rFonts w:cs="Arial Unicode MS" w:eastAsia="Arial Unicode MS" w:hint="default"/>
          <w:rtl w:val="0"/>
          <w:lang w:val="en-US"/>
        </w:rPr>
        <w:t>‘</w:t>
      </w:r>
      <w:r>
        <w:rPr>
          <w:rFonts w:cs="Arial Unicode MS" w:eastAsia="Arial Unicode MS"/>
          <w:rtl w:val="0"/>
        </w:rPr>
        <w:t>IIb</w:t>
      </w:r>
      <w:r>
        <w:rPr>
          <w:rFonts w:cs="Arial Unicode MS" w:eastAsia="Arial Unicode MS" w:hint="default"/>
          <w:rtl w:val="0"/>
          <w:lang w:val="en-US"/>
        </w:rPr>
        <w:t>’</w:t>
      </w:r>
      <w:r>
        <w:rPr>
          <w:rFonts w:cs="Arial Unicode MS" w:eastAsia="Arial Unicode MS"/>
          <w:rtl w:val="0"/>
        </w:rPr>
        <w:t xml:space="preserve">, p. </w:t>
      </w:r>
      <w:r>
        <w:rPr>
          <w:rFonts w:cs="Arial Unicode MS" w:eastAsia="Arial Unicode MS"/>
          <w:rtl w:val="0"/>
          <w:lang w:val="en-US"/>
        </w:rPr>
        <w:t>11.</w:t>
      </w:r>
    </w:p>
  </w:footnote>
  <w:footnote w:id="231">
    <w:p>
      <w:pPr>
        <w:pStyle w:val="Footnote"/>
        <w:bidi w:val="0"/>
      </w:pPr>
      <w:r>
        <w:rPr>
          <w:vertAlign w:val="superscript"/>
        </w:rPr>
        <w:footnoteRef/>
      </w:r>
      <w:r>
        <w:rPr>
          <w:rFonts w:cs="Arial Unicode MS" w:eastAsia="Arial Unicode MS"/>
          <w:rtl w:val="0"/>
        </w:rPr>
        <w:t xml:space="preserve"> S</w:t>
      </w:r>
      <w:r>
        <w:rPr>
          <w:rFonts w:cs="Arial Unicode MS" w:eastAsia="Arial Unicode MS" w:hint="default"/>
          <w:rtl w:val="0"/>
          <w:lang w:val="da-DK"/>
        </w:rPr>
        <w:t>ø</w:t>
      </w:r>
      <w:r>
        <w:rPr>
          <w:rFonts w:cs="Arial Unicode MS" w:eastAsia="Arial Unicode MS"/>
          <w:rtl w:val="0"/>
        </w:rPr>
        <w:t>rensen</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Approaching</w:t>
      </w:r>
      <w:r>
        <w:rPr>
          <w:rFonts w:cs="Arial Unicode MS" w:eastAsia="Arial Unicode MS" w:hint="default"/>
          <w:rtl w:val="0"/>
          <w:lang w:val="en-US"/>
        </w:rPr>
        <w:t>’</w:t>
      </w:r>
      <w:r>
        <w:rPr>
          <w:rFonts w:cs="Arial Unicode MS" w:eastAsia="Arial Unicode MS"/>
          <w:rtl w:val="0"/>
          <w:lang w:val="en-US"/>
        </w:rPr>
        <w:t>, p. 18.</w:t>
      </w:r>
    </w:p>
  </w:footnote>
  <w:footnote w:id="232">
    <w:p>
      <w:pPr>
        <w:pStyle w:val="Footnote"/>
        <w:bidi w:val="0"/>
      </w:pPr>
      <w:r>
        <w:rPr>
          <w:vertAlign w:val="superscript"/>
        </w:rPr>
        <w:footnoteRef/>
      </w:r>
      <w:r>
        <w:rPr>
          <w:rFonts w:cs="Arial Unicode MS" w:eastAsia="Arial Unicode MS"/>
          <w:rtl w:val="0"/>
        </w:rPr>
        <w:t xml:space="preserve"> Ibrahim</w:t>
      </w:r>
      <w:r>
        <w:rPr>
          <w:rFonts w:cs="Arial Unicode MS" w:eastAsia="Arial Unicode MS"/>
          <w:rtl w:val="0"/>
          <w:lang w:val="en-US"/>
        </w:rPr>
        <w:t xml:space="preserve"> </w:t>
      </w:r>
      <w:r>
        <w:rPr>
          <w:rFonts w:cs="Arial Unicode MS" w:eastAsia="Arial Unicode MS"/>
          <w:rtl w:val="0"/>
          <w:lang w:val="nl-NL"/>
        </w:rPr>
        <w:t>Noureddine</w:t>
      </w:r>
      <w:r>
        <w:rPr>
          <w:rFonts w:cs="Arial Unicode MS" w:eastAsia="Arial Unicode MS"/>
          <w:rtl w:val="0"/>
          <w:lang w:val="en-US"/>
        </w:rPr>
        <w:t xml:space="preserve"> and</w:t>
      </w:r>
      <w:r>
        <w:rPr>
          <w:rFonts w:cs="Arial Unicode MS" w:eastAsia="Arial Unicode MS"/>
          <w:rtl w:val="0"/>
          <w:lang w:val="en-US"/>
        </w:rPr>
        <w:t xml:space="preserve"> Aaron</w:t>
      </w:r>
      <w:r>
        <w:rPr>
          <w:rFonts w:cs="Arial Unicode MS" w:eastAsia="Arial Unicode MS"/>
          <w:rtl w:val="0"/>
          <w:lang w:val="en-US"/>
        </w:rPr>
        <w:t xml:space="preserve"> </w:t>
      </w:r>
      <w:r>
        <w:rPr>
          <w:rFonts w:cs="Arial Unicode MS" w:eastAsia="Arial Unicode MS"/>
          <w:rtl w:val="0"/>
          <w:lang w:val="it-IT"/>
        </w:rPr>
        <w:t>Mior</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Archaeological Survey of the Phoenician Harbour at Tyre, Lebanon</w:t>
      </w:r>
      <w:r>
        <w:rPr>
          <w:rFonts w:cs="Arial Unicode MS" w:eastAsia="Arial Unicode MS" w:hint="default"/>
          <w:rtl w:val="0"/>
          <w:lang w:val="en-US"/>
        </w:rPr>
        <w:t>’</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rPr>
        <w:t>Bulletin d</w:t>
      </w:r>
      <w:r>
        <w:rPr>
          <w:rFonts w:cs="Arial Unicode MS" w:eastAsia="Arial Unicode MS" w:hint="default"/>
          <w:i w:val="1"/>
          <w:iCs w:val="1"/>
          <w:rtl w:val="1"/>
        </w:rPr>
        <w:t>’</w:t>
      </w:r>
      <w:r>
        <w:rPr>
          <w:rFonts w:cs="Arial Unicode MS" w:eastAsia="Arial Unicode MS"/>
          <w:i w:val="1"/>
          <w:iCs w:val="1"/>
          <w:rtl w:val="0"/>
          <w:lang w:val="en-US"/>
        </w:rPr>
        <w:t>Arch</w:t>
      </w:r>
      <w:r>
        <w:rPr>
          <w:rFonts w:cs="Arial Unicode MS" w:eastAsia="Arial Unicode MS" w:hint="default"/>
          <w:i w:val="1"/>
          <w:iCs w:val="1"/>
          <w:rtl w:val="0"/>
          <w:lang w:val="fr-FR"/>
        </w:rPr>
        <w:t>é</w:t>
      </w:r>
      <w:r>
        <w:rPr>
          <w:rFonts w:cs="Arial Unicode MS" w:eastAsia="Arial Unicode MS"/>
          <w:i w:val="1"/>
          <w:iCs w:val="1"/>
          <w:rtl w:val="0"/>
          <w:lang w:val="fr-FR"/>
        </w:rPr>
        <w:t>ologie et d</w:t>
      </w:r>
      <w:r>
        <w:rPr>
          <w:rFonts w:cs="Arial Unicode MS" w:eastAsia="Arial Unicode MS" w:hint="default"/>
          <w:i w:val="1"/>
          <w:iCs w:val="1"/>
          <w:rtl w:val="1"/>
        </w:rPr>
        <w:t>’</w:t>
      </w:r>
      <w:r>
        <w:rPr>
          <w:rFonts w:cs="Arial Unicode MS" w:eastAsia="Arial Unicode MS"/>
          <w:i w:val="1"/>
          <w:iCs w:val="1"/>
          <w:rtl w:val="0"/>
          <w:lang w:val="fr-FR"/>
        </w:rPr>
        <w:t>Architecture Libanaises</w:t>
      </w:r>
      <w:r>
        <w:rPr>
          <w:rFonts w:cs="Arial Unicode MS" w:eastAsia="Arial Unicode MS"/>
          <w:rtl w:val="0"/>
          <w:lang w:val="en-US"/>
        </w:rPr>
        <w:t xml:space="preserve"> (2018).</w:t>
      </w:r>
      <w:r>
        <w:rPr>
          <w:rFonts w:cs="Arial Unicode MS" w:eastAsia="Arial Unicode MS"/>
          <w:rtl w:val="0"/>
        </w:rPr>
        <w:t xml:space="preserve"> </w:t>
      </w:r>
      <w:r>
        <w:rPr>
          <w:rFonts w:cs="Arial Unicode MS" w:eastAsia="Arial Unicode MS"/>
          <w:rtl w:val="0"/>
          <w:lang w:val="en-US"/>
        </w:rPr>
        <w:t xml:space="preserve">p. 96; and </w:t>
      </w:r>
      <w:r>
        <w:rPr>
          <w:rFonts w:cs="Arial Unicode MS" w:eastAsia="Arial Unicode MS"/>
          <w:rtl w:val="0"/>
        </w:rPr>
        <w:t xml:space="preserve">MacGillivray, </w:t>
      </w:r>
      <w:r>
        <w:rPr>
          <w:rFonts w:cs="Arial Unicode MS" w:eastAsia="Arial Unicode MS" w:hint="default"/>
          <w:rtl w:val="1"/>
        </w:rPr>
        <w:t>‘</w:t>
      </w:r>
      <w:r>
        <w:rPr>
          <w:rFonts w:cs="Arial Unicode MS" w:eastAsia="Arial Unicode MS"/>
          <w:rtl w:val="0"/>
          <w:lang w:val="it-IT"/>
        </w:rPr>
        <w:t>Cup</w:t>
      </w:r>
      <w:r>
        <w:rPr>
          <w:rFonts w:cs="Arial Unicode MS" w:eastAsia="Arial Unicode MS" w:hint="default"/>
          <w:rtl w:val="1"/>
        </w:rPr>
        <w:t>’</w:t>
      </w:r>
      <w:r>
        <w:rPr>
          <w:rFonts w:cs="Arial Unicode MS" w:eastAsia="Arial Unicode MS"/>
          <w:rtl w:val="0"/>
        </w:rPr>
        <w:t xml:space="preserve">, </w:t>
      </w:r>
      <w:r>
        <w:rPr>
          <w:rFonts w:cs="Arial Unicode MS" w:eastAsia="Arial Unicode MS"/>
          <w:rtl w:val="0"/>
          <w:lang w:val="en-US"/>
        </w:rPr>
        <w:t>p. 20.</w:t>
      </w:r>
    </w:p>
  </w:footnote>
  <w:footnote w:id="233">
    <w:p>
      <w:pPr>
        <w:pStyle w:val="Footnote"/>
        <w:bidi w:val="0"/>
      </w:pPr>
      <w:r>
        <w:rPr>
          <w:vertAlign w:val="superscript"/>
        </w:rPr>
        <w:footnoteRef/>
      </w:r>
      <w:r>
        <w:rPr>
          <w:rFonts w:cs="Arial Unicode MS" w:eastAsia="Arial Unicode MS"/>
          <w:rtl w:val="0"/>
        </w:rPr>
        <w:t xml:space="preserve"> Zeman-Wi</w:t>
      </w:r>
      <w:r>
        <w:rPr>
          <w:rFonts w:cs="Arial Unicode MS" w:eastAsia="Arial Unicode MS" w:hint="default"/>
          <w:rtl w:val="0"/>
        </w:rPr>
        <w:t>ś</w:t>
      </w:r>
      <w:r>
        <w:rPr>
          <w:rFonts w:cs="Arial Unicode MS" w:eastAsia="Arial Unicode MS"/>
          <w:rtl w:val="0"/>
        </w:rPr>
        <w:t xml:space="preserve">niewska, </w:t>
      </w:r>
      <w:r>
        <w:rPr>
          <w:rFonts w:cs="Arial Unicode MS" w:eastAsia="Arial Unicode MS" w:hint="default"/>
          <w:rtl w:val="1"/>
        </w:rPr>
        <w:t>‘</w:t>
      </w:r>
      <w:r>
        <w:rPr>
          <w:rFonts w:cs="Arial Unicode MS" w:eastAsia="Arial Unicode MS"/>
          <w:rtl w:val="0"/>
          <w:lang w:val="en-US"/>
        </w:rPr>
        <w:t>Re-Evaluation</w:t>
      </w:r>
      <w:r>
        <w:rPr>
          <w:rFonts w:cs="Arial Unicode MS" w:eastAsia="Arial Unicode MS" w:hint="default"/>
          <w:rtl w:val="0"/>
          <w:lang w:val="en-US"/>
        </w:rPr>
        <w:t>’</w:t>
      </w:r>
      <w:r>
        <w:rPr>
          <w:rFonts w:cs="Arial Unicode MS" w:eastAsia="Arial Unicode MS"/>
          <w:rtl w:val="0"/>
          <w:lang w:val="en-US"/>
        </w:rPr>
        <w:t xml:space="preserve">, pp. 17, 18; and </w:t>
      </w:r>
      <w:r>
        <w:rPr>
          <w:rFonts w:cs="Arial Unicode MS" w:eastAsia="Arial Unicode MS"/>
          <w:rtl w:val="0"/>
          <w:lang w:val="de-DE"/>
        </w:rPr>
        <w:t>Peter M</w:t>
      </w:r>
      <w:r>
        <w:rPr>
          <w:rFonts w:cs="Arial Unicode MS" w:eastAsia="Arial Unicode MS"/>
          <w:rtl w:val="0"/>
          <w:lang w:val="en-US"/>
        </w:rPr>
        <w:t xml:space="preserve">. </w:t>
      </w:r>
      <w:r>
        <w:rPr>
          <w:rFonts w:cs="Arial Unicode MS" w:eastAsia="Arial Unicode MS"/>
          <w:rtl w:val="0"/>
          <w:lang w:val="de-DE"/>
        </w:rPr>
        <w:t>Fischer and Teresa B</w:t>
      </w:r>
      <w:r>
        <w:rPr>
          <w:rFonts w:cs="Arial Unicode MS" w:eastAsia="Arial Unicode MS" w:hint="default"/>
          <w:rtl w:val="0"/>
        </w:rPr>
        <w:t>ü</w:t>
      </w:r>
      <w:r>
        <w:rPr>
          <w:rFonts w:cs="Arial Unicode MS" w:eastAsia="Arial Unicode MS"/>
          <w:rtl w:val="0"/>
        </w:rPr>
        <w:t xml:space="preserve">rge, </w:t>
      </w:r>
      <w:r>
        <w:rPr>
          <w:rFonts w:cs="Arial Unicode MS" w:eastAsia="Arial Unicode MS" w:hint="default"/>
          <w:rtl w:val="1"/>
        </w:rPr>
        <w:t>‘</w:t>
      </w:r>
      <w:r>
        <w:rPr>
          <w:rFonts w:cs="Arial Unicode MS" w:eastAsia="Arial Unicode MS"/>
          <w:rtl w:val="0"/>
          <w:lang w:val="en-US"/>
        </w:rPr>
        <w:t>Tombs and Offering Pits at the Late Bronze Age Metropolis of Hala Sultan Tekke, Cyprus</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Bulletin of the American Schools of Oriental Research</w:t>
      </w:r>
      <w:r>
        <w:rPr>
          <w:rFonts w:cs="Arial Unicode MS" w:eastAsia="Arial Unicode MS"/>
          <w:rtl w:val="0"/>
        </w:rPr>
        <w:t xml:space="preserve">, 377 (2017), </w:t>
      </w:r>
      <w:r>
        <w:rPr>
          <w:rFonts w:cs="Arial Unicode MS" w:eastAsia="Arial Unicode MS"/>
          <w:rtl w:val="0"/>
          <w:lang w:val="en-US"/>
        </w:rPr>
        <w:t>p. 174.</w:t>
      </w:r>
    </w:p>
  </w:footnote>
  <w:footnote w:id="234">
    <w:p>
      <w:pPr>
        <w:pStyle w:val="Footnote"/>
        <w:bidi w:val="0"/>
      </w:pPr>
      <w:r>
        <w:rPr>
          <w:vertAlign w:val="superscript"/>
        </w:rPr>
        <w:footnoteRef/>
      </w:r>
      <w:r>
        <w:rPr>
          <w:rFonts w:cs="Arial Unicode MS" w:eastAsia="Arial Unicode MS"/>
          <w:rtl w:val="0"/>
        </w:rPr>
        <w:t xml:space="preserve"> Zeman-Wi</w:t>
      </w:r>
      <w:r>
        <w:rPr>
          <w:rFonts w:cs="Arial Unicode MS" w:eastAsia="Arial Unicode MS" w:hint="default"/>
          <w:rtl w:val="0"/>
        </w:rPr>
        <w:t>ś</w:t>
      </w:r>
      <w:r>
        <w:rPr>
          <w:rFonts w:cs="Arial Unicode MS" w:eastAsia="Arial Unicode MS"/>
          <w:rtl w:val="0"/>
        </w:rPr>
        <w:t>niewska</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Cyprus</w:t>
      </w:r>
      <w:r>
        <w:rPr>
          <w:rFonts w:cs="Arial Unicode MS" w:eastAsia="Arial Unicode MS" w:hint="default"/>
          <w:rtl w:val="0"/>
          <w:lang w:val="en-US"/>
        </w:rPr>
        <w:t>’</w:t>
      </w:r>
      <w:r>
        <w:rPr>
          <w:rFonts w:cs="Arial Unicode MS" w:eastAsia="Arial Unicode MS"/>
          <w:rtl w:val="0"/>
          <w:lang w:val="en-US"/>
        </w:rPr>
        <w:t>, pp.</w:t>
      </w:r>
      <w:r>
        <w:rPr>
          <w:rFonts w:cs="Arial Unicode MS" w:eastAsia="Arial Unicode MS"/>
          <w:rtl w:val="0"/>
        </w:rPr>
        <w:t xml:space="preserve"> 26-</w:t>
      </w:r>
      <w:r>
        <w:rPr>
          <w:rFonts w:cs="Arial Unicode MS" w:eastAsia="Arial Unicode MS"/>
          <w:rtl w:val="0"/>
          <w:lang w:val="en-US"/>
        </w:rPr>
        <w:t>2</w:t>
      </w:r>
      <w:r>
        <w:rPr>
          <w:rFonts w:cs="Arial Unicode MS" w:eastAsia="Arial Unicode MS"/>
          <w:rtl w:val="0"/>
        </w:rPr>
        <w:t>7</w:t>
      </w:r>
      <w:r>
        <w:rPr>
          <w:rFonts w:cs="Arial Unicode MS" w:eastAsia="Arial Unicode MS"/>
          <w:rtl w:val="0"/>
          <w:lang w:val="en-US"/>
        </w:rPr>
        <w:t>.</w:t>
      </w:r>
    </w:p>
  </w:footnote>
  <w:footnote w:id="235">
    <w:p>
      <w:pPr>
        <w:pStyle w:val="Footnote"/>
        <w:bidi w:val="0"/>
      </w:pPr>
      <w:r>
        <w:rPr>
          <w:vertAlign w:val="superscript"/>
        </w:rPr>
        <w:footnoteRef/>
      </w:r>
      <w:r>
        <w:rPr>
          <w:rFonts w:cs="Arial Unicode MS" w:eastAsia="Arial Unicode MS"/>
          <w:rtl w:val="0"/>
          <w:lang w:val="nl-NL"/>
        </w:rPr>
        <w:t xml:space="preserve"> Ora</w:t>
      </w:r>
      <w:r>
        <w:rPr>
          <w:rFonts w:cs="Arial Unicode MS" w:eastAsia="Arial Unicode MS"/>
          <w:rtl w:val="0"/>
          <w:lang w:val="en-US"/>
        </w:rPr>
        <w:t xml:space="preserve"> </w:t>
      </w:r>
      <w:r>
        <w:rPr>
          <w:rFonts w:cs="Arial Unicode MS" w:eastAsia="Arial Unicode MS"/>
          <w:rtl w:val="0"/>
        </w:rPr>
        <w:t xml:space="preserve">Negbi, </w:t>
      </w:r>
      <w:r>
        <w:rPr>
          <w:rFonts w:cs="Arial Unicode MS" w:eastAsia="Arial Unicode MS" w:hint="default"/>
          <w:rtl w:val="1"/>
        </w:rPr>
        <w:t>‘</w:t>
      </w:r>
      <w:r>
        <w:rPr>
          <w:rFonts w:cs="Arial Unicode MS" w:eastAsia="Arial Unicode MS"/>
          <w:rtl w:val="0"/>
          <w:lang w:val="en-US"/>
        </w:rPr>
        <w:t>Early Phoenician Presence in the Mediterranean Islands: A Reappraisal</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American Journal of Archaeology</w:t>
      </w:r>
      <w:r>
        <w:rPr>
          <w:rFonts w:cs="Arial Unicode MS" w:eastAsia="Arial Unicode MS"/>
          <w:rtl w:val="0"/>
        </w:rPr>
        <w:t>: (1992),</w:t>
      </w:r>
      <w:r>
        <w:rPr>
          <w:rFonts w:cs="Arial Unicode MS" w:eastAsia="Arial Unicode MS"/>
          <w:rtl w:val="0"/>
          <w:lang w:val="en-US"/>
        </w:rPr>
        <w:t xml:space="preserve"> pp. 608-609.</w:t>
      </w:r>
    </w:p>
  </w:footnote>
  <w:footnote w:id="236">
    <w:p>
      <w:pPr>
        <w:pStyle w:val="Footnote"/>
        <w:bidi w:val="0"/>
      </w:pPr>
      <w:r>
        <w:rPr>
          <w:vertAlign w:val="superscript"/>
        </w:rPr>
        <w:footnoteRef/>
      </w:r>
      <w:r>
        <w:rPr>
          <w:rFonts w:cs="Arial Unicode MS" w:eastAsia="Arial Unicode MS"/>
          <w:rtl w:val="0"/>
        </w:rPr>
        <w:t xml:space="preserve"> Mirko</w:t>
      </w:r>
      <w:r>
        <w:rPr>
          <w:rFonts w:cs="Arial Unicode MS" w:eastAsia="Arial Unicode MS"/>
          <w:rtl w:val="0"/>
          <w:lang w:val="en-US"/>
        </w:rPr>
        <w:t xml:space="preserve"> </w:t>
      </w:r>
      <w:r>
        <w:rPr>
          <w:rFonts w:cs="Arial Unicode MS" w:eastAsia="Arial Unicode MS"/>
          <w:rtl w:val="0"/>
        </w:rPr>
        <w:t>Nov</w:t>
      </w:r>
      <w:r>
        <w:rPr>
          <w:rFonts w:cs="Arial Unicode MS" w:eastAsia="Arial Unicode MS" w:hint="default"/>
          <w:rtl w:val="0"/>
        </w:rPr>
        <w:t>á</w:t>
      </w:r>
      <w:r>
        <w:rPr>
          <w:rFonts w:cs="Arial Unicode MS" w:eastAsia="Arial Unicode MS"/>
          <w:rtl w:val="0"/>
        </w:rPr>
        <w:t xml:space="preserve">k, </w:t>
      </w:r>
      <w:r>
        <w:rPr>
          <w:rFonts w:cs="Arial Unicode MS" w:eastAsia="Arial Unicode MS" w:hint="default"/>
          <w:rtl w:val="1"/>
        </w:rPr>
        <w:t>‘</w:t>
      </w:r>
      <w:r>
        <w:rPr>
          <w:rFonts w:cs="Arial Unicode MS" w:eastAsia="Arial Unicode MS"/>
          <w:rtl w:val="0"/>
          <w:lang w:val="en-US"/>
        </w:rPr>
        <w:t>The Chronology of the Bronze Age Palace of Qatna</w:t>
      </w:r>
      <w:r>
        <w:rPr>
          <w:rFonts w:cs="Arial Unicode MS" w:eastAsia="Arial Unicode MS" w:hint="default"/>
          <w:rtl w:val="1"/>
        </w:rPr>
        <w:t>’</w:t>
      </w:r>
      <w:r>
        <w:rPr>
          <w:rFonts w:cs="Arial Unicode MS" w:eastAsia="Arial Unicode MS"/>
          <w:rtl w:val="0"/>
        </w:rPr>
        <w:t xml:space="preserve">, </w:t>
      </w:r>
      <w:r>
        <w:rPr>
          <w:rFonts w:cs="Arial Unicode MS" w:eastAsia="Arial Unicode MS" w:hint="default"/>
          <w:i w:val="1"/>
          <w:iCs w:val="1"/>
          <w:rtl w:val="0"/>
          <w:lang w:val="sv-SE"/>
        </w:rPr>
        <w:t>Ä</w:t>
      </w:r>
      <w:r>
        <w:rPr>
          <w:rFonts w:cs="Arial Unicode MS" w:eastAsia="Arial Unicode MS"/>
          <w:i w:val="1"/>
          <w:iCs w:val="1"/>
          <w:rtl w:val="0"/>
          <w:lang w:val="de-DE"/>
        </w:rPr>
        <w:t>gypten und Levante</w:t>
      </w:r>
      <w:r>
        <w:rPr>
          <w:rFonts w:cs="Arial Unicode MS" w:eastAsia="Arial Unicode MS"/>
          <w:rtl w:val="0"/>
        </w:rPr>
        <w:t>, 14: (2004)</w:t>
      </w:r>
      <w:r>
        <w:rPr>
          <w:rFonts w:cs="Arial Unicode MS" w:eastAsia="Arial Unicode MS"/>
          <w:rtl w:val="0"/>
          <w:lang w:val="en-US"/>
        </w:rPr>
        <w:t xml:space="preserve">, p. 299; and </w:t>
      </w:r>
      <w:r>
        <w:rPr>
          <w:rFonts w:cs="Arial Unicode MS" w:eastAsia="Arial Unicode MS"/>
          <w:rtl w:val="0"/>
        </w:rPr>
        <w:t>S</w:t>
      </w:r>
      <w:r>
        <w:rPr>
          <w:rFonts w:cs="Arial Unicode MS" w:eastAsia="Arial Unicode MS" w:hint="default"/>
          <w:rtl w:val="0"/>
          <w:lang w:val="da-DK"/>
        </w:rPr>
        <w:t>ø</w:t>
      </w:r>
      <w:r>
        <w:rPr>
          <w:rFonts w:cs="Arial Unicode MS" w:eastAsia="Arial Unicode MS"/>
          <w:rtl w:val="0"/>
          <w:lang w:val="da-DK"/>
        </w:rPr>
        <w:t xml:space="preserve">rensen, </w:t>
      </w:r>
      <w:r>
        <w:rPr>
          <w:rFonts w:cs="Arial Unicode MS" w:eastAsia="Arial Unicode MS" w:hint="default"/>
          <w:rtl w:val="0"/>
          <w:lang w:val="en-US"/>
        </w:rPr>
        <w:t>‘</w:t>
      </w:r>
      <w:r>
        <w:rPr>
          <w:rFonts w:cs="Arial Unicode MS" w:eastAsia="Arial Unicode MS"/>
          <w:rtl w:val="0"/>
          <w:lang w:val="en-US"/>
        </w:rPr>
        <w:t>Approaching</w:t>
      </w:r>
      <w:r>
        <w:rPr>
          <w:rFonts w:cs="Arial Unicode MS" w:eastAsia="Arial Unicode MS" w:hint="default"/>
          <w:rtl w:val="0"/>
          <w:lang w:val="en-US"/>
        </w:rPr>
        <w:t>’</w:t>
      </w:r>
      <w:r>
        <w:rPr>
          <w:rFonts w:cs="Arial Unicode MS" w:eastAsia="Arial Unicode MS"/>
          <w:rtl w:val="0"/>
          <w:lang w:val="en-US"/>
        </w:rPr>
        <w:t>, p. 12.</w:t>
      </w:r>
    </w:p>
  </w:footnote>
  <w:footnote w:id="237">
    <w:p>
      <w:pPr>
        <w:pStyle w:val="Footnote"/>
        <w:bidi w:val="0"/>
      </w:pPr>
      <w:r>
        <w:rPr>
          <w:vertAlign w:val="superscript"/>
        </w:rPr>
        <w:footnoteRef/>
      </w:r>
      <w:r>
        <w:rPr>
          <w:rFonts w:cs="Arial Unicode MS" w:eastAsia="Arial Unicode MS"/>
          <w:rtl w:val="0"/>
          <w:lang w:val="da-DK"/>
        </w:rPr>
        <w:t xml:space="preserve"> Peter</w:t>
      </w:r>
      <w:r>
        <w:rPr>
          <w:rFonts w:cs="Arial Unicode MS" w:eastAsia="Arial Unicode MS"/>
          <w:rtl w:val="0"/>
          <w:lang w:val="en-US"/>
        </w:rPr>
        <w:t xml:space="preserve"> </w:t>
      </w:r>
      <w:r>
        <w:rPr>
          <w:rFonts w:cs="Arial Unicode MS" w:eastAsia="Arial Unicode MS"/>
          <w:rtl w:val="0"/>
          <w:lang w:val="de-DE"/>
        </w:rPr>
        <w:t>Pf</w:t>
      </w:r>
      <w:r>
        <w:rPr>
          <w:rFonts w:cs="Arial Unicode MS" w:eastAsia="Arial Unicode MS" w:hint="default"/>
          <w:rtl w:val="0"/>
        </w:rPr>
        <w:t>ä</w:t>
      </w:r>
      <w:r>
        <w:rPr>
          <w:rFonts w:cs="Arial Unicode MS" w:eastAsia="Arial Unicode MS"/>
          <w:rtl w:val="0"/>
        </w:rPr>
        <w:t xml:space="preserve">lzner, </w:t>
      </w:r>
      <w:r>
        <w:rPr>
          <w:rFonts w:cs="Arial Unicode MS" w:eastAsia="Arial Unicode MS" w:hint="default"/>
          <w:rtl w:val="1"/>
        </w:rPr>
        <w:t>‘</w:t>
      </w:r>
      <w:r>
        <w:rPr>
          <w:rFonts w:cs="Arial Unicode MS" w:eastAsia="Arial Unicode MS"/>
          <w:rtl w:val="0"/>
          <w:lang w:val="en-US"/>
        </w:rPr>
        <w:t>Levantine Kingdoms of the Late Bronze Age</w:t>
      </w:r>
      <w:r>
        <w:rPr>
          <w:rFonts w:cs="Arial Unicode MS" w:eastAsia="Arial Unicode MS" w:hint="default"/>
          <w:rtl w:val="1"/>
        </w:rPr>
        <w:t xml:space="preserve">’ </w:t>
      </w:r>
      <w:r>
        <w:rPr>
          <w:rFonts w:cs="Arial Unicode MS" w:eastAsia="Arial Unicode MS"/>
          <w:rtl w:val="0"/>
        </w:rPr>
        <w:t>(2012)</w:t>
      </w:r>
      <w:r>
        <w:rPr>
          <w:rFonts w:cs="Arial Unicode MS" w:eastAsia="Arial Unicode MS"/>
          <w:rtl w:val="0"/>
          <w:lang w:val="en-US"/>
        </w:rPr>
        <w:t>, p. 795.</w:t>
      </w:r>
    </w:p>
  </w:footnote>
  <w:footnote w:id="238">
    <w:p>
      <w:pPr>
        <w:pStyle w:val="Footnote"/>
        <w:bidi w:val="0"/>
      </w:pPr>
      <w:r>
        <w:rPr>
          <w:vertAlign w:val="superscript"/>
        </w:rPr>
        <w:footnoteRef/>
      </w:r>
      <w:r>
        <w:rPr>
          <w:rFonts w:cs="Arial Unicode MS" w:eastAsia="Arial Unicode MS"/>
          <w:rtl w:val="0"/>
        </w:rPr>
        <w:t xml:space="preserve"> S</w:t>
      </w:r>
      <w:r>
        <w:rPr>
          <w:rFonts w:cs="Arial Unicode MS" w:eastAsia="Arial Unicode MS" w:hint="default"/>
          <w:rtl w:val="0"/>
          <w:lang w:val="da-DK"/>
        </w:rPr>
        <w:t>ø</w:t>
      </w:r>
      <w:r>
        <w:rPr>
          <w:rFonts w:cs="Arial Unicode MS" w:eastAsia="Arial Unicode MS"/>
          <w:rtl w:val="0"/>
          <w:lang w:val="da-DK"/>
        </w:rPr>
        <w:t xml:space="preserve">rensen, </w:t>
      </w:r>
      <w:r>
        <w:rPr>
          <w:rFonts w:cs="Arial Unicode MS" w:eastAsia="Arial Unicode MS" w:hint="default"/>
          <w:rtl w:val="1"/>
        </w:rPr>
        <w:t>‘</w:t>
      </w:r>
      <w:r>
        <w:rPr>
          <w:rFonts w:cs="Arial Unicode MS" w:eastAsia="Arial Unicode MS"/>
          <w:rtl w:val="0"/>
          <w:lang w:val="en-US"/>
        </w:rPr>
        <w:t>Approaching</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p.</w:t>
      </w:r>
      <w:r>
        <w:rPr>
          <w:rFonts w:cs="Arial Unicode MS" w:eastAsia="Arial Unicode MS"/>
          <w:rtl w:val="0"/>
        </w:rPr>
        <w:t xml:space="preserve"> 17</w:t>
      </w:r>
      <w:r>
        <w:rPr>
          <w:rFonts w:cs="Arial Unicode MS" w:eastAsia="Arial Unicode MS"/>
          <w:rtl w:val="0"/>
          <w:lang w:val="en-US"/>
        </w:rPr>
        <w:t>.</w:t>
      </w:r>
    </w:p>
  </w:footnote>
  <w:footnote w:id="239">
    <w:p>
      <w:pPr>
        <w:pStyle w:val="Footnote"/>
        <w:bidi w:val="0"/>
      </w:pPr>
      <w:r>
        <w:rPr>
          <w:vertAlign w:val="superscript"/>
        </w:rPr>
        <w:footnoteRef/>
      </w:r>
      <w:r>
        <w:rPr>
          <w:rFonts w:cs="Arial Unicode MS" w:eastAsia="Arial Unicode MS"/>
          <w:rtl w:val="0"/>
          <w:lang w:val="it-IT"/>
        </w:rPr>
        <w:t xml:space="preserve"> Nele</w:t>
      </w:r>
      <w:r>
        <w:rPr>
          <w:rFonts w:cs="Arial Unicode MS" w:eastAsia="Arial Unicode MS"/>
          <w:rtl w:val="0"/>
          <w:lang w:val="en-US"/>
        </w:rPr>
        <w:t xml:space="preserve"> </w:t>
      </w:r>
      <w:r>
        <w:rPr>
          <w:rFonts w:cs="Arial Unicode MS" w:eastAsia="Arial Unicode MS"/>
          <w:rtl w:val="0"/>
        </w:rPr>
        <w:t xml:space="preserve">Ziegler, </w:t>
      </w:r>
      <w:r>
        <w:rPr>
          <w:rFonts w:cs="Arial Unicode MS" w:eastAsia="Arial Unicode MS" w:hint="default"/>
          <w:rtl w:val="1"/>
        </w:rPr>
        <w:t>‘</w:t>
      </w:r>
      <w:r>
        <w:rPr>
          <w:rFonts w:cs="Arial Unicode MS" w:eastAsia="Arial Unicode MS"/>
          <w:rtl w:val="0"/>
          <w:lang w:val="fr-FR"/>
        </w:rPr>
        <w:t>Les Donn</w:t>
      </w:r>
      <w:r>
        <w:rPr>
          <w:rFonts w:cs="Arial Unicode MS" w:eastAsia="Arial Unicode MS" w:hint="default"/>
          <w:rtl w:val="0"/>
          <w:lang w:val="fr-FR"/>
        </w:rPr>
        <w:t>é</w:t>
      </w:r>
      <w:r>
        <w:rPr>
          <w:rFonts w:cs="Arial Unicode MS" w:eastAsia="Arial Unicode MS"/>
          <w:rtl w:val="0"/>
          <w:lang w:val="fr-FR"/>
        </w:rPr>
        <w:t>es Des Archives Royales De Mari Sur Le Milieu Naturel Et L</w:t>
      </w:r>
      <w:r>
        <w:rPr>
          <w:rFonts w:cs="Arial Unicode MS" w:eastAsia="Arial Unicode MS" w:hint="default"/>
          <w:rtl w:val="1"/>
        </w:rPr>
        <w:t>’</w:t>
      </w:r>
      <w:r>
        <w:rPr>
          <w:rFonts w:cs="Arial Unicode MS" w:eastAsia="Arial Unicode MS"/>
          <w:rtl w:val="0"/>
          <w:lang w:val="fr-FR"/>
        </w:rPr>
        <w:t>occupation Humaine En Syrie Centrale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fr-FR"/>
        </w:rPr>
        <w:t>Les donn</w:t>
      </w:r>
      <w:r>
        <w:rPr>
          <w:rFonts w:cs="Arial Unicode MS" w:eastAsia="Arial Unicode MS" w:hint="default"/>
          <w:i w:val="1"/>
          <w:iCs w:val="1"/>
          <w:rtl w:val="0"/>
          <w:lang w:val="fr-FR"/>
        </w:rPr>
        <w:t>é</w:t>
      </w:r>
      <w:r>
        <w:rPr>
          <w:rFonts w:cs="Arial Unicode MS" w:eastAsia="Arial Unicode MS"/>
          <w:i w:val="1"/>
          <w:iCs w:val="1"/>
          <w:rtl w:val="0"/>
          <w:lang w:val="fr-FR"/>
        </w:rPr>
        <w:t>es des archives royales de Mari sur le milieu naturel et l</w:t>
      </w:r>
      <w:r>
        <w:rPr>
          <w:rFonts w:cs="Arial Unicode MS" w:eastAsia="Arial Unicode MS" w:hint="default"/>
          <w:i w:val="1"/>
          <w:iCs w:val="1"/>
          <w:rtl w:val="1"/>
        </w:rPr>
        <w:t>’</w:t>
      </w:r>
      <w:r>
        <w:rPr>
          <w:rFonts w:cs="Arial Unicode MS" w:eastAsia="Arial Unicode MS"/>
          <w:i w:val="1"/>
          <w:iCs w:val="1"/>
          <w:rtl w:val="0"/>
          <w:lang w:val="fr-FR"/>
        </w:rPr>
        <w:t>occupation humaine en Syrie centrale</w:t>
      </w:r>
      <w:r>
        <w:rPr>
          <w:rFonts w:cs="Arial Unicode MS" w:eastAsia="Arial Unicode MS"/>
          <w:rtl w:val="0"/>
        </w:rPr>
        <w:t xml:space="preserve"> (2007), </w:t>
      </w:r>
      <w:r>
        <w:rPr>
          <w:rFonts w:cs="Arial Unicode MS" w:eastAsia="Arial Unicode MS"/>
          <w:rtl w:val="0"/>
          <w:lang w:val="en-US"/>
        </w:rPr>
        <w:t>p. 314.</w:t>
      </w:r>
    </w:p>
  </w:footnote>
  <w:footnote w:id="24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Hesse, </w:t>
      </w:r>
      <w:r>
        <w:rPr>
          <w:rFonts w:cs="Arial Unicode MS" w:eastAsia="Arial Unicode MS" w:hint="default"/>
          <w:rtl w:val="0"/>
          <w:lang w:val="en-US"/>
        </w:rPr>
        <w:t>‘</w:t>
      </w:r>
      <w:r>
        <w:rPr>
          <w:rFonts w:cs="Arial Unicode MS" w:eastAsia="Arial Unicode MS"/>
          <w:rtl w:val="0"/>
          <w:lang w:val="en-US"/>
        </w:rPr>
        <w:t>Late</w:t>
      </w:r>
      <w:r>
        <w:rPr>
          <w:rFonts w:cs="Arial Unicode MS" w:eastAsia="Arial Unicode MS" w:hint="default"/>
          <w:rtl w:val="0"/>
          <w:lang w:val="en-US"/>
        </w:rPr>
        <w:t>’</w:t>
      </w:r>
      <w:r>
        <w:rPr>
          <w:rFonts w:cs="Arial Unicode MS" w:eastAsia="Arial Unicode MS"/>
          <w:rtl w:val="0"/>
          <w:lang w:val="en-US"/>
        </w:rPr>
        <w:t xml:space="preserve">. p. </w:t>
      </w:r>
      <w:r>
        <w:rPr>
          <w:rFonts w:cs="Arial Unicode MS" w:eastAsia="Arial Unicode MS"/>
          <w:rtl w:val="0"/>
        </w:rPr>
        <w:t>40</w:t>
      </w:r>
      <w:r>
        <w:rPr>
          <w:rFonts w:cs="Arial Unicode MS" w:eastAsia="Arial Unicode MS"/>
          <w:rtl w:val="0"/>
          <w:lang w:val="en-US"/>
        </w:rPr>
        <w:t>.</w:t>
      </w:r>
    </w:p>
  </w:footnote>
  <w:footnote w:id="241">
    <w:p>
      <w:pPr>
        <w:pStyle w:val="Footnote"/>
        <w:bidi w:val="0"/>
      </w:pPr>
      <w:r>
        <w:rPr>
          <w:vertAlign w:val="superscript"/>
        </w:rPr>
        <w:footnoteRef/>
      </w:r>
      <w:r>
        <w:rPr>
          <w:rFonts w:cs="Arial Unicode MS" w:eastAsia="Arial Unicode MS"/>
          <w:rtl w:val="0"/>
          <w:lang w:val="it-IT"/>
        </w:rPr>
        <w:t xml:space="preserve"> Simona</w:t>
      </w:r>
      <w:r>
        <w:rPr>
          <w:rFonts w:cs="Arial Unicode MS" w:eastAsia="Arial Unicode MS"/>
          <w:rtl w:val="0"/>
          <w:lang w:val="en-US"/>
        </w:rPr>
        <w:t xml:space="preserve"> </w:t>
      </w:r>
      <w:r>
        <w:rPr>
          <w:rFonts w:cs="Arial Unicode MS" w:eastAsia="Arial Unicode MS"/>
          <w:rtl w:val="0"/>
          <w:lang w:val="es-ES_tradnl"/>
        </w:rPr>
        <w:t xml:space="preserve">Todaro, </w:t>
      </w:r>
      <w:r>
        <w:rPr>
          <w:rFonts w:cs="Arial Unicode MS" w:eastAsia="Arial Unicode MS" w:hint="default"/>
          <w:rtl w:val="1"/>
        </w:rPr>
        <w:t>‘</w:t>
      </w:r>
      <w:r>
        <w:rPr>
          <w:rFonts w:cs="Arial Unicode MS" w:eastAsia="Arial Unicode MS"/>
          <w:rtl w:val="0"/>
          <w:lang w:val="en-US"/>
        </w:rPr>
        <w:t>The Latest Prepalatial Period and the Foundation of the First Palace at Phaistos: A Stratigraphic and Chronological Re-Assessment</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it-IT"/>
        </w:rPr>
        <w:t>Creta Antica</w:t>
      </w:r>
      <w:r>
        <w:rPr>
          <w:rFonts w:cs="Arial Unicode MS" w:eastAsia="Arial Unicode MS"/>
          <w:rtl w:val="0"/>
        </w:rPr>
        <w:t xml:space="preserve"> (2009), </w:t>
      </w:r>
      <w:r>
        <w:rPr>
          <w:rFonts w:cs="Arial Unicode MS" w:eastAsia="Arial Unicode MS"/>
          <w:rtl w:val="0"/>
          <w:lang w:val="en-US"/>
        </w:rPr>
        <w:t>p. 125.</w:t>
      </w:r>
    </w:p>
  </w:footnote>
  <w:footnote w:id="242">
    <w:p>
      <w:pPr>
        <w:pStyle w:val="Footnote"/>
        <w:bidi w:val="0"/>
      </w:pPr>
      <w:r>
        <w:rPr>
          <w:vertAlign w:val="superscript"/>
        </w:rPr>
        <w:footnoteRef/>
      </w:r>
      <w:r>
        <w:rPr>
          <w:rFonts w:cs="Arial Unicode MS" w:eastAsia="Arial Unicode MS"/>
          <w:rtl w:val="0"/>
        </w:rPr>
        <w:t xml:space="preserve"> </w:t>
      </w:r>
      <w:r>
        <w:rPr>
          <w:rFonts w:cs="Arial Unicode MS" w:eastAsia="Arial Unicode MS"/>
          <w:shd w:val="clear" w:color="auto" w:fill="ffffff"/>
          <w:rtl w:val="0"/>
          <w:lang w:val="de-DE"/>
        </w:rPr>
        <w:t xml:space="preserve">Lewis, </w:t>
      </w:r>
      <w:r>
        <w:rPr>
          <w:rFonts w:cs="Arial Unicode MS" w:eastAsia="Arial Unicode MS" w:hint="default"/>
          <w:shd w:val="clear" w:color="auto" w:fill="ffffff"/>
          <w:rtl w:val="1"/>
        </w:rPr>
        <w:t>‘</w:t>
      </w:r>
      <w:r>
        <w:rPr>
          <w:rFonts w:cs="Arial Unicode MS" w:eastAsia="Arial Unicode MS"/>
          <w:shd w:val="clear" w:color="auto" w:fill="ffffff"/>
          <w:rtl w:val="0"/>
          <w:lang w:val="it-IT"/>
        </w:rPr>
        <w:t>Navigators</w:t>
      </w:r>
      <w:r>
        <w:rPr>
          <w:rFonts w:cs="Arial Unicode MS" w:eastAsia="Arial Unicode MS" w:hint="default"/>
          <w:shd w:val="clear" w:color="auto" w:fill="ffffff"/>
          <w:rtl w:val="1"/>
        </w:rPr>
        <w:t>’</w:t>
      </w:r>
      <w:r>
        <w:rPr>
          <w:rFonts w:cs="Arial Unicode MS" w:eastAsia="Arial Unicode MS"/>
          <w:shd w:val="clear" w:color="auto" w:fill="ffffff"/>
          <w:rtl w:val="0"/>
        </w:rPr>
        <w:t>, p. 85</w:t>
      </w:r>
      <w:r>
        <w:rPr>
          <w:rFonts w:cs="Arial Unicode MS" w:eastAsia="Arial Unicode MS"/>
          <w:shd w:val="clear" w:color="auto" w:fill="ffffff"/>
          <w:rtl w:val="0"/>
          <w:lang w:val="en-US"/>
        </w:rPr>
        <w:t>.</w:t>
      </w:r>
    </w:p>
  </w:footnote>
  <w:footnote w:id="243">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en-US"/>
        </w:rPr>
        <w:t>Keith</w:t>
      </w:r>
      <w:r>
        <w:rPr>
          <w:rFonts w:cs="Arial Unicode MS" w:eastAsia="Arial Unicode MS"/>
          <w:rtl w:val="0"/>
          <w:lang w:val="en-US"/>
        </w:rPr>
        <w:t xml:space="preserve"> </w:t>
      </w:r>
      <w:r>
        <w:rPr>
          <w:rFonts w:cs="Arial Unicode MS" w:eastAsia="Arial Unicode MS"/>
          <w:rtl w:val="0"/>
          <w:lang w:val="it-IT"/>
        </w:rPr>
        <w:t xml:space="preserve">Branigan, </w:t>
      </w:r>
      <w:r>
        <w:rPr>
          <w:rFonts w:cs="Arial Unicode MS" w:eastAsia="Arial Unicode MS" w:hint="default"/>
          <w:rtl w:val="1"/>
        </w:rPr>
        <w:t>‘</w:t>
      </w:r>
      <w:r>
        <w:rPr>
          <w:rFonts w:cs="Arial Unicode MS" w:eastAsia="Arial Unicode MS"/>
          <w:rtl w:val="0"/>
          <w:lang w:val="en-US"/>
        </w:rPr>
        <w:t xml:space="preserve">Further Light on Prehistoric Relations between Crete and Byblos', </w:t>
      </w:r>
      <w:r>
        <w:rPr>
          <w:rFonts w:cs="Arial Unicode MS" w:eastAsia="Arial Unicode MS"/>
          <w:i w:val="1"/>
          <w:iCs w:val="1"/>
          <w:rtl w:val="0"/>
          <w:lang w:val="en-US"/>
        </w:rPr>
        <w:t>American Journal of Archaeology</w:t>
      </w:r>
      <w:r>
        <w:rPr>
          <w:rFonts w:cs="Arial Unicode MS" w:eastAsia="Arial Unicode MS"/>
          <w:rtl w:val="0"/>
        </w:rPr>
        <w:t xml:space="preserve">, 71 (1967), </w:t>
      </w:r>
      <w:r>
        <w:rPr>
          <w:rFonts w:cs="Arial Unicode MS" w:eastAsia="Arial Unicode MS"/>
          <w:rtl w:val="0"/>
          <w:lang w:val="en-US"/>
        </w:rPr>
        <w:t xml:space="preserve">p. </w:t>
      </w:r>
      <w:r>
        <w:rPr>
          <w:rFonts w:cs="Arial Unicode MS" w:eastAsia="Arial Unicode MS"/>
          <w:rtl w:val="0"/>
        </w:rPr>
        <w:t>1</w:t>
      </w:r>
      <w:r>
        <w:rPr>
          <w:rFonts w:cs="Arial Unicode MS" w:eastAsia="Arial Unicode MS"/>
          <w:rtl w:val="0"/>
          <w:lang w:val="en-US"/>
        </w:rPr>
        <w:t xml:space="preserve">21; and </w:t>
      </w:r>
      <w:r>
        <w:rPr>
          <w:rFonts w:cs="Arial Unicode MS" w:eastAsia="Arial Unicode MS"/>
          <w:rtl w:val="0"/>
        </w:rPr>
        <w:t>S</w:t>
      </w:r>
      <w:r>
        <w:rPr>
          <w:rFonts w:cs="Arial Unicode MS" w:eastAsia="Arial Unicode MS" w:hint="default"/>
          <w:rtl w:val="0"/>
          <w:lang w:val="da-DK"/>
        </w:rPr>
        <w:t>ø</w:t>
      </w:r>
      <w:r>
        <w:rPr>
          <w:rFonts w:cs="Arial Unicode MS" w:eastAsia="Arial Unicode MS"/>
          <w:rtl w:val="0"/>
          <w:lang w:val="da-DK"/>
        </w:rPr>
        <w:t xml:space="preserve">rensen, </w:t>
      </w:r>
      <w:r>
        <w:rPr>
          <w:rFonts w:cs="Arial Unicode MS" w:eastAsia="Arial Unicode MS" w:hint="default"/>
          <w:rtl w:val="1"/>
        </w:rPr>
        <w:t>‘</w:t>
      </w:r>
      <w:r>
        <w:rPr>
          <w:rFonts w:cs="Arial Unicode MS" w:eastAsia="Arial Unicode MS"/>
          <w:rtl w:val="0"/>
          <w:lang w:val="en-US"/>
        </w:rPr>
        <w:t>Approaching</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p. 12.</w:t>
      </w:r>
    </w:p>
  </w:footnote>
  <w:footnote w:id="244">
    <w:p>
      <w:pPr>
        <w:pStyle w:val="Footnote"/>
        <w:bidi w:val="0"/>
      </w:pPr>
      <w:r>
        <w:rPr>
          <w:vertAlign w:val="superscript"/>
        </w:rPr>
        <w:footnoteRef/>
      </w:r>
      <w:r>
        <w:rPr>
          <w:rFonts w:cs="Arial Unicode MS" w:eastAsia="Arial Unicode MS"/>
          <w:rtl w:val="0"/>
          <w:lang w:val="it-IT"/>
        </w:rPr>
        <w:t xml:space="preserve"> Davis, </w:t>
      </w:r>
      <w:r>
        <w:rPr>
          <w:rFonts w:cs="Arial Unicode MS" w:eastAsia="Arial Unicode MS" w:hint="default"/>
          <w:rtl w:val="1"/>
        </w:rPr>
        <w:t>‘</w:t>
      </w:r>
      <w:r>
        <w:rPr>
          <w:rFonts w:cs="Arial Unicode MS" w:eastAsia="Arial Unicode MS"/>
          <w:rtl w:val="0"/>
          <w:lang w:val="en-US"/>
        </w:rPr>
        <w:t>Navigation</w:t>
      </w:r>
      <w:r>
        <w:rPr>
          <w:rFonts w:cs="Arial Unicode MS" w:eastAsia="Arial Unicode MS" w:hint="default"/>
          <w:rtl w:val="1"/>
        </w:rPr>
        <w:t>’</w:t>
      </w:r>
      <w:r>
        <w:rPr>
          <w:rFonts w:cs="Arial Unicode MS" w:eastAsia="Arial Unicode MS"/>
          <w:rtl w:val="0"/>
          <w:lang w:val="en-US"/>
        </w:rPr>
        <w:t>, p. 83.</w:t>
      </w:r>
    </w:p>
  </w:footnote>
  <w:footnote w:id="245">
    <w:p>
      <w:pPr>
        <w:pStyle w:val="Footnote"/>
        <w:bidi w:val="0"/>
      </w:pPr>
      <w:r>
        <w:rPr>
          <w:vertAlign w:val="superscript"/>
        </w:rPr>
        <w:footnoteRef/>
      </w:r>
      <w:r>
        <w:rPr>
          <w:rFonts w:cs="Arial Unicode MS" w:eastAsia="Arial Unicode MS"/>
          <w:rtl w:val="0"/>
        </w:rPr>
        <w:t xml:space="preserve"> S</w:t>
      </w:r>
      <w:r>
        <w:rPr>
          <w:rFonts w:cs="Arial Unicode MS" w:eastAsia="Arial Unicode MS" w:hint="default"/>
          <w:rtl w:val="0"/>
          <w:lang w:val="da-DK"/>
        </w:rPr>
        <w:t>ø</w:t>
      </w:r>
      <w:r>
        <w:rPr>
          <w:rFonts w:cs="Arial Unicode MS" w:eastAsia="Arial Unicode MS"/>
          <w:rtl w:val="0"/>
          <w:lang w:val="da-DK"/>
        </w:rPr>
        <w:t xml:space="preserve">rensen, </w:t>
      </w:r>
      <w:r>
        <w:rPr>
          <w:rFonts w:cs="Arial Unicode MS" w:eastAsia="Arial Unicode MS" w:hint="default"/>
          <w:rtl w:val="1"/>
        </w:rPr>
        <w:t>‘</w:t>
      </w:r>
      <w:r>
        <w:rPr>
          <w:rFonts w:cs="Arial Unicode MS" w:eastAsia="Arial Unicode MS"/>
          <w:rtl w:val="0"/>
          <w:lang w:val="en-US"/>
        </w:rPr>
        <w:t>Approaching</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p.</w:t>
      </w:r>
      <w:r>
        <w:rPr>
          <w:rFonts w:cs="Arial Unicode MS" w:eastAsia="Arial Unicode MS"/>
          <w:rtl w:val="0"/>
        </w:rPr>
        <w:t xml:space="preserve"> </w:t>
      </w:r>
      <w:r>
        <w:rPr>
          <w:rFonts w:cs="Arial Unicode MS" w:eastAsia="Arial Unicode MS"/>
          <w:rtl w:val="0"/>
          <w:lang w:val="en-US"/>
        </w:rPr>
        <w:t>19</w:t>
      </w:r>
    </w:p>
  </w:footnote>
  <w:footnote w:id="246">
    <w:p>
      <w:pPr>
        <w:pStyle w:val="Footnote"/>
        <w:bidi w:val="0"/>
      </w:pPr>
      <w:r>
        <w:rPr>
          <w:vertAlign w:val="superscript"/>
        </w:rPr>
        <w:footnoteRef/>
      </w:r>
      <w:r>
        <w:rPr>
          <w:rFonts w:cs="Arial Unicode MS" w:eastAsia="Arial Unicode MS"/>
          <w:rtl w:val="0"/>
        </w:rPr>
        <w:t xml:space="preserve"> S</w:t>
      </w:r>
      <w:r>
        <w:rPr>
          <w:rFonts w:cs="Arial Unicode MS" w:eastAsia="Arial Unicode MS" w:hint="default"/>
          <w:rtl w:val="0"/>
          <w:lang w:val="da-DK"/>
        </w:rPr>
        <w:t>ø</w:t>
      </w:r>
      <w:r>
        <w:rPr>
          <w:rFonts w:cs="Arial Unicode MS" w:eastAsia="Arial Unicode MS"/>
          <w:rtl w:val="0"/>
          <w:lang w:val="da-DK"/>
        </w:rPr>
        <w:t xml:space="preserve">rensen, </w:t>
      </w:r>
      <w:r>
        <w:rPr>
          <w:rFonts w:cs="Arial Unicode MS" w:eastAsia="Arial Unicode MS" w:hint="default"/>
          <w:rtl w:val="1"/>
        </w:rPr>
        <w:t>‘</w:t>
      </w:r>
      <w:r>
        <w:rPr>
          <w:rFonts w:cs="Arial Unicode MS" w:eastAsia="Arial Unicode MS"/>
          <w:rtl w:val="0"/>
          <w:lang w:val="en-US"/>
        </w:rPr>
        <w:t>Approaching</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p.</w:t>
      </w:r>
      <w:r>
        <w:rPr>
          <w:rFonts w:cs="Arial Unicode MS" w:eastAsia="Arial Unicode MS"/>
          <w:rtl w:val="0"/>
        </w:rPr>
        <w:t xml:space="preserve"> 19</w:t>
      </w:r>
      <w:r>
        <w:rPr>
          <w:rFonts w:cs="Arial Unicode MS" w:eastAsia="Arial Unicode MS"/>
          <w:rtl w:val="0"/>
          <w:lang w:val="en-US"/>
        </w:rPr>
        <w:t>.</w:t>
      </w:r>
    </w:p>
  </w:footnote>
  <w:footnote w:id="247">
    <w:p>
      <w:pPr>
        <w:pStyle w:val="Footnote"/>
        <w:bidi w:val="0"/>
      </w:pPr>
      <w:r>
        <w:rPr>
          <w:vertAlign w:val="superscript"/>
        </w:rPr>
        <w:footnoteRef/>
      </w:r>
      <w:r>
        <w:rPr>
          <w:rFonts w:cs="Arial Unicode MS" w:eastAsia="Arial Unicode MS"/>
          <w:rtl w:val="0"/>
          <w:lang w:val="de-DE"/>
        </w:rPr>
        <w:t xml:space="preserve"> Richard H</w:t>
      </w:r>
      <w:r>
        <w:rPr>
          <w:rFonts w:cs="Arial Unicode MS" w:eastAsia="Arial Unicode MS"/>
          <w:rtl w:val="0"/>
          <w:lang w:val="en-US"/>
        </w:rPr>
        <w:t xml:space="preserve">. </w:t>
      </w:r>
      <w:r>
        <w:rPr>
          <w:rFonts w:cs="Arial Unicode MS" w:eastAsia="Arial Unicode MS"/>
          <w:rtl w:val="0"/>
          <w:lang w:val="en-US"/>
        </w:rPr>
        <w:t xml:space="preserve">Wilkinson, </w:t>
      </w:r>
      <w:r>
        <w:rPr>
          <w:rFonts w:cs="Arial Unicode MS" w:eastAsia="Arial Unicode MS"/>
          <w:i w:val="1"/>
          <w:iCs w:val="1"/>
          <w:rtl w:val="0"/>
          <w:lang w:val="en-US"/>
        </w:rPr>
        <w:t>The Complete Gods and Goddesses of Ancient Egypt</w:t>
      </w:r>
      <w:r>
        <w:rPr>
          <w:rFonts w:cs="Arial Unicode MS" w:eastAsia="Arial Unicode MS"/>
          <w:rtl w:val="0"/>
          <w:lang w:val="en-US"/>
        </w:rPr>
        <w:t xml:space="preserve"> (Thames &amp; Hudson, 2003)</w:t>
      </w:r>
      <w:r>
        <w:rPr>
          <w:rFonts w:cs="Arial Unicode MS" w:eastAsia="Arial Unicode MS"/>
          <w:rtl w:val="0"/>
          <w:lang w:val="en-US"/>
        </w:rPr>
        <w:t>, p. 127.</w:t>
      </w:r>
    </w:p>
  </w:footnote>
  <w:footnote w:id="24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Plutarch, </w:t>
      </w:r>
      <w:r>
        <w:rPr>
          <w:rFonts w:cs="Arial Unicode MS" w:eastAsia="Arial Unicode MS"/>
          <w:i w:val="1"/>
          <w:iCs w:val="1"/>
          <w:rtl w:val="0"/>
          <w:lang w:val="en-US"/>
        </w:rPr>
        <w:t>De Iside</w:t>
      </w:r>
      <w:r>
        <w:rPr>
          <w:rFonts w:cs="Arial Unicode MS" w:eastAsia="Arial Unicode MS"/>
          <w:rtl w:val="0"/>
          <w:lang w:val="en-US"/>
        </w:rPr>
        <w:t>, 15.</w:t>
      </w:r>
    </w:p>
  </w:footnote>
  <w:footnote w:id="24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Shaw, </w:t>
      </w:r>
      <w:r>
        <w:rPr>
          <w:rFonts w:cs="Arial Unicode MS" w:eastAsia="Arial Unicode MS" w:hint="default"/>
          <w:rtl w:val="0"/>
          <w:lang w:val="en-US"/>
        </w:rPr>
        <w:t>‘</w:t>
      </w:r>
      <w:r>
        <w:rPr>
          <w:rFonts w:cs="Arial Unicode MS" w:eastAsia="Arial Unicode MS"/>
          <w:rtl w:val="0"/>
          <w:lang w:val="en-US"/>
        </w:rPr>
        <w:t>Orientation</w:t>
      </w:r>
      <w:r>
        <w:rPr>
          <w:rFonts w:cs="Arial Unicode MS" w:eastAsia="Arial Unicode MS" w:hint="default"/>
          <w:rtl w:val="0"/>
          <w:lang w:val="en-US"/>
        </w:rPr>
        <w:t>’</w:t>
      </w:r>
      <w:r>
        <w:rPr>
          <w:rFonts w:cs="Arial Unicode MS" w:eastAsia="Arial Unicode MS"/>
          <w:rtl w:val="0"/>
          <w:lang w:val="en-US"/>
        </w:rPr>
        <w:t>, p. 52.</w:t>
      </w:r>
    </w:p>
  </w:footnote>
  <w:footnote w:id="250">
    <w:p>
      <w:pPr>
        <w:pStyle w:val="Footnote"/>
        <w:bidi w:val="0"/>
      </w:pPr>
      <w:r>
        <w:rPr>
          <w:vertAlign w:val="superscript"/>
        </w:rPr>
        <w:footnoteRef/>
      </w:r>
      <w:r>
        <w:rPr>
          <w:rFonts w:cs="Arial Unicode MS" w:eastAsia="Arial Unicode MS"/>
          <w:rtl w:val="0"/>
          <w:lang w:val="de-DE"/>
        </w:rPr>
        <w:t xml:space="preserve"> Niemeier and Niemeier, </w:t>
      </w:r>
      <w:r>
        <w:rPr>
          <w:rFonts w:cs="Arial Unicode MS" w:eastAsia="Arial Unicode MS" w:hint="default"/>
          <w:rtl w:val="1"/>
        </w:rPr>
        <w:t>‘</w:t>
      </w:r>
      <w:r>
        <w:rPr>
          <w:rFonts w:cs="Arial Unicode MS" w:eastAsia="Arial Unicode MS"/>
          <w:rtl w:val="0"/>
          <w:lang w:val="pt-PT"/>
        </w:rPr>
        <w:t>Frescoes</w:t>
      </w:r>
      <w:r>
        <w:rPr>
          <w:rFonts w:cs="Arial Unicode MS" w:eastAsia="Arial Unicode MS" w:hint="default"/>
          <w:rtl w:val="1"/>
        </w:rPr>
        <w:t>’</w:t>
      </w:r>
      <w:r>
        <w:rPr>
          <w:rFonts w:cs="Arial Unicode MS" w:eastAsia="Arial Unicode MS"/>
          <w:rtl w:val="0"/>
        </w:rPr>
        <w:t>, p. 77</w:t>
      </w:r>
      <w:r>
        <w:rPr>
          <w:rFonts w:cs="Arial Unicode MS" w:eastAsia="Arial Unicode MS"/>
          <w:rtl w:val="0"/>
          <w:lang w:val="en-US"/>
        </w:rPr>
        <w:t>.</w:t>
      </w:r>
    </w:p>
  </w:footnote>
  <w:footnote w:id="251">
    <w:p>
      <w:pPr>
        <w:pStyle w:val="Footnote"/>
        <w:bidi w:val="0"/>
      </w:pPr>
      <w:r>
        <w:rPr>
          <w:vertAlign w:val="superscript"/>
        </w:rPr>
        <w:footnoteRef/>
      </w:r>
      <w:r>
        <w:rPr>
          <w:rFonts w:cs="Arial Unicode MS" w:eastAsia="Arial Unicode MS"/>
          <w:rtl w:val="0"/>
        </w:rPr>
        <w:t xml:space="preserve"> S</w:t>
      </w:r>
      <w:r>
        <w:rPr>
          <w:rFonts w:cs="Arial Unicode MS" w:eastAsia="Arial Unicode MS" w:hint="default"/>
          <w:rtl w:val="0"/>
          <w:lang w:val="da-DK"/>
        </w:rPr>
        <w:t>ø</w:t>
      </w:r>
      <w:r>
        <w:rPr>
          <w:rFonts w:cs="Arial Unicode MS" w:eastAsia="Arial Unicode MS"/>
          <w:rtl w:val="0"/>
          <w:lang w:val="da-DK"/>
        </w:rPr>
        <w:t xml:space="preserve">rensen, </w:t>
      </w:r>
      <w:r>
        <w:rPr>
          <w:rFonts w:cs="Arial Unicode MS" w:eastAsia="Arial Unicode MS" w:hint="default"/>
          <w:rtl w:val="1"/>
        </w:rPr>
        <w:t>‘</w:t>
      </w:r>
      <w:r>
        <w:rPr>
          <w:rFonts w:cs="Arial Unicode MS" w:eastAsia="Arial Unicode MS"/>
          <w:rtl w:val="0"/>
          <w:lang w:val="en-US"/>
        </w:rPr>
        <w:t>Approaching</w:t>
      </w:r>
      <w:r>
        <w:rPr>
          <w:rFonts w:cs="Arial Unicode MS" w:eastAsia="Arial Unicode MS" w:hint="default"/>
          <w:rtl w:val="1"/>
        </w:rPr>
        <w:t>’</w:t>
      </w:r>
      <w:r>
        <w:rPr>
          <w:rFonts w:cs="Arial Unicode MS" w:eastAsia="Arial Unicode MS"/>
          <w:rtl w:val="0"/>
        </w:rPr>
        <w:t>,</w:t>
      </w:r>
      <w:r>
        <w:rPr>
          <w:rFonts w:cs="Arial Unicode MS" w:eastAsia="Arial Unicode MS"/>
          <w:rtl w:val="0"/>
          <w:lang w:val="en-US"/>
        </w:rPr>
        <w:t xml:space="preserve"> p.</w:t>
      </w:r>
      <w:r>
        <w:rPr>
          <w:rFonts w:cs="Arial Unicode MS" w:eastAsia="Arial Unicode MS"/>
          <w:rtl w:val="0"/>
        </w:rPr>
        <w:t xml:space="preserve"> 13</w:t>
      </w:r>
      <w:r>
        <w:rPr>
          <w:rFonts w:cs="Arial Unicode MS" w:eastAsia="Arial Unicode MS"/>
          <w:rtl w:val="0"/>
          <w:lang w:val="en-US"/>
        </w:rPr>
        <w:t>.</w:t>
      </w:r>
    </w:p>
  </w:footnote>
  <w:footnote w:id="252">
    <w:p>
      <w:pPr>
        <w:pStyle w:val="Footnote"/>
        <w:bidi w:val="0"/>
      </w:pPr>
      <w:r>
        <w:rPr>
          <w:vertAlign w:val="superscript"/>
        </w:rPr>
        <w:footnoteRef/>
      </w:r>
      <w:r>
        <w:rPr>
          <w:rFonts w:cs="Arial Unicode MS" w:eastAsia="Arial Unicode MS"/>
          <w:rtl w:val="0"/>
        </w:rPr>
        <w:t xml:space="preserve"> Michal</w:t>
      </w:r>
      <w:r>
        <w:rPr>
          <w:rFonts w:cs="Arial Unicode MS" w:eastAsia="Arial Unicode MS"/>
          <w:rtl w:val="0"/>
          <w:lang w:val="en-US"/>
        </w:rPr>
        <w:t xml:space="preserve"> </w:t>
      </w:r>
      <w:r>
        <w:rPr>
          <w:rFonts w:cs="Arial Unicode MS" w:eastAsia="Arial Unicode MS"/>
          <w:rtl w:val="0"/>
        </w:rPr>
        <w:t xml:space="preserve">Artzy, </w:t>
      </w:r>
      <w:r>
        <w:rPr>
          <w:rFonts w:cs="Arial Unicode MS" w:eastAsia="Arial Unicode MS" w:hint="default"/>
          <w:rtl w:val="1"/>
        </w:rPr>
        <w:t>‘</w:t>
      </w:r>
      <w:r>
        <w:rPr>
          <w:rFonts w:cs="Arial Unicode MS" w:eastAsia="Arial Unicode MS"/>
          <w:rtl w:val="0"/>
          <w:lang w:val="de-DE"/>
        </w:rPr>
        <w:t>From Akko/Acco to Beit She</w:t>
      </w:r>
      <w:r>
        <w:rPr>
          <w:rFonts w:cs="Arial Unicode MS" w:eastAsia="Arial Unicode MS" w:hint="default"/>
          <w:rtl w:val="1"/>
        </w:rPr>
        <w:t>’</w:t>
      </w:r>
      <w:r>
        <w:rPr>
          <w:rFonts w:cs="Arial Unicode MS" w:eastAsia="Arial Unicode MS"/>
          <w:rtl w:val="0"/>
          <w:lang w:val="en-US"/>
        </w:rPr>
        <w:t>an/Beth Shan in the Late Bronze Age</w:t>
      </w:r>
      <w:r>
        <w:rPr>
          <w:rFonts w:cs="Arial Unicode MS" w:eastAsia="Arial Unicode MS" w:hint="default"/>
          <w:rtl w:val="1"/>
        </w:rPr>
        <w:t>’</w:t>
      </w:r>
      <w:r>
        <w:rPr>
          <w:rFonts w:cs="Arial Unicode MS" w:eastAsia="Arial Unicode MS"/>
          <w:rtl w:val="0"/>
        </w:rPr>
        <w:t xml:space="preserve">, </w:t>
      </w:r>
      <w:r>
        <w:rPr>
          <w:rFonts w:cs="Arial Unicode MS" w:eastAsia="Arial Unicode MS" w:hint="default"/>
          <w:i w:val="1"/>
          <w:iCs w:val="1"/>
          <w:rtl w:val="0"/>
          <w:lang w:val="sv-SE"/>
        </w:rPr>
        <w:t>Ä</w:t>
      </w:r>
      <w:r>
        <w:rPr>
          <w:rFonts w:cs="Arial Unicode MS" w:eastAsia="Arial Unicode MS"/>
          <w:i w:val="1"/>
          <w:iCs w:val="1"/>
          <w:rtl w:val="0"/>
          <w:lang w:val="en-US"/>
        </w:rPr>
        <w:t>gypten und Levante/Egypt and the Levant</w:t>
      </w:r>
      <w:r>
        <w:rPr>
          <w:rFonts w:cs="Arial Unicode MS" w:eastAsia="Arial Unicode MS"/>
          <w:rtl w:val="0"/>
        </w:rPr>
        <w:t xml:space="preserve">, 28 (2018), </w:t>
      </w:r>
      <w:r>
        <w:rPr>
          <w:rFonts w:cs="Arial Unicode MS" w:eastAsia="Arial Unicode MS"/>
          <w:rtl w:val="0"/>
          <w:lang w:val="en-US"/>
        </w:rPr>
        <w:t>p. 88.</w:t>
      </w:r>
    </w:p>
  </w:footnote>
  <w:footnote w:id="253">
    <w:p>
      <w:pPr>
        <w:pStyle w:val="Footnote"/>
        <w:bidi w:val="0"/>
      </w:pPr>
      <w:r>
        <w:rPr>
          <w:vertAlign w:val="superscript"/>
        </w:rPr>
        <w:footnoteRef/>
      </w:r>
      <w:r>
        <w:rPr>
          <w:rFonts w:cs="Arial Unicode MS" w:eastAsia="Arial Unicode MS"/>
          <w:rtl w:val="0"/>
        </w:rPr>
        <w:t xml:space="preserve"> Artzy</w:t>
      </w:r>
      <w:r>
        <w:rPr>
          <w:rFonts w:cs="Arial Unicode MS" w:eastAsia="Arial Unicode MS"/>
          <w:rtl w:val="0"/>
          <w:lang w:val="en-US"/>
        </w:rPr>
        <w:t>,</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A</w:t>
      </w:r>
      <w:r>
        <w:rPr>
          <w:rFonts w:cs="Arial Unicode MS" w:eastAsia="Arial Unicode MS"/>
          <w:rtl w:val="0"/>
        </w:rPr>
        <w:t>kko</w:t>
      </w:r>
      <w:r>
        <w:rPr>
          <w:rFonts w:cs="Arial Unicode MS" w:eastAsia="Arial Unicode MS" w:hint="default"/>
          <w:rtl w:val="0"/>
          <w:lang w:val="en-US"/>
        </w:rPr>
        <w:t>’</w:t>
      </w:r>
      <w:r>
        <w:rPr>
          <w:rFonts w:cs="Arial Unicode MS" w:eastAsia="Arial Unicode MS"/>
          <w:rtl w:val="0"/>
          <w:lang w:val="en-US"/>
        </w:rPr>
        <w:t>, p.</w:t>
      </w:r>
      <w:r>
        <w:rPr>
          <w:rFonts w:cs="Arial Unicode MS" w:eastAsia="Arial Unicode MS"/>
          <w:rtl w:val="0"/>
        </w:rPr>
        <w:t xml:space="preserve"> 85</w:t>
      </w:r>
      <w:r>
        <w:rPr>
          <w:rFonts w:cs="Arial Unicode MS" w:eastAsia="Arial Unicode MS"/>
          <w:rtl w:val="0"/>
          <w:lang w:val="en-US"/>
        </w:rPr>
        <w:t xml:space="preserve">; </w:t>
      </w:r>
      <w:r>
        <w:rPr>
          <w:rFonts w:cs="Arial Unicode MS" w:eastAsia="Arial Unicode MS"/>
          <w:rtl w:val="0"/>
          <w:lang w:val="de-DE"/>
        </w:rPr>
        <w:t xml:space="preserve">Trevor Bryce, </w:t>
      </w:r>
      <w:r>
        <w:rPr>
          <w:rFonts w:cs="Arial Unicode MS" w:eastAsia="Arial Unicode MS"/>
          <w:i w:val="1"/>
          <w:iCs w:val="1"/>
          <w:rtl w:val="0"/>
          <w:lang w:val="en-US"/>
        </w:rPr>
        <w:t>The Routledge Handbook of the Peoples and Places of Ancient Western Asia: The near East from the Early Bronze Age to the Fall of the Persian Empire</w:t>
      </w:r>
      <w:r>
        <w:rPr>
          <w:rFonts w:cs="Arial Unicode MS" w:eastAsia="Arial Unicode MS"/>
          <w:rtl w:val="0"/>
          <w:lang w:val="en-US"/>
        </w:rPr>
        <w:t xml:space="preserve"> (Routledge, 2009), p</w:t>
      </w:r>
      <w:r>
        <w:rPr>
          <w:rFonts w:cs="Arial Unicode MS" w:eastAsia="Arial Unicode MS"/>
          <w:rtl w:val="0"/>
          <w:lang w:val="en-US"/>
        </w:rPr>
        <w:t>p</w:t>
      </w:r>
      <w:r>
        <w:rPr>
          <w:rFonts w:cs="Arial Unicode MS" w:eastAsia="Arial Unicode MS"/>
          <w:rtl w:val="0"/>
        </w:rPr>
        <w:t>. 18</w:t>
      </w:r>
      <w:r>
        <w:rPr>
          <w:rFonts w:cs="Arial Unicode MS" w:eastAsia="Arial Unicode MS"/>
          <w:rtl w:val="0"/>
          <w:lang w:val="en-US"/>
        </w:rPr>
        <w:t>,</w:t>
      </w:r>
      <w:r>
        <w:rPr>
          <w:rFonts w:cs="Arial Unicode MS" w:eastAsia="Arial Unicode MS"/>
          <w:rtl w:val="0"/>
        </w:rPr>
        <w:t xml:space="preserve"> 19</w:t>
      </w:r>
      <w:r>
        <w:rPr>
          <w:rFonts w:cs="Arial Unicode MS" w:eastAsia="Arial Unicode MS"/>
          <w:rtl w:val="0"/>
          <w:lang w:val="en-US"/>
        </w:rPr>
        <w:t>.</w:t>
      </w:r>
    </w:p>
  </w:footnote>
  <w:footnote w:id="254">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 xml:space="preserve">Hesse, </w:t>
      </w:r>
      <w:r>
        <w:rPr>
          <w:rFonts w:cs="Arial Unicode MS" w:eastAsia="Arial Unicode MS" w:hint="default"/>
          <w:rtl w:val="1"/>
        </w:rPr>
        <w:t>‘</w:t>
      </w:r>
      <w:r>
        <w:rPr>
          <w:rFonts w:cs="Arial Unicode MS" w:eastAsia="Arial Unicode MS"/>
          <w:rtl w:val="0"/>
          <w:lang w:val="nl-NL"/>
        </w:rPr>
        <w:t>Late</w:t>
      </w:r>
      <w:r>
        <w:rPr>
          <w:rFonts w:cs="Arial Unicode MS" w:eastAsia="Arial Unicode MS" w:hint="default"/>
          <w:rtl w:val="1"/>
        </w:rPr>
        <w:t>’</w:t>
      </w:r>
      <w:r>
        <w:rPr>
          <w:rFonts w:cs="Arial Unicode MS" w:eastAsia="Arial Unicode MS"/>
          <w:rtl w:val="0"/>
        </w:rPr>
        <w:t>, p. 48</w:t>
      </w:r>
      <w:r>
        <w:rPr>
          <w:rFonts w:cs="Arial Unicode MS" w:eastAsia="Arial Unicode MS"/>
          <w:rtl w:val="0"/>
          <w:lang w:val="en-US"/>
        </w:rPr>
        <w:t>.</w:t>
      </w:r>
    </w:p>
  </w:footnote>
  <w:footnote w:id="255">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 xml:space="preserve">Hesse, </w:t>
      </w:r>
      <w:r>
        <w:rPr>
          <w:rFonts w:cs="Arial Unicode MS" w:eastAsia="Arial Unicode MS" w:hint="default"/>
          <w:rtl w:val="1"/>
        </w:rPr>
        <w:t>‘</w:t>
      </w:r>
      <w:r>
        <w:rPr>
          <w:rFonts w:cs="Arial Unicode MS" w:eastAsia="Arial Unicode MS"/>
          <w:rtl w:val="0"/>
          <w:lang w:val="nl-NL"/>
        </w:rPr>
        <w:t>Late</w:t>
      </w:r>
      <w:r>
        <w:rPr>
          <w:rFonts w:cs="Arial Unicode MS" w:eastAsia="Arial Unicode MS" w:hint="default"/>
          <w:rtl w:val="1"/>
        </w:rPr>
        <w:t>’</w:t>
      </w:r>
      <w:r>
        <w:rPr>
          <w:rFonts w:cs="Arial Unicode MS" w:eastAsia="Arial Unicode MS"/>
          <w:rtl w:val="0"/>
        </w:rPr>
        <w:t>, p. 48</w:t>
      </w:r>
      <w:r>
        <w:rPr>
          <w:rFonts w:cs="Arial Unicode MS" w:eastAsia="Arial Unicode MS"/>
          <w:rtl w:val="0"/>
          <w:lang w:val="en-US"/>
        </w:rPr>
        <w:t>.</w:t>
      </w:r>
    </w:p>
  </w:footnote>
  <w:footnote w:id="256">
    <w:p>
      <w:pPr>
        <w:pStyle w:val="Footnote"/>
        <w:bidi w:val="0"/>
      </w:pPr>
      <w:r>
        <w:rPr>
          <w:vertAlign w:val="superscript"/>
        </w:rPr>
        <w:footnoteRef/>
      </w:r>
      <w:r>
        <w:rPr>
          <w:rFonts w:cs="Arial Unicode MS" w:eastAsia="Arial Unicode MS"/>
          <w:rtl w:val="0"/>
        </w:rPr>
        <w:t xml:space="preserve"> Artzy, </w:t>
      </w:r>
      <w:r>
        <w:rPr>
          <w:rFonts w:cs="Arial Unicode MS" w:eastAsia="Arial Unicode MS" w:hint="default"/>
          <w:rtl w:val="0"/>
          <w:lang w:val="en-US"/>
        </w:rPr>
        <w:t>‘</w:t>
      </w:r>
      <w:r>
        <w:rPr>
          <w:rFonts w:cs="Arial Unicode MS" w:eastAsia="Arial Unicode MS"/>
          <w:rtl w:val="0"/>
        </w:rPr>
        <w:t>Akko</w:t>
      </w:r>
      <w:r>
        <w:rPr>
          <w:rFonts w:cs="Arial Unicode MS" w:eastAsia="Arial Unicode MS" w:hint="default"/>
          <w:rtl w:val="0"/>
          <w:lang w:val="en-US"/>
        </w:rPr>
        <w:t>’</w:t>
      </w:r>
      <w:r>
        <w:rPr>
          <w:rFonts w:cs="Arial Unicode MS" w:eastAsia="Arial Unicode MS"/>
          <w:rtl w:val="0"/>
          <w:lang w:val="en-US"/>
        </w:rPr>
        <w:t>, p. 90.</w:t>
      </w:r>
    </w:p>
  </w:footnote>
  <w:footnote w:id="25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Shaw, </w:t>
      </w:r>
      <w:r>
        <w:rPr>
          <w:rFonts w:cs="Arial Unicode MS" w:eastAsia="Arial Unicode MS" w:hint="default"/>
          <w:rtl w:val="0"/>
          <w:lang w:val="en-US"/>
        </w:rPr>
        <w:t>‘</w:t>
      </w:r>
      <w:r>
        <w:rPr>
          <w:rFonts w:cs="Arial Unicode MS" w:eastAsia="Arial Unicode MS"/>
          <w:rtl w:val="0"/>
          <w:lang w:val="en-US"/>
        </w:rPr>
        <w:t>Orientation</w:t>
      </w:r>
      <w:r>
        <w:rPr>
          <w:rFonts w:cs="Arial Unicode MS" w:eastAsia="Arial Unicode MS" w:hint="default"/>
          <w:rtl w:val="0"/>
          <w:lang w:val="en-US"/>
        </w:rPr>
        <w:t>’</w:t>
      </w:r>
      <w:r>
        <w:rPr>
          <w:rFonts w:cs="Arial Unicode MS" w:eastAsia="Arial Unicode MS"/>
          <w:rtl w:val="0"/>
          <w:lang w:val="en-US"/>
        </w:rPr>
        <w:t>, p. 53.</w:t>
      </w:r>
    </w:p>
  </w:footnote>
  <w:footnote w:id="258">
    <w:p>
      <w:pPr>
        <w:pStyle w:val="Footnote"/>
        <w:bidi w:val="0"/>
      </w:pPr>
      <w:r>
        <w:rPr>
          <w:vertAlign w:val="superscript"/>
        </w:rPr>
        <w:footnoteRef/>
      </w:r>
      <w:r>
        <w:rPr>
          <w:rFonts w:cs="Arial Unicode MS" w:eastAsia="Arial Unicode MS"/>
          <w:rtl w:val="0"/>
          <w:lang w:val="fr-FR"/>
        </w:rPr>
        <w:t xml:space="preserve"> Jean-Daniel</w:t>
      </w:r>
      <w:r>
        <w:rPr>
          <w:rFonts w:cs="Arial Unicode MS" w:eastAsia="Arial Unicode MS"/>
          <w:rtl w:val="0"/>
          <w:lang w:val="en-US"/>
        </w:rPr>
        <w:t xml:space="preserve"> </w:t>
      </w:r>
      <w:r>
        <w:rPr>
          <w:rFonts w:cs="Arial Unicode MS" w:eastAsia="Arial Unicode MS"/>
          <w:rtl w:val="0"/>
          <w:lang w:val="it-IT"/>
        </w:rPr>
        <w:t>Stanley, Maria Pia Bernasconi, and Thomas F</w:t>
      </w:r>
      <w:r>
        <w:rPr>
          <w:rFonts w:cs="Arial Unicode MS" w:eastAsia="Arial Unicode MS"/>
          <w:rtl w:val="0"/>
          <w:lang w:val="en-US"/>
        </w:rPr>
        <w:t>.</w:t>
      </w:r>
      <w:r>
        <w:rPr>
          <w:rFonts w:cs="Arial Unicode MS" w:eastAsia="Arial Unicode MS"/>
          <w:rtl w:val="0"/>
          <w:lang w:val="de-DE"/>
        </w:rPr>
        <w:t xml:space="preserve"> Jorstad, </w:t>
      </w:r>
      <w:r>
        <w:rPr>
          <w:rFonts w:cs="Arial Unicode MS" w:eastAsia="Arial Unicode MS" w:hint="default"/>
          <w:rtl w:val="1"/>
        </w:rPr>
        <w:t>‘</w:t>
      </w:r>
      <w:r>
        <w:rPr>
          <w:rFonts w:cs="Arial Unicode MS" w:eastAsia="Arial Unicode MS"/>
          <w:rtl w:val="0"/>
          <w:lang w:val="en-US"/>
        </w:rPr>
        <w:t>Pelusium, an Ancient Port Fortress on Egypt</w:t>
      </w:r>
      <w:r>
        <w:rPr>
          <w:rFonts w:cs="Arial Unicode MS" w:eastAsia="Arial Unicode MS" w:hint="default"/>
          <w:rtl w:val="1"/>
        </w:rPr>
        <w:t>’</w:t>
      </w:r>
      <w:r>
        <w:rPr>
          <w:rFonts w:cs="Arial Unicode MS" w:eastAsia="Arial Unicode MS"/>
          <w:rtl w:val="0"/>
          <w:lang w:val="en-US"/>
        </w:rPr>
        <w:t>s Nile Delta Coast: Its Evolving Environmental Setting from Foundation to Demise</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Journal of Coastal Research</w:t>
      </w:r>
      <w:r>
        <w:rPr>
          <w:rFonts w:cs="Arial Unicode MS" w:eastAsia="Arial Unicode MS"/>
          <w:rtl w:val="0"/>
        </w:rPr>
        <w:t xml:space="preserve">, 24 (2008), </w:t>
      </w:r>
      <w:r>
        <w:rPr>
          <w:rFonts w:cs="Arial Unicode MS" w:eastAsia="Arial Unicode MS"/>
          <w:rtl w:val="0"/>
          <w:lang w:val="en-US"/>
        </w:rPr>
        <w:t xml:space="preserve">p. </w:t>
      </w:r>
      <w:r>
        <w:rPr>
          <w:rFonts w:cs="Arial Unicode MS" w:eastAsia="Arial Unicode MS"/>
          <w:rtl w:val="0"/>
        </w:rPr>
        <w:t>451</w:t>
      </w:r>
      <w:r>
        <w:rPr>
          <w:rFonts w:cs="Arial Unicode MS" w:eastAsia="Arial Unicode MS"/>
          <w:rtl w:val="0"/>
          <w:lang w:val="en-US"/>
        </w:rPr>
        <w:t>.</w:t>
      </w:r>
    </w:p>
  </w:footnote>
  <w:footnote w:id="259">
    <w:p>
      <w:pPr>
        <w:pStyle w:val="Footnote"/>
        <w:bidi w:val="0"/>
      </w:pPr>
      <w:r>
        <w:rPr>
          <w:vertAlign w:val="superscript"/>
        </w:rPr>
        <w:footnoteRef/>
      </w:r>
      <w:r>
        <w:rPr>
          <w:rFonts w:cs="Arial Unicode MS" w:eastAsia="Arial Unicode MS"/>
          <w:rtl w:val="0"/>
        </w:rPr>
        <w:t xml:space="preserve"> Stanley</w:t>
      </w:r>
      <w:r>
        <w:rPr>
          <w:rFonts w:cs="Arial Unicode MS" w:eastAsia="Arial Unicode MS"/>
          <w:rtl w:val="0"/>
          <w:lang w:val="en-US"/>
        </w:rPr>
        <w:t xml:space="preserve"> </w:t>
      </w:r>
      <w:r>
        <w:rPr>
          <w:rFonts w:cs="Arial Unicode MS" w:eastAsia="Arial Unicode MS"/>
          <w:rtl w:val="0"/>
          <w:lang w:val="en-US"/>
        </w:rPr>
        <w:t>and others</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Pelusium</w:t>
      </w:r>
      <w:r>
        <w:rPr>
          <w:rFonts w:cs="Arial Unicode MS" w:eastAsia="Arial Unicode MS" w:hint="default"/>
          <w:rtl w:val="0"/>
          <w:lang w:val="en-US"/>
        </w:rPr>
        <w:t>’</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 xml:space="preserve">p. </w:t>
      </w:r>
      <w:r>
        <w:rPr>
          <w:rFonts w:cs="Arial Unicode MS" w:eastAsia="Arial Unicode MS"/>
          <w:rtl w:val="0"/>
        </w:rPr>
        <w:t>451</w:t>
      </w:r>
      <w:r>
        <w:rPr>
          <w:rFonts w:cs="Arial Unicode MS" w:eastAsia="Arial Unicode MS"/>
          <w:rtl w:val="0"/>
          <w:lang w:val="en-US"/>
        </w:rPr>
        <w:t>-452.</w:t>
      </w:r>
    </w:p>
  </w:footnote>
  <w:footnote w:id="260">
    <w:p>
      <w:pPr>
        <w:pStyle w:val="Footnote"/>
        <w:bidi w:val="0"/>
      </w:pPr>
      <w:r>
        <w:rPr>
          <w:vertAlign w:val="superscript"/>
        </w:rPr>
        <w:footnoteRef/>
      </w:r>
      <w:r>
        <w:rPr>
          <w:rFonts w:cs="Arial Unicode MS" w:eastAsia="Arial Unicode MS"/>
          <w:rtl w:val="0"/>
          <w:lang w:val="en-US"/>
        </w:rPr>
        <w:t xml:space="preserve"> Stanley and others, </w:t>
      </w:r>
      <w:r>
        <w:rPr>
          <w:rFonts w:cs="Arial Unicode MS" w:eastAsia="Arial Unicode MS" w:hint="default"/>
          <w:rtl w:val="1"/>
        </w:rPr>
        <w:t>‘</w:t>
      </w:r>
      <w:r>
        <w:rPr>
          <w:rFonts w:cs="Arial Unicode MS" w:eastAsia="Arial Unicode MS"/>
          <w:rtl w:val="0"/>
        </w:rPr>
        <w:t>Pelusium</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453.</w:t>
      </w:r>
    </w:p>
  </w:footnote>
  <w:footnote w:id="261">
    <w:p>
      <w:pPr>
        <w:pStyle w:val="Footnote"/>
        <w:bidi w:val="0"/>
      </w:pPr>
      <w:r>
        <w:rPr>
          <w:vertAlign w:val="superscript"/>
        </w:rPr>
        <w:footnoteRef/>
      </w:r>
      <w:r>
        <w:rPr>
          <w:rFonts w:cs="Arial Unicode MS" w:eastAsia="Arial Unicode MS"/>
          <w:rtl w:val="0"/>
        </w:rPr>
        <w:t xml:space="preserve"> Krzysztof</w:t>
      </w:r>
      <w:r>
        <w:rPr>
          <w:rFonts w:cs="Arial Unicode MS" w:eastAsia="Arial Unicode MS"/>
          <w:rtl w:val="0"/>
          <w:lang w:val="en-US"/>
        </w:rPr>
        <w:t xml:space="preserve"> </w:t>
      </w:r>
      <w:r>
        <w:rPr>
          <w:rFonts w:cs="Arial Unicode MS" w:eastAsia="Arial Unicode MS"/>
          <w:rtl w:val="0"/>
        </w:rPr>
        <w:t>Jakubiak</w:t>
      </w:r>
      <w:r>
        <w:rPr>
          <w:rFonts w:cs="Arial Unicode MS" w:eastAsia="Arial Unicode MS"/>
          <w:rtl w:val="0"/>
          <w:lang w:val="en-US"/>
        </w:rPr>
        <w:t>,</w:t>
      </w:r>
      <w:r>
        <w:rPr>
          <w:rFonts w:cs="Arial Unicode MS" w:eastAsia="Arial Unicode MS" w:hint="default"/>
          <w:rtl w:val="1"/>
        </w:rPr>
        <w:t xml:space="preserve"> ‘</w:t>
      </w:r>
      <w:r>
        <w:rPr>
          <w:rFonts w:cs="Arial Unicode MS" w:eastAsia="Arial Unicode MS"/>
          <w:rtl w:val="0"/>
          <w:lang w:val="en-US"/>
        </w:rPr>
        <w:t>Tell Farama (Pelusium). The City on Sinai - Where Egypt and Middle East Meet</w:t>
      </w:r>
      <w:r>
        <w:rPr>
          <w:rFonts w:cs="Arial Unicode MS" w:eastAsia="Arial Unicode MS" w:hint="default"/>
          <w:rtl w:val="1"/>
        </w:rPr>
        <w:t xml:space="preserve">’ </w:t>
      </w:r>
      <w:r>
        <w:rPr>
          <w:rFonts w:cs="Arial Unicode MS" w:eastAsia="Arial Unicode MS"/>
          <w:rtl w:val="0"/>
        </w:rPr>
        <w:t xml:space="preserve">in </w:t>
      </w:r>
      <w:r>
        <w:rPr>
          <w:rFonts w:cs="Arial Unicode MS" w:eastAsia="Arial Unicode MS"/>
          <w:i w:val="1"/>
          <w:iCs w:val="1"/>
          <w:rtl w:val="0"/>
          <w:lang w:val="it-IT"/>
        </w:rPr>
        <w:t>Luca Bombardieri, Anacleto D</w:t>
      </w:r>
      <w:r>
        <w:rPr>
          <w:rFonts w:cs="Arial Unicode MS" w:eastAsia="Arial Unicode MS" w:hint="default"/>
          <w:i w:val="1"/>
          <w:iCs w:val="1"/>
          <w:rtl w:val="1"/>
        </w:rPr>
        <w:t>’</w:t>
      </w:r>
      <w:r>
        <w:rPr>
          <w:rFonts w:cs="Arial Unicode MS" w:eastAsia="Arial Unicode MS"/>
          <w:i w:val="1"/>
          <w:iCs w:val="1"/>
          <w:rtl w:val="0"/>
          <w:lang w:val="it-IT"/>
        </w:rPr>
        <w:t>Agostino, Guido Guarducci, Valentina Orsi and Stefano Valentini (eds.)</w:t>
      </w:r>
      <w:r>
        <w:rPr>
          <w:rFonts w:cs="Arial Unicode MS" w:eastAsia="Arial Unicode MS"/>
          <w:rtl w:val="0"/>
        </w:rPr>
        <w:t xml:space="preserve">, </w:t>
      </w:r>
      <w:r>
        <w:rPr>
          <w:rFonts w:cs="Arial Unicode MS" w:eastAsia="Arial Unicode MS"/>
          <w:i w:val="1"/>
          <w:iCs w:val="1"/>
          <w:rtl w:val="0"/>
        </w:rPr>
        <w:t>Soma 2012</w:t>
      </w:r>
      <w:r>
        <w:rPr>
          <w:rFonts w:cs="Arial Unicode MS" w:eastAsia="Arial Unicode MS"/>
          <w:rtl w:val="0"/>
        </w:rPr>
        <w:t xml:space="preserve"> (2013)</w:t>
      </w:r>
      <w:r>
        <w:rPr>
          <w:rFonts w:cs="Arial Unicode MS" w:eastAsia="Arial Unicode MS"/>
          <w:rtl w:val="0"/>
          <w:lang w:val="en-US"/>
        </w:rPr>
        <w:t>, p. 572.</w:t>
      </w:r>
    </w:p>
  </w:footnote>
  <w:footnote w:id="262">
    <w:p>
      <w:pPr>
        <w:pStyle w:val="Footnote"/>
        <w:bidi w:val="0"/>
      </w:pPr>
      <w:r>
        <w:rPr>
          <w:vertAlign w:val="superscript"/>
        </w:rPr>
        <w:footnoteRef/>
      </w:r>
      <w:r>
        <w:rPr>
          <w:rFonts w:cs="Arial Unicode MS" w:eastAsia="Arial Unicode MS"/>
          <w:rtl w:val="0"/>
          <w:lang w:val="de-DE"/>
        </w:rPr>
        <w:t xml:space="preserve"> Manfred</w:t>
      </w:r>
      <w:r>
        <w:rPr>
          <w:rFonts w:cs="Arial Unicode MS" w:eastAsia="Arial Unicode MS"/>
          <w:rtl w:val="0"/>
          <w:lang w:val="en-US"/>
        </w:rPr>
        <w:t xml:space="preserve"> </w:t>
      </w:r>
      <w:r>
        <w:rPr>
          <w:rFonts w:cs="Arial Unicode MS" w:eastAsia="Arial Unicode MS"/>
          <w:rtl w:val="0"/>
        </w:rPr>
        <w:t xml:space="preserve">Bietak, </w:t>
      </w:r>
      <w:r>
        <w:rPr>
          <w:rFonts w:cs="Arial Unicode MS" w:eastAsia="Arial Unicode MS" w:hint="default"/>
          <w:rtl w:val="1"/>
        </w:rPr>
        <w:t>‘</w:t>
      </w:r>
      <w:r>
        <w:rPr>
          <w:rFonts w:cs="Arial Unicode MS" w:eastAsia="Arial Unicode MS"/>
          <w:rtl w:val="0"/>
          <w:lang w:val="en-US"/>
        </w:rPr>
        <w:t>Minoan Presence in the Pharaonic Naval Base of" Peru-Nefer"</w:t>
      </w:r>
      <w:r>
        <w:rPr>
          <w:rFonts w:cs="Arial Unicode MS" w:eastAsia="Arial Unicode MS" w:hint="default"/>
          <w:rtl w:val="1"/>
        </w:rPr>
        <w:t>’</w:t>
      </w:r>
      <w:r>
        <w:rPr>
          <w:rFonts w:cs="Arial Unicode MS" w:eastAsia="Arial Unicode MS"/>
          <w:rtl w:val="0"/>
        </w:rPr>
        <w:t xml:space="preserve">, </w:t>
      </w:r>
      <w:r>
        <w:rPr>
          <w:rFonts w:cs="Arial Unicode MS" w:eastAsia="Arial Unicode MS"/>
          <w:i w:val="1"/>
          <w:iCs w:val="1"/>
          <w:rtl w:val="0"/>
          <w:lang w:val="en-US"/>
        </w:rPr>
        <w:t>British School at Athens Studies</w:t>
      </w:r>
      <w:r>
        <w:rPr>
          <w:rFonts w:cs="Arial Unicode MS" w:eastAsia="Arial Unicode MS"/>
          <w:rtl w:val="0"/>
        </w:rPr>
        <w:t xml:space="preserve">: (2010), </w:t>
      </w:r>
      <w:r>
        <w:rPr>
          <w:rFonts w:cs="Arial Unicode MS" w:eastAsia="Arial Unicode MS"/>
          <w:rtl w:val="0"/>
          <w:lang w:val="en-US"/>
        </w:rPr>
        <w:t>p. 11.</w:t>
      </w:r>
    </w:p>
  </w:footnote>
  <w:footnote w:id="263">
    <w:p>
      <w:pPr>
        <w:pStyle w:val="Footnote"/>
      </w:pPr>
      <w:r>
        <w:rPr>
          <w:b w:val="1"/>
          <w:bCs w:val="1"/>
          <w:vertAlign w:val="superscript"/>
        </w:rPr>
        <w:footnoteRef/>
      </w:r>
      <w:r>
        <w:rPr>
          <w:b w:val="1"/>
          <w:bCs w:val="1"/>
          <w:rtl w:val="0"/>
        </w:rPr>
        <w:t xml:space="preserve"> </w:t>
      </w:r>
      <w:r>
        <w:rPr>
          <w:b w:val="0"/>
          <w:bCs w:val="0"/>
          <w:rtl w:val="0"/>
        </w:rPr>
        <w:t>N</w:t>
      </w:r>
      <w:r>
        <w:rPr>
          <w:b w:val="0"/>
          <w:bCs w:val="0"/>
          <w:rtl w:val="0"/>
          <w:lang w:val="en-US"/>
        </w:rPr>
        <w:t xml:space="preserve">ikolaos </w:t>
      </w:r>
      <w:r>
        <w:rPr>
          <w:b w:val="0"/>
          <w:bCs w:val="0"/>
          <w:rtl w:val="0"/>
        </w:rPr>
        <w:t xml:space="preserve">Platon, </w:t>
      </w:r>
      <w:r>
        <w:rPr>
          <w:b w:val="0"/>
          <w:bCs w:val="0"/>
          <w:rtl w:val="1"/>
        </w:rPr>
        <w:t>‘</w:t>
      </w:r>
      <w:r>
        <w:rPr>
          <w:b w:val="0"/>
          <w:bCs w:val="0"/>
          <w:rtl w:val="0"/>
          <w:lang w:val="en-US"/>
        </w:rPr>
        <w:t>The Discovery of a Lost Palace of Ancient Crete</w:t>
      </w:r>
      <w:r>
        <w:rPr>
          <w:b w:val="0"/>
          <w:bCs w:val="0"/>
          <w:rtl w:val="0"/>
          <w:lang w:val="en-US"/>
        </w:rPr>
        <w:t xml:space="preserve">’ </w:t>
      </w:r>
      <w:r>
        <w:rPr>
          <w:b w:val="0"/>
          <w:bCs w:val="0"/>
          <w:i w:val="1"/>
          <w:iCs w:val="1"/>
          <w:rtl w:val="0"/>
          <w:lang w:val="en-US"/>
        </w:rPr>
        <w:t>Aerial Atlas</w:t>
      </w:r>
      <w:r>
        <w:rPr>
          <w:b w:val="0"/>
          <w:bCs w:val="0"/>
          <w:rtl w:val="0"/>
        </w:rPr>
        <w:t xml:space="preserve">, </w:t>
      </w:r>
      <w:r>
        <w:rPr>
          <w:b w:val="0"/>
          <w:bCs w:val="0"/>
          <w:i w:val="1"/>
          <w:iCs w:val="1"/>
          <w:rtl w:val="0"/>
          <w:lang w:val="en-US"/>
        </w:rPr>
        <w:t>New York</w:t>
      </w:r>
      <w:r>
        <w:rPr>
          <w:b w:val="0"/>
          <w:bCs w:val="0"/>
          <w:rtl w:val="0"/>
        </w:rPr>
        <w:t>: (1971)</w:t>
      </w:r>
      <w:r>
        <w:rPr>
          <w:b w:val="0"/>
          <w:bCs w:val="0"/>
          <w:rtl w:val="0"/>
          <w:lang w:val="en-US"/>
        </w:rPr>
        <w:t>, p. 298.</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40"/>
      </w:tabs>
    </w:pPr>
    <w:r>
      <w:rPr>
        <w:rFonts w:ascii="Times New Roman" w:hAnsi="Times New Roman"/>
        <w:outline w:val="0"/>
        <w:color w:val="7a7a7a"/>
        <w:u w:color="7a7a7a"/>
        <w:rtl w:val="0"/>
        <w:lang w:val="en-US"/>
        <w14:textFill>
          <w14:solidFill>
            <w14:srgbClr w14:val="7A7A7A"/>
          </w14:solidFill>
        </w14:textFill>
      </w:rPr>
      <w:t xml:space="preserve">Alessandro </w:t>
    </w:r>
    <w:r>
      <w:rPr>
        <w:rFonts w:ascii="Times New Roman" w:hAnsi="Times New Roman"/>
        <w:outline w:val="0"/>
        <w:color w:val="7a7a7a"/>
        <w:u w:color="7a7a7a"/>
        <w:rtl w:val="0"/>
        <w:lang w:val="en-US"/>
        <w14:textFill>
          <w14:solidFill>
            <w14:srgbClr w14:val="7A7A7A"/>
          </w14:solidFill>
        </w14:textFill>
      </w:rPr>
      <w:t>B</w:t>
    </w:r>
    <w:r>
      <w:rPr>
        <w:rFonts w:ascii="Times New Roman" w:hAnsi="Times New Roman"/>
        <w:outline w:val="0"/>
        <w:color w:val="7a7a7a"/>
        <w:u w:color="7a7a7a"/>
        <w:rtl w:val="0"/>
        <w:lang w:val="en-US"/>
        <w14:textFill>
          <w14:solidFill>
            <w14:srgbClr w14:val="7A7A7A"/>
          </w14:solidFill>
        </w14:textFill>
      </w:rPr>
      <w:t>erio 1907991</w:t>
      <w:tab/>
      <w:tab/>
    </w:r>
    <w:r>
      <w:rPr>
        <w:rFonts w:ascii="Times New Roman" w:hAnsi="Times New Roman"/>
        <w:outline w:val="0"/>
        <w:color w:val="444444"/>
        <w:u w:color="444444"/>
        <w:rtl w:val="0"/>
        <w:lang w:val="en-US"/>
        <w14:textFill>
          <w14:solidFill>
            <w14:srgbClr w14:val="444444"/>
          </w14:solidFill>
        </w14:textFill>
      </w:rPr>
      <w:t xml:space="preserve">Page </w:t>
    </w:r>
    <w:r>
      <w:rPr>
        <w:rFonts w:ascii="Times New Roman" w:cs="Times New Roman" w:hAnsi="Times New Roman" w:eastAsia="Times New Roman"/>
        <w:outline w:val="0"/>
        <w:color w:val="444444"/>
        <w:u w:color="444444"/>
        <w14:textFill>
          <w14:solidFill>
            <w14:srgbClr w14:val="444444"/>
          </w14:solidFill>
        </w14:textFill>
      </w:rPr>
      <w:fldChar w:fldCharType="begin" w:fldLock="0"/>
    </w:r>
    <w:r>
      <w:rPr>
        <w:rFonts w:ascii="Times New Roman" w:cs="Times New Roman" w:hAnsi="Times New Roman" w:eastAsia="Times New Roman"/>
        <w:outline w:val="0"/>
        <w:color w:val="444444"/>
        <w:u w:color="444444"/>
        <w14:textFill>
          <w14:solidFill>
            <w14:srgbClr w14:val="444444"/>
          </w14:solidFill>
        </w14:textFill>
      </w:rPr>
      <w:instrText xml:space="preserve"> PAGE </w:instrText>
    </w:r>
    <w:r>
      <w:rPr>
        <w:rFonts w:ascii="Times New Roman" w:cs="Times New Roman" w:hAnsi="Times New Roman" w:eastAsia="Times New Roman"/>
        <w:outline w:val="0"/>
        <w:color w:val="444444"/>
        <w:u w:color="444444"/>
        <w14:textFill>
          <w14:solidFill>
            <w14:srgbClr w14:val="444444"/>
          </w14:solidFill>
        </w14:textFill>
      </w:rPr>
      <w:fldChar w:fldCharType="separate" w:fldLock="0"/>
    </w:r>
    <w:r>
      <w:rPr>
        <w:rFonts w:ascii="Times New Roman" w:cs="Times New Roman" w:hAnsi="Times New Roman" w:eastAsia="Times New Roman"/>
        <w:outline w:val="0"/>
        <w:color w:val="444444"/>
        <w:u w:color="444444"/>
        <w14:textFill>
          <w14:solidFill>
            <w14:srgbClr w14:val="444444"/>
          </w14:solidFill>
        </w14:textFill>
      </w:rPr>
    </w:r>
    <w:r>
      <w:rPr>
        <w:rFonts w:ascii="Times New Roman" w:cs="Times New Roman" w:hAnsi="Times New Roman" w:eastAsia="Times New Roman"/>
        <w:outline w:val="0"/>
        <w:color w:val="444444"/>
        <w:u w:color="444444"/>
        <w14:textFill>
          <w14:solidFill>
            <w14:srgbClr w14:val="444444"/>
          </w14:solidFill>
        </w14:textFill>
      </w:rPr>
      <w:fldChar w:fldCharType="end" w:fldLock="0"/>
    </w:r>
    <w:r>
      <w:rPr>
        <w:rFonts w:ascii="Times New Roman" w:hAnsi="Times New Roman"/>
        <w:outline w:val="0"/>
        <w:color w:val="444444"/>
        <w:u w:color="444444"/>
        <w:rtl w:val="0"/>
        <w:lang w:val="en-US"/>
        <w14:textFill>
          <w14:solidFill>
            <w14:srgbClr w14:val="444444"/>
          </w14:solidFill>
        </w14:textFill>
      </w:rPr>
      <w:t xml:space="preserve"> of </w:t>
    </w:r>
    <w:r>
      <w:rPr>
        <w:rFonts w:ascii="Times New Roman" w:cs="Times New Roman" w:hAnsi="Times New Roman" w:eastAsia="Times New Roman"/>
        <w:outline w:val="0"/>
        <w:color w:val="444444"/>
        <w:u w:color="444444"/>
        <w14:textFill>
          <w14:solidFill>
            <w14:srgbClr w14:val="444444"/>
          </w14:solidFill>
        </w14:textFill>
      </w:rPr>
      <w:fldChar w:fldCharType="begin" w:fldLock="0"/>
    </w:r>
    <w:r>
      <w:rPr>
        <w:rFonts w:ascii="Times New Roman" w:cs="Times New Roman" w:hAnsi="Times New Roman" w:eastAsia="Times New Roman"/>
        <w:outline w:val="0"/>
        <w:color w:val="444444"/>
        <w:u w:color="444444"/>
        <w14:textFill>
          <w14:solidFill>
            <w14:srgbClr w14:val="444444"/>
          </w14:solidFill>
        </w14:textFill>
      </w:rPr>
      <w:instrText xml:space="preserve"> NUMPAGES </w:instrText>
    </w:r>
    <w:r>
      <w:rPr>
        <w:rFonts w:ascii="Times New Roman" w:cs="Times New Roman" w:hAnsi="Times New Roman" w:eastAsia="Times New Roman"/>
        <w:outline w:val="0"/>
        <w:color w:val="444444"/>
        <w:u w:color="444444"/>
        <w14:textFill>
          <w14:solidFill>
            <w14:srgbClr w14:val="444444"/>
          </w14:solidFill>
        </w14:textFill>
      </w:rPr>
      <w:fldChar w:fldCharType="separate" w:fldLock="0"/>
    </w:r>
    <w:r>
      <w:rPr>
        <w:rFonts w:ascii="Times New Roman" w:cs="Times New Roman" w:hAnsi="Times New Roman" w:eastAsia="Times New Roman"/>
        <w:outline w:val="0"/>
        <w:color w:val="444444"/>
        <w:u w:color="444444"/>
        <w14:textFill>
          <w14:solidFill>
            <w14:srgbClr w14:val="444444"/>
          </w14:solidFill>
        </w14:textFill>
      </w:rPr>
    </w:r>
    <w:r>
      <w:rPr>
        <w:rFonts w:ascii="Times New Roman" w:cs="Times New Roman" w:hAnsi="Times New Roman" w:eastAsia="Times New Roman"/>
        <w:outline w:val="0"/>
        <w:color w:val="444444"/>
        <w:u w:color="444444"/>
        <w14:textFill>
          <w14:solidFill>
            <w14:srgbClr w14:val="444444"/>
          </w14:solidFill>
        </w14:textFill>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44444"/>
      <w:spacing w:val="0"/>
      <w:kern w:val="0"/>
      <w:position w:val="0"/>
      <w:sz w:val="24"/>
      <w:szCs w:val="24"/>
      <w:u w:val="none" w:color="444444"/>
      <w:shd w:val="nil" w:color="auto" w:fill="auto"/>
      <w:vertAlign w:val="baseline"/>
      <w14:textOutline w14:w="12700" w14:cap="flat">
        <w14:noFill/>
        <w14:miter w14:lim="400000"/>
      </w14:textOutline>
      <w14:textFill>
        <w14:solidFill>
          <w14:srgbClr w14:val="444444"/>
        </w14:solidFill>
      </w14:textFill>
    </w:rPr>
  </w:style>
  <w:style w:type="paragraph" w:styleId="Subtitle">
    <w:name w:val="Subtitle"/>
    <w:next w:val="Body 2"/>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Lora Regular" w:cs="Lora Regular" w:hAnsi="Lora Regular" w:eastAsia="Lora Regular"/>
      <w:b w:val="0"/>
      <w:bCs w:val="0"/>
      <w:i w:val="0"/>
      <w:iCs w:val="0"/>
      <w:caps w:val="0"/>
      <w:smallCaps w:val="0"/>
      <w:strike w:val="0"/>
      <w:dstrike w:val="0"/>
      <w:outline w:val="0"/>
      <w:color w:val="dc5922"/>
      <w:spacing w:val="6"/>
      <w:kern w:val="0"/>
      <w:position w:val="0"/>
      <w:sz w:val="64"/>
      <w:szCs w:val="64"/>
      <w:u w:val="none" w:color="dc5922"/>
      <w:shd w:val="nil" w:color="auto" w:fill="auto"/>
      <w:vertAlign w:val="baseline"/>
      <w14:textOutline w14:w="12700" w14:cap="flat">
        <w14:noFill/>
        <w14:miter w14:lim="400000"/>
      </w14:textOutline>
      <w14:textFill>
        <w14:solidFill>
          <w14:srgbClr w14:val="DC5922"/>
        </w14:solidFill>
      </w14:textFill>
    </w:rPr>
  </w:style>
  <w:style w:type="paragraph" w:styleId="Subheading">
    <w:name w:val="Subheading"/>
    <w:next w:val="Body 2"/>
    <w:pPr>
      <w:keepNext w:val="0"/>
      <w:keepLines w:val="0"/>
      <w:pageBreakBefore w:val="0"/>
      <w:widowControl w:val="1"/>
      <w:shd w:val="clear" w:color="auto" w:fill="auto"/>
      <w:suppressAutoHyphens w:val="0"/>
      <w:bidi w:val="0"/>
      <w:spacing w:before="0" w:after="160" w:line="240" w:lineRule="auto"/>
      <w:ind w:left="0" w:right="0" w:firstLine="0"/>
      <w:jc w:val="center"/>
      <w:outlineLvl w:val="1"/>
    </w:pPr>
    <w:rPr>
      <w:rFonts w:ascii="Lora Regular" w:cs="Arial Unicode MS" w:hAnsi="Lora Regular" w:eastAsia="Arial Unicode MS"/>
      <w:b w:val="0"/>
      <w:bCs w:val="0"/>
      <w:i w:val="0"/>
      <w:iCs w:val="0"/>
      <w:caps w:val="0"/>
      <w:smallCaps w:val="0"/>
      <w:strike w:val="0"/>
      <w:dstrike w:val="0"/>
      <w:outline w:val="0"/>
      <w:color w:val="5c432b"/>
      <w:spacing w:val="0"/>
      <w:kern w:val="0"/>
      <w:position w:val="0"/>
      <w:sz w:val="36"/>
      <w:szCs w:val="36"/>
      <w:u w:val="none" w:color="5c432b"/>
      <w:shd w:val="nil" w:color="auto" w:fill="auto"/>
      <w:vertAlign w:val="baseline"/>
      <w:lang w:val="en-US"/>
      <w14:textOutline w14:w="12700" w14:cap="flat">
        <w14:noFill/>
        <w14:miter w14:lim="400000"/>
      </w14:textOutline>
      <w14:textFill>
        <w14:solidFill>
          <w14:srgbClr w14:val="5C432B"/>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1 parent">
    <w:name w:val="TOC 1 parent"/>
    <w:next w:val="TOC 1 parent"/>
    <w:pPr>
      <w:keepNext w:val="0"/>
      <w:keepLines w:val="0"/>
      <w:pageBreakBefore w:val="0"/>
      <w:widowControl w:val="1"/>
      <w:shd w:val="clear" w:color="auto" w:fill="auto"/>
      <w:tabs>
        <w:tab w:val="right" w:pos="8920"/>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1">
    <w:name w:val="TOC 1"/>
    <w:basedOn w:val="TOC 1 parent"/>
    <w:next w:val="TOC 1 parent"/>
    <w:rPr>
      <w:rFonts w:ascii="Times New Roman" w:cs="Times New Roman" w:hAnsi="Times New Roman" w:eastAsia="Times New Roman"/>
      <w:b w:val="1"/>
      <w:bCs w:val="1"/>
    </w:rPr>
  </w:style>
  <w:style w:type="paragraph" w:styleId="TOC 2">
    <w:name w:val="TOC 2"/>
    <w:next w:val="TOC 2"/>
    <w:pPr>
      <w:keepNext w:val="0"/>
      <w:keepLines w:val="0"/>
      <w:pageBreakBefore w:val="0"/>
      <w:widowControl w:val="1"/>
      <w:shd w:val="clear" w:color="auto" w:fill="auto"/>
      <w:tabs>
        <w:tab w:val="right" w:pos="8920"/>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Heading 2">
    <w:name w:val="Heading 2"/>
    <w:next w:val="Body 2"/>
    <w:pPr>
      <w:keepNext w:val="1"/>
      <w:keepLines w:val="0"/>
      <w:pageBreakBefore w:val="0"/>
      <w:widowControl w:val="1"/>
      <w:shd w:val="clear" w:color="auto" w:fill="auto"/>
      <w:suppressAutoHyphens w:val="0"/>
      <w:bidi w:val="0"/>
      <w:spacing w:before="0" w:after="160" w:line="240" w:lineRule="auto"/>
      <w:ind w:left="0" w:right="0" w:firstLine="0"/>
      <w:jc w:val="left"/>
      <w:outlineLvl w:val="1"/>
    </w:pPr>
    <w:rPr>
      <w:rFonts w:ascii="Times New Roman" w:cs="Times New Roman" w:hAnsi="Times New Roman" w:eastAsia="Times New Roman"/>
      <w:b w:val="1"/>
      <w:bCs w:val="1"/>
      <w:i w:val="1"/>
      <w:iCs w:val="1"/>
      <w:caps w:val="0"/>
      <w:smallCaps w:val="0"/>
      <w:strike w:val="0"/>
      <w:dstrike w:val="0"/>
      <w:outline w:val="0"/>
      <w:color w:val="000000"/>
      <w:spacing w:val="0"/>
      <w:kern w:val="0"/>
      <w:position w:val="0"/>
      <w:sz w:val="28"/>
      <w:szCs w:val="28"/>
      <w:u w:val="none" w:color="5b5854"/>
      <w:shd w:val="nil" w:color="auto" w:fill="auto"/>
      <w:vertAlign w:val="baseline"/>
      <w:lang w:val="fr-FR"/>
      <w14:textOutline w14:w="12700" w14:cap="flat">
        <w14:noFill/>
        <w14:miter w14:lim="400000"/>
      </w14:textOutline>
      <w14:textFill>
        <w14:solidFill>
          <w14:srgbClr w14:val="000000"/>
        </w14:solidFill>
      </w14:textFill>
    </w:rPr>
  </w:style>
  <w:style w:type="paragraph" w:styleId="TOC 3 parent">
    <w:name w:val="TOC 3 parent"/>
    <w:next w:val="TOC 3 parent"/>
    <w:pPr>
      <w:keepNext w:val="0"/>
      <w:keepLines w:val="0"/>
      <w:pageBreakBefore w:val="0"/>
      <w:widowControl w:val="1"/>
      <w:shd w:val="clear" w:color="auto" w:fill="auto"/>
      <w:tabs>
        <w:tab w:val="right" w:pos="8920"/>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3">
    <w:name w:val="TOC 3"/>
    <w:basedOn w:val="TOC 3 parent"/>
    <w:next w:val="TOC 3 parent"/>
    <w:pPr>
      <w:ind w:firstLine="283"/>
    </w:pPr>
    <w:rPr>
      <w:rFonts w:ascii="Times New Roman" w:cs="Times New Roman" w:hAnsi="Times New Roman" w:eastAsia="Times New Roman"/>
    </w:rPr>
  </w:style>
  <w:style w:type="paragraph" w:styleId="Heading Reg">
    <w:name w:val="Heading Reg"/>
    <w:next w:val="Heading Reg"/>
    <w:pPr>
      <w:keepNext w:val="0"/>
      <w:keepLines w:val="0"/>
      <w:pageBreakBefore w:val="0"/>
      <w:widowControl w:val="1"/>
      <w:shd w:val="clear" w:color="auto" w:fill="auto"/>
      <w:suppressAutoHyphens w:val="0"/>
      <w:bidi w:val="0"/>
      <w:spacing w:before="0" w:after="80" w:line="288" w:lineRule="auto"/>
      <w:ind w:left="0" w:right="0" w:firstLine="0"/>
      <w:jc w:val="left"/>
      <w:outlineLvl w:val="2"/>
    </w:pPr>
    <w:rPr>
      <w:rFonts w:ascii="Times New Roman" w:cs="Times New Roman" w:hAnsi="Times New Roman" w:eastAsia="Times New Roman"/>
      <w:b w:val="1"/>
      <w:bCs w:val="1"/>
      <w:i w:val="1"/>
      <w:iCs w:val="1"/>
      <w:caps w:val="0"/>
      <w:smallCaps w:val="0"/>
      <w:strike w:val="0"/>
      <w:dstrike w:val="0"/>
      <w:outline w:val="0"/>
      <w:color w:val="000000"/>
      <w:spacing w:val="0"/>
      <w:kern w:val="0"/>
      <w:position w:val="0"/>
      <w:sz w:val="24"/>
      <w:szCs w:val="24"/>
      <w:u w:val="none" w:color="7a7a7a"/>
      <w:shd w:val="nil" w:color="auto" w:fill="auto"/>
      <w:vertAlign w:val="baseline"/>
      <w14:textOutline w14:w="12700" w14:cap="flat">
        <w14:noFill/>
        <w14:miter w14:lim="400000"/>
      </w14:textOutline>
      <w14:textFill>
        <w14:solidFill>
          <w14:srgbClr w14:val="000000"/>
        </w14:solidFill>
      </w14:textFill>
    </w:rPr>
  </w:style>
  <w:style w:type="paragraph" w:styleId="TOC 4 parent">
    <w:name w:val="TOC 4 parent"/>
    <w:next w:val="TOC 4 parent"/>
    <w:pPr>
      <w:keepNext w:val="0"/>
      <w:keepLines w:val="0"/>
      <w:pageBreakBefore w:val="0"/>
      <w:widowControl w:val="1"/>
      <w:shd w:val="clear" w:color="auto" w:fill="auto"/>
      <w:tabs>
        <w:tab w:val="right" w:pos="8920"/>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4">
    <w:name w:val="TOC 4"/>
    <w:basedOn w:val="TOC 4 parent"/>
    <w:next w:val="TOC 4 parent"/>
    <w:pPr>
      <w:ind w:firstLine="567"/>
    </w:pPr>
    <w:rPr>
      <w:rFonts w:ascii="Times New Roman" w:cs="Times New Roman" w:hAnsi="Times New Roman" w:eastAsia="Times New Roman"/>
    </w:rPr>
  </w:style>
  <w:style w:type="paragraph" w:styleId="Heading Reg 1">
    <w:name w:val="Heading Reg 1"/>
    <w:next w:val="Heading Reg 1"/>
    <w:pPr>
      <w:keepNext w:val="0"/>
      <w:keepLines w:val="0"/>
      <w:pageBreakBefore w:val="0"/>
      <w:widowControl w:val="1"/>
      <w:shd w:val="clear" w:color="auto" w:fill="auto"/>
      <w:suppressAutoHyphens w:val="0"/>
      <w:bidi w:val="0"/>
      <w:spacing w:before="0" w:after="80" w:line="288" w:lineRule="auto"/>
      <w:ind w:left="0" w:right="0" w:firstLine="0"/>
      <w:jc w:val="left"/>
      <w:outlineLvl w:val="3"/>
    </w:pPr>
    <w:rPr>
      <w:rFonts w:ascii="Times New Roman" w:cs="Times New Roman" w:hAnsi="Times New Roman" w:eastAsia="Times New Roman"/>
      <w:b w:val="1"/>
      <w:bCs w:val="1"/>
      <w:i w:val="1"/>
      <w:iCs w:val="1"/>
      <w:caps w:val="0"/>
      <w:smallCaps w:val="0"/>
      <w:strike w:val="0"/>
      <w:dstrike w:val="0"/>
      <w:outline w:val="0"/>
      <w:color w:val="000000"/>
      <w:spacing w:val="0"/>
      <w:kern w:val="0"/>
      <w:position w:val="0"/>
      <w:sz w:val="24"/>
      <w:szCs w:val="24"/>
      <w:u w:val="none" w:color="7a7a7a"/>
      <w:shd w:val="nil" w:color="auto" w:fill="auto"/>
      <w:vertAlign w:val="baseline"/>
      <w14:textOutline w14:w="12700" w14:cap="flat">
        <w14:noFill/>
        <w14:miter w14:lim="400000"/>
      </w14:textOutline>
      <w14:textFill>
        <w14:solidFill>
          <w14:srgbClr w14:val="000000"/>
        </w14:solidFill>
      </w14:textFill>
    </w:rPr>
  </w:style>
  <w:style w:type="paragraph" w:styleId="TOC 1.0">
    <w:name w:val="TOC 1"/>
    <w:next w:val="TOC 1.0"/>
    <w:pPr>
      <w:keepNext w:val="0"/>
      <w:keepLines w:val="0"/>
      <w:pageBreakBefore w:val="0"/>
      <w:widowControl w:val="1"/>
      <w:shd w:val="clear" w:color="auto" w:fill="auto"/>
      <w:tabs>
        <w:tab w:val="right" w:pos="8920"/>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3.0">
    <w:name w:val="TOC 3"/>
    <w:next w:val="TOC 3.0"/>
    <w:pPr>
      <w:keepNext w:val="0"/>
      <w:keepLines w:val="0"/>
      <w:pageBreakBefore w:val="0"/>
      <w:widowControl w:val="1"/>
      <w:shd w:val="clear" w:color="auto" w:fill="auto"/>
      <w:tabs>
        <w:tab w:val="right" w:pos="8920"/>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4.0">
    <w:name w:val="TOC 4"/>
    <w:next w:val="TOC 4.0"/>
    <w:pPr>
      <w:keepNext w:val="0"/>
      <w:keepLines w:val="0"/>
      <w:pageBreakBefore w:val="0"/>
      <w:widowControl w:val="1"/>
      <w:shd w:val="clear" w:color="auto" w:fill="auto"/>
      <w:tabs>
        <w:tab w:val="right" w:pos="8920"/>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5 parent">
    <w:name w:val="TOC 5 parent"/>
    <w:next w:val="TOC 5 parent"/>
    <w:pPr>
      <w:keepNext w:val="0"/>
      <w:keepLines w:val="0"/>
      <w:pageBreakBefore w:val="0"/>
      <w:widowControl w:val="1"/>
      <w:shd w:val="clear" w:color="auto" w:fill="auto"/>
      <w:tabs>
        <w:tab w:val="right" w:pos="8920"/>
      </w:tabs>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TOC 5">
    <w:name w:val="TOC 5"/>
    <w:basedOn w:val="TOC 5 parent"/>
    <w:next w:val="TOC 5 parent"/>
    <w:pPr>
      <w:tabs>
        <w:tab w:val="right" w:pos="9360"/>
        <w:tab w:val="clear" w:pos="8920"/>
      </w:tabs>
    </w:pPr>
    <w:rPr>
      <w:rFonts w:ascii="Times New Roman" w:cs="Times New Roman" w:hAnsi="Times New Roman" w:eastAsia="Times New Roman"/>
      <w:sz w:val="24"/>
      <w:szCs w:val="24"/>
    </w:rPr>
  </w:style>
  <w:style w:type="paragraph" w:styleId="Image Caption">
    <w:name w:val="Image Caption"/>
    <w:next w:val="Image Caption"/>
    <w:pPr>
      <w:keepNext w:val="0"/>
      <w:keepLines w:val="0"/>
      <w:pageBreakBefore w:val="0"/>
      <w:widowControl w:val="1"/>
      <w:shd w:val="clear" w:color="auto" w:fill="auto"/>
      <w:suppressAutoHyphens w:val="0"/>
      <w:bidi w:val="0"/>
      <w:spacing w:before="0" w:after="200" w:line="240" w:lineRule="auto"/>
      <w:ind w:left="0" w:right="0" w:firstLine="0"/>
      <w:jc w:val="center"/>
      <w:outlineLvl w:val="4"/>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444444"/>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360" w:lineRule="auto"/>
      <w:ind w:left="0" w:right="0" w:firstLine="54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444444"/>
      <w:spacing w:val="0"/>
      <w:kern w:val="0"/>
      <w:position w:val="0"/>
      <w:sz w:val="20"/>
      <w:szCs w:val="20"/>
      <w:u w:val="none"/>
      <w:shd w:val="nil" w:color="auto" w:fill="auto"/>
      <w:vertAlign w:val="baseline"/>
      <w14:textOutline>
        <w14:noFill/>
      </w14:textOutline>
      <w14:textFill>
        <w14:solidFill>
          <w14:srgbClr w14:val="444444"/>
        </w14:solidFill>
      </w14:textFill>
    </w:rPr>
  </w:style>
  <w:style w:type="paragraph" w:styleId="Image A">
    <w:name w:val="Image A"/>
    <w:next w:val="Image A"/>
    <w:pPr>
      <w:keepNext w:val="0"/>
      <w:keepLines w:val="0"/>
      <w:pageBreakBefore w:val="0"/>
      <w:widowControl w:val="1"/>
      <w:shd w:val="clear" w:color="auto" w:fill="auto"/>
      <w:suppressAutoHyphens w:val="0"/>
      <w:bidi w:val="0"/>
      <w:spacing w:before="0" w:after="0" w:line="360" w:lineRule="auto"/>
      <w:ind w:left="0" w:right="0" w:firstLine="0"/>
      <w:jc w:val="center"/>
      <w:outlineLvl w:val="0"/>
    </w:pPr>
    <w:rPr>
      <w:rFonts w:ascii="Lora Regular" w:cs="Lora Regular" w:hAnsi="Lora Regular" w:eastAsia="Lora Regular"/>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Quote">
    <w:name w:val="Quote"/>
    <w:next w:val="Qu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clear" w:color="auto" w:fill="ffffff"/>
      <w:vertAlign w:val="baseline"/>
      <w14:textOutline w14:w="12700" w14:cap="flat">
        <w14:noFill/>
        <w14:miter w14:lim="400000"/>
      </w14:textOutline>
      <w14:textFill>
        <w14:solidFill>
          <w14:srgbClr w14:val="000000"/>
        </w14:solidFill>
      </w14:textFill>
    </w:rPr>
  </w:style>
  <w:style w:type="paragraph" w:styleId="Post QUOTE">
    <w:name w:val="Post QUOTE"/>
    <w:next w:val="Post QUOTE"/>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4.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5.pn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jpeg"/><Relationship Id="rId35" Type="http://schemas.openxmlformats.org/officeDocument/2006/relationships/image" Target="media/image27.jpeg"/><Relationship Id="rId36" Type="http://schemas.openxmlformats.org/officeDocument/2006/relationships/image" Target="media/image6.png"/><Relationship Id="rId37" Type="http://schemas.openxmlformats.org/officeDocument/2006/relationships/image" Target="media/image28.jpeg"/><Relationship Id="rId38" Type="http://schemas.openxmlformats.org/officeDocument/2006/relationships/image" Target="media/image29.jpeg"/><Relationship Id="rId39" Type="http://schemas.openxmlformats.org/officeDocument/2006/relationships/image" Target="media/image30.jpeg"/><Relationship Id="rId40" Type="http://schemas.openxmlformats.org/officeDocument/2006/relationships/header" Target="header1.xml"/><Relationship Id="rId41" Type="http://schemas.openxmlformats.org/officeDocument/2006/relationships/footer" Target="footer1.xml"/><Relationship Id="rId42" Type="http://schemas.openxmlformats.org/officeDocument/2006/relationships/footnotes" Target="footnotes.xml"/><Relationship Id="rId4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A7A7A7"/>
      </a:dk2>
      <a:lt2>
        <a:srgbClr val="535353"/>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Helvetica Neue"/>
        <a:ea typeface="Helvetica Neue"/>
        <a:cs typeface="Helvetica Neue"/>
      </a:majorFont>
      <a:minorFont>
        <a:latin typeface="Lora Regular"/>
        <a:ea typeface="Lora Regular"/>
        <a:cs typeface="Lora Regular"/>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Lora Bold"/>
            <a:ea typeface="Lora Bold"/>
            <a:cs typeface="Lora Bold"/>
            <a:sym typeface="Lora 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Lora Bold"/>
            <a:ea typeface="Lora Bold"/>
            <a:cs typeface="Lora Bold"/>
            <a:sym typeface="Lora 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