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52062" w14:textId="77777777" w:rsidR="001808C3" w:rsidRDefault="001808C3"/>
    <w:p w14:paraId="65A9A7FA" w14:textId="0CE70F5D"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E21CA1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D45E6">
              <w:rPr>
                <w:rFonts w:ascii="Times New Roman" w:hAnsi="Times New Roman" w:cs="Times New Roman"/>
                <w:b/>
                <w:color w:val="auto"/>
                <w:sz w:val="48"/>
              </w:rPr>
              <w:t>Rhiana Povey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C3BB6A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D45E6">
              <w:rPr>
                <w:rFonts w:ascii="Times New Roman" w:hAnsi="Times New Roman" w:cs="Times New Roman"/>
                <w:b/>
                <w:color w:val="auto"/>
                <w:sz w:val="48"/>
              </w:rPr>
              <w:t xml:space="preserve"> 2332580@student.uwtsd.ac.uk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693095F" w14:textId="77777777" w:rsidR="001D45E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D45E6">
              <w:rPr>
                <w:rFonts w:ascii="Times New Roman" w:hAnsi="Times New Roman" w:cs="Times New Roman"/>
                <w:b/>
                <w:color w:val="auto"/>
                <w:sz w:val="48"/>
              </w:rPr>
              <w:t xml:space="preserve"> </w:t>
            </w:r>
          </w:p>
          <w:p w14:paraId="0DE696B2" w14:textId="56639D36" w:rsidR="00F927A1" w:rsidRPr="005D3F07" w:rsidRDefault="001D45E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2332580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1840604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8BB72B7" w14:textId="4F8EC755" w:rsidR="00F32B2E" w:rsidRDefault="00F32B2E" w:rsidP="00FF7EBB">
            <w:pPr>
              <w:jc w:val="both"/>
              <w:rPr>
                <w:i/>
                <w:sz w:val="24"/>
                <w:szCs w:val="24"/>
              </w:rPr>
            </w:pPr>
          </w:p>
          <w:p w14:paraId="479EE10E"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This case study critically reflects on a safeguarding assessment undertaken in collaboration with colleagues as a role as a social worker in Wales. It features two siblings, who will be referred to as Child 2 and Child 3, but focuses on the younger sibling, who is a 15 year old looked after child, who presented with suicidal ideations and symptoms of low mood and depression whilst in foster care. The work required careful consideration of safeguarding legislation and policies at local, national and international levels, collaborative multi-agency working, and the application of social work theory to practice. As the case unfolded, there was engagement in critical reflection on the challenges of balancing risk management with the child’s rights, wellbeing, and voice in decision-making, particularly within the Welsh safeguarding context. It will outline assessments undertaken collaboratively with professional colleagues, emphasising well-being outcomes, voice and control, which is fundamental under the Social Services and Well-being (Wales) Act 2014. </w:t>
            </w:r>
          </w:p>
          <w:p w14:paraId="352CC0DC"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Before becoming known to the Local Authority Child 2 and Child 3 were living with their mother, who will be referred as Adult 2.  They lived in a village just outside a Welsh town.  </w:t>
            </w:r>
            <w:r w:rsidRPr="00F32B2E">
              <w:rPr>
                <w:rFonts w:eastAsia="Calibri"/>
                <w:color w:val="auto"/>
                <w:sz w:val="24"/>
                <w:szCs w:val="24"/>
                <w:lang w:eastAsia="en-US"/>
              </w:rPr>
              <w:lastRenderedPageBreak/>
              <w:t>Child 2 was diagnosed with Global Development Delay but attended a mainstream primary school, and Child 3 was non- verbal and diagnosed with Autism and attended a special educational provision.  Although both children were born in Wales, their preferred language was English, however their disabilities did affect their communication, understanding and engagement with others.</w:t>
            </w:r>
          </w:p>
          <w:p w14:paraId="10EF8B8C"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Child 2 and Child 3 became looked after when Adult 2 suffered a mental health crisis and was unable to care for them both.  Both children were subject of Care Orders, Section 31 Children Act 1989 made to the Local Authority, thus placing them as their corporate parents, gaining parental responsibility.  Disabled children are statistically more likely to experience multiple placement disruptions, which can discourage families from fostering them.  Finding the most suitable placement which is in the best interest of the children is a fundamental factor in placement stability. Unfortunately, research indicates that local authorities often have no or little choice of placements for disabled children and encounter difficulties recruiting foster carers (Morris, 1995; McConkey et al, 2004).  This evidence is reflected within the outcome of placing both Child 2 and Child 3, where they had to be placed out of county, using an external fostering agency, in another Welsh Town, which was over an hour away from the biological family.  When children are placed out of county in foster care, the impacts can be greater than local placements. Research and practice show that this often brings additional challenges in addition to the common impacts of foster care.  Examples of these challenges range from a loss of familiar connections, disrupted sense of identity, heightened anxiety and grief in relation to distance from family and family making it feel more permanent, school instability because of the change of schools, loss of extracurricular having to give up after school clubs, distance making it harder for family to visit, loss of friendships.  However, the impact can depend on the child’s resilience, the quality of the foster home, and how well agencies support continuity in education, family contact, and services.</w:t>
            </w:r>
          </w:p>
          <w:p w14:paraId="50C9223F"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In Wales, looked after children (LAC) are mainly supported and safeguarded under the Social Services and Well-being (Wales) Act 2014 (Part 6), which came fully into effect in April 2016.  The act is the main framework of legislation governing children’s social work in Wales. It appoints duties to the local authority so they are able to safeguard and promote the wellbeing of the children, providing them with accommodation, and ensuring they have the appropriate care and support with a clear pathway for their future.  It also promotes the young person’s voice and inclusion in regards to decisions made about their care.  The Children’s Act 1989 also still applies in Wales for particular parts, mostly in relation to care orders, court proceedings and parental responsibility. Alongside the Children’s Act 2004 which strengthens the collaboration between agencies to safeguard children.  The Care Planning, Placement and Case Review (Wales) 2015 sets out practical details for how the local authorities must apply the 2014 Act by planning placements, holding reviews, and managing casework for Looked After Children.</w:t>
            </w:r>
          </w:p>
          <w:p w14:paraId="4F33A10E"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The rights and entitlements of looked after children differ between Wales and England because they use different legislation in parts.  For example where Wales would use the Social Services and Well-being (Wales) Act 2014 (Part 6)</w:t>
            </w:r>
            <w:r w:rsidRPr="00F32B2E">
              <w:rPr>
                <w:rFonts w:eastAsia="Calibri"/>
                <w:b/>
                <w:color w:val="auto"/>
                <w:sz w:val="24"/>
                <w:szCs w:val="24"/>
                <w:lang w:eastAsia="en-US"/>
              </w:rPr>
              <w:t xml:space="preserve"> </w:t>
            </w:r>
            <w:r w:rsidRPr="00F32B2E">
              <w:rPr>
                <w:rFonts w:eastAsia="Calibri"/>
                <w:color w:val="auto"/>
                <w:sz w:val="24"/>
                <w:szCs w:val="24"/>
                <w:lang w:eastAsia="en-US"/>
              </w:rPr>
              <w:t>which core principles focus on well-being, strength based approaches and the children’s voice and participation, The Children’s Act 1989 is at the forefront of England’s legislation, with updates being made from Children and Families Act 2014 and Children and Social Work Act 2017</w:t>
            </w:r>
            <w:r w:rsidRPr="00F32B2E">
              <w:rPr>
                <w:rFonts w:eastAsia="Calibri"/>
                <w:b/>
                <w:color w:val="auto"/>
                <w:sz w:val="24"/>
                <w:szCs w:val="24"/>
                <w:lang w:eastAsia="en-US"/>
              </w:rPr>
              <w:t xml:space="preserve"> </w:t>
            </w:r>
            <w:r w:rsidRPr="00F32B2E">
              <w:rPr>
                <w:rFonts w:eastAsia="Calibri"/>
                <w:color w:val="auto"/>
                <w:sz w:val="24"/>
                <w:szCs w:val="24"/>
                <w:lang w:eastAsia="en-US"/>
              </w:rPr>
              <w:t xml:space="preserve">focussing on safeguarding and promoting welfare, with an emphasis on permanence.    </w:t>
            </w:r>
          </w:p>
          <w:p w14:paraId="0AB66B95"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As mentioned, this case study focuses on the younger sibling, who after being in foster care for over 5 years presented with suicidal ideations and symptoms of low mood and depression.  Prior to the safeguarding concern Child 2 already had a social worker because in Wales the law recognises that looked after children are among the most vulnerable groups in society and need ongoing safeguarding, support and advocacy.  It is the social workers responsibility to ensure the children’s well-being, safety and rights are maintained in line with both Welsh and UK safeguarding legislation.  When school reported that Child 2 had made suicidal ideations it was vital that this was responded to promptly, compassionately and in line with the safeguarding duties and legislation.  Within the Welsh Safeguarding guidance it sets out clearly that</w:t>
            </w:r>
            <w:r w:rsidRPr="00F32B2E">
              <w:rPr>
                <w:rFonts w:eastAsia="Calibri"/>
                <w:b/>
                <w:color w:val="auto"/>
                <w:sz w:val="24"/>
                <w:szCs w:val="24"/>
                <w:lang w:eastAsia="en-US"/>
              </w:rPr>
              <w:t xml:space="preserve"> </w:t>
            </w:r>
            <w:r w:rsidRPr="00F32B2E">
              <w:rPr>
                <w:rFonts w:eastAsia="Calibri"/>
                <w:color w:val="auto"/>
                <w:sz w:val="24"/>
                <w:szCs w:val="24"/>
                <w:lang w:eastAsia="en-US"/>
              </w:rPr>
              <w:t>under the Social Services and Well-Being (Wales) Act 2014, and additionally within Working Together to Safeguard People: Volume 1 – Introduction and Overview (Social Care Wales, 2017a) that there is a statutory duty on all pertinent partners, such as police, educational bodies, health boards, probation services and other Local Authority partners to report if a child is at risk.  The principle of this duty is to ensure that any safeguarding concerns are swiftly shared with Local Authority children’s services, who will then undertake relevant enquiries and interventions.</w:t>
            </w:r>
          </w:p>
          <w:p w14:paraId="1349F046"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Critically, while this duty emphasises the theory that safeguarding is a shared responsibility across agencies, it can also pose challenges within practice. For example, professionals may have differing thresholds of what represents a “child at risk”, and this may lead to either under-reporting or over-reporting these concerns.  Furthermore, some professionals may feel conflicted between the confidentiality between them and the individuals, and the responsibility of their statutory duty to share and communicate information to the Children’s Services. Section 130 of the Social Services and Well-being (Wales) Act 2014 stipulates what is the legal definition of a “child at risk.” It defines this as a child who is either experiencing, or is at risk of, neglect, abuse or any other kinds of harm, and who also has needs for care and support. Within this case study education did follow the principles and promptly reported this to Children’s Services.  Child 2’s school followed the definitions that reinforce the Welsh safeguarding framework by early identification of risk, so intervention could take place, rather than waiting for significant harm to occur.</w:t>
            </w:r>
          </w:p>
          <w:p w14:paraId="3292B6D3" w14:textId="01CBB9B8" w:rsidR="00403590" w:rsidRPr="00403590" w:rsidRDefault="00403590" w:rsidP="00403590">
            <w:pPr>
              <w:overflowPunct/>
              <w:autoSpaceDE/>
              <w:autoSpaceDN/>
              <w:adjustRightInd/>
              <w:spacing w:after="160" w:line="360" w:lineRule="auto"/>
              <w:jc w:val="both"/>
              <w:textAlignment w:val="auto"/>
              <w:rPr>
                <w:rFonts w:eastAsia="Calibri"/>
                <w:color w:val="auto"/>
                <w:sz w:val="24"/>
                <w:szCs w:val="24"/>
                <w:lang w:eastAsia="en-US"/>
              </w:rPr>
            </w:pPr>
            <w:r w:rsidRPr="00403590">
              <w:rPr>
                <w:rFonts w:eastAsia="Calibri"/>
                <w:color w:val="auto"/>
                <w:sz w:val="24"/>
                <w:szCs w:val="24"/>
                <w:lang w:eastAsia="en-US"/>
              </w:rPr>
              <w:t xml:space="preserve">As outlined at the outset, a Child Protection Referral was submitted following the disclosure by Child 1 to school staff </w:t>
            </w:r>
            <w:r>
              <w:rPr>
                <w:rFonts w:eastAsia="Calibri"/>
                <w:color w:val="auto"/>
                <w:sz w:val="24"/>
                <w:szCs w:val="24"/>
                <w:lang w:eastAsia="en-US"/>
              </w:rPr>
              <w:t xml:space="preserve">about </w:t>
            </w:r>
            <w:r w:rsidR="00001DFE">
              <w:rPr>
                <w:rFonts w:eastAsia="Calibri"/>
                <w:color w:val="auto"/>
                <w:sz w:val="24"/>
                <w:szCs w:val="24"/>
                <w:lang w:eastAsia="en-US"/>
              </w:rPr>
              <w:t>his suicidal ideations</w:t>
            </w:r>
            <w:r w:rsidRPr="00403590">
              <w:rPr>
                <w:rFonts w:eastAsia="Calibri"/>
                <w:color w:val="auto"/>
                <w:sz w:val="24"/>
                <w:szCs w:val="24"/>
                <w:lang w:eastAsia="en-US"/>
              </w:rPr>
              <w:t>. Section 2 of the Wales Safeguarding Procedures establishes that any individual who suspects a child may be at risk of harm has a duty to report their concerns to Social Services or the Police. In this case, referrals were appropriately made by a practitioner within the</w:t>
            </w:r>
            <w:r w:rsidR="00001DFE">
              <w:rPr>
                <w:rFonts w:eastAsia="Calibri"/>
                <w:color w:val="auto"/>
                <w:sz w:val="24"/>
                <w:szCs w:val="24"/>
                <w:lang w:eastAsia="en-US"/>
              </w:rPr>
              <w:t xml:space="preserve"> school</w:t>
            </w:r>
            <w:r w:rsidRPr="00403590">
              <w:rPr>
                <w:rFonts w:eastAsia="Calibri"/>
                <w:color w:val="auto"/>
                <w:sz w:val="24"/>
                <w:szCs w:val="24"/>
                <w:lang w:eastAsia="en-US"/>
              </w:rPr>
              <w:t>. In doing so, both professionals met their statutory safeguarding responsibilities under Section 130 of the Social Services and Well-being (Wales) Act 2014, having identified and reported concerns that Child 1 was potentially at risk of abuse and harm.</w:t>
            </w:r>
          </w:p>
          <w:p w14:paraId="53DECE69" w14:textId="206B7BFC" w:rsidR="00403590" w:rsidRDefault="00403590" w:rsidP="00403590">
            <w:pPr>
              <w:overflowPunct/>
              <w:autoSpaceDE/>
              <w:autoSpaceDN/>
              <w:adjustRightInd/>
              <w:spacing w:after="160" w:line="360" w:lineRule="auto"/>
              <w:jc w:val="both"/>
              <w:textAlignment w:val="auto"/>
              <w:rPr>
                <w:rFonts w:eastAsia="Calibri"/>
                <w:color w:val="auto"/>
                <w:sz w:val="24"/>
                <w:szCs w:val="24"/>
                <w:lang w:eastAsia="en-US"/>
              </w:rPr>
            </w:pPr>
            <w:r w:rsidRPr="00403590">
              <w:rPr>
                <w:rFonts w:eastAsia="Calibri"/>
                <w:color w:val="auto"/>
                <w:sz w:val="24"/>
                <w:szCs w:val="24"/>
                <w:lang w:eastAsia="en-US"/>
              </w:rPr>
              <w:t>Preventing harm is widely recognised as complex and challenging. The Wales Safeguarding Board (2023) emphasises that Social Services and the Police depend heavily on partner agencies and frontline professionals to identify, record, and share information regarding children who may be at risk of significant harm (National Independent Safeguarding Board Wales, 2023). Furthermore, the Victoria Climbié Inquiry, led by Lord Laming, identified serious failures in communication, record-keeping, and inter-agency collaboration, which contributed to the continued abuse and eventual death of Victoria Climbié. The inquiry underscored the critical importance of effective multi-agency working in safeguarding children from significant harm—an imperative that remains equally relevant in contemporary practice.</w:t>
            </w:r>
          </w:p>
          <w:p w14:paraId="22424C96" w14:textId="126CAA3C" w:rsidR="00AD2489" w:rsidRDefault="00AD2489" w:rsidP="00403590">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Once this disclosure had been reported to Children’s Services, the disclosure was taken </w:t>
            </w:r>
            <w:r w:rsidR="00B5515E" w:rsidRPr="00F32B2E">
              <w:rPr>
                <w:rFonts w:eastAsia="Calibri"/>
                <w:color w:val="auto"/>
                <w:sz w:val="24"/>
                <w:szCs w:val="24"/>
                <w:lang w:eastAsia="en-US"/>
              </w:rPr>
              <w:t>seriously and</w:t>
            </w:r>
            <w:r w:rsidRPr="00F32B2E">
              <w:rPr>
                <w:rFonts w:eastAsia="Calibri"/>
                <w:color w:val="auto"/>
                <w:sz w:val="24"/>
                <w:szCs w:val="24"/>
                <w:lang w:eastAsia="en-US"/>
              </w:rPr>
              <w:t xml:space="preserve"> was not minimised or dismissed.  A call was promptly made to the foster carer, who will be addressed as Adult 3 within this case study, to ensure Child 2 was safe from immediate risk and was supervised until further advice could be sought from a Line Manager and an assessment of risk could be completed.  </w:t>
            </w:r>
          </w:p>
          <w:p w14:paraId="2D8CBF91" w14:textId="15B52F61" w:rsidR="00EF716C" w:rsidRPr="00EF716C" w:rsidRDefault="00EF716C" w:rsidP="00EF716C">
            <w:pPr>
              <w:overflowPunct/>
              <w:autoSpaceDE/>
              <w:autoSpaceDN/>
              <w:adjustRightInd/>
              <w:spacing w:after="160" w:line="360" w:lineRule="auto"/>
              <w:jc w:val="both"/>
              <w:textAlignment w:val="auto"/>
              <w:rPr>
                <w:rFonts w:eastAsia="Calibri"/>
                <w:color w:val="auto"/>
                <w:sz w:val="24"/>
                <w:szCs w:val="24"/>
                <w:lang w:eastAsia="en-US"/>
              </w:rPr>
            </w:pPr>
            <w:r w:rsidRPr="00EF716C">
              <w:rPr>
                <w:rFonts w:eastAsia="Calibri"/>
                <w:color w:val="auto"/>
                <w:sz w:val="24"/>
                <w:szCs w:val="24"/>
                <w:lang w:eastAsia="en-US"/>
              </w:rPr>
              <w:t>Social Services made a request for a Strategy Discussion, which took place on the same day. A Strategy Discussion is a meeting involving the Police, Social Care, and other professionals working with the child. Its purpose is to determine whether a child protection investigation should be initiated due to concerns about the child's safety (Social Services and Well-being (Wales) Act, 2014 – Part 7). The discussion also establishes which agency will take the lead in the investigation or if it will be a joint effort between the Police and Social Care (Wales Safeguarding Procedures, 2019).</w:t>
            </w:r>
          </w:p>
          <w:p w14:paraId="78CF88B0" w14:textId="0B9DE7DC" w:rsidR="00280DFD" w:rsidRPr="00F32B2E" w:rsidRDefault="00EF716C" w:rsidP="00EF716C">
            <w:pPr>
              <w:overflowPunct/>
              <w:autoSpaceDE/>
              <w:autoSpaceDN/>
              <w:adjustRightInd/>
              <w:spacing w:after="160" w:line="360" w:lineRule="auto"/>
              <w:jc w:val="both"/>
              <w:textAlignment w:val="auto"/>
              <w:rPr>
                <w:rFonts w:eastAsia="Calibri"/>
                <w:color w:val="auto"/>
                <w:sz w:val="24"/>
                <w:szCs w:val="24"/>
                <w:lang w:eastAsia="en-US"/>
              </w:rPr>
            </w:pPr>
            <w:r w:rsidRPr="00EF716C">
              <w:rPr>
                <w:rFonts w:eastAsia="Calibri"/>
                <w:color w:val="auto"/>
                <w:sz w:val="24"/>
                <w:szCs w:val="24"/>
                <w:lang w:eastAsia="en-US"/>
              </w:rPr>
              <w:t>Serious Case Reviews have highlighted that strategy discussions should always be convened but, at times, were not requested or arranged by practitioners, resulting in inadequate information sharing. These reviews emphasize that strategy discussions are essential for determining how information will be gathered for an investigation, and that this gathering need not occur before the strategy discussion itself (Social Care Institute for Excellence, 2016). Strategy discussions can take place virtually, in person, or by phone, depending on the urgency of the situation.</w:t>
            </w:r>
          </w:p>
          <w:p w14:paraId="303B6778" w14:textId="35F2ED04"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Following the guidance issued by The Welsh Government (2019) which is how to respond to concerns of thoughts of suicide and self harm in young people, a conversation was had with Child 2.  The guidance provides an easy to follow flow chart on how to respond to a disclosure of suicidal thoughts and behaviour. This conversation was non-judgemental and reassurance was given to Child 2 that he was not in trouble, and an acknowledgement of his feelings was shown.  Recognising Child 2’s emotional state demonstrated empathy and hopefully validated his feelings.  This is central to building trust within the helping relationship (Rogers, 1957). Failure to acknowledge Child </w:t>
            </w:r>
            <w:r w:rsidR="00D222BD">
              <w:rPr>
                <w:rFonts w:eastAsia="Calibri"/>
                <w:color w:val="auto"/>
                <w:sz w:val="24"/>
                <w:szCs w:val="24"/>
                <w:lang w:eastAsia="en-US"/>
              </w:rPr>
              <w:t>2</w:t>
            </w:r>
            <w:r w:rsidRPr="00F32B2E">
              <w:rPr>
                <w:rFonts w:eastAsia="Calibri"/>
                <w:color w:val="auto"/>
                <w:sz w:val="24"/>
                <w:szCs w:val="24"/>
                <w:lang w:eastAsia="en-US"/>
              </w:rPr>
              <w:t xml:space="preserve">’s disclosure may increase his sense of isolation, shame, or invisibility, thereby heightening risk.  Again this approach aligns with the safeguarding principles outlined in the </w:t>
            </w:r>
            <w:r w:rsidRPr="00F32B2E">
              <w:rPr>
                <w:rFonts w:eastAsia="Calibri"/>
                <w:bCs/>
                <w:color w:val="auto"/>
                <w:sz w:val="24"/>
                <w:szCs w:val="24"/>
                <w:lang w:eastAsia="en-US"/>
              </w:rPr>
              <w:t>Social Services and Well-being (Wales) Act 2014</w:t>
            </w:r>
            <w:r w:rsidRPr="00F32B2E">
              <w:rPr>
                <w:rFonts w:eastAsia="Calibri"/>
                <w:color w:val="auto"/>
                <w:sz w:val="24"/>
                <w:szCs w:val="24"/>
                <w:lang w:eastAsia="en-US"/>
              </w:rPr>
              <w:t>, which underlines the children’s rights to be listened too and to be treated with dignity.</w:t>
            </w:r>
          </w:p>
          <w:p w14:paraId="71FD3EC8"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Furnivall (2013) highlights that children in care and care leavers are at increased risk of suicide and self-harm.  A risk assessment was completed with Adult 3 and Child 2.  Within this risk assessment it was explored whether Child 2 had a plan or means to act on his suicidal thoughts, what frequency was he having these thoughts, and if he had ever previously self-harmed or attempted.  It’s imperative to assess these features because they can link the level of risk and the timing of needed for intervention (Royal College of Psychiatrists, 2010).  It is also important that any adult interacting with these children are able to tackle challenging and daunting problems with them.  For example, within this case study there was necessity to ask about suicidal planning and intent very candidly to understand and to gain better awareness of warning signs and risk factors that these ideations can bring. </w:t>
            </w:r>
          </w:p>
          <w:p w14:paraId="1B5E76D8"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When Child 2 asked about his intentions, he stated he did not “want to end his life”, and he had not made a plan to do this.  He expressed being lonely, sad and scared.  Again using the flow chart it was determined that a meeting with other agencies was needed to discuss further actions going forward and a safety plan needed to </w:t>
            </w:r>
            <w:proofErr w:type="spellStart"/>
            <w:r w:rsidRPr="00F32B2E">
              <w:rPr>
                <w:rFonts w:eastAsia="Calibri"/>
                <w:color w:val="auto"/>
                <w:sz w:val="24"/>
                <w:szCs w:val="24"/>
                <w:lang w:eastAsia="en-US"/>
              </w:rPr>
              <w:t>drawn</w:t>
            </w:r>
            <w:proofErr w:type="spellEnd"/>
            <w:r w:rsidRPr="00F32B2E">
              <w:rPr>
                <w:rFonts w:eastAsia="Calibri"/>
                <w:color w:val="auto"/>
                <w:sz w:val="24"/>
                <w:szCs w:val="24"/>
                <w:lang w:eastAsia="en-US"/>
              </w:rPr>
              <w:t xml:space="preserve"> up in collaboration with Child 2 and Adult 3.  It was advised that Adult 3 should monitor Child 2 more frequently that evening, and if Adult 3 felt that Child 2 was showing concerning signs in relation to his mental health then they were to take him immediately to A&amp;E.  Looking after children who harm themselves or are suicidal is both alarming and emotionally distressing, and this can be overwhelming for carers and professionals. This is why it is equally important that a safety plan was drawn up for both Child 2 and Adult 3 thus providing clear guidelines that support the best practice possible.  </w:t>
            </w:r>
          </w:p>
          <w:p w14:paraId="1201FD6F"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The next day a visit was made to Child 2 home by Children’s services to establish his immediate safety, explore the suicidal ideation, assess the risk and amend the safety plan if needed.  Within this visit Child 2 was asked about his current feelings, which he found very hard to communicate.  It was soon established that Child 2 was struggling to communicate verbally.  Child 2 had a neurological condition that when he becomes anxious or stressed his speech can be significantly impacted by involuntary, sudden, and repetitive movements.  Child 2 was reassured he could still communicate through non-verbal methods and that he was not to worry that he could not verbally communicate.  Child 2’s appeared to have a slumped posture, he made less eye contact than usual and at times his eyes would tear up. Body language is a powerful form of non-verbal communication that provides important traces of intentions, emotions, and motivations in people (Avdić Jahić et al., 2021, p. 1050).</w:t>
            </w:r>
          </w:p>
          <w:p w14:paraId="7164514E"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Rogers (1957) highlights the importance of unconditional positive regard in building trust and supporting openness in therapeutic relationships.  The conversation expressed empathy, warmth, and non-judgemental listening to help the Child 2 feel heard. It was agreed that Child 2 was to write down his current feelings, whether he had a plan to end his life or if he intended to harm himself, had he ever done this in the past, how often did he think about this, did he have plans for the future, for example his birthday. Child 2 disclosed that he was very low in mood, was not sleeping well and was scared of what he felt. When this was explored further Child 2 wrote that he meant he “wanted to end how he was feeling, not his life”.  Depression in children can be scary for them, it can cause overwhelming sadness, negative thoughts about themselves and their future (NHS, 2023).  Child 2 presented with many of the symptoms that are recognised by the NHS when children suffer from depression.  These ranged from sadness, low mood, having trouble sleeping, being indecisive, not having much confidence, and also having physical symptoms, such as headaches and stomach aches.</w:t>
            </w:r>
          </w:p>
          <w:p w14:paraId="30901034"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Another barrier faced was that Child 2 potentially had an undiagnosed learning disability.  This in itself can limit the ability to express feelings, and depression can reduce their desire to communicate.  Research also demonstrates that children with learning disabilities run a higher risk of developing depression than other children, and that this risk increases as they get older (Hagan, 2025).  Existing with undiagnosed learning disabilities can make children depressed and anxious, and can subsequently unsettle the brain, making it harder to concentrate and remember things.  Child 2 was already struggling in school, which we initially thought was causing his low mood, and had previously come together as an MDT and a decision was made to request extra support in school and refer to an Educational Psychologist.  However being anxious or depressed can also make it harder to learn, and can impact on cognitive function.  </w:t>
            </w:r>
          </w:p>
          <w:p w14:paraId="21CA5FE7"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The conversation had with Child 2 gave an indication of the potential risk currently involved.  It was determined that there was very little evidence of planning or preparation for suicide, however if Child 2 did have elevated ideations of suicidal thoughts then he had sources of information written down of what he should do.  Subsequently a revised safety plan was drawn up together, signposting Child 2 to additional sources of information and support.  A request was also advised that Adult 3 should arrange a GP visit for Child 2.  All conversations and documents produced were recorded later on children’s services recording system.  </w:t>
            </w:r>
          </w:p>
          <w:p w14:paraId="6BCDDF8E"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The following day further contact was made by Adult 3 stating Child 2 had disclosed to his after school club that he was feeling stressed and that he wanted to ‘”kill himself”, he also called ‘Child line’ last night to seek advice.  Adult 3 followed the safety plan that was drawn up and sought advice from ‘out of hours’ medical professionals, who shared they would pass this onto the Child and Adolescent Mental Health Services (CAMHS, Betsi Cadwaladr University Health Board) who are an NHS service that can assess and treat young people if they are struggling with poor mental health.  It was communicated with Adult 3 that CAMHS would be able to assess Child 2 within 72 hours.  </w:t>
            </w:r>
          </w:p>
          <w:p w14:paraId="54064518"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An emergency was consequently arranged in relation to Child 2.  In Wales, arranging a Multidisciplinary Team (MDT) responding to a child presenting with suicidal ideation is vital for numerous reasons, such as safety, legal, clinical and best-practice. These link in with many relevant Welsh frameworks and policies, such as Social Services and Well-being (Wales) Act 2014 (SSWBA), which maintains that Local Authorities must assess and provide care and support, frequently through a multiagency safeguarding response, Working Together to Safeguard People (Social Care Wales, 2017a) which outlines within its guidance that under the SSWBA that safeguarding requires multiagency collaboration, the Children and Families Act 2014 &amp; Children and Social Work Act 2017 emphasises the duty to safeguard using multi-agency co-operation, Together for Mental Health Strategy (Welsh Government, 2012, updated 2019) which is a strategy that necessitates a co-ordinated multi agency approach addressing children’s mental health between social services, CAMHS and education.  All these polices and frameworks ensures the law is followed and a holistic risk assessment, safety plan, and organised response is completed, ensuring that no agency works separately, and the child receives the right support within the accurate timeframes, thus reducing risk.</w:t>
            </w:r>
          </w:p>
          <w:p w14:paraId="0F9582F6"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Attending the Emergency MDT were School, The Fostering Agency, and the Educational Psychologist that had visited Child 2 that morning all attended.  As an MDT a joint suicidal risk assessment was discussed.  Further concerns were fed back from school and the Education Psychologist that Child 2 was presenting as a high risk, and that he needed a Mental Health Medical assessment urgently.  It was reassuring that both Child 2 and Adult 3 followed the safety plan put in place the previous evening, however whilst this meeting was in place, further information was communicated that CAMHS were unable to arrange to see Child 2 within the previous suggested 72 hours, and that he was now placed on a waiting list which could be up to 8 weeks.  Increased waiting lists for Child and Adolescent Mental Health Services (CAMHS) are forming numerous substantial problems for children, their families, and professionals.  These include children who are experiencing concerning mental health problems are being left without timely assessments and interventions, which can lead to worsening suicidal ideations, depression and anxiety before treatment has begun.  Without this earlier intervention many cases will reach crisis point, and could increase the likelihood of suicide attempts.  In Wales and the wider UK, these concerns have been highlighted in reports by the Welsh Government, the Children’s Commissioner for Wales, and the Royal College of Psychiatrists. They stress the importance of early intervention, increased funding, and integrated multi-agency approaches to reduce waiting times and prevent escalation of harm.  </w:t>
            </w:r>
            <w:proofErr w:type="spellStart"/>
            <w:r w:rsidRPr="00F32B2E">
              <w:rPr>
                <w:rFonts w:eastAsia="Calibri"/>
                <w:color w:val="auto"/>
                <w:sz w:val="24"/>
                <w:szCs w:val="24"/>
                <w:lang w:eastAsia="en-US"/>
              </w:rPr>
              <w:t>YoungMinds</w:t>
            </w:r>
            <w:proofErr w:type="spellEnd"/>
            <w:r w:rsidRPr="00F32B2E">
              <w:rPr>
                <w:rFonts w:eastAsia="Calibri"/>
                <w:color w:val="auto"/>
                <w:sz w:val="24"/>
                <w:szCs w:val="24"/>
                <w:lang w:eastAsia="en-US"/>
              </w:rPr>
              <w:t xml:space="preserve"> (2024) analysis shows that In 2023/24, 78,577 young people referred to CAMHS waited over a year for treatment, which is an increase of 52% from the previous year. The outcome of the meeting was that Child 2 was to be taken immediately to A&amp;E to seek medical advice in relation to his mental health and to also rule out if this sudden decline in his presentation was not anything physically related.</w:t>
            </w:r>
          </w:p>
          <w:p w14:paraId="75CDD7A7"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Child 2 was taken to A&amp;E by Adult 3 and was assessed by the unscheduled care team.  His physical presentation was so extreme, affecting his ability to speak that it was decided that he was to be admitted into hospital where he could be urgently assessed and observed by the CAMHS Team.  Child 2 was prioritised for psychiatric and psychological intervention, and remained as an in-patient for over one week.  Child 2 was diagnosed with anxiety which they believed had been exasperated by the prevalent TICS he was experiencing.  From numerous MDT’s that were held within this week it was also identified that Child 2’s ability to understand and process the factors which may have contributed to his crisis may not be fully understood by Child 2, and that he may have a undiagnosed learning disability, which as mentioned earlier within the case study could have limited his ability to express his feelings, and consequently could have run a higher risk of him developing depression.</w:t>
            </w:r>
          </w:p>
          <w:p w14:paraId="74D71C06" w14:textId="76B91FCB"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Child </w:t>
            </w:r>
            <w:r w:rsidR="00D222BD">
              <w:rPr>
                <w:rFonts w:eastAsia="Calibri"/>
                <w:color w:val="auto"/>
                <w:sz w:val="24"/>
                <w:szCs w:val="24"/>
                <w:lang w:eastAsia="en-US"/>
              </w:rPr>
              <w:t>2</w:t>
            </w:r>
            <w:r w:rsidRPr="00F32B2E">
              <w:rPr>
                <w:rFonts w:eastAsia="Calibri"/>
                <w:color w:val="auto"/>
                <w:sz w:val="24"/>
                <w:szCs w:val="24"/>
                <w:lang w:eastAsia="en-US"/>
              </w:rPr>
              <w:t xml:space="preserve"> was prescribed medication by a psychiatrist to alleviate the prevalence of his </w:t>
            </w:r>
            <w:proofErr w:type="gramStart"/>
            <w:r w:rsidRPr="00F32B2E">
              <w:rPr>
                <w:rFonts w:eastAsia="Calibri"/>
                <w:color w:val="auto"/>
                <w:sz w:val="24"/>
                <w:szCs w:val="24"/>
                <w:lang w:eastAsia="en-US"/>
              </w:rPr>
              <w:t>TICS, and</w:t>
            </w:r>
            <w:proofErr w:type="gramEnd"/>
            <w:r w:rsidRPr="00F32B2E">
              <w:rPr>
                <w:rFonts w:eastAsia="Calibri"/>
                <w:color w:val="auto"/>
                <w:sz w:val="24"/>
                <w:szCs w:val="24"/>
                <w:lang w:eastAsia="en-US"/>
              </w:rPr>
              <w:t xml:space="preserve"> began therapy to work on this neurological condition.  He was also prescribed medication to help with his anxiety, with a focus on therapeutic input in the form of psychiatry and psychological intervention. At the end of this week, it was felt Child 2 had progressed well, had started communicating verbally, and his appearance and presentation showed clear improvement.  He was discharged with a safety plan, care co-ordination, and a plan to have follow up and reviews to reassess risk and progress.  Child 2 was also fast tracked to have a neuropsychological assessment to determine if he did have a learning disability.  This was actioned fairly quickly and Child 2 did receive a diagnosis of a mild / moderate Learning disability.  This diagnosis informed all adults involved in the care and support of Child 2 that his adaptive skills are explored within all environments, and it is likely that he will require long-term support with this to enable him to function and engage fully and meaningfully with his life.</w:t>
            </w:r>
          </w:p>
          <w:p w14:paraId="7B5B03D8"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Within this case study, when risk assessing Child 2 who was showing suicidal ideations, I used approaches that blend legislative duties, safeguarding frameworks, and practice models in combination.  I continually used a strengths based and person centred approach (Rogers, 1957) which emphasised unconditional positive regard, empathy and a genuineness that hopefully Child 2 sensed.  This model is essential when engaging with a child in crisis, and I felt this built trust so that Child 2 could share accurate information about how he felt, and never felt judged.  I combined this with the risk assessment framework shared through guidance issued by The Welsh Government (2019) and Signs of Safety model.  This was a structured suicide tool which assessed suicidal intent and risk, combined with a focus on balancing risks, strengths and the aim to keep the child safe.  The case study concluded with the Multi-Agency Safeguarding approach under the Social Services and Well-being (Wales) Act 2014, which required multi agencies coming together to ensure a holistic assessment was conducted and actioned.</w:t>
            </w:r>
          </w:p>
          <w:p w14:paraId="6DAF646F" w14:textId="77777777" w:rsidR="00F32B2E" w:rsidRPr="00F32B2E" w:rsidRDefault="00F32B2E" w:rsidP="00F32B2E">
            <w:pPr>
              <w:overflowPunct/>
              <w:autoSpaceDE/>
              <w:autoSpaceDN/>
              <w:adjustRightInd/>
              <w:spacing w:after="160" w:line="360" w:lineRule="auto"/>
              <w:jc w:val="both"/>
              <w:textAlignment w:val="auto"/>
              <w:rPr>
                <w:rFonts w:eastAsia="Calibri"/>
                <w:color w:val="auto"/>
                <w:sz w:val="24"/>
                <w:szCs w:val="24"/>
                <w:lang w:eastAsia="en-US"/>
              </w:rPr>
            </w:pPr>
            <w:r w:rsidRPr="00F32B2E">
              <w:rPr>
                <w:rFonts w:eastAsia="Calibri"/>
                <w:color w:val="auto"/>
                <w:sz w:val="24"/>
                <w:szCs w:val="24"/>
                <w:lang w:eastAsia="en-US"/>
              </w:rPr>
              <w:t xml:space="preserve">Looking back on Schon’s (1991) emphasis on the value of reflection on action, as an MDT we initially considered that potentially Child 2’s cognitive ability was causing his low mood.  However reflecting back this theory could have been switched and the depression could have been affecting the Child 2’s already lower cognitive function.  As it stood our hypothesis was accurate, however n future practice, this piece of work has allowed me to reflect on how it is vital to explore all areas that may impact vulnerable children.  Looked after children with disabilities are within this particularly vulnerable group, and it is therefore vital that services take a holistic view of their mental health and well-being. Children with disabilities are at an increased risk of neglect, social exclusion, and abuse.  Poor mental health can exacerbate these risks (NSPCC, 2020). Furthermore, many children with disabilities can experience struggles in communicating anxiety and distress, thus meaning signs and symptoms of mental health may go unnoticed unless professionals consider the full picture (Franklin and Sloper, 2009).  Mental health in looked after children with disabilities does not happen in isolation, it can link in with their disability, care status, and wider environment. Again, a full understanding of the child and their circumstances should support and prevent needs from being missed, thus reducing risk, and ensuring the best chance of positive outcomes.  </w:t>
            </w:r>
          </w:p>
          <w:p w14:paraId="3381D7AE" w14:textId="464F9718" w:rsidR="00F32B2E" w:rsidRPr="00F32B2E" w:rsidRDefault="00F32B2E" w:rsidP="00FF7EBB">
            <w:pPr>
              <w:jc w:val="both"/>
              <w:rPr>
                <w:sz w:val="24"/>
                <w:szCs w:val="24"/>
              </w:rPr>
            </w:pPr>
            <w:r>
              <w:rPr>
                <w:sz w:val="24"/>
                <w:szCs w:val="24"/>
              </w:rPr>
              <w:t xml:space="preserve">Word Count – </w:t>
            </w:r>
            <w:r w:rsidR="00D222BD">
              <w:rPr>
                <w:sz w:val="24"/>
                <w:szCs w:val="24"/>
              </w:rPr>
              <w:t>4,102</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C97C3" w14:textId="77777777" w:rsidR="00734F6A" w:rsidRDefault="00734F6A">
      <w:r>
        <w:separator/>
      </w:r>
    </w:p>
  </w:endnote>
  <w:endnote w:type="continuationSeparator" w:id="0">
    <w:p w14:paraId="3A7249B6" w14:textId="77777777" w:rsidR="00734F6A" w:rsidRDefault="00734F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4A6FB524" w:rsidR="00A5656A" w:rsidRDefault="00A5656A">
    <w:pPr>
      <w:pStyle w:val="Footer"/>
      <w:jc w:val="right"/>
    </w:pPr>
    <w:r>
      <w:fldChar w:fldCharType="begin"/>
    </w:r>
    <w:r>
      <w:instrText xml:space="preserve"> PAGE   \* MERGEFORMAT </w:instrText>
    </w:r>
    <w:r>
      <w:fldChar w:fldCharType="separate"/>
    </w:r>
    <w:r w:rsidR="001D45E6">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E5CF6" w14:textId="77777777" w:rsidR="00734F6A" w:rsidRDefault="00734F6A">
      <w:r>
        <w:separator/>
      </w:r>
    </w:p>
  </w:footnote>
  <w:footnote w:type="continuationSeparator" w:id="0">
    <w:p w14:paraId="44664E79" w14:textId="77777777" w:rsidR="00734F6A" w:rsidRDefault="00734F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82803316">
    <w:abstractNumId w:val="1"/>
    <w:lvlOverride w:ilvl="0">
      <w:lvl w:ilvl="0">
        <w:start w:val="1"/>
        <w:numFmt w:val="bullet"/>
        <w:lvlText w:val=""/>
        <w:lvlJc w:val="left"/>
        <w:pPr>
          <w:ind w:left="720" w:hanging="360"/>
        </w:pPr>
        <w:rPr>
          <w:rFonts w:ascii="Symbol" w:hAnsi="Symbol" w:hint="default"/>
        </w:rPr>
      </w:lvl>
    </w:lvlOverride>
  </w:num>
  <w:num w:numId="2" w16cid:durableId="1687709148">
    <w:abstractNumId w:val="22"/>
  </w:num>
  <w:num w:numId="3" w16cid:durableId="854349453">
    <w:abstractNumId w:val="45"/>
  </w:num>
  <w:num w:numId="4" w16cid:durableId="1214317346">
    <w:abstractNumId w:val="47"/>
  </w:num>
  <w:num w:numId="5" w16cid:durableId="1105461721">
    <w:abstractNumId w:val="34"/>
  </w:num>
  <w:num w:numId="6" w16cid:durableId="1573155024">
    <w:abstractNumId w:val="32"/>
  </w:num>
  <w:num w:numId="7" w16cid:durableId="210658249">
    <w:abstractNumId w:val="29"/>
  </w:num>
  <w:num w:numId="8" w16cid:durableId="96491940">
    <w:abstractNumId w:val="30"/>
  </w:num>
  <w:num w:numId="9" w16cid:durableId="918565084">
    <w:abstractNumId w:val="10"/>
  </w:num>
  <w:num w:numId="10" w16cid:durableId="1806048796">
    <w:abstractNumId w:val="33"/>
  </w:num>
  <w:num w:numId="11" w16cid:durableId="1477606313">
    <w:abstractNumId w:val="17"/>
  </w:num>
  <w:num w:numId="12" w16cid:durableId="1125344520">
    <w:abstractNumId w:val="16"/>
  </w:num>
  <w:num w:numId="13" w16cid:durableId="450981207">
    <w:abstractNumId w:val="27"/>
  </w:num>
  <w:num w:numId="14" w16cid:durableId="515997673">
    <w:abstractNumId w:val="8"/>
  </w:num>
  <w:num w:numId="15" w16cid:durableId="468403639">
    <w:abstractNumId w:val="26"/>
  </w:num>
  <w:num w:numId="16" w16cid:durableId="500581563">
    <w:abstractNumId w:val="15"/>
  </w:num>
  <w:num w:numId="17" w16cid:durableId="443308322">
    <w:abstractNumId w:val="13"/>
  </w:num>
  <w:num w:numId="18" w16cid:durableId="126812169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77918474">
    <w:abstractNumId w:val="23"/>
  </w:num>
  <w:num w:numId="20" w16cid:durableId="545682975">
    <w:abstractNumId w:val="18"/>
  </w:num>
  <w:num w:numId="21" w16cid:durableId="572276579">
    <w:abstractNumId w:val="14"/>
  </w:num>
  <w:num w:numId="22" w16cid:durableId="1226449939">
    <w:abstractNumId w:val="11"/>
  </w:num>
  <w:num w:numId="23" w16cid:durableId="542985585">
    <w:abstractNumId w:val="28"/>
  </w:num>
  <w:num w:numId="24" w16cid:durableId="1020664203">
    <w:abstractNumId w:val="19"/>
  </w:num>
  <w:num w:numId="25" w16cid:durableId="1416394230">
    <w:abstractNumId w:val="41"/>
  </w:num>
  <w:num w:numId="26" w16cid:durableId="598678310">
    <w:abstractNumId w:val="35"/>
  </w:num>
  <w:num w:numId="27" w16cid:durableId="1953901573">
    <w:abstractNumId w:val="40"/>
  </w:num>
  <w:num w:numId="28" w16cid:durableId="636034579">
    <w:abstractNumId w:val="20"/>
  </w:num>
  <w:num w:numId="29" w16cid:durableId="1895001062">
    <w:abstractNumId w:val="43"/>
  </w:num>
  <w:num w:numId="30" w16cid:durableId="1499692642">
    <w:abstractNumId w:val="31"/>
  </w:num>
  <w:num w:numId="31" w16cid:durableId="1475101273">
    <w:abstractNumId w:val="12"/>
  </w:num>
  <w:num w:numId="32" w16cid:durableId="1856386699">
    <w:abstractNumId w:val="44"/>
  </w:num>
  <w:num w:numId="33" w16cid:durableId="115834205">
    <w:abstractNumId w:val="39"/>
  </w:num>
  <w:num w:numId="34" w16cid:durableId="1737698921">
    <w:abstractNumId w:val="5"/>
  </w:num>
  <w:num w:numId="35" w16cid:durableId="406270177">
    <w:abstractNumId w:val="46"/>
  </w:num>
  <w:num w:numId="36" w16cid:durableId="2079597624">
    <w:abstractNumId w:val="42"/>
  </w:num>
  <w:num w:numId="37" w16cid:durableId="1634677452">
    <w:abstractNumId w:val="36"/>
  </w:num>
  <w:num w:numId="38" w16cid:durableId="82379037">
    <w:abstractNumId w:val="37"/>
  </w:num>
  <w:num w:numId="39" w16cid:durableId="239144213">
    <w:abstractNumId w:val="4"/>
  </w:num>
  <w:num w:numId="40" w16cid:durableId="992292267">
    <w:abstractNumId w:val="6"/>
  </w:num>
  <w:num w:numId="41" w16cid:durableId="1645890830">
    <w:abstractNumId w:val="25"/>
  </w:num>
  <w:num w:numId="42" w16cid:durableId="1438522864">
    <w:abstractNumId w:val="7"/>
  </w:num>
  <w:num w:numId="43" w16cid:durableId="1861358464">
    <w:abstractNumId w:val="3"/>
  </w:num>
  <w:num w:numId="44" w16cid:durableId="224609669">
    <w:abstractNumId w:val="38"/>
  </w:num>
  <w:num w:numId="45" w16cid:durableId="90513708">
    <w:abstractNumId w:val="0"/>
  </w:num>
  <w:num w:numId="46" w16cid:durableId="2039547706">
    <w:abstractNumId w:val="14"/>
  </w:num>
  <w:num w:numId="47" w16cid:durableId="2096128968">
    <w:abstractNumId w:val="48"/>
  </w:num>
  <w:num w:numId="48" w16cid:durableId="63683740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893492191">
    <w:abstractNumId w:val="11"/>
  </w:num>
  <w:num w:numId="50" w16cid:durableId="697436209">
    <w:abstractNumId w:val="28"/>
  </w:num>
  <w:num w:numId="51" w16cid:durableId="277563938">
    <w:abstractNumId w:val="24"/>
  </w:num>
  <w:num w:numId="52" w16cid:durableId="2129547655">
    <w:abstractNumId w:val="21"/>
  </w:num>
  <w:num w:numId="53" w16cid:durableId="927007789">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DFE"/>
    <w:rsid w:val="00002C7A"/>
    <w:rsid w:val="000045B8"/>
    <w:rsid w:val="00012B16"/>
    <w:rsid w:val="00020EEC"/>
    <w:rsid w:val="0002440E"/>
    <w:rsid w:val="000252C0"/>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8C3"/>
    <w:rsid w:val="0019496C"/>
    <w:rsid w:val="001961CF"/>
    <w:rsid w:val="001A59BB"/>
    <w:rsid w:val="001A607E"/>
    <w:rsid w:val="001A6A51"/>
    <w:rsid w:val="001A79C4"/>
    <w:rsid w:val="001B331A"/>
    <w:rsid w:val="001C0237"/>
    <w:rsid w:val="001C0E74"/>
    <w:rsid w:val="001C3E71"/>
    <w:rsid w:val="001C4DB8"/>
    <w:rsid w:val="001C50B8"/>
    <w:rsid w:val="001D229F"/>
    <w:rsid w:val="001D45E6"/>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0DF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590"/>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5EE"/>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1FB"/>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4F6A"/>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25B"/>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248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15E"/>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2BD"/>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16C"/>
    <w:rsid w:val="00F01F92"/>
    <w:rsid w:val="00F030D4"/>
    <w:rsid w:val="00F04053"/>
    <w:rsid w:val="00F06573"/>
    <w:rsid w:val="00F10A08"/>
    <w:rsid w:val="00F15354"/>
    <w:rsid w:val="00F22AC5"/>
    <w:rsid w:val="00F254D1"/>
    <w:rsid w:val="00F32B2E"/>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40331A-C6D6-440D-989A-427FF8CAA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13</Pages>
  <Words>4304</Words>
  <Characters>23263</Characters>
  <Application>Microsoft Office Word</Application>
  <DocSecurity>0</DocSecurity>
  <Lines>347</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Rhiana1 Povey</cp:lastModifiedBy>
  <cp:revision>14</cp:revision>
  <cp:lastPrinted>2020-02-11T19:20:00Z</cp:lastPrinted>
  <dcterms:created xsi:type="dcterms:W3CDTF">2025-10-05T16:21:00Z</dcterms:created>
  <dcterms:modified xsi:type="dcterms:W3CDTF">2026-02-26T10:27:00Z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