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FD4D1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FD4D1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FD4D1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FD4D1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40805F36" w:rsidR="00FF7784" w:rsidRDefault="00FF7784" w:rsidP="00340E9A">
      <w:pPr>
        <w:ind w:right="237"/>
        <w:jc w:val="both"/>
        <w:rPr>
          <w:sz w:val="24"/>
          <w:szCs w:val="24"/>
        </w:rPr>
      </w:pPr>
    </w:p>
    <w:p w14:paraId="5B47C8D6" w14:textId="77777777" w:rsidR="003306D0" w:rsidRDefault="003306D0" w:rsidP="003306D0">
      <w:r>
        <w:t xml:space="preserve">In this essay I will outline what Organisational Justice is, before considering and reflecting on the impact it has on myself as a member of the police service. I will also consider steps taken by Gwent Police to try and raise the ethical standards of </w:t>
      </w:r>
      <w:proofErr w:type="spellStart"/>
      <w:proofErr w:type="gramStart"/>
      <w:r>
        <w:t>it’s</w:t>
      </w:r>
      <w:proofErr w:type="spellEnd"/>
      <w:proofErr w:type="gramEnd"/>
      <w:r>
        <w:t xml:space="preserve"> workforce and outline why this is an important duty of the organisation.</w:t>
      </w:r>
    </w:p>
    <w:p w14:paraId="6BF09DB2" w14:textId="77777777" w:rsidR="003306D0" w:rsidRDefault="003306D0" w:rsidP="003306D0">
      <w:r>
        <w:t xml:space="preserve">Organisational Justice is a term used for an </w:t>
      </w:r>
      <w:proofErr w:type="spellStart"/>
      <w:proofErr w:type="gramStart"/>
      <w:r>
        <w:t>employees</w:t>
      </w:r>
      <w:proofErr w:type="spellEnd"/>
      <w:proofErr w:type="gramEnd"/>
      <w:r>
        <w:t xml:space="preserve"> view on the fairness of organisational processes and procedures (Baldwin, 2006). The difference between positive employee perception of Organisational Justice and that of a negative, is drastic. If and employee’s view is a positive one, the organisation will be more likely to reap the rewards from their employees’ positive outlook, and thrive (Quinton, et al, 2015). Whilst on the flip side, should an employee have a negative opinion on the justice of an organisation, it is probable it will bring out negative performance and even lead to an employee seeking alternative employment (Baldwin, 2006).</w:t>
      </w:r>
    </w:p>
    <w:p w14:paraId="08DE9B58" w14:textId="77777777" w:rsidR="003306D0" w:rsidRDefault="003306D0" w:rsidP="003306D0">
      <w:r>
        <w:t>Organisational Justice can be separated into three main segments, these are detailed below:</w:t>
      </w:r>
    </w:p>
    <w:p w14:paraId="5EFA452D" w14:textId="77777777" w:rsidR="003306D0" w:rsidRDefault="003306D0" w:rsidP="003306D0">
      <w:r>
        <w:t xml:space="preserve">Distributive Justice – This may be the more traditional aspect of Organisational Justice and it is fundamentally how fairly employees feel they’re rewarded for their work by the pay they receive (Baldwin, 2006). This can sometimes put pressure onto employers to generously reward their staff, via their wages, as employees are able to compare their work/pay ratio to others of the same profession; whether they’re within the same organisation or working in </w:t>
      </w:r>
      <w:proofErr w:type="spellStart"/>
      <w:r>
        <w:t>an other</w:t>
      </w:r>
      <w:proofErr w:type="spellEnd"/>
      <w:r>
        <w:t xml:space="preserve"> (Shah, Anwar, Irani, 2016). Distributive Justice has had a bigger impact on me than I thought it would. First of all, I took a substantial pay cut from my previous role, as a Police Community Support Officer, in order to further my career as a Police Constable. I took this pay cut despite having more work, working longer hours, having more responsibility and power as a PC. How is it fair that a job that demands less and is often seen as “easier”, pays more in the short term? </w:t>
      </w:r>
    </w:p>
    <w:p w14:paraId="423CB0C1" w14:textId="77777777" w:rsidR="003306D0" w:rsidRDefault="003306D0" w:rsidP="003306D0">
      <w:r>
        <w:t xml:space="preserve">Within the police service, the amount you’re paid is based on the length of service you have (Police Federation, </w:t>
      </w:r>
      <w:proofErr w:type="spellStart"/>
      <w:r>
        <w:t>n.d</w:t>
      </w:r>
      <w:proofErr w:type="spellEnd"/>
      <w:r>
        <w:t xml:space="preserve">). Whilst I knew and respected this before joining, I’ve since questioned </w:t>
      </w:r>
      <w:proofErr w:type="gramStart"/>
      <w:r>
        <w:t>it’s</w:t>
      </w:r>
      <w:proofErr w:type="gramEnd"/>
      <w:r>
        <w:t xml:space="preserve"> fairness. For example, I have found myself answering more calls, completing more paperwork and working more hours than my colleagues, and yet some of them earn £10,000 a year more than me. </w:t>
      </w:r>
    </w:p>
    <w:p w14:paraId="2D55BB0D" w14:textId="77777777" w:rsidR="003306D0" w:rsidRDefault="003306D0" w:rsidP="003306D0">
      <w:r>
        <w:t xml:space="preserve">Procedural Justice – This aspect of Organisational Justice is where </w:t>
      </w:r>
      <w:proofErr w:type="gramStart"/>
      <w:r>
        <w:t>employees</w:t>
      </w:r>
      <w:proofErr w:type="gramEnd"/>
      <w:r>
        <w:t xml:space="preserve"> asses the fairness of the decisions made within the organisation (Baldwin, 2006). An employee is more likely to perceive organisational decisions to be “fair”, if they are made with transparency, consistency, and in line with the organisation’s ethical values (</w:t>
      </w:r>
      <w:proofErr w:type="spellStart"/>
      <w:r>
        <w:t>Stecher</w:t>
      </w:r>
      <w:proofErr w:type="spellEnd"/>
      <w:r>
        <w:t xml:space="preserve"> and </w:t>
      </w:r>
      <w:proofErr w:type="spellStart"/>
      <w:r>
        <w:t>Rosse</w:t>
      </w:r>
      <w:proofErr w:type="spellEnd"/>
      <w:r>
        <w:t>, 2005). It is believed that if employees can see that organisational decisions are made fairly and ethically, then the employees will mirror this and behave in the same vain (Shah, Anwar, Irani, 2016). On reflection, I haven’t had a negative experience of Procedural Justice as of yet, however, this may change if and when I look to progress into a new role within the Police service, or even look for promotion.</w:t>
      </w:r>
    </w:p>
    <w:p w14:paraId="4CF59A85" w14:textId="77777777" w:rsidR="003306D0" w:rsidRDefault="003306D0" w:rsidP="003306D0">
      <w:r>
        <w:t>Interpersonal Justice – This dimension of Organisational Justice is simply how fairly and respectfully an employee feels they are treated within their workplace (</w:t>
      </w:r>
      <w:proofErr w:type="spellStart"/>
      <w:r>
        <w:t>Garbarek</w:t>
      </w:r>
      <w:proofErr w:type="spellEnd"/>
      <w:r>
        <w:t xml:space="preserve">, 2019). An employee’s feeling of being treated fairly and respectfully isn’t in relation solely by the organisation’s hierarchy, but can also be by their peers (Schofield, 2021). As before mentioned, I feel the fact that I answer more calls, complete more paperwork and work more hours than my colleagues, has made me question the </w:t>
      </w:r>
      <w:r>
        <w:lastRenderedPageBreak/>
        <w:t>fairness of the pay structure. However, the fact this is an ongoing issue, rather than a single occasion has also made me feel I’m not being treated fairly. I don’t feel it fair that my line manager is allowing me to work twice as hard and allows other officers not to pull their weight. This being allowed to continue, on top of feeling underpaid has had an impact on my motivation for work. I have also felt that due to being overloaded with work, the quality of it has suffered.</w:t>
      </w:r>
    </w:p>
    <w:p w14:paraId="0535AE05" w14:textId="77777777" w:rsidR="003306D0" w:rsidRPr="00DB0A84" w:rsidRDefault="003306D0" w:rsidP="003306D0">
      <w:r>
        <w:t>One step taken by the Police service to raise ethical standards within the organisation is the implementation of body worn video. The use of body worn video enables police officers to be more transparent and their actions can be held accountable (</w:t>
      </w:r>
      <w:proofErr w:type="spellStart"/>
      <w:r>
        <w:t>Beglau</w:t>
      </w:r>
      <w:proofErr w:type="spellEnd"/>
      <w:r>
        <w:t xml:space="preserve">, 2017). A particular area where this has assisted police in raising ethical standards is during the stop and search process. For a number of </w:t>
      </w:r>
      <w:proofErr w:type="gramStart"/>
      <w:r>
        <w:t>years</w:t>
      </w:r>
      <w:proofErr w:type="gramEnd"/>
      <w:r>
        <w:t xml:space="preserve"> the police have been heavily criticised for the use of this particular power, due to black and ethnic minorities being more likely to be stop searched than their white counterparts (Dodd, 2020). By officers using body worn video, their justification for such decisions can be captured and if necessary, assessed.</w:t>
      </w:r>
    </w:p>
    <w:p w14:paraId="7761B727" w14:textId="71919EF3" w:rsidR="003306D0" w:rsidRDefault="003306D0" w:rsidP="003306D0">
      <w:r>
        <w:t>Organisational Justice is an aspect of the workplace that can have a major impact on employees and can even affect their performance, meaning it can also have a major impact on employers. Identifying the three different aspects of Organisational Justice: Distributive Justice, Procedural Justice and Interpersonal Justice, has enabled me to reflect on how each aspect has affected me as a member of the Police service. I have recognised the impact of Distributive Justice on myself and explained how I have a have a negative view on it as I often feel overworked and underpaid; especially compared to some of my colleagues, who have more experience, knowledge and get paid more, yet do less than half the work. By reflecting on this, I can see that it has impacted my work ethic and I’m less motivated to work as hard as I previously was. This lack of motivation is cofounded by the impact of negative Interpersonal Justice, as a result of being expected to do more whilst by my line manager, whilst those that do little are left to just that.</w:t>
      </w:r>
    </w:p>
    <w:p w14:paraId="7A8BD738" w14:textId="77777777" w:rsidR="003306D0" w:rsidRDefault="003306D0" w:rsidP="003306D0"/>
    <w:p w14:paraId="7ABC3BFD" w14:textId="77777777" w:rsidR="003306D0" w:rsidRPr="003649A5" w:rsidRDefault="003306D0" w:rsidP="003306D0">
      <w:pPr>
        <w:rPr>
          <w:b/>
          <w:bCs/>
        </w:rPr>
      </w:pPr>
      <w:r>
        <w:rPr>
          <w:b/>
          <w:bCs/>
        </w:rPr>
        <w:t>Word Count: 988</w:t>
      </w:r>
    </w:p>
    <w:p w14:paraId="17D180D2" w14:textId="77777777" w:rsidR="003306D0" w:rsidRPr="00270EEB" w:rsidRDefault="003306D0"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bookmarkStart w:id="0" w:name="_Hlk88387965"/>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bookmarkEnd w:id="0"/>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F5F010F" w14:textId="77777777" w:rsidR="003306D0" w:rsidRDefault="003306D0" w:rsidP="003306D0">
      <w:pPr>
        <w:overflowPunct/>
        <w:autoSpaceDE/>
        <w:autoSpaceDN/>
        <w:adjustRightInd/>
        <w:textAlignment w:val="auto"/>
        <w:rPr>
          <w:sz w:val="24"/>
          <w:szCs w:val="24"/>
        </w:rPr>
      </w:pPr>
      <w:r w:rsidRPr="00441C70">
        <w:rPr>
          <w:rFonts w:asciiTheme="minorHAnsi" w:hAnsiTheme="minorHAnsi" w:cstheme="minorHAnsi"/>
          <w:sz w:val="22"/>
          <w:szCs w:val="22"/>
        </w:rPr>
        <w:t>From my experience within policing, the Police are seen, externally, as a one-stop shop for dealing with pretty much any incident. Members of the public report various issues to the Police, which fall under the jurisdiction of other authorities and agencies. Whilst other agencies also rely on Police to deal with matters better suited for others, and even themselves, e.g. the infamous Friday 16:30 phone call from Social Services; where they have concerns for somebody, but wait until they are about to leave work for the weekend and report their concerns to Police, as a way of diverting the onus onto the Police to deal with it, rather than themselves. Whilst this is a regular occurrence, there are many occasions where the Police and partner agencies work together to resolve ongoing issues. In this essay I have chosen an incident where I have played a role with victims, an offender and multi-agency partners to resolve an ongoing problem within a community. I will explain What options I considered when adopting a multi-agency approach, as well as how it was decided on the most appropriate option to mitigate and find a resolution for the problem. Throughout the essay, I will justify mine and the police’s intervention and highlight potential consequences</w:t>
      </w:r>
      <w:r>
        <w:rPr>
          <w:sz w:val="24"/>
          <w:szCs w:val="24"/>
        </w:rPr>
        <w:t>.</w:t>
      </w:r>
    </w:p>
    <w:p w14:paraId="3AB872C4" w14:textId="77777777" w:rsidR="003306D0" w:rsidRDefault="003306D0" w:rsidP="003306D0">
      <w:pPr>
        <w:overflowPunct/>
        <w:autoSpaceDE/>
        <w:autoSpaceDN/>
        <w:adjustRightInd/>
        <w:textAlignment w:val="auto"/>
        <w:rPr>
          <w:sz w:val="24"/>
          <w:szCs w:val="24"/>
        </w:rPr>
      </w:pPr>
    </w:p>
    <w:p w14:paraId="5117ACA2" w14:textId="77777777" w:rsidR="003306D0" w:rsidRDefault="003306D0" w:rsidP="003306D0">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Within the space of a few weeks, there were several calls to a street where a female who was living in an assisted living property was reported to have committed criminal damage by throwing stones at vehicles and pulling the garden gate of her property off its hinges(</w:t>
      </w:r>
      <w:r w:rsidRPr="00B959E1">
        <w:rPr>
          <w:rFonts w:asciiTheme="minorHAnsi" w:hAnsiTheme="minorHAnsi" w:cstheme="minorHAnsi"/>
          <w:sz w:val="22"/>
          <w:szCs w:val="22"/>
        </w:rPr>
        <w:t>Criminal Damage Act 1971</w:t>
      </w:r>
      <w:r>
        <w:rPr>
          <w:rFonts w:asciiTheme="minorHAnsi" w:hAnsiTheme="minorHAnsi" w:cstheme="minorHAnsi"/>
          <w:sz w:val="22"/>
          <w:szCs w:val="22"/>
        </w:rPr>
        <w:t>), committing public order offences by street shouting and swearing in the street (Public Order Act 1986), as well walking around the street waving a plank of wood; which would have constituted affray (</w:t>
      </w:r>
      <w:r w:rsidRPr="00B959E1">
        <w:rPr>
          <w:rFonts w:asciiTheme="minorHAnsi" w:hAnsiTheme="minorHAnsi" w:cstheme="minorHAnsi"/>
          <w:sz w:val="22"/>
          <w:szCs w:val="22"/>
        </w:rPr>
        <w:t>Public Order Act 1986</w:t>
      </w:r>
      <w:r>
        <w:rPr>
          <w:rFonts w:asciiTheme="minorHAnsi" w:hAnsiTheme="minorHAnsi" w:cstheme="minorHAnsi"/>
          <w:sz w:val="22"/>
          <w:szCs w:val="22"/>
        </w:rPr>
        <w:t xml:space="preserve">). I attended a further incident of criminal damage to vehicles which were parked in the same street, caused by the same female. I spoke with several residents of the street, whom all of which informed me that they had had enough of the ongoing issues and the wanted the female prosecuted. I attended the assisted living property and spoke to staff there who informed me that the female had recently moved there from a different local authority assisted living home as she was causing too many issues while there. The staff explained that it was unclear </w:t>
      </w:r>
      <w:r>
        <w:rPr>
          <w:rFonts w:asciiTheme="minorHAnsi" w:hAnsiTheme="minorHAnsi" w:cstheme="minorHAnsi"/>
          <w:sz w:val="22"/>
          <w:szCs w:val="22"/>
        </w:rPr>
        <w:lastRenderedPageBreak/>
        <w:t xml:space="preserve">whether the female possessed the mental capacity to understand her actions. I then attended the female’s flat to speak to her. First of all, she was shouting at me from behind the door, making no sense, and refused to let me into her flat. After gaining entry to the flat, the female was clearly presenting as though she did not have the mental capacity to be held responsible for her actions. Despite this seemingly being clear, it was not officially confirmed by medical professionals. I spoke to the local neighbourhood team whom stated that they held a PACT meeting recently where the female’s behaviour was raised as a priority, and they had a further </w:t>
      </w:r>
      <w:r w:rsidRPr="007F5367">
        <w:rPr>
          <w:rFonts w:asciiTheme="minorHAnsi" w:hAnsiTheme="minorHAnsi" w:cstheme="minorHAnsi"/>
          <w:color w:val="000000" w:themeColor="text1"/>
          <w:sz w:val="22"/>
          <w:szCs w:val="22"/>
        </w:rPr>
        <w:t xml:space="preserve">PACT meeting planned where this priority would be </w:t>
      </w:r>
      <w:r w:rsidRPr="00C26857">
        <w:rPr>
          <w:rFonts w:asciiTheme="minorHAnsi" w:hAnsiTheme="minorHAnsi" w:cstheme="minorHAnsi"/>
          <w:color w:val="000000" w:themeColor="text1"/>
          <w:sz w:val="22"/>
          <w:szCs w:val="22"/>
        </w:rPr>
        <w:t xml:space="preserve">discussed </w:t>
      </w:r>
      <w:r>
        <w:rPr>
          <w:rFonts w:asciiTheme="minorHAnsi" w:hAnsiTheme="minorHAnsi" w:cstheme="minorHAnsi"/>
          <w:color w:val="000000" w:themeColor="text1"/>
          <w:sz w:val="22"/>
          <w:szCs w:val="22"/>
        </w:rPr>
        <w:t>further</w:t>
      </w:r>
      <w:r w:rsidRPr="00C26857">
        <w:rPr>
          <w:rFonts w:asciiTheme="minorHAnsi" w:hAnsiTheme="minorHAnsi" w:cstheme="minorHAnsi"/>
          <w:color w:val="000000" w:themeColor="text1"/>
          <w:sz w:val="22"/>
          <w:szCs w:val="22"/>
        </w:rPr>
        <w:t xml:space="preserve">. I attended the PACT meeting, and present was a local councillor, who used to hold the position of head of social care. As a result of the PACT meeting, a further meeting was arranged with the local councillor attending, alongside myself, the local NPT, a member of the local social services, as well as a member of social services from the female’s owning local authority. Prior to the meeting, it was arranged for the female to undergo a capacity assessment. In the meeting, it was established that the female did lack capacity, as a result of her dementia, and therefore couldn’t be held criminally responsible for her actions (Britannica, 2020). Due to this, in the meeting it was agreed that the female required further support to meet </w:t>
      </w:r>
      <w:r>
        <w:rPr>
          <w:rFonts w:asciiTheme="minorHAnsi" w:hAnsiTheme="minorHAnsi" w:cstheme="minorHAnsi"/>
          <w:sz w:val="22"/>
          <w:szCs w:val="22"/>
        </w:rPr>
        <w:t xml:space="preserve">her needs, meaning she moved to a more appropriate property for her, where she would receive around the clock care. </w:t>
      </w:r>
    </w:p>
    <w:p w14:paraId="14469E1E" w14:textId="77777777" w:rsidR="003306D0" w:rsidRDefault="003306D0" w:rsidP="003306D0">
      <w:pPr>
        <w:overflowPunct/>
        <w:autoSpaceDE/>
        <w:autoSpaceDN/>
        <w:adjustRightInd/>
        <w:textAlignment w:val="auto"/>
        <w:rPr>
          <w:rFonts w:asciiTheme="minorHAnsi" w:hAnsiTheme="minorHAnsi" w:cstheme="minorHAnsi"/>
          <w:sz w:val="22"/>
          <w:szCs w:val="22"/>
        </w:rPr>
      </w:pPr>
    </w:p>
    <w:p w14:paraId="742CA183" w14:textId="77777777" w:rsidR="003306D0" w:rsidRDefault="003306D0" w:rsidP="003306D0">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Multi-agency working is when two or more agencies work together with each other in order to solve collective problem (</w:t>
      </w:r>
      <w:r w:rsidRPr="00B57B28">
        <w:rPr>
          <w:rFonts w:asciiTheme="minorHAnsi" w:hAnsiTheme="minorHAnsi" w:cstheme="minorHAnsi"/>
          <w:sz w:val="22"/>
          <w:szCs w:val="22"/>
        </w:rPr>
        <w:t>Mazerolle</w:t>
      </w:r>
      <w:r>
        <w:rPr>
          <w:rFonts w:asciiTheme="minorHAnsi" w:hAnsiTheme="minorHAnsi" w:cstheme="minorHAnsi"/>
          <w:sz w:val="22"/>
          <w:szCs w:val="22"/>
        </w:rPr>
        <w:t xml:space="preserve"> et al, 2020). This type of collaborative working, between the Police and their partner agencies, is a key component of modern-day policing and can be hugely beneficial when it comes to reducing crime and disorder, as well as safeguarding the public (Bryant and Bryant, 2019, pp. 160-161). Working together with partner agencies is something I am used to, from my time as a Police Community Support Officer, and is a method of working that assisted in solving this particular problem; along with the use of the  </w:t>
      </w:r>
      <w:r w:rsidRPr="001F4F62">
        <w:rPr>
          <w:rFonts w:asciiTheme="minorHAnsi" w:hAnsiTheme="minorHAnsi" w:cstheme="minorHAnsi"/>
          <w:sz w:val="22"/>
          <w:szCs w:val="22"/>
        </w:rPr>
        <w:t>National Decision Making Model</w:t>
      </w:r>
      <w:r>
        <w:rPr>
          <w:rFonts w:asciiTheme="minorHAnsi" w:hAnsiTheme="minorHAnsi" w:cstheme="minorHAnsi"/>
          <w:sz w:val="22"/>
          <w:szCs w:val="22"/>
        </w:rPr>
        <w:t>, which helped me consider the options available.</w:t>
      </w:r>
    </w:p>
    <w:p w14:paraId="6F3D1CC4" w14:textId="77777777" w:rsidR="003306D0" w:rsidRDefault="003306D0" w:rsidP="003306D0">
      <w:pPr>
        <w:overflowPunct/>
        <w:autoSpaceDE/>
        <w:autoSpaceDN/>
        <w:adjustRightInd/>
        <w:textAlignment w:val="auto"/>
        <w:rPr>
          <w:rFonts w:asciiTheme="minorHAnsi" w:hAnsiTheme="minorHAnsi" w:cstheme="minorHAnsi"/>
          <w:sz w:val="22"/>
          <w:szCs w:val="22"/>
        </w:rPr>
      </w:pPr>
    </w:p>
    <w:p w14:paraId="168586EA" w14:textId="77777777" w:rsidR="003306D0" w:rsidRDefault="003306D0" w:rsidP="003306D0">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Throughout </w:t>
      </w:r>
      <w:r w:rsidRPr="001F4F62">
        <w:rPr>
          <w:rFonts w:asciiTheme="minorHAnsi" w:hAnsiTheme="minorHAnsi" w:cstheme="minorHAnsi"/>
          <w:sz w:val="22"/>
          <w:szCs w:val="22"/>
        </w:rPr>
        <w:t xml:space="preserve">this incident I made several considerations on how to best deal with it; this was assisted by my use of the National </w:t>
      </w:r>
      <w:proofErr w:type="gramStart"/>
      <w:r w:rsidRPr="001F4F62">
        <w:rPr>
          <w:rFonts w:asciiTheme="minorHAnsi" w:hAnsiTheme="minorHAnsi" w:cstheme="minorHAnsi"/>
          <w:sz w:val="22"/>
          <w:szCs w:val="22"/>
        </w:rPr>
        <w:t>Decision Making</w:t>
      </w:r>
      <w:proofErr w:type="gramEnd"/>
      <w:r w:rsidRPr="001F4F62">
        <w:rPr>
          <w:rFonts w:asciiTheme="minorHAnsi" w:hAnsiTheme="minorHAnsi" w:cstheme="minorHAnsi"/>
          <w:sz w:val="22"/>
          <w:szCs w:val="22"/>
        </w:rPr>
        <w:t xml:space="preserve"> Model (NDM). The NDM is a</w:t>
      </w:r>
      <w:r>
        <w:rPr>
          <w:rFonts w:asciiTheme="minorHAnsi" w:hAnsiTheme="minorHAnsi" w:cstheme="minorHAnsi"/>
          <w:sz w:val="22"/>
          <w:szCs w:val="22"/>
        </w:rPr>
        <w:t>,</w:t>
      </w:r>
      <w:r w:rsidRPr="001F4F62">
        <w:rPr>
          <w:rFonts w:asciiTheme="minorHAnsi" w:hAnsiTheme="minorHAnsi" w:cstheme="minorHAnsi"/>
          <w:sz w:val="22"/>
          <w:szCs w:val="22"/>
        </w:rPr>
        <w:t xml:space="preserve"> </w:t>
      </w:r>
      <w:r>
        <w:rPr>
          <w:rFonts w:asciiTheme="minorHAnsi" w:hAnsiTheme="minorHAnsi" w:cstheme="minorHAnsi"/>
          <w:sz w:val="22"/>
          <w:szCs w:val="22"/>
        </w:rPr>
        <w:t>nationally used, thought</w:t>
      </w:r>
      <w:r w:rsidRPr="001F4F62">
        <w:rPr>
          <w:rFonts w:asciiTheme="minorHAnsi" w:hAnsiTheme="minorHAnsi" w:cstheme="minorHAnsi"/>
          <w:sz w:val="22"/>
          <w:szCs w:val="22"/>
        </w:rPr>
        <w:t xml:space="preserve"> process that is used by officers to </w:t>
      </w:r>
      <w:r>
        <w:rPr>
          <w:rFonts w:asciiTheme="minorHAnsi" w:hAnsiTheme="minorHAnsi" w:cstheme="minorHAnsi"/>
          <w:sz w:val="22"/>
          <w:szCs w:val="22"/>
        </w:rPr>
        <w:t>assist them</w:t>
      </w:r>
      <w:r w:rsidRPr="001F4F62">
        <w:rPr>
          <w:rFonts w:asciiTheme="minorHAnsi" w:hAnsiTheme="minorHAnsi" w:cstheme="minorHAnsi"/>
          <w:sz w:val="22"/>
          <w:szCs w:val="22"/>
        </w:rPr>
        <w:t xml:space="preserve"> in making quick</w:t>
      </w:r>
      <w:r>
        <w:rPr>
          <w:rFonts w:asciiTheme="minorHAnsi" w:hAnsiTheme="minorHAnsi" w:cstheme="minorHAnsi"/>
          <w:sz w:val="22"/>
          <w:szCs w:val="22"/>
        </w:rPr>
        <w:t xml:space="preserve"> but lawful and the most suitable</w:t>
      </w:r>
      <w:r w:rsidRPr="001F4F62">
        <w:rPr>
          <w:rFonts w:asciiTheme="minorHAnsi" w:hAnsiTheme="minorHAnsi" w:cstheme="minorHAnsi"/>
          <w:sz w:val="22"/>
          <w:szCs w:val="22"/>
        </w:rPr>
        <w:t xml:space="preserve"> decisions, in </w:t>
      </w:r>
      <w:r>
        <w:rPr>
          <w:rFonts w:asciiTheme="minorHAnsi" w:hAnsiTheme="minorHAnsi" w:cstheme="minorHAnsi"/>
          <w:sz w:val="22"/>
          <w:szCs w:val="22"/>
        </w:rPr>
        <w:t>various types of</w:t>
      </w:r>
      <w:r w:rsidRPr="001F4F62">
        <w:rPr>
          <w:rFonts w:asciiTheme="minorHAnsi" w:hAnsiTheme="minorHAnsi" w:cstheme="minorHAnsi"/>
          <w:sz w:val="22"/>
          <w:szCs w:val="22"/>
        </w:rPr>
        <w:t xml:space="preserve"> circumstances, (PSNI, 2013). The NDM consists of five element</w:t>
      </w:r>
      <w:r>
        <w:rPr>
          <w:rFonts w:asciiTheme="minorHAnsi" w:hAnsiTheme="minorHAnsi" w:cstheme="minorHAnsi"/>
          <w:sz w:val="22"/>
          <w:szCs w:val="22"/>
        </w:rPr>
        <w:t xml:space="preserve">s </w:t>
      </w:r>
      <w:r w:rsidRPr="001F4F62">
        <w:rPr>
          <w:rFonts w:asciiTheme="minorHAnsi" w:hAnsiTheme="minorHAnsi" w:cstheme="minorHAnsi"/>
          <w:sz w:val="22"/>
          <w:szCs w:val="22"/>
        </w:rPr>
        <w:t xml:space="preserve">with the code of ethics at its centre. </w:t>
      </w:r>
      <w:r>
        <w:rPr>
          <w:rFonts w:asciiTheme="minorHAnsi" w:hAnsiTheme="minorHAnsi" w:cstheme="minorHAnsi"/>
          <w:sz w:val="22"/>
          <w:szCs w:val="22"/>
        </w:rPr>
        <w:t>Whilst the entire NDM played a part in the decisions I made, the main two were, stages three and four. Stage three</w:t>
      </w:r>
      <w:r w:rsidRPr="001F4F62">
        <w:rPr>
          <w:rFonts w:asciiTheme="minorHAnsi" w:hAnsiTheme="minorHAnsi" w:cstheme="minorHAnsi"/>
          <w:sz w:val="22"/>
          <w:szCs w:val="22"/>
        </w:rPr>
        <w:t xml:space="preserve"> </w:t>
      </w:r>
      <w:r>
        <w:rPr>
          <w:rFonts w:asciiTheme="minorHAnsi" w:hAnsiTheme="minorHAnsi" w:cstheme="minorHAnsi"/>
          <w:sz w:val="22"/>
          <w:szCs w:val="22"/>
        </w:rPr>
        <w:t>requires officers to</w:t>
      </w:r>
      <w:r w:rsidRPr="001F4F62">
        <w:rPr>
          <w:rFonts w:asciiTheme="minorHAnsi" w:hAnsiTheme="minorHAnsi" w:cstheme="minorHAnsi"/>
          <w:sz w:val="22"/>
          <w:szCs w:val="22"/>
        </w:rPr>
        <w:t xml:space="preserve"> consider the legal powers and policies</w:t>
      </w:r>
      <w:r>
        <w:rPr>
          <w:rFonts w:asciiTheme="minorHAnsi" w:hAnsiTheme="minorHAnsi" w:cstheme="minorHAnsi"/>
          <w:sz w:val="22"/>
          <w:szCs w:val="22"/>
        </w:rPr>
        <w:t xml:space="preserve"> available to them for the circumstances they are faced with. While stage four of the NDM ensures that with the consideration of the powers and policies, o</w:t>
      </w:r>
      <w:r w:rsidRPr="001F4F62">
        <w:rPr>
          <w:rFonts w:asciiTheme="minorHAnsi" w:hAnsiTheme="minorHAnsi" w:cstheme="minorHAnsi"/>
          <w:sz w:val="22"/>
          <w:szCs w:val="22"/>
        </w:rPr>
        <w:t>fficers will then</w:t>
      </w:r>
      <w:r>
        <w:rPr>
          <w:rFonts w:asciiTheme="minorHAnsi" w:hAnsiTheme="minorHAnsi" w:cstheme="minorHAnsi"/>
          <w:sz w:val="22"/>
          <w:szCs w:val="22"/>
        </w:rPr>
        <w:t xml:space="preserve"> also</w:t>
      </w:r>
      <w:r w:rsidRPr="001F4F62">
        <w:rPr>
          <w:rFonts w:asciiTheme="minorHAnsi" w:hAnsiTheme="minorHAnsi" w:cstheme="minorHAnsi"/>
          <w:sz w:val="22"/>
          <w:szCs w:val="22"/>
        </w:rPr>
        <w:t xml:space="preserve"> consider their options</w:t>
      </w:r>
      <w:r>
        <w:rPr>
          <w:rFonts w:asciiTheme="minorHAnsi" w:hAnsiTheme="minorHAnsi" w:cstheme="minorHAnsi"/>
          <w:sz w:val="22"/>
          <w:szCs w:val="22"/>
        </w:rPr>
        <w:t xml:space="preserve"> to deal with a situation</w:t>
      </w:r>
      <w:r w:rsidRPr="001F4F62">
        <w:rPr>
          <w:rFonts w:asciiTheme="minorHAnsi" w:hAnsiTheme="minorHAnsi" w:cstheme="minorHAnsi"/>
          <w:sz w:val="22"/>
          <w:szCs w:val="22"/>
        </w:rPr>
        <w:t xml:space="preserve"> and contingencies</w:t>
      </w:r>
      <w:r>
        <w:rPr>
          <w:rFonts w:asciiTheme="minorHAnsi" w:hAnsiTheme="minorHAnsi" w:cstheme="minorHAnsi"/>
          <w:sz w:val="22"/>
          <w:szCs w:val="22"/>
        </w:rPr>
        <w:t>, should “plan a” not work</w:t>
      </w:r>
      <w:r w:rsidRPr="001F4F62">
        <w:rPr>
          <w:rFonts w:asciiTheme="minorHAnsi" w:hAnsiTheme="minorHAnsi" w:cstheme="minorHAnsi"/>
          <w:sz w:val="22"/>
          <w:szCs w:val="22"/>
        </w:rPr>
        <w:t xml:space="preserve">. It is </w:t>
      </w:r>
      <w:r>
        <w:rPr>
          <w:rFonts w:asciiTheme="minorHAnsi" w:hAnsiTheme="minorHAnsi" w:cstheme="minorHAnsi"/>
          <w:sz w:val="22"/>
          <w:szCs w:val="22"/>
        </w:rPr>
        <w:t>important</w:t>
      </w:r>
      <w:r w:rsidRPr="001F4F62">
        <w:rPr>
          <w:rFonts w:asciiTheme="minorHAnsi" w:hAnsiTheme="minorHAnsi" w:cstheme="minorHAnsi"/>
          <w:sz w:val="22"/>
          <w:szCs w:val="22"/>
        </w:rPr>
        <w:t xml:space="preserve"> to have considered a </w:t>
      </w:r>
      <w:r>
        <w:rPr>
          <w:rFonts w:asciiTheme="minorHAnsi" w:hAnsiTheme="minorHAnsi" w:cstheme="minorHAnsi"/>
          <w:sz w:val="22"/>
          <w:szCs w:val="22"/>
        </w:rPr>
        <w:t>number</w:t>
      </w:r>
      <w:r w:rsidRPr="001F4F62">
        <w:rPr>
          <w:rFonts w:asciiTheme="minorHAnsi" w:hAnsiTheme="minorHAnsi" w:cstheme="minorHAnsi"/>
          <w:sz w:val="22"/>
          <w:szCs w:val="22"/>
        </w:rPr>
        <w:t xml:space="preserve"> of different plans and be able to </w:t>
      </w:r>
      <w:r>
        <w:rPr>
          <w:rFonts w:asciiTheme="minorHAnsi" w:hAnsiTheme="minorHAnsi" w:cstheme="minorHAnsi"/>
          <w:sz w:val="22"/>
          <w:szCs w:val="22"/>
        </w:rPr>
        <w:t>place them in order of</w:t>
      </w:r>
      <w:r w:rsidRPr="001F4F62">
        <w:rPr>
          <w:rFonts w:asciiTheme="minorHAnsi" w:hAnsiTheme="minorHAnsi" w:cstheme="minorHAnsi"/>
          <w:sz w:val="22"/>
          <w:szCs w:val="22"/>
        </w:rPr>
        <w:t xml:space="preserve"> their efficiency for that particular situation</w:t>
      </w:r>
      <w:r>
        <w:rPr>
          <w:rFonts w:asciiTheme="minorHAnsi" w:hAnsiTheme="minorHAnsi" w:cstheme="minorHAnsi"/>
          <w:sz w:val="22"/>
          <w:szCs w:val="22"/>
        </w:rPr>
        <w:t xml:space="preserve"> (Bryant and Bryant, 2019, pp. 79-80); and that is what I did during this ongoing situation.</w:t>
      </w:r>
    </w:p>
    <w:p w14:paraId="1B956E4A" w14:textId="77777777" w:rsidR="003306D0" w:rsidRDefault="003306D0" w:rsidP="003306D0">
      <w:pPr>
        <w:overflowPunct/>
        <w:autoSpaceDE/>
        <w:autoSpaceDN/>
        <w:adjustRightInd/>
        <w:textAlignment w:val="auto"/>
        <w:rPr>
          <w:rFonts w:asciiTheme="minorHAnsi" w:hAnsiTheme="minorHAnsi" w:cstheme="minorHAnsi"/>
          <w:sz w:val="22"/>
          <w:szCs w:val="22"/>
        </w:rPr>
      </w:pPr>
    </w:p>
    <w:p w14:paraId="4EB4D7F6" w14:textId="77777777" w:rsidR="003306D0" w:rsidRDefault="003306D0" w:rsidP="003306D0">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Upon my initial attendance at the incident, I spoke with the neighbours, who were in the street. It became clear that there were very high community tensions regarding the female; with residents demanding her arrest. As there were a plethora of witnesses, who gave me corroborating accounts and were happy provide formal statements, my original plan, and first consideration was to arrest the female. However, this changed when I tried engaging with the female and she was clearly presenting that she lacked the capacity to understand her actions and their consequences (</w:t>
      </w:r>
      <w:r w:rsidRPr="00317302">
        <w:rPr>
          <w:rFonts w:asciiTheme="minorHAnsi" w:hAnsiTheme="minorHAnsi" w:cstheme="minorHAnsi"/>
          <w:sz w:val="22"/>
          <w:szCs w:val="22"/>
        </w:rPr>
        <w:t>Mental Health Foundation</w:t>
      </w:r>
      <w:r>
        <w:rPr>
          <w:rFonts w:asciiTheme="minorHAnsi" w:hAnsiTheme="minorHAnsi" w:cstheme="minorHAnsi"/>
          <w:sz w:val="22"/>
          <w:szCs w:val="22"/>
        </w:rPr>
        <w:t xml:space="preserve">, 2018). </w:t>
      </w:r>
    </w:p>
    <w:p w14:paraId="0ACDD25C" w14:textId="77777777" w:rsidR="003306D0" w:rsidRDefault="003306D0" w:rsidP="003306D0">
      <w:pPr>
        <w:overflowPunct/>
        <w:autoSpaceDE/>
        <w:autoSpaceDN/>
        <w:adjustRightInd/>
        <w:textAlignment w:val="auto"/>
        <w:rPr>
          <w:rFonts w:asciiTheme="minorHAnsi" w:hAnsiTheme="minorHAnsi" w:cstheme="minorHAnsi"/>
          <w:sz w:val="22"/>
          <w:szCs w:val="22"/>
        </w:rPr>
      </w:pPr>
    </w:p>
    <w:p w14:paraId="150BCCAC" w14:textId="77777777" w:rsidR="003306D0" w:rsidRDefault="003306D0" w:rsidP="003306D0">
      <w:pPr>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I knew that from interacting with the female that traditional Police action would not be the most appropriate way to deal with the situation. From speaking to her and staff at her address, I felt this was more of a social care problem, as I didn’t feel the female was receiving the right level of support for her needs. This meant that I considered a multi-agency approach to the situation would be the </w:t>
      </w:r>
      <w:r>
        <w:rPr>
          <w:rFonts w:asciiTheme="minorHAnsi" w:hAnsiTheme="minorHAnsi" w:cstheme="minorHAnsi"/>
          <w:sz w:val="22"/>
          <w:szCs w:val="22"/>
        </w:rPr>
        <w:lastRenderedPageBreak/>
        <w:t>best way forward. Therefore, upon my return to the Police station, I submitted a comprehensive Public Protection Notice and sent it to Social Servicers, in order to make them aware. Social Services then replied to me, informing me that the female was not under their jurisdiction, and her previous local authority still held responsibility for her. I also spoke to the local NPT who advised me that this female was raised as a priority in their last community meeting, due to her ongoing behaviour and community tensions as a result. I then attended a community meeting, with the NPT, as I considered this to be a good opportunity to explain the situation to the community and liaise with members of the local authority in order to initiate a multi-agency approach.</w:t>
      </w:r>
    </w:p>
    <w:p w14:paraId="00B78D46" w14:textId="77777777" w:rsidR="003306D0" w:rsidRDefault="003306D0" w:rsidP="003306D0">
      <w:pPr>
        <w:overflowPunct/>
        <w:autoSpaceDE/>
        <w:autoSpaceDN/>
        <w:adjustRightInd/>
        <w:textAlignment w:val="auto"/>
        <w:rPr>
          <w:rFonts w:asciiTheme="minorHAnsi" w:hAnsiTheme="minorHAnsi" w:cstheme="minorHAnsi"/>
          <w:sz w:val="22"/>
          <w:szCs w:val="22"/>
        </w:rPr>
      </w:pPr>
    </w:p>
    <w:p w14:paraId="1CB35F0B" w14:textId="77777777" w:rsidR="003306D0" w:rsidRDefault="003306D0" w:rsidP="003306D0">
      <w:pPr>
        <w:overflowPunct/>
        <w:autoSpaceDE/>
        <w:autoSpaceDN/>
        <w:adjustRightInd/>
        <w:textAlignment w:val="auto"/>
        <w:rPr>
          <w:rFonts w:asciiTheme="minorHAnsi" w:hAnsiTheme="minorHAnsi" w:cstheme="minorHAnsi"/>
          <w:color w:val="000000" w:themeColor="text1"/>
          <w:sz w:val="22"/>
          <w:szCs w:val="22"/>
        </w:rPr>
      </w:pPr>
      <w:r>
        <w:rPr>
          <w:rFonts w:asciiTheme="minorHAnsi" w:hAnsiTheme="minorHAnsi" w:cstheme="minorHAnsi"/>
          <w:sz w:val="22"/>
          <w:szCs w:val="22"/>
        </w:rPr>
        <w:t xml:space="preserve">At the meeting there </w:t>
      </w:r>
      <w:r w:rsidRPr="00D2577B">
        <w:rPr>
          <w:rFonts w:asciiTheme="minorHAnsi" w:hAnsiTheme="minorHAnsi" w:cstheme="minorHAnsi"/>
          <w:color w:val="000000" w:themeColor="text1"/>
          <w:sz w:val="22"/>
          <w:szCs w:val="22"/>
        </w:rPr>
        <w:t>was a local councillor</w:t>
      </w:r>
      <w:r>
        <w:rPr>
          <w:rFonts w:asciiTheme="minorHAnsi" w:hAnsiTheme="minorHAnsi" w:cstheme="minorHAnsi"/>
          <w:color w:val="000000" w:themeColor="text1"/>
          <w:sz w:val="22"/>
          <w:szCs w:val="22"/>
        </w:rPr>
        <w:t xml:space="preserve"> in attendance</w:t>
      </w:r>
      <w:r w:rsidRPr="00D2577B">
        <w:rPr>
          <w:rFonts w:asciiTheme="minorHAnsi" w:hAnsiTheme="minorHAnsi" w:cstheme="minorHAnsi"/>
          <w:color w:val="000000" w:themeColor="text1"/>
          <w:sz w:val="22"/>
          <w:szCs w:val="22"/>
        </w:rPr>
        <w:t xml:space="preserve">, who used </w:t>
      </w:r>
      <w:r>
        <w:rPr>
          <w:rFonts w:asciiTheme="minorHAnsi" w:hAnsiTheme="minorHAnsi" w:cstheme="minorHAnsi"/>
          <w:color w:val="000000" w:themeColor="text1"/>
          <w:sz w:val="22"/>
          <w:szCs w:val="22"/>
        </w:rPr>
        <w:t>to be</w:t>
      </w:r>
      <w:r w:rsidRPr="00D2577B">
        <w:rPr>
          <w:rFonts w:asciiTheme="minorHAnsi" w:hAnsiTheme="minorHAnsi" w:cstheme="minorHAnsi"/>
          <w:color w:val="000000" w:themeColor="text1"/>
          <w:sz w:val="22"/>
          <w:szCs w:val="22"/>
        </w:rPr>
        <w:t xml:space="preserve"> the head of social care</w:t>
      </w:r>
      <w:r>
        <w:rPr>
          <w:rFonts w:asciiTheme="minorHAnsi" w:hAnsiTheme="minorHAnsi" w:cstheme="minorHAnsi"/>
          <w:color w:val="000000" w:themeColor="text1"/>
          <w:sz w:val="22"/>
          <w:szCs w:val="22"/>
        </w:rPr>
        <w:t xml:space="preserve">. I explained the circumstances of the ongoing issues, along with my thoughts from my interactions from the female, and the local councillor stated that she would speak to the assisted living property in order for them to arrange a capacity assessment for the female. She also advised me that she would contact the female’s </w:t>
      </w:r>
      <w:r w:rsidRPr="00C26857">
        <w:rPr>
          <w:rFonts w:asciiTheme="minorHAnsi" w:hAnsiTheme="minorHAnsi" w:cstheme="minorHAnsi"/>
          <w:color w:val="000000" w:themeColor="text1"/>
          <w:sz w:val="22"/>
          <w:szCs w:val="22"/>
        </w:rPr>
        <w:t>owning local authority and arrange a joint meeting to assess the best way forward to deal with the situation. This meeting took place, with the local councillor, the local NPT, a member of the local social services, a member of social services from the female’s owning local authority, and myself attending.</w:t>
      </w:r>
      <w:r>
        <w:rPr>
          <w:rFonts w:asciiTheme="minorHAnsi" w:hAnsiTheme="minorHAnsi" w:cstheme="minorHAnsi"/>
          <w:color w:val="000000" w:themeColor="text1"/>
          <w:sz w:val="22"/>
          <w:szCs w:val="22"/>
        </w:rPr>
        <w:t xml:space="preserve"> During the meeting, it was established that the female did lack capacity, due to her progressing dementia, and therefore could not be subjected to criminal proceedings. After this was established, the partner agencies worked together, and it was </w:t>
      </w:r>
      <w:r w:rsidRPr="00C26857">
        <w:rPr>
          <w:rFonts w:asciiTheme="minorHAnsi" w:hAnsiTheme="minorHAnsi" w:cstheme="minorHAnsi"/>
          <w:color w:val="000000" w:themeColor="text1"/>
          <w:sz w:val="22"/>
          <w:szCs w:val="22"/>
        </w:rPr>
        <w:t xml:space="preserve">agreed that the female </w:t>
      </w:r>
      <w:r>
        <w:rPr>
          <w:rFonts w:asciiTheme="minorHAnsi" w:hAnsiTheme="minorHAnsi" w:cstheme="minorHAnsi"/>
          <w:color w:val="000000" w:themeColor="text1"/>
          <w:sz w:val="22"/>
          <w:szCs w:val="22"/>
        </w:rPr>
        <w:t>wasn’t receiving the level of support</w:t>
      </w:r>
      <w:r w:rsidRPr="00C26857">
        <w:rPr>
          <w:rFonts w:asciiTheme="minorHAnsi" w:hAnsiTheme="minorHAnsi" w:cstheme="minorHAnsi"/>
          <w:color w:val="000000" w:themeColor="text1"/>
          <w:sz w:val="22"/>
          <w:szCs w:val="22"/>
        </w:rPr>
        <w:t xml:space="preserve"> to meet </w:t>
      </w:r>
      <w:r>
        <w:rPr>
          <w:rFonts w:asciiTheme="minorHAnsi" w:hAnsiTheme="minorHAnsi" w:cstheme="minorHAnsi"/>
          <w:sz w:val="22"/>
          <w:szCs w:val="22"/>
        </w:rPr>
        <w:t>her needs. It was then decided that she moved to a more appropriate property for her, where she would receive 24/7 care.</w:t>
      </w:r>
    </w:p>
    <w:p w14:paraId="2851EDB5" w14:textId="77777777" w:rsidR="003306D0" w:rsidRDefault="003306D0" w:rsidP="003306D0">
      <w:pPr>
        <w:overflowPunct/>
        <w:autoSpaceDE/>
        <w:autoSpaceDN/>
        <w:adjustRightInd/>
        <w:textAlignment w:val="auto"/>
        <w:rPr>
          <w:rFonts w:asciiTheme="minorHAnsi" w:hAnsiTheme="minorHAnsi" w:cstheme="minorHAnsi"/>
          <w:color w:val="000000" w:themeColor="text1"/>
          <w:sz w:val="22"/>
          <w:szCs w:val="22"/>
        </w:rPr>
      </w:pPr>
    </w:p>
    <w:p w14:paraId="6A190D62" w14:textId="77777777" w:rsidR="003306D0" w:rsidRPr="00D2577B" w:rsidRDefault="003306D0" w:rsidP="003306D0">
      <w:pPr>
        <w:overflowPunct/>
        <w:autoSpaceDE/>
        <w:autoSpaceDN/>
        <w:adjustRightInd/>
        <w:textAlignment w:val="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Multi-agency working has clear benefits, and is a method of working that assists all parties involved, During this particular incident, the use of working with partner agencies, didn’t just resolve the problems for the neighbours of this female, but also assisted the female in gaining the right level of car for her. This is something that the Police could not have done singlehandedly and is a clear example of how multi-agency approaches work. Multiple considerations were made before the final decision of moving the female to a more suitable property for her needs. These considerations were cycled through the National </w:t>
      </w:r>
      <w:proofErr w:type="gramStart"/>
      <w:r>
        <w:rPr>
          <w:rFonts w:asciiTheme="minorHAnsi" w:hAnsiTheme="minorHAnsi" w:cstheme="minorHAnsi"/>
          <w:color w:val="000000" w:themeColor="text1"/>
          <w:sz w:val="22"/>
          <w:szCs w:val="22"/>
        </w:rPr>
        <w:t>Decision Making</w:t>
      </w:r>
      <w:proofErr w:type="gramEnd"/>
      <w:r>
        <w:rPr>
          <w:rFonts w:asciiTheme="minorHAnsi" w:hAnsiTheme="minorHAnsi" w:cstheme="minorHAnsi"/>
          <w:color w:val="000000" w:themeColor="text1"/>
          <w:sz w:val="22"/>
          <w:szCs w:val="22"/>
        </w:rPr>
        <w:t xml:space="preserve"> Model, which aided in the best decisions being made, both for the residents of the street, and the female herself. Without the use of the NDM, the potential consequences of arresting a female, who lacks the mental capacity to understand her actions and their consequences, are clear to see.</w:t>
      </w:r>
    </w:p>
    <w:p w14:paraId="5E235BE1" w14:textId="77777777" w:rsidR="003306D0" w:rsidRDefault="003306D0" w:rsidP="003306D0"/>
    <w:p w14:paraId="0D889EDB" w14:textId="77777777" w:rsidR="003306D0" w:rsidRPr="0091725F" w:rsidRDefault="003306D0" w:rsidP="003306D0">
      <w:pPr>
        <w:rPr>
          <w:b/>
          <w:bCs/>
        </w:rPr>
      </w:pPr>
      <w:r>
        <w:rPr>
          <w:b/>
          <w:bCs/>
        </w:rPr>
        <w:t>WORD COUNT: 1617</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40F9D8D3" w14:textId="055D54E0" w:rsidR="003306D0" w:rsidRDefault="003306D0" w:rsidP="003306D0">
      <w:pPr>
        <w:rPr>
          <w:rFonts w:asciiTheme="minorHAnsi" w:hAnsiTheme="minorHAnsi" w:cstheme="minorHAnsi"/>
          <w:sz w:val="22"/>
          <w:szCs w:val="22"/>
        </w:rPr>
      </w:pPr>
      <w:r>
        <w:rPr>
          <w:rFonts w:asciiTheme="minorHAnsi" w:hAnsiTheme="minorHAnsi" w:cstheme="minorHAnsi"/>
          <w:sz w:val="22"/>
          <w:szCs w:val="22"/>
        </w:rPr>
        <w:t>I</w:t>
      </w:r>
      <w:r w:rsidRPr="007563EE">
        <w:rPr>
          <w:rFonts w:asciiTheme="minorHAnsi" w:hAnsiTheme="minorHAnsi" w:cstheme="minorHAnsi"/>
          <w:sz w:val="22"/>
          <w:szCs w:val="22"/>
        </w:rPr>
        <w:t xml:space="preserve">n this essay I will describe a policing incident in which I played a significant role with a repeat victim of domestic violence. Through describing the incident, I will evaluate the </w:t>
      </w:r>
      <w:r w:rsidRPr="007563EE">
        <w:rPr>
          <w:rFonts w:asciiTheme="minorHAnsi" w:hAnsiTheme="minorHAnsi" w:cstheme="minorHAnsi"/>
          <w:color w:val="000000" w:themeColor="text1"/>
          <w:sz w:val="22"/>
          <w:szCs w:val="22"/>
          <w:lang w:val="en-US"/>
        </w:rPr>
        <w:t xml:space="preserve">appropriateness of different approaches when it comes to managing vulnerable people or people at risk of harm, used by both the Police, and other agencies. I will also evaluate what action can be successful when it comes to </w:t>
      </w:r>
      <w:r>
        <w:rPr>
          <w:rFonts w:asciiTheme="minorHAnsi" w:hAnsiTheme="minorHAnsi" w:cstheme="minorHAnsi"/>
          <w:sz w:val="22"/>
          <w:szCs w:val="22"/>
        </w:rPr>
        <w:t>preventing</w:t>
      </w:r>
      <w:r w:rsidRPr="007563EE">
        <w:rPr>
          <w:rFonts w:asciiTheme="minorHAnsi" w:hAnsiTheme="minorHAnsi" w:cstheme="minorHAnsi"/>
          <w:sz w:val="22"/>
          <w:szCs w:val="22"/>
        </w:rPr>
        <w:t xml:space="preserve"> victimisation and repeat offending. </w:t>
      </w:r>
    </w:p>
    <w:p w14:paraId="4BFFE8C6" w14:textId="77777777" w:rsidR="003306D0" w:rsidRDefault="003306D0" w:rsidP="003306D0">
      <w:pPr>
        <w:rPr>
          <w:rFonts w:asciiTheme="minorHAnsi" w:hAnsiTheme="minorHAnsi" w:cstheme="minorHAnsi"/>
          <w:sz w:val="22"/>
          <w:szCs w:val="22"/>
        </w:rPr>
      </w:pPr>
    </w:p>
    <w:p w14:paraId="3391D0C4" w14:textId="77777777" w:rsidR="003306D0" w:rsidRDefault="003306D0" w:rsidP="003306D0">
      <w:pPr>
        <w:rPr>
          <w:rFonts w:asciiTheme="minorHAnsi" w:hAnsiTheme="minorHAnsi" w:cstheme="minorHAnsi"/>
          <w:sz w:val="22"/>
          <w:szCs w:val="22"/>
        </w:rPr>
      </w:pPr>
      <w:r>
        <w:rPr>
          <w:rFonts w:asciiTheme="minorHAnsi" w:hAnsiTheme="minorHAnsi" w:cstheme="minorHAnsi"/>
          <w:sz w:val="22"/>
          <w:szCs w:val="22"/>
        </w:rPr>
        <w:t xml:space="preserve">A female attended the police to report a domestic incident that had taken place between her and her partner. When speaking to the female it became clear that there was an extensive history of domestic abuse within the relationship, some of which had been reported to the Police, and some had not. This particular incident was a verbal argument between the couple, that took place in the town centre, where the male threatened to kill the reporting person. The female explained that the argument was the result of ongoing issues between her and her partner, where he had been displaying signs of controlling and coercive behaviour by stopping her from seeing her friends, as well as controlling her money to the point she has to ask if she wants money to spend (Serious Crime Act, 2015). She continued by saying that she has had enough of feeling scared of the male and wants the relationship to be over. I took a statement from the female, where she disclosed several offences committed by the male, including, shouting abuse at her in public, which amounted to Section 4 Public Order (Public Order Act 1986), sending her abusive text messages which constituted Malicious Communications (Malicious Communications Act 1988), as well as offences in relation to an extensive history of controlling and coercive behaviour. </w:t>
      </w:r>
    </w:p>
    <w:p w14:paraId="7C02CB10" w14:textId="77777777" w:rsidR="003306D0" w:rsidRDefault="003306D0" w:rsidP="003306D0">
      <w:pPr>
        <w:rPr>
          <w:rFonts w:asciiTheme="minorHAnsi" w:hAnsiTheme="minorHAnsi" w:cstheme="minorHAnsi"/>
          <w:sz w:val="22"/>
          <w:szCs w:val="22"/>
        </w:rPr>
      </w:pPr>
    </w:p>
    <w:p w14:paraId="1235192E" w14:textId="77777777" w:rsidR="003306D0" w:rsidRDefault="003306D0" w:rsidP="003306D0">
      <w:pPr>
        <w:rPr>
          <w:rFonts w:asciiTheme="minorHAnsi" w:hAnsiTheme="minorHAnsi" w:cstheme="minorHAnsi"/>
          <w:sz w:val="22"/>
          <w:szCs w:val="22"/>
        </w:rPr>
      </w:pPr>
      <w:r>
        <w:rPr>
          <w:rFonts w:asciiTheme="minorHAnsi" w:hAnsiTheme="minorHAnsi" w:cstheme="minorHAnsi"/>
          <w:sz w:val="22"/>
          <w:szCs w:val="22"/>
        </w:rPr>
        <w:t>Whilst speaking with the female, she explained to me how the male has committed various offences on her, including assaults, throughout their relationship and despite this, she continued to rekindle the relationship with him. Unfortunately, this isn’t a unique situation when it comes to domestic violence; with victims taking up to 12 times to permanently leave an abusive partner (</w:t>
      </w:r>
      <w:r w:rsidRPr="00593AE1">
        <w:rPr>
          <w:rFonts w:asciiTheme="minorHAnsi" w:hAnsiTheme="minorHAnsi" w:cstheme="minorHAnsi"/>
          <w:sz w:val="22"/>
          <w:szCs w:val="22"/>
        </w:rPr>
        <w:t>DuBois-</w:t>
      </w:r>
      <w:proofErr w:type="spellStart"/>
      <w:r w:rsidRPr="00593AE1">
        <w:rPr>
          <w:rFonts w:asciiTheme="minorHAnsi" w:hAnsiTheme="minorHAnsi" w:cstheme="minorHAnsi"/>
          <w:sz w:val="22"/>
          <w:szCs w:val="22"/>
        </w:rPr>
        <w:t>Maahs</w:t>
      </w:r>
      <w:proofErr w:type="spellEnd"/>
      <w:r>
        <w:rPr>
          <w:rFonts w:asciiTheme="minorHAnsi" w:hAnsiTheme="minorHAnsi" w:cstheme="minorHAnsi"/>
          <w:sz w:val="22"/>
          <w:szCs w:val="22"/>
        </w:rPr>
        <w:t>. As stated by (</w:t>
      </w:r>
      <w:proofErr w:type="spellStart"/>
      <w:r>
        <w:rPr>
          <w:rFonts w:asciiTheme="minorHAnsi" w:hAnsiTheme="minorHAnsi" w:cstheme="minorHAnsi"/>
          <w:sz w:val="22"/>
          <w:szCs w:val="22"/>
        </w:rPr>
        <w:t>Raypole</w:t>
      </w:r>
      <w:proofErr w:type="spellEnd"/>
      <w:r>
        <w:rPr>
          <w:rFonts w:asciiTheme="minorHAnsi" w:hAnsiTheme="minorHAnsi" w:cstheme="minorHAnsi"/>
          <w:sz w:val="22"/>
          <w:szCs w:val="22"/>
        </w:rPr>
        <w:t>, 2020), there is a common cycle that occurs within abusive relationships which involves reconciliation between the victim and perpetrator following abuse occurring. This happens because the perpetrator feels guilty for his actions and apologises to the victim (</w:t>
      </w:r>
      <w:proofErr w:type="spellStart"/>
      <w:r w:rsidRPr="00FC6940">
        <w:rPr>
          <w:rFonts w:asciiTheme="minorHAnsi" w:hAnsiTheme="minorHAnsi" w:cstheme="minorHAnsi"/>
          <w:sz w:val="22"/>
          <w:szCs w:val="22"/>
        </w:rPr>
        <w:t>Maselesele</w:t>
      </w:r>
      <w:proofErr w:type="spellEnd"/>
      <w:r>
        <w:rPr>
          <w:rFonts w:asciiTheme="minorHAnsi" w:hAnsiTheme="minorHAnsi" w:cstheme="minorHAnsi"/>
          <w:sz w:val="22"/>
          <w:szCs w:val="22"/>
        </w:rPr>
        <w:t xml:space="preserve">, 2011), often buying her presents to try to show her how sorry he is and give the relationship a </w:t>
      </w:r>
      <w:r>
        <w:rPr>
          <w:rFonts w:asciiTheme="minorHAnsi" w:hAnsiTheme="minorHAnsi" w:cstheme="minorHAnsi"/>
          <w:sz w:val="22"/>
          <w:szCs w:val="22"/>
        </w:rPr>
        <w:lastRenderedPageBreak/>
        <w:t>“honeymoon” type feeling (</w:t>
      </w:r>
      <w:proofErr w:type="spellStart"/>
      <w:r>
        <w:rPr>
          <w:rFonts w:asciiTheme="minorHAnsi" w:hAnsiTheme="minorHAnsi" w:cstheme="minorHAnsi"/>
          <w:sz w:val="22"/>
          <w:szCs w:val="22"/>
        </w:rPr>
        <w:t>Raypole</w:t>
      </w:r>
      <w:proofErr w:type="spellEnd"/>
      <w:r>
        <w:rPr>
          <w:rFonts w:asciiTheme="minorHAnsi" w:hAnsiTheme="minorHAnsi" w:cstheme="minorHAnsi"/>
          <w:sz w:val="22"/>
          <w:szCs w:val="22"/>
        </w:rPr>
        <w:t xml:space="preserve">, 2020). The rekindling of the relationship is often </w:t>
      </w:r>
      <w:r w:rsidRPr="00045F50">
        <w:rPr>
          <w:rFonts w:asciiTheme="minorHAnsi" w:hAnsiTheme="minorHAnsi" w:cstheme="minorHAnsi"/>
          <w:sz w:val="22"/>
          <w:szCs w:val="22"/>
        </w:rPr>
        <w:t>concurred</w:t>
      </w:r>
      <w:r>
        <w:rPr>
          <w:rFonts w:asciiTheme="minorHAnsi" w:hAnsiTheme="minorHAnsi" w:cstheme="minorHAnsi"/>
          <w:sz w:val="22"/>
          <w:szCs w:val="22"/>
        </w:rPr>
        <w:t xml:space="preserve"> by the victim because:</w:t>
      </w:r>
    </w:p>
    <w:p w14:paraId="1A13B0A3" w14:textId="77777777" w:rsidR="003306D0" w:rsidRDefault="003306D0" w:rsidP="003306D0">
      <w:pPr>
        <w:rPr>
          <w:rFonts w:asciiTheme="minorHAnsi" w:hAnsiTheme="minorHAnsi" w:cstheme="minorHAnsi"/>
          <w:sz w:val="22"/>
          <w:szCs w:val="22"/>
        </w:rPr>
      </w:pPr>
    </w:p>
    <w:p w14:paraId="006C162A" w14:textId="77777777" w:rsidR="003306D0" w:rsidRDefault="003306D0" w:rsidP="003306D0">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They are in denial that they are a victim</w:t>
      </w:r>
    </w:p>
    <w:p w14:paraId="4D9AFE88" w14:textId="77777777" w:rsidR="003306D0" w:rsidRDefault="003306D0" w:rsidP="003306D0">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They are anxious of being judged by their friends and family</w:t>
      </w:r>
    </w:p>
    <w:p w14:paraId="4E2386DE" w14:textId="77777777" w:rsidR="003306D0" w:rsidRDefault="003306D0" w:rsidP="003306D0">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 xml:space="preserve">They are scared of additional abuse </w:t>
      </w:r>
    </w:p>
    <w:p w14:paraId="43F9C153" w14:textId="77777777" w:rsidR="003306D0" w:rsidRDefault="003306D0" w:rsidP="003306D0">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In some circumstances, their religion or cultural beliefs prevent leaving</w:t>
      </w:r>
    </w:p>
    <w:p w14:paraId="5F7A5C5A" w14:textId="77777777" w:rsidR="003306D0" w:rsidRDefault="003306D0" w:rsidP="003306D0">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Their actions caused the abuse</w:t>
      </w:r>
    </w:p>
    <w:p w14:paraId="7435C24F" w14:textId="77777777" w:rsidR="003306D0" w:rsidRDefault="003306D0" w:rsidP="003306D0">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They live optimistic that the abuse won’t happen again</w:t>
      </w:r>
    </w:p>
    <w:p w14:paraId="4D6C33D4" w14:textId="77777777" w:rsidR="003306D0" w:rsidRPr="00273C7B" w:rsidRDefault="003306D0" w:rsidP="003306D0">
      <w:pPr>
        <w:ind w:left="360"/>
        <w:rPr>
          <w:rFonts w:asciiTheme="minorHAnsi" w:hAnsiTheme="minorHAnsi" w:cstheme="minorHAnsi"/>
          <w:sz w:val="22"/>
          <w:szCs w:val="22"/>
        </w:rPr>
      </w:pPr>
    </w:p>
    <w:p w14:paraId="4B0D31D8" w14:textId="77777777" w:rsidR="003306D0" w:rsidRDefault="003306D0" w:rsidP="003306D0">
      <w:pPr>
        <w:rPr>
          <w:rFonts w:asciiTheme="minorHAnsi" w:hAnsiTheme="minorHAnsi" w:cstheme="minorHAnsi"/>
          <w:sz w:val="22"/>
          <w:szCs w:val="22"/>
        </w:rPr>
      </w:pPr>
      <w:r>
        <w:rPr>
          <w:rFonts w:asciiTheme="minorHAnsi" w:hAnsiTheme="minorHAnsi" w:cstheme="minorHAnsi"/>
          <w:sz w:val="22"/>
          <w:szCs w:val="22"/>
        </w:rPr>
        <w:t>(</w:t>
      </w:r>
      <w:proofErr w:type="spellStart"/>
      <w:r w:rsidRPr="005551C5">
        <w:rPr>
          <w:rFonts w:asciiTheme="minorHAnsi" w:hAnsiTheme="minorHAnsi" w:cstheme="minorHAnsi"/>
          <w:sz w:val="22"/>
          <w:szCs w:val="22"/>
        </w:rPr>
        <w:t>Maselesele</w:t>
      </w:r>
      <w:proofErr w:type="spellEnd"/>
      <w:r>
        <w:rPr>
          <w:rFonts w:asciiTheme="minorHAnsi" w:hAnsiTheme="minorHAnsi" w:cstheme="minorHAnsi"/>
          <w:sz w:val="22"/>
          <w:szCs w:val="22"/>
        </w:rPr>
        <w:t>, 2011).</w:t>
      </w:r>
    </w:p>
    <w:p w14:paraId="543DFF8A" w14:textId="77777777" w:rsidR="003306D0" w:rsidRDefault="003306D0" w:rsidP="003306D0">
      <w:pPr>
        <w:rPr>
          <w:rFonts w:asciiTheme="minorHAnsi" w:hAnsiTheme="minorHAnsi" w:cstheme="minorHAnsi"/>
          <w:sz w:val="22"/>
          <w:szCs w:val="22"/>
        </w:rPr>
      </w:pPr>
    </w:p>
    <w:p w14:paraId="69812354" w14:textId="77777777" w:rsidR="003306D0" w:rsidRDefault="003306D0" w:rsidP="003306D0">
      <w:pPr>
        <w:rPr>
          <w:rFonts w:asciiTheme="minorHAnsi" w:hAnsiTheme="minorHAnsi" w:cstheme="minorHAnsi"/>
          <w:sz w:val="22"/>
          <w:szCs w:val="22"/>
        </w:rPr>
      </w:pPr>
      <w:r>
        <w:rPr>
          <w:rFonts w:asciiTheme="minorHAnsi" w:hAnsiTheme="minorHAnsi" w:cstheme="minorHAnsi"/>
          <w:sz w:val="22"/>
          <w:szCs w:val="22"/>
        </w:rPr>
        <w:t>Victims frequently get themselves entangled within this cycle and as a result, find it difficult to leave an abusive relationship. This comes with increased risk the long the relationship lasts, because the offender knows the victim will remain in the relationship, meaning the abuse will likely get worse. One way the Police risk assess domestic incidents is through completion of a “DASH” (Dash Risk Checklist, 2016). A “DASH” is a questionnaire which Police officers complete with the victim which will enable the risk to them to be assessed and the suitable support can be provided to them (Richards, 2009). This is a good tool; however, it can only be completed with the consent of the victim, and without this it can be difficult to accurately assess the risk faced.</w:t>
      </w:r>
    </w:p>
    <w:p w14:paraId="1A353153" w14:textId="77777777" w:rsidR="003306D0" w:rsidRDefault="003306D0" w:rsidP="003306D0">
      <w:pPr>
        <w:rPr>
          <w:rFonts w:asciiTheme="minorHAnsi" w:hAnsiTheme="minorHAnsi" w:cstheme="minorHAnsi"/>
          <w:sz w:val="22"/>
          <w:szCs w:val="22"/>
        </w:rPr>
      </w:pPr>
    </w:p>
    <w:p w14:paraId="05B1EE89" w14:textId="77777777" w:rsidR="003306D0" w:rsidRDefault="003306D0" w:rsidP="003306D0">
      <w:pPr>
        <w:rPr>
          <w:rFonts w:asciiTheme="minorHAnsi" w:hAnsiTheme="minorHAnsi" w:cstheme="minorHAnsi"/>
          <w:color w:val="212121"/>
          <w:sz w:val="22"/>
          <w:szCs w:val="22"/>
          <w:shd w:val="clear" w:color="auto" w:fill="FFFFFF"/>
        </w:rPr>
      </w:pPr>
      <w:r>
        <w:rPr>
          <w:rFonts w:asciiTheme="minorHAnsi" w:hAnsiTheme="minorHAnsi" w:cstheme="minorHAnsi"/>
          <w:sz w:val="22"/>
          <w:szCs w:val="22"/>
        </w:rPr>
        <w:t xml:space="preserve">From a completed DASH, the most suitable support can be identified and offered to the victim. One method of support that can be provided to a victim of </w:t>
      </w:r>
      <w:r w:rsidRPr="008A583E">
        <w:rPr>
          <w:rFonts w:asciiTheme="minorHAnsi" w:hAnsiTheme="minorHAnsi" w:cstheme="minorHAnsi"/>
          <w:sz w:val="22"/>
          <w:szCs w:val="22"/>
        </w:rPr>
        <w:t xml:space="preserve">domestic abuse is support provided by an “Independent Domestic Violence Advisor” (IDVA). An IDVA is a trained professional, independent to the Police and other services, that works closely with victims </w:t>
      </w:r>
      <w:r w:rsidRPr="008A583E">
        <w:rPr>
          <w:rFonts w:asciiTheme="minorHAnsi" w:hAnsiTheme="minorHAnsi" w:cstheme="minorHAnsi"/>
          <w:color w:val="212121"/>
          <w:sz w:val="22"/>
          <w:szCs w:val="22"/>
          <w:shd w:val="clear" w:color="auto" w:fill="FFFFFF"/>
        </w:rPr>
        <w:t xml:space="preserve">to reduce the risk and then work with them </w:t>
      </w:r>
      <w:r>
        <w:rPr>
          <w:rFonts w:asciiTheme="minorHAnsi" w:hAnsiTheme="minorHAnsi" w:cstheme="minorHAnsi"/>
          <w:color w:val="212121"/>
          <w:sz w:val="22"/>
          <w:szCs w:val="22"/>
          <w:shd w:val="clear" w:color="auto" w:fill="FFFFFF"/>
        </w:rPr>
        <w:t xml:space="preserve">to </w:t>
      </w:r>
      <w:r w:rsidRPr="008A583E">
        <w:rPr>
          <w:rFonts w:asciiTheme="minorHAnsi" w:hAnsiTheme="minorHAnsi" w:cstheme="minorHAnsi"/>
          <w:color w:val="212121"/>
          <w:sz w:val="22"/>
          <w:szCs w:val="22"/>
          <w:shd w:val="clear" w:color="auto" w:fill="FFFFFF"/>
        </w:rPr>
        <w:t xml:space="preserve">avoid </w:t>
      </w:r>
      <w:r>
        <w:rPr>
          <w:rFonts w:asciiTheme="minorHAnsi" w:hAnsiTheme="minorHAnsi" w:cstheme="minorHAnsi"/>
          <w:color w:val="212121"/>
          <w:sz w:val="22"/>
          <w:szCs w:val="22"/>
          <w:shd w:val="clear" w:color="auto" w:fill="FFFFFF"/>
        </w:rPr>
        <w:t>the abuse</w:t>
      </w:r>
      <w:r w:rsidRPr="008A583E">
        <w:rPr>
          <w:rFonts w:asciiTheme="minorHAnsi" w:hAnsiTheme="minorHAnsi" w:cstheme="minorHAnsi"/>
          <w:color w:val="212121"/>
          <w:sz w:val="22"/>
          <w:szCs w:val="22"/>
          <w:shd w:val="clear" w:color="auto" w:fill="FFFFFF"/>
        </w:rPr>
        <w:t xml:space="preserve"> happening again (</w:t>
      </w:r>
      <w:r>
        <w:rPr>
          <w:rFonts w:asciiTheme="minorHAnsi" w:hAnsiTheme="minorHAnsi" w:cstheme="minorHAnsi"/>
          <w:color w:val="212121"/>
          <w:sz w:val="22"/>
          <w:szCs w:val="22"/>
          <w:shd w:val="clear" w:color="auto" w:fill="FFFFFF"/>
        </w:rPr>
        <w:t>IDAS, 2014).</w:t>
      </w:r>
    </w:p>
    <w:p w14:paraId="1618A5C9" w14:textId="77777777" w:rsidR="003306D0" w:rsidRDefault="003306D0" w:rsidP="003306D0">
      <w:pPr>
        <w:rPr>
          <w:rFonts w:asciiTheme="minorHAnsi" w:hAnsiTheme="minorHAnsi" w:cstheme="minorHAnsi"/>
          <w:color w:val="212121"/>
          <w:sz w:val="22"/>
          <w:szCs w:val="22"/>
          <w:shd w:val="clear" w:color="auto" w:fill="FFFFFF"/>
        </w:rPr>
      </w:pPr>
    </w:p>
    <w:p w14:paraId="4A9CC358" w14:textId="77777777" w:rsidR="003306D0" w:rsidRDefault="003306D0" w:rsidP="003306D0">
      <w:pPr>
        <w:rPr>
          <w:rFonts w:asciiTheme="minorHAnsi" w:hAnsiTheme="minorHAnsi" w:cstheme="minorHAnsi"/>
          <w:color w:val="212121"/>
          <w:sz w:val="22"/>
          <w:szCs w:val="22"/>
          <w:shd w:val="clear" w:color="auto" w:fill="FFFFFF"/>
        </w:rPr>
      </w:pPr>
      <w:r>
        <w:rPr>
          <w:rFonts w:asciiTheme="minorHAnsi" w:hAnsiTheme="minorHAnsi" w:cstheme="minorHAnsi"/>
          <w:color w:val="212121"/>
          <w:sz w:val="22"/>
          <w:szCs w:val="22"/>
          <w:shd w:val="clear" w:color="auto" w:fill="FFFFFF"/>
        </w:rPr>
        <w:t>For people that have been assessed as “high risk” of harm, or repeat victims of domestic abuse, a MARAC is held. A MARAC is a multi-agency meeting where high risk and repeat domestic violence cases are heard with the aim of safeguarding the victim by implementing support such as safety plans in order to reduce the risk as much as possible. IDVA’s can also play a role in a MARAC by representing the victim at the meeting in order for their views and wishes to be expressed (</w:t>
      </w:r>
      <w:r w:rsidRPr="00DA7DB8">
        <w:rPr>
          <w:rFonts w:asciiTheme="minorHAnsi" w:hAnsiTheme="minorHAnsi" w:cstheme="minorHAnsi"/>
          <w:color w:val="212121"/>
          <w:sz w:val="22"/>
          <w:szCs w:val="22"/>
          <w:shd w:val="clear" w:color="auto" w:fill="FFFFFF"/>
        </w:rPr>
        <w:t>West Midlands Police</w:t>
      </w:r>
      <w:r>
        <w:rPr>
          <w:rFonts w:asciiTheme="minorHAnsi" w:hAnsiTheme="minorHAnsi" w:cstheme="minorHAnsi"/>
          <w:color w:val="212121"/>
          <w:sz w:val="22"/>
          <w:szCs w:val="22"/>
          <w:shd w:val="clear" w:color="auto" w:fill="FFFFFF"/>
        </w:rPr>
        <w:t>, n.d.).</w:t>
      </w:r>
    </w:p>
    <w:p w14:paraId="7AFEF110" w14:textId="77777777" w:rsidR="003306D0" w:rsidRDefault="003306D0" w:rsidP="003306D0">
      <w:pPr>
        <w:rPr>
          <w:rFonts w:asciiTheme="minorHAnsi" w:hAnsiTheme="minorHAnsi" w:cstheme="minorHAnsi"/>
          <w:color w:val="212121"/>
          <w:sz w:val="22"/>
          <w:szCs w:val="22"/>
          <w:shd w:val="clear" w:color="auto" w:fill="FFFFFF"/>
        </w:rPr>
      </w:pPr>
    </w:p>
    <w:p w14:paraId="2172FACF" w14:textId="77777777" w:rsidR="003306D0" w:rsidRDefault="003306D0" w:rsidP="003306D0">
      <w:pPr>
        <w:rPr>
          <w:rFonts w:asciiTheme="minorHAnsi" w:hAnsiTheme="minorHAnsi" w:cstheme="minorHAnsi"/>
          <w:sz w:val="22"/>
          <w:szCs w:val="22"/>
        </w:rPr>
      </w:pPr>
      <w:r>
        <w:rPr>
          <w:rFonts w:asciiTheme="minorHAnsi" w:hAnsiTheme="minorHAnsi" w:cstheme="minorHAnsi"/>
          <w:color w:val="212121"/>
          <w:sz w:val="22"/>
          <w:szCs w:val="22"/>
          <w:shd w:val="clear" w:color="auto" w:fill="FFFFFF"/>
        </w:rPr>
        <w:t xml:space="preserve">Whilst IDVAs and MARACs are approaches that can be used to support and managing those at risk of domestic abuse, they can also be used as methods used to tackle repeat victimisation. However, this support can only be implemented if the victim agrees and consents to receiving support. Without the consent of the victim, it proves difficult to engage with them and gain the victim the support they require. This however doesn’t mean that the perpetrator won’t abuse the victim, or another. </w:t>
      </w:r>
    </w:p>
    <w:p w14:paraId="530CA4C0" w14:textId="77777777" w:rsidR="003306D0" w:rsidRDefault="003306D0" w:rsidP="003306D0">
      <w:pPr>
        <w:rPr>
          <w:rFonts w:asciiTheme="minorHAnsi" w:hAnsiTheme="minorHAnsi" w:cstheme="minorHAnsi"/>
          <w:sz w:val="22"/>
          <w:szCs w:val="22"/>
        </w:rPr>
      </w:pPr>
    </w:p>
    <w:p w14:paraId="27193384" w14:textId="77777777" w:rsidR="003306D0" w:rsidRDefault="003306D0" w:rsidP="003306D0">
      <w:pPr>
        <w:rPr>
          <w:rFonts w:asciiTheme="minorHAnsi" w:hAnsiTheme="minorHAnsi" w:cstheme="minorHAnsi"/>
          <w:sz w:val="22"/>
          <w:szCs w:val="22"/>
        </w:rPr>
      </w:pPr>
      <w:r>
        <w:rPr>
          <w:rFonts w:asciiTheme="minorHAnsi" w:hAnsiTheme="minorHAnsi" w:cstheme="minorHAnsi"/>
          <w:sz w:val="22"/>
          <w:szCs w:val="22"/>
        </w:rPr>
        <w:t>Outside of how the police deal with perpetrators of domestic abuse, there are support services available for offenders, as well as victims of domestic abusive; albeit not as much. A quarter of domestic abuse perpetrators will reoffend, whether that’s to the same victim, or a new one (</w:t>
      </w:r>
      <w:proofErr w:type="spellStart"/>
      <w:r w:rsidRPr="00D950C3">
        <w:rPr>
          <w:rFonts w:asciiTheme="minorHAnsi" w:hAnsiTheme="minorHAnsi" w:cstheme="minorHAnsi"/>
          <w:sz w:val="22"/>
          <w:szCs w:val="22"/>
        </w:rPr>
        <w:t>CrimeStoppers</w:t>
      </w:r>
      <w:proofErr w:type="spellEnd"/>
      <w:r>
        <w:rPr>
          <w:rFonts w:asciiTheme="minorHAnsi" w:hAnsiTheme="minorHAnsi" w:cstheme="minorHAnsi"/>
          <w:sz w:val="22"/>
          <w:szCs w:val="22"/>
        </w:rPr>
        <w:t>, 2021). In the area that I work there, is a charity service called “</w:t>
      </w:r>
      <w:r w:rsidRPr="00FC6940">
        <w:rPr>
          <w:rFonts w:asciiTheme="minorHAnsi" w:hAnsiTheme="minorHAnsi" w:cstheme="minorHAnsi"/>
          <w:sz w:val="22"/>
          <w:szCs w:val="22"/>
        </w:rPr>
        <w:t>Phoenix Domestic Abuse Services</w:t>
      </w:r>
      <w:r>
        <w:rPr>
          <w:rFonts w:asciiTheme="minorHAnsi" w:hAnsiTheme="minorHAnsi" w:cstheme="minorHAnsi"/>
          <w:sz w:val="22"/>
          <w:szCs w:val="22"/>
        </w:rPr>
        <w:t>”, which utilises a number of different approaches to stop domestic abuse. One service that they offer is a programme designed to work closely with domestic abuse perpetrators in order for them to gain help to prevent them from reoffending. However, much like the victim support; in order to access their services, offenders need to recognise that they have acted in an abusive manner (</w:t>
      </w:r>
      <w:r w:rsidRPr="00FC6940">
        <w:rPr>
          <w:rFonts w:asciiTheme="minorHAnsi" w:hAnsiTheme="minorHAnsi" w:cstheme="minorHAnsi"/>
          <w:sz w:val="22"/>
          <w:szCs w:val="22"/>
        </w:rPr>
        <w:t>Phoenix Domestic Abuse Services</w:t>
      </w:r>
      <w:r>
        <w:rPr>
          <w:rFonts w:asciiTheme="minorHAnsi" w:hAnsiTheme="minorHAnsi" w:cstheme="minorHAnsi"/>
          <w:sz w:val="22"/>
          <w:szCs w:val="22"/>
        </w:rPr>
        <w:t>, 2019)</w:t>
      </w:r>
    </w:p>
    <w:p w14:paraId="0CDA19A9" w14:textId="77777777" w:rsidR="003306D0" w:rsidRDefault="003306D0" w:rsidP="003306D0">
      <w:pPr>
        <w:rPr>
          <w:rFonts w:asciiTheme="minorHAnsi" w:hAnsiTheme="minorHAnsi" w:cstheme="minorHAnsi"/>
          <w:sz w:val="22"/>
          <w:szCs w:val="22"/>
        </w:rPr>
      </w:pPr>
    </w:p>
    <w:p w14:paraId="26171F8B" w14:textId="77777777" w:rsidR="003306D0" w:rsidRDefault="003306D0" w:rsidP="003306D0">
      <w:pPr>
        <w:rPr>
          <w:rFonts w:asciiTheme="minorHAnsi" w:hAnsiTheme="minorHAnsi" w:cstheme="minorHAnsi"/>
          <w:sz w:val="22"/>
          <w:szCs w:val="22"/>
        </w:rPr>
      </w:pPr>
      <w:r>
        <w:rPr>
          <w:rFonts w:asciiTheme="minorHAnsi" w:hAnsiTheme="minorHAnsi" w:cstheme="minorHAnsi"/>
          <w:sz w:val="22"/>
          <w:szCs w:val="22"/>
        </w:rPr>
        <w:lastRenderedPageBreak/>
        <w:t xml:space="preserve">There are clear support agencies and strategies available for both victims and perpetrators, however their effectiveness is only able to be measured when those involved want to receive support; and unfortunately, this isn’t a common occurrence. As exampled by the incident I attended, where the female stated that she didn’t report many incidents of abuse that took place within her relationship. Without the compliance of a victim, it is difficult for services to provide them with the support they need in order to safeguard themselves from future abuse. Gaining this consent, often proves difficult, as stated in the cycle of domestic, the victim often rekindles the relationship with a perpetrator because they believe the abuse won’t re-occur. However, in the majority of situations, the abuse does in fact happen again; causing the victim to be at risk of a relationship of continual abuse. </w:t>
      </w:r>
    </w:p>
    <w:p w14:paraId="6021E558" w14:textId="77777777" w:rsidR="003306D0" w:rsidRDefault="003306D0" w:rsidP="003306D0">
      <w:pPr>
        <w:rPr>
          <w:rFonts w:asciiTheme="minorHAnsi" w:hAnsiTheme="minorHAnsi" w:cstheme="minorHAnsi"/>
          <w:sz w:val="22"/>
          <w:szCs w:val="22"/>
        </w:rPr>
      </w:pPr>
    </w:p>
    <w:p w14:paraId="0F68569C" w14:textId="77777777" w:rsidR="003306D0" w:rsidRPr="002B461C" w:rsidRDefault="003306D0" w:rsidP="003306D0">
      <w:pPr>
        <w:rPr>
          <w:rFonts w:asciiTheme="minorHAnsi" w:hAnsiTheme="minorHAnsi" w:cstheme="minorHAnsi"/>
          <w:b/>
          <w:bCs/>
          <w:sz w:val="22"/>
          <w:szCs w:val="22"/>
        </w:rPr>
      </w:pPr>
      <w:r>
        <w:rPr>
          <w:rFonts w:asciiTheme="minorHAnsi" w:hAnsiTheme="minorHAnsi" w:cstheme="minorHAnsi"/>
          <w:b/>
          <w:bCs/>
          <w:sz w:val="22"/>
          <w:szCs w:val="22"/>
        </w:rPr>
        <w:t>WORD COUNT: 1143</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CCA6562" w14:textId="77777777" w:rsidR="003306D0" w:rsidRDefault="003306D0" w:rsidP="003306D0">
      <w:r>
        <w:t>A lot of what we deal with as Police Officers is often menial and sometimes not issues that are seen as “Police matters”, however, our main role is still upholding the law whilst attending and dealing with serious and complex matters. In this essay I will describe an incident which I attended and played a significant role with multiple offenders and the victim. This incident was of a serious and complex nature and I will consider how I have gathered, analysed and evaluated relevant information and intelligence in relation to the incident; as well as identifying how I developed the information and intelligence for the purpose of co-ordinating the arrests of the offenders. Throughout the essay I will focus on intelligence and how I made use of additional sources of it throughout the investigation. I will also explain what I have learnt from previous serious and complex investigations that I have played a part in, and how I applied that learning to this investigation.</w:t>
      </w:r>
    </w:p>
    <w:p w14:paraId="3BA043E2" w14:textId="77777777" w:rsidR="003306D0" w:rsidRDefault="003306D0" w:rsidP="003306D0">
      <w:r>
        <w:t xml:space="preserve">A call was received by an elderly woman; who stated that a gang of 5/6 men, wearing balaclavas, had entered her house, without her permission, searched the house saying they were looking for her grandson as he owes them money and upon leaving the dwelling, one of the males punched her porch window, causing it to smash. Whilst officers were at the address, a further call as received from the elderly woman’s grandson; saying that he’d witnessed a group of 5/6 males, wearing balaclavas, knock on his mother’s front door. The male explained that upon seeing the men, he had run and then later returned to the address to find the glass in his mother’s front door smashed and a glass dining table within the property also smashed. I knew that the two reports we had received were linked and both amounted to burglary (Theft Act 1968). I attended to speak with the grandson and his mother to obtain a formal statement from them. Whilst taking his statement, the grandson informed me that although the males were wearing balaclavas and therefore, he did not see the faces, he owes money to two males who work together to deal drugs and does not owe money to anyone else. He therefore informed me of the males he believes are responsible. Upon returning to the police </w:t>
      </w:r>
      <w:r w:rsidRPr="006D019F">
        <w:t xml:space="preserve">station, I conducted checks on the males that were believed to be responsible and found that there had been </w:t>
      </w:r>
      <w:r w:rsidRPr="006D019F">
        <w:lastRenderedPageBreak/>
        <w:t xml:space="preserve">recent intelligence submitted regarding their participation in drug dealing in the local area. By going through the recent intelligence on the males, I also found out that they lived together at </w:t>
      </w:r>
      <w:r w:rsidRPr="00C21907">
        <w:t xml:space="preserve">the time. Upon obtaining their home address, myself and a colleague attended, and I arrested both males and seized all clothing in the house that matched what had been described by the victims. I sent the clothes off to be forensically examined and glass from the first call was discovered on them. Following their release from custody, more intelligence was received and both males were later arrested in relation to drug offences. Both males attended a voluntary interview and were questioned regarding the finding of glass, which matched that from the scene, on their clothing. </w:t>
      </w:r>
      <w:r>
        <w:t>The investigation is still ongoing, and the case is being prepared to be sent to CPS for a charging decision.</w:t>
      </w:r>
    </w:p>
    <w:p w14:paraId="0E59026E" w14:textId="77777777" w:rsidR="003306D0" w:rsidRDefault="003306D0" w:rsidP="003306D0">
      <w:pPr>
        <w:rPr>
          <w:rFonts w:cstheme="minorHAnsi"/>
        </w:rPr>
      </w:pPr>
      <w:r>
        <w:t xml:space="preserve">Information and Intelligence are vital for Police when it comes to developing their knowledge of offenders and illegal activity in their local area, with intelligence playing a vital role in the Police combatting organised serious crime, as well as terror threats </w:t>
      </w:r>
      <w:r w:rsidRPr="00BB3675">
        <w:rPr>
          <w:rFonts w:cstheme="minorHAnsi"/>
        </w:rPr>
        <w:t>(Bryant and Bryant, 2019</w:t>
      </w:r>
      <w:r>
        <w:rPr>
          <w:rFonts w:cstheme="minorHAnsi"/>
        </w:rPr>
        <w:t>, pp. 522-538</w:t>
      </w:r>
      <w:r w:rsidRPr="00BB3675">
        <w:rPr>
          <w:rFonts w:cstheme="minorHAnsi"/>
        </w:rPr>
        <w:t>)</w:t>
      </w:r>
      <w:r>
        <w:rPr>
          <w:rFonts w:cstheme="minorHAnsi"/>
        </w:rPr>
        <w:t xml:space="preserve">; </w:t>
      </w:r>
      <w:r>
        <w:t xml:space="preserve">but there are differences between the two. Information, in the policing context, is information that has a policing purpose in its rawest form. Information then becomes intelligence when it’s gone through an evaluation procedure (College of Policing, 2013), designed to measure its importance and reliability (National Crime Agency, 2019). When police record intelligence, it is submitted through an intelligence report which is split into 3 main categories, designed to determine the value of the submission; known as “3 x 5 x 2” </w:t>
      </w:r>
      <w:r w:rsidRPr="00BB3675">
        <w:rPr>
          <w:rFonts w:cstheme="minorHAnsi"/>
        </w:rPr>
        <w:t>(Bryant and Bryant, 2019</w:t>
      </w:r>
      <w:r>
        <w:rPr>
          <w:rFonts w:cstheme="minorHAnsi"/>
        </w:rPr>
        <w:t>, pp. 522-538</w:t>
      </w:r>
      <w:r w:rsidRPr="00BB3675">
        <w:rPr>
          <w:rFonts w:cstheme="minorHAnsi"/>
        </w:rPr>
        <w:t>)</w:t>
      </w:r>
      <w:r>
        <w:rPr>
          <w:rFonts w:cstheme="minorHAnsi"/>
        </w:rPr>
        <w:t>, and can be seen below:</w:t>
      </w:r>
    </w:p>
    <w:p w14:paraId="07BEFAD3" w14:textId="77777777" w:rsidR="003306D0" w:rsidRDefault="003306D0" w:rsidP="003306D0">
      <w:pPr>
        <w:rPr>
          <w:rFonts w:cstheme="minorHAnsi"/>
        </w:rPr>
      </w:pPr>
    </w:p>
    <w:p w14:paraId="44A9215B" w14:textId="77777777" w:rsidR="003306D0" w:rsidRDefault="003306D0" w:rsidP="003306D0">
      <w:pPr>
        <w:rPr>
          <w:rFonts w:cstheme="minorHAnsi"/>
        </w:rPr>
      </w:pPr>
    </w:p>
    <w:tbl>
      <w:tblPr>
        <w:tblStyle w:val="TableGrid"/>
        <w:tblW w:w="10016" w:type="dxa"/>
        <w:tblInd w:w="-382" w:type="dxa"/>
        <w:tblLook w:val="04A0" w:firstRow="1" w:lastRow="0" w:firstColumn="1" w:lastColumn="0" w:noHBand="0" w:noVBand="1"/>
      </w:tblPr>
      <w:tblGrid>
        <w:gridCol w:w="3224"/>
        <w:gridCol w:w="350"/>
        <w:gridCol w:w="3304"/>
        <w:gridCol w:w="350"/>
        <w:gridCol w:w="2788"/>
      </w:tblGrid>
      <w:tr w:rsidR="003306D0" w14:paraId="14D799D5" w14:textId="77777777" w:rsidTr="005E433E">
        <w:tc>
          <w:tcPr>
            <w:tcW w:w="3229" w:type="dxa"/>
            <w:shd w:val="clear" w:color="auto" w:fill="FF0000"/>
          </w:tcPr>
          <w:p w14:paraId="27717C72" w14:textId="77777777" w:rsidR="003306D0" w:rsidRPr="00683AB3" w:rsidRDefault="003306D0" w:rsidP="005E433E">
            <w:pPr>
              <w:jc w:val="center"/>
              <w:rPr>
                <w:b/>
                <w:bCs/>
              </w:rPr>
            </w:pPr>
            <w:r w:rsidRPr="00683AB3">
              <w:rPr>
                <w:b/>
                <w:bCs/>
              </w:rPr>
              <w:t>3</w:t>
            </w:r>
          </w:p>
        </w:tc>
        <w:tc>
          <w:tcPr>
            <w:tcW w:w="350" w:type="dxa"/>
            <w:shd w:val="clear" w:color="auto" w:fill="FF0000"/>
          </w:tcPr>
          <w:p w14:paraId="47BFF9D4" w14:textId="77777777" w:rsidR="003306D0" w:rsidRPr="00683AB3" w:rsidRDefault="003306D0" w:rsidP="005E433E">
            <w:pPr>
              <w:jc w:val="center"/>
              <w:rPr>
                <w:b/>
                <w:bCs/>
              </w:rPr>
            </w:pPr>
            <w:r w:rsidRPr="00683AB3">
              <w:rPr>
                <w:b/>
                <w:bCs/>
              </w:rPr>
              <w:t>X</w:t>
            </w:r>
          </w:p>
        </w:tc>
        <w:tc>
          <w:tcPr>
            <w:tcW w:w="3308" w:type="dxa"/>
            <w:shd w:val="clear" w:color="auto" w:fill="FF0000"/>
          </w:tcPr>
          <w:p w14:paraId="2AE020BE" w14:textId="77777777" w:rsidR="003306D0" w:rsidRPr="00683AB3" w:rsidRDefault="003306D0" w:rsidP="005E433E">
            <w:pPr>
              <w:jc w:val="center"/>
              <w:rPr>
                <w:b/>
                <w:bCs/>
              </w:rPr>
            </w:pPr>
            <w:r w:rsidRPr="00683AB3">
              <w:rPr>
                <w:b/>
                <w:bCs/>
              </w:rPr>
              <w:t>5</w:t>
            </w:r>
          </w:p>
        </w:tc>
        <w:tc>
          <w:tcPr>
            <w:tcW w:w="338" w:type="dxa"/>
            <w:shd w:val="clear" w:color="auto" w:fill="FF0000"/>
          </w:tcPr>
          <w:p w14:paraId="7354F3FC" w14:textId="77777777" w:rsidR="003306D0" w:rsidRPr="00683AB3" w:rsidRDefault="003306D0" w:rsidP="005E433E">
            <w:pPr>
              <w:jc w:val="center"/>
              <w:rPr>
                <w:b/>
                <w:bCs/>
              </w:rPr>
            </w:pPr>
            <w:r w:rsidRPr="00683AB3">
              <w:rPr>
                <w:b/>
                <w:bCs/>
              </w:rPr>
              <w:t>X</w:t>
            </w:r>
          </w:p>
        </w:tc>
        <w:tc>
          <w:tcPr>
            <w:tcW w:w="2791" w:type="dxa"/>
            <w:shd w:val="clear" w:color="auto" w:fill="FF0000"/>
          </w:tcPr>
          <w:p w14:paraId="1D20F805" w14:textId="77777777" w:rsidR="003306D0" w:rsidRPr="00683AB3" w:rsidRDefault="003306D0" w:rsidP="005E433E">
            <w:pPr>
              <w:jc w:val="center"/>
              <w:rPr>
                <w:b/>
                <w:bCs/>
              </w:rPr>
            </w:pPr>
            <w:r w:rsidRPr="00683AB3">
              <w:rPr>
                <w:b/>
                <w:bCs/>
              </w:rPr>
              <w:t>2</w:t>
            </w:r>
          </w:p>
        </w:tc>
      </w:tr>
      <w:tr w:rsidR="003306D0" w14:paraId="3408FC19" w14:textId="77777777" w:rsidTr="005E433E">
        <w:tc>
          <w:tcPr>
            <w:tcW w:w="3229" w:type="dxa"/>
          </w:tcPr>
          <w:p w14:paraId="2E3534D5" w14:textId="77777777" w:rsidR="003306D0" w:rsidRPr="00E82A2A" w:rsidRDefault="003306D0" w:rsidP="005E433E">
            <w:pPr>
              <w:jc w:val="center"/>
              <w:rPr>
                <w:b/>
                <w:bCs/>
              </w:rPr>
            </w:pPr>
            <w:r w:rsidRPr="00E82A2A">
              <w:rPr>
                <w:b/>
                <w:bCs/>
              </w:rPr>
              <w:t>SOURCE RELIABILITY</w:t>
            </w:r>
          </w:p>
          <w:p w14:paraId="4A38888D" w14:textId="77777777" w:rsidR="003306D0" w:rsidRDefault="003306D0" w:rsidP="005E433E">
            <w:pPr>
              <w:jc w:val="center"/>
            </w:pPr>
            <w:r>
              <w:t>(How reliable is the source?)</w:t>
            </w:r>
          </w:p>
        </w:tc>
        <w:tc>
          <w:tcPr>
            <w:tcW w:w="350" w:type="dxa"/>
            <w:vMerge w:val="restart"/>
            <w:shd w:val="clear" w:color="auto" w:fill="000000" w:themeFill="text1"/>
          </w:tcPr>
          <w:p w14:paraId="75DB5366" w14:textId="77777777" w:rsidR="003306D0" w:rsidRDefault="003306D0" w:rsidP="005E433E"/>
        </w:tc>
        <w:tc>
          <w:tcPr>
            <w:tcW w:w="3308" w:type="dxa"/>
          </w:tcPr>
          <w:p w14:paraId="7A1B6983" w14:textId="77777777" w:rsidR="003306D0" w:rsidRPr="00E82A2A" w:rsidRDefault="003306D0" w:rsidP="005E433E">
            <w:pPr>
              <w:jc w:val="center"/>
              <w:rPr>
                <w:b/>
                <w:bCs/>
              </w:rPr>
            </w:pPr>
            <w:r w:rsidRPr="00E82A2A">
              <w:rPr>
                <w:b/>
                <w:bCs/>
              </w:rPr>
              <w:t>INTELLIGENCE ASSESSMENT</w:t>
            </w:r>
          </w:p>
          <w:p w14:paraId="08ABB15E" w14:textId="77777777" w:rsidR="003306D0" w:rsidRDefault="003306D0" w:rsidP="005E433E">
            <w:pPr>
              <w:jc w:val="center"/>
            </w:pPr>
            <w:r>
              <w:t>(How does the source know the information?)</w:t>
            </w:r>
          </w:p>
        </w:tc>
        <w:tc>
          <w:tcPr>
            <w:tcW w:w="338" w:type="dxa"/>
            <w:vMerge w:val="restart"/>
            <w:shd w:val="clear" w:color="auto" w:fill="000000" w:themeFill="text1"/>
          </w:tcPr>
          <w:p w14:paraId="3DC0107B" w14:textId="77777777" w:rsidR="003306D0" w:rsidRDefault="003306D0" w:rsidP="005E433E"/>
        </w:tc>
        <w:tc>
          <w:tcPr>
            <w:tcW w:w="2791" w:type="dxa"/>
          </w:tcPr>
          <w:p w14:paraId="0C451468" w14:textId="77777777" w:rsidR="003306D0" w:rsidRPr="00E82A2A" w:rsidRDefault="003306D0" w:rsidP="005E433E">
            <w:pPr>
              <w:jc w:val="center"/>
              <w:rPr>
                <w:b/>
                <w:bCs/>
              </w:rPr>
            </w:pPr>
            <w:r w:rsidRPr="00E82A2A">
              <w:rPr>
                <w:b/>
                <w:bCs/>
              </w:rPr>
              <w:t>HANDLING CODES</w:t>
            </w:r>
          </w:p>
          <w:p w14:paraId="512C8577" w14:textId="77777777" w:rsidR="003306D0" w:rsidRDefault="003306D0" w:rsidP="005E433E">
            <w:pPr>
              <w:jc w:val="center"/>
            </w:pPr>
            <w:r>
              <w:t>(Who can access the intelligence?)</w:t>
            </w:r>
          </w:p>
        </w:tc>
      </w:tr>
      <w:tr w:rsidR="003306D0" w14:paraId="76D0E1D0" w14:textId="77777777" w:rsidTr="005E433E">
        <w:tc>
          <w:tcPr>
            <w:tcW w:w="3229" w:type="dxa"/>
          </w:tcPr>
          <w:p w14:paraId="57BC2B10" w14:textId="77777777" w:rsidR="003306D0" w:rsidRDefault="003306D0" w:rsidP="003306D0">
            <w:pPr>
              <w:pStyle w:val="ListParagraph"/>
              <w:numPr>
                <w:ilvl w:val="0"/>
                <w:numId w:val="7"/>
              </w:numPr>
              <w:overflowPunct/>
              <w:autoSpaceDE/>
              <w:autoSpaceDN/>
              <w:adjustRightInd/>
              <w:textAlignment w:val="auto"/>
            </w:pPr>
            <w:r>
              <w:t>Reliable</w:t>
            </w:r>
          </w:p>
        </w:tc>
        <w:tc>
          <w:tcPr>
            <w:tcW w:w="350" w:type="dxa"/>
            <w:vMerge/>
            <w:shd w:val="clear" w:color="auto" w:fill="000000" w:themeFill="text1"/>
          </w:tcPr>
          <w:p w14:paraId="68CCF8CD" w14:textId="77777777" w:rsidR="003306D0" w:rsidRPr="00683AB3" w:rsidRDefault="003306D0" w:rsidP="005E433E">
            <w:pPr>
              <w:jc w:val="center"/>
              <w:rPr>
                <w:b/>
                <w:bCs/>
              </w:rPr>
            </w:pPr>
          </w:p>
        </w:tc>
        <w:tc>
          <w:tcPr>
            <w:tcW w:w="3308" w:type="dxa"/>
          </w:tcPr>
          <w:p w14:paraId="1A71B135" w14:textId="77777777" w:rsidR="003306D0" w:rsidRDefault="003306D0" w:rsidP="003306D0">
            <w:pPr>
              <w:pStyle w:val="ListParagraph"/>
              <w:numPr>
                <w:ilvl w:val="0"/>
                <w:numId w:val="8"/>
              </w:numPr>
              <w:overflowPunct/>
              <w:autoSpaceDE/>
              <w:autoSpaceDN/>
              <w:adjustRightInd/>
              <w:textAlignment w:val="auto"/>
            </w:pPr>
            <w:r>
              <w:t>Known Directly</w:t>
            </w:r>
          </w:p>
        </w:tc>
        <w:tc>
          <w:tcPr>
            <w:tcW w:w="338" w:type="dxa"/>
            <w:vMerge/>
            <w:shd w:val="clear" w:color="auto" w:fill="000000" w:themeFill="text1"/>
          </w:tcPr>
          <w:p w14:paraId="16A804D7" w14:textId="77777777" w:rsidR="003306D0" w:rsidRDefault="003306D0" w:rsidP="005E433E"/>
        </w:tc>
        <w:tc>
          <w:tcPr>
            <w:tcW w:w="2791" w:type="dxa"/>
          </w:tcPr>
          <w:p w14:paraId="46CE63A1" w14:textId="77777777" w:rsidR="003306D0" w:rsidRDefault="003306D0" w:rsidP="003306D0">
            <w:pPr>
              <w:pStyle w:val="ListParagraph"/>
              <w:numPr>
                <w:ilvl w:val="0"/>
                <w:numId w:val="9"/>
              </w:numPr>
              <w:overflowPunct/>
              <w:autoSpaceDE/>
              <w:autoSpaceDN/>
              <w:adjustRightInd/>
              <w:textAlignment w:val="auto"/>
            </w:pPr>
            <w:r>
              <w:t>Lawful Sharing is                                     Permitted</w:t>
            </w:r>
          </w:p>
        </w:tc>
      </w:tr>
      <w:tr w:rsidR="003306D0" w14:paraId="5BCC50D8" w14:textId="77777777" w:rsidTr="005E433E">
        <w:tc>
          <w:tcPr>
            <w:tcW w:w="3229" w:type="dxa"/>
          </w:tcPr>
          <w:p w14:paraId="4673EFF5" w14:textId="77777777" w:rsidR="003306D0" w:rsidRDefault="003306D0" w:rsidP="003306D0">
            <w:pPr>
              <w:pStyle w:val="ListParagraph"/>
              <w:numPr>
                <w:ilvl w:val="0"/>
                <w:numId w:val="7"/>
              </w:numPr>
              <w:overflowPunct/>
              <w:autoSpaceDE/>
              <w:autoSpaceDN/>
              <w:adjustRightInd/>
              <w:textAlignment w:val="auto"/>
            </w:pPr>
            <w:r>
              <w:t>Untested</w:t>
            </w:r>
          </w:p>
        </w:tc>
        <w:tc>
          <w:tcPr>
            <w:tcW w:w="350" w:type="dxa"/>
            <w:vMerge/>
            <w:shd w:val="clear" w:color="auto" w:fill="000000" w:themeFill="text1"/>
          </w:tcPr>
          <w:p w14:paraId="68C96C88" w14:textId="77777777" w:rsidR="003306D0" w:rsidRDefault="003306D0" w:rsidP="005E433E"/>
        </w:tc>
        <w:tc>
          <w:tcPr>
            <w:tcW w:w="3308" w:type="dxa"/>
          </w:tcPr>
          <w:p w14:paraId="12559824" w14:textId="77777777" w:rsidR="003306D0" w:rsidRDefault="003306D0" w:rsidP="003306D0">
            <w:pPr>
              <w:pStyle w:val="ListParagraph"/>
              <w:numPr>
                <w:ilvl w:val="0"/>
                <w:numId w:val="8"/>
              </w:numPr>
              <w:overflowPunct/>
              <w:autoSpaceDE/>
              <w:autoSpaceDN/>
              <w:adjustRightInd/>
              <w:textAlignment w:val="auto"/>
            </w:pPr>
            <w:r>
              <w:t>Known Indirectly but Corroborated</w:t>
            </w:r>
          </w:p>
        </w:tc>
        <w:tc>
          <w:tcPr>
            <w:tcW w:w="338" w:type="dxa"/>
            <w:vMerge/>
            <w:shd w:val="clear" w:color="auto" w:fill="000000" w:themeFill="text1"/>
          </w:tcPr>
          <w:p w14:paraId="78BA64C8" w14:textId="77777777" w:rsidR="003306D0" w:rsidRDefault="003306D0" w:rsidP="005E433E"/>
        </w:tc>
        <w:tc>
          <w:tcPr>
            <w:tcW w:w="2791" w:type="dxa"/>
          </w:tcPr>
          <w:p w14:paraId="21B94658" w14:textId="77777777" w:rsidR="003306D0" w:rsidRDefault="003306D0" w:rsidP="003306D0">
            <w:pPr>
              <w:pStyle w:val="ListParagraph"/>
              <w:numPr>
                <w:ilvl w:val="0"/>
                <w:numId w:val="8"/>
              </w:numPr>
              <w:overflowPunct/>
              <w:autoSpaceDE/>
              <w:autoSpaceDN/>
              <w:adjustRightInd/>
              <w:textAlignment w:val="auto"/>
            </w:pPr>
            <w:r>
              <w:t>Lawful Sharing is                                     Permitted, but with Conditions</w:t>
            </w:r>
          </w:p>
        </w:tc>
      </w:tr>
      <w:tr w:rsidR="003306D0" w14:paraId="74879B24" w14:textId="77777777" w:rsidTr="005E433E">
        <w:tc>
          <w:tcPr>
            <w:tcW w:w="3229" w:type="dxa"/>
          </w:tcPr>
          <w:p w14:paraId="4846551F" w14:textId="77777777" w:rsidR="003306D0" w:rsidRDefault="003306D0" w:rsidP="003306D0">
            <w:pPr>
              <w:pStyle w:val="ListParagraph"/>
              <w:numPr>
                <w:ilvl w:val="0"/>
                <w:numId w:val="7"/>
              </w:numPr>
              <w:overflowPunct/>
              <w:autoSpaceDE/>
              <w:autoSpaceDN/>
              <w:adjustRightInd/>
              <w:textAlignment w:val="auto"/>
            </w:pPr>
            <w:r>
              <w:t xml:space="preserve">Not reliable </w:t>
            </w:r>
          </w:p>
        </w:tc>
        <w:tc>
          <w:tcPr>
            <w:tcW w:w="350" w:type="dxa"/>
            <w:vMerge/>
            <w:shd w:val="clear" w:color="auto" w:fill="000000" w:themeFill="text1"/>
          </w:tcPr>
          <w:p w14:paraId="4D3C5A41" w14:textId="77777777" w:rsidR="003306D0" w:rsidRDefault="003306D0" w:rsidP="005E433E"/>
        </w:tc>
        <w:tc>
          <w:tcPr>
            <w:tcW w:w="3308" w:type="dxa"/>
          </w:tcPr>
          <w:p w14:paraId="1F5F6135" w14:textId="77777777" w:rsidR="003306D0" w:rsidRDefault="003306D0" w:rsidP="003306D0">
            <w:pPr>
              <w:pStyle w:val="ListParagraph"/>
              <w:numPr>
                <w:ilvl w:val="0"/>
                <w:numId w:val="10"/>
              </w:numPr>
              <w:overflowPunct/>
              <w:autoSpaceDE/>
              <w:autoSpaceDN/>
              <w:adjustRightInd/>
              <w:textAlignment w:val="auto"/>
            </w:pPr>
            <w:r>
              <w:t>Known Indirectly</w:t>
            </w:r>
          </w:p>
        </w:tc>
        <w:tc>
          <w:tcPr>
            <w:tcW w:w="338" w:type="dxa"/>
            <w:vMerge/>
            <w:shd w:val="clear" w:color="auto" w:fill="000000" w:themeFill="text1"/>
          </w:tcPr>
          <w:p w14:paraId="2920EFD1" w14:textId="77777777" w:rsidR="003306D0" w:rsidRDefault="003306D0" w:rsidP="005E433E"/>
        </w:tc>
        <w:tc>
          <w:tcPr>
            <w:tcW w:w="2791" w:type="dxa"/>
            <w:shd w:val="clear" w:color="auto" w:fill="000000" w:themeFill="text1"/>
          </w:tcPr>
          <w:p w14:paraId="6F9CFC4A" w14:textId="77777777" w:rsidR="003306D0" w:rsidRDefault="003306D0" w:rsidP="005E433E"/>
        </w:tc>
      </w:tr>
      <w:tr w:rsidR="003306D0" w14:paraId="5C715F4C" w14:textId="77777777" w:rsidTr="005E433E">
        <w:tc>
          <w:tcPr>
            <w:tcW w:w="3229" w:type="dxa"/>
            <w:shd w:val="clear" w:color="auto" w:fill="000000" w:themeFill="text1"/>
          </w:tcPr>
          <w:p w14:paraId="1157A273" w14:textId="77777777" w:rsidR="003306D0" w:rsidRDefault="003306D0" w:rsidP="005E433E"/>
        </w:tc>
        <w:tc>
          <w:tcPr>
            <w:tcW w:w="350" w:type="dxa"/>
            <w:vMerge/>
            <w:shd w:val="clear" w:color="auto" w:fill="000000" w:themeFill="text1"/>
          </w:tcPr>
          <w:p w14:paraId="69FFDEAE" w14:textId="77777777" w:rsidR="003306D0" w:rsidRDefault="003306D0" w:rsidP="005E433E"/>
        </w:tc>
        <w:tc>
          <w:tcPr>
            <w:tcW w:w="3308" w:type="dxa"/>
          </w:tcPr>
          <w:p w14:paraId="180EAF4D" w14:textId="77777777" w:rsidR="003306D0" w:rsidRDefault="003306D0" w:rsidP="003306D0">
            <w:pPr>
              <w:pStyle w:val="ListParagraph"/>
              <w:numPr>
                <w:ilvl w:val="0"/>
                <w:numId w:val="8"/>
              </w:numPr>
              <w:overflowPunct/>
              <w:autoSpaceDE/>
              <w:autoSpaceDN/>
              <w:adjustRightInd/>
              <w:textAlignment w:val="auto"/>
            </w:pPr>
            <w:r>
              <w:t>Not Known</w:t>
            </w:r>
          </w:p>
        </w:tc>
        <w:tc>
          <w:tcPr>
            <w:tcW w:w="338" w:type="dxa"/>
            <w:vMerge/>
            <w:shd w:val="clear" w:color="auto" w:fill="000000" w:themeFill="text1"/>
          </w:tcPr>
          <w:p w14:paraId="0667DAA4" w14:textId="77777777" w:rsidR="003306D0" w:rsidRDefault="003306D0" w:rsidP="005E433E"/>
        </w:tc>
        <w:tc>
          <w:tcPr>
            <w:tcW w:w="2791" w:type="dxa"/>
            <w:shd w:val="clear" w:color="auto" w:fill="000000" w:themeFill="text1"/>
          </w:tcPr>
          <w:p w14:paraId="593B8BDC" w14:textId="77777777" w:rsidR="003306D0" w:rsidRDefault="003306D0" w:rsidP="005E433E"/>
        </w:tc>
      </w:tr>
      <w:tr w:rsidR="003306D0" w14:paraId="638AF940" w14:textId="77777777" w:rsidTr="005E433E">
        <w:tc>
          <w:tcPr>
            <w:tcW w:w="3229" w:type="dxa"/>
            <w:shd w:val="clear" w:color="auto" w:fill="000000" w:themeFill="text1"/>
          </w:tcPr>
          <w:p w14:paraId="0461C16D" w14:textId="77777777" w:rsidR="003306D0" w:rsidRDefault="003306D0" w:rsidP="005E433E"/>
        </w:tc>
        <w:tc>
          <w:tcPr>
            <w:tcW w:w="350" w:type="dxa"/>
            <w:vMerge/>
            <w:shd w:val="clear" w:color="auto" w:fill="000000" w:themeFill="text1"/>
          </w:tcPr>
          <w:p w14:paraId="35462BC5" w14:textId="77777777" w:rsidR="003306D0" w:rsidRDefault="003306D0" w:rsidP="005E433E"/>
        </w:tc>
        <w:tc>
          <w:tcPr>
            <w:tcW w:w="3308" w:type="dxa"/>
          </w:tcPr>
          <w:p w14:paraId="6009EEBE" w14:textId="77777777" w:rsidR="003306D0" w:rsidRDefault="003306D0" w:rsidP="003306D0">
            <w:pPr>
              <w:pStyle w:val="ListParagraph"/>
              <w:numPr>
                <w:ilvl w:val="0"/>
                <w:numId w:val="8"/>
              </w:numPr>
              <w:overflowPunct/>
              <w:autoSpaceDE/>
              <w:autoSpaceDN/>
              <w:adjustRightInd/>
              <w:textAlignment w:val="auto"/>
            </w:pPr>
            <w:r>
              <w:t>Suspected to be False</w:t>
            </w:r>
          </w:p>
        </w:tc>
        <w:tc>
          <w:tcPr>
            <w:tcW w:w="338" w:type="dxa"/>
            <w:vMerge/>
            <w:shd w:val="clear" w:color="auto" w:fill="000000" w:themeFill="text1"/>
          </w:tcPr>
          <w:p w14:paraId="7818E87B" w14:textId="77777777" w:rsidR="003306D0" w:rsidRDefault="003306D0" w:rsidP="005E433E"/>
        </w:tc>
        <w:tc>
          <w:tcPr>
            <w:tcW w:w="2791" w:type="dxa"/>
            <w:shd w:val="clear" w:color="auto" w:fill="000000" w:themeFill="text1"/>
          </w:tcPr>
          <w:p w14:paraId="6E9BA161" w14:textId="77777777" w:rsidR="003306D0" w:rsidRDefault="003306D0" w:rsidP="005E433E"/>
        </w:tc>
      </w:tr>
    </w:tbl>
    <w:p w14:paraId="6589058F" w14:textId="77777777" w:rsidR="003306D0" w:rsidRDefault="003306D0" w:rsidP="003306D0"/>
    <w:p w14:paraId="54A71BB6" w14:textId="57DD2B44" w:rsidR="003306D0" w:rsidRDefault="003306D0" w:rsidP="003306D0">
      <w:r>
        <w:t>(College of Policing, 2015a)</w:t>
      </w:r>
    </w:p>
    <w:p w14:paraId="5AD1A7F8" w14:textId="77777777" w:rsidR="005A07E0" w:rsidRDefault="005A07E0" w:rsidP="003306D0">
      <w:bookmarkStart w:id="1" w:name="_GoBack"/>
      <w:bookmarkEnd w:id="1"/>
    </w:p>
    <w:p w14:paraId="29DEEA03" w14:textId="77777777" w:rsidR="003306D0" w:rsidRDefault="003306D0" w:rsidP="003306D0">
      <w:pPr>
        <w:rPr>
          <w:rFonts w:cstheme="minorHAnsi"/>
        </w:rPr>
      </w:pPr>
      <w:r>
        <w:t xml:space="preserve">Intelligence may be submitted using any combination of the three categories </w:t>
      </w:r>
      <w:r w:rsidRPr="00BB3675">
        <w:rPr>
          <w:rFonts w:cstheme="minorHAnsi"/>
        </w:rPr>
        <w:t>(Bryant and Bryant, 2019</w:t>
      </w:r>
      <w:r>
        <w:rPr>
          <w:rFonts w:cstheme="minorHAnsi"/>
        </w:rPr>
        <w:t>, pp. 522-538</w:t>
      </w:r>
      <w:r w:rsidRPr="00BB3675">
        <w:rPr>
          <w:rFonts w:cstheme="minorHAnsi"/>
        </w:rPr>
        <w:t>)</w:t>
      </w:r>
      <w:r>
        <w:rPr>
          <w:rFonts w:cstheme="minorHAnsi"/>
        </w:rPr>
        <w:t xml:space="preserve">, and which ever grouping is selected, allows for the intelligence to be evaluated as such. </w:t>
      </w:r>
    </w:p>
    <w:p w14:paraId="67C44736" w14:textId="77777777" w:rsidR="003306D0" w:rsidRPr="00C134CA" w:rsidRDefault="003306D0" w:rsidP="003306D0">
      <w:r>
        <w:rPr>
          <w:rFonts w:cstheme="minorHAnsi"/>
        </w:rPr>
        <w:t xml:space="preserve">The first category, “Source Reliability”, otherwise known as 3, is simply asking how reliable the source providing the intelligence is. For example, if the source has provided intelligence previously that, when action has been taken, has proved to be correct, then they would be classified as “Reliable”. If the person has not provided intelligence before, then they would be graded as “Untested”. When a source has provided prior inaccurate intelligence or there are doubts over their motivation, i.e. it’s potentially malicious, then the intelligence provided will be categorised as “Unreliable” </w:t>
      </w:r>
      <w:r>
        <w:t>(College of Policing, 2015a).</w:t>
      </w:r>
    </w:p>
    <w:p w14:paraId="6FECBF73" w14:textId="77777777" w:rsidR="003306D0" w:rsidRDefault="003306D0" w:rsidP="003306D0">
      <w:r>
        <w:rPr>
          <w:rFonts w:cstheme="minorHAnsi"/>
        </w:rPr>
        <w:t>Once the reliability of the source has been established, the next part of the evaluation process is the “Intelligence Assessment”/5. In essence, this category is simply, how does the source know the information they are providing? For example, if the source has witnessed what they have told Police then it’ll be marked as “Known Directly. If the source has received the information second-hand but it can be corroborated, whether it’s through other intelligence or even a different source, then it will be assessed as “Known Indirectly but Corroborated”. Should the source be told the information that they’ve relayed to Police, but it is not able to be corroborated, then “Known Indirectly” should be</w:t>
      </w:r>
      <w:r w:rsidRPr="008A718A">
        <w:rPr>
          <w:rFonts w:cstheme="minorHAnsi"/>
        </w:rPr>
        <w:t xml:space="preserve"> </w:t>
      </w:r>
      <w:r>
        <w:rPr>
          <w:rFonts w:cstheme="minorHAnsi"/>
        </w:rPr>
        <w:t xml:space="preserve">selected. “Not Known” is usually the grading chosen for information that has been submitted anonymously and there is no way of gaining further information. If the information is “Suspected to be False”, whether that’s by it contradicting other intelligence received, it’s believed to be malicious, or any other reason, then the applicable option will be opted for </w:t>
      </w:r>
      <w:r>
        <w:t>(College of Policing, 2015a).</w:t>
      </w:r>
    </w:p>
    <w:p w14:paraId="6879A100" w14:textId="77777777" w:rsidR="003306D0" w:rsidRDefault="003306D0" w:rsidP="003306D0">
      <w:r>
        <w:t xml:space="preserve">The final category of the 3x5x2 process is the “Handling Codes” section. If the person submitting the intelligence believes that the intelligence is sensitive enough that it cannot be shared without conditions, then “Lawful Sharing is Permitted, but with Conditions” should be selected and the specific </w:t>
      </w:r>
      <w:r>
        <w:lastRenderedPageBreak/>
        <w:t>conditions stated in the intelligence report. Should the intelligence not require conditions for it to be circulated then “Lawful Sharing is Permitted” will be chosen (College of Policing, 2015a).</w:t>
      </w:r>
    </w:p>
    <w:p w14:paraId="1D227184" w14:textId="77777777" w:rsidR="003306D0" w:rsidRDefault="003306D0" w:rsidP="003306D0">
      <w:r>
        <w:t xml:space="preserve">Intelligence played a big role during this investigation, from a number of different sources, submitted by me, as well as other officers. After I took the statement from the male and his mother, I returned to the Police station and conducted searches for the suspects on Police systems. Upon doing this, I saw that there had been intelligence recently submitted regarding the both suspects working together to sell drugs in the local area. This intelligence corroborated what the male had told me in his statement, regarding him owing money to the males for drugs. I proceeded to submit further intelligence, in relation to the information I had gathered from the male, using the 3x5x2 model. First of all, I assessed the source as “Untested”, because the source had not previously submitted any previous intelligence. Due to the male knowing the suspects and buying drugs off them in person, I selected that the information was “Known Directly”. There was nothing in the intelligence that meant it couldn’t be disseminated without conditions, therefore I marked it as “Lawful Sharing is Permitted”. </w:t>
      </w:r>
    </w:p>
    <w:p w14:paraId="4D6999BD" w14:textId="77777777" w:rsidR="003306D0" w:rsidRDefault="003306D0" w:rsidP="003306D0">
      <w:r>
        <w:t xml:space="preserve">Whilst looking at the suspect’s profiles on the Police systems, I could see one of the males was marked down as having no fixed abode; however, reading the intelligence that was previously submitted about the suspects, stated that both males were residing with each other and it provided the address. This meant I was able to coordinate an arrest strategy with my colleagues. Had this intelligence not been submitted, conducting arrest enquiries would’ve proved difficult. My colleagues and I attended the address that was within one of the intelligence logs and both males were arrested. Following their arrest, a search was conducted of the property in order to recover items relating to the two burglary offences (Police and Criminal Evidence Act 1984). During this search, I located a quantity of small, clear, plastic bags that drug dealers often use to package drugs, along with a small electric weighing scales, in a bedroom drawer. Despite finding this drug dealing paraphernalia, no drugs were located during the search. As a result of this, the males could not be arrested for any drug offences so alternatively, I submitted further intelligence regarding my findings.   </w:t>
      </w:r>
    </w:p>
    <w:p w14:paraId="673BB7C2" w14:textId="77777777" w:rsidR="003306D0" w:rsidRPr="004F7769" w:rsidRDefault="003306D0" w:rsidP="003306D0">
      <w:r>
        <w:t xml:space="preserve">The submission of this intelligence, along which several other submissions, lead to the arrest of the suspects for drug offences, in relation to a separate investigation. Whilst investigating previous complex investigations, I haven’t kept up to date with the </w:t>
      </w:r>
      <w:proofErr w:type="spellStart"/>
      <w:r>
        <w:t>ongoings</w:t>
      </w:r>
      <w:proofErr w:type="spellEnd"/>
      <w:r>
        <w:t xml:space="preserve"> of the suspects, and just focused on completing specific investigation actions. However, I have learnt lessons from previous investigations and therefore, when I re-interviewed the suspects following further evidence becoming available for the burglary investigations, I used their arrest for drug offences as evidence of their bad character (Crown Prosecution Service, 2019). I did this in order to showcase their behaviour and add further corroboration to the male’s account, that he bought drugs from them, for which he owed them money for and in order to recover the money, the pair organised and carried out the two burglaries. </w:t>
      </w:r>
    </w:p>
    <w:p w14:paraId="79056DFB" w14:textId="77777777" w:rsidR="003306D0" w:rsidRDefault="003306D0" w:rsidP="003306D0">
      <w:r>
        <w:t>From this investigation alone, it is clear how intelligence can play a crucial role in policing. The 3x5x2 process allows for all gathered information to be evaluated and converted into intelligence, which is assessed in order for it to be determined how reliable it is and how its dissemination is handled. This intelligence can then be acted on by the Police and very often lead to successful convictions. Ongoing and frequently submitted intelligence is vital when developing the bigger picture of illegal activity and can be the final piece of an investigation-puzzle. This particular investigation was no different and was aided by intelligence submitted, both prior to the incident and after it took place, regarding the drug dealing activity of the suspects.</w:t>
      </w:r>
    </w:p>
    <w:p w14:paraId="60593496" w14:textId="77777777" w:rsidR="003306D0" w:rsidRDefault="003306D0" w:rsidP="003306D0"/>
    <w:p w14:paraId="594348D0" w14:textId="77777777" w:rsidR="003306D0" w:rsidRPr="00896B7E" w:rsidRDefault="003306D0" w:rsidP="003306D0">
      <w:pPr>
        <w:rPr>
          <w:b/>
          <w:bCs/>
        </w:rPr>
      </w:pPr>
      <w:r>
        <w:rPr>
          <w:b/>
          <w:bCs/>
        </w:rPr>
        <w:t>WORD COUNT: 1767</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81A1426" w:rsidR="00025650" w:rsidRDefault="00025650" w:rsidP="00340E9A">
      <w:pPr>
        <w:ind w:right="237"/>
        <w:jc w:val="both"/>
        <w:rPr>
          <w:sz w:val="24"/>
          <w:szCs w:val="24"/>
        </w:rPr>
      </w:pPr>
    </w:p>
    <w:p w14:paraId="72D264E0" w14:textId="77777777" w:rsidR="003306D0" w:rsidRDefault="003306D0" w:rsidP="003306D0">
      <w:r>
        <w:t>The impact of the internet and the growth of digital technologies in the modern day and has many benefits which has seen most people on the planet having access to it every day. Whilst the benefits of digital technology are widely recognised, with so many people using the internet on a regular basis, it has brought the introduction of a new wave of criminality. In this essay I have identified an incident that I attended which involved the use of digital technology in order for the offence to be committed, before explaining the immediate action that I took whilst at the scene in order to reduce the risk of harm to the victim and ensure she was appropriately safeguarded. Throughout the essay I will highlight and detail those people who are most vulnerable, and at risk of this type of incident.</w:t>
      </w:r>
    </w:p>
    <w:p w14:paraId="0C74E97A" w14:textId="77777777" w:rsidR="003306D0" w:rsidRDefault="003306D0" w:rsidP="003306D0">
      <w:r>
        <w:t xml:space="preserve">I attended an incident following a report from a female stating that her daughter had received a picture, sent to her mobile phone, of a male’s genitals. Prior to attending the address, I examined the call log for the details and conducted checks on the reporting person’s daughter, using the Police systems available to me, and found out that she was 13 years old at the time. Upon gaining this information, I </w:t>
      </w:r>
      <w:r w:rsidRPr="000C39DD">
        <w:t xml:space="preserve">immediately knew that I would not be able to obtain a formal statement off her as she would have to undergo the Achieving Best Evidence (ABE) process, due </w:t>
      </w:r>
      <w:r>
        <w:t xml:space="preserve">to her age (Ministry of </w:t>
      </w:r>
      <w:r w:rsidRPr="00DA7AEA">
        <w:t xml:space="preserve">Justice, 2011); meaning I would have to complete a Witness Interview Booklet (WIB) with her. Upon arriving at the address, the victim informed me that a </w:t>
      </w:r>
      <w:proofErr w:type="gramStart"/>
      <w:r w:rsidRPr="00DA7AEA">
        <w:t>19 year old</w:t>
      </w:r>
      <w:proofErr w:type="gramEnd"/>
      <w:r w:rsidRPr="00DA7AEA">
        <w:t xml:space="preserve"> male, that she knows, had sent her a photograph of his penis on Snapchat, which was accompanied by a message which she believed </w:t>
      </w:r>
      <w:r w:rsidRPr="00D4516A">
        <w:t xml:space="preserve">was him threatening to rape her. First thing I did whilst at the address was to enquire with the victim, if she still had the photograph and message on her phone; unfortunately, due to the nature of the app they were sent on, she didn’t manage to take a screenshot in time and therefore wasn’t able to evidence it. Despite this, I took an initial account from the victim, as well as a statement from her mother. I explained to both the victim and her mother that as a result of this incident, I would be submitting a Public Protection Notice when I return </w:t>
      </w:r>
      <w:r>
        <w:t xml:space="preserve">to the station, in order to inform Social Services of the incident and for them for offer the family support. Following leaving the address, I arrested the male and seized his phone, in order to conduct checks as to whether he has the photo that the victim described. The suspect was </w:t>
      </w:r>
      <w:r w:rsidRPr="006921A1">
        <w:t>interviewed and bailed with conditions not to contact the victim.</w:t>
      </w:r>
    </w:p>
    <w:p w14:paraId="7C2DA9C9" w14:textId="77777777" w:rsidR="003306D0" w:rsidRPr="009F18C2" w:rsidRDefault="003306D0" w:rsidP="003306D0">
      <w:r>
        <w:t xml:space="preserve">During this incident, the first thing I did was check the age of the victim. I did this because knowing how old the victim was would enable me to be able to plan and know how best to deal with the incident. In this particular incident the victim was 13 years old. This meant that she was considered vulnerable (Youth Justice and Criminal Evidence Act 199), and therefore unlike a victim who is over 18, she would </w:t>
      </w:r>
      <w:r w:rsidRPr="00085D04">
        <w:t>not be able to provide a formal statement; she would have to be interviewed in compliance with the Achieving Best Evidence (ABE) process</w:t>
      </w:r>
      <w:r>
        <w:t xml:space="preserve">. The ABE guidelines stipulate that a victim that has been identified as vulnerable, for whatever reason, are to provide their evidence via a video interview (NPCC, 2015). The ABE process is conducted to ensure that a vulnerable victim feels comfortable and can provide the best evidence possible (NPCC, 2015). Whilst I was aware that I wouldn’t be able to take an account from the victim that could be used as her evidence in chief, I ensured I asked her basic, open, non-leading questions, in order to gain an initial account from her, and I recorded her words exactly as she said them in a Witness Interview Booklet (Bryant and Bryant, 2019, p. 580). </w:t>
      </w:r>
    </w:p>
    <w:p w14:paraId="7ED77442" w14:textId="77777777" w:rsidR="003306D0" w:rsidRDefault="003306D0" w:rsidP="003306D0">
      <w:r w:rsidRPr="009F18C2">
        <w:t>Whilst speaking to the victim, she made me aware that a male, she knows to be 19 years old, sent her a photograph of his penis</w:t>
      </w:r>
      <w:r>
        <w:t>,</w:t>
      </w:r>
      <w:r w:rsidRPr="009F18C2">
        <w:t xml:space="preserve"> along with a message which she believed was him threatening to rape </w:t>
      </w:r>
      <w:r w:rsidRPr="009F18C2">
        <w:lastRenderedPageBreak/>
        <w:t>her.</w:t>
      </w:r>
      <w:r>
        <w:t xml:space="preserve"> Upon hearing that the male had sent a photo of his penis to the </w:t>
      </w:r>
      <w:proofErr w:type="gramStart"/>
      <w:r>
        <w:t>13 year old</w:t>
      </w:r>
      <w:proofErr w:type="gramEnd"/>
      <w:r>
        <w:t xml:space="preserve"> victim, along with the accompanying message, I immediately knew that an offence of “Sexual Communication With a Child” had been committed (Serious Crime Act 2015). As previously mentioned, the suspect used Snapchat as the means of sending the photo and message. Snapchat is an app which allows for photos, videos, and messages to be sent between users with the sent multimedia disappearing after a set amount of time (Tillman, 2019). This particular feature of the app meant that the victim didn’t have enough time to take a screenshot of the photo before it became impossible for her to access again, and as a result there was no physical evidence of the photos or message being sent. In an attempt to gain this evidence, I arrested the male and seized his phone under section 19 PACE (Police and Criminal Evidence Act 1984), in order to conduct checks to enquire whether he has the photo that the victim described saved on it. Another benefit of arresting the suspect was; following his interview in custody, the male was bailed with conditions not to contact the victim by any means and not to attend her home address. This allowed me to further safeguard the victim by making sure that she receives no further contact from the male.</w:t>
      </w:r>
    </w:p>
    <w:p w14:paraId="2A940C14" w14:textId="77777777" w:rsidR="003306D0" w:rsidRPr="009F18C2" w:rsidRDefault="003306D0" w:rsidP="003306D0">
      <w:r>
        <w:t>As the use of the internet grows, police are seeing more and more crimes being reported in relation to digital technologies, in particular on social media; and when you consider over 4.5 billion people world-wide have daily access to the internet (Dennis and Khan, 2019), it is no great surprise. A large proportion of those that use the internet are children, with over 70% of children in the UK aged 12-15 having use of social media (House of Commons, 2019); nearly 60% of these children having access to Snapchat (</w:t>
      </w:r>
      <w:r w:rsidRPr="001362BD">
        <w:t>Statista Research Department</w:t>
      </w:r>
      <w:r>
        <w:t>, 2021). This means that children are very much vulnerable and at risk of being the victim of this type of incident.</w:t>
      </w:r>
    </w:p>
    <w:p w14:paraId="0CA017BC" w14:textId="77777777" w:rsidR="003306D0" w:rsidRDefault="003306D0" w:rsidP="003306D0">
      <w:r>
        <w:t>When a child is involved in a sexual offence, the incident is usually dealt with by a specially trained officer that works within a department called Public Protection Unit (PPU) (</w:t>
      </w:r>
      <w:r w:rsidRPr="00012237">
        <w:t>West Yorkshire Police</w:t>
      </w:r>
      <w:r>
        <w:t xml:space="preserve">, 2020). I spoke with PPU and made them aware of this incident, however, because the suspect wasn’t a family member, they stated that I was to remain as the Officer in Case (OIC). Due to them being specifically trained in child sexual cases, I believed that PPU would be the best and most appropriate officers to deal with this incident and be able to safeguard and support the victim better than myself who’s on response. </w:t>
      </w:r>
    </w:p>
    <w:p w14:paraId="74BB512C" w14:textId="77777777" w:rsidR="003306D0" w:rsidRDefault="003306D0" w:rsidP="003306D0">
      <w:r>
        <w:t xml:space="preserve">Another safeguarding measure I put in place for the victim was the submission of a PPN to social services. Section 11 (Children Act 2004) defines that police are legally responsible for safeguarding children and there is a major focus on agencies working together in order to provide the best support for children (Bryant and Bryant, 2019, pp. 273). When police attend an incident that involves a child, in any form, the attending officers complete a Public Protection Notice (PPN); this details the incident and allows them to highlight any risks or concerns they have for the children. Once completed, the PPN’s are then shared with partner agencies, such as Social Services, in order for partner agencies to work together and assess the risk posed to the </w:t>
      </w:r>
      <w:proofErr w:type="gramStart"/>
      <w:r>
        <w:t>children, and</w:t>
      </w:r>
      <w:proofErr w:type="gramEnd"/>
      <w:r>
        <w:t xml:space="preserve"> take the appropriate action in order to protect and safeguard them (</w:t>
      </w:r>
      <w:r w:rsidRPr="005D6865">
        <w:t>Hampshire Constabulary</w:t>
      </w:r>
      <w:r>
        <w:t>, 2018). I did this and shared the details with local Social Services, who contacted the victim and her family to offer them further support.</w:t>
      </w:r>
    </w:p>
    <w:p w14:paraId="512608EF" w14:textId="77777777" w:rsidR="003306D0" w:rsidRDefault="003306D0" w:rsidP="003306D0">
      <w:r>
        <w:t xml:space="preserve">It is clear that the huge number of children with access to the internet and social media puts them at risk of incidents of this nature. Nobody wants any child to experience what this victim did; however, when they are, it is my job as a Police Officer to protect them to the best of my ability. Various things, such as submitting a Public Protection Notice, and issuing the suspect with conditions not to contact her following his release from custody enabled me to take the most appropriate and necessary actions to safeguard the victim and reduce the threat and risk of harm caused, as well as any future harm that she could potentially suffer. Upon reflecting on this incident, I believe I did everything I could to deal with the incident, as well as safeguard the victim as comprehensively as possible. </w:t>
      </w:r>
    </w:p>
    <w:p w14:paraId="3B318DB8" w14:textId="77777777" w:rsidR="003306D0" w:rsidRPr="00601ED6" w:rsidRDefault="003306D0" w:rsidP="003306D0">
      <w:pPr>
        <w:rPr>
          <w:b/>
          <w:bCs/>
        </w:rPr>
      </w:pPr>
      <w:r>
        <w:rPr>
          <w:b/>
          <w:bCs/>
        </w:rPr>
        <w:t>WORD COUNT: 1473</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A2A42B5"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proofErr w:type="spellStart"/>
      <w:proofErr w:type="gramStart"/>
      <w:r w:rsidR="006A2D18">
        <w:rPr>
          <w:rStyle w:val="normaltextrun"/>
          <w:rFonts w:eastAsia="Arial"/>
          <w:color w:val="000000" w:themeColor="text1"/>
          <w:sz w:val="24"/>
          <w:szCs w:val="24"/>
        </w:rPr>
        <w:t>L.Toomey</w:t>
      </w:r>
      <w:proofErr w:type="spellEnd"/>
      <w:proofErr w:type="gramEnd"/>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7A7AAD70"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6A2D18">
        <w:rPr>
          <w:rStyle w:val="normaltextrun"/>
          <w:rFonts w:eastAsia="Arial"/>
          <w:color w:val="000000" w:themeColor="text1"/>
          <w:sz w:val="24"/>
          <w:szCs w:val="24"/>
        </w:rPr>
        <w:t>29/11/2021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3E8646A6" w14:textId="77777777" w:rsidR="00183754" w:rsidRDefault="00183754" w:rsidP="00183754">
      <w:pPr>
        <w:pStyle w:val="NormalWeb"/>
        <w:spacing w:before="0" w:beforeAutospacing="0" w:after="240" w:afterAutospacing="0" w:line="360" w:lineRule="auto"/>
        <w:rPr>
          <w:sz w:val="36"/>
          <w:szCs w:val="36"/>
        </w:rPr>
      </w:pPr>
      <w:r>
        <w:rPr>
          <w:sz w:val="36"/>
          <w:szCs w:val="36"/>
        </w:rPr>
        <w:t>Reference list</w:t>
      </w:r>
    </w:p>
    <w:p w14:paraId="405120A7" w14:textId="77777777" w:rsidR="00183754" w:rsidRDefault="00183754" w:rsidP="00183754">
      <w:pPr>
        <w:pStyle w:val="NormalWeb"/>
        <w:spacing w:before="0" w:beforeAutospacing="0" w:after="240" w:afterAutospacing="0" w:line="360" w:lineRule="auto"/>
      </w:pPr>
      <w:r>
        <w:t xml:space="preserve">Baldwin, S. (2006). </w:t>
      </w:r>
      <w:r>
        <w:rPr>
          <w:i/>
          <w:iCs/>
        </w:rPr>
        <w:t>Organisational Justice</w:t>
      </w:r>
      <w:r>
        <w:t>. [online] Available at: https://www.employment-studies.co.uk/system/files/resources/files/mp73.pdf [Accessed 9 Oct. 2021].</w:t>
      </w:r>
    </w:p>
    <w:p w14:paraId="035E720D" w14:textId="77777777" w:rsidR="00183754" w:rsidRDefault="00183754" w:rsidP="00183754">
      <w:pPr>
        <w:pStyle w:val="NormalWeb"/>
        <w:spacing w:before="0" w:beforeAutospacing="0" w:after="240" w:afterAutospacing="0" w:line="360" w:lineRule="auto"/>
      </w:pPr>
      <w:proofErr w:type="spellStart"/>
      <w:r>
        <w:t>Beglau</w:t>
      </w:r>
      <w:proofErr w:type="spellEnd"/>
      <w:r>
        <w:t xml:space="preserve">, D. (2017). </w:t>
      </w:r>
      <w:r>
        <w:rPr>
          <w:i/>
          <w:iCs/>
        </w:rPr>
        <w:t>The Use and Implementation of Body-Worn Cameras in Policing</w:t>
      </w:r>
      <w:r>
        <w:t>. [online] Available at: https://pdxscholar.library.pdx.edu/cgi/viewcontent.cgi?article=1447&amp;context=honorstheses [Accessed 15 Oct. 2021].</w:t>
      </w:r>
    </w:p>
    <w:p w14:paraId="594A05DB" w14:textId="77777777" w:rsidR="00183754" w:rsidRDefault="00183754" w:rsidP="00183754">
      <w:pPr>
        <w:pStyle w:val="NormalWeb"/>
        <w:spacing w:before="0" w:beforeAutospacing="0" w:after="240" w:afterAutospacing="0" w:line="360" w:lineRule="auto"/>
      </w:pPr>
      <w:r>
        <w:lastRenderedPageBreak/>
        <w:t xml:space="preserve">Britannica (2020). Diminished Responsibility | Law | Britannica. In: </w:t>
      </w:r>
      <w:proofErr w:type="spellStart"/>
      <w:r>
        <w:rPr>
          <w:i/>
          <w:iCs/>
        </w:rPr>
        <w:t>Encyclopædia</w:t>
      </w:r>
      <w:proofErr w:type="spellEnd"/>
      <w:r>
        <w:rPr>
          <w:i/>
          <w:iCs/>
        </w:rPr>
        <w:t xml:space="preserve"> Britannica</w:t>
      </w:r>
      <w:r>
        <w:t>. [online] Available at: https://www.britannica.com/topic/diminished-responsibility [Accessed 22 Nov. 2021].</w:t>
      </w:r>
    </w:p>
    <w:p w14:paraId="07CF980D" w14:textId="77777777" w:rsidR="00183754" w:rsidRDefault="00183754" w:rsidP="00183754">
      <w:pPr>
        <w:pStyle w:val="NormalWeb"/>
        <w:spacing w:before="0" w:beforeAutospacing="0" w:after="240" w:afterAutospacing="0" w:line="360" w:lineRule="auto"/>
      </w:pPr>
      <w:r>
        <w:t xml:space="preserve">Bryant, R. and Bryant, S. (2019). </w:t>
      </w:r>
      <w:r>
        <w:rPr>
          <w:i/>
          <w:iCs/>
        </w:rPr>
        <w:t>Blackstone’s Handbook for Policing Students 2020</w:t>
      </w:r>
      <w:r>
        <w:t>. 14th ed. Oxford: Oxford University Press, pp.580, 273, 522–538, 160–161, 79–80.</w:t>
      </w:r>
    </w:p>
    <w:p w14:paraId="4208D701" w14:textId="77777777" w:rsidR="00183754" w:rsidRDefault="00183754" w:rsidP="00183754">
      <w:pPr>
        <w:pStyle w:val="NormalWeb"/>
        <w:spacing w:before="0" w:beforeAutospacing="0" w:after="240" w:afterAutospacing="0" w:line="360" w:lineRule="auto"/>
      </w:pPr>
      <w:r>
        <w:rPr>
          <w:i/>
          <w:iCs/>
        </w:rPr>
        <w:t>Children Act 2004</w:t>
      </w:r>
      <w:r>
        <w:t>.11 [online] Available at: https://www.legislation.gov.uk/ukpga/2004/31/section/11 [Accessed 14 Nov. 2021].</w:t>
      </w:r>
    </w:p>
    <w:p w14:paraId="682D289D" w14:textId="77777777" w:rsidR="00183754" w:rsidRDefault="00183754" w:rsidP="00183754">
      <w:pPr>
        <w:pStyle w:val="NormalWeb"/>
        <w:spacing w:before="0" w:beforeAutospacing="0" w:after="240" w:afterAutospacing="0" w:line="360" w:lineRule="auto"/>
      </w:pPr>
      <w:r>
        <w:t xml:space="preserve">College of Policing (2013). </w:t>
      </w:r>
      <w:r>
        <w:rPr>
          <w:i/>
          <w:iCs/>
        </w:rPr>
        <w:t>Information Management</w:t>
      </w:r>
      <w:r>
        <w:t>. [online] www.app.college.police.uk. Available at: https://www.app.college.police.uk/app-content/information-management/ [Accessed 17 Nov. 2021].</w:t>
      </w:r>
    </w:p>
    <w:p w14:paraId="277BF46A" w14:textId="77777777" w:rsidR="00183754" w:rsidRDefault="00183754" w:rsidP="00183754">
      <w:pPr>
        <w:pStyle w:val="NormalWeb"/>
        <w:spacing w:before="0" w:beforeAutospacing="0" w:after="240" w:afterAutospacing="0" w:line="360" w:lineRule="auto"/>
      </w:pPr>
      <w:r>
        <w:t xml:space="preserve">College of Policing (2015a). </w:t>
      </w:r>
      <w:r>
        <w:rPr>
          <w:i/>
          <w:iCs/>
        </w:rPr>
        <w:t>Intelligence Report</w:t>
      </w:r>
      <w:r>
        <w:t>. [online] www.app.college.police.uk. Available at: https://www.app.college.police.uk/app-content/intelligence-management/intelligence-report/#collection [Accessed 17 Nov. 2021].</w:t>
      </w:r>
    </w:p>
    <w:p w14:paraId="595C5721" w14:textId="77777777" w:rsidR="00183754" w:rsidRDefault="00183754" w:rsidP="00183754">
      <w:pPr>
        <w:pStyle w:val="NormalWeb"/>
        <w:spacing w:before="0" w:beforeAutospacing="0" w:after="240" w:afterAutospacing="0" w:line="360" w:lineRule="auto"/>
      </w:pPr>
      <w:r>
        <w:t xml:space="preserve">College of Policing (2015b). </w:t>
      </w:r>
      <w:r>
        <w:rPr>
          <w:i/>
          <w:iCs/>
        </w:rPr>
        <w:t>Partnership Working and multi-agency Responses</w:t>
      </w:r>
      <w:r>
        <w:t>. [online] Police.uk. Available at: https://www.app.college.police.uk/app-content/major-investigation-and-public-protection/domestic-abuse/partnership-working-and-multi-agency-responses/#partnership-working-and-information-sharing [Accessed 22 Nov. 2021].</w:t>
      </w:r>
    </w:p>
    <w:p w14:paraId="468777E9" w14:textId="77777777" w:rsidR="00183754" w:rsidRDefault="00183754" w:rsidP="00183754">
      <w:pPr>
        <w:pStyle w:val="NormalWeb"/>
        <w:spacing w:before="0" w:beforeAutospacing="0" w:after="240" w:afterAutospacing="0" w:line="360" w:lineRule="auto"/>
      </w:pPr>
      <w:proofErr w:type="spellStart"/>
      <w:r>
        <w:t>CrimeStoppers</w:t>
      </w:r>
      <w:proofErr w:type="spellEnd"/>
      <w:r>
        <w:t xml:space="preserve"> (2021). </w:t>
      </w:r>
      <w:r>
        <w:rPr>
          <w:i/>
          <w:iCs/>
        </w:rPr>
        <w:t>Domestic Abuse</w:t>
      </w:r>
      <w:r>
        <w:t>. [online] Crimestoppers-uk.org. Available at: https://crimestoppers-uk.org/keeping-safe/personal-safety/domestic-abuse?gclid=EAIaIQobChMInbnax7a89AIVzuF3Ch0s7gP5EAAYAiAAEgLQcfD_BwE [Accessed 29 Nov. 2021].</w:t>
      </w:r>
    </w:p>
    <w:p w14:paraId="56100733" w14:textId="77777777" w:rsidR="00183754" w:rsidRDefault="00183754" w:rsidP="00183754">
      <w:pPr>
        <w:pStyle w:val="NormalWeb"/>
        <w:spacing w:before="0" w:beforeAutospacing="0" w:after="240" w:afterAutospacing="0" w:line="360" w:lineRule="auto"/>
      </w:pPr>
      <w:r>
        <w:rPr>
          <w:i/>
          <w:iCs/>
        </w:rPr>
        <w:t>Criminal Damage Act 1971</w:t>
      </w:r>
      <w:r>
        <w:t>.1 [online] Available at: https://www.legislation.gov.uk/ukpga/1971/48/section/1 [Accessed 22 Nov. 2021].</w:t>
      </w:r>
    </w:p>
    <w:p w14:paraId="3FF11C66" w14:textId="77777777" w:rsidR="00183754" w:rsidRDefault="00183754" w:rsidP="00183754">
      <w:pPr>
        <w:pStyle w:val="NormalWeb"/>
        <w:spacing w:before="0" w:beforeAutospacing="0" w:after="240" w:afterAutospacing="0" w:line="360" w:lineRule="auto"/>
      </w:pPr>
      <w:r>
        <w:t xml:space="preserve">Crown Prosecution Service (2019). </w:t>
      </w:r>
      <w:r>
        <w:rPr>
          <w:i/>
          <w:iCs/>
        </w:rPr>
        <w:t>Bad Character Evidence | the Crown Prosecution Service</w:t>
      </w:r>
      <w:r>
        <w:t>. [online] Cps.gov.uk. Available at: https://www.cps.gov.uk/legal-guidance/bad-character-evidence [Accessed 21 Nov. 2021].</w:t>
      </w:r>
    </w:p>
    <w:p w14:paraId="1FDB4BF9" w14:textId="77777777" w:rsidR="00183754" w:rsidRDefault="00183754" w:rsidP="00183754">
      <w:pPr>
        <w:pStyle w:val="NormalWeb"/>
        <w:spacing w:before="0" w:beforeAutospacing="0" w:after="240" w:afterAutospacing="0" w:line="360" w:lineRule="auto"/>
      </w:pPr>
      <w:r>
        <w:lastRenderedPageBreak/>
        <w:t xml:space="preserve">Dash Risk Checklist (2016). </w:t>
      </w:r>
      <w:r>
        <w:rPr>
          <w:i/>
          <w:iCs/>
        </w:rPr>
        <w:t>Dash Risk Checklist – Saving Lives through Early Risk identification, Intervention and Prevention</w:t>
      </w:r>
      <w:r>
        <w:t>. [online] Dashriskchecklist.co.uk. Available at: https://www.dashriskchecklist.co.uk/ [Accessed 29 Nov. 2021].</w:t>
      </w:r>
    </w:p>
    <w:p w14:paraId="3AFE5DE8" w14:textId="77777777" w:rsidR="00183754" w:rsidRDefault="00183754" w:rsidP="00183754">
      <w:pPr>
        <w:pStyle w:val="NormalWeb"/>
        <w:spacing w:before="0" w:beforeAutospacing="0" w:after="240" w:afterAutospacing="0" w:line="360" w:lineRule="auto"/>
      </w:pPr>
      <w:r>
        <w:t xml:space="preserve">Dennis, M.A. and Kahn, R. (2019). Internet | Description, History, &amp; Facts. In: </w:t>
      </w:r>
      <w:proofErr w:type="spellStart"/>
      <w:r>
        <w:rPr>
          <w:i/>
          <w:iCs/>
        </w:rPr>
        <w:t>Encyclopædia</w:t>
      </w:r>
      <w:proofErr w:type="spellEnd"/>
      <w:r>
        <w:rPr>
          <w:i/>
          <w:iCs/>
        </w:rPr>
        <w:t xml:space="preserve"> Britannica</w:t>
      </w:r>
      <w:r>
        <w:t>. [online] Available at: https://www.britannica.com/technology/Internet [Accessed 14 Nov. 2021].</w:t>
      </w:r>
    </w:p>
    <w:p w14:paraId="4B656DF0" w14:textId="77777777" w:rsidR="00183754" w:rsidRDefault="00183754" w:rsidP="00183754">
      <w:pPr>
        <w:pStyle w:val="NormalWeb"/>
        <w:spacing w:before="0" w:beforeAutospacing="0" w:after="240" w:afterAutospacing="0" w:line="360" w:lineRule="auto"/>
      </w:pPr>
      <w:r>
        <w:t xml:space="preserve">Dodd, V. (2020). </w:t>
      </w:r>
      <w:r>
        <w:rPr>
          <w:i/>
          <w:iCs/>
        </w:rPr>
        <w:t>Black People Nine Times More Likely to Face Stop and Search than White People</w:t>
      </w:r>
      <w:r>
        <w:t>. [online] The Guardian. Available at: https://www.theguardian.com/uk-news/2020/oct/27/black-people-nine-times-more-likely-to-face-stop-and-search-than-white-people [Accessed 15 Oct. 2021].</w:t>
      </w:r>
    </w:p>
    <w:p w14:paraId="0D37762B" w14:textId="77777777" w:rsidR="00183754" w:rsidRDefault="00183754" w:rsidP="00183754">
      <w:pPr>
        <w:pStyle w:val="NormalWeb"/>
        <w:spacing w:before="0" w:beforeAutospacing="0" w:after="240" w:afterAutospacing="0" w:line="360" w:lineRule="auto"/>
      </w:pPr>
      <w:r>
        <w:t>DuBois-</w:t>
      </w:r>
      <w:proofErr w:type="spellStart"/>
      <w:r>
        <w:t>Maahs</w:t>
      </w:r>
      <w:proofErr w:type="spellEnd"/>
      <w:r>
        <w:t xml:space="preserve">, J. (2020). </w:t>
      </w:r>
      <w:r>
        <w:rPr>
          <w:i/>
          <w:iCs/>
        </w:rPr>
        <w:t>Understanding the Cycle of Abuse</w:t>
      </w:r>
      <w:r>
        <w:t xml:space="preserve">. [online] </w:t>
      </w:r>
      <w:proofErr w:type="spellStart"/>
      <w:r>
        <w:t>Talkspace</w:t>
      </w:r>
      <w:proofErr w:type="spellEnd"/>
      <w:r>
        <w:t>. Available at: https://www.talkspace.com/blog/cycle-of-abuse-domestic-violence/ [Accessed 29 Nov. 2021].</w:t>
      </w:r>
    </w:p>
    <w:p w14:paraId="23BD0B44" w14:textId="77777777" w:rsidR="00183754" w:rsidRDefault="00183754" w:rsidP="00183754">
      <w:pPr>
        <w:pStyle w:val="NormalWeb"/>
        <w:spacing w:before="0" w:beforeAutospacing="0" w:after="240" w:afterAutospacing="0" w:line="360" w:lineRule="auto"/>
      </w:pPr>
      <w:proofErr w:type="spellStart"/>
      <w:r>
        <w:t>Grabarek</w:t>
      </w:r>
      <w:proofErr w:type="spellEnd"/>
      <w:r>
        <w:t xml:space="preserve">, P. (2019). </w:t>
      </w:r>
      <w:r>
        <w:rPr>
          <w:i/>
          <w:iCs/>
        </w:rPr>
        <w:t>Interpersonal Justice: Why Respect at Work Leads to a Relaxing Night</w:t>
      </w:r>
      <w:r>
        <w:t xml:space="preserve">. [online] </w:t>
      </w:r>
      <w:proofErr w:type="spellStart"/>
      <w:r>
        <w:t>Workr</w:t>
      </w:r>
      <w:proofErr w:type="spellEnd"/>
      <w:r>
        <w:t xml:space="preserve"> </w:t>
      </w:r>
      <w:proofErr w:type="spellStart"/>
      <w:r>
        <w:t>Beeing</w:t>
      </w:r>
      <w:proofErr w:type="spellEnd"/>
      <w:r>
        <w:t xml:space="preserve"> | the Science of Thriving Workplaces. Available at: https://workrbeeing.com/2019/12/09/interpersonal-justice/ [Accessed 13 Oct. 2021].</w:t>
      </w:r>
    </w:p>
    <w:p w14:paraId="2665F9A9" w14:textId="77777777" w:rsidR="00183754" w:rsidRDefault="00183754" w:rsidP="00183754">
      <w:pPr>
        <w:pStyle w:val="NormalWeb"/>
        <w:spacing w:before="0" w:beforeAutospacing="0" w:after="240" w:afterAutospacing="0" w:line="360" w:lineRule="auto"/>
      </w:pPr>
      <w:r>
        <w:t xml:space="preserve">Hampshire Constabulary (2018). </w:t>
      </w:r>
      <w:r>
        <w:rPr>
          <w:i/>
          <w:iCs/>
        </w:rPr>
        <w:t>Child at Risk - Public Protection Notice (PPN1)</w:t>
      </w:r>
      <w:r>
        <w:t>. [online] Hampshire Constabulary. Available at: https://www.hampshire.police.uk/SysSiteAssets/foi-media/hampshire-constabulary/policies/01911_v3.pdf [Accessed 14 Nov. 2021].</w:t>
      </w:r>
    </w:p>
    <w:p w14:paraId="31278696" w14:textId="77777777" w:rsidR="00183754" w:rsidRDefault="00183754" w:rsidP="00183754">
      <w:pPr>
        <w:pStyle w:val="NormalWeb"/>
        <w:spacing w:before="0" w:beforeAutospacing="0" w:after="240" w:afterAutospacing="0" w:line="360" w:lineRule="auto"/>
      </w:pPr>
      <w:r>
        <w:t xml:space="preserve">House of Commons (2019). </w:t>
      </w:r>
      <w:r>
        <w:rPr>
          <w:i/>
          <w:iCs/>
        </w:rPr>
        <w:t>Impact of Social Media and screen-use on Young People’s Health</w:t>
      </w:r>
      <w:r>
        <w:t>. [online] House of Commons. Available at: https://publications.parliament.uk/pa/cm201719/cmselect/cmsctech/822/822.pdf [Accessed 14 Nov. 2021].</w:t>
      </w:r>
    </w:p>
    <w:p w14:paraId="5462F930" w14:textId="77777777" w:rsidR="00183754" w:rsidRDefault="00183754" w:rsidP="00183754">
      <w:pPr>
        <w:pStyle w:val="NormalWeb"/>
        <w:spacing w:before="0" w:beforeAutospacing="0" w:after="240" w:afterAutospacing="0" w:line="360" w:lineRule="auto"/>
      </w:pPr>
      <w:r>
        <w:t xml:space="preserve">IDAS (2014). </w:t>
      </w:r>
      <w:r>
        <w:rPr>
          <w:i/>
          <w:iCs/>
        </w:rPr>
        <w:t>IDVA &amp; ISVA Services &amp; Support How do I get in touch? For victims of domestic abuse &amp; sexual violence IDAS</w:t>
      </w:r>
      <w:r>
        <w:t xml:space="preserve">. [online] </w:t>
      </w:r>
      <w:r>
        <w:rPr>
          <w:i/>
          <w:iCs/>
        </w:rPr>
        <w:t>www.idas.org.uk</w:t>
      </w:r>
      <w:r>
        <w:t>. Available at: https://www.idas.org.uk/wp-content/uploads/2014/11/IDAS_IDVA-ISVA_Leaflet_10_14V1.pdf [Accessed 29 Nov. 2021].</w:t>
      </w:r>
    </w:p>
    <w:p w14:paraId="73FE9853" w14:textId="77777777" w:rsidR="00183754" w:rsidRDefault="00183754" w:rsidP="00183754">
      <w:pPr>
        <w:pStyle w:val="NormalWeb"/>
        <w:spacing w:before="0" w:beforeAutospacing="0" w:after="240" w:afterAutospacing="0" w:line="360" w:lineRule="auto"/>
      </w:pPr>
      <w:r>
        <w:rPr>
          <w:i/>
          <w:iCs/>
        </w:rPr>
        <w:t>Malicious Communications Act 1988</w:t>
      </w:r>
      <w:r>
        <w:t>.1 [online] Available at: https://www.legislation.gov.uk/ukpga/1988/27/section/1 [Accessed 28 Nov. 2021].</w:t>
      </w:r>
    </w:p>
    <w:p w14:paraId="0926ABF4" w14:textId="77777777" w:rsidR="00183754" w:rsidRDefault="00183754" w:rsidP="00183754">
      <w:pPr>
        <w:pStyle w:val="NormalWeb"/>
        <w:spacing w:before="0" w:beforeAutospacing="0" w:after="240" w:afterAutospacing="0" w:line="360" w:lineRule="auto"/>
      </w:pPr>
      <w:proofErr w:type="spellStart"/>
      <w:r>
        <w:lastRenderedPageBreak/>
        <w:t>Maselesele</w:t>
      </w:r>
      <w:proofErr w:type="spellEnd"/>
      <w:r>
        <w:t xml:space="preserve">, M.D. (2011). Trapped in the Cycle of Violence: </w:t>
      </w:r>
      <w:proofErr w:type="gramStart"/>
      <w:r>
        <w:t>a</w:t>
      </w:r>
      <w:proofErr w:type="gramEnd"/>
      <w:r>
        <w:t xml:space="preserve"> Phenomenological Study Describing the Stages of Coping with Domestic Violence. </w:t>
      </w:r>
      <w:r>
        <w:rPr>
          <w:i/>
          <w:iCs/>
        </w:rPr>
        <w:t>Journal of Social Sciences</w:t>
      </w:r>
      <w:r>
        <w:t>, [online] 29(1), pp.1–8. Available at: http://citeseerx.ist.psu.edu/viewdoc/download?doi=10.1.1.454.2963&amp;rep=rep1&amp;type=pdf [Accessed 16 Mar. 2020].</w:t>
      </w:r>
    </w:p>
    <w:p w14:paraId="2B9F7699" w14:textId="77777777" w:rsidR="00183754" w:rsidRDefault="00183754" w:rsidP="00183754">
      <w:pPr>
        <w:pStyle w:val="NormalWeb"/>
        <w:spacing w:before="0" w:beforeAutospacing="0" w:after="240" w:afterAutospacing="0" w:line="360" w:lineRule="auto"/>
      </w:pPr>
      <w:r>
        <w:t xml:space="preserve">Mazerolle, L., Cherney, A., </w:t>
      </w:r>
      <w:proofErr w:type="spellStart"/>
      <w:r>
        <w:t>Eggins</w:t>
      </w:r>
      <w:proofErr w:type="spellEnd"/>
      <w:r>
        <w:t xml:space="preserve">, E., Higginson, A., Hine, L. and Belton, E. (2020). PROTOCOL: Multiagency Programmes with Police as a Partner for Reducing Radicalisation to Violence. </w:t>
      </w:r>
      <w:r>
        <w:rPr>
          <w:i/>
          <w:iCs/>
        </w:rPr>
        <w:t>Campbell Systematic Reviews</w:t>
      </w:r>
      <w:r>
        <w:t>, [online] 16(3). Available at: https://eprints.qut.edu.au/205610/1/69323693.pdf [Accessed 22 Jan. 2021].</w:t>
      </w:r>
    </w:p>
    <w:p w14:paraId="1F95A5F3" w14:textId="77777777" w:rsidR="00183754" w:rsidRDefault="00183754" w:rsidP="00183754">
      <w:pPr>
        <w:pStyle w:val="NormalWeb"/>
        <w:spacing w:before="0" w:beforeAutospacing="0" w:after="240" w:afterAutospacing="0" w:line="360" w:lineRule="auto"/>
      </w:pPr>
      <w:r>
        <w:t xml:space="preserve">Mental Health Foundation (2018). </w:t>
      </w:r>
      <w:r>
        <w:rPr>
          <w:i/>
          <w:iCs/>
        </w:rPr>
        <w:t>Mental Capacity</w:t>
      </w:r>
      <w:r>
        <w:t>. [online] Mental Health Foundation. Available at: https://www.mentalhealth.org.uk/a-to-z/m/mental-capacity [Accessed 22 Nov. 2021].</w:t>
      </w:r>
    </w:p>
    <w:p w14:paraId="4B0C1100" w14:textId="77777777" w:rsidR="00183754" w:rsidRDefault="00183754" w:rsidP="00183754">
      <w:pPr>
        <w:pStyle w:val="NormalWeb"/>
        <w:spacing w:before="0" w:beforeAutospacing="0" w:after="240" w:afterAutospacing="0" w:line="360" w:lineRule="auto"/>
      </w:pPr>
      <w:r>
        <w:t xml:space="preserve">Ministry of Justice (2011). </w:t>
      </w:r>
      <w:r>
        <w:rPr>
          <w:i/>
          <w:iCs/>
        </w:rPr>
        <w:t>Achieving Best Evidence in Criminal Proceedings</w:t>
      </w:r>
      <w:r>
        <w:t xml:space="preserve">. [online] </w:t>
      </w:r>
      <w:r>
        <w:rPr>
          <w:i/>
          <w:iCs/>
        </w:rPr>
        <w:t>College of Policing</w:t>
      </w:r>
      <w:r>
        <w:t>. Ministry of Justice. Available at: https://www.cps.gov.uk/sites/default/files/documents/legal_guidance/best_evidence_in_criminal_proceedings.pdf [Accessed 10 Nov. 2021].</w:t>
      </w:r>
    </w:p>
    <w:p w14:paraId="28F50FE8" w14:textId="77777777" w:rsidR="00183754" w:rsidRDefault="00183754" w:rsidP="00183754">
      <w:pPr>
        <w:pStyle w:val="NormalWeb"/>
        <w:spacing w:before="0" w:beforeAutospacing="0" w:after="240" w:afterAutospacing="0" w:line="360" w:lineRule="auto"/>
      </w:pPr>
      <w:r>
        <w:t xml:space="preserve">National Crime Agency (2019). </w:t>
      </w:r>
      <w:r>
        <w:rPr>
          <w:i/>
          <w:iCs/>
        </w:rPr>
        <w:t>Intelligence: Enhancing the Picture of Serious Organised Crime Affecting the UK - National Crime Agency</w:t>
      </w:r>
      <w:r>
        <w:t>. [online] Nationalcrimeagency.gov.uk. Available at: https://www.nationalcrimeagency.gov.uk/what-we-do/how-we-work/intelligence-enhancing-the-picture-of-serious-organised-crime-affecting-the-uk [Accessed 17 Nov. 2021].</w:t>
      </w:r>
    </w:p>
    <w:p w14:paraId="5C700821" w14:textId="77777777" w:rsidR="00183754" w:rsidRDefault="00183754" w:rsidP="00183754">
      <w:pPr>
        <w:pStyle w:val="NormalWeb"/>
        <w:spacing w:before="0" w:beforeAutospacing="0" w:after="240" w:afterAutospacing="0" w:line="360" w:lineRule="auto"/>
      </w:pPr>
      <w:r>
        <w:t xml:space="preserve">NPCC (2015). </w:t>
      </w:r>
      <w:r>
        <w:rPr>
          <w:i/>
          <w:iCs/>
        </w:rPr>
        <w:t>Advice on the Structure of Visually Recorded Witness Interviews (3rd Edition)</w:t>
      </w:r>
      <w:r>
        <w:t xml:space="preserve">. [online] </w:t>
      </w:r>
      <w:r>
        <w:rPr>
          <w:i/>
          <w:iCs/>
        </w:rPr>
        <w:t>College of Policing</w:t>
      </w:r>
      <w:r>
        <w:t>. Available at: https://library.college.police.uk/docs/appref/NPCC-(2015)-Guidance-Visually-Recorded-Interviews%203rd%20Edition.pdf [Accessed 12 Nov. 2021].</w:t>
      </w:r>
    </w:p>
    <w:p w14:paraId="50F4B374" w14:textId="77777777" w:rsidR="00183754" w:rsidRDefault="00183754" w:rsidP="00183754">
      <w:pPr>
        <w:pStyle w:val="NormalWeb"/>
        <w:spacing w:before="0" w:beforeAutospacing="0" w:after="240" w:afterAutospacing="0" w:line="360" w:lineRule="auto"/>
      </w:pPr>
      <w:r>
        <w:t xml:space="preserve">Phoenix Domestic Abuse Services (2019). </w:t>
      </w:r>
      <w:r>
        <w:rPr>
          <w:i/>
          <w:iCs/>
        </w:rPr>
        <w:t>Domestic Violence Perpetrator Programmes (DVPP) – Phoenix Domestic Abuse Services</w:t>
      </w:r>
      <w:r>
        <w:t>. [online] Phoenix Domestic Abuse Services. Available at: https://phoenixdas.co.uk/perpetratorprogrammes/ [Accessed 29 Nov. 2021].</w:t>
      </w:r>
    </w:p>
    <w:p w14:paraId="56953E55" w14:textId="77777777" w:rsidR="00183754" w:rsidRDefault="00183754" w:rsidP="00183754">
      <w:pPr>
        <w:pStyle w:val="NormalWeb"/>
        <w:spacing w:before="0" w:beforeAutospacing="0" w:after="240" w:afterAutospacing="0" w:line="360" w:lineRule="auto"/>
      </w:pPr>
      <w:r>
        <w:rPr>
          <w:i/>
          <w:iCs/>
        </w:rPr>
        <w:lastRenderedPageBreak/>
        <w:t xml:space="preserve">Police and Criminal Evidence Act </w:t>
      </w:r>
      <w:proofErr w:type="gramStart"/>
      <w:r>
        <w:rPr>
          <w:i/>
          <w:iCs/>
        </w:rPr>
        <w:t>1984</w:t>
      </w:r>
      <w:r>
        <w:t>.[</w:t>
      </w:r>
      <w:proofErr w:type="gramEnd"/>
      <w:r>
        <w:t>online] Available at: https://www.legislation.gov.uk/ukpga/1984/60/section/19 [Accessed 14 Nov. 2021].</w:t>
      </w:r>
    </w:p>
    <w:p w14:paraId="368530E0" w14:textId="77777777" w:rsidR="00183754" w:rsidRDefault="00183754" w:rsidP="00183754">
      <w:pPr>
        <w:pStyle w:val="NormalWeb"/>
        <w:spacing w:before="0" w:beforeAutospacing="0" w:after="240" w:afterAutospacing="0" w:line="360" w:lineRule="auto"/>
      </w:pPr>
      <w:r>
        <w:rPr>
          <w:i/>
          <w:iCs/>
        </w:rPr>
        <w:t>Police and Criminal Evidence Act 1984</w:t>
      </w:r>
      <w:r>
        <w:t>.32 [online] Available at: https://www.legislation.gov.uk/ukpga/1984/60/section/32 [Accessed 17 Nov. 2021].</w:t>
      </w:r>
    </w:p>
    <w:p w14:paraId="2EB0CDBA" w14:textId="77777777" w:rsidR="00183754" w:rsidRDefault="00183754" w:rsidP="00183754">
      <w:pPr>
        <w:pStyle w:val="NormalWeb"/>
        <w:spacing w:before="0" w:beforeAutospacing="0" w:after="240" w:afterAutospacing="0" w:line="360" w:lineRule="auto"/>
      </w:pPr>
      <w:r>
        <w:t xml:space="preserve">Police Federation (n.d.). </w:t>
      </w:r>
      <w:r>
        <w:rPr>
          <w:i/>
          <w:iCs/>
        </w:rPr>
        <w:t>Constable Pay Scales</w:t>
      </w:r>
      <w:r>
        <w:t>. [online] www.polfed.org. Available at: https://www.polfed.org/resources/pay-and-morale/pay-scales/constable-pay-scales/ [Accessed 13 Oct. 2021].</w:t>
      </w:r>
    </w:p>
    <w:p w14:paraId="4FD135EE" w14:textId="77777777" w:rsidR="00183754" w:rsidRDefault="00183754" w:rsidP="00183754">
      <w:pPr>
        <w:pStyle w:val="NormalWeb"/>
        <w:spacing w:before="0" w:beforeAutospacing="0" w:after="240" w:afterAutospacing="0" w:line="360" w:lineRule="auto"/>
      </w:pPr>
      <w:r>
        <w:t xml:space="preserve">PSNI (2013). </w:t>
      </w:r>
      <w:r>
        <w:rPr>
          <w:i/>
          <w:iCs/>
        </w:rPr>
        <w:t>PSNI Manual of Policy, Procedure and Guidance on Conflict Management</w:t>
      </w:r>
      <w:r>
        <w:t xml:space="preserve">. [online] </w:t>
      </w:r>
      <w:r>
        <w:rPr>
          <w:i/>
          <w:iCs/>
        </w:rPr>
        <w:t>Police Service of Northern Ireland</w:t>
      </w:r>
      <w:r>
        <w:t>. Available at: https://www.psni.police.uk/globalassets/advice--information/our-publications/conflict-management-manual/introduction.pdf [Accessed 26 Nov. 2021].</w:t>
      </w:r>
    </w:p>
    <w:p w14:paraId="280ED1BD" w14:textId="77777777" w:rsidR="00183754" w:rsidRDefault="00183754" w:rsidP="00183754">
      <w:pPr>
        <w:pStyle w:val="NormalWeb"/>
        <w:spacing w:before="0" w:beforeAutospacing="0" w:after="240" w:afterAutospacing="0" w:line="360" w:lineRule="auto"/>
      </w:pPr>
      <w:r>
        <w:rPr>
          <w:i/>
          <w:iCs/>
        </w:rPr>
        <w:t>Public Order Act 1986</w:t>
      </w:r>
      <w:r>
        <w:t>.3 [online] Available at: https://www.legislation.gov.uk/ukpga/1986/64/section/3 [Accessed 22 Nov. 2021].</w:t>
      </w:r>
    </w:p>
    <w:p w14:paraId="5B91172D" w14:textId="77777777" w:rsidR="00183754" w:rsidRDefault="00183754" w:rsidP="00183754">
      <w:pPr>
        <w:pStyle w:val="NormalWeb"/>
        <w:spacing w:before="0" w:beforeAutospacing="0" w:after="240" w:afterAutospacing="0" w:line="360" w:lineRule="auto"/>
      </w:pPr>
      <w:r>
        <w:rPr>
          <w:i/>
          <w:iCs/>
        </w:rPr>
        <w:t>Public Order Act 1986</w:t>
      </w:r>
      <w:r>
        <w:t>.5 [online] Available at: https://www.legislation.gov.uk/ukpga/1986/64/section/5 [Accessed 22 Nov. 2021].</w:t>
      </w:r>
    </w:p>
    <w:p w14:paraId="6832F92E" w14:textId="77777777" w:rsidR="00183754" w:rsidRDefault="00183754" w:rsidP="00183754">
      <w:pPr>
        <w:pStyle w:val="NormalWeb"/>
        <w:spacing w:before="0" w:beforeAutospacing="0" w:after="240" w:afterAutospacing="0" w:line="360" w:lineRule="auto"/>
      </w:pPr>
      <w:r>
        <w:rPr>
          <w:i/>
          <w:iCs/>
        </w:rPr>
        <w:t>Public Order Act 1986</w:t>
      </w:r>
      <w:r>
        <w:t>.4 [online] Available at: https://www.legislation.gov.uk/ukpga/1986/64/section/4 [Accessed 28 Nov. 2021].</w:t>
      </w:r>
    </w:p>
    <w:p w14:paraId="068E3FC4" w14:textId="77777777" w:rsidR="00183754" w:rsidRDefault="00183754" w:rsidP="00183754">
      <w:pPr>
        <w:pStyle w:val="NormalWeb"/>
        <w:spacing w:before="0" w:beforeAutospacing="0" w:after="240" w:afterAutospacing="0" w:line="360" w:lineRule="auto"/>
      </w:pPr>
      <w:r>
        <w:t xml:space="preserve">Quinton, P., </w:t>
      </w:r>
      <w:proofErr w:type="spellStart"/>
      <w:r>
        <w:t>Myhill</w:t>
      </w:r>
      <w:proofErr w:type="spellEnd"/>
      <w:r>
        <w:t xml:space="preserve">, A., Bradford, B., </w:t>
      </w:r>
      <w:proofErr w:type="spellStart"/>
      <w:r>
        <w:t>Fildes</w:t>
      </w:r>
      <w:proofErr w:type="spellEnd"/>
      <w:r>
        <w:t xml:space="preserve">, A. and Porter, G. (2015). </w:t>
      </w:r>
      <w:r>
        <w:rPr>
          <w:i/>
          <w:iCs/>
        </w:rPr>
        <w:t>Fair Cop 2: Organisational justice, Behaviour and Ethical Policing</w:t>
      </w:r>
      <w:r>
        <w:t xml:space="preserve">. [online] </w:t>
      </w:r>
      <w:r>
        <w:rPr>
          <w:i/>
          <w:iCs/>
        </w:rPr>
        <w:t>College of Policing</w:t>
      </w:r>
      <w:r>
        <w:t>, pp.4–10. Available at: https://whatworks.college.police.uk/Research/Documents/150317_Fair_cop%202_FINAL_REPORT.pdf [Accessed 9 Oct. 2021].</w:t>
      </w:r>
    </w:p>
    <w:p w14:paraId="1A3104D1" w14:textId="77777777" w:rsidR="00183754" w:rsidRDefault="00183754" w:rsidP="00183754">
      <w:pPr>
        <w:pStyle w:val="NormalWeb"/>
        <w:spacing w:before="0" w:beforeAutospacing="0" w:after="240" w:afterAutospacing="0" w:line="360" w:lineRule="auto"/>
      </w:pPr>
      <w:proofErr w:type="spellStart"/>
      <w:r>
        <w:t>Raypole</w:t>
      </w:r>
      <w:proofErr w:type="spellEnd"/>
      <w:r>
        <w:t xml:space="preserve">, C. (2020). </w:t>
      </w:r>
      <w:r>
        <w:rPr>
          <w:i/>
          <w:iCs/>
        </w:rPr>
        <w:t>Cycle of Abuse: Understanding the 4 Parts</w:t>
      </w:r>
      <w:r>
        <w:t>. [online] Healthline. Available at: https://www.healthline.com/health/relationships/cycle-of-abuse#the-cycle [Accessed 29 Nov. 2021].</w:t>
      </w:r>
    </w:p>
    <w:p w14:paraId="65928BC2" w14:textId="77777777" w:rsidR="00183754" w:rsidRDefault="00183754" w:rsidP="00183754">
      <w:pPr>
        <w:pStyle w:val="NormalWeb"/>
        <w:spacing w:before="0" w:beforeAutospacing="0" w:after="240" w:afterAutospacing="0" w:line="360" w:lineRule="auto"/>
      </w:pPr>
      <w:r>
        <w:t xml:space="preserve">Richards, L. (2009). </w:t>
      </w:r>
      <w:r>
        <w:rPr>
          <w:i/>
          <w:iCs/>
        </w:rPr>
        <w:t>Domestic Abuse, Stalking and Harassment and Honour Based Violence (DASH, 2009) Risk Identification and Assessment and Management Model</w:t>
      </w:r>
      <w:r>
        <w:t xml:space="preserve">. [online] </w:t>
      </w:r>
      <w:r>
        <w:rPr>
          <w:i/>
          <w:iCs/>
        </w:rPr>
        <w:t>www.buckssafeguarding.org.uk</w:t>
      </w:r>
      <w:r>
        <w:t xml:space="preserve">. ACPO. Available at: </w:t>
      </w:r>
      <w:r>
        <w:lastRenderedPageBreak/>
        <w:t>https://www.buckssafeguarding.org.uk/childrenpartnership/wp-content/uploads/sites/2/2020/10/DASH-November-2015.pdf [Accessed 29 Nov. 2021].</w:t>
      </w:r>
    </w:p>
    <w:p w14:paraId="42087668" w14:textId="77777777" w:rsidR="00183754" w:rsidRDefault="00183754" w:rsidP="00183754">
      <w:pPr>
        <w:pStyle w:val="NormalWeb"/>
        <w:spacing w:before="0" w:beforeAutospacing="0" w:after="240" w:afterAutospacing="0" w:line="360" w:lineRule="auto"/>
      </w:pPr>
      <w:proofErr w:type="spellStart"/>
      <w:r>
        <w:t>SafeLives</w:t>
      </w:r>
      <w:proofErr w:type="spellEnd"/>
      <w:r>
        <w:t xml:space="preserve"> (n.d.). </w:t>
      </w:r>
      <w:r>
        <w:rPr>
          <w:i/>
          <w:iCs/>
        </w:rPr>
        <w:t xml:space="preserve">Resources for Identifying the Risk Victims Face | </w:t>
      </w:r>
      <w:proofErr w:type="spellStart"/>
      <w:r>
        <w:rPr>
          <w:i/>
          <w:iCs/>
        </w:rPr>
        <w:t>Safelives</w:t>
      </w:r>
      <w:proofErr w:type="spellEnd"/>
      <w:r>
        <w:t>. [online] safelives.org.uk. Available at: https://safelives.org.uk/practice-support/resources-identifying-risk-victims-face [Accessed 29 Nov. 2021].</w:t>
      </w:r>
    </w:p>
    <w:p w14:paraId="59B340F5" w14:textId="77777777" w:rsidR="00183754" w:rsidRDefault="00183754" w:rsidP="00183754">
      <w:pPr>
        <w:pStyle w:val="NormalWeb"/>
        <w:spacing w:before="0" w:beforeAutospacing="0" w:after="240" w:afterAutospacing="0" w:line="360" w:lineRule="auto"/>
      </w:pPr>
      <w:r>
        <w:t xml:space="preserve">Schofield, T. (2021). </w:t>
      </w:r>
      <w:r>
        <w:rPr>
          <w:i/>
          <w:iCs/>
        </w:rPr>
        <w:t>Interactional Justice in the Workplace: Definition &amp; Overview</w:t>
      </w:r>
      <w:r>
        <w:t>. [online] Study.com. Available at: https://study.com/academy/lesson/interactional-justice-in-the-workplace-definition-lesson-quiz.html [Accessed 13 Oct. 2021].</w:t>
      </w:r>
    </w:p>
    <w:p w14:paraId="4CCFD44A" w14:textId="77777777" w:rsidR="00183754" w:rsidRDefault="00183754" w:rsidP="00183754">
      <w:pPr>
        <w:pStyle w:val="NormalWeb"/>
        <w:spacing w:before="0" w:beforeAutospacing="0" w:after="240" w:afterAutospacing="0" w:line="360" w:lineRule="auto"/>
      </w:pPr>
      <w:r>
        <w:rPr>
          <w:i/>
          <w:iCs/>
        </w:rPr>
        <w:t>Serious Crime Act 2015</w:t>
      </w:r>
      <w:r>
        <w:t>.15A [online] Available at: https://www.legislation.gov.uk/ukpga/2015/9/section/67 [Accessed 12 Nov. 2021].</w:t>
      </w:r>
    </w:p>
    <w:p w14:paraId="5C0FFA31" w14:textId="77777777" w:rsidR="00183754" w:rsidRDefault="00183754" w:rsidP="00183754">
      <w:pPr>
        <w:pStyle w:val="NormalWeb"/>
        <w:spacing w:before="0" w:beforeAutospacing="0" w:after="240" w:afterAutospacing="0" w:line="360" w:lineRule="auto"/>
      </w:pPr>
      <w:r>
        <w:rPr>
          <w:i/>
          <w:iCs/>
        </w:rPr>
        <w:t>Serious Crime Act 2015</w:t>
      </w:r>
      <w:r>
        <w:t>.76 [online] Available at: https://www.legislation.gov.uk/ukpga/2015/9/section/76/enacted [Accessed 28 Nov. 2021].</w:t>
      </w:r>
    </w:p>
    <w:p w14:paraId="6BFE0570" w14:textId="77777777" w:rsidR="00183754" w:rsidRDefault="00183754" w:rsidP="00183754">
      <w:pPr>
        <w:pStyle w:val="NormalWeb"/>
        <w:spacing w:before="0" w:beforeAutospacing="0" w:after="240" w:afterAutospacing="0" w:line="360" w:lineRule="auto"/>
      </w:pPr>
      <w:r>
        <w:t xml:space="preserve">Shah, N., Anwar, S. and Irani, Z. (2016). </w:t>
      </w:r>
      <w:r>
        <w:rPr>
          <w:i/>
          <w:iCs/>
        </w:rPr>
        <w:t>The Impact of Organisational Justice on Ethical Behaviour</w:t>
      </w:r>
      <w:r>
        <w:t xml:space="preserve">. [online] </w:t>
      </w:r>
      <w:proofErr w:type="spellStart"/>
      <w:r>
        <w:t>Inderscience</w:t>
      </w:r>
      <w:proofErr w:type="spellEnd"/>
      <w:r>
        <w:t xml:space="preserve"> Publishers. Available at: https://bradscholars.brad.ac.uk/bitstream/handle/10454/14120/Irani_IJBIR.pdf?sequence=2&amp;isAllowed=y [Accessed 9 Oct. 2021].</w:t>
      </w:r>
    </w:p>
    <w:p w14:paraId="0B237926" w14:textId="77777777" w:rsidR="00183754" w:rsidRDefault="00183754" w:rsidP="00183754">
      <w:pPr>
        <w:pStyle w:val="NormalWeb"/>
        <w:spacing w:before="0" w:beforeAutospacing="0" w:after="240" w:afterAutospacing="0" w:line="360" w:lineRule="auto"/>
      </w:pPr>
      <w:r>
        <w:t xml:space="preserve">Statista Research Department (2021). </w:t>
      </w:r>
      <w:r>
        <w:rPr>
          <w:i/>
          <w:iCs/>
        </w:rPr>
        <w:t>Social Media Usage among Children UK 2020</w:t>
      </w:r>
      <w:r>
        <w:t>. [online] Statista. Available at: https://www.statista.com/statistics/415138/social-media-usage-among-children-uk/#:~:text=From%2080%20percent%20in%202012 [Accessed 14 Nov. 2021].</w:t>
      </w:r>
    </w:p>
    <w:p w14:paraId="6AEB6A2A" w14:textId="77777777" w:rsidR="00183754" w:rsidRDefault="00183754" w:rsidP="00183754">
      <w:pPr>
        <w:pStyle w:val="NormalWeb"/>
        <w:spacing w:before="0" w:beforeAutospacing="0" w:after="240" w:afterAutospacing="0" w:line="360" w:lineRule="auto"/>
      </w:pPr>
      <w:proofErr w:type="spellStart"/>
      <w:r>
        <w:t>Stecher</w:t>
      </w:r>
      <w:proofErr w:type="spellEnd"/>
      <w:r>
        <w:t xml:space="preserve">, M. and </w:t>
      </w:r>
      <w:proofErr w:type="spellStart"/>
      <w:r>
        <w:t>Rosse</w:t>
      </w:r>
      <w:proofErr w:type="spellEnd"/>
      <w:r>
        <w:t xml:space="preserve">, J. (2005). The Distributive Side of Interactional Justice: </w:t>
      </w:r>
      <w:proofErr w:type="gramStart"/>
      <w:r>
        <w:t>the</w:t>
      </w:r>
      <w:proofErr w:type="gramEnd"/>
      <w:r>
        <w:t xml:space="preserve"> Effects of Interpersonal Treatment on Emotional Arousal. </w:t>
      </w:r>
      <w:r>
        <w:rPr>
          <w:i/>
          <w:iCs/>
        </w:rPr>
        <w:t>XVII Number</w:t>
      </w:r>
      <w:r>
        <w:t>, [online] 2(17), pp.229–246. Available at: https://leeds-faculty.colorado.edu/Rosse/Research/Stecher_Rosse05.pdf [Accessed 13 Oct. 2021].</w:t>
      </w:r>
    </w:p>
    <w:p w14:paraId="6454B269" w14:textId="77777777" w:rsidR="00183754" w:rsidRDefault="00183754" w:rsidP="00183754">
      <w:pPr>
        <w:pStyle w:val="NormalWeb"/>
        <w:spacing w:before="0" w:beforeAutospacing="0" w:after="240" w:afterAutospacing="0" w:line="360" w:lineRule="auto"/>
      </w:pPr>
      <w:r>
        <w:rPr>
          <w:i/>
          <w:iCs/>
        </w:rPr>
        <w:t xml:space="preserve">Theft Act </w:t>
      </w:r>
      <w:proofErr w:type="gramStart"/>
      <w:r>
        <w:rPr>
          <w:i/>
          <w:iCs/>
        </w:rPr>
        <w:t>1968</w:t>
      </w:r>
      <w:r>
        <w:t>.[</w:t>
      </w:r>
      <w:proofErr w:type="gramEnd"/>
      <w:r>
        <w:t>online] Available at: https://www.legislation.gov.uk/ukpga/1968/60/section/9 [Accessed 17 Nov. 2021].</w:t>
      </w:r>
    </w:p>
    <w:p w14:paraId="204D4861" w14:textId="77777777" w:rsidR="00183754" w:rsidRDefault="00183754" w:rsidP="00183754">
      <w:pPr>
        <w:pStyle w:val="NormalWeb"/>
        <w:spacing w:before="0" w:beforeAutospacing="0" w:after="240" w:afterAutospacing="0" w:line="360" w:lineRule="auto"/>
      </w:pPr>
      <w:r>
        <w:lastRenderedPageBreak/>
        <w:t xml:space="preserve">Tillman, M. (2019). </w:t>
      </w:r>
      <w:r>
        <w:rPr>
          <w:i/>
          <w:iCs/>
        </w:rPr>
        <w:t>Pocket-lint</w:t>
      </w:r>
      <w:r>
        <w:t>. [online] Pocket-lint. Available at: https://www.pocket-lint.com/apps/news/snapchat/131313-what-is-snapchat-how-does-it-work-and-what-is-it-used-for [Accessed 14 Nov. 2021].</w:t>
      </w:r>
    </w:p>
    <w:p w14:paraId="4FDE69BC" w14:textId="77777777" w:rsidR="00183754" w:rsidRDefault="00183754" w:rsidP="00183754">
      <w:pPr>
        <w:pStyle w:val="NormalWeb"/>
        <w:spacing w:before="0" w:beforeAutospacing="0" w:after="240" w:afterAutospacing="0" w:line="360" w:lineRule="auto"/>
      </w:pPr>
      <w:r>
        <w:t xml:space="preserve">West Midlands Police (n.d.). </w:t>
      </w:r>
      <w:r>
        <w:rPr>
          <w:i/>
          <w:iCs/>
        </w:rPr>
        <w:t>West Midlands Police</w:t>
      </w:r>
      <w:r>
        <w:t>. [online] West Midlands Police. Available at: https://west-midlands.police.uk/services/marac [Accessed 29 Nov. 2021].</w:t>
      </w:r>
    </w:p>
    <w:p w14:paraId="228B297D" w14:textId="77777777" w:rsidR="00183754" w:rsidRDefault="00183754" w:rsidP="00183754">
      <w:pPr>
        <w:pStyle w:val="NormalWeb"/>
        <w:spacing w:before="0" w:beforeAutospacing="0" w:after="240" w:afterAutospacing="0" w:line="360" w:lineRule="auto"/>
      </w:pPr>
      <w:r>
        <w:t xml:space="preserve">West Yorkshire Police (2020). </w:t>
      </w:r>
      <w:r>
        <w:rPr>
          <w:i/>
          <w:iCs/>
        </w:rPr>
        <w:t>Child Safeguarding &amp; Public Protection Units | West Yorkshire Police</w:t>
      </w:r>
      <w:r>
        <w:t>. [online] www.westyorkshire.police.uk. Available at: https://www.westyorkshire.police.uk/about-us/our-departments/child-safeguarding-public-protection-units/child-safeguarding-public-protection-units [Accessed 14 Nov. 2021].</w:t>
      </w:r>
    </w:p>
    <w:p w14:paraId="4FC3723B" w14:textId="77777777" w:rsidR="00183754" w:rsidRDefault="00183754" w:rsidP="00183754">
      <w:pPr>
        <w:pStyle w:val="NormalWeb"/>
        <w:spacing w:before="0" w:beforeAutospacing="0" w:after="240" w:afterAutospacing="0" w:line="360" w:lineRule="auto"/>
      </w:pPr>
      <w:r>
        <w:rPr>
          <w:i/>
          <w:iCs/>
        </w:rPr>
        <w:t>Youth Justice and Criminal Evidence Act 1999</w:t>
      </w:r>
      <w:r>
        <w:t>.16 [online] Available at: https://www.legislation.gov.uk/ukpga/1999/23/part/II [Accessed 12 Nov. 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FD4D15" w:rsidRDefault="00FD4D15">
      <w:r>
        <w:separator/>
      </w:r>
    </w:p>
  </w:endnote>
  <w:endnote w:type="continuationSeparator" w:id="0">
    <w:p w14:paraId="3C56B659" w14:textId="77777777" w:rsidR="00FD4D15" w:rsidRDefault="00FD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A0FF8" w14:textId="77777777" w:rsidR="00FD4D15" w:rsidRDefault="00FD4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D4D15" w:rsidRDefault="00FD4D1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D4D15" w:rsidRPr="00BB5EAA" w:rsidRDefault="00FD4D1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49EF1" w14:textId="77777777" w:rsidR="00FD4D15" w:rsidRDefault="00FD4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FD4D15" w:rsidRDefault="00FD4D15">
      <w:r>
        <w:separator/>
      </w:r>
    </w:p>
  </w:footnote>
  <w:footnote w:type="continuationSeparator" w:id="0">
    <w:p w14:paraId="58F5E15C" w14:textId="77777777" w:rsidR="00FD4D15" w:rsidRDefault="00FD4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7C2D5" w14:textId="77777777" w:rsidR="00FD4D15" w:rsidRDefault="00FD4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77B9A" w14:textId="77777777" w:rsidR="00FD4D15" w:rsidRDefault="00FD4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6EC08" w14:textId="77777777" w:rsidR="00FD4D15" w:rsidRDefault="00FD4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69E3FCE"/>
    <w:multiLevelType w:val="hybridMultilevel"/>
    <w:tmpl w:val="8BE440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480A73F3"/>
    <w:multiLevelType w:val="hybridMultilevel"/>
    <w:tmpl w:val="4F2CC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F53DD3"/>
    <w:multiLevelType w:val="hybridMultilevel"/>
    <w:tmpl w:val="EE40BEBE"/>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B328E"/>
    <w:multiLevelType w:val="hybridMultilevel"/>
    <w:tmpl w:val="819015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7" w15:restartNumberingAfterBreak="0">
    <w:nsid w:val="612D374B"/>
    <w:multiLevelType w:val="hybridMultilevel"/>
    <w:tmpl w:val="1DD0F8E0"/>
    <w:lvl w:ilvl="0" w:tplc="08090015">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2"/>
  </w:num>
  <w:num w:numId="5">
    <w:abstractNumId w:val="9"/>
  </w:num>
  <w:num w:numId="6">
    <w:abstractNumId w:val="5"/>
  </w:num>
  <w:num w:numId="7">
    <w:abstractNumId w:val="3"/>
  </w:num>
  <w:num w:numId="8">
    <w:abstractNumId w:val="1"/>
  </w:num>
  <w:num w:numId="9">
    <w:abstractNumId w:val="7"/>
  </w:num>
  <w:num w:numId="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631B"/>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3754"/>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242C"/>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06D0"/>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07E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23A6"/>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2D18"/>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D15"/>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14:docId w14:val="4B4DBC44"/>
  <w15:chartTrackingRefBased/>
  <w15:docId w15:val="{4ACF0499-F4C4-4CA7-81B6-617FF96BC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18375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624075420">
          <w:marLeft w:val="0"/>
          <w:marRight w:val="0"/>
          <w:marTop w:val="0"/>
          <w:marBottom w:val="0"/>
          <w:divBdr>
            <w:top w:val="none" w:sz="0" w:space="0" w:color="auto"/>
            <w:left w:val="none" w:sz="0" w:space="0" w:color="auto"/>
            <w:bottom w:val="none" w:sz="0" w:space="0" w:color="auto"/>
            <w:right w:val="none" w:sz="0" w:space="0" w:color="auto"/>
          </w:divBdr>
        </w:div>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282804799">
                  <w:marLeft w:val="0"/>
                  <w:marRight w:val="0"/>
                  <w:marTop w:val="0"/>
                  <w:marBottom w:val="0"/>
                  <w:divBdr>
                    <w:top w:val="none" w:sz="0" w:space="0" w:color="auto"/>
                    <w:left w:val="none" w:sz="0" w:space="0" w:color="auto"/>
                    <w:bottom w:val="none" w:sz="0" w:space="0" w:color="auto"/>
                    <w:right w:val="none" w:sz="0" w:space="0" w:color="auto"/>
                  </w:divBdr>
                  <w:divsChild>
                    <w:div w:id="517088909">
                      <w:marLeft w:val="0"/>
                      <w:marRight w:val="0"/>
                      <w:marTop w:val="0"/>
                      <w:marBottom w:val="0"/>
                      <w:divBdr>
                        <w:top w:val="none" w:sz="0" w:space="0" w:color="auto"/>
                        <w:left w:val="none" w:sz="0" w:space="0" w:color="auto"/>
                        <w:bottom w:val="none" w:sz="0" w:space="0" w:color="auto"/>
                        <w:right w:val="none" w:sz="0" w:space="0" w:color="auto"/>
                      </w:divBdr>
                    </w:div>
                    <w:div w:id="1088232357">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551354702">
                      <w:marLeft w:val="0"/>
                      <w:marRight w:val="0"/>
                      <w:marTop w:val="0"/>
                      <w:marBottom w:val="0"/>
                      <w:divBdr>
                        <w:top w:val="none" w:sz="0" w:space="0" w:color="auto"/>
                        <w:left w:val="none" w:sz="0" w:space="0" w:color="auto"/>
                        <w:bottom w:val="none" w:sz="0" w:space="0" w:color="auto"/>
                        <w:right w:val="none" w:sz="0" w:space="0" w:color="auto"/>
                      </w:divBdr>
                    </w:div>
                    <w:div w:id="1311522421">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99033907">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1533567855">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039235632">
                      <w:marLeft w:val="0"/>
                      <w:marRight w:val="0"/>
                      <w:marTop w:val="0"/>
                      <w:marBottom w:val="0"/>
                      <w:divBdr>
                        <w:top w:val="none" w:sz="0" w:space="0" w:color="auto"/>
                        <w:left w:val="none" w:sz="0" w:space="0" w:color="auto"/>
                        <w:bottom w:val="none" w:sz="0" w:space="0" w:color="auto"/>
                        <w:right w:val="none" w:sz="0" w:space="0" w:color="auto"/>
                      </w:divBdr>
                    </w:div>
                    <w:div w:id="1755544226">
                      <w:marLeft w:val="0"/>
                      <w:marRight w:val="0"/>
                      <w:marTop w:val="0"/>
                      <w:marBottom w:val="0"/>
                      <w:divBdr>
                        <w:top w:val="none" w:sz="0" w:space="0" w:color="auto"/>
                        <w:left w:val="none" w:sz="0" w:space="0" w:color="auto"/>
                        <w:bottom w:val="none" w:sz="0" w:space="0" w:color="auto"/>
                        <w:right w:val="none" w:sz="0" w:space="0" w:color="auto"/>
                      </w:divBdr>
                    </w:div>
                  </w:divsChild>
                </w:div>
                <w:div w:id="926227864">
                  <w:marLeft w:val="0"/>
                  <w:marRight w:val="0"/>
                  <w:marTop w:val="0"/>
                  <w:marBottom w:val="0"/>
                  <w:divBdr>
                    <w:top w:val="none" w:sz="0" w:space="0" w:color="auto"/>
                    <w:left w:val="none" w:sz="0" w:space="0" w:color="auto"/>
                    <w:bottom w:val="none" w:sz="0" w:space="0" w:color="auto"/>
                    <w:right w:val="none" w:sz="0" w:space="0" w:color="auto"/>
                  </w:divBdr>
                  <w:divsChild>
                    <w:div w:id="918516929">
                      <w:marLeft w:val="0"/>
                      <w:marRight w:val="0"/>
                      <w:marTop w:val="0"/>
                      <w:marBottom w:val="0"/>
                      <w:divBdr>
                        <w:top w:val="none" w:sz="0" w:space="0" w:color="auto"/>
                        <w:left w:val="none" w:sz="0" w:space="0" w:color="auto"/>
                        <w:bottom w:val="none" w:sz="0" w:space="0" w:color="auto"/>
                        <w:right w:val="none" w:sz="0" w:space="0" w:color="auto"/>
                      </w:divBdr>
                    </w:div>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216823997">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377531">
      <w:bodyDiv w:val="1"/>
      <w:marLeft w:val="0"/>
      <w:marRight w:val="0"/>
      <w:marTop w:val="0"/>
      <w:marBottom w:val="0"/>
      <w:divBdr>
        <w:top w:val="none" w:sz="0" w:space="0" w:color="auto"/>
        <w:left w:val="none" w:sz="0" w:space="0" w:color="auto"/>
        <w:bottom w:val="none" w:sz="0" w:space="0" w:color="auto"/>
        <w:right w:val="none" w:sz="0" w:space="0" w:color="auto"/>
      </w:divBdr>
      <w:divsChild>
        <w:div w:id="1452476329">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B619C1-4EF0-4002-B46F-9954CA884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25</Pages>
  <Words>9391</Words>
  <Characters>53670</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Toomey, Liam</cp:lastModifiedBy>
  <cp:revision>3</cp:revision>
  <cp:lastPrinted>2014-08-26T08:55:00Z</cp:lastPrinted>
  <dcterms:created xsi:type="dcterms:W3CDTF">2019-06-20T10:03:00Z</dcterms:created>
  <dcterms:modified xsi:type="dcterms:W3CDTF">2021-11-29T23:12:00Z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2021-11-01T13:05:38Z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e20edeb9-ef7d-4f6e-8976-b3efab066fa9</vt:lpwstr>
  </property>
  <property fmtid="{D5CDD505-2E9C-101B-9397-08002B2CF9AE}" pid="9" name="MSIP_Label_f2acd28b-79a3-4a0f-b0ff-4b75658b1549_ContentBits">
    <vt:lpwstr>0</vt:lpwstr>
  </property>
</Properties>
</file>