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7AA1F8" w14:textId="6CE107EC" w:rsidR="00C2293D" w:rsidRDefault="00C2293D" w:rsidP="00936427">
      <w:pPr>
        <w:spacing w:line="360" w:lineRule="auto"/>
        <w:jc w:val="center"/>
        <w:rPr>
          <w:rFonts w:cs="Arial"/>
          <w:b/>
          <w:bCs/>
          <w:sz w:val="32"/>
          <w:szCs w:val="32"/>
        </w:rPr>
      </w:pPr>
      <w:r>
        <w:rPr>
          <w:noProof/>
          <w14:ligatures w14:val="standardContextual"/>
        </w:rPr>
        <w:drawing>
          <wp:inline distT="0" distB="0" distL="0" distR="0" wp14:anchorId="0FF9E6D8" wp14:editId="77019801">
            <wp:extent cx="2876550" cy="1097396"/>
            <wp:effectExtent l="0" t="0" r="0" b="7620"/>
            <wp:docPr id="410962193" name="Picture 1"/>
            <wp:cNvGraphicFramePr/>
            <a:graphic xmlns:a="http://schemas.openxmlformats.org/drawingml/2006/main">
              <a:graphicData uri="http://schemas.openxmlformats.org/drawingml/2006/picture">
                <pic:pic xmlns:pic="http://schemas.openxmlformats.org/drawingml/2006/picture">
                  <pic:nvPicPr>
                    <pic:cNvPr id="410962193" name="Picture 1"/>
                    <pic:cNvPicPr/>
                  </pic:nvPicPr>
                  <pic:blipFill>
                    <a:blip r:embed="rId8"/>
                    <a:stretch>
                      <a:fillRect/>
                    </a:stretch>
                  </pic:blipFill>
                  <pic:spPr>
                    <a:xfrm>
                      <a:off x="0" y="0"/>
                      <a:ext cx="2890491" cy="1102715"/>
                    </a:xfrm>
                    <a:prstGeom prst="rect">
                      <a:avLst/>
                    </a:prstGeom>
                  </pic:spPr>
                </pic:pic>
              </a:graphicData>
            </a:graphic>
          </wp:inline>
        </w:drawing>
      </w:r>
    </w:p>
    <w:p w14:paraId="29250F9D" w14:textId="2830996D" w:rsidR="00936427" w:rsidRPr="00936427" w:rsidRDefault="00936427" w:rsidP="00936427">
      <w:pPr>
        <w:spacing w:line="360" w:lineRule="auto"/>
        <w:jc w:val="center"/>
        <w:rPr>
          <w:rFonts w:cs="Arial"/>
          <w:b/>
          <w:bCs/>
          <w:sz w:val="32"/>
          <w:szCs w:val="32"/>
        </w:rPr>
      </w:pPr>
      <w:r w:rsidRPr="00936427">
        <w:rPr>
          <w:rFonts w:cs="Arial"/>
          <w:b/>
          <w:bCs/>
          <w:sz w:val="32"/>
          <w:szCs w:val="32"/>
        </w:rPr>
        <w:t>Module: Financial Management</w:t>
      </w:r>
    </w:p>
    <w:p w14:paraId="0DD4C617" w14:textId="13314578" w:rsidR="00936427" w:rsidRDefault="00936427" w:rsidP="00936427">
      <w:pPr>
        <w:spacing w:line="360" w:lineRule="auto"/>
        <w:jc w:val="center"/>
        <w:rPr>
          <w:rFonts w:cs="Arial"/>
          <w:b/>
          <w:bCs/>
          <w:sz w:val="32"/>
          <w:szCs w:val="32"/>
        </w:rPr>
      </w:pPr>
      <w:r w:rsidRPr="00936427">
        <w:rPr>
          <w:rFonts w:cs="Arial"/>
          <w:b/>
          <w:bCs/>
          <w:sz w:val="32"/>
          <w:szCs w:val="32"/>
        </w:rPr>
        <w:t>Module code: LCMB7002</w:t>
      </w:r>
    </w:p>
    <w:p w14:paraId="6442BDAB" w14:textId="6F734859" w:rsidR="00C2293D" w:rsidRDefault="00C2293D" w:rsidP="00936427">
      <w:pPr>
        <w:spacing w:line="360" w:lineRule="auto"/>
        <w:jc w:val="center"/>
        <w:rPr>
          <w:rFonts w:cs="Arial"/>
          <w:b/>
          <w:bCs/>
          <w:sz w:val="32"/>
          <w:szCs w:val="32"/>
        </w:rPr>
      </w:pPr>
    </w:p>
    <w:p w14:paraId="6C5F7EC8" w14:textId="77777777" w:rsidR="00C90EEA" w:rsidRPr="00C90EEA" w:rsidRDefault="00C90EEA" w:rsidP="00C90EEA">
      <w:pPr>
        <w:spacing w:line="360" w:lineRule="auto"/>
        <w:jc w:val="center"/>
        <w:rPr>
          <w:rFonts w:cs="Arial"/>
          <w:b/>
          <w:bCs/>
          <w:sz w:val="32"/>
          <w:szCs w:val="32"/>
        </w:rPr>
      </w:pPr>
      <w:r w:rsidRPr="00C90EEA">
        <w:rPr>
          <w:rFonts w:cs="Arial"/>
          <w:b/>
          <w:bCs/>
          <w:sz w:val="32"/>
          <w:szCs w:val="32"/>
        </w:rPr>
        <w:t>Assignment Title:</w:t>
      </w:r>
    </w:p>
    <w:p w14:paraId="34AB6882" w14:textId="05FD83C9" w:rsidR="00C2293D" w:rsidRDefault="00C90EEA" w:rsidP="00C90EEA">
      <w:pPr>
        <w:spacing w:line="360" w:lineRule="auto"/>
        <w:jc w:val="center"/>
        <w:rPr>
          <w:rFonts w:cs="Arial"/>
          <w:b/>
          <w:bCs/>
          <w:sz w:val="32"/>
          <w:szCs w:val="32"/>
        </w:rPr>
      </w:pPr>
      <w:r w:rsidRPr="00C90EEA">
        <w:rPr>
          <w:rFonts w:cs="Arial"/>
          <w:b/>
          <w:bCs/>
          <w:sz w:val="32"/>
          <w:szCs w:val="32"/>
        </w:rPr>
        <w:t>Assessment component: Financial performance and management</w:t>
      </w:r>
      <w:r>
        <w:rPr>
          <w:rFonts w:cs="Arial"/>
          <w:b/>
          <w:bCs/>
          <w:sz w:val="32"/>
          <w:szCs w:val="32"/>
        </w:rPr>
        <w:t xml:space="preserve"> </w:t>
      </w:r>
    </w:p>
    <w:p w14:paraId="69B57495" w14:textId="71466BAA" w:rsidR="006531AA" w:rsidRDefault="006531AA" w:rsidP="00C90EEA">
      <w:pPr>
        <w:spacing w:line="360" w:lineRule="auto"/>
        <w:jc w:val="center"/>
        <w:rPr>
          <w:rFonts w:cs="Arial"/>
          <w:b/>
          <w:bCs/>
          <w:sz w:val="32"/>
          <w:szCs w:val="32"/>
        </w:rPr>
      </w:pPr>
    </w:p>
    <w:p w14:paraId="359D5C68" w14:textId="142B5285" w:rsidR="006531AA" w:rsidRPr="00936427" w:rsidRDefault="006531AA" w:rsidP="00C90EEA">
      <w:pPr>
        <w:spacing w:line="360" w:lineRule="auto"/>
        <w:jc w:val="center"/>
        <w:rPr>
          <w:rFonts w:cs="Arial"/>
          <w:b/>
          <w:bCs/>
          <w:sz w:val="32"/>
          <w:szCs w:val="32"/>
        </w:rPr>
      </w:pPr>
      <w:r w:rsidRPr="006531AA">
        <w:rPr>
          <w:rFonts w:cs="Arial"/>
          <w:b/>
          <w:bCs/>
          <w:sz w:val="32"/>
          <w:szCs w:val="32"/>
        </w:rPr>
        <w:t>Lecturer:</w:t>
      </w:r>
      <w:r>
        <w:rPr>
          <w:rFonts w:cs="Arial"/>
          <w:b/>
          <w:bCs/>
          <w:sz w:val="32"/>
          <w:szCs w:val="32"/>
        </w:rPr>
        <w:t xml:space="preserve"> Dr </w:t>
      </w:r>
      <w:proofErr w:type="spellStart"/>
      <w:r>
        <w:rPr>
          <w:rFonts w:cs="Arial"/>
          <w:b/>
          <w:bCs/>
          <w:sz w:val="32"/>
          <w:szCs w:val="32"/>
        </w:rPr>
        <w:t>Shengfeng</w:t>
      </w:r>
      <w:proofErr w:type="spellEnd"/>
      <w:r>
        <w:rPr>
          <w:rFonts w:cs="Arial"/>
          <w:b/>
          <w:bCs/>
          <w:sz w:val="32"/>
          <w:szCs w:val="32"/>
        </w:rPr>
        <w:t xml:space="preserve"> Mei</w:t>
      </w:r>
    </w:p>
    <w:p w14:paraId="4FBC8498" w14:textId="0E379CB4" w:rsidR="00936427" w:rsidRPr="00936427" w:rsidRDefault="00936427" w:rsidP="00936427">
      <w:pPr>
        <w:spacing w:line="360" w:lineRule="auto"/>
        <w:jc w:val="center"/>
        <w:rPr>
          <w:rFonts w:cs="Arial"/>
          <w:sz w:val="32"/>
          <w:szCs w:val="32"/>
        </w:rPr>
      </w:pPr>
    </w:p>
    <w:p w14:paraId="7BB682AE" w14:textId="6FDC37E0" w:rsidR="003B4A40" w:rsidRPr="003B4A40" w:rsidRDefault="003B4A40" w:rsidP="003B4A40">
      <w:pPr>
        <w:spacing w:line="360" w:lineRule="auto"/>
        <w:jc w:val="center"/>
        <w:rPr>
          <w:rFonts w:cs="Arial"/>
          <w:sz w:val="32"/>
          <w:szCs w:val="32"/>
        </w:rPr>
      </w:pPr>
      <w:r w:rsidRPr="003B4A40">
        <w:rPr>
          <w:rFonts w:cs="Arial"/>
          <w:sz w:val="32"/>
          <w:szCs w:val="32"/>
        </w:rPr>
        <w:t>Student Name: Md. Habibur Rahman</w:t>
      </w:r>
      <w:r w:rsidR="00192DA2">
        <w:rPr>
          <w:rFonts w:cs="Arial"/>
          <w:sz w:val="32"/>
          <w:szCs w:val="32"/>
        </w:rPr>
        <w:t xml:space="preserve"> </w:t>
      </w:r>
      <w:r w:rsidRPr="003B4A40">
        <w:rPr>
          <w:rFonts w:cs="Arial"/>
          <w:sz w:val="32"/>
          <w:szCs w:val="32"/>
        </w:rPr>
        <w:t xml:space="preserve">  </w:t>
      </w:r>
    </w:p>
    <w:p w14:paraId="503E6017" w14:textId="4EB8E6AE" w:rsidR="00936427" w:rsidRPr="00936427" w:rsidRDefault="003B4A40" w:rsidP="00936427">
      <w:pPr>
        <w:spacing w:line="360" w:lineRule="auto"/>
        <w:jc w:val="center"/>
        <w:rPr>
          <w:rFonts w:cs="Arial"/>
          <w:sz w:val="32"/>
          <w:szCs w:val="32"/>
        </w:rPr>
      </w:pPr>
      <w:r w:rsidRPr="003B4A40">
        <w:rPr>
          <w:rFonts w:cs="Arial"/>
          <w:sz w:val="32"/>
          <w:szCs w:val="32"/>
        </w:rPr>
        <w:t>Student ID: 2432474</w:t>
      </w:r>
      <w:r>
        <w:rPr>
          <w:rFonts w:cs="Arial"/>
          <w:sz w:val="32"/>
          <w:szCs w:val="32"/>
        </w:rPr>
        <w:t xml:space="preserve"> </w:t>
      </w:r>
    </w:p>
    <w:p w14:paraId="08FA495D" w14:textId="4FA06748" w:rsidR="00560408" w:rsidRPr="00936427" w:rsidRDefault="00936427" w:rsidP="00936427">
      <w:pPr>
        <w:spacing w:line="360" w:lineRule="auto"/>
        <w:jc w:val="center"/>
        <w:rPr>
          <w:sz w:val="36"/>
          <w:szCs w:val="36"/>
        </w:rPr>
      </w:pPr>
      <w:r w:rsidRPr="00936427">
        <w:rPr>
          <w:rFonts w:cs="Arial"/>
          <w:sz w:val="32"/>
          <w:szCs w:val="32"/>
        </w:rPr>
        <w:t>Word Count:</w:t>
      </w:r>
      <w:r w:rsidR="003B4A40">
        <w:rPr>
          <w:rFonts w:cs="Arial"/>
          <w:sz w:val="32"/>
          <w:szCs w:val="32"/>
        </w:rPr>
        <w:t xml:space="preserve"> </w:t>
      </w:r>
      <w:r w:rsidR="001A3716">
        <w:rPr>
          <w:rFonts w:cs="Arial"/>
          <w:sz w:val="32"/>
          <w:szCs w:val="32"/>
        </w:rPr>
        <w:t>520</w:t>
      </w:r>
      <w:r w:rsidR="00D4090D">
        <w:rPr>
          <w:rFonts w:cs="Arial"/>
          <w:sz w:val="32"/>
          <w:szCs w:val="32"/>
        </w:rPr>
        <w:t>4</w:t>
      </w:r>
    </w:p>
    <w:p w14:paraId="449F495E" w14:textId="5D69B52C" w:rsidR="00D56825" w:rsidRDefault="00D56825" w:rsidP="00805DF9">
      <w:pPr>
        <w:spacing w:line="360" w:lineRule="auto"/>
      </w:pPr>
    </w:p>
    <w:p w14:paraId="3B584B53" w14:textId="454E9009" w:rsidR="00D56825" w:rsidRDefault="00D56825" w:rsidP="00805DF9">
      <w:pPr>
        <w:spacing w:line="360" w:lineRule="auto"/>
      </w:pPr>
    </w:p>
    <w:p w14:paraId="71F87DC9" w14:textId="64FE8406" w:rsidR="00D56825" w:rsidRDefault="00D56825">
      <w:pPr>
        <w:spacing w:before="0" w:after="0"/>
        <w:jc w:val="left"/>
      </w:pPr>
      <w:r>
        <w:br w:type="page"/>
      </w:r>
    </w:p>
    <w:sdt>
      <w:sdtPr>
        <w:rPr>
          <w:rFonts w:ascii="Times New Roman" w:eastAsia="Times New Roman" w:hAnsi="Times New Roman" w:cs="Times New Roman"/>
          <w:b/>
          <w:bCs w:val="0"/>
          <w:color w:val="auto"/>
          <w:sz w:val="24"/>
          <w:szCs w:val="24"/>
          <w:lang w:val="en-GB" w:eastAsia="en-GB" w:bidi="bn-IN"/>
        </w:rPr>
        <w:id w:val="1944265097"/>
        <w:docPartObj>
          <w:docPartGallery w:val="Table of Contents"/>
          <w:docPartUnique/>
        </w:docPartObj>
      </w:sdtPr>
      <w:sdtEndPr>
        <w:rPr>
          <w:rFonts w:ascii="Arial" w:hAnsi="Arial"/>
          <w:b w:val="0"/>
          <w:noProof/>
        </w:rPr>
      </w:sdtEndPr>
      <w:sdtContent>
        <w:p w14:paraId="2C624C9F" w14:textId="77777777" w:rsidR="00D56825" w:rsidRPr="006A4B35" w:rsidRDefault="00D56825" w:rsidP="00D56825">
          <w:pPr>
            <w:pStyle w:val="TOCHeading"/>
            <w:spacing w:line="360" w:lineRule="auto"/>
            <w:rPr>
              <w:rFonts w:ascii="Arial" w:hAnsi="Arial" w:cs="Arial"/>
              <w:sz w:val="32"/>
              <w:szCs w:val="32"/>
            </w:rPr>
          </w:pPr>
          <w:r w:rsidRPr="006A4B35">
            <w:rPr>
              <w:rFonts w:ascii="Arial" w:hAnsi="Arial" w:cs="Arial"/>
              <w:sz w:val="32"/>
              <w:szCs w:val="32"/>
            </w:rPr>
            <w:t>Table of Contents</w:t>
          </w:r>
        </w:p>
        <w:p w14:paraId="52224B40"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r w:rsidRPr="00805DF9">
            <w:rPr>
              <w:rFonts w:ascii="Arial" w:hAnsi="Arial" w:cs="Arial"/>
              <w:b w:val="0"/>
              <w:bCs w:val="0"/>
              <w:i w:val="0"/>
              <w:iCs w:val="0"/>
              <w:sz w:val="22"/>
              <w:szCs w:val="22"/>
            </w:rPr>
            <w:fldChar w:fldCharType="begin"/>
          </w:r>
          <w:r w:rsidRPr="00805DF9">
            <w:rPr>
              <w:rFonts w:ascii="Arial" w:hAnsi="Arial" w:cs="Arial"/>
              <w:b w:val="0"/>
              <w:bCs w:val="0"/>
              <w:i w:val="0"/>
              <w:iCs w:val="0"/>
              <w:sz w:val="22"/>
              <w:szCs w:val="22"/>
            </w:rPr>
            <w:instrText xml:space="preserve"> TOC \o "1-3" \h \z \u </w:instrText>
          </w:r>
          <w:r w:rsidRPr="00805DF9">
            <w:rPr>
              <w:rFonts w:ascii="Arial" w:hAnsi="Arial" w:cs="Arial"/>
              <w:b w:val="0"/>
              <w:bCs w:val="0"/>
              <w:i w:val="0"/>
              <w:iCs w:val="0"/>
              <w:sz w:val="22"/>
              <w:szCs w:val="22"/>
            </w:rPr>
            <w:fldChar w:fldCharType="separate"/>
          </w:r>
          <w:hyperlink w:anchor="_Toc216386192" w:history="1">
            <w:r w:rsidRPr="00805DF9">
              <w:rPr>
                <w:rStyle w:val="Hyperlink"/>
                <w:rFonts w:ascii="Arial" w:hAnsi="Arial" w:cs="Arial"/>
                <w:b w:val="0"/>
                <w:bCs w:val="0"/>
                <w:i w:val="0"/>
                <w:iCs w:val="0"/>
                <w:noProof/>
                <w:sz w:val="22"/>
                <w:szCs w:val="22"/>
              </w:rPr>
              <w:t>Introduction</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_Toc216386192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4</w:t>
            </w:r>
            <w:r w:rsidRPr="00805DF9">
              <w:rPr>
                <w:rFonts w:ascii="Arial" w:hAnsi="Arial" w:cs="Arial"/>
                <w:b w:val="0"/>
                <w:bCs w:val="0"/>
                <w:i w:val="0"/>
                <w:iCs w:val="0"/>
                <w:noProof/>
                <w:webHidden/>
                <w:sz w:val="22"/>
                <w:szCs w:val="22"/>
              </w:rPr>
              <w:fldChar w:fldCharType="end"/>
            </w:r>
          </w:hyperlink>
        </w:p>
        <w:p w14:paraId="08ADA7C7"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193" w:history="1">
            <w:r w:rsidRPr="00805DF9">
              <w:rPr>
                <w:rStyle w:val="Hyperlink"/>
                <w:rFonts w:ascii="Arial" w:hAnsi="Arial" w:cs="Arial"/>
                <w:b w:val="0"/>
                <w:bCs w:val="0"/>
                <w:i w:val="0"/>
                <w:iCs w:val="0"/>
                <w:noProof/>
                <w:sz w:val="22"/>
                <w:szCs w:val="22"/>
              </w:rPr>
              <w:t>Financial Health Analysis of GE</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_Toc216386193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5</w:t>
            </w:r>
            <w:r w:rsidRPr="00805DF9">
              <w:rPr>
                <w:rFonts w:ascii="Arial" w:hAnsi="Arial" w:cs="Arial"/>
                <w:b w:val="0"/>
                <w:bCs w:val="0"/>
                <w:i w:val="0"/>
                <w:iCs w:val="0"/>
                <w:noProof/>
                <w:webHidden/>
                <w:sz w:val="22"/>
                <w:szCs w:val="22"/>
              </w:rPr>
              <w:fldChar w:fldCharType="end"/>
            </w:r>
          </w:hyperlink>
        </w:p>
        <w:p w14:paraId="090A2263"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4" w:history="1">
            <w:r w:rsidRPr="00805DF9">
              <w:rPr>
                <w:rStyle w:val="Hyperlink"/>
                <w:rFonts w:ascii="Arial" w:hAnsi="Arial" w:cs="Arial"/>
                <w:b w:val="0"/>
                <w:bCs w:val="0"/>
                <w:noProof/>
              </w:rPr>
              <w:t>Profitability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_Toc216386194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5</w:t>
            </w:r>
            <w:r w:rsidRPr="00805DF9">
              <w:rPr>
                <w:rFonts w:ascii="Arial" w:hAnsi="Arial" w:cs="Arial"/>
                <w:b w:val="0"/>
                <w:bCs w:val="0"/>
                <w:noProof/>
                <w:webHidden/>
              </w:rPr>
              <w:fldChar w:fldCharType="end"/>
            </w:r>
          </w:hyperlink>
        </w:p>
        <w:p w14:paraId="64D5E011"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5" w:history="1">
            <w:r w:rsidRPr="00805DF9">
              <w:rPr>
                <w:rStyle w:val="Hyperlink"/>
                <w:rFonts w:ascii="Arial" w:hAnsi="Arial" w:cs="Arial"/>
                <w:b w:val="0"/>
                <w:bCs w:val="0"/>
                <w:noProof/>
              </w:rPr>
              <w:t>Liquidity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_Toc216386195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6</w:t>
            </w:r>
            <w:r w:rsidRPr="00805DF9">
              <w:rPr>
                <w:rFonts w:ascii="Arial" w:hAnsi="Arial" w:cs="Arial"/>
                <w:b w:val="0"/>
                <w:bCs w:val="0"/>
                <w:noProof/>
                <w:webHidden/>
              </w:rPr>
              <w:fldChar w:fldCharType="end"/>
            </w:r>
          </w:hyperlink>
        </w:p>
        <w:p w14:paraId="7C01DD8A"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6" w:history="1">
            <w:r w:rsidRPr="00805DF9">
              <w:rPr>
                <w:rStyle w:val="Hyperlink"/>
                <w:rFonts w:ascii="Arial" w:hAnsi="Arial" w:cs="Arial"/>
                <w:b w:val="0"/>
                <w:bCs w:val="0"/>
                <w:noProof/>
              </w:rPr>
              <w:t>Efficiency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_Toc216386196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8</w:t>
            </w:r>
            <w:r w:rsidRPr="00805DF9">
              <w:rPr>
                <w:rFonts w:ascii="Arial" w:hAnsi="Arial" w:cs="Arial"/>
                <w:b w:val="0"/>
                <w:bCs w:val="0"/>
                <w:noProof/>
                <w:webHidden/>
              </w:rPr>
              <w:fldChar w:fldCharType="end"/>
            </w:r>
          </w:hyperlink>
        </w:p>
        <w:p w14:paraId="6E9CF084"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7" w:history="1">
            <w:r w:rsidRPr="00805DF9">
              <w:rPr>
                <w:rStyle w:val="Hyperlink"/>
                <w:rFonts w:ascii="Arial" w:hAnsi="Arial" w:cs="Arial"/>
                <w:b w:val="0"/>
                <w:bCs w:val="0"/>
                <w:noProof/>
              </w:rPr>
              <w:t>Gearing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_Toc216386197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9</w:t>
            </w:r>
            <w:r w:rsidRPr="00805DF9">
              <w:rPr>
                <w:rFonts w:ascii="Arial" w:hAnsi="Arial" w:cs="Arial"/>
                <w:b w:val="0"/>
                <w:bCs w:val="0"/>
                <w:noProof/>
                <w:webHidden/>
              </w:rPr>
              <w:fldChar w:fldCharType="end"/>
            </w:r>
          </w:hyperlink>
        </w:p>
        <w:p w14:paraId="15C3DBB0"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8" w:history="1">
            <w:r w:rsidRPr="00805DF9">
              <w:rPr>
                <w:rStyle w:val="Hyperlink"/>
                <w:rFonts w:ascii="Arial" w:hAnsi="Arial" w:cs="Arial"/>
                <w:b w:val="0"/>
                <w:bCs w:val="0"/>
                <w:noProof/>
              </w:rPr>
              <w:t>Investment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_Toc216386198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11</w:t>
            </w:r>
            <w:r w:rsidRPr="00805DF9">
              <w:rPr>
                <w:rFonts w:ascii="Arial" w:hAnsi="Arial" w:cs="Arial"/>
                <w:b w:val="0"/>
                <w:bCs w:val="0"/>
                <w:noProof/>
                <w:webHidden/>
              </w:rPr>
              <w:fldChar w:fldCharType="end"/>
            </w:r>
          </w:hyperlink>
        </w:p>
        <w:p w14:paraId="15CF996D"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9" w:history="1">
            <w:r w:rsidRPr="00805DF9">
              <w:rPr>
                <w:rStyle w:val="Hyperlink"/>
                <w:rFonts w:ascii="Arial" w:hAnsi="Arial" w:cs="Arial"/>
                <w:b w:val="0"/>
                <w:bCs w:val="0"/>
                <w:noProof/>
              </w:rPr>
              <w:t>Cash Flow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_Toc216386199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13</w:t>
            </w:r>
            <w:r w:rsidRPr="00805DF9">
              <w:rPr>
                <w:rFonts w:ascii="Arial" w:hAnsi="Arial" w:cs="Arial"/>
                <w:b w:val="0"/>
                <w:bCs w:val="0"/>
                <w:noProof/>
                <w:webHidden/>
              </w:rPr>
              <w:fldChar w:fldCharType="end"/>
            </w:r>
          </w:hyperlink>
        </w:p>
        <w:p w14:paraId="583D9DB3"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00" w:history="1">
            <w:r w:rsidRPr="00805DF9">
              <w:rPr>
                <w:rStyle w:val="Hyperlink"/>
                <w:rFonts w:ascii="Arial" w:hAnsi="Arial" w:cs="Arial"/>
                <w:b w:val="0"/>
                <w:bCs w:val="0"/>
                <w:i w:val="0"/>
                <w:iCs w:val="0"/>
                <w:noProof/>
                <w:sz w:val="22"/>
                <w:szCs w:val="22"/>
              </w:rPr>
              <w:t>Working Capital Management Analysis of GE</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_Toc216386200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15</w:t>
            </w:r>
            <w:r w:rsidRPr="00805DF9">
              <w:rPr>
                <w:rFonts w:ascii="Arial" w:hAnsi="Arial" w:cs="Arial"/>
                <w:b w:val="0"/>
                <w:bCs w:val="0"/>
                <w:i w:val="0"/>
                <w:iCs w:val="0"/>
                <w:noProof/>
                <w:webHidden/>
                <w:sz w:val="22"/>
                <w:szCs w:val="22"/>
              </w:rPr>
              <w:fldChar w:fldCharType="end"/>
            </w:r>
          </w:hyperlink>
        </w:p>
        <w:p w14:paraId="4ED7B138"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1" w:history="1">
            <w:r w:rsidRPr="00805DF9">
              <w:rPr>
                <w:rStyle w:val="Hyperlink"/>
                <w:rFonts w:ascii="Arial" w:hAnsi="Arial" w:cs="Arial"/>
                <w:b w:val="0"/>
                <w:bCs w:val="0"/>
                <w:noProof/>
              </w:rPr>
              <w:t xml:space="preserve">Assessment of </w:t>
            </w:r>
            <w:r w:rsidRPr="00805DF9">
              <w:rPr>
                <w:rStyle w:val="Hyperlink"/>
                <w:rFonts w:ascii="Arial" w:eastAsiaTheme="minorHAnsi" w:hAnsi="Arial" w:cs="Arial"/>
                <w:b w:val="0"/>
                <w:bCs w:val="0"/>
                <w:noProof/>
                <w:lang w:eastAsia="en-US"/>
              </w:rPr>
              <w:t>Cash Operating Cycle (CoC)</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_Toc216386201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15</w:t>
            </w:r>
            <w:r w:rsidRPr="00805DF9">
              <w:rPr>
                <w:rFonts w:ascii="Arial" w:hAnsi="Arial" w:cs="Arial"/>
                <w:b w:val="0"/>
                <w:bCs w:val="0"/>
                <w:noProof/>
                <w:webHidden/>
              </w:rPr>
              <w:fldChar w:fldCharType="end"/>
            </w:r>
          </w:hyperlink>
        </w:p>
        <w:p w14:paraId="43B69F57"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2" w:history="1">
            <w:r w:rsidRPr="00805DF9">
              <w:rPr>
                <w:rStyle w:val="Hyperlink"/>
                <w:rFonts w:ascii="Arial" w:hAnsi="Arial" w:cs="Arial"/>
                <w:b w:val="0"/>
                <w:bCs w:val="0"/>
                <w:noProof/>
              </w:rPr>
              <w:t>Working Capital Improvement Strategies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_Toc216386202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17</w:t>
            </w:r>
            <w:r w:rsidRPr="00805DF9">
              <w:rPr>
                <w:rFonts w:ascii="Arial" w:hAnsi="Arial" w:cs="Arial"/>
                <w:b w:val="0"/>
                <w:bCs w:val="0"/>
                <w:noProof/>
                <w:webHidden/>
              </w:rPr>
              <w:fldChar w:fldCharType="end"/>
            </w:r>
          </w:hyperlink>
        </w:p>
        <w:p w14:paraId="500B98F5"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3" w:history="1">
            <w:r w:rsidRPr="00805DF9">
              <w:rPr>
                <w:rStyle w:val="Hyperlink"/>
                <w:rFonts w:ascii="Arial" w:hAnsi="Arial" w:cs="Arial"/>
                <w:b w:val="0"/>
                <w:bCs w:val="0"/>
                <w:noProof/>
              </w:rPr>
              <w:t>Financing Options Comparison</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_Toc216386203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18</w:t>
            </w:r>
            <w:r w:rsidRPr="00805DF9">
              <w:rPr>
                <w:rFonts w:ascii="Arial" w:hAnsi="Arial" w:cs="Arial"/>
                <w:b w:val="0"/>
                <w:bCs w:val="0"/>
                <w:noProof/>
                <w:webHidden/>
              </w:rPr>
              <w:fldChar w:fldCharType="end"/>
            </w:r>
          </w:hyperlink>
        </w:p>
        <w:p w14:paraId="67F7CC5D"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04" w:history="1">
            <w:r w:rsidRPr="00805DF9">
              <w:rPr>
                <w:rStyle w:val="Hyperlink"/>
                <w:rFonts w:ascii="Arial" w:hAnsi="Arial" w:cs="Arial"/>
                <w:b w:val="0"/>
                <w:bCs w:val="0"/>
                <w:i w:val="0"/>
                <w:iCs w:val="0"/>
                <w:noProof/>
                <w:sz w:val="22"/>
                <w:szCs w:val="22"/>
              </w:rPr>
              <w:t>Strategic Financial Restructuring Plan</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_Toc216386204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19</w:t>
            </w:r>
            <w:r w:rsidRPr="00805DF9">
              <w:rPr>
                <w:rFonts w:ascii="Arial" w:hAnsi="Arial" w:cs="Arial"/>
                <w:b w:val="0"/>
                <w:bCs w:val="0"/>
                <w:i w:val="0"/>
                <w:iCs w:val="0"/>
                <w:noProof/>
                <w:webHidden/>
                <w:sz w:val="22"/>
                <w:szCs w:val="22"/>
              </w:rPr>
              <w:fldChar w:fldCharType="end"/>
            </w:r>
          </w:hyperlink>
        </w:p>
        <w:p w14:paraId="2867F210"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05" w:history="1">
            <w:r w:rsidRPr="00805DF9">
              <w:rPr>
                <w:rStyle w:val="Hyperlink"/>
                <w:rFonts w:ascii="Arial" w:hAnsi="Arial" w:cs="Arial"/>
                <w:b w:val="0"/>
                <w:bCs w:val="0"/>
                <w:i w:val="0"/>
                <w:iCs w:val="0"/>
                <w:noProof/>
                <w:sz w:val="22"/>
                <w:szCs w:val="22"/>
              </w:rPr>
              <w:t>Investment Appraisal For GE</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_Toc216386205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22</w:t>
            </w:r>
            <w:r w:rsidRPr="00805DF9">
              <w:rPr>
                <w:rFonts w:ascii="Arial" w:hAnsi="Arial" w:cs="Arial"/>
                <w:b w:val="0"/>
                <w:bCs w:val="0"/>
                <w:i w:val="0"/>
                <w:iCs w:val="0"/>
                <w:noProof/>
                <w:webHidden/>
                <w:sz w:val="22"/>
                <w:szCs w:val="22"/>
              </w:rPr>
              <w:fldChar w:fldCharType="end"/>
            </w:r>
          </w:hyperlink>
        </w:p>
        <w:p w14:paraId="36BE2754"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6" w:history="1">
            <w:r w:rsidRPr="00805DF9">
              <w:rPr>
                <w:rStyle w:val="Hyperlink"/>
                <w:rFonts w:ascii="Arial" w:hAnsi="Arial" w:cs="Arial"/>
                <w:b w:val="0"/>
                <w:bCs w:val="0"/>
                <w:noProof/>
              </w:rPr>
              <w:t>Payback Period (PBP) of The Projects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_Toc216386206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22</w:t>
            </w:r>
            <w:r w:rsidRPr="00805DF9">
              <w:rPr>
                <w:rFonts w:ascii="Arial" w:hAnsi="Arial" w:cs="Arial"/>
                <w:b w:val="0"/>
                <w:bCs w:val="0"/>
                <w:noProof/>
                <w:webHidden/>
              </w:rPr>
              <w:fldChar w:fldCharType="end"/>
            </w:r>
          </w:hyperlink>
        </w:p>
        <w:p w14:paraId="37F7A15A"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7" w:history="1">
            <w:r w:rsidRPr="00805DF9">
              <w:rPr>
                <w:rStyle w:val="Hyperlink"/>
                <w:rFonts w:ascii="Arial" w:hAnsi="Arial" w:cs="Arial"/>
                <w:b w:val="0"/>
                <w:bCs w:val="0"/>
                <w:noProof/>
              </w:rPr>
              <w:t>Average Rate of Return (ARR) of The Projects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_Toc216386207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22</w:t>
            </w:r>
            <w:r w:rsidRPr="00805DF9">
              <w:rPr>
                <w:rFonts w:ascii="Arial" w:hAnsi="Arial" w:cs="Arial"/>
                <w:b w:val="0"/>
                <w:bCs w:val="0"/>
                <w:noProof/>
                <w:webHidden/>
              </w:rPr>
              <w:fldChar w:fldCharType="end"/>
            </w:r>
          </w:hyperlink>
        </w:p>
        <w:p w14:paraId="31F5B963"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8" w:history="1">
            <w:r w:rsidRPr="00805DF9">
              <w:rPr>
                <w:rStyle w:val="Hyperlink"/>
                <w:rFonts w:ascii="Arial" w:hAnsi="Arial" w:cs="Arial"/>
                <w:b w:val="0"/>
                <w:bCs w:val="0"/>
                <w:noProof/>
              </w:rPr>
              <w:t>Net Present Value (NPV) of The Projects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_Toc216386208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23</w:t>
            </w:r>
            <w:r w:rsidRPr="00805DF9">
              <w:rPr>
                <w:rFonts w:ascii="Arial" w:hAnsi="Arial" w:cs="Arial"/>
                <w:b w:val="0"/>
                <w:bCs w:val="0"/>
                <w:noProof/>
                <w:webHidden/>
              </w:rPr>
              <w:fldChar w:fldCharType="end"/>
            </w:r>
          </w:hyperlink>
        </w:p>
        <w:p w14:paraId="3AD5CD94"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9" w:history="1">
            <w:r w:rsidRPr="00805DF9">
              <w:rPr>
                <w:rStyle w:val="Hyperlink"/>
                <w:rFonts w:ascii="Arial" w:hAnsi="Arial" w:cs="Arial"/>
                <w:b w:val="0"/>
                <w:bCs w:val="0"/>
                <w:noProof/>
              </w:rPr>
              <w:t>Profitability Index (PI) of The Projects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_Toc216386209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23</w:t>
            </w:r>
            <w:r w:rsidRPr="00805DF9">
              <w:rPr>
                <w:rFonts w:ascii="Arial" w:hAnsi="Arial" w:cs="Arial"/>
                <w:b w:val="0"/>
                <w:bCs w:val="0"/>
                <w:noProof/>
                <w:webHidden/>
              </w:rPr>
              <w:fldChar w:fldCharType="end"/>
            </w:r>
          </w:hyperlink>
        </w:p>
        <w:p w14:paraId="373C6C9A"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0" w:history="1">
            <w:r w:rsidRPr="00805DF9">
              <w:rPr>
                <w:rStyle w:val="Hyperlink"/>
                <w:rFonts w:ascii="Arial" w:hAnsi="Arial" w:cs="Arial"/>
                <w:b w:val="0"/>
                <w:bCs w:val="0"/>
                <w:noProof/>
              </w:rPr>
              <w:t>IRR of The Projects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_Toc216386210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24</w:t>
            </w:r>
            <w:r w:rsidRPr="00805DF9">
              <w:rPr>
                <w:rFonts w:ascii="Arial" w:hAnsi="Arial" w:cs="Arial"/>
                <w:b w:val="0"/>
                <w:bCs w:val="0"/>
                <w:noProof/>
                <w:webHidden/>
              </w:rPr>
              <w:fldChar w:fldCharType="end"/>
            </w:r>
          </w:hyperlink>
        </w:p>
        <w:p w14:paraId="241F0E83"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1" w:history="1">
            <w:r w:rsidRPr="00805DF9">
              <w:rPr>
                <w:rStyle w:val="Hyperlink"/>
                <w:rFonts w:ascii="Arial" w:hAnsi="Arial" w:cs="Arial"/>
                <w:b w:val="0"/>
                <w:bCs w:val="0"/>
                <w:noProof/>
              </w:rPr>
              <w:t>Investment Recommendation</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_Toc216386211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24</w:t>
            </w:r>
            <w:r w:rsidRPr="00805DF9">
              <w:rPr>
                <w:rFonts w:ascii="Arial" w:hAnsi="Arial" w:cs="Arial"/>
                <w:b w:val="0"/>
                <w:bCs w:val="0"/>
                <w:noProof/>
                <w:webHidden/>
              </w:rPr>
              <w:fldChar w:fldCharType="end"/>
            </w:r>
          </w:hyperlink>
        </w:p>
        <w:p w14:paraId="567C84C4"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12" w:history="1">
            <w:r w:rsidRPr="00805DF9">
              <w:rPr>
                <w:rStyle w:val="Hyperlink"/>
                <w:rFonts w:ascii="Arial" w:hAnsi="Arial" w:cs="Arial"/>
                <w:b w:val="0"/>
                <w:bCs w:val="0"/>
                <w:i w:val="0"/>
                <w:iCs w:val="0"/>
                <w:noProof/>
                <w:sz w:val="22"/>
                <w:szCs w:val="22"/>
              </w:rPr>
              <w:t>Conclusions</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_Toc216386212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25</w:t>
            </w:r>
            <w:r w:rsidRPr="00805DF9">
              <w:rPr>
                <w:rFonts w:ascii="Arial" w:hAnsi="Arial" w:cs="Arial"/>
                <w:b w:val="0"/>
                <w:bCs w:val="0"/>
                <w:i w:val="0"/>
                <w:iCs w:val="0"/>
                <w:noProof/>
                <w:webHidden/>
                <w:sz w:val="22"/>
                <w:szCs w:val="22"/>
              </w:rPr>
              <w:fldChar w:fldCharType="end"/>
            </w:r>
          </w:hyperlink>
        </w:p>
        <w:p w14:paraId="01FE307E"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13" w:history="1">
            <w:r w:rsidRPr="00805DF9">
              <w:rPr>
                <w:rStyle w:val="Hyperlink"/>
                <w:rFonts w:ascii="Arial" w:hAnsi="Arial" w:cs="Arial"/>
                <w:b w:val="0"/>
                <w:bCs w:val="0"/>
                <w:i w:val="0"/>
                <w:iCs w:val="0"/>
                <w:noProof/>
                <w:sz w:val="22"/>
                <w:szCs w:val="22"/>
                <w:shd w:val="clear" w:color="auto" w:fill="FFFFFF"/>
              </w:rPr>
              <w:t>References</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_Toc216386213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26</w:t>
            </w:r>
            <w:r w:rsidRPr="00805DF9">
              <w:rPr>
                <w:rFonts w:ascii="Arial" w:hAnsi="Arial" w:cs="Arial"/>
                <w:b w:val="0"/>
                <w:bCs w:val="0"/>
                <w:i w:val="0"/>
                <w:iCs w:val="0"/>
                <w:noProof/>
                <w:webHidden/>
                <w:sz w:val="22"/>
                <w:szCs w:val="22"/>
              </w:rPr>
              <w:fldChar w:fldCharType="end"/>
            </w:r>
          </w:hyperlink>
        </w:p>
        <w:p w14:paraId="0F970AB9"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14" w:history="1">
            <w:r w:rsidRPr="00805DF9">
              <w:rPr>
                <w:rStyle w:val="Hyperlink"/>
                <w:rFonts w:ascii="Arial" w:hAnsi="Arial" w:cs="Arial"/>
                <w:b w:val="0"/>
                <w:bCs w:val="0"/>
                <w:i w:val="0"/>
                <w:iCs w:val="0"/>
                <w:noProof/>
                <w:sz w:val="22"/>
                <w:szCs w:val="22"/>
              </w:rPr>
              <w:t>Appendices</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_Toc216386214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28</w:t>
            </w:r>
            <w:r w:rsidRPr="00805DF9">
              <w:rPr>
                <w:rFonts w:ascii="Arial" w:hAnsi="Arial" w:cs="Arial"/>
                <w:b w:val="0"/>
                <w:bCs w:val="0"/>
                <w:i w:val="0"/>
                <w:iCs w:val="0"/>
                <w:noProof/>
                <w:webHidden/>
                <w:sz w:val="22"/>
                <w:szCs w:val="22"/>
              </w:rPr>
              <w:fldChar w:fldCharType="end"/>
            </w:r>
          </w:hyperlink>
        </w:p>
        <w:p w14:paraId="3083107C"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5" w:history="1">
            <w:r w:rsidRPr="00805DF9">
              <w:rPr>
                <w:rStyle w:val="Hyperlink"/>
                <w:rFonts w:ascii="Arial" w:hAnsi="Arial" w:cs="Arial"/>
                <w:b w:val="0"/>
                <w:bCs w:val="0"/>
                <w:noProof/>
              </w:rPr>
              <w:t>Appendix A</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_Toc216386215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28</w:t>
            </w:r>
            <w:r w:rsidRPr="00805DF9">
              <w:rPr>
                <w:rFonts w:ascii="Arial" w:hAnsi="Arial" w:cs="Arial"/>
                <w:b w:val="0"/>
                <w:bCs w:val="0"/>
                <w:noProof/>
                <w:webHidden/>
              </w:rPr>
              <w:fldChar w:fldCharType="end"/>
            </w:r>
          </w:hyperlink>
        </w:p>
        <w:p w14:paraId="2F1C3526"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6" w:history="1">
            <w:r w:rsidRPr="00805DF9">
              <w:rPr>
                <w:rStyle w:val="Hyperlink"/>
                <w:rFonts w:ascii="Arial" w:hAnsi="Arial" w:cs="Arial"/>
                <w:b w:val="0"/>
                <w:bCs w:val="0"/>
                <w:noProof/>
              </w:rPr>
              <w:t>Appendix B</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_Toc216386216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28</w:t>
            </w:r>
            <w:r w:rsidRPr="00805DF9">
              <w:rPr>
                <w:rFonts w:ascii="Arial" w:hAnsi="Arial" w:cs="Arial"/>
                <w:b w:val="0"/>
                <w:bCs w:val="0"/>
                <w:noProof/>
                <w:webHidden/>
              </w:rPr>
              <w:fldChar w:fldCharType="end"/>
            </w:r>
          </w:hyperlink>
        </w:p>
        <w:p w14:paraId="682FACF2"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7" w:history="1">
            <w:r w:rsidRPr="00805DF9">
              <w:rPr>
                <w:rStyle w:val="Hyperlink"/>
                <w:rFonts w:ascii="Arial" w:hAnsi="Arial" w:cs="Arial"/>
                <w:b w:val="0"/>
                <w:bCs w:val="0"/>
                <w:noProof/>
              </w:rPr>
              <w:t>Appendix C</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_Toc216386217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28</w:t>
            </w:r>
            <w:r w:rsidRPr="00805DF9">
              <w:rPr>
                <w:rFonts w:ascii="Arial" w:hAnsi="Arial" w:cs="Arial"/>
                <w:b w:val="0"/>
                <w:bCs w:val="0"/>
                <w:noProof/>
                <w:webHidden/>
              </w:rPr>
              <w:fldChar w:fldCharType="end"/>
            </w:r>
          </w:hyperlink>
        </w:p>
        <w:p w14:paraId="080ABE52"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8" w:history="1">
            <w:r w:rsidRPr="00805DF9">
              <w:rPr>
                <w:rStyle w:val="Hyperlink"/>
                <w:rFonts w:ascii="Arial" w:hAnsi="Arial" w:cs="Arial"/>
                <w:b w:val="0"/>
                <w:bCs w:val="0"/>
                <w:noProof/>
              </w:rPr>
              <w:t>Appendix D</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_Toc216386218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28</w:t>
            </w:r>
            <w:r w:rsidRPr="00805DF9">
              <w:rPr>
                <w:rFonts w:ascii="Arial" w:hAnsi="Arial" w:cs="Arial"/>
                <w:b w:val="0"/>
                <w:bCs w:val="0"/>
                <w:noProof/>
                <w:webHidden/>
              </w:rPr>
              <w:fldChar w:fldCharType="end"/>
            </w:r>
          </w:hyperlink>
        </w:p>
        <w:p w14:paraId="1F3413AD"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9" w:history="1">
            <w:r w:rsidRPr="00805DF9">
              <w:rPr>
                <w:rStyle w:val="Hyperlink"/>
                <w:rFonts w:ascii="Arial" w:hAnsi="Arial" w:cs="Arial"/>
                <w:b w:val="0"/>
                <w:bCs w:val="0"/>
                <w:noProof/>
              </w:rPr>
              <w:t>Appendix 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_Toc216386219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29</w:t>
            </w:r>
            <w:r w:rsidRPr="00805DF9">
              <w:rPr>
                <w:rFonts w:ascii="Arial" w:hAnsi="Arial" w:cs="Arial"/>
                <w:b w:val="0"/>
                <w:bCs w:val="0"/>
                <w:noProof/>
                <w:webHidden/>
              </w:rPr>
              <w:fldChar w:fldCharType="end"/>
            </w:r>
          </w:hyperlink>
        </w:p>
        <w:p w14:paraId="2BE39D0E"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0" w:history="1">
            <w:r w:rsidRPr="00805DF9">
              <w:rPr>
                <w:rStyle w:val="Hyperlink"/>
                <w:rFonts w:ascii="Arial" w:hAnsi="Arial" w:cs="Arial"/>
                <w:b w:val="0"/>
                <w:bCs w:val="0"/>
                <w:noProof/>
              </w:rPr>
              <w:t>Appendix F</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_Toc216386220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29</w:t>
            </w:r>
            <w:r w:rsidRPr="00805DF9">
              <w:rPr>
                <w:rFonts w:ascii="Arial" w:hAnsi="Arial" w:cs="Arial"/>
                <w:b w:val="0"/>
                <w:bCs w:val="0"/>
                <w:noProof/>
                <w:webHidden/>
              </w:rPr>
              <w:fldChar w:fldCharType="end"/>
            </w:r>
          </w:hyperlink>
        </w:p>
        <w:p w14:paraId="560CE752"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1" w:history="1">
            <w:r w:rsidRPr="00805DF9">
              <w:rPr>
                <w:rStyle w:val="Hyperlink"/>
                <w:rFonts w:ascii="Arial" w:hAnsi="Arial" w:cs="Arial"/>
                <w:b w:val="0"/>
                <w:bCs w:val="0"/>
                <w:noProof/>
              </w:rPr>
              <w:t>Appendix G</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_Toc216386221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29</w:t>
            </w:r>
            <w:r w:rsidRPr="00805DF9">
              <w:rPr>
                <w:rFonts w:ascii="Arial" w:hAnsi="Arial" w:cs="Arial"/>
                <w:b w:val="0"/>
                <w:bCs w:val="0"/>
                <w:noProof/>
                <w:webHidden/>
              </w:rPr>
              <w:fldChar w:fldCharType="end"/>
            </w:r>
          </w:hyperlink>
        </w:p>
        <w:p w14:paraId="48130855"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2" w:history="1">
            <w:r w:rsidRPr="00805DF9">
              <w:rPr>
                <w:rStyle w:val="Hyperlink"/>
                <w:rFonts w:ascii="Arial" w:hAnsi="Arial" w:cs="Arial"/>
                <w:b w:val="0"/>
                <w:bCs w:val="0"/>
                <w:noProof/>
              </w:rPr>
              <w:t>Appendix H</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_Toc216386222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30</w:t>
            </w:r>
            <w:r w:rsidRPr="00805DF9">
              <w:rPr>
                <w:rFonts w:ascii="Arial" w:hAnsi="Arial" w:cs="Arial"/>
                <w:b w:val="0"/>
                <w:bCs w:val="0"/>
                <w:noProof/>
                <w:webHidden/>
              </w:rPr>
              <w:fldChar w:fldCharType="end"/>
            </w:r>
          </w:hyperlink>
        </w:p>
        <w:p w14:paraId="1D339307"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3" w:history="1">
            <w:r w:rsidRPr="00805DF9">
              <w:rPr>
                <w:rStyle w:val="Hyperlink"/>
                <w:rFonts w:ascii="Arial" w:hAnsi="Arial" w:cs="Arial"/>
                <w:b w:val="0"/>
                <w:bCs w:val="0"/>
                <w:noProof/>
              </w:rPr>
              <w:t>Appendix I</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_Toc216386223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30</w:t>
            </w:r>
            <w:r w:rsidRPr="00805DF9">
              <w:rPr>
                <w:rFonts w:ascii="Arial" w:hAnsi="Arial" w:cs="Arial"/>
                <w:b w:val="0"/>
                <w:bCs w:val="0"/>
                <w:noProof/>
                <w:webHidden/>
              </w:rPr>
              <w:fldChar w:fldCharType="end"/>
            </w:r>
          </w:hyperlink>
        </w:p>
        <w:p w14:paraId="5E9C2777"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4" w:history="1">
            <w:r w:rsidRPr="00805DF9">
              <w:rPr>
                <w:rStyle w:val="Hyperlink"/>
                <w:rFonts w:ascii="Arial" w:hAnsi="Arial" w:cs="Arial"/>
                <w:b w:val="0"/>
                <w:bCs w:val="0"/>
                <w:noProof/>
              </w:rPr>
              <w:t>Appendix J</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_Toc216386224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30</w:t>
            </w:r>
            <w:r w:rsidRPr="00805DF9">
              <w:rPr>
                <w:rFonts w:ascii="Arial" w:hAnsi="Arial" w:cs="Arial"/>
                <w:b w:val="0"/>
                <w:bCs w:val="0"/>
                <w:noProof/>
                <w:webHidden/>
              </w:rPr>
              <w:fldChar w:fldCharType="end"/>
            </w:r>
          </w:hyperlink>
        </w:p>
        <w:p w14:paraId="27A2FBB7"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5" w:history="1">
            <w:r w:rsidRPr="00805DF9">
              <w:rPr>
                <w:rStyle w:val="Hyperlink"/>
                <w:rFonts w:ascii="Arial" w:hAnsi="Arial" w:cs="Arial"/>
                <w:b w:val="0"/>
                <w:bCs w:val="0"/>
                <w:noProof/>
              </w:rPr>
              <w:t>Appendix K</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_Toc216386225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31</w:t>
            </w:r>
            <w:r w:rsidRPr="00805DF9">
              <w:rPr>
                <w:rFonts w:ascii="Arial" w:hAnsi="Arial" w:cs="Arial"/>
                <w:b w:val="0"/>
                <w:bCs w:val="0"/>
                <w:noProof/>
                <w:webHidden/>
              </w:rPr>
              <w:fldChar w:fldCharType="end"/>
            </w:r>
          </w:hyperlink>
        </w:p>
        <w:p w14:paraId="329F5C25"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6" w:history="1">
            <w:r w:rsidRPr="00805DF9">
              <w:rPr>
                <w:rStyle w:val="Hyperlink"/>
                <w:rFonts w:ascii="Arial" w:hAnsi="Arial" w:cs="Arial"/>
                <w:b w:val="0"/>
                <w:bCs w:val="0"/>
                <w:noProof/>
              </w:rPr>
              <w:t>Appendix L</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_Toc216386226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31</w:t>
            </w:r>
            <w:r w:rsidRPr="00805DF9">
              <w:rPr>
                <w:rFonts w:ascii="Arial" w:hAnsi="Arial" w:cs="Arial"/>
                <w:b w:val="0"/>
                <w:bCs w:val="0"/>
                <w:noProof/>
                <w:webHidden/>
              </w:rPr>
              <w:fldChar w:fldCharType="end"/>
            </w:r>
          </w:hyperlink>
        </w:p>
        <w:p w14:paraId="269EC7EB"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7" w:history="1">
            <w:r w:rsidRPr="00805DF9">
              <w:rPr>
                <w:rStyle w:val="Hyperlink"/>
                <w:rFonts w:ascii="Arial" w:hAnsi="Arial" w:cs="Arial"/>
                <w:b w:val="0"/>
                <w:bCs w:val="0"/>
                <w:noProof/>
              </w:rPr>
              <w:t>Appendix M</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_Toc216386227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31</w:t>
            </w:r>
            <w:r w:rsidRPr="00805DF9">
              <w:rPr>
                <w:rFonts w:ascii="Arial" w:hAnsi="Arial" w:cs="Arial"/>
                <w:b w:val="0"/>
                <w:bCs w:val="0"/>
                <w:noProof/>
                <w:webHidden/>
              </w:rPr>
              <w:fldChar w:fldCharType="end"/>
            </w:r>
          </w:hyperlink>
        </w:p>
        <w:p w14:paraId="346838FF"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8" w:history="1">
            <w:r w:rsidRPr="00805DF9">
              <w:rPr>
                <w:rStyle w:val="Hyperlink"/>
                <w:rFonts w:ascii="Arial" w:hAnsi="Arial" w:cs="Arial"/>
                <w:b w:val="0"/>
                <w:bCs w:val="0"/>
                <w:noProof/>
              </w:rPr>
              <w:t>Appendix N</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_Toc216386228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31</w:t>
            </w:r>
            <w:r w:rsidRPr="00805DF9">
              <w:rPr>
                <w:rFonts w:ascii="Arial" w:hAnsi="Arial" w:cs="Arial"/>
                <w:b w:val="0"/>
                <w:bCs w:val="0"/>
                <w:noProof/>
                <w:webHidden/>
              </w:rPr>
              <w:fldChar w:fldCharType="end"/>
            </w:r>
          </w:hyperlink>
        </w:p>
        <w:p w14:paraId="1D5F5213"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9" w:history="1">
            <w:r w:rsidRPr="00805DF9">
              <w:rPr>
                <w:rStyle w:val="Hyperlink"/>
                <w:rFonts w:ascii="Arial" w:hAnsi="Arial" w:cs="Arial"/>
                <w:b w:val="0"/>
                <w:bCs w:val="0"/>
                <w:noProof/>
              </w:rPr>
              <w:t>Appendix O</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_Toc216386229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32</w:t>
            </w:r>
            <w:r w:rsidRPr="00805DF9">
              <w:rPr>
                <w:rFonts w:ascii="Arial" w:hAnsi="Arial" w:cs="Arial"/>
                <w:b w:val="0"/>
                <w:bCs w:val="0"/>
                <w:noProof/>
                <w:webHidden/>
              </w:rPr>
              <w:fldChar w:fldCharType="end"/>
            </w:r>
          </w:hyperlink>
        </w:p>
        <w:p w14:paraId="6CDC68A8"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30" w:history="1">
            <w:r w:rsidRPr="00805DF9">
              <w:rPr>
                <w:rStyle w:val="Hyperlink"/>
                <w:rFonts w:ascii="Arial" w:hAnsi="Arial" w:cs="Arial"/>
                <w:b w:val="0"/>
                <w:bCs w:val="0"/>
                <w:noProof/>
              </w:rPr>
              <w:t>Appendix P</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_Toc216386230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32</w:t>
            </w:r>
            <w:r w:rsidRPr="00805DF9">
              <w:rPr>
                <w:rFonts w:ascii="Arial" w:hAnsi="Arial" w:cs="Arial"/>
                <w:b w:val="0"/>
                <w:bCs w:val="0"/>
                <w:noProof/>
                <w:webHidden/>
              </w:rPr>
              <w:fldChar w:fldCharType="end"/>
            </w:r>
          </w:hyperlink>
        </w:p>
        <w:p w14:paraId="5EA7F95A"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31" w:history="1">
            <w:r w:rsidRPr="00805DF9">
              <w:rPr>
                <w:rStyle w:val="Hyperlink"/>
                <w:rFonts w:ascii="Arial" w:hAnsi="Arial" w:cs="Arial"/>
                <w:b w:val="0"/>
                <w:bCs w:val="0"/>
                <w:noProof/>
              </w:rPr>
              <w:t>Appendix Q</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_Toc216386231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33</w:t>
            </w:r>
            <w:r w:rsidRPr="00805DF9">
              <w:rPr>
                <w:rFonts w:ascii="Arial" w:hAnsi="Arial" w:cs="Arial"/>
                <w:b w:val="0"/>
                <w:bCs w:val="0"/>
                <w:noProof/>
                <w:webHidden/>
              </w:rPr>
              <w:fldChar w:fldCharType="end"/>
            </w:r>
          </w:hyperlink>
        </w:p>
        <w:p w14:paraId="6D15E981"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32" w:history="1">
            <w:r w:rsidRPr="00805DF9">
              <w:rPr>
                <w:rStyle w:val="Hyperlink"/>
                <w:rFonts w:ascii="Arial" w:hAnsi="Arial" w:cs="Arial"/>
                <w:b w:val="0"/>
                <w:bCs w:val="0"/>
                <w:noProof/>
              </w:rPr>
              <w:t>Appendix R</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_Toc216386232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34</w:t>
            </w:r>
            <w:r w:rsidRPr="00805DF9">
              <w:rPr>
                <w:rFonts w:ascii="Arial" w:hAnsi="Arial" w:cs="Arial"/>
                <w:b w:val="0"/>
                <w:bCs w:val="0"/>
                <w:noProof/>
                <w:webHidden/>
              </w:rPr>
              <w:fldChar w:fldCharType="end"/>
            </w:r>
          </w:hyperlink>
        </w:p>
        <w:p w14:paraId="7CABE4B5"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33" w:history="1">
            <w:r w:rsidRPr="00805DF9">
              <w:rPr>
                <w:rStyle w:val="Hyperlink"/>
                <w:rFonts w:ascii="Arial" w:hAnsi="Arial" w:cs="Arial"/>
                <w:b w:val="0"/>
                <w:bCs w:val="0"/>
                <w:noProof/>
              </w:rPr>
              <w:t>Appendix 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_Toc216386233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35</w:t>
            </w:r>
            <w:r w:rsidRPr="00805DF9">
              <w:rPr>
                <w:rFonts w:ascii="Arial" w:hAnsi="Arial" w:cs="Arial"/>
                <w:b w:val="0"/>
                <w:bCs w:val="0"/>
                <w:noProof/>
                <w:webHidden/>
              </w:rPr>
              <w:fldChar w:fldCharType="end"/>
            </w:r>
          </w:hyperlink>
        </w:p>
        <w:p w14:paraId="6971F4DA" w14:textId="77777777" w:rsidR="00D56825" w:rsidRDefault="00D56825" w:rsidP="00D56825">
          <w:pPr>
            <w:spacing w:line="360" w:lineRule="auto"/>
            <w:rPr>
              <w:noProof/>
            </w:rPr>
          </w:pPr>
          <w:r w:rsidRPr="00805DF9">
            <w:rPr>
              <w:rFonts w:cs="Arial"/>
              <w:noProof/>
              <w:sz w:val="22"/>
              <w:szCs w:val="22"/>
            </w:rPr>
            <w:fldChar w:fldCharType="end"/>
          </w:r>
        </w:p>
      </w:sdtContent>
    </w:sdt>
    <w:p w14:paraId="131BCBB3" w14:textId="77777777" w:rsidR="00D56825" w:rsidRPr="006A4B35" w:rsidRDefault="00D56825" w:rsidP="00805DF9">
      <w:pPr>
        <w:spacing w:line="360" w:lineRule="auto"/>
      </w:pPr>
    </w:p>
    <w:p w14:paraId="33026827" w14:textId="77777777" w:rsidR="00805DF9" w:rsidRDefault="00805DF9" w:rsidP="00805DF9">
      <w:pPr>
        <w:pStyle w:val="Heading1"/>
      </w:pPr>
      <w:bookmarkStart w:id="0" w:name="_Toc216386192"/>
      <w:r>
        <w:lastRenderedPageBreak/>
        <w:t>Introduction</w:t>
      </w:r>
      <w:bookmarkEnd w:id="0"/>
    </w:p>
    <w:p w14:paraId="7A0B8A5C" w14:textId="77777777" w:rsidR="00CE731D" w:rsidRPr="00450B61" w:rsidRDefault="00655643" w:rsidP="00F03F46">
      <w:pPr>
        <w:spacing w:line="360" w:lineRule="auto"/>
        <w:rPr>
          <w:rFonts w:cs="Arial"/>
          <w:sz w:val="22"/>
          <w:szCs w:val="22"/>
        </w:rPr>
      </w:pPr>
      <w:r w:rsidRPr="00450B61">
        <w:rPr>
          <w:rFonts w:cs="Arial"/>
          <w:sz w:val="22"/>
          <w:szCs w:val="22"/>
        </w:rPr>
        <w:t xml:space="preserve">General Electronics (GE) is a global corporation that engages in consumer electronics, including the design, manufacture, and sale of smart products, household products, computer products, and digital services. Over the past decade, the </w:t>
      </w:r>
      <w:r w:rsidR="00CE731D" w:rsidRPr="00450B61">
        <w:rPr>
          <w:rFonts w:cs="Arial"/>
          <w:sz w:val="22"/>
          <w:szCs w:val="22"/>
        </w:rPr>
        <w:t>company has grown aggressively internationally,</w:t>
      </w:r>
      <w:r w:rsidRPr="00450B61">
        <w:rPr>
          <w:rFonts w:cs="Arial"/>
          <w:sz w:val="22"/>
          <w:szCs w:val="22"/>
        </w:rPr>
        <w:t xml:space="preserve"> establishing operation hubs in Europe, Asia and North America. Nonetheless, it has experienced high turbulence in its financial performance between 2020-2024. The company experienced a significant decline in net sales as it fell to USD394.9 billion in 2024 compared to USD614.7 billion in 2020. Furthermore, the increased leverage, combined with the negative cash flows, has elevated the concerns of investors and creditors. However, the company has remained operationally active, having continued to invest in property, plant and equipment</w:t>
      </w:r>
      <w:r w:rsidR="00CE731D" w:rsidRPr="00450B61">
        <w:rPr>
          <w:rFonts w:cs="Arial"/>
          <w:sz w:val="22"/>
          <w:szCs w:val="22"/>
        </w:rPr>
        <w:t>, signalling its intention to modernise production capacity, support long-term competitiveness, and maintain its innovation pipeline.</w:t>
      </w:r>
      <w:r w:rsidRPr="00450B61">
        <w:rPr>
          <w:rFonts w:cs="Arial"/>
          <w:sz w:val="22"/>
          <w:szCs w:val="22"/>
        </w:rPr>
        <w:t xml:space="preserve"> Hence, </w:t>
      </w:r>
      <w:r w:rsidR="00CE731D" w:rsidRPr="00450B61">
        <w:rPr>
          <w:rFonts w:cs="Arial"/>
          <w:sz w:val="22"/>
          <w:szCs w:val="22"/>
        </w:rPr>
        <w:t>this provides a platform to evaluate the root causes of its performance-related issues, and to recommend strategically prudent interventions which are capable of safeguarding and maximising its long-term shareholder wealth.</w:t>
      </w:r>
    </w:p>
    <w:p w14:paraId="27C7E508" w14:textId="77777777" w:rsidR="00CE731D" w:rsidRDefault="00CE731D" w:rsidP="00CE731D">
      <w:r>
        <w:br w:type="page"/>
      </w:r>
    </w:p>
    <w:p w14:paraId="3AAA3641" w14:textId="77777777" w:rsidR="00AF4093" w:rsidRPr="00AF4093" w:rsidRDefault="00AF4093" w:rsidP="00AF4093">
      <w:pPr>
        <w:pStyle w:val="Heading1"/>
      </w:pPr>
      <w:bookmarkStart w:id="1" w:name="_Toc216386193"/>
      <w:r>
        <w:lastRenderedPageBreak/>
        <w:t>Financial Health Analysis</w:t>
      </w:r>
      <w:r w:rsidR="00D83C69">
        <w:t xml:space="preserve"> of GE</w:t>
      </w:r>
      <w:bookmarkEnd w:id="1"/>
    </w:p>
    <w:p w14:paraId="2EF026FE" w14:textId="77777777" w:rsidR="00655643" w:rsidRDefault="0032590F" w:rsidP="00AF4093">
      <w:pPr>
        <w:pStyle w:val="Heading2"/>
      </w:pPr>
      <w:bookmarkStart w:id="2" w:name="_Toc216386194"/>
      <w:r>
        <w:t>Profitability</w:t>
      </w:r>
      <w:r w:rsidR="00AF4093">
        <w:t xml:space="preserve"> Ratios</w:t>
      </w:r>
      <w:r w:rsidR="00D83C69" w:rsidRPr="00D83C69">
        <w:t xml:space="preserve"> </w:t>
      </w:r>
      <w:r w:rsidR="00D83C69">
        <w:t>of GE</w:t>
      </w:r>
      <w:bookmarkEnd w:id="2"/>
    </w:p>
    <w:p w14:paraId="4E14ADC6" w14:textId="77777777" w:rsidR="0032590F" w:rsidRPr="00F87821" w:rsidRDefault="0032590F" w:rsidP="00F87821">
      <w:pPr>
        <w:spacing w:line="360" w:lineRule="auto"/>
        <w:rPr>
          <w:rFonts w:cs="Arial"/>
          <w:b/>
          <w:bCs/>
          <w:sz w:val="22"/>
          <w:szCs w:val="22"/>
        </w:rPr>
      </w:pPr>
      <w:r w:rsidRPr="00F87821">
        <w:rPr>
          <w:rFonts w:cs="Arial"/>
          <w:b/>
          <w:bCs/>
          <w:sz w:val="22"/>
          <w:szCs w:val="22"/>
        </w:rPr>
        <w:t>Gross Profit Margin</w:t>
      </w:r>
      <w:r w:rsidR="003E3255" w:rsidRPr="00F87821">
        <w:rPr>
          <w:rFonts w:cs="Arial"/>
          <w:b/>
          <w:bCs/>
          <w:sz w:val="22"/>
          <w:szCs w:val="22"/>
        </w:rPr>
        <w:t xml:space="preserve"> (see Appendix A)</w:t>
      </w:r>
    </w:p>
    <w:p w14:paraId="0A5B540F" w14:textId="77777777" w:rsidR="003E3255" w:rsidRPr="00F87821" w:rsidRDefault="00E0795F" w:rsidP="00F87821">
      <w:pPr>
        <w:keepNext/>
        <w:spacing w:line="360" w:lineRule="auto"/>
        <w:jc w:val="center"/>
        <w:rPr>
          <w:rFonts w:cs="Arial"/>
          <w:sz w:val="22"/>
          <w:szCs w:val="22"/>
        </w:rPr>
      </w:pPr>
      <w:r>
        <w:rPr>
          <w:noProof/>
        </w:rPr>
        <w:drawing>
          <wp:inline distT="0" distB="0" distL="0" distR="0" wp14:anchorId="5F575687" wp14:editId="349F5DF9">
            <wp:extent cx="4597400" cy="2768600"/>
            <wp:effectExtent l="0" t="0" r="0" b="0"/>
            <wp:docPr id="1478655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55724" name=""/>
                    <pic:cNvPicPr/>
                  </pic:nvPicPr>
                  <pic:blipFill>
                    <a:blip r:embed="rId9"/>
                    <a:stretch>
                      <a:fillRect/>
                    </a:stretch>
                  </pic:blipFill>
                  <pic:spPr>
                    <a:xfrm>
                      <a:off x="0" y="0"/>
                      <a:ext cx="4597400" cy="2768600"/>
                    </a:xfrm>
                    <a:prstGeom prst="rect">
                      <a:avLst/>
                    </a:prstGeom>
                  </pic:spPr>
                </pic:pic>
              </a:graphicData>
            </a:graphic>
          </wp:inline>
        </w:drawing>
      </w:r>
    </w:p>
    <w:p w14:paraId="6CB46FBB" w14:textId="77777777" w:rsidR="003E3255" w:rsidRPr="00F87821" w:rsidRDefault="003E3255" w:rsidP="00F87821">
      <w:pPr>
        <w:pStyle w:val="Caption"/>
        <w:spacing w:line="360" w:lineRule="auto"/>
        <w:jc w:val="center"/>
        <w:rPr>
          <w:rFonts w:cs="Arial"/>
          <w:sz w:val="22"/>
        </w:rPr>
      </w:pPr>
      <w:r w:rsidRPr="00F87821">
        <w:rPr>
          <w:rFonts w:cs="Arial"/>
          <w:sz w:val="22"/>
        </w:rPr>
        <w:t xml:space="preserve">Figure </w:t>
      </w:r>
      <w:r w:rsidRPr="00F87821">
        <w:rPr>
          <w:rFonts w:cs="Arial"/>
          <w:sz w:val="22"/>
        </w:rPr>
        <w:fldChar w:fldCharType="begin"/>
      </w:r>
      <w:r w:rsidRPr="00F87821">
        <w:rPr>
          <w:rFonts w:cs="Arial"/>
          <w:sz w:val="22"/>
        </w:rPr>
        <w:instrText xml:space="preserve"> SEQ Figure \* ARABIC </w:instrText>
      </w:r>
      <w:r w:rsidRPr="00F87821">
        <w:rPr>
          <w:rFonts w:cs="Arial"/>
          <w:sz w:val="22"/>
        </w:rPr>
        <w:fldChar w:fldCharType="separate"/>
      </w:r>
      <w:r w:rsidR="007F329F">
        <w:rPr>
          <w:rFonts w:cs="Arial"/>
          <w:noProof/>
          <w:sz w:val="22"/>
        </w:rPr>
        <w:t>1</w:t>
      </w:r>
      <w:r w:rsidRPr="00F87821">
        <w:rPr>
          <w:rFonts w:cs="Arial"/>
          <w:sz w:val="22"/>
        </w:rPr>
        <w:fldChar w:fldCharType="end"/>
      </w:r>
      <w:r w:rsidRPr="00F87821">
        <w:rPr>
          <w:rFonts w:cs="Arial"/>
          <w:sz w:val="22"/>
        </w:rPr>
        <w:t xml:space="preserve">. Gross Profit Margin of GE </w:t>
      </w:r>
    </w:p>
    <w:p w14:paraId="612F402F" w14:textId="77777777" w:rsidR="0032590F" w:rsidRPr="00F87821" w:rsidRDefault="003E3255" w:rsidP="00F87821">
      <w:pPr>
        <w:pStyle w:val="Caption"/>
        <w:spacing w:line="360" w:lineRule="auto"/>
        <w:jc w:val="center"/>
        <w:rPr>
          <w:rFonts w:cs="Arial"/>
          <w:sz w:val="22"/>
        </w:rPr>
      </w:pPr>
      <w:r w:rsidRPr="00F87821">
        <w:rPr>
          <w:rFonts w:cs="Arial"/>
          <w:sz w:val="22"/>
        </w:rPr>
        <w:t>Source: Self-made, 2025</w:t>
      </w:r>
    </w:p>
    <w:p w14:paraId="6CBE309A" w14:textId="77777777" w:rsidR="00D24C1B" w:rsidRPr="00F87821" w:rsidRDefault="003E3255" w:rsidP="00F87821">
      <w:pPr>
        <w:spacing w:line="360" w:lineRule="auto"/>
        <w:rPr>
          <w:rFonts w:cs="Arial"/>
          <w:sz w:val="22"/>
          <w:szCs w:val="22"/>
        </w:rPr>
      </w:pPr>
      <w:r w:rsidRPr="00F87821">
        <w:rPr>
          <w:rFonts w:cs="Arial"/>
          <w:sz w:val="22"/>
          <w:szCs w:val="22"/>
        </w:rPr>
        <w:t xml:space="preserve">It quantifies the efficiency with which the organisation converts sales into gross profit (Brigham and Houston, 2021). In the case of GE, </w:t>
      </w:r>
      <w:r w:rsidR="003B529D">
        <w:rPr>
          <w:rFonts w:cs="Arial"/>
          <w:sz w:val="22"/>
          <w:szCs w:val="22"/>
        </w:rPr>
        <w:t>it</w:t>
      </w:r>
      <w:r w:rsidRPr="00F87821">
        <w:rPr>
          <w:rFonts w:cs="Arial"/>
          <w:sz w:val="22"/>
          <w:szCs w:val="22"/>
        </w:rPr>
        <w:t xml:space="preserve"> </w:t>
      </w:r>
      <w:r w:rsidR="00D24C1B" w:rsidRPr="00F87821">
        <w:rPr>
          <w:rFonts w:cs="Arial"/>
          <w:sz w:val="22"/>
          <w:szCs w:val="22"/>
        </w:rPr>
        <w:t xml:space="preserve">stayed relatively steady at about </w:t>
      </w:r>
      <w:r w:rsidRPr="00F87821">
        <w:rPr>
          <w:rFonts w:cs="Arial"/>
          <w:sz w:val="22"/>
          <w:szCs w:val="22"/>
        </w:rPr>
        <w:t xml:space="preserve">between 2020 and 2022, </w:t>
      </w:r>
      <w:r w:rsidR="00D24C1B" w:rsidRPr="00F87821">
        <w:rPr>
          <w:rFonts w:cs="Arial"/>
          <w:sz w:val="22"/>
          <w:szCs w:val="22"/>
        </w:rPr>
        <w:t xml:space="preserve">indicating the same </w:t>
      </w:r>
      <w:r w:rsidR="00F87821">
        <w:rPr>
          <w:rFonts w:cs="Arial"/>
          <w:sz w:val="22"/>
          <w:szCs w:val="22"/>
        </w:rPr>
        <w:t>productio</w:t>
      </w:r>
      <w:r w:rsidR="00D24C1B" w:rsidRPr="00F87821">
        <w:rPr>
          <w:rFonts w:cs="Arial"/>
          <w:sz w:val="22"/>
          <w:szCs w:val="22"/>
        </w:rPr>
        <w:t xml:space="preserve">n </w:t>
      </w:r>
      <w:r w:rsidR="00F87821">
        <w:rPr>
          <w:rFonts w:cs="Arial"/>
          <w:sz w:val="22"/>
          <w:szCs w:val="22"/>
        </w:rPr>
        <w:t>efficiency</w:t>
      </w:r>
      <w:r w:rsidR="00D24C1B" w:rsidRPr="00F87821">
        <w:rPr>
          <w:rFonts w:cs="Arial"/>
          <w:sz w:val="22"/>
          <w:szCs w:val="22"/>
        </w:rPr>
        <w:t>. In 2023, however, the margin declined drastically</w:t>
      </w:r>
      <w:r w:rsidRPr="00F87821">
        <w:rPr>
          <w:rFonts w:cs="Arial"/>
          <w:sz w:val="22"/>
          <w:szCs w:val="22"/>
        </w:rPr>
        <w:t xml:space="preserve">. </w:t>
      </w:r>
      <w:r w:rsidR="007C328C" w:rsidRPr="00F87821">
        <w:rPr>
          <w:rFonts w:cs="Arial"/>
          <w:sz w:val="22"/>
          <w:szCs w:val="22"/>
        </w:rPr>
        <w:t xml:space="preserve">According to a report issued by GE (2023), the company experienced a sharp increase in its costs in the year owing to rising input costs, supply chain challenges and intensive price reductions in response to the pressure of inflation, delays in the supply of essential materials used in the production of products, labour skills shortages and other intricate global geopolitical pressures. The margin has returned to </w:t>
      </w:r>
      <w:r w:rsidR="003B529D">
        <w:rPr>
          <w:rFonts w:cs="Arial"/>
          <w:sz w:val="22"/>
          <w:szCs w:val="22"/>
        </w:rPr>
        <w:t>its previous state</w:t>
      </w:r>
      <w:r w:rsidR="007C328C" w:rsidRPr="00F87821">
        <w:rPr>
          <w:rFonts w:cs="Arial"/>
          <w:sz w:val="22"/>
          <w:szCs w:val="22"/>
        </w:rPr>
        <w:t xml:space="preserve"> in 2024, indicating better cost management and the probability of supply chain normalisation, albeit at the cost of significantly reduced sales.</w:t>
      </w:r>
    </w:p>
    <w:p w14:paraId="575B6281" w14:textId="77777777" w:rsidR="0032590F" w:rsidRPr="00F87821" w:rsidRDefault="0032590F" w:rsidP="00F87821">
      <w:pPr>
        <w:spacing w:line="360" w:lineRule="auto"/>
        <w:rPr>
          <w:rFonts w:cs="Arial"/>
          <w:b/>
          <w:bCs/>
          <w:sz w:val="22"/>
          <w:szCs w:val="22"/>
        </w:rPr>
      </w:pPr>
      <w:r w:rsidRPr="00F87821">
        <w:rPr>
          <w:rFonts w:cs="Arial"/>
          <w:b/>
          <w:bCs/>
          <w:sz w:val="22"/>
          <w:szCs w:val="22"/>
        </w:rPr>
        <w:t xml:space="preserve">Net Profit Margin </w:t>
      </w:r>
      <w:r w:rsidR="007C328C" w:rsidRPr="00F87821">
        <w:rPr>
          <w:rFonts w:cs="Arial"/>
          <w:b/>
          <w:bCs/>
          <w:sz w:val="22"/>
          <w:szCs w:val="22"/>
        </w:rPr>
        <w:t>(see Appendix B)</w:t>
      </w:r>
    </w:p>
    <w:p w14:paraId="67DED1B1" w14:textId="77777777" w:rsidR="007C328C" w:rsidRPr="00F87821" w:rsidRDefault="00AF4093" w:rsidP="00F87821">
      <w:pPr>
        <w:keepNext/>
        <w:spacing w:line="360" w:lineRule="auto"/>
        <w:jc w:val="center"/>
        <w:rPr>
          <w:rFonts w:cs="Arial"/>
          <w:sz w:val="22"/>
          <w:szCs w:val="22"/>
        </w:rPr>
      </w:pPr>
      <w:r w:rsidRPr="00F87821">
        <w:rPr>
          <w:rFonts w:cs="Arial"/>
          <w:noProof/>
          <w:sz w:val="22"/>
          <w:szCs w:val="22"/>
        </w:rPr>
        <w:lastRenderedPageBreak/>
        <w:drawing>
          <wp:inline distT="0" distB="0" distL="0" distR="0" wp14:anchorId="60E4E6A2" wp14:editId="4870B223">
            <wp:extent cx="4597400" cy="2768600"/>
            <wp:effectExtent l="0" t="0" r="0" b="0"/>
            <wp:docPr id="309317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17845" name=""/>
                    <pic:cNvPicPr/>
                  </pic:nvPicPr>
                  <pic:blipFill>
                    <a:blip r:embed="rId10"/>
                    <a:stretch>
                      <a:fillRect/>
                    </a:stretch>
                  </pic:blipFill>
                  <pic:spPr>
                    <a:xfrm>
                      <a:off x="0" y="0"/>
                      <a:ext cx="4597400" cy="2768600"/>
                    </a:xfrm>
                    <a:prstGeom prst="rect">
                      <a:avLst/>
                    </a:prstGeom>
                  </pic:spPr>
                </pic:pic>
              </a:graphicData>
            </a:graphic>
          </wp:inline>
        </w:drawing>
      </w:r>
    </w:p>
    <w:p w14:paraId="6A1F638B" w14:textId="77777777" w:rsidR="007C328C" w:rsidRPr="00F87821" w:rsidRDefault="007C328C" w:rsidP="00F87821">
      <w:pPr>
        <w:pStyle w:val="Caption"/>
        <w:spacing w:line="360" w:lineRule="auto"/>
        <w:jc w:val="center"/>
        <w:rPr>
          <w:rFonts w:cs="Arial"/>
          <w:sz w:val="22"/>
        </w:rPr>
      </w:pPr>
      <w:r w:rsidRPr="00F87821">
        <w:rPr>
          <w:rFonts w:cs="Arial"/>
          <w:sz w:val="22"/>
        </w:rPr>
        <w:t xml:space="preserve">Figure </w:t>
      </w:r>
      <w:r w:rsidRPr="00F87821">
        <w:rPr>
          <w:rFonts w:cs="Arial"/>
          <w:sz w:val="22"/>
        </w:rPr>
        <w:fldChar w:fldCharType="begin"/>
      </w:r>
      <w:r w:rsidRPr="00F87821">
        <w:rPr>
          <w:rFonts w:cs="Arial"/>
          <w:sz w:val="22"/>
        </w:rPr>
        <w:instrText xml:space="preserve"> SEQ Figure \* ARABIC </w:instrText>
      </w:r>
      <w:r w:rsidRPr="00F87821">
        <w:rPr>
          <w:rFonts w:cs="Arial"/>
          <w:sz w:val="22"/>
        </w:rPr>
        <w:fldChar w:fldCharType="separate"/>
      </w:r>
      <w:r w:rsidR="007F329F">
        <w:rPr>
          <w:rFonts w:cs="Arial"/>
          <w:noProof/>
          <w:sz w:val="22"/>
        </w:rPr>
        <w:t>2</w:t>
      </w:r>
      <w:r w:rsidRPr="00F87821">
        <w:rPr>
          <w:rFonts w:cs="Arial"/>
          <w:sz w:val="22"/>
        </w:rPr>
        <w:fldChar w:fldCharType="end"/>
      </w:r>
      <w:r w:rsidRPr="00F87821">
        <w:rPr>
          <w:rFonts w:cs="Arial"/>
          <w:sz w:val="22"/>
        </w:rPr>
        <w:t xml:space="preserve">. Net Profit Margin of GE </w:t>
      </w:r>
    </w:p>
    <w:p w14:paraId="513AA915" w14:textId="77777777" w:rsidR="00655643" w:rsidRPr="00F87821" w:rsidRDefault="007C328C" w:rsidP="00F87821">
      <w:pPr>
        <w:pStyle w:val="Caption"/>
        <w:spacing w:line="360" w:lineRule="auto"/>
        <w:jc w:val="center"/>
        <w:rPr>
          <w:rFonts w:cs="Arial"/>
          <w:sz w:val="22"/>
        </w:rPr>
      </w:pPr>
      <w:r w:rsidRPr="00F87821">
        <w:rPr>
          <w:rFonts w:cs="Arial"/>
          <w:sz w:val="22"/>
        </w:rPr>
        <w:t>Source: Self-made, 2025</w:t>
      </w:r>
    </w:p>
    <w:p w14:paraId="52755F72" w14:textId="77777777" w:rsidR="007C328C" w:rsidRDefault="007B5239" w:rsidP="00F87821">
      <w:pPr>
        <w:spacing w:line="360" w:lineRule="auto"/>
        <w:rPr>
          <w:rFonts w:cs="Arial"/>
          <w:sz w:val="22"/>
          <w:szCs w:val="22"/>
        </w:rPr>
      </w:pPr>
      <w:r w:rsidRPr="00F87821">
        <w:rPr>
          <w:rFonts w:cs="Arial"/>
          <w:sz w:val="22"/>
          <w:szCs w:val="22"/>
        </w:rPr>
        <w:t xml:space="preserve">It is a holistic indicator of profitability that indicates the ratio of the sales revenue that can be retained as profit after all expenses are subtracted (Brigham </w:t>
      </w:r>
      <w:r w:rsidR="00F87821" w:rsidRPr="00F87821">
        <w:rPr>
          <w:rFonts w:cs="Arial"/>
          <w:sz w:val="22"/>
          <w:szCs w:val="22"/>
        </w:rPr>
        <w:t>and</w:t>
      </w:r>
      <w:r w:rsidRPr="00F87821">
        <w:rPr>
          <w:rFonts w:cs="Arial"/>
          <w:sz w:val="22"/>
          <w:szCs w:val="22"/>
        </w:rPr>
        <w:t xml:space="preserve"> Houston, 2021). In GE, the ratio decreased significantly in five years. In 2020, it stood at 6.28, which signifies a healthy profitability. However, in 2021 and 2022, it dropped drastically to 0.88 and 0.07, respectively, indicating increasing operating costs. In 2023, the company reported an extreme net loss, which resulted in a </w:t>
      </w:r>
      <w:r w:rsidR="00F87821" w:rsidRPr="00F87821">
        <w:rPr>
          <w:rFonts w:cs="Arial"/>
          <w:sz w:val="22"/>
          <w:szCs w:val="22"/>
        </w:rPr>
        <w:t>ratio</w:t>
      </w:r>
      <w:r w:rsidRPr="00F87821">
        <w:rPr>
          <w:rFonts w:cs="Arial"/>
          <w:sz w:val="22"/>
          <w:szCs w:val="22"/>
        </w:rPr>
        <w:t xml:space="preserve"> of -23.36. This sharp decline was catalysed by a mix of declining sales, high operational costs, and increased finance costs. Despite the reduction of losses in 2024, the ratio was still negative at -6.08, which indicated a cost burden. Hence, the ongoing downward trend demonstrates that the firm is not in a position to make any profit on its core operations</w:t>
      </w:r>
      <w:r w:rsidR="007D2217">
        <w:rPr>
          <w:rFonts w:cs="Arial"/>
          <w:sz w:val="22"/>
          <w:szCs w:val="22"/>
        </w:rPr>
        <w:t xml:space="preserve"> </w:t>
      </w:r>
      <w:r w:rsidR="00F87821" w:rsidRPr="00F87821">
        <w:rPr>
          <w:rFonts w:cs="Arial"/>
          <w:sz w:val="22"/>
          <w:szCs w:val="22"/>
        </w:rPr>
        <w:t>(</w:t>
      </w:r>
      <w:r w:rsidR="00F87821" w:rsidRPr="00F87821">
        <w:rPr>
          <w:rFonts w:cs="Arial"/>
          <w:color w:val="222222"/>
          <w:sz w:val="22"/>
          <w:szCs w:val="22"/>
          <w:shd w:val="clear" w:color="auto" w:fill="FFFFFF"/>
        </w:rPr>
        <w:t>Aminah, 2021)</w:t>
      </w:r>
      <w:r w:rsidRPr="00F87821">
        <w:rPr>
          <w:rFonts w:cs="Arial"/>
          <w:sz w:val="22"/>
          <w:szCs w:val="22"/>
        </w:rPr>
        <w:t xml:space="preserve">. </w:t>
      </w:r>
    </w:p>
    <w:p w14:paraId="7BDB89ED" w14:textId="77777777" w:rsidR="00F87821" w:rsidRPr="00D83C69" w:rsidRDefault="00B91437" w:rsidP="00D83C69">
      <w:pPr>
        <w:pStyle w:val="Heading2"/>
      </w:pPr>
      <w:bookmarkStart w:id="3" w:name="_Toc216386195"/>
      <w:r w:rsidRPr="00D83C69">
        <w:t>Liquidity Ratios</w:t>
      </w:r>
      <w:r w:rsidR="00D83C69" w:rsidRPr="00D83C69">
        <w:t xml:space="preserve"> of GE</w:t>
      </w:r>
      <w:bookmarkEnd w:id="3"/>
    </w:p>
    <w:p w14:paraId="3047506B" w14:textId="77777777" w:rsidR="00F87821" w:rsidRPr="002B5ECC" w:rsidRDefault="00F87821" w:rsidP="002B5ECC">
      <w:pPr>
        <w:spacing w:line="360" w:lineRule="auto"/>
        <w:rPr>
          <w:rFonts w:cs="Arial"/>
          <w:b/>
          <w:bCs/>
          <w:sz w:val="22"/>
          <w:szCs w:val="22"/>
        </w:rPr>
      </w:pPr>
      <w:r w:rsidRPr="002B5ECC">
        <w:rPr>
          <w:rFonts w:cs="Arial"/>
          <w:b/>
          <w:bCs/>
          <w:sz w:val="22"/>
          <w:szCs w:val="22"/>
        </w:rPr>
        <w:t>Current ratio</w:t>
      </w:r>
      <w:r w:rsidR="007D2217" w:rsidRPr="002B5ECC">
        <w:rPr>
          <w:rFonts w:cs="Arial"/>
          <w:b/>
          <w:bCs/>
          <w:sz w:val="22"/>
          <w:szCs w:val="22"/>
        </w:rPr>
        <w:t xml:space="preserve"> (</w:t>
      </w:r>
      <w:r w:rsidR="00061491">
        <w:rPr>
          <w:rFonts w:cs="Arial"/>
          <w:b/>
          <w:bCs/>
          <w:sz w:val="22"/>
          <w:szCs w:val="22"/>
        </w:rPr>
        <w:t xml:space="preserve">see </w:t>
      </w:r>
      <w:r w:rsidR="007D2217" w:rsidRPr="002B5ECC">
        <w:rPr>
          <w:rFonts w:cs="Arial"/>
          <w:b/>
          <w:bCs/>
          <w:sz w:val="22"/>
          <w:szCs w:val="22"/>
        </w:rPr>
        <w:t>Appendix C)</w:t>
      </w:r>
    </w:p>
    <w:p w14:paraId="3AE4F482" w14:textId="77777777" w:rsidR="007D2217" w:rsidRPr="002B5ECC" w:rsidRDefault="0098116A" w:rsidP="002B5ECC">
      <w:pPr>
        <w:keepNext/>
        <w:spacing w:line="360" w:lineRule="auto"/>
        <w:jc w:val="center"/>
        <w:rPr>
          <w:rFonts w:cs="Arial"/>
          <w:sz w:val="22"/>
          <w:szCs w:val="22"/>
        </w:rPr>
      </w:pPr>
      <w:r>
        <w:rPr>
          <w:noProof/>
        </w:rPr>
        <w:lastRenderedPageBreak/>
        <w:drawing>
          <wp:inline distT="0" distB="0" distL="0" distR="0" wp14:anchorId="266EC807" wp14:editId="02FC69D2">
            <wp:extent cx="4597400" cy="2768600"/>
            <wp:effectExtent l="0" t="0" r="0" b="0"/>
            <wp:docPr id="1080251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51208" name=""/>
                    <pic:cNvPicPr/>
                  </pic:nvPicPr>
                  <pic:blipFill>
                    <a:blip r:embed="rId11"/>
                    <a:stretch>
                      <a:fillRect/>
                    </a:stretch>
                  </pic:blipFill>
                  <pic:spPr>
                    <a:xfrm>
                      <a:off x="0" y="0"/>
                      <a:ext cx="4597400" cy="2768600"/>
                    </a:xfrm>
                    <a:prstGeom prst="rect">
                      <a:avLst/>
                    </a:prstGeom>
                  </pic:spPr>
                </pic:pic>
              </a:graphicData>
            </a:graphic>
          </wp:inline>
        </w:drawing>
      </w:r>
    </w:p>
    <w:p w14:paraId="7C84FEAF" w14:textId="77777777" w:rsidR="007D2217" w:rsidRPr="002B5ECC" w:rsidRDefault="007D2217" w:rsidP="002B5ECC">
      <w:pPr>
        <w:pStyle w:val="Caption"/>
        <w:spacing w:line="360" w:lineRule="auto"/>
        <w:jc w:val="center"/>
        <w:rPr>
          <w:rFonts w:cs="Arial"/>
          <w:sz w:val="22"/>
        </w:rPr>
      </w:pPr>
      <w:r w:rsidRPr="002B5ECC">
        <w:rPr>
          <w:rFonts w:cs="Arial"/>
          <w:sz w:val="22"/>
        </w:rPr>
        <w:t xml:space="preserve">Figure </w:t>
      </w:r>
      <w:r w:rsidRPr="002B5ECC">
        <w:rPr>
          <w:rFonts w:cs="Arial"/>
          <w:sz w:val="22"/>
        </w:rPr>
        <w:fldChar w:fldCharType="begin"/>
      </w:r>
      <w:r w:rsidRPr="002B5ECC">
        <w:rPr>
          <w:rFonts w:cs="Arial"/>
          <w:sz w:val="22"/>
        </w:rPr>
        <w:instrText xml:space="preserve"> SEQ Figure \* ARABIC </w:instrText>
      </w:r>
      <w:r w:rsidRPr="002B5ECC">
        <w:rPr>
          <w:rFonts w:cs="Arial"/>
          <w:sz w:val="22"/>
        </w:rPr>
        <w:fldChar w:fldCharType="separate"/>
      </w:r>
      <w:r w:rsidR="007F329F">
        <w:rPr>
          <w:rFonts w:cs="Arial"/>
          <w:noProof/>
          <w:sz w:val="22"/>
        </w:rPr>
        <w:t>3</w:t>
      </w:r>
      <w:r w:rsidRPr="002B5ECC">
        <w:rPr>
          <w:rFonts w:cs="Arial"/>
          <w:sz w:val="22"/>
        </w:rPr>
        <w:fldChar w:fldCharType="end"/>
      </w:r>
      <w:r w:rsidRPr="002B5ECC">
        <w:rPr>
          <w:rFonts w:cs="Arial"/>
          <w:sz w:val="22"/>
        </w:rPr>
        <w:t xml:space="preserve">. Current Ratio of GE </w:t>
      </w:r>
    </w:p>
    <w:p w14:paraId="152B6927" w14:textId="77777777" w:rsidR="00F87821" w:rsidRPr="002B5ECC" w:rsidRDefault="007D2217" w:rsidP="002B5ECC">
      <w:pPr>
        <w:pStyle w:val="Caption"/>
        <w:spacing w:line="360" w:lineRule="auto"/>
        <w:jc w:val="center"/>
        <w:rPr>
          <w:rFonts w:cs="Arial"/>
          <w:sz w:val="22"/>
        </w:rPr>
      </w:pPr>
      <w:r w:rsidRPr="002B5ECC">
        <w:rPr>
          <w:rFonts w:cs="Arial"/>
          <w:sz w:val="22"/>
        </w:rPr>
        <w:t>Source: Self-made, 2025</w:t>
      </w:r>
    </w:p>
    <w:p w14:paraId="3D6DAE19" w14:textId="77777777" w:rsidR="00B91437" w:rsidRPr="00FB6A47" w:rsidRDefault="007D2217" w:rsidP="002B5ECC">
      <w:pPr>
        <w:spacing w:line="360" w:lineRule="auto"/>
        <w:rPr>
          <w:rFonts w:cs="Arial"/>
          <w:sz w:val="22"/>
          <w:szCs w:val="22"/>
        </w:rPr>
      </w:pPr>
      <w:r w:rsidRPr="00FB6A47">
        <w:rPr>
          <w:rFonts w:cs="Arial"/>
          <w:sz w:val="22"/>
          <w:szCs w:val="22"/>
        </w:rPr>
        <w:t>It</w:t>
      </w:r>
      <w:r w:rsidR="00B91437" w:rsidRPr="00FB6A47">
        <w:rPr>
          <w:rFonts w:cs="Arial"/>
          <w:sz w:val="22"/>
          <w:szCs w:val="22"/>
        </w:rPr>
        <w:t xml:space="preserve"> is a measure of the firm’s ability to pay off its short-term liabilities with its short-term assets of the firm</w:t>
      </w:r>
      <w:r w:rsidRPr="00FB6A47">
        <w:rPr>
          <w:rFonts w:cs="Arial"/>
          <w:sz w:val="22"/>
          <w:szCs w:val="22"/>
        </w:rPr>
        <w:t xml:space="preserve"> (</w:t>
      </w:r>
      <w:proofErr w:type="spellStart"/>
      <w:r w:rsidRPr="00FB6A47">
        <w:rPr>
          <w:rFonts w:cs="Arial"/>
          <w:sz w:val="22"/>
          <w:szCs w:val="22"/>
        </w:rPr>
        <w:t>Atrill</w:t>
      </w:r>
      <w:proofErr w:type="spellEnd"/>
      <w:r w:rsidRPr="00FB6A47">
        <w:rPr>
          <w:rFonts w:cs="Arial"/>
          <w:sz w:val="22"/>
          <w:szCs w:val="22"/>
        </w:rPr>
        <w:t xml:space="preserve"> and </w:t>
      </w:r>
      <w:proofErr w:type="spellStart"/>
      <w:r w:rsidRPr="00FB6A47">
        <w:rPr>
          <w:rFonts w:cs="Arial"/>
          <w:sz w:val="22"/>
          <w:szCs w:val="22"/>
        </w:rPr>
        <w:t>McLaney</w:t>
      </w:r>
      <w:proofErr w:type="spellEnd"/>
      <w:r w:rsidRPr="00FB6A47">
        <w:rPr>
          <w:rFonts w:cs="Arial"/>
          <w:sz w:val="22"/>
          <w:szCs w:val="22"/>
        </w:rPr>
        <w:t>, 2008)</w:t>
      </w:r>
      <w:r w:rsidR="00B91437" w:rsidRPr="00FB6A47">
        <w:rPr>
          <w:rFonts w:cs="Arial"/>
          <w:sz w:val="22"/>
          <w:szCs w:val="22"/>
        </w:rPr>
        <w:t>. Throughout the years 2020-2024, the current ratio of GE decreased by 0.29, showing a decreasing trend of liquidity. This decline is mostly attributed to a drastic decline in current assets, especially cash (USD37,153m in 2020 to USD26,783m in 2024)</w:t>
      </w:r>
      <w:r w:rsidRPr="00FB6A47">
        <w:rPr>
          <w:rFonts w:cs="Arial"/>
          <w:sz w:val="22"/>
          <w:szCs w:val="22"/>
        </w:rPr>
        <w:t xml:space="preserve"> and an increase in c</w:t>
      </w:r>
      <w:r w:rsidR="00B91437" w:rsidRPr="00FB6A47">
        <w:rPr>
          <w:rFonts w:cs="Arial"/>
          <w:sz w:val="22"/>
          <w:szCs w:val="22"/>
        </w:rPr>
        <w:t xml:space="preserve">urrent liabilities, </w:t>
      </w:r>
      <w:r w:rsidRPr="00FB6A47">
        <w:rPr>
          <w:rFonts w:cs="Arial"/>
          <w:sz w:val="22"/>
          <w:szCs w:val="22"/>
        </w:rPr>
        <w:t>fuelled</w:t>
      </w:r>
      <w:r w:rsidR="00B91437" w:rsidRPr="00FB6A47">
        <w:rPr>
          <w:rFonts w:cs="Arial"/>
          <w:sz w:val="22"/>
          <w:szCs w:val="22"/>
        </w:rPr>
        <w:t xml:space="preserve"> by higher dependence on credit (</w:t>
      </w:r>
      <w:r w:rsidRPr="00FB6A47">
        <w:rPr>
          <w:rFonts w:cs="Arial"/>
          <w:sz w:val="22"/>
          <w:szCs w:val="22"/>
        </w:rPr>
        <w:t>USD</w:t>
      </w:r>
      <w:r w:rsidR="00B91437" w:rsidRPr="00FB6A47">
        <w:rPr>
          <w:rFonts w:cs="Arial"/>
          <w:sz w:val="22"/>
          <w:szCs w:val="22"/>
        </w:rPr>
        <w:t>20,000m in 2020</w:t>
      </w:r>
      <w:r w:rsidRPr="00FB6A47">
        <w:rPr>
          <w:rFonts w:cs="Arial"/>
          <w:sz w:val="22"/>
          <w:szCs w:val="22"/>
        </w:rPr>
        <w:t xml:space="preserve"> to USD36,960m in 2024</w:t>
      </w:r>
      <w:r w:rsidR="00B91437" w:rsidRPr="00FB6A47">
        <w:rPr>
          <w:rFonts w:cs="Arial"/>
          <w:sz w:val="22"/>
          <w:szCs w:val="22"/>
        </w:rPr>
        <w:t xml:space="preserve">) and continuously high accounts payable. The consequences of this negative trend are alarming because </w:t>
      </w:r>
      <w:r w:rsidRPr="00FB6A47">
        <w:rPr>
          <w:rFonts w:cs="Arial"/>
          <w:sz w:val="22"/>
          <w:szCs w:val="22"/>
        </w:rPr>
        <w:t>this</w:t>
      </w:r>
      <w:r w:rsidR="00B91437" w:rsidRPr="00FB6A47">
        <w:rPr>
          <w:rFonts w:cs="Arial"/>
          <w:sz w:val="22"/>
          <w:szCs w:val="22"/>
        </w:rPr>
        <w:t xml:space="preserve"> can lead to loss of short</w:t>
      </w:r>
      <w:r w:rsidRPr="00FB6A47">
        <w:rPr>
          <w:rFonts w:cs="Arial"/>
          <w:sz w:val="22"/>
          <w:szCs w:val="22"/>
        </w:rPr>
        <w:t>-</w:t>
      </w:r>
      <w:r w:rsidR="00B91437" w:rsidRPr="00FB6A47">
        <w:rPr>
          <w:rFonts w:cs="Arial"/>
          <w:sz w:val="22"/>
          <w:szCs w:val="22"/>
        </w:rPr>
        <w:t>term creditor confidence and escalation of the refinancing risk</w:t>
      </w:r>
      <w:r w:rsidR="00FB6A47" w:rsidRPr="00FB6A47">
        <w:rPr>
          <w:rFonts w:cs="Arial"/>
          <w:sz w:val="22"/>
          <w:szCs w:val="22"/>
        </w:rPr>
        <w:t xml:space="preserve"> (</w:t>
      </w:r>
      <w:proofErr w:type="spellStart"/>
      <w:r w:rsidR="00FB6A47" w:rsidRPr="00FB6A47">
        <w:rPr>
          <w:rFonts w:cs="Arial"/>
          <w:color w:val="222222"/>
          <w:sz w:val="22"/>
          <w:szCs w:val="22"/>
          <w:shd w:val="clear" w:color="auto" w:fill="FFFFFF"/>
        </w:rPr>
        <w:t>Sunaryo</w:t>
      </w:r>
      <w:proofErr w:type="spellEnd"/>
      <w:r w:rsidR="00FB6A47" w:rsidRPr="00FB6A47">
        <w:rPr>
          <w:rFonts w:cs="Arial"/>
          <w:color w:val="222222"/>
          <w:sz w:val="22"/>
          <w:szCs w:val="22"/>
          <w:shd w:val="clear" w:color="auto" w:fill="FFFFFF"/>
        </w:rPr>
        <w:t>, 2021).</w:t>
      </w:r>
    </w:p>
    <w:p w14:paraId="33BCC003" w14:textId="77777777" w:rsidR="00F87821" w:rsidRPr="002B5ECC" w:rsidRDefault="00B91437" w:rsidP="002B5ECC">
      <w:pPr>
        <w:spacing w:line="360" w:lineRule="auto"/>
        <w:rPr>
          <w:rFonts w:cs="Arial"/>
          <w:b/>
          <w:bCs/>
          <w:sz w:val="22"/>
          <w:szCs w:val="22"/>
        </w:rPr>
      </w:pPr>
      <w:r w:rsidRPr="002B5ECC">
        <w:rPr>
          <w:rFonts w:cs="Arial"/>
          <w:b/>
          <w:bCs/>
          <w:sz w:val="22"/>
          <w:szCs w:val="22"/>
        </w:rPr>
        <w:t xml:space="preserve">Quick Ratio </w:t>
      </w:r>
      <w:r w:rsidR="007D2217" w:rsidRPr="002B5ECC">
        <w:rPr>
          <w:rFonts w:cs="Arial"/>
          <w:b/>
          <w:bCs/>
          <w:sz w:val="22"/>
          <w:szCs w:val="22"/>
        </w:rPr>
        <w:t>(</w:t>
      </w:r>
      <w:r w:rsidR="00061491">
        <w:rPr>
          <w:rFonts w:cs="Arial"/>
          <w:b/>
          <w:bCs/>
          <w:sz w:val="22"/>
          <w:szCs w:val="22"/>
        </w:rPr>
        <w:t xml:space="preserve">see </w:t>
      </w:r>
      <w:r w:rsidR="007D2217" w:rsidRPr="002B5ECC">
        <w:rPr>
          <w:rFonts w:cs="Arial"/>
          <w:b/>
          <w:bCs/>
          <w:sz w:val="22"/>
          <w:szCs w:val="22"/>
        </w:rPr>
        <w:t>Appendix D)</w:t>
      </w:r>
    </w:p>
    <w:p w14:paraId="6B1EFF24" w14:textId="77777777" w:rsidR="007D2217" w:rsidRPr="002B5ECC" w:rsidRDefault="0098116A" w:rsidP="002B5ECC">
      <w:pPr>
        <w:keepNext/>
        <w:spacing w:line="360" w:lineRule="auto"/>
        <w:jc w:val="center"/>
        <w:rPr>
          <w:rFonts w:cs="Arial"/>
          <w:sz w:val="22"/>
          <w:szCs w:val="22"/>
        </w:rPr>
      </w:pPr>
      <w:r>
        <w:rPr>
          <w:noProof/>
        </w:rPr>
        <w:lastRenderedPageBreak/>
        <w:drawing>
          <wp:inline distT="0" distB="0" distL="0" distR="0" wp14:anchorId="28745663" wp14:editId="1222D72E">
            <wp:extent cx="4597400" cy="2768600"/>
            <wp:effectExtent l="0" t="0" r="0" b="0"/>
            <wp:docPr id="328385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85844" name=""/>
                    <pic:cNvPicPr/>
                  </pic:nvPicPr>
                  <pic:blipFill>
                    <a:blip r:embed="rId12"/>
                    <a:stretch>
                      <a:fillRect/>
                    </a:stretch>
                  </pic:blipFill>
                  <pic:spPr>
                    <a:xfrm>
                      <a:off x="0" y="0"/>
                      <a:ext cx="4597400" cy="2768600"/>
                    </a:xfrm>
                    <a:prstGeom prst="rect">
                      <a:avLst/>
                    </a:prstGeom>
                  </pic:spPr>
                </pic:pic>
              </a:graphicData>
            </a:graphic>
          </wp:inline>
        </w:drawing>
      </w:r>
    </w:p>
    <w:p w14:paraId="1F2EEFEE" w14:textId="77777777" w:rsidR="007D2217" w:rsidRPr="002B5ECC" w:rsidRDefault="007D2217" w:rsidP="002B5ECC">
      <w:pPr>
        <w:pStyle w:val="Caption"/>
        <w:spacing w:line="360" w:lineRule="auto"/>
        <w:jc w:val="center"/>
        <w:rPr>
          <w:rFonts w:cs="Arial"/>
          <w:sz w:val="22"/>
        </w:rPr>
      </w:pPr>
      <w:r w:rsidRPr="002B5ECC">
        <w:rPr>
          <w:rFonts w:cs="Arial"/>
          <w:sz w:val="22"/>
        </w:rPr>
        <w:t xml:space="preserve">Figure </w:t>
      </w:r>
      <w:r w:rsidRPr="002B5ECC">
        <w:rPr>
          <w:rFonts w:cs="Arial"/>
          <w:sz w:val="22"/>
        </w:rPr>
        <w:fldChar w:fldCharType="begin"/>
      </w:r>
      <w:r w:rsidRPr="002B5ECC">
        <w:rPr>
          <w:rFonts w:cs="Arial"/>
          <w:sz w:val="22"/>
        </w:rPr>
        <w:instrText xml:space="preserve"> SEQ Figure \* ARABIC </w:instrText>
      </w:r>
      <w:r w:rsidRPr="002B5ECC">
        <w:rPr>
          <w:rFonts w:cs="Arial"/>
          <w:sz w:val="22"/>
        </w:rPr>
        <w:fldChar w:fldCharType="separate"/>
      </w:r>
      <w:r w:rsidR="007F329F">
        <w:rPr>
          <w:rFonts w:cs="Arial"/>
          <w:noProof/>
          <w:sz w:val="22"/>
        </w:rPr>
        <w:t>4</w:t>
      </w:r>
      <w:r w:rsidRPr="002B5ECC">
        <w:rPr>
          <w:rFonts w:cs="Arial"/>
          <w:sz w:val="22"/>
        </w:rPr>
        <w:fldChar w:fldCharType="end"/>
      </w:r>
      <w:r w:rsidRPr="002B5ECC">
        <w:rPr>
          <w:rFonts w:cs="Arial"/>
          <w:sz w:val="22"/>
        </w:rPr>
        <w:t xml:space="preserve">. Quick Ratio of GE </w:t>
      </w:r>
    </w:p>
    <w:p w14:paraId="66B74E02" w14:textId="77777777" w:rsidR="007D2217" w:rsidRPr="002B5ECC" w:rsidRDefault="007D2217" w:rsidP="002B5ECC">
      <w:pPr>
        <w:pStyle w:val="Caption"/>
        <w:spacing w:line="360" w:lineRule="auto"/>
        <w:jc w:val="center"/>
        <w:rPr>
          <w:rFonts w:cs="Arial"/>
          <w:sz w:val="22"/>
        </w:rPr>
      </w:pPr>
      <w:r w:rsidRPr="002B5ECC">
        <w:rPr>
          <w:rFonts w:cs="Arial"/>
          <w:sz w:val="22"/>
        </w:rPr>
        <w:t>Source: Self-made, 2025</w:t>
      </w:r>
    </w:p>
    <w:p w14:paraId="213886AF" w14:textId="77777777" w:rsidR="00B91437" w:rsidRPr="00FB6A47" w:rsidRDefault="007D2217" w:rsidP="002B5ECC">
      <w:pPr>
        <w:spacing w:line="360" w:lineRule="auto"/>
        <w:rPr>
          <w:rFonts w:cs="Arial"/>
          <w:sz w:val="22"/>
          <w:szCs w:val="22"/>
        </w:rPr>
      </w:pPr>
      <w:r w:rsidRPr="002B5ECC">
        <w:rPr>
          <w:rFonts w:cs="Arial"/>
          <w:sz w:val="22"/>
          <w:szCs w:val="22"/>
        </w:rPr>
        <w:t>It shows the capacity of the firm to pay urgent debt obligations by employing only highly liquid assets such as cash and receivables (</w:t>
      </w:r>
      <w:proofErr w:type="spellStart"/>
      <w:r w:rsidRPr="002B5ECC">
        <w:rPr>
          <w:rFonts w:cs="Arial"/>
          <w:sz w:val="22"/>
          <w:szCs w:val="22"/>
        </w:rPr>
        <w:t>Atrill</w:t>
      </w:r>
      <w:proofErr w:type="spellEnd"/>
      <w:r w:rsidRPr="002B5ECC">
        <w:rPr>
          <w:rFonts w:cs="Arial"/>
          <w:sz w:val="22"/>
          <w:szCs w:val="22"/>
        </w:rPr>
        <w:t xml:space="preserve"> and </w:t>
      </w:r>
      <w:proofErr w:type="spellStart"/>
      <w:r w:rsidRPr="002B5ECC">
        <w:rPr>
          <w:rFonts w:cs="Arial"/>
          <w:sz w:val="22"/>
          <w:szCs w:val="22"/>
        </w:rPr>
        <w:t>McLaney</w:t>
      </w:r>
      <w:proofErr w:type="spellEnd"/>
      <w:r w:rsidRPr="002B5ECC">
        <w:rPr>
          <w:rFonts w:cs="Arial"/>
          <w:sz w:val="22"/>
          <w:szCs w:val="22"/>
        </w:rPr>
        <w:t xml:space="preserve">, 2008). </w:t>
      </w:r>
      <w:r w:rsidR="002B5ECC">
        <w:rPr>
          <w:rFonts w:cs="Arial"/>
          <w:sz w:val="22"/>
          <w:szCs w:val="22"/>
        </w:rPr>
        <w:t>In the case of GE, t</w:t>
      </w:r>
      <w:r w:rsidR="002B5ECC" w:rsidRPr="002B5ECC">
        <w:rPr>
          <w:rFonts w:cs="Arial"/>
          <w:sz w:val="22"/>
          <w:szCs w:val="22"/>
        </w:rPr>
        <w:t xml:space="preserve">he analysis shows that the quick ratio declined significantly in 2022 to 0.92. The decline is especially worrisome, caused by increasing inventories (hitting USD140,181m). The consequences of such situations are severe since </w:t>
      </w:r>
      <w:r w:rsidR="002B5ECC" w:rsidRPr="00FB6A47">
        <w:rPr>
          <w:rFonts w:cs="Arial"/>
          <w:sz w:val="22"/>
          <w:szCs w:val="22"/>
        </w:rPr>
        <w:t>they can impose strain on the cash flow, raise the chances of short-term borrowing, and increase financial risk</w:t>
      </w:r>
      <w:r w:rsidR="00FB6A47" w:rsidRPr="00FB6A47">
        <w:rPr>
          <w:rFonts w:cs="Arial"/>
          <w:sz w:val="22"/>
          <w:szCs w:val="22"/>
        </w:rPr>
        <w:t xml:space="preserve"> (</w:t>
      </w:r>
      <w:proofErr w:type="spellStart"/>
      <w:r w:rsidR="00FB6A47" w:rsidRPr="00FB6A47">
        <w:rPr>
          <w:rFonts w:cs="Arial"/>
          <w:color w:val="222222"/>
          <w:sz w:val="22"/>
          <w:szCs w:val="22"/>
          <w:shd w:val="clear" w:color="auto" w:fill="FFFFFF"/>
        </w:rPr>
        <w:t>Sabilillah</w:t>
      </w:r>
      <w:proofErr w:type="spellEnd"/>
      <w:r w:rsidR="00FB6A47" w:rsidRPr="00FB6A47">
        <w:rPr>
          <w:rFonts w:cs="Arial"/>
          <w:color w:val="222222"/>
          <w:sz w:val="22"/>
          <w:szCs w:val="22"/>
          <w:shd w:val="clear" w:color="auto" w:fill="FFFFFF"/>
        </w:rPr>
        <w:t xml:space="preserve"> et al., 2025).</w:t>
      </w:r>
    </w:p>
    <w:p w14:paraId="1093A6E4" w14:textId="77777777" w:rsidR="002B5ECC" w:rsidRDefault="002B5ECC" w:rsidP="002B5ECC">
      <w:pPr>
        <w:pStyle w:val="Heading2"/>
      </w:pPr>
      <w:bookmarkStart w:id="4" w:name="_Toc216386196"/>
      <w:r>
        <w:t xml:space="preserve">Efficiency Ratios </w:t>
      </w:r>
      <w:r w:rsidR="00D83C69">
        <w:t>of GE</w:t>
      </w:r>
      <w:bookmarkEnd w:id="4"/>
    </w:p>
    <w:p w14:paraId="0B763EF7" w14:textId="77777777" w:rsidR="002B5ECC" w:rsidRPr="001F2A43" w:rsidRDefault="002B5ECC" w:rsidP="001F2A43">
      <w:pPr>
        <w:spacing w:line="360" w:lineRule="auto"/>
        <w:rPr>
          <w:rFonts w:cs="Arial"/>
          <w:b/>
          <w:bCs/>
          <w:sz w:val="22"/>
          <w:szCs w:val="22"/>
        </w:rPr>
      </w:pPr>
      <w:r w:rsidRPr="001F2A43">
        <w:rPr>
          <w:rFonts w:cs="Arial"/>
          <w:b/>
          <w:bCs/>
          <w:sz w:val="22"/>
          <w:szCs w:val="22"/>
        </w:rPr>
        <w:t xml:space="preserve">Asset Turnover </w:t>
      </w:r>
      <w:r w:rsidR="00061491" w:rsidRPr="002B5ECC">
        <w:rPr>
          <w:rFonts w:cs="Arial"/>
          <w:b/>
          <w:bCs/>
          <w:sz w:val="22"/>
          <w:szCs w:val="22"/>
        </w:rPr>
        <w:t>(</w:t>
      </w:r>
      <w:r w:rsidR="00061491">
        <w:rPr>
          <w:rFonts w:cs="Arial"/>
          <w:b/>
          <w:bCs/>
          <w:sz w:val="22"/>
          <w:szCs w:val="22"/>
        </w:rPr>
        <w:t xml:space="preserve">see </w:t>
      </w:r>
      <w:r w:rsidR="00061491" w:rsidRPr="002B5ECC">
        <w:rPr>
          <w:rFonts w:cs="Arial"/>
          <w:b/>
          <w:bCs/>
          <w:sz w:val="22"/>
          <w:szCs w:val="22"/>
        </w:rPr>
        <w:t xml:space="preserve">Appendix </w:t>
      </w:r>
      <w:r w:rsidR="00061491">
        <w:rPr>
          <w:rFonts w:cs="Arial"/>
          <w:b/>
          <w:bCs/>
          <w:sz w:val="22"/>
          <w:szCs w:val="22"/>
        </w:rPr>
        <w:t>E</w:t>
      </w:r>
      <w:r w:rsidR="00061491" w:rsidRPr="002B5ECC">
        <w:rPr>
          <w:rFonts w:cs="Arial"/>
          <w:b/>
          <w:bCs/>
          <w:sz w:val="22"/>
          <w:szCs w:val="22"/>
        </w:rPr>
        <w:t>)</w:t>
      </w:r>
    </w:p>
    <w:p w14:paraId="525A3DCE" w14:textId="77777777" w:rsidR="004231C1" w:rsidRPr="001F2A43" w:rsidRDefault="002B5ECC" w:rsidP="001F2A43">
      <w:pPr>
        <w:keepNext/>
        <w:spacing w:line="360" w:lineRule="auto"/>
        <w:jc w:val="center"/>
        <w:rPr>
          <w:rFonts w:cs="Arial"/>
          <w:sz w:val="22"/>
          <w:szCs w:val="22"/>
        </w:rPr>
      </w:pPr>
      <w:r w:rsidRPr="001F2A43">
        <w:rPr>
          <w:rFonts w:cs="Arial"/>
          <w:noProof/>
          <w:sz w:val="22"/>
          <w:szCs w:val="22"/>
        </w:rPr>
        <w:lastRenderedPageBreak/>
        <w:drawing>
          <wp:inline distT="0" distB="0" distL="0" distR="0" wp14:anchorId="5DA5C791" wp14:editId="3BE5E6EF">
            <wp:extent cx="4597400" cy="2768600"/>
            <wp:effectExtent l="0" t="0" r="0" b="0"/>
            <wp:docPr id="1483060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060633" name=""/>
                    <pic:cNvPicPr/>
                  </pic:nvPicPr>
                  <pic:blipFill>
                    <a:blip r:embed="rId13"/>
                    <a:stretch>
                      <a:fillRect/>
                    </a:stretch>
                  </pic:blipFill>
                  <pic:spPr>
                    <a:xfrm>
                      <a:off x="0" y="0"/>
                      <a:ext cx="4597400" cy="2768600"/>
                    </a:xfrm>
                    <a:prstGeom prst="rect">
                      <a:avLst/>
                    </a:prstGeom>
                  </pic:spPr>
                </pic:pic>
              </a:graphicData>
            </a:graphic>
          </wp:inline>
        </w:drawing>
      </w:r>
    </w:p>
    <w:p w14:paraId="6B01EAE4" w14:textId="77777777" w:rsidR="004231C1" w:rsidRPr="001F2A43" w:rsidRDefault="004231C1" w:rsidP="001F2A43">
      <w:pPr>
        <w:pStyle w:val="Caption"/>
        <w:spacing w:line="360" w:lineRule="auto"/>
        <w:jc w:val="center"/>
        <w:rPr>
          <w:rFonts w:cs="Arial"/>
          <w:sz w:val="22"/>
        </w:rPr>
      </w:pPr>
      <w:r w:rsidRPr="001F2A43">
        <w:rPr>
          <w:rFonts w:cs="Arial"/>
          <w:sz w:val="22"/>
        </w:rPr>
        <w:t xml:space="preserve">Figure </w:t>
      </w:r>
      <w:r w:rsidRPr="001F2A43">
        <w:rPr>
          <w:rFonts w:cs="Arial"/>
          <w:sz w:val="22"/>
        </w:rPr>
        <w:fldChar w:fldCharType="begin"/>
      </w:r>
      <w:r w:rsidRPr="001F2A43">
        <w:rPr>
          <w:rFonts w:cs="Arial"/>
          <w:sz w:val="22"/>
        </w:rPr>
        <w:instrText xml:space="preserve"> SEQ Figure \* ARABIC </w:instrText>
      </w:r>
      <w:r w:rsidRPr="001F2A43">
        <w:rPr>
          <w:rFonts w:cs="Arial"/>
          <w:sz w:val="22"/>
        </w:rPr>
        <w:fldChar w:fldCharType="separate"/>
      </w:r>
      <w:r w:rsidR="007F329F">
        <w:rPr>
          <w:rFonts w:cs="Arial"/>
          <w:noProof/>
          <w:sz w:val="22"/>
        </w:rPr>
        <w:t>5</w:t>
      </w:r>
      <w:r w:rsidRPr="001F2A43">
        <w:rPr>
          <w:rFonts w:cs="Arial"/>
          <w:sz w:val="22"/>
        </w:rPr>
        <w:fldChar w:fldCharType="end"/>
      </w:r>
      <w:r w:rsidRPr="001F2A43">
        <w:rPr>
          <w:rFonts w:cs="Arial"/>
          <w:sz w:val="22"/>
        </w:rPr>
        <w:t xml:space="preserve">. Asset Turnover of GE </w:t>
      </w:r>
    </w:p>
    <w:p w14:paraId="439D0B9D" w14:textId="77777777" w:rsidR="002B5ECC" w:rsidRPr="001F2A43" w:rsidRDefault="004231C1" w:rsidP="001F2A43">
      <w:pPr>
        <w:pStyle w:val="Caption"/>
        <w:spacing w:line="360" w:lineRule="auto"/>
        <w:jc w:val="center"/>
        <w:rPr>
          <w:rFonts w:cs="Arial"/>
          <w:sz w:val="22"/>
        </w:rPr>
      </w:pPr>
      <w:r w:rsidRPr="001F2A43">
        <w:rPr>
          <w:rFonts w:cs="Arial"/>
          <w:sz w:val="22"/>
        </w:rPr>
        <w:t>Source: Self-made, 2025</w:t>
      </w:r>
    </w:p>
    <w:p w14:paraId="7AD35754" w14:textId="77777777" w:rsidR="004231C1" w:rsidRPr="001F2A43" w:rsidRDefault="004231C1" w:rsidP="001F2A43">
      <w:pPr>
        <w:spacing w:line="360" w:lineRule="auto"/>
        <w:rPr>
          <w:rFonts w:cs="Arial"/>
          <w:sz w:val="22"/>
          <w:szCs w:val="22"/>
        </w:rPr>
      </w:pPr>
      <w:r w:rsidRPr="001F2A43">
        <w:rPr>
          <w:rFonts w:cs="Arial"/>
          <w:sz w:val="22"/>
          <w:szCs w:val="22"/>
        </w:rPr>
        <w:t>It is used to assess the efficiency of a company in terms of using its asset base to create sales (</w:t>
      </w:r>
      <w:proofErr w:type="spellStart"/>
      <w:r w:rsidRPr="001F2A43">
        <w:rPr>
          <w:rFonts w:cs="Arial"/>
          <w:sz w:val="22"/>
          <w:szCs w:val="22"/>
        </w:rPr>
        <w:t>Atrill</w:t>
      </w:r>
      <w:proofErr w:type="spellEnd"/>
      <w:r w:rsidRPr="001F2A43">
        <w:rPr>
          <w:rFonts w:cs="Arial"/>
          <w:sz w:val="22"/>
          <w:szCs w:val="22"/>
        </w:rPr>
        <w:t xml:space="preserve"> </w:t>
      </w:r>
      <w:r w:rsidR="00862035">
        <w:rPr>
          <w:rFonts w:cs="Arial"/>
          <w:sz w:val="22"/>
          <w:szCs w:val="22"/>
        </w:rPr>
        <w:t>and</w:t>
      </w:r>
      <w:r w:rsidRPr="001F2A43">
        <w:rPr>
          <w:rFonts w:cs="Arial"/>
          <w:sz w:val="22"/>
          <w:szCs w:val="22"/>
        </w:rPr>
        <w:t xml:space="preserve"> </w:t>
      </w:r>
      <w:proofErr w:type="spellStart"/>
      <w:r w:rsidRPr="001F2A43">
        <w:rPr>
          <w:rFonts w:cs="Arial"/>
          <w:sz w:val="22"/>
          <w:szCs w:val="22"/>
        </w:rPr>
        <w:t>McLaney</w:t>
      </w:r>
      <w:proofErr w:type="spellEnd"/>
      <w:r w:rsidRPr="001F2A43">
        <w:rPr>
          <w:rFonts w:cs="Arial"/>
          <w:sz w:val="22"/>
          <w:szCs w:val="22"/>
        </w:rPr>
        <w:t xml:space="preserve">, 2008). The analysis indicates that the asset turnover of GE decreased continuously between 2020 and 2023, followed by an increase in 2024. The fall of 2020-2023 was </w:t>
      </w:r>
      <w:proofErr w:type="spellStart"/>
      <w:r w:rsidRPr="001F2A43">
        <w:rPr>
          <w:rFonts w:cs="Arial"/>
          <w:sz w:val="22"/>
          <w:szCs w:val="22"/>
        </w:rPr>
        <w:t>fueled</w:t>
      </w:r>
      <w:proofErr w:type="spellEnd"/>
      <w:r w:rsidRPr="001F2A43">
        <w:rPr>
          <w:rFonts w:cs="Arial"/>
          <w:sz w:val="22"/>
          <w:szCs w:val="22"/>
        </w:rPr>
        <w:t xml:space="preserve"> by factors that included declining sales owing to revenue decreasing by USD200bn in three years. However, the steep growth in 2024 was not driven by a recovery in revenue but rather by a more severe decrease in the asset base (USD355bn to USD323bn) caused by impairments of PPE, lower levels of inventory, and lower working capital. Hence, this indicates an artificial inflation of the ratio that does not indicate real operational efficiency. </w:t>
      </w:r>
    </w:p>
    <w:p w14:paraId="18CA34CB" w14:textId="77777777" w:rsidR="004231C1" w:rsidRPr="00061491" w:rsidRDefault="003B529D" w:rsidP="001F2A43">
      <w:pPr>
        <w:spacing w:line="360" w:lineRule="auto"/>
        <w:rPr>
          <w:rFonts w:cs="Arial"/>
          <w:b/>
          <w:bCs/>
          <w:sz w:val="22"/>
          <w:szCs w:val="22"/>
        </w:rPr>
      </w:pPr>
      <w:r w:rsidRPr="001F2A43">
        <w:rPr>
          <w:rFonts w:cs="Arial"/>
          <w:b/>
          <w:bCs/>
          <w:sz w:val="22"/>
          <w:szCs w:val="22"/>
        </w:rPr>
        <w:t>Fixed Asset Turnover Ratio</w:t>
      </w:r>
      <w:r w:rsidR="00061491">
        <w:rPr>
          <w:rFonts w:cs="Arial"/>
          <w:b/>
          <w:bCs/>
          <w:sz w:val="22"/>
          <w:szCs w:val="22"/>
        </w:rPr>
        <w:t xml:space="preserve"> </w:t>
      </w:r>
      <w:r w:rsidR="00061491" w:rsidRPr="002B5ECC">
        <w:rPr>
          <w:rFonts w:cs="Arial"/>
          <w:b/>
          <w:bCs/>
          <w:sz w:val="22"/>
          <w:szCs w:val="22"/>
        </w:rPr>
        <w:t>(</w:t>
      </w:r>
      <w:r w:rsidR="00061491">
        <w:rPr>
          <w:rFonts w:cs="Arial"/>
          <w:b/>
          <w:bCs/>
          <w:sz w:val="22"/>
          <w:szCs w:val="22"/>
        </w:rPr>
        <w:t xml:space="preserve">see </w:t>
      </w:r>
      <w:r w:rsidR="00061491" w:rsidRPr="002B5ECC">
        <w:rPr>
          <w:rFonts w:cs="Arial"/>
          <w:b/>
          <w:bCs/>
          <w:sz w:val="22"/>
          <w:szCs w:val="22"/>
        </w:rPr>
        <w:t xml:space="preserve">Appendix </w:t>
      </w:r>
      <w:r w:rsidR="00061491">
        <w:rPr>
          <w:rFonts w:cs="Arial"/>
          <w:b/>
          <w:bCs/>
          <w:sz w:val="22"/>
          <w:szCs w:val="22"/>
        </w:rPr>
        <w:t>F</w:t>
      </w:r>
      <w:r w:rsidR="00061491" w:rsidRPr="002B5ECC">
        <w:rPr>
          <w:rFonts w:cs="Arial"/>
          <w:b/>
          <w:bCs/>
          <w:sz w:val="22"/>
          <w:szCs w:val="22"/>
        </w:rPr>
        <w:t>)</w:t>
      </w:r>
    </w:p>
    <w:p w14:paraId="20580C37" w14:textId="77777777" w:rsidR="003B529D" w:rsidRPr="001F2A43" w:rsidRDefault="003B529D" w:rsidP="001F2A43">
      <w:pPr>
        <w:keepNext/>
        <w:spacing w:line="360" w:lineRule="auto"/>
        <w:jc w:val="center"/>
        <w:rPr>
          <w:rFonts w:cs="Arial"/>
          <w:sz w:val="22"/>
          <w:szCs w:val="22"/>
        </w:rPr>
      </w:pPr>
      <w:r w:rsidRPr="001F2A43">
        <w:rPr>
          <w:rFonts w:cs="Arial"/>
          <w:noProof/>
          <w:sz w:val="22"/>
          <w:szCs w:val="22"/>
        </w:rPr>
        <w:lastRenderedPageBreak/>
        <w:drawing>
          <wp:inline distT="0" distB="0" distL="0" distR="0" wp14:anchorId="7DD92FD1" wp14:editId="100C72B1">
            <wp:extent cx="4597400" cy="2768600"/>
            <wp:effectExtent l="0" t="0" r="0" b="0"/>
            <wp:docPr id="921716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716565" name=""/>
                    <pic:cNvPicPr/>
                  </pic:nvPicPr>
                  <pic:blipFill>
                    <a:blip r:embed="rId14"/>
                    <a:stretch>
                      <a:fillRect/>
                    </a:stretch>
                  </pic:blipFill>
                  <pic:spPr>
                    <a:xfrm>
                      <a:off x="0" y="0"/>
                      <a:ext cx="4597400" cy="2768600"/>
                    </a:xfrm>
                    <a:prstGeom prst="rect">
                      <a:avLst/>
                    </a:prstGeom>
                  </pic:spPr>
                </pic:pic>
              </a:graphicData>
            </a:graphic>
          </wp:inline>
        </w:drawing>
      </w:r>
    </w:p>
    <w:p w14:paraId="6CD963DB" w14:textId="77777777" w:rsidR="003B529D" w:rsidRPr="001F2A43" w:rsidRDefault="003B529D" w:rsidP="001F2A43">
      <w:pPr>
        <w:pStyle w:val="Caption"/>
        <w:spacing w:line="360" w:lineRule="auto"/>
        <w:jc w:val="center"/>
        <w:rPr>
          <w:rFonts w:cs="Arial"/>
          <w:sz w:val="22"/>
        </w:rPr>
      </w:pPr>
      <w:r w:rsidRPr="001F2A43">
        <w:rPr>
          <w:rFonts w:cs="Arial"/>
          <w:sz w:val="22"/>
        </w:rPr>
        <w:t xml:space="preserve">Figure </w:t>
      </w:r>
      <w:r w:rsidRPr="001F2A43">
        <w:rPr>
          <w:rFonts w:cs="Arial"/>
          <w:sz w:val="22"/>
        </w:rPr>
        <w:fldChar w:fldCharType="begin"/>
      </w:r>
      <w:r w:rsidRPr="001F2A43">
        <w:rPr>
          <w:rFonts w:cs="Arial"/>
          <w:sz w:val="22"/>
        </w:rPr>
        <w:instrText xml:space="preserve"> SEQ Figure \* ARABIC </w:instrText>
      </w:r>
      <w:r w:rsidRPr="001F2A43">
        <w:rPr>
          <w:rFonts w:cs="Arial"/>
          <w:sz w:val="22"/>
        </w:rPr>
        <w:fldChar w:fldCharType="separate"/>
      </w:r>
      <w:r w:rsidR="007F329F">
        <w:rPr>
          <w:rFonts w:cs="Arial"/>
          <w:noProof/>
          <w:sz w:val="22"/>
        </w:rPr>
        <w:t>6</w:t>
      </w:r>
      <w:r w:rsidRPr="001F2A43">
        <w:rPr>
          <w:rFonts w:cs="Arial"/>
          <w:sz w:val="22"/>
        </w:rPr>
        <w:fldChar w:fldCharType="end"/>
      </w:r>
      <w:r w:rsidRPr="001F2A43">
        <w:rPr>
          <w:rFonts w:cs="Arial"/>
          <w:sz w:val="22"/>
        </w:rPr>
        <w:t xml:space="preserve">. Fixed Asset Turnover of GE </w:t>
      </w:r>
    </w:p>
    <w:p w14:paraId="6AD8CC81" w14:textId="77777777" w:rsidR="003B529D" w:rsidRPr="001F2A43" w:rsidRDefault="003B529D" w:rsidP="001F2A43">
      <w:pPr>
        <w:pStyle w:val="Caption"/>
        <w:spacing w:line="360" w:lineRule="auto"/>
        <w:jc w:val="center"/>
        <w:rPr>
          <w:rFonts w:cs="Arial"/>
          <w:sz w:val="22"/>
        </w:rPr>
      </w:pPr>
      <w:r w:rsidRPr="001F2A43">
        <w:rPr>
          <w:rFonts w:cs="Arial"/>
          <w:sz w:val="22"/>
        </w:rPr>
        <w:t>Source: Self-made, 2025</w:t>
      </w:r>
    </w:p>
    <w:p w14:paraId="1A2A6C1F" w14:textId="77777777" w:rsidR="003B529D" w:rsidRDefault="003B529D" w:rsidP="001F2A43">
      <w:pPr>
        <w:spacing w:line="360" w:lineRule="auto"/>
        <w:rPr>
          <w:rFonts w:cs="Arial"/>
          <w:sz w:val="22"/>
          <w:szCs w:val="22"/>
        </w:rPr>
      </w:pPr>
      <w:r w:rsidRPr="001F2A43">
        <w:rPr>
          <w:rFonts w:cs="Arial"/>
          <w:sz w:val="22"/>
          <w:szCs w:val="22"/>
        </w:rPr>
        <w:t>It evaluates the efficiency with which a company uses its long-term assets, e.g., machinery, plants, and equipment, to produce sales</w:t>
      </w:r>
      <w:r w:rsidR="00CF53B2">
        <w:rPr>
          <w:rFonts w:cs="Arial"/>
          <w:sz w:val="22"/>
          <w:szCs w:val="22"/>
        </w:rPr>
        <w:t xml:space="preserve"> </w:t>
      </w:r>
      <w:r w:rsidRPr="001F2A43">
        <w:rPr>
          <w:rFonts w:cs="Arial"/>
          <w:sz w:val="22"/>
          <w:szCs w:val="22"/>
        </w:rPr>
        <w:t>(Petty et al., 2015). In GE, the ratio grew steadily between 7.04 (2020) and 11.55 (2024). This improvement is, however, a misleading one since the company intentionally contracted the Net PPE annually with asset impairment, lower capital expenditure and divestment. In addition, as the net sales declined by 35 per cent, the rise in the ratio is primarily due to the decline of the asset base, rather than better performance. Therefore, the ratio increases the financial distress instead of reflecting the real operational strength.</w:t>
      </w:r>
    </w:p>
    <w:p w14:paraId="6882B375" w14:textId="77777777" w:rsidR="001F2A43" w:rsidRDefault="00E9352E" w:rsidP="00D83C69">
      <w:pPr>
        <w:pStyle w:val="Heading2"/>
      </w:pPr>
      <w:bookmarkStart w:id="5" w:name="_Toc216386197"/>
      <w:r>
        <w:t>Gearing Ratios</w:t>
      </w:r>
      <w:r w:rsidR="00D83C69" w:rsidRPr="00D83C69">
        <w:t xml:space="preserve"> </w:t>
      </w:r>
      <w:r w:rsidR="00D83C69">
        <w:t>of GE</w:t>
      </w:r>
      <w:bookmarkEnd w:id="5"/>
    </w:p>
    <w:p w14:paraId="792B734E" w14:textId="77777777" w:rsidR="00E9352E" w:rsidRPr="006B2FB1" w:rsidRDefault="00E9352E" w:rsidP="006B2FB1">
      <w:pPr>
        <w:spacing w:line="360" w:lineRule="auto"/>
        <w:rPr>
          <w:rFonts w:cs="Arial"/>
          <w:b/>
          <w:bCs/>
          <w:sz w:val="22"/>
          <w:szCs w:val="22"/>
        </w:rPr>
      </w:pPr>
      <w:bookmarkStart w:id="6" w:name="OLE_LINK4"/>
      <w:r w:rsidRPr="006B2FB1">
        <w:rPr>
          <w:rFonts w:cs="Arial"/>
          <w:b/>
          <w:bCs/>
          <w:sz w:val="22"/>
          <w:szCs w:val="22"/>
        </w:rPr>
        <w:t>Interest Coverage Ratio</w:t>
      </w:r>
      <w:r w:rsidR="00061491" w:rsidRPr="006B2FB1">
        <w:rPr>
          <w:rFonts w:cs="Arial"/>
          <w:b/>
          <w:bCs/>
          <w:sz w:val="22"/>
          <w:szCs w:val="22"/>
        </w:rPr>
        <w:t xml:space="preserve"> (see Appendix G)</w:t>
      </w:r>
    </w:p>
    <w:bookmarkEnd w:id="6"/>
    <w:p w14:paraId="12F37571" w14:textId="77777777" w:rsidR="00061491" w:rsidRPr="006B2FB1" w:rsidRDefault="0098116A" w:rsidP="006B2FB1">
      <w:pPr>
        <w:keepNext/>
        <w:spacing w:line="360" w:lineRule="auto"/>
        <w:jc w:val="center"/>
        <w:rPr>
          <w:rFonts w:cs="Arial"/>
          <w:sz w:val="22"/>
          <w:szCs w:val="22"/>
        </w:rPr>
      </w:pPr>
      <w:r>
        <w:rPr>
          <w:noProof/>
        </w:rPr>
        <w:lastRenderedPageBreak/>
        <w:drawing>
          <wp:inline distT="0" distB="0" distL="0" distR="0" wp14:anchorId="4898BD40" wp14:editId="26A12EFF">
            <wp:extent cx="4597400" cy="2768600"/>
            <wp:effectExtent l="0" t="0" r="0" b="0"/>
            <wp:docPr id="1926210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10385" name=""/>
                    <pic:cNvPicPr/>
                  </pic:nvPicPr>
                  <pic:blipFill>
                    <a:blip r:embed="rId15"/>
                    <a:stretch>
                      <a:fillRect/>
                    </a:stretch>
                  </pic:blipFill>
                  <pic:spPr>
                    <a:xfrm>
                      <a:off x="0" y="0"/>
                      <a:ext cx="4597400" cy="2768600"/>
                    </a:xfrm>
                    <a:prstGeom prst="rect">
                      <a:avLst/>
                    </a:prstGeom>
                  </pic:spPr>
                </pic:pic>
              </a:graphicData>
            </a:graphic>
          </wp:inline>
        </w:drawing>
      </w:r>
    </w:p>
    <w:p w14:paraId="20ED3E81" w14:textId="77777777" w:rsidR="00061491" w:rsidRPr="006B2FB1" w:rsidRDefault="00061491" w:rsidP="006B2FB1">
      <w:pPr>
        <w:pStyle w:val="Caption"/>
        <w:spacing w:line="360" w:lineRule="auto"/>
        <w:jc w:val="center"/>
        <w:rPr>
          <w:rFonts w:cs="Arial"/>
          <w:sz w:val="22"/>
        </w:rPr>
      </w:pPr>
      <w:r w:rsidRPr="006B2FB1">
        <w:rPr>
          <w:rFonts w:cs="Arial"/>
          <w:sz w:val="22"/>
        </w:rPr>
        <w:t xml:space="preserve">Figure </w:t>
      </w:r>
      <w:r w:rsidRPr="006B2FB1">
        <w:rPr>
          <w:rFonts w:cs="Arial"/>
          <w:sz w:val="22"/>
        </w:rPr>
        <w:fldChar w:fldCharType="begin"/>
      </w:r>
      <w:r w:rsidRPr="006B2FB1">
        <w:rPr>
          <w:rFonts w:cs="Arial"/>
          <w:sz w:val="22"/>
        </w:rPr>
        <w:instrText xml:space="preserve"> SEQ Figure \* ARABIC </w:instrText>
      </w:r>
      <w:r w:rsidRPr="006B2FB1">
        <w:rPr>
          <w:rFonts w:cs="Arial"/>
          <w:sz w:val="22"/>
        </w:rPr>
        <w:fldChar w:fldCharType="separate"/>
      </w:r>
      <w:r w:rsidR="007F329F">
        <w:rPr>
          <w:rFonts w:cs="Arial"/>
          <w:noProof/>
          <w:sz w:val="22"/>
        </w:rPr>
        <w:t>7</w:t>
      </w:r>
      <w:r w:rsidRPr="006B2FB1">
        <w:rPr>
          <w:rFonts w:cs="Arial"/>
          <w:sz w:val="22"/>
        </w:rPr>
        <w:fldChar w:fldCharType="end"/>
      </w:r>
      <w:r w:rsidRPr="006B2FB1">
        <w:rPr>
          <w:rFonts w:cs="Arial"/>
          <w:sz w:val="22"/>
        </w:rPr>
        <w:t xml:space="preserve">. Interest Coverage Ratio of GE </w:t>
      </w:r>
    </w:p>
    <w:p w14:paraId="48839528" w14:textId="77777777" w:rsidR="00061491" w:rsidRPr="006B2FB1" w:rsidRDefault="00061491" w:rsidP="006B2FB1">
      <w:pPr>
        <w:pStyle w:val="Caption"/>
        <w:spacing w:line="360" w:lineRule="auto"/>
        <w:jc w:val="center"/>
        <w:rPr>
          <w:rFonts w:cs="Arial"/>
          <w:sz w:val="22"/>
        </w:rPr>
      </w:pPr>
      <w:r w:rsidRPr="006B2FB1">
        <w:rPr>
          <w:rFonts w:cs="Arial"/>
          <w:sz w:val="22"/>
        </w:rPr>
        <w:t>Source: Self-made, 2025</w:t>
      </w:r>
    </w:p>
    <w:p w14:paraId="7AFE0581" w14:textId="77777777" w:rsidR="00E9352E" w:rsidRPr="00FB6A47" w:rsidRDefault="00E9352E" w:rsidP="00FB6A47">
      <w:pPr>
        <w:spacing w:line="360" w:lineRule="auto"/>
        <w:rPr>
          <w:rFonts w:cs="Arial"/>
          <w:sz w:val="22"/>
          <w:szCs w:val="22"/>
        </w:rPr>
      </w:pPr>
      <w:r w:rsidRPr="006B2FB1">
        <w:rPr>
          <w:rFonts w:cs="Arial"/>
          <w:sz w:val="22"/>
          <w:szCs w:val="22"/>
        </w:rPr>
        <w:t xml:space="preserve">It evaluates the capacity of a firm to pay its interest obligations using its operating earnings (Brigham </w:t>
      </w:r>
      <w:r w:rsidR="00061491" w:rsidRPr="006B2FB1">
        <w:rPr>
          <w:rFonts w:cs="Arial"/>
          <w:sz w:val="22"/>
          <w:szCs w:val="22"/>
        </w:rPr>
        <w:t>and</w:t>
      </w:r>
      <w:r w:rsidRPr="006B2FB1">
        <w:rPr>
          <w:rFonts w:cs="Arial"/>
          <w:sz w:val="22"/>
          <w:szCs w:val="22"/>
        </w:rPr>
        <w:t xml:space="preserve"> Houston, 2021). The </w:t>
      </w:r>
      <w:r w:rsidR="00061491" w:rsidRPr="006B2FB1">
        <w:rPr>
          <w:rFonts w:cs="Arial"/>
          <w:sz w:val="22"/>
          <w:szCs w:val="22"/>
        </w:rPr>
        <w:t>ratio</w:t>
      </w:r>
      <w:r w:rsidRPr="006B2FB1">
        <w:rPr>
          <w:rFonts w:cs="Arial"/>
          <w:sz w:val="22"/>
          <w:szCs w:val="22"/>
        </w:rPr>
        <w:t xml:space="preserve"> had been heavily impaired in the five years</w:t>
      </w:r>
      <w:r w:rsidR="00061491" w:rsidRPr="006B2FB1">
        <w:rPr>
          <w:rFonts w:cs="Arial"/>
          <w:sz w:val="22"/>
          <w:szCs w:val="22"/>
        </w:rPr>
        <w:t xml:space="preserve"> at GE</w:t>
      </w:r>
      <w:r w:rsidRPr="006B2FB1">
        <w:rPr>
          <w:rFonts w:cs="Arial"/>
          <w:sz w:val="22"/>
          <w:szCs w:val="22"/>
        </w:rPr>
        <w:t xml:space="preserve">. </w:t>
      </w:r>
      <w:r w:rsidR="00061491" w:rsidRPr="006B2FB1">
        <w:rPr>
          <w:rFonts w:cs="Arial"/>
          <w:sz w:val="22"/>
          <w:szCs w:val="22"/>
        </w:rPr>
        <w:t>In</w:t>
      </w:r>
      <w:r w:rsidRPr="006B2FB1">
        <w:rPr>
          <w:rFonts w:cs="Arial"/>
          <w:sz w:val="22"/>
          <w:szCs w:val="22"/>
        </w:rPr>
        <w:t xml:space="preserve"> 2020, </w:t>
      </w:r>
      <w:r w:rsidR="00061491" w:rsidRPr="006B2FB1">
        <w:rPr>
          <w:rFonts w:cs="Arial"/>
          <w:sz w:val="22"/>
          <w:szCs w:val="22"/>
        </w:rPr>
        <w:t xml:space="preserve">it </w:t>
      </w:r>
      <w:r w:rsidRPr="006B2FB1">
        <w:rPr>
          <w:rFonts w:cs="Arial"/>
          <w:sz w:val="22"/>
          <w:szCs w:val="22"/>
        </w:rPr>
        <w:t>stood at 12.23, implying that the company was in a position to pay interest payments in excess of twelve times. Nevertheless, the ratio declined to 5.95 in 2021 and 7.67 in 2022</w:t>
      </w:r>
      <w:r w:rsidR="00061491" w:rsidRPr="006B2FB1">
        <w:rPr>
          <w:rFonts w:cs="Arial"/>
          <w:sz w:val="22"/>
          <w:szCs w:val="22"/>
        </w:rPr>
        <w:t>,</w:t>
      </w:r>
      <w:r w:rsidRPr="006B2FB1">
        <w:rPr>
          <w:rFonts w:cs="Arial"/>
          <w:sz w:val="22"/>
          <w:szCs w:val="22"/>
        </w:rPr>
        <w:t xml:space="preserve"> </w:t>
      </w:r>
      <w:r w:rsidRPr="00FB6A47">
        <w:rPr>
          <w:rFonts w:cs="Arial"/>
          <w:sz w:val="22"/>
          <w:szCs w:val="22"/>
        </w:rPr>
        <w:t xml:space="preserve">indicating decreasing operational profitability and slight gains in interest expenses. The greatest change was noticed in 2023 and 2024, </w:t>
      </w:r>
      <w:r w:rsidR="00061491" w:rsidRPr="00FB6A47">
        <w:rPr>
          <w:rFonts w:cs="Arial"/>
          <w:sz w:val="22"/>
          <w:szCs w:val="22"/>
        </w:rPr>
        <w:t>when</w:t>
      </w:r>
      <w:r w:rsidRPr="00FB6A47">
        <w:rPr>
          <w:rFonts w:cs="Arial"/>
          <w:sz w:val="22"/>
          <w:szCs w:val="22"/>
        </w:rPr>
        <w:t xml:space="preserve"> the ratio turned negative</w:t>
      </w:r>
      <w:r w:rsidR="00061491" w:rsidRPr="00FB6A47">
        <w:rPr>
          <w:rFonts w:cs="Arial"/>
          <w:sz w:val="22"/>
          <w:szCs w:val="22"/>
        </w:rPr>
        <w:t xml:space="preserve">. </w:t>
      </w:r>
      <w:r w:rsidRPr="00FB6A47">
        <w:rPr>
          <w:rFonts w:cs="Arial"/>
          <w:sz w:val="22"/>
          <w:szCs w:val="22"/>
        </w:rPr>
        <w:t>This adverse change is occasioned by significant losses in EBIT due to the lowered sales, increased operating costs and increased dependence on short-t</w:t>
      </w:r>
      <w:r w:rsidR="00061491" w:rsidRPr="00FB6A47">
        <w:rPr>
          <w:rFonts w:cs="Arial"/>
          <w:sz w:val="22"/>
          <w:szCs w:val="22"/>
        </w:rPr>
        <w:t>erm</w:t>
      </w:r>
      <w:r w:rsidRPr="00FB6A47">
        <w:rPr>
          <w:rFonts w:cs="Arial"/>
          <w:sz w:val="22"/>
          <w:szCs w:val="22"/>
        </w:rPr>
        <w:t xml:space="preserve"> financing. </w:t>
      </w:r>
      <w:r w:rsidR="00061491" w:rsidRPr="00FB6A47">
        <w:rPr>
          <w:rFonts w:cs="Arial"/>
          <w:sz w:val="22"/>
          <w:szCs w:val="22"/>
        </w:rPr>
        <w:t>This</w:t>
      </w:r>
      <w:r w:rsidRPr="00FB6A47">
        <w:rPr>
          <w:rFonts w:cs="Arial"/>
          <w:sz w:val="22"/>
          <w:szCs w:val="22"/>
        </w:rPr>
        <w:t xml:space="preserve"> indicates that the business is no longer making sufficient operating profit to cover interest payments and has to resort to outside financing or the sale of assets to cover debt</w:t>
      </w:r>
      <w:r w:rsidR="00FB6A47" w:rsidRPr="00FB6A47">
        <w:rPr>
          <w:rFonts w:cs="Arial"/>
          <w:sz w:val="22"/>
          <w:szCs w:val="22"/>
        </w:rPr>
        <w:t xml:space="preserve"> (</w:t>
      </w:r>
      <w:proofErr w:type="spellStart"/>
      <w:r w:rsidR="00FB6A47" w:rsidRPr="00FB6A47">
        <w:rPr>
          <w:rFonts w:cs="Arial"/>
          <w:color w:val="222222"/>
          <w:sz w:val="22"/>
          <w:szCs w:val="22"/>
          <w:shd w:val="clear" w:color="auto" w:fill="FFFFFF"/>
        </w:rPr>
        <w:t>Puspitasari</w:t>
      </w:r>
      <w:proofErr w:type="spellEnd"/>
      <w:r w:rsidR="00FB6A47" w:rsidRPr="00FB6A47">
        <w:rPr>
          <w:rFonts w:cs="Arial"/>
          <w:color w:val="222222"/>
          <w:sz w:val="22"/>
          <w:szCs w:val="22"/>
          <w:shd w:val="clear" w:color="auto" w:fill="FFFFFF"/>
        </w:rPr>
        <w:t xml:space="preserve"> et al., 2021).</w:t>
      </w:r>
      <w:r w:rsidR="00FB6A47">
        <w:rPr>
          <w:rFonts w:cs="Arial"/>
          <w:color w:val="222222"/>
          <w:sz w:val="20"/>
          <w:szCs w:val="20"/>
          <w:shd w:val="clear" w:color="auto" w:fill="FFFFFF"/>
        </w:rPr>
        <w:t xml:space="preserve"> </w:t>
      </w:r>
    </w:p>
    <w:p w14:paraId="7E262E3B" w14:textId="77777777" w:rsidR="00061491" w:rsidRPr="006B2FB1" w:rsidRDefault="00061491" w:rsidP="006B2FB1">
      <w:pPr>
        <w:spacing w:line="360" w:lineRule="auto"/>
        <w:rPr>
          <w:rFonts w:cs="Arial"/>
          <w:b/>
          <w:bCs/>
          <w:sz w:val="22"/>
          <w:szCs w:val="22"/>
        </w:rPr>
      </w:pPr>
      <w:r w:rsidRPr="006B2FB1">
        <w:rPr>
          <w:rFonts w:cs="Arial"/>
          <w:b/>
          <w:bCs/>
          <w:sz w:val="22"/>
          <w:szCs w:val="22"/>
        </w:rPr>
        <w:t>Debt-to-Equity Ratio (see Appendix H)</w:t>
      </w:r>
    </w:p>
    <w:p w14:paraId="19C87DC1" w14:textId="77777777" w:rsidR="006B2FB1" w:rsidRPr="006B2FB1" w:rsidRDefault="00061491" w:rsidP="006B2FB1">
      <w:pPr>
        <w:keepNext/>
        <w:spacing w:line="360" w:lineRule="auto"/>
        <w:jc w:val="center"/>
        <w:rPr>
          <w:rFonts w:cs="Arial"/>
          <w:sz w:val="22"/>
          <w:szCs w:val="22"/>
        </w:rPr>
      </w:pPr>
      <w:r w:rsidRPr="006B2FB1">
        <w:rPr>
          <w:rFonts w:cs="Arial"/>
          <w:noProof/>
          <w:sz w:val="22"/>
          <w:szCs w:val="22"/>
        </w:rPr>
        <w:drawing>
          <wp:inline distT="0" distB="0" distL="0" distR="0" wp14:anchorId="1094B1F3" wp14:editId="337B6B6E">
            <wp:extent cx="4597400" cy="2768600"/>
            <wp:effectExtent l="0" t="0" r="0" b="0"/>
            <wp:docPr id="504722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722381" name=""/>
                    <pic:cNvPicPr/>
                  </pic:nvPicPr>
                  <pic:blipFill>
                    <a:blip r:embed="rId16"/>
                    <a:stretch>
                      <a:fillRect/>
                    </a:stretch>
                  </pic:blipFill>
                  <pic:spPr>
                    <a:xfrm>
                      <a:off x="0" y="0"/>
                      <a:ext cx="4597400" cy="2768600"/>
                    </a:xfrm>
                    <a:prstGeom prst="rect">
                      <a:avLst/>
                    </a:prstGeom>
                  </pic:spPr>
                </pic:pic>
              </a:graphicData>
            </a:graphic>
          </wp:inline>
        </w:drawing>
      </w:r>
    </w:p>
    <w:p w14:paraId="3B8D1361" w14:textId="77777777" w:rsidR="006B2FB1" w:rsidRPr="0098116A" w:rsidRDefault="006B2FB1" w:rsidP="006B2FB1">
      <w:pPr>
        <w:pStyle w:val="Caption"/>
        <w:spacing w:line="360" w:lineRule="auto"/>
        <w:jc w:val="center"/>
        <w:rPr>
          <w:rFonts w:cs="Arial"/>
          <w:sz w:val="22"/>
        </w:rPr>
      </w:pPr>
      <w:r w:rsidRPr="0098116A">
        <w:rPr>
          <w:rFonts w:cs="Arial"/>
          <w:sz w:val="22"/>
        </w:rPr>
        <w:t xml:space="preserve">Figure </w:t>
      </w:r>
      <w:r w:rsidRPr="0098116A">
        <w:rPr>
          <w:rFonts w:cs="Arial"/>
          <w:sz w:val="22"/>
        </w:rPr>
        <w:fldChar w:fldCharType="begin"/>
      </w:r>
      <w:r w:rsidRPr="0098116A">
        <w:rPr>
          <w:rFonts w:cs="Arial"/>
          <w:sz w:val="22"/>
        </w:rPr>
        <w:instrText xml:space="preserve"> SEQ Figure \* ARABIC </w:instrText>
      </w:r>
      <w:r w:rsidRPr="0098116A">
        <w:rPr>
          <w:rFonts w:cs="Arial"/>
          <w:sz w:val="22"/>
        </w:rPr>
        <w:fldChar w:fldCharType="separate"/>
      </w:r>
      <w:r w:rsidR="007F329F">
        <w:rPr>
          <w:rFonts w:cs="Arial"/>
          <w:noProof/>
          <w:sz w:val="22"/>
        </w:rPr>
        <w:t>8</w:t>
      </w:r>
      <w:r w:rsidRPr="0098116A">
        <w:rPr>
          <w:rFonts w:cs="Arial"/>
          <w:sz w:val="22"/>
        </w:rPr>
        <w:fldChar w:fldCharType="end"/>
      </w:r>
      <w:r w:rsidRPr="0098116A">
        <w:rPr>
          <w:rFonts w:cs="Arial"/>
          <w:sz w:val="22"/>
        </w:rPr>
        <w:t xml:space="preserve">. Debt-to-Equity Ratio of GE </w:t>
      </w:r>
    </w:p>
    <w:p w14:paraId="2E2D47E8" w14:textId="77777777" w:rsidR="006B2FB1" w:rsidRPr="0098116A" w:rsidRDefault="006B2FB1" w:rsidP="006B2FB1">
      <w:pPr>
        <w:pStyle w:val="Caption"/>
        <w:spacing w:line="360" w:lineRule="auto"/>
        <w:jc w:val="center"/>
        <w:rPr>
          <w:rFonts w:cs="Arial"/>
          <w:sz w:val="22"/>
        </w:rPr>
      </w:pPr>
      <w:r w:rsidRPr="0098116A">
        <w:rPr>
          <w:rFonts w:cs="Arial"/>
          <w:sz w:val="22"/>
        </w:rPr>
        <w:t>Source: Self-made, 2025</w:t>
      </w:r>
    </w:p>
    <w:p w14:paraId="1A2C56B1" w14:textId="77777777" w:rsidR="00061491" w:rsidRDefault="006B2FB1" w:rsidP="006B2FB1">
      <w:pPr>
        <w:spacing w:line="360" w:lineRule="auto"/>
        <w:rPr>
          <w:rFonts w:cs="Arial"/>
          <w:sz w:val="22"/>
          <w:szCs w:val="22"/>
        </w:rPr>
      </w:pPr>
      <w:r w:rsidRPr="006B2FB1">
        <w:rPr>
          <w:rFonts w:cs="Arial"/>
          <w:sz w:val="22"/>
          <w:szCs w:val="22"/>
        </w:rPr>
        <w:t>It is used to assess the ratio of financing of a firm by creditors to shareholders to estimate the long-term liquidity risk of a firm based on its capital structure (Brigham and Houston, 2021). Throughout the five years, the ratio rose tremendously at GE as it portrays an expanding leverage and decreasing equity. This upward trend is caused by the growth in total liabilities</w:t>
      </w:r>
      <w:r w:rsidR="00E0795F">
        <w:rPr>
          <w:rFonts w:cs="Arial"/>
          <w:sz w:val="22"/>
          <w:szCs w:val="22"/>
        </w:rPr>
        <w:t xml:space="preserve"> and </w:t>
      </w:r>
      <w:r w:rsidRPr="006B2FB1">
        <w:rPr>
          <w:rFonts w:cs="Arial"/>
          <w:sz w:val="22"/>
          <w:szCs w:val="22"/>
        </w:rPr>
        <w:t>a decrease in shareholders’ equity. The upward trend indicates that the company is moving towards a greater reliance on debt financing, exposing it to greater financial risk, particularly since its profitability is falling, and the interest that the company covers is negative</w:t>
      </w:r>
      <w:r w:rsidR="00FB6A47">
        <w:rPr>
          <w:rFonts w:cs="Arial"/>
          <w:sz w:val="22"/>
          <w:szCs w:val="22"/>
        </w:rPr>
        <w:t xml:space="preserve"> </w:t>
      </w:r>
      <w:r w:rsidR="00FB6A47" w:rsidRPr="001F2A43">
        <w:rPr>
          <w:rFonts w:cs="Arial"/>
          <w:sz w:val="22"/>
          <w:szCs w:val="22"/>
        </w:rPr>
        <w:t>(Petty et al., 2015)</w:t>
      </w:r>
      <w:r w:rsidR="00FB6A47">
        <w:rPr>
          <w:rFonts w:cs="Arial"/>
          <w:sz w:val="22"/>
          <w:szCs w:val="22"/>
        </w:rPr>
        <w:t>.</w:t>
      </w:r>
    </w:p>
    <w:p w14:paraId="32067BC0" w14:textId="77777777" w:rsidR="0098116A" w:rsidRDefault="0098116A" w:rsidP="00D83C69">
      <w:pPr>
        <w:pStyle w:val="Heading2"/>
      </w:pPr>
      <w:bookmarkStart w:id="7" w:name="_Toc216386198"/>
      <w:r>
        <w:t>Investment Ratios</w:t>
      </w:r>
      <w:r w:rsidR="00D83C69" w:rsidRPr="00D83C69">
        <w:t xml:space="preserve"> </w:t>
      </w:r>
      <w:r w:rsidR="00D83C69">
        <w:t>of GE</w:t>
      </w:r>
      <w:bookmarkEnd w:id="7"/>
    </w:p>
    <w:p w14:paraId="3DC6381C" w14:textId="77777777" w:rsidR="0098116A" w:rsidRPr="00450B61" w:rsidRDefault="0098116A" w:rsidP="00150B01">
      <w:pPr>
        <w:spacing w:line="360" w:lineRule="auto"/>
        <w:rPr>
          <w:rFonts w:cs="Arial"/>
          <w:b/>
          <w:bCs/>
          <w:sz w:val="22"/>
          <w:szCs w:val="22"/>
        </w:rPr>
      </w:pPr>
      <w:r w:rsidRPr="00150B01">
        <w:rPr>
          <w:rFonts w:cs="Arial"/>
          <w:b/>
          <w:bCs/>
          <w:sz w:val="22"/>
          <w:szCs w:val="22"/>
        </w:rPr>
        <w:t>Return on Assets (ROA)</w:t>
      </w:r>
      <w:r w:rsidR="00450B61">
        <w:rPr>
          <w:rFonts w:cs="Arial"/>
          <w:b/>
          <w:bCs/>
          <w:sz w:val="22"/>
          <w:szCs w:val="22"/>
        </w:rPr>
        <w:t xml:space="preserve"> </w:t>
      </w:r>
      <w:r w:rsidR="00450B61" w:rsidRPr="006B2FB1">
        <w:rPr>
          <w:rFonts w:cs="Arial"/>
          <w:b/>
          <w:bCs/>
          <w:sz w:val="22"/>
          <w:szCs w:val="22"/>
        </w:rPr>
        <w:t xml:space="preserve">(see Appendix </w:t>
      </w:r>
      <w:r w:rsidR="00450B61">
        <w:rPr>
          <w:rFonts w:cs="Arial"/>
          <w:b/>
          <w:bCs/>
          <w:sz w:val="22"/>
          <w:szCs w:val="22"/>
        </w:rPr>
        <w:t>I</w:t>
      </w:r>
      <w:r w:rsidR="00450B61" w:rsidRPr="006B2FB1">
        <w:rPr>
          <w:rFonts w:cs="Arial"/>
          <w:b/>
          <w:bCs/>
          <w:sz w:val="22"/>
          <w:szCs w:val="22"/>
        </w:rPr>
        <w:t>)</w:t>
      </w:r>
    </w:p>
    <w:p w14:paraId="78636F52" w14:textId="77777777" w:rsidR="0098116A" w:rsidRPr="00150B01" w:rsidRDefault="00CF53B2" w:rsidP="00150B01">
      <w:pPr>
        <w:keepNext/>
        <w:spacing w:line="360" w:lineRule="auto"/>
        <w:jc w:val="center"/>
        <w:rPr>
          <w:rFonts w:cs="Arial"/>
          <w:sz w:val="22"/>
          <w:szCs w:val="22"/>
        </w:rPr>
      </w:pPr>
      <w:r>
        <w:rPr>
          <w:noProof/>
        </w:rPr>
        <w:drawing>
          <wp:inline distT="0" distB="0" distL="0" distR="0" wp14:anchorId="20D51EA0" wp14:editId="2B04946D">
            <wp:extent cx="4597400" cy="2768600"/>
            <wp:effectExtent l="0" t="0" r="0" b="0"/>
            <wp:docPr id="1105319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319871" name=""/>
                    <pic:cNvPicPr/>
                  </pic:nvPicPr>
                  <pic:blipFill>
                    <a:blip r:embed="rId17"/>
                    <a:stretch>
                      <a:fillRect/>
                    </a:stretch>
                  </pic:blipFill>
                  <pic:spPr>
                    <a:xfrm>
                      <a:off x="0" y="0"/>
                      <a:ext cx="4597400" cy="2768600"/>
                    </a:xfrm>
                    <a:prstGeom prst="rect">
                      <a:avLst/>
                    </a:prstGeom>
                  </pic:spPr>
                </pic:pic>
              </a:graphicData>
            </a:graphic>
          </wp:inline>
        </w:drawing>
      </w:r>
    </w:p>
    <w:p w14:paraId="19B2A53C" w14:textId="77777777" w:rsidR="0098116A" w:rsidRPr="00150B01" w:rsidRDefault="0098116A" w:rsidP="00150B01">
      <w:pPr>
        <w:pStyle w:val="Caption"/>
        <w:spacing w:line="360" w:lineRule="auto"/>
        <w:jc w:val="center"/>
        <w:rPr>
          <w:rFonts w:cs="Arial"/>
          <w:sz w:val="22"/>
        </w:rPr>
      </w:pPr>
      <w:r w:rsidRPr="00150B01">
        <w:rPr>
          <w:rFonts w:cs="Arial"/>
          <w:sz w:val="22"/>
        </w:rPr>
        <w:t xml:space="preserve">Figure </w:t>
      </w:r>
      <w:r w:rsidRPr="00150B01">
        <w:rPr>
          <w:rFonts w:cs="Arial"/>
          <w:sz w:val="22"/>
        </w:rPr>
        <w:fldChar w:fldCharType="begin"/>
      </w:r>
      <w:r w:rsidRPr="00150B01">
        <w:rPr>
          <w:rFonts w:cs="Arial"/>
          <w:sz w:val="22"/>
        </w:rPr>
        <w:instrText xml:space="preserve"> SEQ Figure \* ARABIC </w:instrText>
      </w:r>
      <w:r w:rsidRPr="00150B01">
        <w:rPr>
          <w:rFonts w:cs="Arial"/>
          <w:sz w:val="22"/>
        </w:rPr>
        <w:fldChar w:fldCharType="separate"/>
      </w:r>
      <w:r w:rsidR="007F329F">
        <w:rPr>
          <w:rFonts w:cs="Arial"/>
          <w:noProof/>
          <w:sz w:val="22"/>
        </w:rPr>
        <w:t>9</w:t>
      </w:r>
      <w:r w:rsidRPr="00150B01">
        <w:rPr>
          <w:rFonts w:cs="Arial"/>
          <w:sz w:val="22"/>
        </w:rPr>
        <w:fldChar w:fldCharType="end"/>
      </w:r>
      <w:r w:rsidRPr="00150B01">
        <w:rPr>
          <w:rFonts w:cs="Arial"/>
          <w:sz w:val="22"/>
        </w:rPr>
        <w:t>. Return on Assets (ROA )</w:t>
      </w:r>
      <w:r w:rsidR="00150B01" w:rsidRPr="00150B01">
        <w:rPr>
          <w:rFonts w:cs="Arial"/>
          <w:sz w:val="22"/>
        </w:rPr>
        <w:t xml:space="preserve"> </w:t>
      </w:r>
      <w:r w:rsidRPr="00150B01">
        <w:rPr>
          <w:rFonts w:cs="Arial"/>
          <w:sz w:val="22"/>
        </w:rPr>
        <w:t xml:space="preserve">of GE </w:t>
      </w:r>
    </w:p>
    <w:p w14:paraId="7579BFCB" w14:textId="77777777" w:rsidR="0098116A" w:rsidRPr="00150B01" w:rsidRDefault="0098116A" w:rsidP="00150B01">
      <w:pPr>
        <w:pStyle w:val="Caption"/>
        <w:spacing w:line="360" w:lineRule="auto"/>
        <w:jc w:val="center"/>
        <w:rPr>
          <w:rFonts w:cs="Arial"/>
          <w:sz w:val="22"/>
        </w:rPr>
      </w:pPr>
      <w:r w:rsidRPr="00150B01">
        <w:rPr>
          <w:rFonts w:cs="Arial"/>
          <w:sz w:val="22"/>
        </w:rPr>
        <w:t>Source: Self-made, 2025</w:t>
      </w:r>
    </w:p>
    <w:p w14:paraId="5ABFB625" w14:textId="77777777" w:rsidR="0098116A" w:rsidRPr="00150B01" w:rsidRDefault="00011BF9" w:rsidP="00150B01">
      <w:pPr>
        <w:spacing w:line="360" w:lineRule="auto"/>
        <w:rPr>
          <w:rFonts w:cs="Arial"/>
          <w:sz w:val="22"/>
          <w:szCs w:val="22"/>
        </w:rPr>
      </w:pPr>
      <w:r w:rsidRPr="00150B01">
        <w:rPr>
          <w:rFonts w:cs="Arial"/>
          <w:sz w:val="22"/>
          <w:szCs w:val="22"/>
        </w:rPr>
        <w:t>It is used to determine the efficiency of a company in utilising its total assets to produce net income</w:t>
      </w:r>
      <w:r w:rsidR="00150B01" w:rsidRPr="00150B01">
        <w:rPr>
          <w:rFonts w:cs="Arial"/>
          <w:sz w:val="22"/>
          <w:szCs w:val="22"/>
        </w:rPr>
        <w:t xml:space="preserve"> </w:t>
      </w:r>
      <w:r w:rsidRPr="00150B01">
        <w:rPr>
          <w:rFonts w:cs="Arial"/>
          <w:sz w:val="22"/>
          <w:szCs w:val="22"/>
        </w:rPr>
        <w:t>(Brigham and Houston, 2021). The ROA of GE exhibited a drastic downward trend over the past five years. The significant decline can be largely explained by the significant reduction of the net income, which shifted small profits in 2020-2022 to huge losses in 2023-2024. Concurrently, the company continued to hold a significant asset base, among which it retained a substantial amount of investment in PPE. This implies that the company was not getting adequate returns on its assets to meet operational and financial expenses. This continuing negative ROA suggests that the assets are starting to become a liability, thereby exposing the firm to the likelihood of financial distress</w:t>
      </w:r>
      <w:r w:rsidR="00D3348A">
        <w:rPr>
          <w:rFonts w:cs="Arial"/>
          <w:sz w:val="22"/>
          <w:szCs w:val="22"/>
        </w:rPr>
        <w:t xml:space="preserve"> (</w:t>
      </w:r>
      <w:r w:rsidR="00D3348A" w:rsidRPr="00D3348A">
        <w:rPr>
          <w:rFonts w:cs="Arial"/>
          <w:sz w:val="22"/>
          <w:szCs w:val="22"/>
        </w:rPr>
        <w:t>Saputra,2022</w:t>
      </w:r>
      <w:r w:rsidR="00D3348A">
        <w:rPr>
          <w:rFonts w:cs="Arial"/>
          <w:sz w:val="22"/>
          <w:szCs w:val="22"/>
        </w:rPr>
        <w:t>).</w:t>
      </w:r>
    </w:p>
    <w:p w14:paraId="07BB9CC3" w14:textId="77777777" w:rsidR="00150B01" w:rsidRPr="00450B61" w:rsidRDefault="00150B01" w:rsidP="00150B01">
      <w:pPr>
        <w:spacing w:line="360" w:lineRule="auto"/>
        <w:rPr>
          <w:rFonts w:cs="Arial"/>
          <w:b/>
          <w:bCs/>
          <w:sz w:val="22"/>
          <w:szCs w:val="22"/>
        </w:rPr>
      </w:pPr>
      <w:r w:rsidRPr="00150B01">
        <w:rPr>
          <w:rFonts w:cs="Arial"/>
          <w:b/>
          <w:bCs/>
          <w:sz w:val="22"/>
          <w:szCs w:val="22"/>
        </w:rPr>
        <w:t>Return on Equity (ROE)</w:t>
      </w:r>
      <w:r w:rsidR="00450B61">
        <w:rPr>
          <w:rFonts w:cs="Arial"/>
          <w:b/>
          <w:bCs/>
          <w:sz w:val="22"/>
          <w:szCs w:val="22"/>
        </w:rPr>
        <w:t xml:space="preserve"> </w:t>
      </w:r>
      <w:r w:rsidR="00450B61" w:rsidRPr="006B2FB1">
        <w:rPr>
          <w:rFonts w:cs="Arial"/>
          <w:b/>
          <w:bCs/>
          <w:sz w:val="22"/>
          <w:szCs w:val="22"/>
        </w:rPr>
        <w:t xml:space="preserve">(see Appendix </w:t>
      </w:r>
      <w:r w:rsidR="00450B61">
        <w:rPr>
          <w:rFonts w:cs="Arial"/>
          <w:b/>
          <w:bCs/>
          <w:sz w:val="22"/>
          <w:szCs w:val="22"/>
        </w:rPr>
        <w:t>J</w:t>
      </w:r>
      <w:r w:rsidR="00450B61" w:rsidRPr="006B2FB1">
        <w:rPr>
          <w:rFonts w:cs="Arial"/>
          <w:b/>
          <w:bCs/>
          <w:sz w:val="22"/>
          <w:szCs w:val="22"/>
        </w:rPr>
        <w:t>)</w:t>
      </w:r>
    </w:p>
    <w:p w14:paraId="437986DB" w14:textId="77777777" w:rsidR="00150B01" w:rsidRPr="00150B01" w:rsidRDefault="00D57024" w:rsidP="00150B01">
      <w:pPr>
        <w:keepNext/>
        <w:spacing w:line="360" w:lineRule="auto"/>
        <w:jc w:val="center"/>
        <w:rPr>
          <w:rFonts w:cs="Arial"/>
          <w:sz w:val="22"/>
          <w:szCs w:val="22"/>
        </w:rPr>
      </w:pPr>
      <w:r>
        <w:rPr>
          <w:noProof/>
          <w14:ligatures w14:val="standardContextual"/>
        </w:rPr>
        <w:drawing>
          <wp:inline distT="0" distB="0" distL="0" distR="0" wp14:anchorId="69BEEB31" wp14:editId="5C51AF95">
            <wp:extent cx="4597400" cy="2768600"/>
            <wp:effectExtent l="0" t="0" r="0" b="0"/>
            <wp:docPr id="1151962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962253" name=""/>
                    <pic:cNvPicPr/>
                  </pic:nvPicPr>
                  <pic:blipFill>
                    <a:blip r:embed="rId18"/>
                    <a:stretch>
                      <a:fillRect/>
                    </a:stretch>
                  </pic:blipFill>
                  <pic:spPr>
                    <a:xfrm>
                      <a:off x="0" y="0"/>
                      <a:ext cx="4597400" cy="2768600"/>
                    </a:xfrm>
                    <a:prstGeom prst="rect">
                      <a:avLst/>
                    </a:prstGeom>
                  </pic:spPr>
                </pic:pic>
              </a:graphicData>
            </a:graphic>
          </wp:inline>
        </w:drawing>
      </w:r>
    </w:p>
    <w:p w14:paraId="28376B3B" w14:textId="77777777" w:rsidR="00150B01" w:rsidRPr="00150B01" w:rsidRDefault="00150B01" w:rsidP="00150B01">
      <w:pPr>
        <w:pStyle w:val="Caption"/>
        <w:spacing w:line="360" w:lineRule="auto"/>
        <w:jc w:val="center"/>
        <w:rPr>
          <w:rFonts w:cs="Arial"/>
          <w:sz w:val="22"/>
        </w:rPr>
      </w:pPr>
      <w:r w:rsidRPr="00150B01">
        <w:rPr>
          <w:rFonts w:cs="Arial"/>
          <w:sz w:val="22"/>
        </w:rPr>
        <w:t xml:space="preserve">Figure </w:t>
      </w:r>
      <w:r w:rsidRPr="00150B01">
        <w:rPr>
          <w:rFonts w:cs="Arial"/>
          <w:sz w:val="22"/>
        </w:rPr>
        <w:fldChar w:fldCharType="begin"/>
      </w:r>
      <w:r w:rsidRPr="00150B01">
        <w:rPr>
          <w:rFonts w:cs="Arial"/>
          <w:sz w:val="22"/>
        </w:rPr>
        <w:instrText xml:space="preserve"> SEQ Figure \* ARABIC </w:instrText>
      </w:r>
      <w:r w:rsidRPr="00150B01">
        <w:rPr>
          <w:rFonts w:cs="Arial"/>
          <w:sz w:val="22"/>
        </w:rPr>
        <w:fldChar w:fldCharType="separate"/>
      </w:r>
      <w:r w:rsidR="007F329F">
        <w:rPr>
          <w:rFonts w:cs="Arial"/>
          <w:noProof/>
          <w:sz w:val="22"/>
        </w:rPr>
        <w:t>10</w:t>
      </w:r>
      <w:r w:rsidRPr="00150B01">
        <w:rPr>
          <w:rFonts w:cs="Arial"/>
          <w:sz w:val="22"/>
        </w:rPr>
        <w:fldChar w:fldCharType="end"/>
      </w:r>
      <w:r w:rsidRPr="00150B01">
        <w:rPr>
          <w:rFonts w:cs="Arial"/>
          <w:sz w:val="22"/>
        </w:rPr>
        <w:t>. Return on Equity (ROE )</w:t>
      </w:r>
      <w:r w:rsidR="00CF53B2">
        <w:rPr>
          <w:rFonts w:cs="Arial"/>
          <w:sz w:val="22"/>
        </w:rPr>
        <w:t xml:space="preserve"> </w:t>
      </w:r>
      <w:r w:rsidRPr="00150B01">
        <w:rPr>
          <w:rFonts w:cs="Arial"/>
          <w:sz w:val="22"/>
        </w:rPr>
        <w:t xml:space="preserve">of GE </w:t>
      </w:r>
    </w:p>
    <w:p w14:paraId="711990F2" w14:textId="77777777" w:rsidR="00150B01" w:rsidRPr="00150B01" w:rsidRDefault="00150B01" w:rsidP="00150B01">
      <w:pPr>
        <w:pStyle w:val="Caption"/>
        <w:spacing w:line="360" w:lineRule="auto"/>
        <w:jc w:val="center"/>
        <w:rPr>
          <w:rFonts w:cs="Arial"/>
          <w:sz w:val="22"/>
        </w:rPr>
      </w:pPr>
      <w:r w:rsidRPr="00150B01">
        <w:rPr>
          <w:rFonts w:cs="Arial"/>
          <w:sz w:val="22"/>
        </w:rPr>
        <w:t>Source: Self-made, 2025</w:t>
      </w:r>
    </w:p>
    <w:p w14:paraId="7CDA7DEF" w14:textId="77777777" w:rsidR="00011BF9" w:rsidRDefault="00CF53B2" w:rsidP="00E0795F">
      <w:pPr>
        <w:spacing w:line="360" w:lineRule="auto"/>
        <w:rPr>
          <w:rFonts w:cs="Arial"/>
          <w:sz w:val="22"/>
          <w:szCs w:val="22"/>
        </w:rPr>
      </w:pPr>
      <w:r>
        <w:rPr>
          <w:rFonts w:cs="Arial"/>
          <w:sz w:val="22"/>
          <w:szCs w:val="22"/>
        </w:rPr>
        <w:t>It</w:t>
      </w:r>
      <w:r w:rsidRPr="00CF53B2">
        <w:rPr>
          <w:rFonts w:cs="Arial"/>
          <w:sz w:val="22"/>
          <w:szCs w:val="22"/>
        </w:rPr>
        <w:t xml:space="preserve"> is used to measure the efficiency with which a company utili</w:t>
      </w:r>
      <w:r>
        <w:rPr>
          <w:rFonts w:cs="Arial"/>
          <w:sz w:val="22"/>
          <w:szCs w:val="22"/>
        </w:rPr>
        <w:t>s</w:t>
      </w:r>
      <w:r w:rsidRPr="00CF53B2">
        <w:rPr>
          <w:rFonts w:cs="Arial"/>
          <w:sz w:val="22"/>
          <w:szCs w:val="22"/>
        </w:rPr>
        <w:t>es the invested capital of shareholders to generate profit</w:t>
      </w:r>
      <w:r>
        <w:rPr>
          <w:rFonts w:cs="Arial"/>
          <w:sz w:val="22"/>
          <w:szCs w:val="22"/>
        </w:rPr>
        <w:t xml:space="preserve"> </w:t>
      </w:r>
      <w:r w:rsidRPr="001F2A43">
        <w:rPr>
          <w:rFonts w:cs="Arial"/>
          <w:sz w:val="22"/>
          <w:szCs w:val="22"/>
        </w:rPr>
        <w:t>(Petty et al., 2015)</w:t>
      </w:r>
      <w:r>
        <w:rPr>
          <w:rFonts w:cs="Arial"/>
          <w:sz w:val="22"/>
          <w:szCs w:val="22"/>
        </w:rPr>
        <w:t xml:space="preserve">. </w:t>
      </w:r>
      <w:r w:rsidR="00150B01" w:rsidRPr="00150B01">
        <w:rPr>
          <w:rFonts w:cs="Arial"/>
          <w:sz w:val="22"/>
          <w:szCs w:val="22"/>
        </w:rPr>
        <w:t xml:space="preserve">The ROE of </w:t>
      </w:r>
      <w:r w:rsidR="00E0795F">
        <w:rPr>
          <w:rFonts w:cs="Arial"/>
          <w:sz w:val="22"/>
          <w:szCs w:val="22"/>
        </w:rPr>
        <w:t>GE</w:t>
      </w:r>
      <w:r w:rsidR="00150B01" w:rsidRPr="00150B01">
        <w:rPr>
          <w:rFonts w:cs="Arial"/>
          <w:sz w:val="22"/>
          <w:szCs w:val="22"/>
        </w:rPr>
        <w:t xml:space="preserve"> has a very negative trend over the five years. The drastic decrease can be directly attributed to the major net losses in these years caused by the increased costs, fall in demand, and the increase in interest</w:t>
      </w:r>
      <w:r w:rsidR="00E0795F">
        <w:rPr>
          <w:rFonts w:cs="Arial"/>
          <w:sz w:val="22"/>
          <w:szCs w:val="22"/>
        </w:rPr>
        <w:t xml:space="preserve"> rates</w:t>
      </w:r>
      <w:r w:rsidR="00150B01" w:rsidRPr="00150B01">
        <w:rPr>
          <w:rFonts w:cs="Arial"/>
          <w:sz w:val="22"/>
          <w:szCs w:val="22"/>
        </w:rPr>
        <w:t>. Since ROE uses the net income, any significant loss will instantly drag the ratio into negative figures, indicating demolition instead of the creation of shareholder value</w:t>
      </w:r>
      <w:r w:rsidR="00E0795F">
        <w:rPr>
          <w:rFonts w:cs="Arial"/>
          <w:sz w:val="22"/>
          <w:szCs w:val="22"/>
        </w:rPr>
        <w:t xml:space="preserve"> </w:t>
      </w:r>
      <w:r w:rsidR="00E0795F" w:rsidRPr="001F2A43">
        <w:rPr>
          <w:rFonts w:cs="Arial"/>
          <w:sz w:val="22"/>
          <w:szCs w:val="22"/>
        </w:rPr>
        <w:t>(Petty et al., 2015)</w:t>
      </w:r>
      <w:r w:rsidR="00150B01" w:rsidRPr="00150B01">
        <w:rPr>
          <w:rFonts w:cs="Arial"/>
          <w:sz w:val="22"/>
          <w:szCs w:val="22"/>
        </w:rPr>
        <w:t>. These movements have serious implications as the progressive decline in ROE is a deterrent to equity investors, a demoralising factor in the market, and a pressure-inducing factor on the management to enhance efficiency in its operations</w:t>
      </w:r>
      <w:r w:rsidR="00D3348A">
        <w:rPr>
          <w:rFonts w:cs="Arial"/>
          <w:sz w:val="22"/>
          <w:szCs w:val="22"/>
        </w:rPr>
        <w:t xml:space="preserve"> (</w:t>
      </w:r>
      <w:r w:rsidR="00D3348A" w:rsidRPr="00D3348A">
        <w:rPr>
          <w:rFonts w:cs="Arial"/>
          <w:sz w:val="22"/>
          <w:szCs w:val="22"/>
        </w:rPr>
        <w:t>Saputra,2022</w:t>
      </w:r>
      <w:r w:rsidR="00D3348A">
        <w:rPr>
          <w:rFonts w:cs="Arial"/>
          <w:sz w:val="22"/>
          <w:szCs w:val="22"/>
        </w:rPr>
        <w:t>).</w:t>
      </w:r>
    </w:p>
    <w:p w14:paraId="651E3AEC" w14:textId="77777777" w:rsidR="00CF53B2" w:rsidRDefault="00CF53B2" w:rsidP="00D83C69">
      <w:pPr>
        <w:pStyle w:val="Heading2"/>
      </w:pPr>
      <w:bookmarkStart w:id="8" w:name="_Toc216386199"/>
      <w:r>
        <w:t>Cash Flow Ratios</w:t>
      </w:r>
      <w:r w:rsidR="00D83C69" w:rsidRPr="00D83C69">
        <w:t xml:space="preserve"> </w:t>
      </w:r>
      <w:r w:rsidR="00D83C69">
        <w:t>of GE</w:t>
      </w:r>
      <w:bookmarkEnd w:id="8"/>
    </w:p>
    <w:p w14:paraId="53C76EBD" w14:textId="77777777" w:rsidR="00CF53B2" w:rsidRPr="00CF53B2" w:rsidRDefault="00CF53B2" w:rsidP="00CF53B2">
      <w:pPr>
        <w:spacing w:line="360" w:lineRule="auto"/>
        <w:rPr>
          <w:rFonts w:cs="Arial"/>
          <w:b/>
          <w:bCs/>
          <w:sz w:val="22"/>
          <w:szCs w:val="22"/>
        </w:rPr>
      </w:pPr>
      <w:r w:rsidRPr="00CF53B2">
        <w:rPr>
          <w:rFonts w:cs="Arial"/>
          <w:b/>
          <w:bCs/>
          <w:sz w:val="22"/>
          <w:szCs w:val="22"/>
        </w:rPr>
        <w:t>Cash Flow Margin Ratios</w:t>
      </w:r>
      <w:r w:rsidR="00450B61">
        <w:rPr>
          <w:rFonts w:cs="Arial"/>
          <w:b/>
          <w:bCs/>
          <w:sz w:val="22"/>
          <w:szCs w:val="22"/>
        </w:rPr>
        <w:t xml:space="preserve"> </w:t>
      </w:r>
      <w:r w:rsidR="00450B61" w:rsidRPr="006B2FB1">
        <w:rPr>
          <w:rFonts w:cs="Arial"/>
          <w:b/>
          <w:bCs/>
          <w:sz w:val="22"/>
          <w:szCs w:val="22"/>
        </w:rPr>
        <w:t xml:space="preserve">(see Appendix </w:t>
      </w:r>
      <w:r w:rsidR="00450B61">
        <w:rPr>
          <w:rFonts w:cs="Arial"/>
          <w:b/>
          <w:bCs/>
          <w:sz w:val="22"/>
          <w:szCs w:val="22"/>
        </w:rPr>
        <w:t>K</w:t>
      </w:r>
      <w:r w:rsidR="00450B61" w:rsidRPr="006B2FB1">
        <w:rPr>
          <w:rFonts w:cs="Arial"/>
          <w:b/>
          <w:bCs/>
          <w:sz w:val="22"/>
          <w:szCs w:val="22"/>
        </w:rPr>
        <w:t>)</w:t>
      </w:r>
    </w:p>
    <w:p w14:paraId="24F01DEE" w14:textId="77777777" w:rsidR="00CF53B2" w:rsidRPr="00CF53B2" w:rsidRDefault="00CF53B2" w:rsidP="00CF53B2">
      <w:pPr>
        <w:keepNext/>
        <w:spacing w:line="360" w:lineRule="auto"/>
        <w:jc w:val="center"/>
        <w:rPr>
          <w:rFonts w:cs="Arial"/>
          <w:sz w:val="22"/>
          <w:szCs w:val="22"/>
        </w:rPr>
      </w:pPr>
      <w:r w:rsidRPr="00CF53B2">
        <w:rPr>
          <w:rFonts w:cs="Arial"/>
          <w:noProof/>
          <w:sz w:val="22"/>
          <w:szCs w:val="22"/>
        </w:rPr>
        <w:drawing>
          <wp:inline distT="0" distB="0" distL="0" distR="0" wp14:anchorId="44C9DFD7" wp14:editId="0F9D067D">
            <wp:extent cx="4597400" cy="2768600"/>
            <wp:effectExtent l="0" t="0" r="0" b="0"/>
            <wp:docPr id="71382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82485" name=""/>
                    <pic:cNvPicPr/>
                  </pic:nvPicPr>
                  <pic:blipFill>
                    <a:blip r:embed="rId19"/>
                    <a:stretch>
                      <a:fillRect/>
                    </a:stretch>
                  </pic:blipFill>
                  <pic:spPr>
                    <a:xfrm>
                      <a:off x="0" y="0"/>
                      <a:ext cx="4597400" cy="2768600"/>
                    </a:xfrm>
                    <a:prstGeom prst="rect">
                      <a:avLst/>
                    </a:prstGeom>
                  </pic:spPr>
                </pic:pic>
              </a:graphicData>
            </a:graphic>
          </wp:inline>
        </w:drawing>
      </w:r>
    </w:p>
    <w:p w14:paraId="2AB90210" w14:textId="77777777" w:rsidR="00CF53B2" w:rsidRPr="00CF53B2" w:rsidRDefault="00CF53B2" w:rsidP="00CF53B2">
      <w:pPr>
        <w:pStyle w:val="Caption"/>
        <w:spacing w:line="360" w:lineRule="auto"/>
        <w:jc w:val="center"/>
        <w:rPr>
          <w:rFonts w:cs="Arial"/>
          <w:sz w:val="22"/>
        </w:rPr>
      </w:pPr>
      <w:r w:rsidRPr="00CF53B2">
        <w:rPr>
          <w:rFonts w:cs="Arial"/>
          <w:sz w:val="22"/>
        </w:rPr>
        <w:t xml:space="preserve">Figure </w:t>
      </w:r>
      <w:r w:rsidRPr="00CF53B2">
        <w:rPr>
          <w:rFonts w:cs="Arial"/>
          <w:sz w:val="22"/>
        </w:rPr>
        <w:fldChar w:fldCharType="begin"/>
      </w:r>
      <w:r w:rsidRPr="00CF53B2">
        <w:rPr>
          <w:rFonts w:cs="Arial"/>
          <w:sz w:val="22"/>
        </w:rPr>
        <w:instrText xml:space="preserve"> SEQ Figure \* ARABIC </w:instrText>
      </w:r>
      <w:r w:rsidRPr="00CF53B2">
        <w:rPr>
          <w:rFonts w:cs="Arial"/>
          <w:sz w:val="22"/>
        </w:rPr>
        <w:fldChar w:fldCharType="separate"/>
      </w:r>
      <w:r w:rsidR="007F329F">
        <w:rPr>
          <w:rFonts w:cs="Arial"/>
          <w:noProof/>
          <w:sz w:val="22"/>
        </w:rPr>
        <w:t>11</w:t>
      </w:r>
      <w:r w:rsidRPr="00CF53B2">
        <w:rPr>
          <w:rFonts w:cs="Arial"/>
          <w:sz w:val="22"/>
        </w:rPr>
        <w:fldChar w:fldCharType="end"/>
      </w:r>
      <w:r w:rsidRPr="00CF53B2">
        <w:rPr>
          <w:rFonts w:cs="Arial"/>
          <w:sz w:val="22"/>
        </w:rPr>
        <w:t xml:space="preserve">. Cash Flow Margin Ratios </w:t>
      </w:r>
    </w:p>
    <w:p w14:paraId="1690E80C" w14:textId="77777777" w:rsidR="00E0795F" w:rsidRPr="00E0795F" w:rsidRDefault="00CF53B2" w:rsidP="00E0795F">
      <w:pPr>
        <w:pStyle w:val="Caption"/>
        <w:spacing w:line="360" w:lineRule="auto"/>
        <w:jc w:val="center"/>
        <w:rPr>
          <w:rFonts w:cs="Arial"/>
          <w:sz w:val="22"/>
        </w:rPr>
      </w:pPr>
      <w:r w:rsidRPr="00CF53B2">
        <w:rPr>
          <w:rFonts w:cs="Arial"/>
          <w:sz w:val="22"/>
        </w:rPr>
        <w:t>Source: Self-made, 2025</w:t>
      </w:r>
    </w:p>
    <w:p w14:paraId="5022CBBB" w14:textId="77777777" w:rsidR="00CF53B2" w:rsidRDefault="00E0795F" w:rsidP="00E0795F">
      <w:pPr>
        <w:spacing w:line="360" w:lineRule="auto"/>
        <w:rPr>
          <w:rFonts w:cs="Arial"/>
          <w:sz w:val="22"/>
          <w:szCs w:val="22"/>
        </w:rPr>
      </w:pPr>
      <w:r w:rsidRPr="00E0795F">
        <w:rPr>
          <w:rFonts w:cs="Arial"/>
          <w:sz w:val="22"/>
          <w:szCs w:val="22"/>
        </w:rPr>
        <w:t xml:space="preserve">It is a metric used to determine the effectiveness of a company in turning its revenue into real cash inflows resulting from operating activities (Petty et al., 2015). The analysis of GE shows that it had a strong negative trend in cash flow margin over the five years. This is a progressive deterioration of the cash-generating capacity of this firm. This degradation is associated with a decrease in net sales, an increase in operating costs, and poor working capital management. To the shareholders, this decreasing cash flow margin is a sign of operational inefficiency and to creditors, this ratio will </w:t>
      </w:r>
      <w:r>
        <w:rPr>
          <w:rFonts w:cs="Arial"/>
          <w:sz w:val="22"/>
          <w:szCs w:val="22"/>
        </w:rPr>
        <w:t>provide incentive for</w:t>
      </w:r>
      <w:r w:rsidRPr="00E0795F">
        <w:rPr>
          <w:rFonts w:cs="Arial"/>
          <w:sz w:val="22"/>
          <w:szCs w:val="22"/>
        </w:rPr>
        <w:t xml:space="preserve"> more restrictive lending terms or </w:t>
      </w:r>
      <w:r>
        <w:rPr>
          <w:rFonts w:cs="Arial"/>
          <w:sz w:val="22"/>
          <w:szCs w:val="22"/>
        </w:rPr>
        <w:t xml:space="preserve">an </w:t>
      </w:r>
      <w:r w:rsidRPr="00E0795F">
        <w:rPr>
          <w:rFonts w:cs="Arial"/>
          <w:sz w:val="22"/>
          <w:szCs w:val="22"/>
        </w:rPr>
        <w:t>increase in the cost of borrowed funds</w:t>
      </w:r>
      <w:r>
        <w:rPr>
          <w:rFonts w:cs="Arial"/>
          <w:sz w:val="22"/>
          <w:szCs w:val="22"/>
        </w:rPr>
        <w:t xml:space="preserve"> </w:t>
      </w:r>
      <w:r w:rsidRPr="001F2A43">
        <w:rPr>
          <w:rFonts w:cs="Arial"/>
          <w:sz w:val="22"/>
          <w:szCs w:val="22"/>
        </w:rPr>
        <w:t>(Petty et al., 2015)</w:t>
      </w:r>
      <w:r>
        <w:rPr>
          <w:rFonts w:cs="Arial"/>
          <w:sz w:val="22"/>
          <w:szCs w:val="22"/>
        </w:rPr>
        <w:t>.</w:t>
      </w:r>
    </w:p>
    <w:p w14:paraId="61EEA7B0" w14:textId="77777777" w:rsidR="00FB6A47" w:rsidRDefault="00FB6A47">
      <w:pPr>
        <w:rPr>
          <w:rFonts w:eastAsiaTheme="majorEastAsia" w:cstheme="majorBidi"/>
          <w:color w:val="2F5496" w:themeColor="accent1" w:themeShade="BF"/>
          <w:kern w:val="2"/>
          <w:sz w:val="32"/>
          <w:szCs w:val="40"/>
          <w:lang w:eastAsia="en-US"/>
          <w14:ligatures w14:val="standardContextual"/>
        </w:rPr>
      </w:pPr>
      <w:r>
        <w:br w:type="page"/>
      </w:r>
    </w:p>
    <w:p w14:paraId="1BA3F437" w14:textId="77777777" w:rsidR="00FB6A47" w:rsidRPr="00D83C69" w:rsidRDefault="00FB6A47" w:rsidP="00FB6A47">
      <w:pPr>
        <w:pStyle w:val="Heading1"/>
      </w:pPr>
      <w:bookmarkStart w:id="9" w:name="_Toc216386200"/>
      <w:r>
        <w:t>Working Capital Management Analysis</w:t>
      </w:r>
      <w:r w:rsidR="00D83C69">
        <w:t xml:space="preserve"> of GE</w:t>
      </w:r>
      <w:bookmarkEnd w:id="9"/>
    </w:p>
    <w:p w14:paraId="7BDC9D52" w14:textId="77777777" w:rsidR="005732E8" w:rsidRPr="005732E8" w:rsidRDefault="005732E8" w:rsidP="005732E8">
      <w:pPr>
        <w:pStyle w:val="Heading2"/>
      </w:pPr>
      <w:bookmarkStart w:id="10" w:name="_Toc216386201"/>
      <w:r>
        <w:t xml:space="preserve">Assessment of </w:t>
      </w:r>
      <w:r w:rsidRPr="005732E8">
        <w:rPr>
          <w:rFonts w:eastAsiaTheme="minorHAnsi"/>
          <w:lang w:eastAsia="en-US"/>
        </w:rPr>
        <w:t xml:space="preserve">Cash </w:t>
      </w:r>
      <w:r>
        <w:rPr>
          <w:rFonts w:eastAsiaTheme="minorHAnsi"/>
          <w:lang w:eastAsia="en-US"/>
        </w:rPr>
        <w:t>Operating Cycle</w:t>
      </w:r>
      <w:r w:rsidRPr="005732E8">
        <w:rPr>
          <w:rFonts w:eastAsiaTheme="minorHAnsi"/>
          <w:lang w:eastAsia="en-US"/>
        </w:rPr>
        <w:t xml:space="preserve"> </w:t>
      </w:r>
      <w:r>
        <w:rPr>
          <w:rFonts w:eastAsiaTheme="minorHAnsi"/>
          <w:lang w:eastAsia="en-US"/>
        </w:rPr>
        <w:t>(CoC)</w:t>
      </w:r>
      <w:bookmarkEnd w:id="10"/>
      <w:r w:rsidR="00D83C69">
        <w:rPr>
          <w:rFonts w:eastAsiaTheme="minorHAnsi"/>
          <w:lang w:eastAsia="en-US"/>
        </w:rPr>
        <w:t xml:space="preserve"> </w:t>
      </w:r>
    </w:p>
    <w:p w14:paraId="598C4D98" w14:textId="77777777" w:rsidR="00FB6A47" w:rsidRPr="005732E8" w:rsidRDefault="00FB6A47" w:rsidP="005732E8">
      <w:pPr>
        <w:spacing w:line="360" w:lineRule="auto"/>
        <w:rPr>
          <w:rFonts w:eastAsiaTheme="minorHAnsi" w:cs="Arial"/>
          <w:sz w:val="22"/>
          <w:szCs w:val="22"/>
          <w:lang w:eastAsia="en-US"/>
        </w:rPr>
      </w:pPr>
      <w:r w:rsidRPr="005732E8">
        <w:rPr>
          <w:rFonts w:eastAsiaTheme="minorHAnsi" w:cs="Arial"/>
          <w:sz w:val="22"/>
          <w:szCs w:val="22"/>
          <w:lang w:eastAsia="en-US"/>
        </w:rPr>
        <w:t xml:space="preserve">The management of working capital is imperative to GE, especially with its reduced liquidity status, declining profitability, and increasing leverage in 2020-2024. Working capital entails the capital that is engaged in day-to-day activities. It is usually measured using the Cash </w:t>
      </w:r>
      <w:r w:rsidR="005732E8">
        <w:rPr>
          <w:rFonts w:eastAsiaTheme="minorHAnsi" w:cs="Arial"/>
          <w:sz w:val="22"/>
          <w:szCs w:val="22"/>
          <w:lang w:eastAsia="en-US"/>
        </w:rPr>
        <w:t>Operating Cycle</w:t>
      </w:r>
      <w:r w:rsidRPr="005732E8">
        <w:rPr>
          <w:rFonts w:eastAsiaTheme="minorHAnsi" w:cs="Arial"/>
          <w:sz w:val="22"/>
          <w:szCs w:val="22"/>
          <w:lang w:eastAsia="en-US"/>
        </w:rPr>
        <w:t xml:space="preserve"> </w:t>
      </w:r>
      <w:r w:rsidR="005732E8">
        <w:rPr>
          <w:rFonts w:eastAsiaTheme="minorHAnsi" w:cs="Arial"/>
          <w:sz w:val="22"/>
          <w:szCs w:val="22"/>
          <w:lang w:eastAsia="en-US"/>
        </w:rPr>
        <w:t>(</w:t>
      </w:r>
      <w:proofErr w:type="spellStart"/>
      <w:r w:rsidR="005732E8">
        <w:rPr>
          <w:rFonts w:eastAsiaTheme="minorHAnsi" w:cs="Arial"/>
          <w:sz w:val="22"/>
          <w:szCs w:val="22"/>
          <w:lang w:eastAsia="en-US"/>
        </w:rPr>
        <w:t>CoC</w:t>
      </w:r>
      <w:proofErr w:type="spellEnd"/>
      <w:r w:rsidR="005732E8">
        <w:rPr>
          <w:rFonts w:eastAsiaTheme="minorHAnsi" w:cs="Arial"/>
          <w:sz w:val="22"/>
          <w:szCs w:val="22"/>
          <w:lang w:eastAsia="en-US"/>
        </w:rPr>
        <w:t xml:space="preserve">) </w:t>
      </w:r>
      <w:r w:rsidRPr="005732E8">
        <w:rPr>
          <w:rFonts w:eastAsiaTheme="minorHAnsi" w:cs="Arial"/>
          <w:sz w:val="22"/>
          <w:szCs w:val="22"/>
          <w:lang w:eastAsia="en-US"/>
        </w:rPr>
        <w:t>(</w:t>
      </w:r>
      <w:proofErr w:type="spellStart"/>
      <w:r w:rsidRPr="005732E8">
        <w:rPr>
          <w:rFonts w:eastAsiaTheme="minorHAnsi" w:cs="Arial"/>
          <w:sz w:val="22"/>
          <w:szCs w:val="22"/>
          <w:lang w:eastAsia="en-US"/>
        </w:rPr>
        <w:t>Atrill</w:t>
      </w:r>
      <w:proofErr w:type="spellEnd"/>
      <w:r w:rsidRPr="005732E8">
        <w:rPr>
          <w:rFonts w:eastAsiaTheme="minorHAnsi" w:cs="Arial"/>
          <w:sz w:val="22"/>
          <w:szCs w:val="22"/>
          <w:lang w:eastAsia="en-US"/>
        </w:rPr>
        <w:t xml:space="preserve"> and </w:t>
      </w:r>
      <w:proofErr w:type="spellStart"/>
      <w:r w:rsidRPr="005732E8">
        <w:rPr>
          <w:rFonts w:eastAsiaTheme="minorHAnsi" w:cs="Arial"/>
          <w:sz w:val="22"/>
          <w:szCs w:val="22"/>
          <w:lang w:eastAsia="en-US"/>
        </w:rPr>
        <w:t>McLaney</w:t>
      </w:r>
      <w:proofErr w:type="spellEnd"/>
      <w:r w:rsidRPr="005732E8">
        <w:rPr>
          <w:rFonts w:eastAsiaTheme="minorHAnsi" w:cs="Arial"/>
          <w:sz w:val="22"/>
          <w:szCs w:val="22"/>
          <w:lang w:eastAsia="en-US"/>
        </w:rPr>
        <w:t xml:space="preserve">, 2008). The ratio that indicates how many days it takes to recover cash invested in inventory and receivables in the form of sales. Hence, an increased cycle signifies operational rigidity and possible liquidity stress (Brigham and Houston, 2021). </w:t>
      </w:r>
    </w:p>
    <w:p w14:paraId="7689B554" w14:textId="77777777" w:rsidR="00D3348A" w:rsidRPr="005732E8" w:rsidRDefault="00D3348A" w:rsidP="005732E8">
      <w:pPr>
        <w:spacing w:line="360" w:lineRule="auto"/>
        <w:rPr>
          <w:rFonts w:eastAsiaTheme="minorHAnsi" w:cs="Arial"/>
          <w:b/>
          <w:bCs/>
          <w:sz w:val="22"/>
          <w:szCs w:val="22"/>
          <w:lang w:eastAsia="en-US"/>
        </w:rPr>
      </w:pPr>
      <w:r w:rsidRPr="005732E8">
        <w:rPr>
          <w:rFonts w:eastAsiaTheme="minorHAnsi" w:cs="Arial"/>
          <w:b/>
          <w:bCs/>
          <w:sz w:val="22"/>
          <w:szCs w:val="22"/>
          <w:lang w:eastAsia="en-US"/>
        </w:rPr>
        <w:t>Inventory Days (see Appendix L)</w:t>
      </w:r>
    </w:p>
    <w:p w14:paraId="1BFE540D" w14:textId="77777777" w:rsidR="00D3348A" w:rsidRPr="005732E8" w:rsidRDefault="00D3348A" w:rsidP="005732E8">
      <w:pPr>
        <w:keepNext/>
        <w:spacing w:line="360" w:lineRule="auto"/>
        <w:jc w:val="center"/>
        <w:rPr>
          <w:rFonts w:cs="Arial"/>
          <w:sz w:val="22"/>
          <w:szCs w:val="22"/>
        </w:rPr>
      </w:pPr>
      <w:r w:rsidRPr="005732E8">
        <w:rPr>
          <w:rFonts w:cs="Arial"/>
          <w:noProof/>
          <w:sz w:val="22"/>
          <w:szCs w:val="22"/>
          <w14:ligatures w14:val="standardContextual"/>
        </w:rPr>
        <w:drawing>
          <wp:inline distT="0" distB="0" distL="0" distR="0" wp14:anchorId="160E928C" wp14:editId="4818D3FC">
            <wp:extent cx="4597400" cy="2768600"/>
            <wp:effectExtent l="0" t="0" r="0" b="0"/>
            <wp:docPr id="156180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80379" name=""/>
                    <pic:cNvPicPr/>
                  </pic:nvPicPr>
                  <pic:blipFill>
                    <a:blip r:embed="rId20"/>
                    <a:stretch>
                      <a:fillRect/>
                    </a:stretch>
                  </pic:blipFill>
                  <pic:spPr>
                    <a:xfrm>
                      <a:off x="0" y="0"/>
                      <a:ext cx="4597400" cy="2768600"/>
                    </a:xfrm>
                    <a:prstGeom prst="rect">
                      <a:avLst/>
                    </a:prstGeom>
                  </pic:spPr>
                </pic:pic>
              </a:graphicData>
            </a:graphic>
          </wp:inline>
        </w:drawing>
      </w:r>
    </w:p>
    <w:p w14:paraId="06EB2602" w14:textId="77777777" w:rsidR="00D3348A" w:rsidRPr="005732E8" w:rsidRDefault="00D3348A" w:rsidP="005732E8">
      <w:pPr>
        <w:pStyle w:val="Caption"/>
        <w:spacing w:line="360" w:lineRule="auto"/>
        <w:jc w:val="center"/>
        <w:rPr>
          <w:rFonts w:cs="Arial"/>
          <w:sz w:val="22"/>
        </w:rPr>
      </w:pPr>
      <w:r w:rsidRPr="005732E8">
        <w:rPr>
          <w:rFonts w:cs="Arial"/>
          <w:sz w:val="22"/>
        </w:rPr>
        <w:t xml:space="preserve">Figure </w:t>
      </w:r>
      <w:r w:rsidRPr="005732E8">
        <w:rPr>
          <w:rFonts w:cs="Arial"/>
          <w:sz w:val="22"/>
        </w:rPr>
        <w:fldChar w:fldCharType="begin"/>
      </w:r>
      <w:r w:rsidRPr="005732E8">
        <w:rPr>
          <w:rFonts w:cs="Arial"/>
          <w:sz w:val="22"/>
        </w:rPr>
        <w:instrText xml:space="preserve"> SEQ Figure \* ARABIC </w:instrText>
      </w:r>
      <w:r w:rsidRPr="005732E8">
        <w:rPr>
          <w:rFonts w:cs="Arial"/>
          <w:sz w:val="22"/>
        </w:rPr>
        <w:fldChar w:fldCharType="separate"/>
      </w:r>
      <w:r w:rsidR="007F329F" w:rsidRPr="005732E8">
        <w:rPr>
          <w:rFonts w:cs="Arial"/>
          <w:noProof/>
          <w:sz w:val="22"/>
        </w:rPr>
        <w:t>12</w:t>
      </w:r>
      <w:r w:rsidRPr="005732E8">
        <w:rPr>
          <w:rFonts w:cs="Arial"/>
          <w:sz w:val="22"/>
        </w:rPr>
        <w:fldChar w:fldCharType="end"/>
      </w:r>
      <w:r w:rsidRPr="005732E8">
        <w:rPr>
          <w:rFonts w:cs="Arial"/>
          <w:sz w:val="22"/>
        </w:rPr>
        <w:t>. Inventory Days</w:t>
      </w:r>
    </w:p>
    <w:p w14:paraId="061DBF72" w14:textId="77777777" w:rsidR="00575C71" w:rsidRPr="005732E8" w:rsidRDefault="00D3348A" w:rsidP="005732E8">
      <w:pPr>
        <w:pStyle w:val="Caption"/>
        <w:spacing w:line="360" w:lineRule="auto"/>
        <w:jc w:val="center"/>
        <w:rPr>
          <w:rFonts w:cs="Arial"/>
          <w:sz w:val="22"/>
        </w:rPr>
      </w:pPr>
      <w:r w:rsidRPr="005732E8">
        <w:rPr>
          <w:rFonts w:cs="Arial"/>
          <w:sz w:val="22"/>
        </w:rPr>
        <w:t>Source: Self-made, 2025</w:t>
      </w:r>
    </w:p>
    <w:p w14:paraId="3E462C0A" w14:textId="77777777" w:rsidR="00D3348A" w:rsidRPr="005732E8" w:rsidRDefault="00575C71" w:rsidP="005732E8">
      <w:pPr>
        <w:spacing w:line="360" w:lineRule="auto"/>
        <w:rPr>
          <w:rFonts w:eastAsiaTheme="minorHAnsi" w:cs="Arial"/>
          <w:sz w:val="22"/>
          <w:szCs w:val="22"/>
          <w:lang w:eastAsia="en-US"/>
        </w:rPr>
      </w:pPr>
      <w:r w:rsidRPr="005732E8">
        <w:rPr>
          <w:rFonts w:eastAsiaTheme="minorHAnsi" w:cs="Arial"/>
          <w:sz w:val="22"/>
          <w:szCs w:val="22"/>
          <w:lang w:eastAsia="en-US"/>
        </w:rPr>
        <w:t>It is a measurement of the duration of stock holding before a sale occurs. A smaller value reflects the higher turnover, while higher values are an indicator of slow-moving inventory that can either raise storage costs, obsolescence or pressure on the cash flow (</w:t>
      </w:r>
      <w:proofErr w:type="spellStart"/>
      <w:r w:rsidRPr="005732E8">
        <w:rPr>
          <w:rFonts w:eastAsiaTheme="minorHAnsi" w:cs="Arial"/>
          <w:sz w:val="22"/>
          <w:szCs w:val="22"/>
          <w:lang w:eastAsia="en-US"/>
        </w:rPr>
        <w:t>Atrill</w:t>
      </w:r>
      <w:proofErr w:type="spellEnd"/>
      <w:r w:rsidRPr="005732E8">
        <w:rPr>
          <w:rFonts w:eastAsiaTheme="minorHAnsi" w:cs="Arial"/>
          <w:sz w:val="22"/>
          <w:szCs w:val="22"/>
          <w:lang w:eastAsia="en-US"/>
        </w:rPr>
        <w:t xml:space="preserve"> and </w:t>
      </w:r>
      <w:proofErr w:type="spellStart"/>
      <w:r w:rsidRPr="005732E8">
        <w:rPr>
          <w:rFonts w:eastAsiaTheme="minorHAnsi" w:cs="Arial"/>
          <w:sz w:val="22"/>
          <w:szCs w:val="22"/>
          <w:lang w:eastAsia="en-US"/>
        </w:rPr>
        <w:t>McLaney</w:t>
      </w:r>
      <w:proofErr w:type="spellEnd"/>
      <w:r w:rsidRPr="005732E8">
        <w:rPr>
          <w:rFonts w:eastAsiaTheme="minorHAnsi" w:cs="Arial"/>
          <w:sz w:val="22"/>
          <w:szCs w:val="22"/>
          <w:lang w:eastAsia="en-US"/>
        </w:rPr>
        <w:t xml:space="preserve">, 2008). The analysis of GE shows that its inventory days significantly increased to 131 days from 100 days between 2020 and 2022, which shows that there was a sluggish movement of inventory. Potential causes of this could be slow sales of consumer electronics after the pandemic, surplus production compared to the predicted sales, poor inventory planning or purchasing in response to the obsolescence of technology due to the high rate of changes, </w:t>
      </w:r>
      <w:proofErr w:type="spellStart"/>
      <w:r w:rsidRPr="005732E8">
        <w:rPr>
          <w:rFonts w:eastAsiaTheme="minorHAnsi" w:cs="Arial"/>
          <w:sz w:val="22"/>
          <w:szCs w:val="22"/>
          <w:lang w:eastAsia="en-US"/>
        </w:rPr>
        <w:t>etc</w:t>
      </w:r>
      <w:proofErr w:type="spellEnd"/>
      <w:r w:rsidRPr="005732E8">
        <w:rPr>
          <w:rFonts w:eastAsiaTheme="minorHAnsi" w:cs="Arial"/>
          <w:sz w:val="22"/>
          <w:szCs w:val="22"/>
          <w:lang w:eastAsia="en-US"/>
        </w:rPr>
        <w:t xml:space="preserve"> (</w:t>
      </w:r>
      <w:proofErr w:type="spellStart"/>
      <w:r w:rsidRPr="005732E8">
        <w:rPr>
          <w:rFonts w:cs="Arial"/>
          <w:color w:val="222222"/>
          <w:sz w:val="22"/>
          <w:szCs w:val="22"/>
          <w:shd w:val="clear" w:color="auto" w:fill="FFFFFF"/>
        </w:rPr>
        <w:t>Rompotis</w:t>
      </w:r>
      <w:proofErr w:type="spellEnd"/>
      <w:r w:rsidRPr="005732E8">
        <w:rPr>
          <w:rFonts w:cs="Arial"/>
          <w:color w:val="222222"/>
          <w:sz w:val="22"/>
          <w:szCs w:val="22"/>
          <w:shd w:val="clear" w:color="auto" w:fill="FFFFFF"/>
        </w:rPr>
        <w:t>, 2025)</w:t>
      </w:r>
      <w:r w:rsidRPr="005732E8">
        <w:rPr>
          <w:rFonts w:eastAsiaTheme="minorHAnsi" w:cs="Arial"/>
          <w:sz w:val="22"/>
          <w:szCs w:val="22"/>
          <w:lang w:eastAsia="en-US"/>
        </w:rPr>
        <w:t xml:space="preserve">. </w:t>
      </w:r>
    </w:p>
    <w:p w14:paraId="25145B3E" w14:textId="77777777" w:rsidR="00D5739E" w:rsidRPr="005732E8" w:rsidRDefault="00D5739E" w:rsidP="005732E8">
      <w:pPr>
        <w:spacing w:line="360" w:lineRule="auto"/>
        <w:rPr>
          <w:rFonts w:cs="Arial"/>
          <w:b/>
          <w:bCs/>
          <w:sz w:val="22"/>
          <w:szCs w:val="22"/>
        </w:rPr>
      </w:pPr>
      <w:r w:rsidRPr="005732E8">
        <w:rPr>
          <w:rFonts w:cs="Arial"/>
          <w:b/>
          <w:bCs/>
          <w:sz w:val="22"/>
          <w:szCs w:val="22"/>
        </w:rPr>
        <w:t>Receivables Days (see Appendix M)</w:t>
      </w:r>
    </w:p>
    <w:p w14:paraId="18FD2AAC" w14:textId="77777777" w:rsidR="007407D3" w:rsidRPr="005732E8" w:rsidRDefault="00D5739E" w:rsidP="005732E8">
      <w:pPr>
        <w:keepNext/>
        <w:spacing w:line="360" w:lineRule="auto"/>
        <w:jc w:val="center"/>
        <w:rPr>
          <w:rFonts w:cs="Arial"/>
          <w:sz w:val="22"/>
          <w:szCs w:val="22"/>
        </w:rPr>
      </w:pPr>
      <w:r w:rsidRPr="005732E8">
        <w:rPr>
          <w:rFonts w:cs="Arial"/>
          <w:noProof/>
          <w:sz w:val="22"/>
          <w:szCs w:val="22"/>
          <w14:ligatures w14:val="standardContextual"/>
        </w:rPr>
        <w:drawing>
          <wp:inline distT="0" distB="0" distL="0" distR="0" wp14:anchorId="7B893D31" wp14:editId="5AFD680D">
            <wp:extent cx="4597400" cy="2768600"/>
            <wp:effectExtent l="0" t="0" r="0" b="0"/>
            <wp:docPr id="930426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426575" name=""/>
                    <pic:cNvPicPr/>
                  </pic:nvPicPr>
                  <pic:blipFill>
                    <a:blip r:embed="rId21"/>
                    <a:stretch>
                      <a:fillRect/>
                    </a:stretch>
                  </pic:blipFill>
                  <pic:spPr>
                    <a:xfrm>
                      <a:off x="0" y="0"/>
                      <a:ext cx="4597400" cy="2768600"/>
                    </a:xfrm>
                    <a:prstGeom prst="rect">
                      <a:avLst/>
                    </a:prstGeom>
                  </pic:spPr>
                </pic:pic>
              </a:graphicData>
            </a:graphic>
          </wp:inline>
        </w:drawing>
      </w:r>
    </w:p>
    <w:p w14:paraId="435AD775" w14:textId="77777777" w:rsidR="007407D3" w:rsidRPr="005732E8" w:rsidRDefault="007407D3" w:rsidP="005732E8">
      <w:pPr>
        <w:pStyle w:val="Caption"/>
        <w:spacing w:line="360" w:lineRule="auto"/>
        <w:jc w:val="center"/>
        <w:rPr>
          <w:rFonts w:cs="Arial"/>
          <w:sz w:val="22"/>
        </w:rPr>
      </w:pPr>
      <w:r w:rsidRPr="005732E8">
        <w:rPr>
          <w:rFonts w:cs="Arial"/>
          <w:sz w:val="22"/>
        </w:rPr>
        <w:t xml:space="preserve">Figure </w:t>
      </w:r>
      <w:r w:rsidRPr="005732E8">
        <w:rPr>
          <w:rFonts w:cs="Arial"/>
          <w:sz w:val="22"/>
        </w:rPr>
        <w:fldChar w:fldCharType="begin"/>
      </w:r>
      <w:r w:rsidRPr="005732E8">
        <w:rPr>
          <w:rFonts w:cs="Arial"/>
          <w:sz w:val="22"/>
        </w:rPr>
        <w:instrText xml:space="preserve"> SEQ Figure \* ARABIC </w:instrText>
      </w:r>
      <w:r w:rsidRPr="005732E8">
        <w:rPr>
          <w:rFonts w:cs="Arial"/>
          <w:sz w:val="22"/>
        </w:rPr>
        <w:fldChar w:fldCharType="separate"/>
      </w:r>
      <w:r w:rsidR="007F329F" w:rsidRPr="005732E8">
        <w:rPr>
          <w:rFonts w:cs="Arial"/>
          <w:noProof/>
          <w:sz w:val="22"/>
        </w:rPr>
        <w:t>13</w:t>
      </w:r>
      <w:r w:rsidRPr="005732E8">
        <w:rPr>
          <w:rFonts w:cs="Arial"/>
          <w:sz w:val="22"/>
        </w:rPr>
        <w:fldChar w:fldCharType="end"/>
      </w:r>
      <w:r w:rsidRPr="005732E8">
        <w:rPr>
          <w:rFonts w:cs="Arial"/>
          <w:sz w:val="22"/>
        </w:rPr>
        <w:t>. Receivables Days</w:t>
      </w:r>
    </w:p>
    <w:p w14:paraId="0F088E94" w14:textId="77777777" w:rsidR="00D5739E" w:rsidRPr="005732E8" w:rsidRDefault="007407D3" w:rsidP="005732E8">
      <w:pPr>
        <w:pStyle w:val="Caption"/>
        <w:spacing w:line="360" w:lineRule="auto"/>
        <w:jc w:val="center"/>
        <w:rPr>
          <w:rFonts w:cs="Arial"/>
          <w:sz w:val="22"/>
        </w:rPr>
      </w:pPr>
      <w:r w:rsidRPr="005732E8">
        <w:rPr>
          <w:rFonts w:cs="Arial"/>
          <w:sz w:val="22"/>
        </w:rPr>
        <w:t>Source: Self-made, 2025</w:t>
      </w:r>
    </w:p>
    <w:p w14:paraId="56528CE5" w14:textId="77777777" w:rsidR="007407D3" w:rsidRPr="005732E8" w:rsidRDefault="007407D3" w:rsidP="005732E8">
      <w:pPr>
        <w:spacing w:line="360" w:lineRule="auto"/>
        <w:rPr>
          <w:rFonts w:eastAsiaTheme="minorHAnsi" w:cs="Arial"/>
          <w:sz w:val="22"/>
          <w:szCs w:val="22"/>
          <w:lang w:eastAsia="en-US"/>
        </w:rPr>
      </w:pPr>
      <w:r w:rsidRPr="005732E8">
        <w:rPr>
          <w:rFonts w:eastAsiaTheme="minorHAnsi" w:cs="Arial"/>
          <w:sz w:val="22"/>
          <w:szCs w:val="22"/>
          <w:lang w:eastAsia="en-US"/>
        </w:rPr>
        <w:t>It reveals the average number of days in which the company collects the payments of the customers (</w:t>
      </w:r>
      <w:proofErr w:type="spellStart"/>
      <w:r w:rsidRPr="005732E8">
        <w:rPr>
          <w:rFonts w:eastAsiaTheme="minorHAnsi" w:cs="Arial"/>
          <w:sz w:val="22"/>
          <w:szCs w:val="22"/>
          <w:lang w:eastAsia="en-US"/>
        </w:rPr>
        <w:t>Atrill</w:t>
      </w:r>
      <w:proofErr w:type="spellEnd"/>
      <w:r w:rsidRPr="005732E8">
        <w:rPr>
          <w:rFonts w:eastAsiaTheme="minorHAnsi" w:cs="Arial"/>
          <w:sz w:val="22"/>
          <w:szCs w:val="22"/>
          <w:lang w:eastAsia="en-US"/>
        </w:rPr>
        <w:t xml:space="preserve"> and </w:t>
      </w:r>
      <w:proofErr w:type="spellStart"/>
      <w:r w:rsidRPr="005732E8">
        <w:rPr>
          <w:rFonts w:eastAsiaTheme="minorHAnsi" w:cs="Arial"/>
          <w:sz w:val="22"/>
          <w:szCs w:val="22"/>
          <w:lang w:eastAsia="en-US"/>
        </w:rPr>
        <w:t>McLaney</w:t>
      </w:r>
      <w:proofErr w:type="spellEnd"/>
      <w:r w:rsidRPr="005732E8">
        <w:rPr>
          <w:rFonts w:eastAsiaTheme="minorHAnsi" w:cs="Arial"/>
          <w:sz w:val="22"/>
          <w:szCs w:val="22"/>
          <w:lang w:eastAsia="en-US"/>
        </w:rPr>
        <w:t xml:space="preserve">, 2008). During 2020-2022, the company had a comparatively steady collection period of 75-78 days, which showed a stable cycle of credit. In 2023 and 2024, however, the collection period surged dramatically, at 97.6 days in 2023 and 105.5 days in 2024. This degradation is parallel to the declining profitability, implying that customers are postponing payments because of the economic strain or less confidence in the service levels at GE. </w:t>
      </w:r>
    </w:p>
    <w:p w14:paraId="37F411D2" w14:textId="77777777" w:rsidR="00D5739E" w:rsidRPr="005732E8" w:rsidRDefault="00D5739E" w:rsidP="005732E8">
      <w:pPr>
        <w:spacing w:line="360" w:lineRule="auto"/>
        <w:rPr>
          <w:rFonts w:eastAsiaTheme="minorHAnsi" w:cs="Arial"/>
          <w:b/>
          <w:bCs/>
          <w:sz w:val="22"/>
          <w:szCs w:val="22"/>
          <w:lang w:eastAsia="en-US"/>
        </w:rPr>
      </w:pPr>
      <w:r w:rsidRPr="005732E8">
        <w:rPr>
          <w:rFonts w:eastAsiaTheme="minorHAnsi" w:cs="Arial"/>
          <w:b/>
          <w:bCs/>
          <w:sz w:val="22"/>
          <w:szCs w:val="22"/>
          <w:lang w:eastAsia="en-US"/>
        </w:rPr>
        <w:t>Payable Days (see Appendix N)</w:t>
      </w:r>
    </w:p>
    <w:p w14:paraId="295C7CF5" w14:textId="77777777" w:rsidR="007F329F" w:rsidRPr="005732E8" w:rsidRDefault="00B55DC8" w:rsidP="005732E8">
      <w:pPr>
        <w:keepNext/>
        <w:spacing w:line="360" w:lineRule="auto"/>
        <w:jc w:val="center"/>
        <w:rPr>
          <w:rFonts w:cs="Arial"/>
          <w:sz w:val="22"/>
          <w:szCs w:val="22"/>
        </w:rPr>
      </w:pPr>
      <w:r w:rsidRPr="005732E8">
        <w:rPr>
          <w:rFonts w:cs="Arial"/>
          <w:noProof/>
          <w:sz w:val="22"/>
          <w:szCs w:val="22"/>
          <w14:ligatures w14:val="standardContextual"/>
        </w:rPr>
        <w:drawing>
          <wp:inline distT="0" distB="0" distL="0" distR="0" wp14:anchorId="468DA040" wp14:editId="424995CF">
            <wp:extent cx="4597400" cy="2768600"/>
            <wp:effectExtent l="0" t="0" r="0" b="0"/>
            <wp:docPr id="515527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27989" name=""/>
                    <pic:cNvPicPr/>
                  </pic:nvPicPr>
                  <pic:blipFill>
                    <a:blip r:embed="rId22"/>
                    <a:stretch>
                      <a:fillRect/>
                    </a:stretch>
                  </pic:blipFill>
                  <pic:spPr>
                    <a:xfrm>
                      <a:off x="0" y="0"/>
                      <a:ext cx="4597400" cy="2768600"/>
                    </a:xfrm>
                    <a:prstGeom prst="rect">
                      <a:avLst/>
                    </a:prstGeom>
                  </pic:spPr>
                </pic:pic>
              </a:graphicData>
            </a:graphic>
          </wp:inline>
        </w:drawing>
      </w:r>
    </w:p>
    <w:p w14:paraId="5C328A69" w14:textId="77777777" w:rsidR="007F329F" w:rsidRPr="005732E8" w:rsidRDefault="007F329F" w:rsidP="005732E8">
      <w:pPr>
        <w:pStyle w:val="Caption"/>
        <w:spacing w:line="360" w:lineRule="auto"/>
        <w:jc w:val="center"/>
        <w:rPr>
          <w:rFonts w:cs="Arial"/>
          <w:sz w:val="22"/>
        </w:rPr>
      </w:pPr>
      <w:r w:rsidRPr="005732E8">
        <w:rPr>
          <w:rFonts w:cs="Arial"/>
          <w:sz w:val="22"/>
        </w:rPr>
        <w:t xml:space="preserve">Figure </w:t>
      </w:r>
      <w:r w:rsidRPr="005732E8">
        <w:rPr>
          <w:rFonts w:cs="Arial"/>
          <w:sz w:val="22"/>
        </w:rPr>
        <w:fldChar w:fldCharType="begin"/>
      </w:r>
      <w:r w:rsidRPr="005732E8">
        <w:rPr>
          <w:rFonts w:cs="Arial"/>
          <w:sz w:val="22"/>
        </w:rPr>
        <w:instrText xml:space="preserve"> SEQ Figure \* ARABIC </w:instrText>
      </w:r>
      <w:r w:rsidRPr="005732E8">
        <w:rPr>
          <w:rFonts w:cs="Arial"/>
          <w:sz w:val="22"/>
        </w:rPr>
        <w:fldChar w:fldCharType="separate"/>
      </w:r>
      <w:r w:rsidRPr="005732E8">
        <w:rPr>
          <w:rFonts w:cs="Arial"/>
          <w:noProof/>
          <w:sz w:val="22"/>
        </w:rPr>
        <w:t>14</w:t>
      </w:r>
      <w:r w:rsidRPr="005732E8">
        <w:rPr>
          <w:rFonts w:cs="Arial"/>
          <w:sz w:val="22"/>
        </w:rPr>
        <w:fldChar w:fldCharType="end"/>
      </w:r>
      <w:r w:rsidRPr="005732E8">
        <w:rPr>
          <w:rFonts w:cs="Arial"/>
          <w:sz w:val="22"/>
        </w:rPr>
        <w:t>. Payable Days</w:t>
      </w:r>
    </w:p>
    <w:p w14:paraId="19F4BBF5" w14:textId="77777777" w:rsidR="00D5739E" w:rsidRPr="005732E8" w:rsidRDefault="007F329F" w:rsidP="005732E8">
      <w:pPr>
        <w:pStyle w:val="Caption"/>
        <w:spacing w:line="360" w:lineRule="auto"/>
        <w:jc w:val="center"/>
        <w:rPr>
          <w:rFonts w:cs="Arial"/>
          <w:sz w:val="22"/>
        </w:rPr>
      </w:pPr>
      <w:r w:rsidRPr="005732E8">
        <w:rPr>
          <w:rFonts w:cs="Arial"/>
          <w:sz w:val="22"/>
        </w:rPr>
        <w:t>Source: Self-made, 2025</w:t>
      </w:r>
    </w:p>
    <w:p w14:paraId="5CDB695D" w14:textId="77777777" w:rsidR="007F329F" w:rsidRPr="005732E8" w:rsidRDefault="007F329F" w:rsidP="005732E8">
      <w:pPr>
        <w:spacing w:line="360" w:lineRule="auto"/>
        <w:rPr>
          <w:rFonts w:cs="Arial"/>
          <w:sz w:val="22"/>
          <w:szCs w:val="22"/>
        </w:rPr>
      </w:pPr>
      <w:r w:rsidRPr="005732E8">
        <w:rPr>
          <w:rFonts w:cs="Arial"/>
          <w:sz w:val="22"/>
          <w:szCs w:val="22"/>
        </w:rPr>
        <w:t>It indicates the duration of time the firm requires to settle its suppliers (</w:t>
      </w:r>
      <w:proofErr w:type="spellStart"/>
      <w:r w:rsidRPr="005732E8">
        <w:rPr>
          <w:rFonts w:cs="Arial"/>
          <w:sz w:val="22"/>
          <w:szCs w:val="22"/>
        </w:rPr>
        <w:t>Atrill</w:t>
      </w:r>
      <w:proofErr w:type="spellEnd"/>
      <w:r w:rsidRPr="005732E8">
        <w:rPr>
          <w:rFonts w:cs="Arial"/>
          <w:sz w:val="22"/>
          <w:szCs w:val="22"/>
        </w:rPr>
        <w:t xml:space="preserve"> and </w:t>
      </w:r>
      <w:proofErr w:type="spellStart"/>
      <w:r w:rsidRPr="005732E8">
        <w:rPr>
          <w:rFonts w:cs="Arial"/>
          <w:sz w:val="22"/>
          <w:szCs w:val="22"/>
        </w:rPr>
        <w:t>McLaney</w:t>
      </w:r>
      <w:proofErr w:type="spellEnd"/>
      <w:r w:rsidRPr="005732E8">
        <w:rPr>
          <w:rFonts w:cs="Arial"/>
          <w:sz w:val="22"/>
          <w:szCs w:val="22"/>
        </w:rPr>
        <w:t xml:space="preserve">, 2008). The analysis shows that the payables of GE rose in 2020-2023, leading to the prolongation of payable days. This demonstrates that GE had actually postponed payments to alleviate the liquidity constraints. In 2024, however, the ratio dropped drastically, indicating a reduction in the number of payable days. This abrupt decrease suggests that suppliers increased their credit conditions in response to GE’s increased financial risk, or GE tactically shrank outstanding payables to normalise supplier relationships (Kithinji, 2022). Nonetheless, a declining ratio decreases the availability of free cash flow, forcing the company to secure additional short-term funding. </w:t>
      </w:r>
    </w:p>
    <w:p w14:paraId="6865F9F0" w14:textId="77777777" w:rsidR="007F329F" w:rsidRPr="005732E8" w:rsidRDefault="005732E8" w:rsidP="005732E8">
      <w:pPr>
        <w:spacing w:line="360" w:lineRule="auto"/>
        <w:rPr>
          <w:rFonts w:cs="Arial"/>
          <w:b/>
          <w:bCs/>
          <w:sz w:val="22"/>
          <w:szCs w:val="22"/>
        </w:rPr>
      </w:pPr>
      <w:r w:rsidRPr="005732E8">
        <w:rPr>
          <w:rFonts w:eastAsiaTheme="minorHAnsi" w:cs="Arial"/>
          <w:b/>
          <w:bCs/>
          <w:sz w:val="22"/>
          <w:szCs w:val="22"/>
          <w:lang w:eastAsia="en-US"/>
        </w:rPr>
        <w:t>Cash Operating Cycle (CoC)</w:t>
      </w:r>
      <w:r w:rsidRPr="005732E8">
        <w:rPr>
          <w:rFonts w:cs="Arial"/>
          <w:b/>
          <w:bCs/>
          <w:sz w:val="22"/>
          <w:szCs w:val="22"/>
        </w:rPr>
        <w:t xml:space="preserve"> </w:t>
      </w:r>
      <w:r w:rsidR="007F329F" w:rsidRPr="005732E8">
        <w:rPr>
          <w:rFonts w:cs="Arial"/>
          <w:b/>
          <w:bCs/>
          <w:sz w:val="22"/>
          <w:szCs w:val="22"/>
        </w:rPr>
        <w:t>(see Appendix O)</w:t>
      </w:r>
    </w:p>
    <w:p w14:paraId="2B324E45" w14:textId="77777777" w:rsidR="007F329F" w:rsidRPr="005732E8" w:rsidRDefault="00B55DC8" w:rsidP="005732E8">
      <w:pPr>
        <w:keepNext/>
        <w:spacing w:line="360" w:lineRule="auto"/>
        <w:jc w:val="center"/>
        <w:rPr>
          <w:rFonts w:cs="Arial"/>
          <w:sz w:val="22"/>
          <w:szCs w:val="22"/>
        </w:rPr>
      </w:pPr>
      <w:r w:rsidRPr="005732E8">
        <w:rPr>
          <w:rFonts w:cs="Arial"/>
          <w:noProof/>
          <w:sz w:val="22"/>
          <w:szCs w:val="22"/>
          <w14:ligatures w14:val="standardContextual"/>
        </w:rPr>
        <w:drawing>
          <wp:inline distT="0" distB="0" distL="0" distR="0" wp14:anchorId="1C0508E2" wp14:editId="0832820C">
            <wp:extent cx="4597400" cy="2768600"/>
            <wp:effectExtent l="0" t="0" r="0" b="0"/>
            <wp:docPr id="1329308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308850" name=""/>
                    <pic:cNvPicPr/>
                  </pic:nvPicPr>
                  <pic:blipFill>
                    <a:blip r:embed="rId23"/>
                    <a:stretch>
                      <a:fillRect/>
                    </a:stretch>
                  </pic:blipFill>
                  <pic:spPr>
                    <a:xfrm>
                      <a:off x="0" y="0"/>
                      <a:ext cx="4597400" cy="2768600"/>
                    </a:xfrm>
                    <a:prstGeom prst="rect">
                      <a:avLst/>
                    </a:prstGeom>
                  </pic:spPr>
                </pic:pic>
              </a:graphicData>
            </a:graphic>
          </wp:inline>
        </w:drawing>
      </w:r>
    </w:p>
    <w:p w14:paraId="43F17DFD" w14:textId="77777777" w:rsidR="007F329F" w:rsidRPr="005732E8" w:rsidRDefault="007F329F" w:rsidP="005732E8">
      <w:pPr>
        <w:pStyle w:val="Caption"/>
        <w:spacing w:line="360" w:lineRule="auto"/>
        <w:jc w:val="center"/>
        <w:rPr>
          <w:rFonts w:cs="Arial"/>
          <w:sz w:val="22"/>
        </w:rPr>
      </w:pPr>
      <w:r w:rsidRPr="005732E8">
        <w:rPr>
          <w:rFonts w:cs="Arial"/>
          <w:sz w:val="22"/>
        </w:rPr>
        <w:t xml:space="preserve">Figure </w:t>
      </w:r>
      <w:r w:rsidRPr="005732E8">
        <w:rPr>
          <w:rFonts w:cs="Arial"/>
          <w:sz w:val="22"/>
        </w:rPr>
        <w:fldChar w:fldCharType="begin"/>
      </w:r>
      <w:r w:rsidRPr="005732E8">
        <w:rPr>
          <w:rFonts w:cs="Arial"/>
          <w:sz w:val="22"/>
        </w:rPr>
        <w:instrText xml:space="preserve"> SEQ Figure \* ARABIC </w:instrText>
      </w:r>
      <w:r w:rsidRPr="005732E8">
        <w:rPr>
          <w:rFonts w:cs="Arial"/>
          <w:sz w:val="22"/>
        </w:rPr>
        <w:fldChar w:fldCharType="separate"/>
      </w:r>
      <w:r w:rsidRPr="005732E8">
        <w:rPr>
          <w:rFonts w:cs="Arial"/>
          <w:noProof/>
          <w:sz w:val="22"/>
        </w:rPr>
        <w:t>15</w:t>
      </w:r>
      <w:r w:rsidRPr="005732E8">
        <w:rPr>
          <w:rFonts w:cs="Arial"/>
          <w:sz w:val="22"/>
        </w:rPr>
        <w:fldChar w:fldCharType="end"/>
      </w:r>
      <w:r w:rsidRPr="005732E8">
        <w:rPr>
          <w:rFonts w:cs="Arial"/>
          <w:sz w:val="22"/>
        </w:rPr>
        <w:t>. Cash Conversion Cycle (CoC)</w:t>
      </w:r>
    </w:p>
    <w:p w14:paraId="227B3358" w14:textId="77777777" w:rsidR="00B55DC8" w:rsidRPr="005732E8" w:rsidRDefault="007F329F" w:rsidP="005732E8">
      <w:pPr>
        <w:pStyle w:val="Caption"/>
        <w:spacing w:line="360" w:lineRule="auto"/>
        <w:jc w:val="center"/>
        <w:rPr>
          <w:rFonts w:cs="Arial"/>
          <w:sz w:val="22"/>
        </w:rPr>
      </w:pPr>
      <w:r w:rsidRPr="005732E8">
        <w:rPr>
          <w:rFonts w:cs="Arial"/>
          <w:sz w:val="22"/>
        </w:rPr>
        <w:t>Source: Self-made, 2025</w:t>
      </w:r>
    </w:p>
    <w:p w14:paraId="6B6D880A" w14:textId="77777777" w:rsidR="007F329F" w:rsidRDefault="005732E8" w:rsidP="005732E8">
      <w:pPr>
        <w:spacing w:line="360" w:lineRule="auto"/>
        <w:rPr>
          <w:rFonts w:cs="Arial"/>
          <w:sz w:val="22"/>
          <w:szCs w:val="22"/>
        </w:rPr>
      </w:pPr>
      <w:r w:rsidRPr="005732E8">
        <w:rPr>
          <w:rFonts w:cs="Arial"/>
          <w:sz w:val="22"/>
          <w:szCs w:val="22"/>
        </w:rPr>
        <w:t>The CoC indicates that the efficiency of the GE’s working capital has declined over the years. The inventory days have been on the rise, which implies slower stock turnover and increased holding costs. The receivables days were also continuously high, indicating poor credit management and sluggish customer payment. Conversely, the payables days have most frequently been unable to counter the increasing inventory and receivables period, constraining the inherent cash-flow buffer suppliers offer. This has led to a longer overall CoC. This complicates liquidity, financing requirements, and raises short-term financial risk for GE.</w:t>
      </w:r>
    </w:p>
    <w:p w14:paraId="6408D600" w14:textId="77777777" w:rsidR="005732E8" w:rsidRPr="005732E8" w:rsidRDefault="005732E8" w:rsidP="00560408">
      <w:pPr>
        <w:pStyle w:val="Heading2"/>
      </w:pPr>
      <w:bookmarkStart w:id="11" w:name="_Toc216386202"/>
      <w:r w:rsidRPr="005732E8">
        <w:t>Working Capital Improvement Strategies</w:t>
      </w:r>
      <w:bookmarkEnd w:id="11"/>
    </w:p>
    <w:p w14:paraId="4206AD45" w14:textId="77777777" w:rsidR="00D83C69" w:rsidRPr="00D83C69" w:rsidRDefault="00D83C69" w:rsidP="00D83C69">
      <w:pPr>
        <w:spacing w:line="360" w:lineRule="auto"/>
        <w:rPr>
          <w:rFonts w:cs="Arial"/>
          <w:sz w:val="22"/>
          <w:szCs w:val="22"/>
        </w:rPr>
      </w:pPr>
      <w:r w:rsidRPr="00D83C69">
        <w:rPr>
          <w:rFonts w:cs="Arial"/>
          <w:sz w:val="22"/>
          <w:szCs w:val="22"/>
        </w:rPr>
        <w:t>The CoC analysis shows that GE is undergoing a declining rate of receivables collection, unstable inventory turnover, and ineffective use of supplier credit. Hence, the company should implement specific changes in all the major elements of working capital (inventory, receivables, and payables) to stabilise short-term solvency and strengthen liquidity, which should be supported by the principles of financial management.</w:t>
      </w:r>
    </w:p>
    <w:p w14:paraId="1531FFCB" w14:textId="77777777" w:rsidR="00D83C69" w:rsidRPr="00D83C69" w:rsidRDefault="00D83C69" w:rsidP="00D83C69">
      <w:pPr>
        <w:spacing w:line="360" w:lineRule="auto"/>
        <w:rPr>
          <w:rFonts w:cs="Arial"/>
          <w:b/>
          <w:bCs/>
          <w:sz w:val="22"/>
          <w:szCs w:val="22"/>
        </w:rPr>
      </w:pPr>
      <w:r w:rsidRPr="00D83C69">
        <w:rPr>
          <w:rFonts w:cs="Arial"/>
          <w:b/>
          <w:bCs/>
          <w:sz w:val="22"/>
          <w:szCs w:val="22"/>
        </w:rPr>
        <w:t>Enhancing Inventory Control</w:t>
      </w:r>
    </w:p>
    <w:p w14:paraId="3A2ECC6A" w14:textId="77777777" w:rsidR="00D83C69" w:rsidRPr="00D83C69" w:rsidRDefault="00D83C69" w:rsidP="00D83C69">
      <w:pPr>
        <w:spacing w:line="360" w:lineRule="auto"/>
        <w:rPr>
          <w:rFonts w:cs="Arial"/>
          <w:sz w:val="22"/>
          <w:szCs w:val="22"/>
        </w:rPr>
      </w:pPr>
      <w:r w:rsidRPr="00D83C69">
        <w:rPr>
          <w:rFonts w:cs="Arial"/>
          <w:sz w:val="22"/>
          <w:szCs w:val="22"/>
        </w:rPr>
        <w:t xml:space="preserve">Drury (2008) asserts that better inventory turnover positively impacts the working capital cycle of the firm, which leads to faster cash recovery. Therefore, excess inventory stock can be minimised by adopting lean inventory management systems, real-time demand order projections and ABC categorisation. </w:t>
      </w:r>
    </w:p>
    <w:p w14:paraId="3064C4CB" w14:textId="77777777" w:rsidR="00D83C69" w:rsidRPr="00D83C69" w:rsidRDefault="00D83C69" w:rsidP="00D83C69">
      <w:pPr>
        <w:spacing w:line="360" w:lineRule="auto"/>
        <w:rPr>
          <w:rFonts w:cs="Arial"/>
          <w:b/>
          <w:bCs/>
          <w:sz w:val="22"/>
          <w:szCs w:val="22"/>
        </w:rPr>
      </w:pPr>
      <w:r w:rsidRPr="00D83C69">
        <w:rPr>
          <w:rFonts w:cs="Arial"/>
          <w:b/>
          <w:bCs/>
          <w:sz w:val="22"/>
          <w:szCs w:val="22"/>
        </w:rPr>
        <w:t>Rapid Receivables Collection</w:t>
      </w:r>
    </w:p>
    <w:p w14:paraId="24DE61C3" w14:textId="77777777" w:rsidR="00D83C69" w:rsidRPr="00D83C69" w:rsidRDefault="00D83C69" w:rsidP="00D83C69">
      <w:pPr>
        <w:spacing w:line="360" w:lineRule="auto"/>
        <w:rPr>
          <w:rFonts w:cs="Arial"/>
          <w:sz w:val="22"/>
          <w:szCs w:val="22"/>
        </w:rPr>
      </w:pPr>
      <w:r w:rsidRPr="00D83C69">
        <w:rPr>
          <w:rFonts w:cs="Arial"/>
          <w:sz w:val="22"/>
          <w:szCs w:val="22"/>
        </w:rPr>
        <w:t xml:space="preserve">According to Petty et al. (2015), the quicker the receivables are collected, the better the operations become liquid. Therefore, the company is recommended to tighten its credit policy, offer early-payment discounts, use automated invoicing and strengthen creditworthiness assessments. Moreover, the implementation of receivables financing methods such as factoring or invoice discounting can also assist in the conversion of the credit sales into cash faster. </w:t>
      </w:r>
    </w:p>
    <w:p w14:paraId="02592A4B" w14:textId="77777777" w:rsidR="00D83C69" w:rsidRPr="00D83C69" w:rsidRDefault="00D83C69" w:rsidP="00D83C69">
      <w:pPr>
        <w:spacing w:line="360" w:lineRule="auto"/>
        <w:rPr>
          <w:rFonts w:cs="Arial"/>
          <w:b/>
          <w:bCs/>
          <w:sz w:val="22"/>
          <w:szCs w:val="22"/>
        </w:rPr>
      </w:pPr>
      <w:r w:rsidRPr="00D83C69">
        <w:rPr>
          <w:rFonts w:cs="Arial"/>
          <w:b/>
          <w:bCs/>
          <w:sz w:val="22"/>
          <w:szCs w:val="22"/>
        </w:rPr>
        <w:t>Optimisation of Supplier Payment Strategies</w:t>
      </w:r>
    </w:p>
    <w:p w14:paraId="31B8386B" w14:textId="77777777" w:rsidR="005732E8" w:rsidRPr="00D83C69" w:rsidRDefault="00D83C69" w:rsidP="00D83C69">
      <w:pPr>
        <w:spacing w:line="360" w:lineRule="auto"/>
        <w:rPr>
          <w:rFonts w:cs="Arial"/>
          <w:sz w:val="22"/>
          <w:szCs w:val="22"/>
        </w:rPr>
      </w:pPr>
      <w:r w:rsidRPr="00D83C69">
        <w:rPr>
          <w:rFonts w:cs="Arial"/>
          <w:sz w:val="22"/>
          <w:szCs w:val="22"/>
        </w:rPr>
        <w:t>Although the company cannot overstretch the payables to the point where its relationships with suppliers become unsustainable, it is necessary to stabilise the payable days at an optimal level. The short-term cash pressure can also be lowered by negotiating longer payment terms, dynamic discounting, and consolidating purchases to take advantage of bargaining power (Collier, 2012).</w:t>
      </w:r>
    </w:p>
    <w:p w14:paraId="03592B0E" w14:textId="77777777" w:rsidR="00680C33" w:rsidRPr="00680C33" w:rsidRDefault="00D83C69" w:rsidP="00560408">
      <w:pPr>
        <w:pStyle w:val="Heading2"/>
      </w:pPr>
      <w:bookmarkStart w:id="12" w:name="_Toc216386203"/>
      <w:r w:rsidRPr="00D83C69">
        <w:rPr>
          <w:rStyle w:val="Strong"/>
          <w:bCs w:val="0"/>
        </w:rPr>
        <w:t>Financing Options Comparison</w:t>
      </w:r>
      <w:bookmarkEnd w:id="12"/>
    </w:p>
    <w:p w14:paraId="0ED57BD3" w14:textId="77777777" w:rsidR="00680C33" w:rsidRDefault="00411CBE" w:rsidP="00680C33">
      <w:pPr>
        <w:spacing w:line="360" w:lineRule="auto"/>
        <w:rPr>
          <w:rFonts w:cs="Arial"/>
          <w:sz w:val="22"/>
          <w:szCs w:val="22"/>
        </w:rPr>
      </w:pPr>
      <w:r w:rsidRPr="00680C33">
        <w:rPr>
          <w:rFonts w:cs="Arial"/>
          <w:sz w:val="22"/>
          <w:szCs w:val="22"/>
        </w:rPr>
        <w:t>To facilitate recovery of liquidity and stabilisation of the working capital cycle, GE needs to analyse the comparative appropriateness of short and long-term financing instruments. The short-term financing, such as revolving credit facilities, trade credit extension, and commercial paper, provides quick access to funds at a reduced cost (Petty et al., 2015). Therefore, it is suitable for addressing seasonal working capital strains. Nevertheless, the decreasing interest coverage ratio of the firm, as well as the fluctuating operating cash flows, indicate that excessive use of short-term borrowing might increase the risk of refinancing (Brigham and Houston, 2021). Conversely, long-term financing, such as corporate bonds, long-term bank loans and equity issuance, offers stability while lessening pressure on liquidity in the short term (Petty et al., 2015). However, it is generally more costly and often dilute</w:t>
      </w:r>
      <w:r w:rsidR="00680C33" w:rsidRPr="00680C33">
        <w:rPr>
          <w:rFonts w:cs="Arial"/>
          <w:sz w:val="22"/>
          <w:szCs w:val="22"/>
        </w:rPr>
        <w:t>s</w:t>
      </w:r>
      <w:r w:rsidRPr="00680C33">
        <w:rPr>
          <w:rFonts w:cs="Arial"/>
          <w:sz w:val="22"/>
          <w:szCs w:val="22"/>
        </w:rPr>
        <w:t xml:space="preserve"> ownership. Hence, as GE has been increasing its debt-to-equity ratio, equity or hybrid financing could be a more sustainable path to recapitalisation without having to introduce excessive leverage. </w:t>
      </w:r>
    </w:p>
    <w:p w14:paraId="2EFC08EC" w14:textId="77777777" w:rsidR="00680C33" w:rsidRDefault="00680C33">
      <w:pPr>
        <w:rPr>
          <w:rFonts w:cs="Arial"/>
          <w:sz w:val="22"/>
          <w:szCs w:val="22"/>
        </w:rPr>
      </w:pPr>
      <w:r>
        <w:rPr>
          <w:rFonts w:cs="Arial"/>
          <w:sz w:val="22"/>
          <w:szCs w:val="22"/>
        </w:rPr>
        <w:br w:type="page"/>
      </w:r>
    </w:p>
    <w:p w14:paraId="15EF1337" w14:textId="77777777" w:rsidR="00C359FF" w:rsidRDefault="00C359FF" w:rsidP="00C359FF">
      <w:pPr>
        <w:pStyle w:val="Heading1"/>
      </w:pPr>
      <w:bookmarkStart w:id="13" w:name="_Toc216386204"/>
      <w:r>
        <w:t>Strategic Financial Restructuring Plan</w:t>
      </w:r>
      <w:bookmarkEnd w:id="13"/>
    </w:p>
    <w:p w14:paraId="0FC0D16B" w14:textId="77777777" w:rsidR="00411CBE" w:rsidRPr="007A0C75" w:rsidRDefault="00F529FF" w:rsidP="007A0C75">
      <w:pPr>
        <w:spacing w:line="360" w:lineRule="auto"/>
        <w:rPr>
          <w:rFonts w:cs="Arial"/>
          <w:sz w:val="22"/>
          <w:szCs w:val="22"/>
        </w:rPr>
      </w:pPr>
      <w:r w:rsidRPr="007A0C75">
        <w:rPr>
          <w:rFonts w:cs="Arial"/>
          <w:sz w:val="22"/>
          <w:szCs w:val="22"/>
        </w:rPr>
        <w:t>The falling profitability, deteriorating liquidity, increasing leverage and decreasing efficiency ratios of GE have demonstrated that there is a need to have a holistic financial restructuring strategy. The plan should be targeted at stabilising the solvency, restoring creditworthiness and enhancing the long-term strategic flexibility. Hence, t</w:t>
      </w:r>
      <w:r w:rsidR="00680C33" w:rsidRPr="007A0C75">
        <w:rPr>
          <w:rFonts w:cs="Arial"/>
          <w:sz w:val="22"/>
          <w:szCs w:val="22"/>
        </w:rPr>
        <w:t xml:space="preserve">he proposed restructuring plan includes </w:t>
      </w:r>
      <w:r w:rsidR="00C359FF" w:rsidRPr="007A0C75">
        <w:rPr>
          <w:rFonts w:cs="Arial"/>
          <w:sz w:val="22"/>
          <w:szCs w:val="22"/>
        </w:rPr>
        <w:t>several</w:t>
      </w:r>
      <w:r w:rsidR="00680C33" w:rsidRPr="007A0C75">
        <w:rPr>
          <w:rFonts w:cs="Arial"/>
          <w:sz w:val="22"/>
          <w:szCs w:val="22"/>
        </w:rPr>
        <w:t xml:space="preserve"> aligned measures, each of which is discussed in its consequences on shareholder value, debt structure</w:t>
      </w:r>
      <w:r w:rsidR="00862035" w:rsidRPr="007A0C75">
        <w:rPr>
          <w:rFonts w:cs="Arial"/>
          <w:sz w:val="22"/>
          <w:szCs w:val="22"/>
        </w:rPr>
        <w:t xml:space="preserve">, </w:t>
      </w:r>
      <w:r w:rsidR="00680C33" w:rsidRPr="007A0C75">
        <w:rPr>
          <w:rFonts w:cs="Arial"/>
          <w:sz w:val="22"/>
          <w:szCs w:val="22"/>
        </w:rPr>
        <w:t>operations and the ethical aspects of the world.</w:t>
      </w:r>
    </w:p>
    <w:p w14:paraId="732E9E54" w14:textId="77777777" w:rsidR="00C359FF" w:rsidRPr="007A0C75" w:rsidRDefault="00C359FF" w:rsidP="007A0C75">
      <w:pPr>
        <w:spacing w:line="360" w:lineRule="auto"/>
        <w:rPr>
          <w:rStyle w:val="Strong"/>
          <w:rFonts w:cs="Arial"/>
          <w:sz w:val="22"/>
          <w:szCs w:val="22"/>
        </w:rPr>
      </w:pPr>
      <w:r w:rsidRPr="007A0C75">
        <w:rPr>
          <w:rStyle w:val="Strong"/>
          <w:rFonts w:eastAsiaTheme="majorEastAsia" w:cs="Arial"/>
          <w:sz w:val="22"/>
          <w:szCs w:val="22"/>
        </w:rPr>
        <w:t>Divestiture of Non-Core or Underperforming Assets</w:t>
      </w:r>
    </w:p>
    <w:p w14:paraId="5E7D0003" w14:textId="77777777" w:rsidR="00C359FF" w:rsidRPr="007A0C75" w:rsidRDefault="00C359FF" w:rsidP="007A0C75">
      <w:pPr>
        <w:spacing w:line="360" w:lineRule="auto"/>
        <w:rPr>
          <w:rFonts w:cs="Arial"/>
          <w:sz w:val="22"/>
          <w:szCs w:val="22"/>
        </w:rPr>
      </w:pPr>
      <w:r w:rsidRPr="007A0C75">
        <w:rPr>
          <w:rFonts w:cs="Arial"/>
          <w:sz w:val="22"/>
          <w:szCs w:val="22"/>
        </w:rPr>
        <w:t xml:space="preserve">The implementation of an efficient divestiture programme would enable GE to refocus its portfolio on high-margin consumer electronics products while terminating operations that generate negative margins or sluggish asset turnover (Feldman and </w:t>
      </w:r>
      <w:proofErr w:type="spellStart"/>
      <w:r w:rsidRPr="007A0C75">
        <w:rPr>
          <w:rFonts w:cs="Arial"/>
          <w:sz w:val="22"/>
          <w:szCs w:val="22"/>
        </w:rPr>
        <w:t>Sakhartov</w:t>
      </w:r>
      <w:proofErr w:type="spellEnd"/>
      <w:r w:rsidRPr="007A0C75">
        <w:rPr>
          <w:rFonts w:cs="Arial"/>
          <w:sz w:val="22"/>
          <w:szCs w:val="22"/>
        </w:rPr>
        <w:t xml:space="preserve">, 2022). </w:t>
      </w:r>
      <w:r w:rsidR="00E322E8" w:rsidRPr="007A0C75">
        <w:rPr>
          <w:rFonts w:cs="Arial"/>
          <w:sz w:val="22"/>
          <w:szCs w:val="22"/>
        </w:rPr>
        <w:t xml:space="preserve">The company is now operating in an excessively diversified portfolio of smart products, home appliances, computer hardware, and digital services, most of which experience decreasing margins. Hence, divestiture would enable </w:t>
      </w:r>
      <w:r w:rsidR="00862035" w:rsidRPr="007A0C75">
        <w:rPr>
          <w:rFonts w:cs="Arial"/>
          <w:sz w:val="22"/>
          <w:szCs w:val="22"/>
        </w:rPr>
        <w:t>it</w:t>
      </w:r>
      <w:r w:rsidR="00E322E8" w:rsidRPr="007A0C75">
        <w:rPr>
          <w:rFonts w:cs="Arial"/>
          <w:sz w:val="22"/>
          <w:szCs w:val="22"/>
        </w:rPr>
        <w:t xml:space="preserve"> to sell assets that are either not synergistic or capital-intensive with the long-term strategic vision. Economically, disposing of non-core businesses will create an instant cash flow that can be deployed to deleverage the balance sheet, refinance working capital, and increase liquidity ratios, which directly responds to issues raised in the Altman Z-Score analysis (Parrino et al., 2025). </w:t>
      </w:r>
      <w:r w:rsidRPr="007A0C75">
        <w:rPr>
          <w:rFonts w:cs="Arial"/>
          <w:sz w:val="22"/>
          <w:szCs w:val="22"/>
        </w:rPr>
        <w:t>Therefore, divestiture, in this case, enhances the balance sheet through a reduction in leverage</w:t>
      </w:r>
      <w:r w:rsidR="001A3A72" w:rsidRPr="007A0C75">
        <w:rPr>
          <w:rFonts w:cs="Arial"/>
          <w:sz w:val="22"/>
          <w:szCs w:val="22"/>
        </w:rPr>
        <w:t xml:space="preserve">, allowing </w:t>
      </w:r>
      <w:r w:rsidRPr="007A0C75">
        <w:rPr>
          <w:rFonts w:cs="Arial"/>
          <w:sz w:val="22"/>
          <w:szCs w:val="22"/>
        </w:rPr>
        <w:t>cash reserves to be used in strategic priorities such as digital product growth or research and development</w:t>
      </w:r>
      <w:r w:rsidR="001A3A72" w:rsidRPr="007A0C75">
        <w:rPr>
          <w:rFonts w:cs="Arial"/>
          <w:sz w:val="22"/>
          <w:szCs w:val="22"/>
        </w:rPr>
        <w:t xml:space="preserve"> (Brigham and Houston, 2021)</w:t>
      </w:r>
      <w:r w:rsidRPr="007A0C75">
        <w:rPr>
          <w:rFonts w:cs="Arial"/>
          <w:sz w:val="22"/>
          <w:szCs w:val="22"/>
        </w:rPr>
        <w:t>. To the shareholders, divestiture adds value through redistributing capital to businesses that have a higher ROA and ROE potential</w:t>
      </w:r>
      <w:r w:rsidR="001A3A72" w:rsidRPr="007A0C75">
        <w:rPr>
          <w:rFonts w:cs="Arial"/>
          <w:sz w:val="22"/>
          <w:szCs w:val="22"/>
        </w:rPr>
        <w:t xml:space="preserve"> (</w:t>
      </w:r>
      <w:r w:rsidR="001A3A72" w:rsidRPr="007A0C75">
        <w:rPr>
          <w:rFonts w:cs="Arial"/>
          <w:color w:val="222222"/>
          <w:sz w:val="22"/>
          <w:szCs w:val="22"/>
          <w:shd w:val="clear" w:color="auto" w:fill="FFFFFF"/>
        </w:rPr>
        <w:t>Parrino et al.</w:t>
      </w:r>
      <w:r w:rsidR="001A3A72" w:rsidRPr="007A0C75">
        <w:rPr>
          <w:rFonts w:cs="Arial"/>
          <w:sz w:val="22"/>
          <w:szCs w:val="22"/>
        </w:rPr>
        <w:t>, 2025)</w:t>
      </w:r>
      <w:r w:rsidRPr="007A0C75">
        <w:rPr>
          <w:rFonts w:cs="Arial"/>
          <w:sz w:val="22"/>
          <w:szCs w:val="22"/>
        </w:rPr>
        <w:t>. Furthermore, divestiture operationally decreases managerial complexity. Nevertheless, the company will have to deal with taxation effects</w:t>
      </w:r>
      <w:r w:rsidR="001A3A72" w:rsidRPr="007A0C75">
        <w:rPr>
          <w:rFonts w:cs="Arial"/>
          <w:sz w:val="22"/>
          <w:szCs w:val="22"/>
        </w:rPr>
        <w:t xml:space="preserve">, such as capital gains tax liability and transfer pricing requirements, </w:t>
      </w:r>
      <w:r w:rsidRPr="007A0C75">
        <w:rPr>
          <w:rFonts w:cs="Arial"/>
          <w:sz w:val="22"/>
          <w:szCs w:val="22"/>
        </w:rPr>
        <w:t>on the sale of assets across jurisdictions</w:t>
      </w:r>
      <w:r w:rsidR="001A3A72" w:rsidRPr="007A0C75">
        <w:rPr>
          <w:rFonts w:cs="Arial"/>
          <w:sz w:val="22"/>
          <w:szCs w:val="22"/>
        </w:rPr>
        <w:t xml:space="preserve"> during this divestiture (</w:t>
      </w:r>
      <w:proofErr w:type="spellStart"/>
      <w:r w:rsidR="001A3A72" w:rsidRPr="007A0C75">
        <w:rPr>
          <w:rFonts w:cs="Arial"/>
          <w:sz w:val="22"/>
          <w:szCs w:val="22"/>
        </w:rPr>
        <w:t>Atrill</w:t>
      </w:r>
      <w:proofErr w:type="spellEnd"/>
      <w:r w:rsidR="001A3A72" w:rsidRPr="007A0C75">
        <w:rPr>
          <w:rFonts w:cs="Arial"/>
          <w:sz w:val="22"/>
          <w:szCs w:val="22"/>
        </w:rPr>
        <w:t xml:space="preserve"> and </w:t>
      </w:r>
      <w:proofErr w:type="spellStart"/>
      <w:r w:rsidR="001A3A72" w:rsidRPr="007A0C75">
        <w:rPr>
          <w:rFonts w:cs="Arial"/>
          <w:sz w:val="22"/>
          <w:szCs w:val="22"/>
        </w:rPr>
        <w:t>McLaney</w:t>
      </w:r>
      <w:proofErr w:type="spellEnd"/>
      <w:r w:rsidR="001A3A72" w:rsidRPr="007A0C75">
        <w:rPr>
          <w:rFonts w:cs="Arial"/>
          <w:sz w:val="22"/>
          <w:szCs w:val="22"/>
        </w:rPr>
        <w:t>, 2008)</w:t>
      </w:r>
      <w:r w:rsidRPr="007A0C75">
        <w:rPr>
          <w:rFonts w:cs="Arial"/>
          <w:sz w:val="22"/>
          <w:szCs w:val="22"/>
        </w:rPr>
        <w:t xml:space="preserve">. There are also ethical concerns </w:t>
      </w:r>
      <w:r w:rsidR="001A3A72" w:rsidRPr="007A0C75">
        <w:rPr>
          <w:rFonts w:cs="Arial"/>
          <w:sz w:val="22"/>
          <w:szCs w:val="22"/>
        </w:rPr>
        <w:t>regarding</w:t>
      </w:r>
      <w:r w:rsidRPr="007A0C75">
        <w:rPr>
          <w:rFonts w:cs="Arial"/>
          <w:sz w:val="22"/>
          <w:szCs w:val="22"/>
        </w:rPr>
        <w:t xml:space="preserve"> the responsible management of the workforce</w:t>
      </w:r>
      <w:r w:rsidR="001A3A72" w:rsidRPr="007A0C75">
        <w:rPr>
          <w:rFonts w:cs="Arial"/>
          <w:sz w:val="22"/>
          <w:szCs w:val="22"/>
        </w:rPr>
        <w:t xml:space="preserve"> (</w:t>
      </w:r>
      <w:r w:rsidR="001A3A72" w:rsidRPr="007A0C75">
        <w:rPr>
          <w:rFonts w:cs="Arial"/>
          <w:color w:val="222222"/>
          <w:sz w:val="22"/>
          <w:szCs w:val="22"/>
          <w:shd w:val="clear" w:color="auto" w:fill="FFFFFF"/>
        </w:rPr>
        <w:t>Parrino et al.</w:t>
      </w:r>
      <w:r w:rsidR="001A3A72" w:rsidRPr="007A0C75">
        <w:rPr>
          <w:rFonts w:cs="Arial"/>
          <w:sz w:val="22"/>
          <w:szCs w:val="22"/>
        </w:rPr>
        <w:t>, 2025).</w:t>
      </w:r>
      <w:r w:rsidRPr="007A0C75">
        <w:rPr>
          <w:rFonts w:cs="Arial"/>
          <w:sz w:val="22"/>
          <w:szCs w:val="22"/>
        </w:rPr>
        <w:t xml:space="preserve"> Therefore, retraining support and open communication should accompany the process of divesting</w:t>
      </w:r>
      <w:r w:rsidR="001A3A72" w:rsidRPr="007A0C75">
        <w:rPr>
          <w:rFonts w:cs="Arial"/>
          <w:sz w:val="22"/>
          <w:szCs w:val="22"/>
        </w:rPr>
        <w:t>. Overall</w:t>
      </w:r>
      <w:r w:rsidRPr="007A0C75">
        <w:rPr>
          <w:rFonts w:cs="Arial"/>
          <w:sz w:val="22"/>
          <w:szCs w:val="22"/>
        </w:rPr>
        <w:t>, divestiture can be a long-term financial recuperation tool, stakeholder confidence, and international competitiveness</w:t>
      </w:r>
      <w:r w:rsidR="001A3A72" w:rsidRPr="007A0C75">
        <w:rPr>
          <w:rFonts w:cs="Arial"/>
          <w:sz w:val="22"/>
          <w:szCs w:val="22"/>
        </w:rPr>
        <w:t xml:space="preserve">, if done in a responsible fashion. </w:t>
      </w:r>
    </w:p>
    <w:p w14:paraId="7C766AE6" w14:textId="77777777" w:rsidR="001A3A72" w:rsidRPr="007A0C75" w:rsidRDefault="001A3A72" w:rsidP="007A0C75">
      <w:pPr>
        <w:spacing w:line="360" w:lineRule="auto"/>
        <w:rPr>
          <w:rStyle w:val="Strong"/>
          <w:rFonts w:cs="Arial"/>
          <w:sz w:val="22"/>
          <w:szCs w:val="22"/>
        </w:rPr>
      </w:pPr>
      <w:r w:rsidRPr="007A0C75">
        <w:rPr>
          <w:rStyle w:val="Strong"/>
          <w:rFonts w:eastAsiaTheme="majorEastAsia" w:cs="Arial"/>
          <w:sz w:val="22"/>
          <w:szCs w:val="22"/>
        </w:rPr>
        <w:t>Strategic Merger or Alliance</w:t>
      </w:r>
    </w:p>
    <w:p w14:paraId="65EFE467" w14:textId="77777777" w:rsidR="001A3A72" w:rsidRPr="007A0C75" w:rsidRDefault="001A3A72" w:rsidP="007A0C75">
      <w:pPr>
        <w:spacing w:line="360" w:lineRule="auto"/>
        <w:rPr>
          <w:rFonts w:cs="Arial"/>
          <w:sz w:val="22"/>
          <w:szCs w:val="22"/>
        </w:rPr>
      </w:pPr>
      <w:r w:rsidRPr="007A0C75">
        <w:rPr>
          <w:rFonts w:cs="Arial"/>
          <w:sz w:val="22"/>
          <w:szCs w:val="22"/>
        </w:rPr>
        <w:t>A merger or strategic partnership with a more innovative, technologically advanced competitor would help GE progress faster in the innovation, market penetration, and cost aspects. It</w:t>
      </w:r>
      <w:r w:rsidR="00514CAE" w:rsidRPr="007A0C75">
        <w:rPr>
          <w:rFonts w:cs="Arial"/>
          <w:sz w:val="22"/>
          <w:szCs w:val="22"/>
        </w:rPr>
        <w:t xml:space="preserve"> can</w:t>
      </w:r>
      <w:r w:rsidRPr="007A0C75">
        <w:rPr>
          <w:rFonts w:cs="Arial"/>
          <w:sz w:val="22"/>
          <w:szCs w:val="22"/>
        </w:rPr>
        <w:t xml:space="preserve"> offer significant advantages to the company, including economies of scale, technology exchange, and expanded market access (Brigham and Houston, 2021). Furthermore, the value of shareholders increases when a merger delivers synergies to boost profitability, margins and cash flows in the future</w:t>
      </w:r>
      <w:r w:rsidR="001B6D4A" w:rsidRPr="007A0C75">
        <w:rPr>
          <w:rFonts w:cs="Arial"/>
          <w:sz w:val="22"/>
          <w:szCs w:val="22"/>
        </w:rPr>
        <w:t xml:space="preserve"> (</w:t>
      </w:r>
      <w:r w:rsidR="001B6D4A" w:rsidRPr="007A0C75">
        <w:rPr>
          <w:rFonts w:cs="Arial"/>
          <w:color w:val="222222"/>
          <w:sz w:val="22"/>
          <w:szCs w:val="22"/>
          <w:shd w:val="clear" w:color="auto" w:fill="FFFFFF"/>
        </w:rPr>
        <w:t>Brinster, 2021)</w:t>
      </w:r>
      <w:r w:rsidRPr="007A0C75">
        <w:rPr>
          <w:rFonts w:cs="Arial"/>
          <w:sz w:val="22"/>
          <w:szCs w:val="22"/>
        </w:rPr>
        <w:t xml:space="preserve">. </w:t>
      </w:r>
      <w:r w:rsidR="00514CAE" w:rsidRPr="007A0C75">
        <w:rPr>
          <w:rFonts w:cs="Arial"/>
          <w:sz w:val="22"/>
          <w:szCs w:val="22"/>
        </w:rPr>
        <w:t>It also substantially changes the debt structure as it allows for renegotiating loan conditions, getting lower interest rates as a result of higher credit quality</w:t>
      </w:r>
      <w:r w:rsidR="00862035" w:rsidRPr="007A0C75">
        <w:rPr>
          <w:rFonts w:cs="Arial"/>
          <w:sz w:val="22"/>
          <w:szCs w:val="22"/>
        </w:rPr>
        <w:t xml:space="preserve">, </w:t>
      </w:r>
      <w:r w:rsidR="00514CAE" w:rsidRPr="007A0C75">
        <w:rPr>
          <w:rFonts w:cs="Arial"/>
          <w:sz w:val="22"/>
          <w:szCs w:val="22"/>
        </w:rPr>
        <w:t xml:space="preserve">and attaining a more effective capital structure (Parrino et al., 2025). In the case of GE, where the interest coverage ratio has turned into a critical negative, a merger may boost the confidence of creditors. </w:t>
      </w:r>
      <w:r w:rsidRPr="007A0C75">
        <w:rPr>
          <w:rFonts w:cs="Arial"/>
          <w:sz w:val="22"/>
          <w:szCs w:val="22"/>
        </w:rPr>
        <w:t xml:space="preserve">Nonetheless, </w:t>
      </w:r>
      <w:r w:rsidR="001B6D4A" w:rsidRPr="007A0C75">
        <w:rPr>
          <w:rFonts w:cs="Arial"/>
          <w:sz w:val="22"/>
          <w:szCs w:val="22"/>
        </w:rPr>
        <w:t>in</w:t>
      </w:r>
      <w:r w:rsidRPr="007A0C75">
        <w:rPr>
          <w:rFonts w:cs="Arial"/>
          <w:sz w:val="22"/>
          <w:szCs w:val="22"/>
        </w:rPr>
        <w:t xml:space="preserve"> multi-national operations, mergers present challenges such as regulatory compliance issues, anti-trust approval and currency exposure</w:t>
      </w:r>
      <w:r w:rsidR="001B6D4A" w:rsidRPr="007A0C75">
        <w:rPr>
          <w:rFonts w:cs="Arial"/>
          <w:sz w:val="22"/>
          <w:szCs w:val="22"/>
        </w:rPr>
        <w:t xml:space="preserve"> (</w:t>
      </w:r>
      <w:r w:rsidR="001B6D4A" w:rsidRPr="007A0C75">
        <w:rPr>
          <w:rFonts w:cs="Arial"/>
          <w:color w:val="222222"/>
          <w:sz w:val="22"/>
          <w:szCs w:val="22"/>
          <w:shd w:val="clear" w:color="auto" w:fill="FFFFFF"/>
        </w:rPr>
        <w:t>Malik et al., 2023)</w:t>
      </w:r>
      <w:r w:rsidRPr="007A0C75">
        <w:rPr>
          <w:rFonts w:cs="Arial"/>
          <w:sz w:val="22"/>
          <w:szCs w:val="22"/>
        </w:rPr>
        <w:t xml:space="preserve">. As an example, consolidated performance can be affected by exchange rate volatility because revenues can be denominated in yen, euro, or USD. </w:t>
      </w:r>
      <w:r w:rsidR="001B6D4A" w:rsidRPr="007A0C75">
        <w:rPr>
          <w:rFonts w:cs="Arial"/>
          <w:sz w:val="22"/>
          <w:szCs w:val="22"/>
        </w:rPr>
        <w:t>Moreover, t</w:t>
      </w:r>
      <w:r w:rsidRPr="007A0C75">
        <w:rPr>
          <w:rFonts w:cs="Arial"/>
          <w:sz w:val="22"/>
          <w:szCs w:val="22"/>
        </w:rPr>
        <w:t xml:space="preserve">he ethical considerations </w:t>
      </w:r>
      <w:r w:rsidR="001B6D4A" w:rsidRPr="007A0C75">
        <w:rPr>
          <w:rFonts w:cs="Arial"/>
          <w:sz w:val="22"/>
          <w:szCs w:val="22"/>
        </w:rPr>
        <w:t>include</w:t>
      </w:r>
      <w:r w:rsidRPr="007A0C75">
        <w:rPr>
          <w:rFonts w:cs="Arial"/>
          <w:sz w:val="22"/>
          <w:szCs w:val="22"/>
        </w:rPr>
        <w:t xml:space="preserve"> responsible integration practices, customer information protection in system mergers, and integrity of the supply chain</w:t>
      </w:r>
      <w:r w:rsidR="001B6D4A" w:rsidRPr="007A0C75">
        <w:rPr>
          <w:rFonts w:cs="Arial"/>
          <w:sz w:val="22"/>
          <w:szCs w:val="22"/>
        </w:rPr>
        <w:t xml:space="preserve"> (</w:t>
      </w:r>
      <w:r w:rsidR="001B6D4A" w:rsidRPr="007A0C75">
        <w:rPr>
          <w:rFonts w:cs="Arial"/>
          <w:color w:val="222222"/>
          <w:sz w:val="22"/>
          <w:szCs w:val="22"/>
          <w:shd w:val="clear" w:color="auto" w:fill="FFFFFF"/>
        </w:rPr>
        <w:t>Malik et al., 2023)</w:t>
      </w:r>
      <w:r w:rsidR="001B6D4A" w:rsidRPr="007A0C75">
        <w:rPr>
          <w:rFonts w:cs="Arial"/>
          <w:sz w:val="22"/>
          <w:szCs w:val="22"/>
        </w:rPr>
        <w:t>.</w:t>
      </w:r>
      <w:r w:rsidRPr="007A0C75">
        <w:rPr>
          <w:rFonts w:cs="Arial"/>
          <w:sz w:val="22"/>
          <w:szCs w:val="22"/>
        </w:rPr>
        <w:t xml:space="preserve"> </w:t>
      </w:r>
      <w:r w:rsidR="001B6D4A" w:rsidRPr="007A0C75">
        <w:rPr>
          <w:rFonts w:cs="Arial"/>
          <w:sz w:val="22"/>
          <w:szCs w:val="22"/>
        </w:rPr>
        <w:t xml:space="preserve">Hence, </w:t>
      </w:r>
      <w:r w:rsidRPr="007A0C75">
        <w:rPr>
          <w:rFonts w:cs="Arial"/>
          <w:sz w:val="22"/>
          <w:szCs w:val="22"/>
        </w:rPr>
        <w:t xml:space="preserve">when well governed, </w:t>
      </w:r>
      <w:r w:rsidR="001B6D4A" w:rsidRPr="007A0C75">
        <w:rPr>
          <w:rFonts w:cs="Arial"/>
          <w:sz w:val="22"/>
          <w:szCs w:val="22"/>
        </w:rPr>
        <w:t xml:space="preserve">it </w:t>
      </w:r>
      <w:r w:rsidRPr="007A0C75">
        <w:rPr>
          <w:rFonts w:cs="Arial"/>
          <w:sz w:val="22"/>
          <w:szCs w:val="22"/>
        </w:rPr>
        <w:t xml:space="preserve">would give GE a </w:t>
      </w:r>
      <w:proofErr w:type="spellStart"/>
      <w:r w:rsidRPr="007A0C75">
        <w:rPr>
          <w:rFonts w:cs="Arial"/>
          <w:sz w:val="22"/>
          <w:szCs w:val="22"/>
        </w:rPr>
        <w:t>groundbreaking</w:t>
      </w:r>
      <w:proofErr w:type="spellEnd"/>
      <w:r w:rsidRPr="007A0C75">
        <w:rPr>
          <w:rFonts w:cs="Arial"/>
          <w:sz w:val="22"/>
          <w:szCs w:val="22"/>
        </w:rPr>
        <w:t xml:space="preserve"> chance to </w:t>
      </w:r>
      <w:r w:rsidR="001B6D4A" w:rsidRPr="007A0C75">
        <w:rPr>
          <w:rFonts w:cs="Arial"/>
          <w:sz w:val="22"/>
          <w:szCs w:val="22"/>
        </w:rPr>
        <w:t>revive its</w:t>
      </w:r>
      <w:r w:rsidRPr="007A0C75">
        <w:rPr>
          <w:rFonts w:cs="Arial"/>
          <w:sz w:val="22"/>
          <w:szCs w:val="22"/>
        </w:rPr>
        <w:t xml:space="preserve"> strategic momentum.</w:t>
      </w:r>
    </w:p>
    <w:p w14:paraId="3F1A1E28" w14:textId="77777777" w:rsidR="001B6D4A" w:rsidRPr="007A0C75" w:rsidRDefault="001B6D4A" w:rsidP="007A0C75">
      <w:pPr>
        <w:spacing w:line="360" w:lineRule="auto"/>
        <w:rPr>
          <w:rFonts w:cs="Arial"/>
          <w:sz w:val="22"/>
          <w:szCs w:val="22"/>
        </w:rPr>
      </w:pPr>
      <w:r w:rsidRPr="007A0C75">
        <w:rPr>
          <w:rStyle w:val="Strong"/>
          <w:rFonts w:eastAsiaTheme="majorEastAsia" w:cs="Arial"/>
          <w:sz w:val="22"/>
          <w:szCs w:val="22"/>
        </w:rPr>
        <w:t>Equity Injection to Restore Solvency</w:t>
      </w:r>
    </w:p>
    <w:p w14:paraId="6803BD18" w14:textId="77777777" w:rsidR="001B6D4A" w:rsidRPr="007A0C75" w:rsidRDefault="008205B6" w:rsidP="007A0C75">
      <w:pPr>
        <w:spacing w:line="360" w:lineRule="auto"/>
        <w:rPr>
          <w:rFonts w:cs="Arial"/>
          <w:sz w:val="22"/>
          <w:szCs w:val="22"/>
        </w:rPr>
      </w:pPr>
      <w:r w:rsidRPr="007A0C75">
        <w:rPr>
          <w:rFonts w:cs="Arial"/>
          <w:sz w:val="22"/>
          <w:szCs w:val="22"/>
        </w:rPr>
        <w:t xml:space="preserve">An equity injection (by a rights issue, strategic investor, or private placement) would supply GE with the necessary capital immediately to lower leverage and replenish the working capital (Parrino et al., 2025). </w:t>
      </w:r>
      <w:r w:rsidR="00DE28C3" w:rsidRPr="007A0C75">
        <w:rPr>
          <w:rFonts w:cs="Arial"/>
          <w:sz w:val="22"/>
          <w:szCs w:val="22"/>
        </w:rPr>
        <w:t xml:space="preserve">In the case of GE, where leverage has been excessive, the infusion of equity is necessary to achieve solvency and regain market confidence. The injection will enhance the equity base, debt-equity ratio, and long-term investments, which cannot be financed using debt due to the current financial limitations. </w:t>
      </w:r>
      <w:r w:rsidRPr="007A0C75">
        <w:rPr>
          <w:rFonts w:cs="Arial"/>
          <w:sz w:val="22"/>
          <w:szCs w:val="22"/>
        </w:rPr>
        <w:t xml:space="preserve">Moreover, </w:t>
      </w:r>
      <w:r w:rsidR="00DE28C3" w:rsidRPr="007A0C75">
        <w:rPr>
          <w:rFonts w:cs="Arial"/>
          <w:sz w:val="22"/>
          <w:szCs w:val="22"/>
        </w:rPr>
        <w:t xml:space="preserve">since </w:t>
      </w:r>
      <w:r w:rsidRPr="007A0C75">
        <w:rPr>
          <w:rFonts w:cs="Arial"/>
          <w:sz w:val="22"/>
          <w:szCs w:val="22"/>
        </w:rPr>
        <w:t xml:space="preserve">the equity capital has no fixed repayments (Parrino et al., 2025), </w:t>
      </w:r>
      <w:r w:rsidR="00DE28C3" w:rsidRPr="007A0C75">
        <w:rPr>
          <w:rFonts w:cs="Arial"/>
          <w:sz w:val="22"/>
          <w:szCs w:val="22"/>
        </w:rPr>
        <w:t>it</w:t>
      </w:r>
      <w:r w:rsidRPr="007A0C75">
        <w:rPr>
          <w:rFonts w:cs="Arial"/>
          <w:sz w:val="22"/>
          <w:szCs w:val="22"/>
        </w:rPr>
        <w:t xml:space="preserve"> </w:t>
      </w:r>
      <w:r w:rsidR="00DE28C3" w:rsidRPr="007A0C75">
        <w:rPr>
          <w:rFonts w:cs="Arial"/>
          <w:sz w:val="22"/>
          <w:szCs w:val="22"/>
        </w:rPr>
        <w:t xml:space="preserve">would </w:t>
      </w:r>
      <w:r w:rsidRPr="007A0C75">
        <w:rPr>
          <w:rFonts w:cs="Arial"/>
          <w:sz w:val="22"/>
          <w:szCs w:val="22"/>
        </w:rPr>
        <w:t xml:space="preserve">alleviate the tense cash flows of GE, as well as dependence on debt financing. To shareholders, a properly designed rights issue retains ownership, which enhances long-term financial stability (Brigham and Houston, 2021). Moreover, the higher the equity, the stronger the debt-to-equity ratio (Brigham and Houston, 2021), which </w:t>
      </w:r>
      <w:r w:rsidR="00514CAE" w:rsidRPr="007A0C75">
        <w:rPr>
          <w:rFonts w:cs="Arial"/>
          <w:sz w:val="22"/>
          <w:szCs w:val="22"/>
        </w:rPr>
        <w:t xml:space="preserve">would </w:t>
      </w:r>
      <w:r w:rsidRPr="007A0C75">
        <w:rPr>
          <w:rFonts w:cs="Arial"/>
          <w:sz w:val="22"/>
          <w:szCs w:val="22"/>
        </w:rPr>
        <w:t>enable GE to secure superior interest conditions as well as extend the maturity. Nonetheless, the cross-border equity investment is mandatory to comply with the foreign ownership law, exchange-control law, and tax treaties (Parrino et al., 2025). Thus, when done properly, equity injection will help GE restore financial flexibility and invest in innovation and operational enhancements that will ensure long-term competitiveness.</w:t>
      </w:r>
    </w:p>
    <w:p w14:paraId="727A3661" w14:textId="77777777" w:rsidR="002B293D" w:rsidRPr="007A0C75" w:rsidRDefault="002B293D" w:rsidP="007A0C75">
      <w:pPr>
        <w:spacing w:line="360" w:lineRule="auto"/>
        <w:rPr>
          <w:rFonts w:cs="Arial"/>
          <w:b/>
          <w:bCs/>
          <w:sz w:val="22"/>
          <w:szCs w:val="22"/>
        </w:rPr>
      </w:pPr>
      <w:r w:rsidRPr="007A0C75">
        <w:rPr>
          <w:rFonts w:cs="Arial"/>
          <w:b/>
          <w:bCs/>
          <w:sz w:val="22"/>
          <w:szCs w:val="22"/>
        </w:rPr>
        <w:t xml:space="preserve">Debt Restructuring to Enhance Solvency </w:t>
      </w:r>
    </w:p>
    <w:p w14:paraId="55852052" w14:textId="77777777" w:rsidR="002B293D" w:rsidRPr="007A0C75" w:rsidRDefault="002B293D" w:rsidP="007A0C75">
      <w:pPr>
        <w:spacing w:line="360" w:lineRule="auto"/>
        <w:rPr>
          <w:rFonts w:cs="Arial"/>
          <w:sz w:val="22"/>
          <w:szCs w:val="22"/>
        </w:rPr>
      </w:pPr>
      <w:r w:rsidRPr="007A0C75">
        <w:rPr>
          <w:rFonts w:cs="Arial"/>
          <w:sz w:val="22"/>
          <w:szCs w:val="22"/>
        </w:rPr>
        <w:t>With deteriorating interest coverage and increasing leverage, debt restructuring must be a key part of the turnaround plan of GE. This involves bargaining down of interest rates, increasing maturity dates, long-term borrowing of short-term ones or the consideration of partial debt-equity swaps (Parrino et al., 2025). To shareholders, it enhances the future anticipated cash flows through lowering financial risk. Nevertheless, debt-to-equity swaps can also lead to temporary dilution (Parrino et al., 2025), which should be communicated effectively to ensure that investors remain confident.</w:t>
      </w:r>
    </w:p>
    <w:p w14:paraId="6F35D802" w14:textId="77777777" w:rsidR="002B293D" w:rsidRPr="007A0C75" w:rsidRDefault="002B293D" w:rsidP="007A0C75">
      <w:pPr>
        <w:spacing w:line="360" w:lineRule="auto"/>
        <w:rPr>
          <w:rFonts w:cs="Arial"/>
          <w:b/>
          <w:bCs/>
          <w:sz w:val="22"/>
          <w:szCs w:val="22"/>
        </w:rPr>
      </w:pPr>
      <w:r w:rsidRPr="007A0C75">
        <w:rPr>
          <w:rFonts w:cs="Arial"/>
          <w:b/>
          <w:bCs/>
          <w:sz w:val="22"/>
          <w:szCs w:val="22"/>
        </w:rPr>
        <w:t>Long-Term Financial Sustainability through Operational Restructuring</w:t>
      </w:r>
    </w:p>
    <w:p w14:paraId="7FACA5FB" w14:textId="77777777" w:rsidR="002B293D" w:rsidRPr="007A0C75" w:rsidRDefault="002B293D" w:rsidP="007A0C75">
      <w:pPr>
        <w:spacing w:line="360" w:lineRule="auto"/>
        <w:rPr>
          <w:rFonts w:cs="Arial"/>
          <w:sz w:val="22"/>
          <w:szCs w:val="22"/>
        </w:rPr>
      </w:pPr>
      <w:r w:rsidRPr="007A0C75">
        <w:rPr>
          <w:rFonts w:cs="Arial"/>
          <w:sz w:val="22"/>
          <w:szCs w:val="22"/>
        </w:rPr>
        <w:t>Alongside funding solutions, the operational reorganisation is required to aid the financial restoration of GE. Th</w:t>
      </w:r>
      <w:r w:rsidR="007A0C75" w:rsidRPr="007A0C75">
        <w:rPr>
          <w:rFonts w:cs="Arial"/>
          <w:sz w:val="22"/>
          <w:szCs w:val="22"/>
        </w:rPr>
        <w:t>is</w:t>
      </w:r>
      <w:r w:rsidRPr="007A0C75">
        <w:rPr>
          <w:rFonts w:cs="Arial"/>
          <w:sz w:val="22"/>
          <w:szCs w:val="22"/>
        </w:rPr>
        <w:t xml:space="preserve"> include</w:t>
      </w:r>
      <w:r w:rsidR="007A0C75" w:rsidRPr="007A0C75">
        <w:rPr>
          <w:rFonts w:cs="Arial"/>
          <w:sz w:val="22"/>
          <w:szCs w:val="22"/>
        </w:rPr>
        <w:t>s</w:t>
      </w:r>
      <w:r w:rsidRPr="007A0C75">
        <w:rPr>
          <w:rFonts w:cs="Arial"/>
          <w:sz w:val="22"/>
          <w:szCs w:val="22"/>
        </w:rPr>
        <w:t xml:space="preserve"> the streamlining of supply chains, production process optimisation, cutting of overheads and technological induced efficiencies</w:t>
      </w:r>
      <w:r w:rsidR="007A0C75" w:rsidRPr="007A0C75">
        <w:rPr>
          <w:rFonts w:cs="Arial"/>
          <w:sz w:val="22"/>
          <w:szCs w:val="22"/>
        </w:rPr>
        <w:t xml:space="preserve"> (Parrino et al., 2025)</w:t>
      </w:r>
      <w:r w:rsidRPr="007A0C75">
        <w:rPr>
          <w:rFonts w:cs="Arial"/>
          <w:sz w:val="22"/>
          <w:szCs w:val="22"/>
        </w:rPr>
        <w:t>. Reorganisation of operations increases shareholder value by improving the earnings performance over time</w:t>
      </w:r>
      <w:r w:rsidR="007A0C75" w:rsidRPr="007A0C75">
        <w:rPr>
          <w:rFonts w:cs="Arial"/>
          <w:sz w:val="22"/>
          <w:szCs w:val="22"/>
        </w:rPr>
        <w:t xml:space="preserve"> (</w:t>
      </w:r>
      <w:r w:rsidR="007A0C75" w:rsidRPr="007A0C75">
        <w:rPr>
          <w:rFonts w:cs="Arial"/>
          <w:color w:val="222222"/>
          <w:sz w:val="22"/>
          <w:szCs w:val="22"/>
          <w:shd w:val="clear" w:color="auto" w:fill="FFFFFF"/>
        </w:rPr>
        <w:t>Niu et al., 2025</w:t>
      </w:r>
      <w:r w:rsidR="007A0C75" w:rsidRPr="007A0C75">
        <w:rPr>
          <w:rFonts w:cs="Arial" w:hint="cs"/>
          <w:color w:val="222222"/>
          <w:sz w:val="22"/>
          <w:szCs w:val="22"/>
          <w:shd w:val="clear" w:color="auto" w:fill="FFFFFF"/>
          <w:cs/>
        </w:rPr>
        <w:t xml:space="preserve">). </w:t>
      </w:r>
      <w:r w:rsidRPr="007A0C75">
        <w:rPr>
          <w:rFonts w:cs="Arial"/>
          <w:sz w:val="22"/>
          <w:szCs w:val="22"/>
        </w:rPr>
        <w:t>The agility of the business is also enhanced by the reduced complexity of operations. Nonetheless, any reorganisation that deals with downsizing of the workforce should be done in a responsible manner, whereby fair severance procedures, retraining, and observation of the CSR guidelines should be maintained</w:t>
      </w:r>
      <w:r w:rsidR="007A0C75" w:rsidRPr="007A0C75">
        <w:rPr>
          <w:rFonts w:cs="Arial"/>
          <w:sz w:val="22"/>
          <w:szCs w:val="22"/>
        </w:rPr>
        <w:t xml:space="preserve"> (Parrino et al., 2025)</w:t>
      </w:r>
      <w:r w:rsidRPr="007A0C75">
        <w:rPr>
          <w:rFonts w:cs="Arial"/>
          <w:sz w:val="22"/>
          <w:szCs w:val="22"/>
        </w:rPr>
        <w:t>. It should also take into account regulatory differences between markets, labour variations, cross-border tax incentives and variable manufacturing costs as a result of inflation or currency fluctuations</w:t>
      </w:r>
      <w:r w:rsidR="007A0C75" w:rsidRPr="007A0C75">
        <w:rPr>
          <w:rFonts w:cs="Arial"/>
          <w:sz w:val="22"/>
          <w:szCs w:val="22"/>
        </w:rPr>
        <w:t xml:space="preserve"> (Parrino et al., 2025)</w:t>
      </w:r>
      <w:r w:rsidRPr="007A0C75">
        <w:rPr>
          <w:rFonts w:cs="Arial"/>
          <w:sz w:val="22"/>
          <w:szCs w:val="22"/>
        </w:rPr>
        <w:t xml:space="preserve">. </w:t>
      </w:r>
      <w:r w:rsidR="007A0C75" w:rsidRPr="007A0C75">
        <w:rPr>
          <w:rFonts w:cs="Arial"/>
          <w:sz w:val="22"/>
          <w:szCs w:val="22"/>
        </w:rPr>
        <w:t>Hence, a</w:t>
      </w:r>
      <w:r w:rsidRPr="007A0C75">
        <w:rPr>
          <w:rFonts w:cs="Arial"/>
          <w:sz w:val="22"/>
          <w:szCs w:val="22"/>
        </w:rPr>
        <w:t xml:space="preserve"> sustainable success requires balancing the global effectiveness and the local compliance.</w:t>
      </w:r>
    </w:p>
    <w:p w14:paraId="1D6885B2" w14:textId="77777777" w:rsidR="00862035" w:rsidRDefault="00862035">
      <w:pPr>
        <w:rPr>
          <w:szCs w:val="36"/>
        </w:rPr>
      </w:pPr>
      <w:r>
        <w:rPr>
          <w:szCs w:val="36"/>
        </w:rPr>
        <w:br w:type="page"/>
      </w:r>
    </w:p>
    <w:p w14:paraId="4DDDCCB7" w14:textId="77777777" w:rsidR="00862035" w:rsidRPr="00F03F46" w:rsidRDefault="00862035" w:rsidP="00F03F46">
      <w:pPr>
        <w:pStyle w:val="Heading1"/>
      </w:pPr>
      <w:bookmarkStart w:id="14" w:name="_Toc216386205"/>
      <w:r w:rsidRPr="00862035">
        <w:t>Investment Appraisal</w:t>
      </w:r>
      <w:r w:rsidR="00F03F46">
        <w:t xml:space="preserve"> For GE</w:t>
      </w:r>
      <w:bookmarkEnd w:id="14"/>
    </w:p>
    <w:p w14:paraId="51035428" w14:textId="77777777" w:rsidR="00E322E8" w:rsidRDefault="00862035" w:rsidP="00F03F46">
      <w:pPr>
        <w:spacing w:line="360" w:lineRule="auto"/>
        <w:rPr>
          <w:rFonts w:cs="Arial"/>
          <w:sz w:val="22"/>
          <w:szCs w:val="32"/>
        </w:rPr>
      </w:pPr>
      <w:r w:rsidRPr="00F03F46">
        <w:rPr>
          <w:rFonts w:cs="Arial"/>
          <w:sz w:val="22"/>
          <w:szCs w:val="32"/>
        </w:rPr>
        <w:t xml:space="preserve">The above sections of this report have indicated that GE is under serious financial stress, which is </w:t>
      </w:r>
      <w:r w:rsidR="00F03F46" w:rsidRPr="00F03F46">
        <w:rPr>
          <w:rFonts w:cs="Arial"/>
          <w:sz w:val="22"/>
          <w:szCs w:val="32"/>
        </w:rPr>
        <w:t>depicted</w:t>
      </w:r>
      <w:r w:rsidRPr="00F03F46">
        <w:rPr>
          <w:rFonts w:cs="Arial"/>
          <w:sz w:val="22"/>
          <w:szCs w:val="32"/>
        </w:rPr>
        <w:t xml:space="preserve"> by dropping profitability, narrowing liquidity, increasing leverage, and a worsening and inefficient working capital cycle. These vulnerabilities limit the ability of the firm to pursue high-risk or capital</w:t>
      </w:r>
      <w:r w:rsidR="00F03F46" w:rsidRPr="00F03F46">
        <w:rPr>
          <w:rFonts w:cs="Arial"/>
          <w:sz w:val="22"/>
          <w:szCs w:val="32"/>
        </w:rPr>
        <w:t>-</w:t>
      </w:r>
      <w:r w:rsidRPr="00F03F46">
        <w:rPr>
          <w:rFonts w:cs="Arial"/>
          <w:sz w:val="22"/>
          <w:szCs w:val="32"/>
        </w:rPr>
        <w:t xml:space="preserve">intensive projects without stringent financial due diligence. Simultaneously, the strategic investment is vital in restoring the long-term competitiveness, enhancing the technological abilities, and stabilising the future cash flows. </w:t>
      </w:r>
      <w:r w:rsidR="00F03F46" w:rsidRPr="00F03F46">
        <w:rPr>
          <w:rFonts w:cs="Arial"/>
          <w:sz w:val="22"/>
          <w:szCs w:val="32"/>
        </w:rPr>
        <w:t>Hence, t</w:t>
      </w:r>
      <w:r w:rsidRPr="00F03F46">
        <w:rPr>
          <w:rFonts w:cs="Arial"/>
          <w:sz w:val="22"/>
          <w:szCs w:val="32"/>
        </w:rPr>
        <w:t xml:space="preserve">his section compares three capital projects suggested to be undertaken under a comprehensive investment appraisal framework. </w:t>
      </w:r>
    </w:p>
    <w:p w14:paraId="07C06DE8" w14:textId="77777777" w:rsidR="00C65097" w:rsidRDefault="00C65097" w:rsidP="00C65097">
      <w:pPr>
        <w:pStyle w:val="Heading2"/>
      </w:pPr>
      <w:bookmarkStart w:id="15" w:name="_Toc216386206"/>
      <w:r>
        <w:t>Payback Period (PBP) of The Projects</w:t>
      </w:r>
      <w:bookmarkEnd w:id="15"/>
    </w:p>
    <w:p w14:paraId="7C451BEB" w14:textId="77777777" w:rsidR="00F47FAF" w:rsidRPr="00F529FF" w:rsidRDefault="00F47FAF" w:rsidP="00045B60">
      <w:pPr>
        <w:spacing w:line="360" w:lineRule="auto"/>
        <w:rPr>
          <w:rFonts w:cs="Arial"/>
          <w:sz w:val="22"/>
          <w:szCs w:val="22"/>
        </w:rPr>
      </w:pPr>
      <w:r w:rsidRPr="00F529FF">
        <w:rPr>
          <w:rFonts w:cs="Arial"/>
          <w:sz w:val="22"/>
          <w:szCs w:val="22"/>
        </w:rPr>
        <w:t>The PBPs of the projects are summarised below (see Appendix P)</w:t>
      </w:r>
      <w:r w:rsidR="00045B60">
        <w:rPr>
          <w:rFonts w:cs="Arial"/>
          <w:sz w:val="22"/>
          <w:szCs w:val="22"/>
        </w:rPr>
        <w:t>:</w:t>
      </w:r>
    </w:p>
    <w:tbl>
      <w:tblPr>
        <w:tblStyle w:val="TableGrid"/>
        <w:tblW w:w="0" w:type="auto"/>
        <w:tblLook w:val="04A0" w:firstRow="1" w:lastRow="0" w:firstColumn="1" w:lastColumn="0" w:noHBand="0" w:noVBand="1"/>
      </w:tblPr>
      <w:tblGrid>
        <w:gridCol w:w="3005"/>
        <w:gridCol w:w="3005"/>
        <w:gridCol w:w="3006"/>
      </w:tblGrid>
      <w:tr w:rsidR="00F47FAF" w:rsidRPr="00F529FF" w14:paraId="5198E5F4" w14:textId="77777777" w:rsidTr="00914EF6">
        <w:tc>
          <w:tcPr>
            <w:tcW w:w="3005" w:type="dxa"/>
            <w:vAlign w:val="bottom"/>
          </w:tcPr>
          <w:p w14:paraId="024D00E2" w14:textId="77777777" w:rsidR="00F47FAF" w:rsidRPr="00F529FF" w:rsidRDefault="00F47FAF" w:rsidP="00045B60">
            <w:pPr>
              <w:spacing w:line="360" w:lineRule="auto"/>
              <w:jc w:val="center"/>
              <w:rPr>
                <w:rFonts w:cs="Arial"/>
                <w:b/>
                <w:bCs/>
                <w:color w:val="000000"/>
                <w:sz w:val="22"/>
                <w:szCs w:val="22"/>
              </w:rPr>
            </w:pPr>
            <w:r w:rsidRPr="00F529FF">
              <w:rPr>
                <w:rFonts w:cs="Arial"/>
                <w:b/>
                <w:bCs/>
                <w:color w:val="000000"/>
                <w:sz w:val="22"/>
                <w:szCs w:val="22"/>
              </w:rPr>
              <w:t>Project</w:t>
            </w:r>
          </w:p>
        </w:tc>
        <w:tc>
          <w:tcPr>
            <w:tcW w:w="3005" w:type="dxa"/>
            <w:vAlign w:val="bottom"/>
          </w:tcPr>
          <w:p w14:paraId="5F2790FA" w14:textId="77777777" w:rsidR="00F47FAF" w:rsidRPr="00F529FF" w:rsidRDefault="00F47FAF" w:rsidP="00045B60">
            <w:pPr>
              <w:spacing w:line="360" w:lineRule="auto"/>
              <w:jc w:val="center"/>
              <w:rPr>
                <w:rFonts w:cs="Arial"/>
                <w:b/>
                <w:bCs/>
                <w:color w:val="000000"/>
                <w:sz w:val="22"/>
                <w:szCs w:val="22"/>
              </w:rPr>
            </w:pPr>
            <w:r w:rsidRPr="00F529FF">
              <w:rPr>
                <w:rFonts w:cs="Arial"/>
                <w:b/>
                <w:bCs/>
                <w:color w:val="000000"/>
                <w:sz w:val="22"/>
                <w:szCs w:val="22"/>
              </w:rPr>
              <w:t>Initial Investment (£m)</w:t>
            </w:r>
          </w:p>
        </w:tc>
        <w:tc>
          <w:tcPr>
            <w:tcW w:w="3006" w:type="dxa"/>
            <w:vAlign w:val="bottom"/>
          </w:tcPr>
          <w:p w14:paraId="0BF1AD7A" w14:textId="77777777" w:rsidR="00F47FAF" w:rsidRPr="00F529FF" w:rsidRDefault="00F47FAF" w:rsidP="00045B60">
            <w:pPr>
              <w:spacing w:line="360" w:lineRule="auto"/>
              <w:jc w:val="center"/>
              <w:rPr>
                <w:rFonts w:cs="Arial"/>
                <w:b/>
                <w:bCs/>
                <w:color w:val="000000"/>
                <w:sz w:val="22"/>
                <w:szCs w:val="22"/>
              </w:rPr>
            </w:pPr>
            <w:r w:rsidRPr="00F529FF">
              <w:rPr>
                <w:rFonts w:cs="Arial"/>
                <w:b/>
                <w:bCs/>
                <w:color w:val="000000"/>
                <w:sz w:val="22"/>
                <w:szCs w:val="22"/>
              </w:rPr>
              <w:t>Payback Period (Years)</w:t>
            </w:r>
          </w:p>
        </w:tc>
      </w:tr>
      <w:tr w:rsidR="00F47FAF" w:rsidRPr="00F529FF" w14:paraId="491E847C" w14:textId="77777777" w:rsidTr="00914EF6">
        <w:tc>
          <w:tcPr>
            <w:tcW w:w="3005" w:type="dxa"/>
            <w:vAlign w:val="bottom"/>
          </w:tcPr>
          <w:p w14:paraId="71BAAA2A" w14:textId="77777777" w:rsidR="00F47FAF" w:rsidRPr="00F529FF" w:rsidRDefault="00F47FAF" w:rsidP="00045B60">
            <w:pPr>
              <w:spacing w:line="360" w:lineRule="auto"/>
              <w:rPr>
                <w:rFonts w:cs="Arial"/>
                <w:color w:val="000000"/>
                <w:sz w:val="22"/>
                <w:szCs w:val="22"/>
              </w:rPr>
            </w:pPr>
            <w:r w:rsidRPr="00F529FF">
              <w:rPr>
                <w:rFonts w:cs="Arial"/>
                <w:color w:val="000000"/>
                <w:sz w:val="22"/>
                <w:szCs w:val="22"/>
              </w:rPr>
              <w:t>A</w:t>
            </w:r>
          </w:p>
        </w:tc>
        <w:tc>
          <w:tcPr>
            <w:tcW w:w="3005" w:type="dxa"/>
            <w:vAlign w:val="bottom"/>
          </w:tcPr>
          <w:p w14:paraId="211EF603"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40</w:t>
            </w:r>
          </w:p>
        </w:tc>
        <w:tc>
          <w:tcPr>
            <w:tcW w:w="3006" w:type="dxa"/>
            <w:vAlign w:val="bottom"/>
          </w:tcPr>
          <w:p w14:paraId="3BD0822B"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3.4 years</w:t>
            </w:r>
          </w:p>
        </w:tc>
      </w:tr>
      <w:tr w:rsidR="00F47FAF" w:rsidRPr="00F529FF" w14:paraId="3D86CE3D" w14:textId="77777777" w:rsidTr="00914EF6">
        <w:tc>
          <w:tcPr>
            <w:tcW w:w="3005" w:type="dxa"/>
            <w:vAlign w:val="bottom"/>
          </w:tcPr>
          <w:p w14:paraId="32CD7339" w14:textId="77777777" w:rsidR="00F47FAF" w:rsidRPr="00F529FF" w:rsidRDefault="00F47FAF" w:rsidP="00045B60">
            <w:pPr>
              <w:spacing w:line="360" w:lineRule="auto"/>
              <w:rPr>
                <w:rFonts w:cs="Arial"/>
                <w:color w:val="000000"/>
                <w:sz w:val="22"/>
                <w:szCs w:val="22"/>
              </w:rPr>
            </w:pPr>
            <w:r w:rsidRPr="00F529FF">
              <w:rPr>
                <w:rFonts w:cs="Arial"/>
                <w:color w:val="000000"/>
                <w:sz w:val="22"/>
                <w:szCs w:val="22"/>
              </w:rPr>
              <w:t>B</w:t>
            </w:r>
          </w:p>
        </w:tc>
        <w:tc>
          <w:tcPr>
            <w:tcW w:w="3005" w:type="dxa"/>
            <w:vAlign w:val="bottom"/>
          </w:tcPr>
          <w:p w14:paraId="0ECA13F2"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30</w:t>
            </w:r>
          </w:p>
        </w:tc>
        <w:tc>
          <w:tcPr>
            <w:tcW w:w="3006" w:type="dxa"/>
            <w:vAlign w:val="bottom"/>
          </w:tcPr>
          <w:p w14:paraId="796BF444"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5.00 years</w:t>
            </w:r>
          </w:p>
        </w:tc>
      </w:tr>
      <w:tr w:rsidR="00F47FAF" w:rsidRPr="00F529FF" w14:paraId="24C4F86A" w14:textId="77777777" w:rsidTr="00914EF6">
        <w:tc>
          <w:tcPr>
            <w:tcW w:w="3005" w:type="dxa"/>
            <w:vAlign w:val="bottom"/>
          </w:tcPr>
          <w:p w14:paraId="77A2C59C" w14:textId="77777777" w:rsidR="00F47FAF" w:rsidRPr="00F529FF" w:rsidRDefault="00F47FAF" w:rsidP="00045B60">
            <w:pPr>
              <w:spacing w:line="360" w:lineRule="auto"/>
              <w:rPr>
                <w:rFonts w:cs="Arial"/>
                <w:color w:val="000000"/>
                <w:sz w:val="22"/>
                <w:szCs w:val="22"/>
              </w:rPr>
            </w:pPr>
            <w:r w:rsidRPr="00F529FF">
              <w:rPr>
                <w:rFonts w:cs="Arial"/>
                <w:color w:val="000000"/>
                <w:sz w:val="22"/>
                <w:szCs w:val="22"/>
              </w:rPr>
              <w:t>C</w:t>
            </w:r>
          </w:p>
        </w:tc>
        <w:tc>
          <w:tcPr>
            <w:tcW w:w="3005" w:type="dxa"/>
            <w:vAlign w:val="bottom"/>
          </w:tcPr>
          <w:p w14:paraId="3A83EE81"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50</w:t>
            </w:r>
          </w:p>
        </w:tc>
        <w:tc>
          <w:tcPr>
            <w:tcW w:w="3006" w:type="dxa"/>
            <w:vAlign w:val="bottom"/>
          </w:tcPr>
          <w:p w14:paraId="72619603"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3.6 years</w:t>
            </w:r>
          </w:p>
        </w:tc>
      </w:tr>
    </w:tbl>
    <w:p w14:paraId="337AAFC8" w14:textId="77777777" w:rsidR="00F47FAF" w:rsidRDefault="00F529FF" w:rsidP="00045B60">
      <w:pPr>
        <w:spacing w:line="360" w:lineRule="auto"/>
        <w:rPr>
          <w:rFonts w:cs="Arial"/>
          <w:sz w:val="22"/>
          <w:szCs w:val="22"/>
        </w:rPr>
      </w:pPr>
      <w:r w:rsidRPr="00F529FF">
        <w:rPr>
          <w:rFonts w:cs="Arial"/>
          <w:sz w:val="22"/>
          <w:szCs w:val="22"/>
        </w:rPr>
        <w:t>In this method, the project which yields a recovery of its initial investment within the shortest duration is the most desirable (Parrino et al., 2025). Therefore, Project A is the most suitable one as it will allow GE to recuperate its investment in the least time possible, which will allow it to be financially secure within the short term and reduce the possibility of being exposed to seasonal variations of the cash flow. Despite this, it is worth mentioning that this strategy has several flaws. It does not take into consideration the time value of money. Consequently, the present cash flows are seen to be equivalent to future cash flows. It also disregards all the cash inflows above the point of payback. This predisposes choices potentially against projects that are good in the long-term terms of profitability. Therefore, project C, which has higher cash flows in the long term, was not chosen. In addition, the methodology fails to deal with the risk of the entire project. Regardless of these deficiencies, it is a useful initial screening instrument where the liquidity pressure is high, which is a legitimate rationale to select Project A.</w:t>
      </w:r>
    </w:p>
    <w:p w14:paraId="04B66B1E" w14:textId="77777777" w:rsidR="00E71EA0" w:rsidRDefault="00E71EA0" w:rsidP="00E71EA0">
      <w:pPr>
        <w:pStyle w:val="Heading2"/>
      </w:pPr>
      <w:bookmarkStart w:id="16" w:name="_Toc216386207"/>
      <w:r>
        <w:t>Average Rate of Return (ARR) of The Projects</w:t>
      </w:r>
      <w:bookmarkEnd w:id="16"/>
    </w:p>
    <w:p w14:paraId="6538211B" w14:textId="77777777" w:rsidR="00BF5C0C" w:rsidRPr="00045B60" w:rsidRDefault="00BF5C0C" w:rsidP="00045B60">
      <w:pPr>
        <w:spacing w:line="360" w:lineRule="auto"/>
        <w:rPr>
          <w:rFonts w:cs="Arial"/>
          <w:sz w:val="22"/>
          <w:szCs w:val="22"/>
        </w:rPr>
      </w:pPr>
      <w:r w:rsidRPr="00045B60">
        <w:rPr>
          <w:rFonts w:cs="Arial"/>
          <w:sz w:val="22"/>
          <w:szCs w:val="22"/>
        </w:rPr>
        <w:t>The A</w:t>
      </w:r>
      <w:r w:rsidR="00045B60" w:rsidRPr="00045B60">
        <w:rPr>
          <w:rFonts w:cs="Arial"/>
          <w:sz w:val="22"/>
          <w:szCs w:val="22"/>
        </w:rPr>
        <w:t>RR</w:t>
      </w:r>
      <w:r w:rsidRPr="00045B60">
        <w:rPr>
          <w:rFonts w:cs="Arial"/>
          <w:sz w:val="22"/>
          <w:szCs w:val="22"/>
        </w:rPr>
        <w:t>s of the projects are summarised below (see Appendix P)</w:t>
      </w:r>
      <w:r w:rsidR="00045B60" w:rsidRPr="00045B60">
        <w:rPr>
          <w:rFonts w:cs="Arial"/>
          <w:sz w:val="22"/>
          <w:szCs w:val="22"/>
        </w:rPr>
        <w:t xml:space="preserve">: </w:t>
      </w:r>
    </w:p>
    <w:tbl>
      <w:tblPr>
        <w:tblStyle w:val="TableGrid"/>
        <w:tblW w:w="0" w:type="auto"/>
        <w:tblLook w:val="04A0" w:firstRow="1" w:lastRow="0" w:firstColumn="1" w:lastColumn="0" w:noHBand="0" w:noVBand="1"/>
      </w:tblPr>
      <w:tblGrid>
        <w:gridCol w:w="2254"/>
        <w:gridCol w:w="2254"/>
        <w:gridCol w:w="2254"/>
        <w:gridCol w:w="2254"/>
      </w:tblGrid>
      <w:tr w:rsidR="00E71EA0" w:rsidRPr="00045B60" w14:paraId="52297ADE" w14:textId="77777777" w:rsidTr="00E71EA0">
        <w:tc>
          <w:tcPr>
            <w:tcW w:w="2254" w:type="dxa"/>
          </w:tcPr>
          <w:p w14:paraId="355B0664" w14:textId="77777777" w:rsidR="00E71EA0" w:rsidRPr="00045B60" w:rsidRDefault="00E71EA0" w:rsidP="00045B60">
            <w:pPr>
              <w:spacing w:line="360" w:lineRule="auto"/>
              <w:jc w:val="center"/>
              <w:rPr>
                <w:rFonts w:cs="Arial"/>
                <w:b/>
                <w:bCs/>
                <w:color w:val="000000"/>
                <w:sz w:val="22"/>
                <w:szCs w:val="22"/>
              </w:rPr>
            </w:pPr>
            <w:r w:rsidRPr="00045B60">
              <w:rPr>
                <w:rFonts w:cs="Arial"/>
                <w:b/>
                <w:bCs/>
                <w:color w:val="000000"/>
                <w:sz w:val="22"/>
                <w:szCs w:val="22"/>
              </w:rPr>
              <w:t>Project</w:t>
            </w:r>
          </w:p>
        </w:tc>
        <w:tc>
          <w:tcPr>
            <w:tcW w:w="2254" w:type="dxa"/>
          </w:tcPr>
          <w:p w14:paraId="0010EE4B" w14:textId="77777777" w:rsidR="00E71EA0" w:rsidRPr="00045B60" w:rsidRDefault="00E71EA0" w:rsidP="00045B60">
            <w:pPr>
              <w:spacing w:line="360" w:lineRule="auto"/>
              <w:jc w:val="center"/>
              <w:rPr>
                <w:rFonts w:cs="Arial"/>
                <w:b/>
                <w:bCs/>
                <w:color w:val="000000"/>
                <w:sz w:val="22"/>
                <w:szCs w:val="22"/>
              </w:rPr>
            </w:pPr>
            <w:r w:rsidRPr="00045B60">
              <w:rPr>
                <w:rFonts w:cs="Arial"/>
                <w:b/>
                <w:bCs/>
                <w:color w:val="000000"/>
                <w:sz w:val="22"/>
                <w:szCs w:val="22"/>
              </w:rPr>
              <w:t>Initial Investment (£m)</w:t>
            </w:r>
          </w:p>
        </w:tc>
        <w:tc>
          <w:tcPr>
            <w:tcW w:w="2254" w:type="dxa"/>
          </w:tcPr>
          <w:p w14:paraId="24925D0F" w14:textId="77777777" w:rsidR="00E71EA0" w:rsidRPr="00045B60" w:rsidRDefault="00E71EA0" w:rsidP="00045B60">
            <w:pPr>
              <w:spacing w:line="360" w:lineRule="auto"/>
              <w:jc w:val="center"/>
              <w:rPr>
                <w:rFonts w:cs="Arial"/>
                <w:b/>
                <w:bCs/>
                <w:color w:val="000000"/>
                <w:sz w:val="22"/>
                <w:szCs w:val="22"/>
              </w:rPr>
            </w:pPr>
            <w:r w:rsidRPr="00045B60">
              <w:rPr>
                <w:rFonts w:cs="Arial"/>
                <w:b/>
                <w:bCs/>
                <w:color w:val="000000"/>
                <w:sz w:val="22"/>
                <w:szCs w:val="22"/>
              </w:rPr>
              <w:t>Average Annual Profit (£m)</w:t>
            </w:r>
          </w:p>
        </w:tc>
        <w:tc>
          <w:tcPr>
            <w:tcW w:w="2254" w:type="dxa"/>
          </w:tcPr>
          <w:p w14:paraId="1E08C991" w14:textId="77777777" w:rsidR="00E71EA0" w:rsidRPr="00045B60" w:rsidRDefault="00E71EA0" w:rsidP="00045B60">
            <w:pPr>
              <w:spacing w:line="360" w:lineRule="auto"/>
              <w:jc w:val="center"/>
              <w:rPr>
                <w:rFonts w:cs="Arial"/>
                <w:b/>
                <w:bCs/>
                <w:color w:val="000000"/>
                <w:sz w:val="22"/>
                <w:szCs w:val="22"/>
              </w:rPr>
            </w:pPr>
            <w:r w:rsidRPr="00045B60">
              <w:rPr>
                <w:rFonts w:cs="Arial"/>
                <w:b/>
                <w:bCs/>
                <w:color w:val="000000"/>
                <w:sz w:val="22"/>
                <w:szCs w:val="22"/>
              </w:rPr>
              <w:t>ARR (%)</w:t>
            </w:r>
          </w:p>
        </w:tc>
      </w:tr>
      <w:tr w:rsidR="00E71EA0" w:rsidRPr="00045B60" w14:paraId="2AF5FF59" w14:textId="77777777" w:rsidTr="00E71EA0">
        <w:tc>
          <w:tcPr>
            <w:tcW w:w="2254" w:type="dxa"/>
          </w:tcPr>
          <w:p w14:paraId="1C5B8386" w14:textId="77777777" w:rsidR="00E71EA0" w:rsidRPr="00045B60" w:rsidRDefault="00E71EA0" w:rsidP="00045B60">
            <w:pPr>
              <w:spacing w:line="360" w:lineRule="auto"/>
              <w:rPr>
                <w:rFonts w:cs="Arial"/>
                <w:color w:val="000000"/>
                <w:sz w:val="22"/>
                <w:szCs w:val="22"/>
              </w:rPr>
            </w:pPr>
            <w:r w:rsidRPr="00045B60">
              <w:rPr>
                <w:rFonts w:cs="Arial"/>
                <w:color w:val="000000"/>
                <w:sz w:val="22"/>
                <w:szCs w:val="22"/>
              </w:rPr>
              <w:t>A</w:t>
            </w:r>
          </w:p>
        </w:tc>
        <w:tc>
          <w:tcPr>
            <w:tcW w:w="2254" w:type="dxa"/>
          </w:tcPr>
          <w:p w14:paraId="7DD15C3B"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40</w:t>
            </w:r>
          </w:p>
        </w:tc>
        <w:tc>
          <w:tcPr>
            <w:tcW w:w="2254" w:type="dxa"/>
          </w:tcPr>
          <w:p w14:paraId="63CC383F"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2.8</w:t>
            </w:r>
          </w:p>
        </w:tc>
        <w:tc>
          <w:tcPr>
            <w:tcW w:w="2254" w:type="dxa"/>
          </w:tcPr>
          <w:p w14:paraId="2C96A99F"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7.00%</w:t>
            </w:r>
          </w:p>
        </w:tc>
      </w:tr>
      <w:tr w:rsidR="00E71EA0" w:rsidRPr="00045B60" w14:paraId="68D9FA7D" w14:textId="77777777" w:rsidTr="00E71EA0">
        <w:tc>
          <w:tcPr>
            <w:tcW w:w="2254" w:type="dxa"/>
          </w:tcPr>
          <w:p w14:paraId="3A51B0DB" w14:textId="77777777" w:rsidR="00E71EA0" w:rsidRPr="00045B60" w:rsidRDefault="00E71EA0" w:rsidP="00045B60">
            <w:pPr>
              <w:spacing w:line="360" w:lineRule="auto"/>
              <w:rPr>
                <w:rFonts w:cs="Arial"/>
                <w:color w:val="000000"/>
                <w:sz w:val="22"/>
                <w:szCs w:val="22"/>
              </w:rPr>
            </w:pPr>
            <w:r w:rsidRPr="00045B60">
              <w:rPr>
                <w:rFonts w:cs="Arial"/>
                <w:color w:val="000000"/>
                <w:sz w:val="22"/>
                <w:szCs w:val="22"/>
              </w:rPr>
              <w:t>B</w:t>
            </w:r>
          </w:p>
        </w:tc>
        <w:tc>
          <w:tcPr>
            <w:tcW w:w="2254" w:type="dxa"/>
          </w:tcPr>
          <w:p w14:paraId="6AFA8BE3"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30</w:t>
            </w:r>
          </w:p>
        </w:tc>
        <w:tc>
          <w:tcPr>
            <w:tcW w:w="2254" w:type="dxa"/>
          </w:tcPr>
          <w:p w14:paraId="28D56480"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0</w:t>
            </w:r>
          </w:p>
        </w:tc>
        <w:tc>
          <w:tcPr>
            <w:tcW w:w="2254" w:type="dxa"/>
          </w:tcPr>
          <w:p w14:paraId="1D7D3EAB"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0%</w:t>
            </w:r>
          </w:p>
        </w:tc>
      </w:tr>
      <w:tr w:rsidR="00E71EA0" w:rsidRPr="00045B60" w14:paraId="51345F72" w14:textId="77777777" w:rsidTr="00E71EA0">
        <w:tc>
          <w:tcPr>
            <w:tcW w:w="2254" w:type="dxa"/>
          </w:tcPr>
          <w:p w14:paraId="0D6B7B7C" w14:textId="77777777" w:rsidR="00E71EA0" w:rsidRPr="00045B60" w:rsidRDefault="00E71EA0" w:rsidP="00045B60">
            <w:pPr>
              <w:spacing w:line="360" w:lineRule="auto"/>
              <w:rPr>
                <w:rFonts w:cs="Arial"/>
                <w:color w:val="000000"/>
                <w:sz w:val="22"/>
                <w:szCs w:val="22"/>
              </w:rPr>
            </w:pPr>
            <w:r w:rsidRPr="00045B60">
              <w:rPr>
                <w:rFonts w:cs="Arial"/>
                <w:color w:val="000000"/>
                <w:sz w:val="22"/>
                <w:szCs w:val="22"/>
              </w:rPr>
              <w:t>C</w:t>
            </w:r>
          </w:p>
        </w:tc>
        <w:tc>
          <w:tcPr>
            <w:tcW w:w="2254" w:type="dxa"/>
          </w:tcPr>
          <w:p w14:paraId="6F6CF100"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50</w:t>
            </w:r>
          </w:p>
        </w:tc>
        <w:tc>
          <w:tcPr>
            <w:tcW w:w="2254" w:type="dxa"/>
          </w:tcPr>
          <w:p w14:paraId="41668C9A"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5</w:t>
            </w:r>
          </w:p>
        </w:tc>
        <w:tc>
          <w:tcPr>
            <w:tcW w:w="2254" w:type="dxa"/>
          </w:tcPr>
          <w:p w14:paraId="162CD6AD"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10%</w:t>
            </w:r>
          </w:p>
        </w:tc>
      </w:tr>
    </w:tbl>
    <w:p w14:paraId="613E85E2" w14:textId="77777777" w:rsidR="00E71EA0" w:rsidRPr="00045B60" w:rsidRDefault="00BF5C0C" w:rsidP="00045B60">
      <w:pPr>
        <w:spacing w:line="360" w:lineRule="auto"/>
        <w:rPr>
          <w:rFonts w:cs="Arial"/>
          <w:sz w:val="22"/>
          <w:szCs w:val="22"/>
        </w:rPr>
      </w:pPr>
      <w:r w:rsidRPr="00045B60">
        <w:rPr>
          <w:rFonts w:cs="Arial"/>
          <w:sz w:val="22"/>
          <w:szCs w:val="22"/>
        </w:rPr>
        <w:t>The approach considers the profitability of an investment by determining the expected percentage value based on accounting values instead of cash flows</w:t>
      </w:r>
      <w:r w:rsidR="007D56F0" w:rsidRPr="00045B60">
        <w:rPr>
          <w:rFonts w:cs="Arial"/>
          <w:sz w:val="22"/>
          <w:szCs w:val="22"/>
        </w:rPr>
        <w:t>,</w:t>
      </w:r>
      <w:r w:rsidRPr="00045B60">
        <w:rPr>
          <w:rFonts w:cs="Arial"/>
          <w:sz w:val="22"/>
          <w:szCs w:val="22"/>
        </w:rPr>
        <w:t xml:space="preserve"> such as PBP (Brigham and Houston, 2021). Thus, solely on ARR, Project C would be chosen since it has the highest profitability to the extent of investment size, which indicates a greater likelihood of improving shareholder returns.  Nevertheless, this method has multiple weaknesses, such as (</w:t>
      </w:r>
      <w:proofErr w:type="spellStart"/>
      <w:r w:rsidRPr="00045B60">
        <w:rPr>
          <w:rFonts w:cs="Arial"/>
          <w:sz w:val="22"/>
          <w:szCs w:val="22"/>
        </w:rPr>
        <w:t>i</w:t>
      </w:r>
      <w:proofErr w:type="spellEnd"/>
      <w:r w:rsidRPr="00045B60">
        <w:rPr>
          <w:rFonts w:cs="Arial"/>
          <w:sz w:val="22"/>
          <w:szCs w:val="22"/>
        </w:rPr>
        <w:t>) it is based on accounting profit, which is not the best measure of performance because it includes non-cash items such as depreciation, (ii) it does not consider time-value of money, seeing profits in early and later years as equal, (iii) it does not address project risk, which restrict its applicability in strategic investment decisions (Parrino et al., 2025). Thus, although ARR prefers Project C, the investment decision should incorporate discounted cash flow methods of NPV and IRR to have a robust evaluation.</w:t>
      </w:r>
    </w:p>
    <w:p w14:paraId="36A31767" w14:textId="77777777" w:rsidR="00BF5C0C" w:rsidRDefault="00BF5C0C" w:rsidP="00BF5C0C">
      <w:pPr>
        <w:pStyle w:val="Heading2"/>
      </w:pPr>
      <w:bookmarkStart w:id="17" w:name="_Toc216386208"/>
      <w:r w:rsidRPr="00BF5C0C">
        <w:t>Net Present Value (NPV) of The Projects</w:t>
      </w:r>
      <w:bookmarkEnd w:id="17"/>
    </w:p>
    <w:p w14:paraId="29C59E44" w14:textId="77777777" w:rsidR="00045B60" w:rsidRPr="00045B60" w:rsidRDefault="00045B60" w:rsidP="00045B60">
      <w:pPr>
        <w:spacing w:line="360" w:lineRule="auto"/>
        <w:rPr>
          <w:rFonts w:cs="Arial"/>
          <w:sz w:val="22"/>
          <w:szCs w:val="22"/>
        </w:rPr>
      </w:pPr>
      <w:r w:rsidRPr="00F529FF">
        <w:rPr>
          <w:rFonts w:cs="Arial"/>
          <w:sz w:val="22"/>
          <w:szCs w:val="22"/>
        </w:rPr>
        <w:t xml:space="preserve">The </w:t>
      </w:r>
      <w:r>
        <w:rPr>
          <w:rFonts w:cs="Arial"/>
          <w:sz w:val="22"/>
          <w:szCs w:val="22"/>
        </w:rPr>
        <w:t>NPVs</w:t>
      </w:r>
      <w:r w:rsidRPr="00F529FF">
        <w:rPr>
          <w:rFonts w:cs="Arial"/>
          <w:sz w:val="22"/>
          <w:szCs w:val="22"/>
        </w:rPr>
        <w:t xml:space="preserve"> of the projects are summarised below (see Appendix </w:t>
      </w:r>
      <w:r>
        <w:rPr>
          <w:rFonts w:cs="Arial"/>
          <w:sz w:val="22"/>
          <w:szCs w:val="22"/>
        </w:rPr>
        <w:t>Q</w:t>
      </w:r>
      <w:r w:rsidRPr="00F529FF">
        <w:rPr>
          <w:rFonts w:cs="Arial"/>
          <w:sz w:val="22"/>
          <w:szCs w:val="22"/>
        </w:rPr>
        <w:t>)</w:t>
      </w:r>
    </w:p>
    <w:tbl>
      <w:tblPr>
        <w:tblStyle w:val="TableGrid"/>
        <w:tblW w:w="0" w:type="auto"/>
        <w:tblLook w:val="04A0" w:firstRow="1" w:lastRow="0" w:firstColumn="1" w:lastColumn="0" w:noHBand="0" w:noVBand="1"/>
      </w:tblPr>
      <w:tblGrid>
        <w:gridCol w:w="3005"/>
        <w:gridCol w:w="3005"/>
        <w:gridCol w:w="3006"/>
      </w:tblGrid>
      <w:tr w:rsidR="007D56F0" w:rsidRPr="00045B60" w14:paraId="06C2A911" w14:textId="77777777" w:rsidTr="00941BC2">
        <w:tc>
          <w:tcPr>
            <w:tcW w:w="3005" w:type="dxa"/>
            <w:vAlign w:val="bottom"/>
          </w:tcPr>
          <w:p w14:paraId="1D5553FF" w14:textId="77777777" w:rsidR="007D56F0" w:rsidRPr="00045B60" w:rsidRDefault="007D56F0" w:rsidP="00045B60">
            <w:pPr>
              <w:spacing w:line="360" w:lineRule="auto"/>
              <w:jc w:val="center"/>
              <w:rPr>
                <w:rFonts w:cs="Arial"/>
                <w:b/>
                <w:bCs/>
                <w:sz w:val="22"/>
                <w:szCs w:val="22"/>
              </w:rPr>
            </w:pPr>
            <w:r w:rsidRPr="00045B60">
              <w:rPr>
                <w:rFonts w:cs="Arial"/>
                <w:b/>
                <w:bCs/>
                <w:sz w:val="22"/>
                <w:szCs w:val="22"/>
              </w:rPr>
              <w:t>Project</w:t>
            </w:r>
          </w:p>
        </w:tc>
        <w:tc>
          <w:tcPr>
            <w:tcW w:w="3005" w:type="dxa"/>
            <w:vAlign w:val="bottom"/>
          </w:tcPr>
          <w:p w14:paraId="6D842770" w14:textId="77777777" w:rsidR="007D56F0" w:rsidRPr="00045B60" w:rsidRDefault="007D56F0" w:rsidP="00045B60">
            <w:pPr>
              <w:spacing w:line="360" w:lineRule="auto"/>
              <w:jc w:val="center"/>
              <w:rPr>
                <w:rFonts w:cs="Arial"/>
                <w:b/>
                <w:bCs/>
                <w:sz w:val="22"/>
                <w:szCs w:val="22"/>
              </w:rPr>
            </w:pPr>
            <w:r w:rsidRPr="00045B60">
              <w:rPr>
                <w:rFonts w:cs="Arial"/>
                <w:b/>
                <w:bCs/>
                <w:sz w:val="22"/>
                <w:szCs w:val="22"/>
              </w:rPr>
              <w:t>NPV (£m)</w:t>
            </w:r>
          </w:p>
        </w:tc>
        <w:tc>
          <w:tcPr>
            <w:tcW w:w="3006" w:type="dxa"/>
            <w:vAlign w:val="bottom"/>
          </w:tcPr>
          <w:p w14:paraId="01E9F0AC" w14:textId="77777777" w:rsidR="007D56F0" w:rsidRPr="00045B60" w:rsidRDefault="007D56F0" w:rsidP="00045B60">
            <w:pPr>
              <w:spacing w:line="360" w:lineRule="auto"/>
              <w:jc w:val="center"/>
              <w:rPr>
                <w:rFonts w:cs="Arial"/>
                <w:b/>
                <w:bCs/>
                <w:sz w:val="22"/>
                <w:szCs w:val="22"/>
              </w:rPr>
            </w:pPr>
            <w:r w:rsidRPr="00045B60">
              <w:rPr>
                <w:rFonts w:cs="Arial"/>
                <w:b/>
                <w:bCs/>
                <w:sz w:val="22"/>
                <w:szCs w:val="22"/>
              </w:rPr>
              <w:t>Outcome</w:t>
            </w:r>
          </w:p>
        </w:tc>
      </w:tr>
      <w:tr w:rsidR="007D56F0" w:rsidRPr="00045B60" w14:paraId="2285CD18" w14:textId="77777777" w:rsidTr="00941BC2">
        <w:tc>
          <w:tcPr>
            <w:tcW w:w="3005" w:type="dxa"/>
            <w:vAlign w:val="bottom"/>
          </w:tcPr>
          <w:p w14:paraId="74DC9597" w14:textId="77777777" w:rsidR="007D56F0" w:rsidRPr="00045B60" w:rsidRDefault="007D56F0" w:rsidP="00045B60">
            <w:pPr>
              <w:spacing w:line="360" w:lineRule="auto"/>
              <w:rPr>
                <w:rFonts w:cs="Arial"/>
                <w:sz w:val="22"/>
                <w:szCs w:val="22"/>
              </w:rPr>
            </w:pPr>
            <w:r w:rsidRPr="00045B60">
              <w:rPr>
                <w:rFonts w:cs="Arial"/>
                <w:sz w:val="22"/>
                <w:szCs w:val="22"/>
              </w:rPr>
              <w:t>A</w:t>
            </w:r>
          </w:p>
        </w:tc>
        <w:tc>
          <w:tcPr>
            <w:tcW w:w="3005" w:type="dxa"/>
            <w:vAlign w:val="bottom"/>
          </w:tcPr>
          <w:p w14:paraId="4D63BD54" w14:textId="77777777" w:rsidR="007D56F0" w:rsidRPr="00045B60" w:rsidRDefault="007D56F0" w:rsidP="00396AB5">
            <w:pPr>
              <w:spacing w:line="360" w:lineRule="auto"/>
              <w:jc w:val="right"/>
              <w:rPr>
                <w:rFonts w:cs="Arial"/>
                <w:sz w:val="22"/>
                <w:szCs w:val="22"/>
              </w:rPr>
            </w:pPr>
            <w:r w:rsidRPr="00045B60">
              <w:rPr>
                <w:rFonts w:cs="Arial"/>
                <w:sz w:val="22"/>
                <w:szCs w:val="22"/>
              </w:rPr>
              <w:t>1.31</w:t>
            </w:r>
          </w:p>
        </w:tc>
        <w:tc>
          <w:tcPr>
            <w:tcW w:w="3006" w:type="dxa"/>
            <w:vAlign w:val="bottom"/>
          </w:tcPr>
          <w:p w14:paraId="06631769" w14:textId="77777777" w:rsidR="007D56F0" w:rsidRPr="00045B60" w:rsidRDefault="007D56F0" w:rsidP="00045B60">
            <w:pPr>
              <w:spacing w:line="360" w:lineRule="auto"/>
              <w:rPr>
                <w:rFonts w:cs="Arial"/>
                <w:sz w:val="22"/>
                <w:szCs w:val="22"/>
              </w:rPr>
            </w:pPr>
            <w:r w:rsidRPr="00045B60">
              <w:rPr>
                <w:rFonts w:cs="Arial"/>
                <w:sz w:val="22"/>
                <w:szCs w:val="22"/>
              </w:rPr>
              <w:t>Acceptable</w:t>
            </w:r>
          </w:p>
        </w:tc>
      </w:tr>
      <w:tr w:rsidR="007D56F0" w:rsidRPr="00045B60" w14:paraId="0A308DB1" w14:textId="77777777" w:rsidTr="00941BC2">
        <w:tc>
          <w:tcPr>
            <w:tcW w:w="3005" w:type="dxa"/>
            <w:vAlign w:val="bottom"/>
          </w:tcPr>
          <w:p w14:paraId="0219E32B" w14:textId="77777777" w:rsidR="007D56F0" w:rsidRPr="00045B60" w:rsidRDefault="007D56F0" w:rsidP="00045B60">
            <w:pPr>
              <w:spacing w:line="360" w:lineRule="auto"/>
              <w:rPr>
                <w:rFonts w:cs="Arial"/>
                <w:sz w:val="22"/>
                <w:szCs w:val="22"/>
              </w:rPr>
            </w:pPr>
            <w:r w:rsidRPr="00045B60">
              <w:rPr>
                <w:rFonts w:cs="Arial"/>
                <w:sz w:val="22"/>
                <w:szCs w:val="22"/>
              </w:rPr>
              <w:t>B</w:t>
            </w:r>
          </w:p>
        </w:tc>
        <w:tc>
          <w:tcPr>
            <w:tcW w:w="3005" w:type="dxa"/>
            <w:vAlign w:val="bottom"/>
          </w:tcPr>
          <w:p w14:paraId="362CAD1B" w14:textId="77777777" w:rsidR="007D56F0" w:rsidRPr="00045B60" w:rsidRDefault="007D56F0" w:rsidP="00396AB5">
            <w:pPr>
              <w:spacing w:line="360" w:lineRule="auto"/>
              <w:jc w:val="right"/>
              <w:rPr>
                <w:rFonts w:cs="Arial"/>
                <w:sz w:val="22"/>
                <w:szCs w:val="22"/>
              </w:rPr>
            </w:pPr>
            <w:r w:rsidRPr="00045B60">
              <w:rPr>
                <w:rFonts w:cs="Arial"/>
                <w:sz w:val="22"/>
                <w:szCs w:val="22"/>
              </w:rPr>
              <w:t>–7.25</w:t>
            </w:r>
          </w:p>
        </w:tc>
        <w:tc>
          <w:tcPr>
            <w:tcW w:w="3006" w:type="dxa"/>
            <w:vAlign w:val="bottom"/>
          </w:tcPr>
          <w:p w14:paraId="6AF9BF66" w14:textId="77777777" w:rsidR="007D56F0" w:rsidRPr="00045B60" w:rsidRDefault="007D56F0" w:rsidP="00045B60">
            <w:pPr>
              <w:spacing w:line="360" w:lineRule="auto"/>
              <w:rPr>
                <w:rFonts w:cs="Arial"/>
                <w:sz w:val="22"/>
                <w:szCs w:val="22"/>
              </w:rPr>
            </w:pPr>
            <w:r w:rsidRPr="00045B60">
              <w:rPr>
                <w:rFonts w:cs="Arial"/>
                <w:sz w:val="22"/>
                <w:szCs w:val="22"/>
              </w:rPr>
              <w:t>Reject</w:t>
            </w:r>
          </w:p>
        </w:tc>
      </w:tr>
      <w:tr w:rsidR="007D56F0" w:rsidRPr="00045B60" w14:paraId="5394903B" w14:textId="77777777" w:rsidTr="00941BC2">
        <w:tc>
          <w:tcPr>
            <w:tcW w:w="3005" w:type="dxa"/>
            <w:vAlign w:val="bottom"/>
          </w:tcPr>
          <w:p w14:paraId="03B8667E" w14:textId="77777777" w:rsidR="007D56F0" w:rsidRPr="00045B60" w:rsidRDefault="007D56F0" w:rsidP="00045B60">
            <w:pPr>
              <w:spacing w:line="360" w:lineRule="auto"/>
              <w:rPr>
                <w:rFonts w:cs="Arial"/>
                <w:sz w:val="22"/>
                <w:szCs w:val="22"/>
              </w:rPr>
            </w:pPr>
            <w:r w:rsidRPr="00045B60">
              <w:rPr>
                <w:rFonts w:cs="Arial"/>
                <w:sz w:val="22"/>
                <w:szCs w:val="22"/>
              </w:rPr>
              <w:t>C</w:t>
            </w:r>
          </w:p>
        </w:tc>
        <w:tc>
          <w:tcPr>
            <w:tcW w:w="3005" w:type="dxa"/>
            <w:vAlign w:val="bottom"/>
          </w:tcPr>
          <w:p w14:paraId="5440A32C" w14:textId="77777777" w:rsidR="007D56F0" w:rsidRPr="00045B60" w:rsidRDefault="007D56F0" w:rsidP="00396AB5">
            <w:pPr>
              <w:spacing w:line="360" w:lineRule="auto"/>
              <w:jc w:val="right"/>
              <w:rPr>
                <w:rFonts w:cs="Arial"/>
                <w:sz w:val="22"/>
                <w:szCs w:val="22"/>
              </w:rPr>
            </w:pPr>
            <w:r w:rsidRPr="00045B60">
              <w:rPr>
                <w:rFonts w:cs="Arial"/>
                <w:sz w:val="22"/>
                <w:szCs w:val="22"/>
              </w:rPr>
              <w:t>4.23</w:t>
            </w:r>
          </w:p>
        </w:tc>
        <w:tc>
          <w:tcPr>
            <w:tcW w:w="3006" w:type="dxa"/>
            <w:vAlign w:val="bottom"/>
          </w:tcPr>
          <w:p w14:paraId="4EC0C00D" w14:textId="77777777" w:rsidR="007D56F0" w:rsidRPr="00045B60" w:rsidRDefault="007D56F0" w:rsidP="00045B60">
            <w:pPr>
              <w:spacing w:line="360" w:lineRule="auto"/>
              <w:rPr>
                <w:rFonts w:cs="Arial"/>
                <w:sz w:val="22"/>
                <w:szCs w:val="22"/>
              </w:rPr>
            </w:pPr>
            <w:r w:rsidRPr="00045B60">
              <w:rPr>
                <w:rFonts w:cs="Arial"/>
                <w:sz w:val="22"/>
                <w:szCs w:val="22"/>
              </w:rPr>
              <w:t>Best Option</w:t>
            </w:r>
          </w:p>
        </w:tc>
      </w:tr>
    </w:tbl>
    <w:p w14:paraId="056E1BA7" w14:textId="77777777" w:rsidR="00BF5C0C" w:rsidRDefault="00045B60" w:rsidP="00045B60">
      <w:pPr>
        <w:spacing w:line="360" w:lineRule="auto"/>
        <w:rPr>
          <w:rFonts w:cs="Arial"/>
          <w:sz w:val="22"/>
          <w:szCs w:val="22"/>
        </w:rPr>
      </w:pPr>
      <w:r w:rsidRPr="00045B60">
        <w:rPr>
          <w:rFonts w:cs="Arial"/>
          <w:sz w:val="22"/>
          <w:szCs w:val="22"/>
        </w:rPr>
        <w:t>The method evaluates the feasibility of any project by discounting future cash flow at the cost of capital incurred by the company to assess whether the investment is generating value to the shareholders (</w:t>
      </w:r>
      <w:proofErr w:type="spellStart"/>
      <w:r w:rsidRPr="00045B60">
        <w:rPr>
          <w:rFonts w:cs="Arial"/>
          <w:sz w:val="22"/>
          <w:szCs w:val="22"/>
        </w:rPr>
        <w:t>Atrill</w:t>
      </w:r>
      <w:proofErr w:type="spellEnd"/>
      <w:r w:rsidRPr="00045B60">
        <w:rPr>
          <w:rFonts w:cs="Arial"/>
          <w:sz w:val="22"/>
          <w:szCs w:val="22"/>
        </w:rPr>
        <w:t xml:space="preserve"> and </w:t>
      </w:r>
      <w:proofErr w:type="spellStart"/>
      <w:r w:rsidRPr="00045B60">
        <w:rPr>
          <w:rFonts w:cs="Arial"/>
          <w:sz w:val="22"/>
          <w:szCs w:val="22"/>
        </w:rPr>
        <w:t>McLaney</w:t>
      </w:r>
      <w:proofErr w:type="spellEnd"/>
      <w:r w:rsidRPr="00045B60">
        <w:rPr>
          <w:rFonts w:cs="Arial"/>
          <w:sz w:val="22"/>
          <w:szCs w:val="22"/>
        </w:rPr>
        <w:t xml:space="preserve">, 2008). It is the most stable measure used in capital budgeting because it includes the time value of money, the risk-adjusted cost of capital, and absolute value creation (Brigham and Houston, 2021). </w:t>
      </w:r>
      <w:r w:rsidR="007D56F0" w:rsidRPr="00045B60">
        <w:rPr>
          <w:rFonts w:cs="Arial"/>
          <w:sz w:val="22"/>
          <w:szCs w:val="22"/>
        </w:rPr>
        <w:t xml:space="preserve"> The analysis shows that at a 10 per cent discount rate, Projects A and C develop positive NPV, which implies that they will increase the shareholder wealth, whereas Project B generates a negative NPV, which implies that it will destroy value and should be discarded. Among the viable options, Project C has the highest NPV, which implies high profitability in the long term and better performance in the discounted cash flow. </w:t>
      </w:r>
      <w:r w:rsidRPr="00045B60">
        <w:rPr>
          <w:rFonts w:cs="Arial"/>
          <w:sz w:val="22"/>
          <w:szCs w:val="22"/>
        </w:rPr>
        <w:t>Therefore, based on the NPV, Project C would have to be selected because it would leave the shareholders with the maximum value.</w:t>
      </w:r>
    </w:p>
    <w:p w14:paraId="6C277E94" w14:textId="77777777" w:rsidR="00045B60" w:rsidRDefault="00045B60" w:rsidP="00045B60">
      <w:pPr>
        <w:pStyle w:val="Heading2"/>
      </w:pPr>
      <w:bookmarkStart w:id="18" w:name="_Toc216386209"/>
      <w:r>
        <w:t xml:space="preserve">Profitability Index (PI) </w:t>
      </w:r>
      <w:r w:rsidRPr="00BF5C0C">
        <w:t>of The Projects</w:t>
      </w:r>
      <w:bookmarkEnd w:id="18"/>
    </w:p>
    <w:p w14:paraId="422FD459" w14:textId="77777777" w:rsidR="00045B60" w:rsidRPr="00396AB5" w:rsidRDefault="00045B60" w:rsidP="00396AB5">
      <w:pPr>
        <w:spacing w:line="360" w:lineRule="auto"/>
        <w:rPr>
          <w:rFonts w:cs="Arial"/>
          <w:sz w:val="22"/>
          <w:szCs w:val="22"/>
        </w:rPr>
      </w:pPr>
      <w:r w:rsidRPr="00396AB5">
        <w:rPr>
          <w:rFonts w:cs="Arial"/>
          <w:sz w:val="22"/>
          <w:szCs w:val="22"/>
        </w:rPr>
        <w:t>The PIs of the projects are summarised below (see Appendix R)</w:t>
      </w:r>
    </w:p>
    <w:tbl>
      <w:tblPr>
        <w:tblStyle w:val="TableGrid"/>
        <w:tblW w:w="0" w:type="auto"/>
        <w:tblLook w:val="04A0" w:firstRow="1" w:lastRow="0" w:firstColumn="1" w:lastColumn="0" w:noHBand="0" w:noVBand="1"/>
      </w:tblPr>
      <w:tblGrid>
        <w:gridCol w:w="2972"/>
        <w:gridCol w:w="6044"/>
      </w:tblGrid>
      <w:tr w:rsidR="00045B60" w:rsidRPr="00396AB5" w14:paraId="4B98F3C4" w14:textId="77777777" w:rsidTr="00C7113C">
        <w:tc>
          <w:tcPr>
            <w:tcW w:w="2972" w:type="dxa"/>
            <w:vAlign w:val="bottom"/>
          </w:tcPr>
          <w:p w14:paraId="3FF2396B" w14:textId="77777777" w:rsidR="00045B60" w:rsidRPr="00396AB5" w:rsidRDefault="00045B60" w:rsidP="00396AB5">
            <w:pPr>
              <w:spacing w:line="360" w:lineRule="auto"/>
              <w:jc w:val="center"/>
              <w:rPr>
                <w:rFonts w:cs="Arial"/>
                <w:b/>
                <w:bCs/>
                <w:color w:val="000000"/>
                <w:sz w:val="22"/>
                <w:szCs w:val="22"/>
              </w:rPr>
            </w:pPr>
            <w:r w:rsidRPr="00396AB5">
              <w:rPr>
                <w:rFonts w:cs="Arial"/>
                <w:b/>
                <w:bCs/>
                <w:color w:val="000000"/>
                <w:sz w:val="22"/>
                <w:szCs w:val="22"/>
              </w:rPr>
              <w:t>Project</w:t>
            </w:r>
          </w:p>
        </w:tc>
        <w:tc>
          <w:tcPr>
            <w:tcW w:w="6044" w:type="dxa"/>
            <w:vAlign w:val="bottom"/>
          </w:tcPr>
          <w:p w14:paraId="4A91849A" w14:textId="77777777" w:rsidR="00045B60" w:rsidRPr="00396AB5" w:rsidRDefault="00045B60" w:rsidP="00396AB5">
            <w:pPr>
              <w:spacing w:line="360" w:lineRule="auto"/>
              <w:jc w:val="center"/>
              <w:rPr>
                <w:rFonts w:cs="Arial"/>
                <w:b/>
                <w:bCs/>
                <w:color w:val="000000"/>
                <w:sz w:val="22"/>
                <w:szCs w:val="22"/>
              </w:rPr>
            </w:pPr>
            <w:r w:rsidRPr="00396AB5">
              <w:rPr>
                <w:rFonts w:cs="Arial"/>
                <w:b/>
                <w:bCs/>
                <w:color w:val="000000"/>
                <w:sz w:val="22"/>
                <w:szCs w:val="22"/>
              </w:rPr>
              <w:t>PI</w:t>
            </w:r>
          </w:p>
        </w:tc>
      </w:tr>
      <w:tr w:rsidR="00045B60" w:rsidRPr="00396AB5" w14:paraId="5CC4DD30" w14:textId="77777777" w:rsidTr="00C7113C">
        <w:tc>
          <w:tcPr>
            <w:tcW w:w="2972" w:type="dxa"/>
            <w:vAlign w:val="bottom"/>
          </w:tcPr>
          <w:p w14:paraId="45CC8EA7" w14:textId="77777777" w:rsidR="00045B60" w:rsidRPr="00396AB5" w:rsidRDefault="00045B60" w:rsidP="00396AB5">
            <w:pPr>
              <w:spacing w:line="360" w:lineRule="auto"/>
              <w:rPr>
                <w:rFonts w:cs="Arial"/>
                <w:color w:val="000000"/>
                <w:sz w:val="22"/>
                <w:szCs w:val="22"/>
              </w:rPr>
            </w:pPr>
            <w:r w:rsidRPr="00396AB5">
              <w:rPr>
                <w:rFonts w:cs="Arial"/>
                <w:color w:val="000000"/>
                <w:sz w:val="22"/>
                <w:szCs w:val="22"/>
              </w:rPr>
              <w:t>A</w:t>
            </w:r>
          </w:p>
        </w:tc>
        <w:tc>
          <w:tcPr>
            <w:tcW w:w="6044" w:type="dxa"/>
            <w:vAlign w:val="bottom"/>
          </w:tcPr>
          <w:p w14:paraId="53897E73" w14:textId="77777777" w:rsidR="00045B60" w:rsidRPr="00396AB5" w:rsidRDefault="00045B60" w:rsidP="00396AB5">
            <w:pPr>
              <w:spacing w:line="360" w:lineRule="auto"/>
              <w:jc w:val="right"/>
              <w:rPr>
                <w:rFonts w:cs="Arial"/>
                <w:color w:val="000000"/>
                <w:sz w:val="22"/>
                <w:szCs w:val="22"/>
              </w:rPr>
            </w:pPr>
            <w:r w:rsidRPr="00396AB5">
              <w:rPr>
                <w:rFonts w:cs="Arial"/>
                <w:color w:val="000000"/>
                <w:sz w:val="22"/>
                <w:szCs w:val="22"/>
              </w:rPr>
              <w:t>1.04</w:t>
            </w:r>
          </w:p>
        </w:tc>
      </w:tr>
      <w:tr w:rsidR="00045B60" w:rsidRPr="00396AB5" w14:paraId="221589F2" w14:textId="77777777" w:rsidTr="00C7113C">
        <w:tc>
          <w:tcPr>
            <w:tcW w:w="2972" w:type="dxa"/>
            <w:vAlign w:val="bottom"/>
          </w:tcPr>
          <w:p w14:paraId="07666B5C" w14:textId="77777777" w:rsidR="00045B60" w:rsidRPr="00396AB5" w:rsidRDefault="00045B60" w:rsidP="00396AB5">
            <w:pPr>
              <w:spacing w:line="360" w:lineRule="auto"/>
              <w:rPr>
                <w:rFonts w:cs="Arial"/>
                <w:color w:val="000000"/>
                <w:sz w:val="22"/>
                <w:szCs w:val="22"/>
              </w:rPr>
            </w:pPr>
            <w:r w:rsidRPr="00396AB5">
              <w:rPr>
                <w:rFonts w:cs="Arial"/>
                <w:color w:val="000000"/>
                <w:sz w:val="22"/>
                <w:szCs w:val="22"/>
              </w:rPr>
              <w:t>B</w:t>
            </w:r>
          </w:p>
        </w:tc>
        <w:tc>
          <w:tcPr>
            <w:tcW w:w="6044" w:type="dxa"/>
            <w:vAlign w:val="bottom"/>
          </w:tcPr>
          <w:p w14:paraId="7F3151A1" w14:textId="77777777" w:rsidR="00045B60" w:rsidRPr="00396AB5" w:rsidRDefault="00045B60" w:rsidP="00396AB5">
            <w:pPr>
              <w:spacing w:line="360" w:lineRule="auto"/>
              <w:jc w:val="right"/>
              <w:rPr>
                <w:rFonts w:cs="Arial"/>
                <w:color w:val="000000"/>
                <w:sz w:val="22"/>
                <w:szCs w:val="22"/>
              </w:rPr>
            </w:pPr>
            <w:r w:rsidRPr="00396AB5">
              <w:rPr>
                <w:rFonts w:cs="Arial"/>
                <w:color w:val="000000"/>
                <w:sz w:val="22"/>
                <w:szCs w:val="22"/>
              </w:rPr>
              <w:t>0.76</w:t>
            </w:r>
          </w:p>
        </w:tc>
      </w:tr>
      <w:tr w:rsidR="00045B60" w:rsidRPr="00396AB5" w14:paraId="358D07CF" w14:textId="77777777" w:rsidTr="00C7113C">
        <w:tc>
          <w:tcPr>
            <w:tcW w:w="2972" w:type="dxa"/>
            <w:vAlign w:val="bottom"/>
          </w:tcPr>
          <w:p w14:paraId="2F59D784" w14:textId="77777777" w:rsidR="00045B60" w:rsidRPr="00396AB5" w:rsidRDefault="00045B60" w:rsidP="00396AB5">
            <w:pPr>
              <w:spacing w:line="360" w:lineRule="auto"/>
              <w:rPr>
                <w:rFonts w:cs="Arial"/>
                <w:color w:val="000000"/>
                <w:sz w:val="22"/>
                <w:szCs w:val="22"/>
              </w:rPr>
            </w:pPr>
            <w:r w:rsidRPr="00396AB5">
              <w:rPr>
                <w:rFonts w:cs="Arial"/>
                <w:color w:val="000000"/>
                <w:sz w:val="22"/>
                <w:szCs w:val="22"/>
              </w:rPr>
              <w:t>C</w:t>
            </w:r>
          </w:p>
        </w:tc>
        <w:tc>
          <w:tcPr>
            <w:tcW w:w="6044" w:type="dxa"/>
            <w:vAlign w:val="bottom"/>
          </w:tcPr>
          <w:p w14:paraId="24ADAB30" w14:textId="77777777" w:rsidR="00045B60" w:rsidRPr="00396AB5" w:rsidRDefault="00045B60" w:rsidP="00396AB5">
            <w:pPr>
              <w:spacing w:line="360" w:lineRule="auto"/>
              <w:jc w:val="right"/>
              <w:rPr>
                <w:rFonts w:cs="Arial"/>
                <w:color w:val="000000"/>
                <w:sz w:val="22"/>
                <w:szCs w:val="22"/>
              </w:rPr>
            </w:pPr>
            <w:r w:rsidRPr="00396AB5">
              <w:rPr>
                <w:rFonts w:cs="Arial"/>
                <w:color w:val="000000"/>
                <w:sz w:val="22"/>
                <w:szCs w:val="22"/>
              </w:rPr>
              <w:t>1.1</w:t>
            </w:r>
          </w:p>
        </w:tc>
      </w:tr>
    </w:tbl>
    <w:p w14:paraId="7E7172F4" w14:textId="77777777" w:rsidR="00396AB5" w:rsidRDefault="00396AB5" w:rsidP="00396AB5">
      <w:pPr>
        <w:spacing w:line="360" w:lineRule="auto"/>
        <w:rPr>
          <w:rFonts w:cs="Arial"/>
          <w:sz w:val="22"/>
          <w:szCs w:val="22"/>
        </w:rPr>
      </w:pPr>
      <w:r w:rsidRPr="00396AB5">
        <w:rPr>
          <w:rFonts w:cs="Arial"/>
          <w:sz w:val="22"/>
          <w:szCs w:val="22"/>
        </w:rPr>
        <w:t>It offers a ranking-based choice instrument that is especially useful in cases where capital is rationed (Brigham and Houston, 2021). A score greater than one in this analysis indicates that it is more efficient in transforming investment into net present value (Parrino et al., 2025). According to the analysis, Project C has the best performance (PI = 1.1), which indicates the highest value creation per pound invested. Hence, with the capital rationing restriction (£60m maximum investment), the PI ranking indicates that Project C should be the priority</w:t>
      </w:r>
      <w:r>
        <w:rPr>
          <w:rFonts w:cs="Arial"/>
          <w:sz w:val="22"/>
          <w:szCs w:val="22"/>
        </w:rPr>
        <w:t xml:space="preserve"> investment. </w:t>
      </w:r>
    </w:p>
    <w:p w14:paraId="6153E3EA" w14:textId="77777777" w:rsidR="00396AB5" w:rsidRDefault="00396AB5" w:rsidP="00396AB5">
      <w:pPr>
        <w:pStyle w:val="Heading2"/>
      </w:pPr>
      <w:bookmarkStart w:id="19" w:name="_Toc216386210"/>
      <w:r>
        <w:t xml:space="preserve">IRR </w:t>
      </w:r>
      <w:r w:rsidRPr="00BF5C0C">
        <w:t>of The Projects</w:t>
      </w:r>
      <w:bookmarkEnd w:id="19"/>
    </w:p>
    <w:p w14:paraId="6A5B69C9" w14:textId="77777777" w:rsidR="006D0802" w:rsidRPr="001F4E33" w:rsidRDefault="006D0802" w:rsidP="001F4E33">
      <w:pPr>
        <w:spacing w:line="360" w:lineRule="auto"/>
        <w:rPr>
          <w:rFonts w:cs="Arial"/>
          <w:sz w:val="22"/>
          <w:szCs w:val="22"/>
        </w:rPr>
      </w:pPr>
      <w:r w:rsidRPr="001F4E33">
        <w:rPr>
          <w:rFonts w:cs="Arial"/>
          <w:sz w:val="22"/>
          <w:szCs w:val="22"/>
        </w:rPr>
        <w:t>The IRRs of the projects are summarised below (see Appendix S)</w:t>
      </w:r>
    </w:p>
    <w:tbl>
      <w:tblPr>
        <w:tblStyle w:val="TableGrid"/>
        <w:tblW w:w="0" w:type="auto"/>
        <w:tblLook w:val="04A0" w:firstRow="1" w:lastRow="0" w:firstColumn="1" w:lastColumn="0" w:noHBand="0" w:noVBand="1"/>
      </w:tblPr>
      <w:tblGrid>
        <w:gridCol w:w="1555"/>
        <w:gridCol w:w="2126"/>
        <w:gridCol w:w="5335"/>
      </w:tblGrid>
      <w:tr w:rsidR="006D0802" w:rsidRPr="001F4E33" w14:paraId="7786ACF8" w14:textId="77777777" w:rsidTr="0055642C">
        <w:trPr>
          <w:trHeight w:val="227"/>
        </w:trPr>
        <w:tc>
          <w:tcPr>
            <w:tcW w:w="1555" w:type="dxa"/>
          </w:tcPr>
          <w:p w14:paraId="4FF645CB" w14:textId="77777777" w:rsidR="006D0802" w:rsidRPr="001F4E33" w:rsidRDefault="006D0802" w:rsidP="001F4E33">
            <w:pPr>
              <w:spacing w:line="360" w:lineRule="auto"/>
              <w:jc w:val="center"/>
              <w:rPr>
                <w:rFonts w:cs="Arial"/>
                <w:b/>
                <w:bCs/>
                <w:color w:val="000000"/>
                <w:sz w:val="22"/>
                <w:szCs w:val="22"/>
              </w:rPr>
            </w:pPr>
            <w:r w:rsidRPr="001F4E33">
              <w:rPr>
                <w:rFonts w:cs="Arial"/>
                <w:b/>
                <w:bCs/>
                <w:color w:val="000000"/>
                <w:sz w:val="22"/>
                <w:szCs w:val="22"/>
              </w:rPr>
              <w:t>Project</w:t>
            </w:r>
          </w:p>
        </w:tc>
        <w:tc>
          <w:tcPr>
            <w:tcW w:w="2126" w:type="dxa"/>
          </w:tcPr>
          <w:p w14:paraId="35E06DAA" w14:textId="77777777" w:rsidR="006D0802" w:rsidRPr="001F4E33" w:rsidRDefault="006D0802" w:rsidP="001F4E33">
            <w:pPr>
              <w:spacing w:line="360" w:lineRule="auto"/>
              <w:jc w:val="center"/>
              <w:rPr>
                <w:rFonts w:cs="Arial"/>
                <w:b/>
                <w:bCs/>
                <w:color w:val="000000"/>
                <w:sz w:val="22"/>
                <w:szCs w:val="22"/>
              </w:rPr>
            </w:pPr>
            <w:r w:rsidRPr="001F4E33">
              <w:rPr>
                <w:rFonts w:cs="Arial"/>
                <w:b/>
                <w:bCs/>
                <w:color w:val="000000"/>
                <w:sz w:val="22"/>
                <w:szCs w:val="22"/>
              </w:rPr>
              <w:t>IRR (%)</w:t>
            </w:r>
          </w:p>
        </w:tc>
        <w:tc>
          <w:tcPr>
            <w:tcW w:w="5335" w:type="dxa"/>
          </w:tcPr>
          <w:p w14:paraId="7DDBE254" w14:textId="77777777" w:rsidR="006D0802" w:rsidRPr="001F4E33" w:rsidRDefault="001F4E33" w:rsidP="001F4E33">
            <w:pPr>
              <w:spacing w:line="360" w:lineRule="auto"/>
              <w:jc w:val="center"/>
              <w:rPr>
                <w:rFonts w:cs="Arial"/>
                <w:b/>
                <w:bCs/>
                <w:color w:val="000000"/>
                <w:sz w:val="22"/>
                <w:szCs w:val="22"/>
              </w:rPr>
            </w:pPr>
            <w:r w:rsidRPr="001F4E33">
              <w:rPr>
                <w:rFonts w:cs="Arial"/>
                <w:b/>
                <w:bCs/>
                <w:color w:val="000000"/>
                <w:sz w:val="22"/>
                <w:szCs w:val="22"/>
              </w:rPr>
              <w:t>Comment</w:t>
            </w:r>
          </w:p>
        </w:tc>
      </w:tr>
      <w:tr w:rsidR="006D0802" w:rsidRPr="001F4E33" w14:paraId="3F8D4690" w14:textId="77777777" w:rsidTr="001F4E33">
        <w:tc>
          <w:tcPr>
            <w:tcW w:w="1555" w:type="dxa"/>
          </w:tcPr>
          <w:p w14:paraId="04A69B10" w14:textId="77777777" w:rsidR="006D0802" w:rsidRPr="001F4E33" w:rsidRDefault="006D0802" w:rsidP="001F4E33">
            <w:pPr>
              <w:spacing w:line="360" w:lineRule="auto"/>
              <w:rPr>
                <w:rFonts w:cs="Arial"/>
                <w:color w:val="000000"/>
                <w:sz w:val="22"/>
                <w:szCs w:val="22"/>
              </w:rPr>
            </w:pPr>
            <w:r w:rsidRPr="001F4E33">
              <w:rPr>
                <w:rFonts w:cs="Arial"/>
                <w:color w:val="000000"/>
                <w:sz w:val="22"/>
                <w:szCs w:val="22"/>
              </w:rPr>
              <w:t>A</w:t>
            </w:r>
          </w:p>
        </w:tc>
        <w:tc>
          <w:tcPr>
            <w:tcW w:w="2126" w:type="dxa"/>
          </w:tcPr>
          <w:p w14:paraId="069756C2" w14:textId="77777777" w:rsidR="006D0802" w:rsidRPr="001F4E33" w:rsidRDefault="006D0802" w:rsidP="001F4E33">
            <w:pPr>
              <w:spacing w:line="360" w:lineRule="auto"/>
              <w:jc w:val="right"/>
              <w:rPr>
                <w:rFonts w:cs="Arial"/>
                <w:color w:val="000000"/>
                <w:sz w:val="22"/>
                <w:szCs w:val="22"/>
              </w:rPr>
            </w:pPr>
            <w:r w:rsidRPr="001F4E33">
              <w:rPr>
                <w:rFonts w:cs="Arial"/>
                <w:sz w:val="22"/>
                <w:szCs w:val="22"/>
              </w:rPr>
              <w:t>11.6%</w:t>
            </w:r>
          </w:p>
        </w:tc>
        <w:tc>
          <w:tcPr>
            <w:tcW w:w="5335" w:type="dxa"/>
          </w:tcPr>
          <w:p w14:paraId="76E80ED0" w14:textId="77777777" w:rsidR="006D0802" w:rsidRPr="001F4E33" w:rsidRDefault="001F4E33" w:rsidP="001F4E33">
            <w:pPr>
              <w:spacing w:line="360" w:lineRule="auto"/>
              <w:rPr>
                <w:rFonts w:cs="Arial"/>
                <w:color w:val="000000"/>
                <w:sz w:val="22"/>
                <w:szCs w:val="22"/>
              </w:rPr>
            </w:pPr>
            <w:r w:rsidRPr="001F4E33">
              <w:rPr>
                <w:rFonts w:cs="Arial"/>
                <w:color w:val="000000"/>
                <w:sz w:val="22"/>
                <w:szCs w:val="22"/>
              </w:rPr>
              <w:t>A</w:t>
            </w:r>
            <w:r w:rsidR="006D0802" w:rsidRPr="001F4E33">
              <w:rPr>
                <w:rFonts w:cs="Arial"/>
                <w:color w:val="000000"/>
                <w:sz w:val="22"/>
                <w:szCs w:val="22"/>
              </w:rPr>
              <w:t xml:space="preserve">bove cost of capital </w:t>
            </w:r>
          </w:p>
        </w:tc>
      </w:tr>
      <w:tr w:rsidR="006D0802" w:rsidRPr="001F4E33" w14:paraId="7E1F039A" w14:textId="77777777" w:rsidTr="001F4E33">
        <w:tc>
          <w:tcPr>
            <w:tcW w:w="1555" w:type="dxa"/>
          </w:tcPr>
          <w:p w14:paraId="29D8C5AD" w14:textId="77777777" w:rsidR="006D0802" w:rsidRPr="001F4E33" w:rsidRDefault="006D0802" w:rsidP="001F4E33">
            <w:pPr>
              <w:spacing w:line="360" w:lineRule="auto"/>
              <w:rPr>
                <w:rFonts w:cs="Arial"/>
                <w:color w:val="000000"/>
                <w:sz w:val="22"/>
                <w:szCs w:val="22"/>
              </w:rPr>
            </w:pPr>
            <w:r w:rsidRPr="001F4E33">
              <w:rPr>
                <w:rFonts w:cs="Arial"/>
                <w:color w:val="000000"/>
                <w:sz w:val="22"/>
                <w:szCs w:val="22"/>
              </w:rPr>
              <w:t>B</w:t>
            </w:r>
          </w:p>
        </w:tc>
        <w:tc>
          <w:tcPr>
            <w:tcW w:w="2126" w:type="dxa"/>
          </w:tcPr>
          <w:p w14:paraId="7C243CA2" w14:textId="77777777" w:rsidR="006D0802" w:rsidRPr="001F4E33" w:rsidRDefault="006D0802" w:rsidP="001F4E33">
            <w:pPr>
              <w:spacing w:line="360" w:lineRule="auto"/>
              <w:jc w:val="right"/>
              <w:rPr>
                <w:rFonts w:cs="Arial"/>
                <w:color w:val="000000"/>
                <w:sz w:val="22"/>
                <w:szCs w:val="22"/>
              </w:rPr>
            </w:pPr>
            <w:r w:rsidRPr="001F4E33">
              <w:rPr>
                <w:rFonts w:cs="Arial"/>
                <w:color w:val="000000"/>
                <w:sz w:val="22"/>
                <w:szCs w:val="22"/>
              </w:rPr>
              <w:t>0–2%</w:t>
            </w:r>
          </w:p>
        </w:tc>
        <w:tc>
          <w:tcPr>
            <w:tcW w:w="5335" w:type="dxa"/>
          </w:tcPr>
          <w:p w14:paraId="15371B4D" w14:textId="77777777" w:rsidR="006D0802" w:rsidRPr="001F4E33" w:rsidRDefault="006D0802" w:rsidP="001F4E33">
            <w:pPr>
              <w:spacing w:line="360" w:lineRule="auto"/>
              <w:rPr>
                <w:rFonts w:cs="Arial"/>
                <w:color w:val="000000"/>
                <w:sz w:val="22"/>
                <w:szCs w:val="22"/>
              </w:rPr>
            </w:pPr>
            <w:r w:rsidRPr="001F4E33">
              <w:rPr>
                <w:rFonts w:cs="Arial"/>
                <w:color w:val="000000"/>
                <w:sz w:val="22"/>
                <w:szCs w:val="22"/>
              </w:rPr>
              <w:t>Below cost of capital</w:t>
            </w:r>
          </w:p>
        </w:tc>
      </w:tr>
      <w:tr w:rsidR="006D0802" w:rsidRPr="001F4E33" w14:paraId="176C7832" w14:textId="77777777" w:rsidTr="001F4E33">
        <w:trPr>
          <w:trHeight w:val="63"/>
        </w:trPr>
        <w:tc>
          <w:tcPr>
            <w:tcW w:w="1555" w:type="dxa"/>
          </w:tcPr>
          <w:p w14:paraId="06DA38B7" w14:textId="77777777" w:rsidR="006D0802" w:rsidRPr="001F4E33" w:rsidRDefault="006D0802" w:rsidP="001F4E33">
            <w:pPr>
              <w:spacing w:line="360" w:lineRule="auto"/>
              <w:rPr>
                <w:rFonts w:cs="Arial"/>
                <w:color w:val="000000"/>
                <w:sz w:val="22"/>
                <w:szCs w:val="22"/>
              </w:rPr>
            </w:pPr>
            <w:r w:rsidRPr="001F4E33">
              <w:rPr>
                <w:rFonts w:cs="Arial"/>
                <w:color w:val="000000"/>
                <w:sz w:val="22"/>
                <w:szCs w:val="22"/>
              </w:rPr>
              <w:t>C</w:t>
            </w:r>
          </w:p>
        </w:tc>
        <w:tc>
          <w:tcPr>
            <w:tcW w:w="2126" w:type="dxa"/>
          </w:tcPr>
          <w:p w14:paraId="7CBE6B11" w14:textId="77777777" w:rsidR="006D0802" w:rsidRPr="001F4E33" w:rsidRDefault="006D0802" w:rsidP="001F4E33">
            <w:pPr>
              <w:spacing w:line="360" w:lineRule="auto"/>
              <w:jc w:val="right"/>
              <w:rPr>
                <w:rFonts w:cs="Arial"/>
                <w:sz w:val="22"/>
                <w:szCs w:val="22"/>
              </w:rPr>
            </w:pPr>
            <w:r w:rsidRPr="001F4E33">
              <w:rPr>
                <w:rFonts w:cs="Arial"/>
                <w:sz w:val="22"/>
                <w:szCs w:val="22"/>
              </w:rPr>
              <w:t>13.1%</w:t>
            </w:r>
          </w:p>
        </w:tc>
        <w:tc>
          <w:tcPr>
            <w:tcW w:w="5335" w:type="dxa"/>
          </w:tcPr>
          <w:p w14:paraId="301E59EC" w14:textId="77777777" w:rsidR="006D0802" w:rsidRPr="001F4E33" w:rsidRDefault="001F4E33" w:rsidP="001F4E33">
            <w:pPr>
              <w:spacing w:line="360" w:lineRule="auto"/>
              <w:rPr>
                <w:rFonts w:cs="Arial"/>
                <w:color w:val="000000"/>
                <w:sz w:val="22"/>
                <w:szCs w:val="22"/>
              </w:rPr>
            </w:pPr>
            <w:r w:rsidRPr="001F4E33">
              <w:rPr>
                <w:rFonts w:cs="Arial"/>
                <w:color w:val="000000"/>
                <w:sz w:val="22"/>
                <w:szCs w:val="22"/>
              </w:rPr>
              <w:t>Above cost of capital</w:t>
            </w:r>
          </w:p>
        </w:tc>
      </w:tr>
    </w:tbl>
    <w:p w14:paraId="374BD840" w14:textId="77777777" w:rsidR="001F4E33" w:rsidRDefault="001F4E33" w:rsidP="001F4E33">
      <w:pPr>
        <w:spacing w:line="360" w:lineRule="auto"/>
        <w:rPr>
          <w:rFonts w:cs="Arial"/>
          <w:sz w:val="22"/>
          <w:szCs w:val="22"/>
        </w:rPr>
      </w:pPr>
      <w:r w:rsidRPr="001F4E33">
        <w:rPr>
          <w:rFonts w:cs="Arial"/>
          <w:sz w:val="22"/>
          <w:szCs w:val="22"/>
        </w:rPr>
        <w:t>It is a measure of the discount rate at which the NPV of a project will turn out to be zero, which will give a percentage of returns that can be directly compared with the required returns of the firm (Petty et al., 2015). Of the three projects, Project C has the highest IRR, 13.1 per cent, which is higher than the cost of capital of the firm (10%) and also higher than the returns given by Projects A and B. Project C has an average IRR of 11.6, which is still attractive, but lower than that of Project C. Project B, however, does not have a positive NPV at all discount rates. Hence, according to IRR, Project C is the best choice as it has the highest potential return and value addition to shareholders. Nevertheless, the primary weakness of IRR is that it can be misleading when applied to projects with nonstandard cash flows or that compare mutually exclusive projects of varying magnitude (Brigham and Houston, 2021).</w:t>
      </w:r>
    </w:p>
    <w:p w14:paraId="73B3F107" w14:textId="77777777" w:rsidR="00396AB5" w:rsidRDefault="00C7113C" w:rsidP="00C7113C">
      <w:pPr>
        <w:pStyle w:val="Heading2"/>
      </w:pPr>
      <w:bookmarkStart w:id="20" w:name="_Toc216386211"/>
      <w:r>
        <w:t>Investment Recommendation</w:t>
      </w:r>
      <w:bookmarkEnd w:id="20"/>
    </w:p>
    <w:p w14:paraId="59329B51" w14:textId="77777777" w:rsidR="00C7113C" w:rsidRDefault="00C7113C" w:rsidP="00C7113C">
      <w:pPr>
        <w:spacing w:line="360" w:lineRule="auto"/>
        <w:rPr>
          <w:rFonts w:cs="Arial"/>
          <w:sz w:val="22"/>
          <w:szCs w:val="22"/>
        </w:rPr>
      </w:pPr>
      <w:r w:rsidRPr="00C7113C">
        <w:rPr>
          <w:rFonts w:cs="Arial"/>
          <w:sz w:val="22"/>
          <w:szCs w:val="22"/>
        </w:rPr>
        <w:t xml:space="preserve">According to the comparative analysis of investment appraisal, Project C proves to be the most viable project in consideration of the current financial constraints and strategic priorities of GE. Whereas Project A performs well </w:t>
      </w:r>
      <w:r w:rsidR="0055642C">
        <w:rPr>
          <w:rFonts w:cs="Arial"/>
          <w:sz w:val="22"/>
          <w:szCs w:val="22"/>
        </w:rPr>
        <w:t>in</w:t>
      </w:r>
      <w:r w:rsidRPr="00C7113C">
        <w:rPr>
          <w:rFonts w:cs="Arial"/>
          <w:sz w:val="22"/>
          <w:szCs w:val="22"/>
        </w:rPr>
        <w:t xml:space="preserve"> the PBP, Project C dominates the alternatives on value-based metrics, specifically </w:t>
      </w:r>
      <w:r w:rsidR="0055642C">
        <w:rPr>
          <w:rFonts w:cs="Arial"/>
          <w:sz w:val="22"/>
          <w:szCs w:val="22"/>
        </w:rPr>
        <w:t xml:space="preserve">ARR, </w:t>
      </w:r>
      <w:r w:rsidRPr="00C7113C">
        <w:rPr>
          <w:rFonts w:cs="Arial"/>
          <w:sz w:val="22"/>
          <w:szCs w:val="22"/>
        </w:rPr>
        <w:t>NPV, PI, and IRR, which are often regarded as the best indicators of shareholder value creation (Brigham &amp; Houston, 2021). The IRR of project C is still considerably greater than the 10 per cent cost of capital, which implies a high profitability potential even in unstable discount rates. Furthermore, it has the highest NPV compared to the other two projects. Project C also meets the investment capacity under capital rationing of £60m. Notably, despite the fact that Project C has a lower early cash recovery than Project A, its higher and growing cash flows in the later years coincide with the requirement of GE to restore long-term value after recent drops in profitability, liquidity, and asset turnover. Hence, Project C is the most strategically aligned investment option given the distressed financial status of GE.</w:t>
      </w:r>
    </w:p>
    <w:p w14:paraId="057D6359" w14:textId="77777777" w:rsidR="00C7113C" w:rsidRDefault="00C7113C">
      <w:pPr>
        <w:rPr>
          <w:rFonts w:cs="Arial"/>
          <w:sz w:val="22"/>
          <w:szCs w:val="22"/>
        </w:rPr>
      </w:pPr>
      <w:r>
        <w:rPr>
          <w:rFonts w:cs="Arial"/>
          <w:sz w:val="22"/>
          <w:szCs w:val="22"/>
        </w:rPr>
        <w:br w:type="page"/>
      </w:r>
    </w:p>
    <w:p w14:paraId="3658F68B" w14:textId="77777777" w:rsidR="00C7113C" w:rsidRDefault="00C7113C" w:rsidP="0055642C">
      <w:pPr>
        <w:pStyle w:val="Heading1"/>
      </w:pPr>
      <w:bookmarkStart w:id="21" w:name="_Toc216386212"/>
      <w:r>
        <w:t>Conclusions</w:t>
      </w:r>
      <w:bookmarkEnd w:id="21"/>
    </w:p>
    <w:p w14:paraId="0DF70898" w14:textId="77777777" w:rsidR="007A0C75" w:rsidRDefault="0055642C" w:rsidP="0055642C">
      <w:pPr>
        <w:spacing w:line="360" w:lineRule="auto"/>
        <w:rPr>
          <w:rFonts w:cs="Arial"/>
          <w:sz w:val="22"/>
          <w:szCs w:val="22"/>
        </w:rPr>
      </w:pPr>
      <w:r w:rsidRPr="0055642C">
        <w:rPr>
          <w:rFonts w:cs="Arial"/>
          <w:sz w:val="22"/>
          <w:szCs w:val="22"/>
        </w:rPr>
        <w:t xml:space="preserve">The financial performance analysis of GE </w:t>
      </w:r>
      <w:r w:rsidR="00D57024">
        <w:rPr>
          <w:rFonts w:cs="Arial"/>
          <w:sz w:val="22"/>
          <w:szCs w:val="22"/>
        </w:rPr>
        <w:t>from</w:t>
      </w:r>
      <w:r w:rsidRPr="0055642C">
        <w:rPr>
          <w:rFonts w:cs="Arial"/>
          <w:sz w:val="22"/>
          <w:szCs w:val="22"/>
        </w:rPr>
        <w:t xml:space="preserve"> 2020-2024 </w:t>
      </w:r>
      <w:r w:rsidR="00D57024">
        <w:rPr>
          <w:rFonts w:cs="Arial"/>
          <w:sz w:val="22"/>
          <w:szCs w:val="22"/>
        </w:rPr>
        <w:t>demonstrates that the</w:t>
      </w:r>
      <w:r w:rsidRPr="0055642C">
        <w:rPr>
          <w:rFonts w:cs="Arial"/>
          <w:sz w:val="22"/>
          <w:szCs w:val="22"/>
        </w:rPr>
        <w:t xml:space="preserve"> company </w:t>
      </w:r>
      <w:r w:rsidR="00D57024">
        <w:rPr>
          <w:rFonts w:cs="Arial"/>
          <w:sz w:val="22"/>
          <w:szCs w:val="22"/>
        </w:rPr>
        <w:t xml:space="preserve">is </w:t>
      </w:r>
      <w:r w:rsidRPr="0055642C">
        <w:rPr>
          <w:rFonts w:cs="Arial"/>
          <w:sz w:val="22"/>
          <w:szCs w:val="22"/>
        </w:rPr>
        <w:t xml:space="preserve">in severe, though solvable, financial distress. The profitability analysis demonstrates that the gross, operating, and net margins dropped drastically due to decreasing revenues, cost increases, and decreased operational efficiency. The liquidity stresses are reflected in the worsening of the quick and current ratios, whereas the cash operating cycle demonstrates the continued inefficiencies in the management of receivables and inventory. The gearing analysis also depicts the increasing leverage and decreasing interest coverage, which are indicative of the significant solvency risk. The analysis of working capital of the company also revealed that </w:t>
      </w:r>
      <w:r w:rsidR="00D57024">
        <w:rPr>
          <w:rFonts w:cs="Arial"/>
          <w:sz w:val="22"/>
          <w:szCs w:val="22"/>
        </w:rPr>
        <w:t>pro</w:t>
      </w:r>
      <w:r w:rsidRPr="0055642C">
        <w:rPr>
          <w:rFonts w:cs="Arial"/>
          <w:sz w:val="22"/>
          <w:szCs w:val="22"/>
        </w:rPr>
        <w:t>long</w:t>
      </w:r>
      <w:r w:rsidR="00D57024">
        <w:rPr>
          <w:rFonts w:cs="Arial"/>
          <w:sz w:val="22"/>
          <w:szCs w:val="22"/>
        </w:rPr>
        <w:t>ed</w:t>
      </w:r>
      <w:r w:rsidRPr="0055642C">
        <w:rPr>
          <w:rFonts w:cs="Arial"/>
          <w:sz w:val="22"/>
          <w:szCs w:val="22"/>
        </w:rPr>
        <w:t xml:space="preserve"> receivable and inventory turnover, coupled with shortening of payable days, have made the cash unavailable when it is most required. Consequently, the company was suggested to make reforms, such as the tightening of credit control, inventory rationalisation, dynamic discounting, and a more balanced approach of short- and long-term financing, which would offer realistic exit points towards stabilisation of operational cash flow and a renewed sense of liquidity discipline. There were also strategic restructuring alternatives, including the sale of non-core assets, equity injection, selective mergers, and global tax-effective financing, that were found to fortify the balance sheet, enhance shareholder value, and re-establish financial strength. Moreover, the investment opportunities of the company were evaluated carefully to support the greater strategic necessity of focusing on investments that would provide the company with a significant future competitive advantage. Hence, the report shows that the shareholder value can be maintained in GE with an integrated turnaround plan that is both financially sound, internationally receptive, and morally accountable.</w:t>
      </w:r>
    </w:p>
    <w:p w14:paraId="59115761" w14:textId="77777777" w:rsidR="007A0C75" w:rsidRDefault="007A0C75">
      <w:pPr>
        <w:rPr>
          <w:rFonts w:cs="Arial"/>
          <w:sz w:val="22"/>
          <w:szCs w:val="22"/>
        </w:rPr>
      </w:pPr>
      <w:r>
        <w:rPr>
          <w:rFonts w:cs="Arial"/>
          <w:sz w:val="22"/>
          <w:szCs w:val="22"/>
        </w:rPr>
        <w:br w:type="page"/>
      </w:r>
    </w:p>
    <w:p w14:paraId="09520BDE" w14:textId="77777777" w:rsidR="007A0C75" w:rsidRDefault="007A0C75" w:rsidP="007A0C75">
      <w:pPr>
        <w:pStyle w:val="Heading1"/>
        <w:rPr>
          <w:shd w:val="clear" w:color="auto" w:fill="FFFFFF"/>
        </w:rPr>
      </w:pPr>
      <w:bookmarkStart w:id="22" w:name="_Toc216386213"/>
      <w:r>
        <w:rPr>
          <w:shd w:val="clear" w:color="auto" w:fill="FFFFFF"/>
        </w:rPr>
        <w:t>References</w:t>
      </w:r>
      <w:bookmarkEnd w:id="22"/>
    </w:p>
    <w:p w14:paraId="2B9DFF25"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Aminah, L.S., 2021. The Effect of Current Ratio, Net Profit Margin, and Return on Assets on Stock Return. </w:t>
      </w:r>
      <w:r w:rsidRPr="007A0C75">
        <w:rPr>
          <w:rFonts w:cs="Arial"/>
          <w:i/>
          <w:iCs/>
          <w:color w:val="222222"/>
          <w:sz w:val="22"/>
          <w:szCs w:val="22"/>
          <w:shd w:val="clear" w:color="auto" w:fill="FFFFFF"/>
        </w:rPr>
        <w:t>Journal of Management, Accounting, General Finance and International Economic Issues</w:t>
      </w:r>
      <w:r w:rsidRPr="007A0C75">
        <w:rPr>
          <w:rFonts w:cs="Arial"/>
          <w:color w:val="222222"/>
          <w:sz w:val="22"/>
          <w:szCs w:val="22"/>
          <w:shd w:val="clear" w:color="auto" w:fill="FFFFFF"/>
        </w:rPr>
        <w:t>, </w:t>
      </w:r>
      <w:r w:rsidRPr="007A0C75">
        <w:rPr>
          <w:rFonts w:cs="Arial"/>
          <w:i/>
          <w:iCs/>
          <w:color w:val="222222"/>
          <w:sz w:val="22"/>
          <w:szCs w:val="22"/>
          <w:shd w:val="clear" w:color="auto" w:fill="FFFFFF"/>
        </w:rPr>
        <w:t>1</w:t>
      </w:r>
      <w:r w:rsidRPr="007A0C75">
        <w:rPr>
          <w:rFonts w:cs="Arial"/>
          <w:color w:val="222222"/>
          <w:sz w:val="22"/>
          <w:szCs w:val="22"/>
          <w:shd w:val="clear" w:color="auto" w:fill="FFFFFF"/>
        </w:rPr>
        <w:t>(1), pp.1-9.</w:t>
      </w:r>
    </w:p>
    <w:p w14:paraId="6751EA75" w14:textId="77777777" w:rsidR="007A0C75" w:rsidRPr="007A0C75" w:rsidRDefault="007A0C75" w:rsidP="007A0C75">
      <w:pPr>
        <w:spacing w:line="360" w:lineRule="auto"/>
        <w:rPr>
          <w:rFonts w:cs="Arial"/>
          <w:sz w:val="22"/>
          <w:szCs w:val="22"/>
        </w:rPr>
      </w:pPr>
      <w:proofErr w:type="spellStart"/>
      <w:r w:rsidRPr="007A0C75">
        <w:rPr>
          <w:rFonts w:cs="Arial"/>
          <w:sz w:val="22"/>
          <w:szCs w:val="22"/>
        </w:rPr>
        <w:t>Atrill</w:t>
      </w:r>
      <w:proofErr w:type="spellEnd"/>
      <w:r w:rsidRPr="007A0C75">
        <w:rPr>
          <w:rFonts w:cs="Arial"/>
          <w:sz w:val="22"/>
          <w:szCs w:val="22"/>
        </w:rPr>
        <w:t xml:space="preserve">, P. and McLaney, E. (2008) </w:t>
      </w:r>
      <w:r w:rsidRPr="007A0C75">
        <w:rPr>
          <w:rFonts w:cs="Arial"/>
          <w:i/>
          <w:iCs/>
          <w:sz w:val="22"/>
          <w:szCs w:val="22"/>
        </w:rPr>
        <w:t>Accounting and Finance for Non-Specialists</w:t>
      </w:r>
      <w:r w:rsidRPr="007A0C75">
        <w:rPr>
          <w:rFonts w:cs="Arial"/>
          <w:sz w:val="22"/>
          <w:szCs w:val="22"/>
        </w:rPr>
        <w:t>. 6th ed. FT Prentice Hall.</w:t>
      </w:r>
    </w:p>
    <w:p w14:paraId="4C9C774D" w14:textId="77777777" w:rsidR="007A0C75" w:rsidRPr="007A0C75" w:rsidRDefault="007A0C75" w:rsidP="007A0C75">
      <w:pPr>
        <w:spacing w:line="360" w:lineRule="auto"/>
        <w:rPr>
          <w:rFonts w:cs="Arial"/>
          <w:sz w:val="22"/>
          <w:szCs w:val="22"/>
        </w:rPr>
      </w:pPr>
      <w:r w:rsidRPr="007A0C75">
        <w:rPr>
          <w:rFonts w:cs="Arial"/>
          <w:sz w:val="22"/>
          <w:szCs w:val="22"/>
        </w:rPr>
        <w:t xml:space="preserve">Brigham, E.F. and Houston, J.F. (2021) </w:t>
      </w:r>
      <w:r w:rsidRPr="007A0C75">
        <w:rPr>
          <w:rFonts w:cs="Arial"/>
          <w:i/>
          <w:iCs/>
          <w:sz w:val="22"/>
          <w:szCs w:val="22"/>
        </w:rPr>
        <w:t>Fundamentals of financial management</w:t>
      </w:r>
      <w:r w:rsidRPr="007A0C75">
        <w:rPr>
          <w:rFonts w:cs="Arial"/>
          <w:sz w:val="22"/>
          <w:szCs w:val="22"/>
        </w:rPr>
        <w:t xml:space="preserve">. Cengage Learning. </w:t>
      </w:r>
    </w:p>
    <w:p w14:paraId="299994EC"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Brinster, L., 2021. The role of related strategic alliances before mergers and acquisitions. </w:t>
      </w:r>
      <w:r w:rsidRPr="007A0C75">
        <w:rPr>
          <w:rFonts w:cs="Arial"/>
          <w:i/>
          <w:iCs/>
          <w:color w:val="222222"/>
          <w:sz w:val="22"/>
          <w:szCs w:val="22"/>
          <w:shd w:val="clear" w:color="auto" w:fill="FFFFFF"/>
        </w:rPr>
        <w:t>SN Business &amp; Economics</w:t>
      </w:r>
      <w:r w:rsidRPr="007A0C75">
        <w:rPr>
          <w:rFonts w:cs="Arial"/>
          <w:color w:val="222222"/>
          <w:sz w:val="22"/>
          <w:szCs w:val="22"/>
          <w:shd w:val="clear" w:color="auto" w:fill="FFFFFF"/>
        </w:rPr>
        <w:t>, </w:t>
      </w:r>
      <w:r w:rsidRPr="007A0C75">
        <w:rPr>
          <w:rFonts w:cs="Arial"/>
          <w:i/>
          <w:iCs/>
          <w:color w:val="222222"/>
          <w:sz w:val="22"/>
          <w:szCs w:val="22"/>
          <w:shd w:val="clear" w:color="auto" w:fill="FFFFFF"/>
        </w:rPr>
        <w:t>1</w:t>
      </w:r>
      <w:r w:rsidRPr="007A0C75">
        <w:rPr>
          <w:rFonts w:cs="Arial"/>
          <w:color w:val="222222"/>
          <w:sz w:val="22"/>
          <w:szCs w:val="22"/>
          <w:shd w:val="clear" w:color="auto" w:fill="FFFFFF"/>
        </w:rPr>
        <w:t>(10), p.126.</w:t>
      </w:r>
    </w:p>
    <w:p w14:paraId="03F2F44F" w14:textId="77777777" w:rsidR="007A0C75" w:rsidRPr="007A0C75" w:rsidRDefault="007A0C75" w:rsidP="007A0C75">
      <w:pPr>
        <w:spacing w:line="360" w:lineRule="auto"/>
        <w:rPr>
          <w:rFonts w:cs="Arial"/>
          <w:sz w:val="22"/>
          <w:szCs w:val="22"/>
        </w:rPr>
      </w:pPr>
      <w:r w:rsidRPr="007A0C75">
        <w:rPr>
          <w:rFonts w:cs="Arial"/>
          <w:sz w:val="22"/>
          <w:szCs w:val="22"/>
        </w:rPr>
        <w:t xml:space="preserve">Collier, P. M. (2012). </w:t>
      </w:r>
      <w:r w:rsidRPr="007A0C75">
        <w:rPr>
          <w:rFonts w:cs="Arial"/>
          <w:i/>
          <w:iCs/>
          <w:sz w:val="22"/>
          <w:szCs w:val="22"/>
        </w:rPr>
        <w:t>Accounting for Managers</w:t>
      </w:r>
      <w:r w:rsidRPr="007A0C75">
        <w:rPr>
          <w:rFonts w:cs="Arial"/>
          <w:sz w:val="22"/>
          <w:szCs w:val="22"/>
        </w:rPr>
        <w:t xml:space="preserve">. 4th ed. Chichester: Wiley </w:t>
      </w:r>
    </w:p>
    <w:p w14:paraId="1A93349F" w14:textId="77777777" w:rsidR="007A0C75" w:rsidRPr="007A0C75" w:rsidRDefault="007A0C75" w:rsidP="007A0C75">
      <w:pPr>
        <w:spacing w:line="360" w:lineRule="auto"/>
        <w:rPr>
          <w:rFonts w:cs="Arial"/>
          <w:sz w:val="22"/>
          <w:szCs w:val="22"/>
        </w:rPr>
      </w:pPr>
      <w:r w:rsidRPr="007A0C75">
        <w:rPr>
          <w:rFonts w:cs="Arial"/>
          <w:sz w:val="22"/>
          <w:szCs w:val="22"/>
        </w:rPr>
        <w:t xml:space="preserve">Drury, C. (2008) </w:t>
      </w:r>
      <w:r w:rsidRPr="007A0C75">
        <w:rPr>
          <w:rFonts w:cs="Arial"/>
          <w:i/>
          <w:iCs/>
          <w:sz w:val="22"/>
          <w:szCs w:val="22"/>
        </w:rPr>
        <w:t>Management and Cost Accounting</w:t>
      </w:r>
      <w:r w:rsidRPr="007A0C75">
        <w:rPr>
          <w:rFonts w:cs="Arial"/>
          <w:sz w:val="22"/>
          <w:szCs w:val="22"/>
        </w:rPr>
        <w:t xml:space="preserve">. 7th ed. Southwestern Cengage Learning </w:t>
      </w:r>
    </w:p>
    <w:p w14:paraId="1C567AE6" w14:textId="77777777" w:rsidR="007A0C75" w:rsidRPr="007A0C75" w:rsidRDefault="007A0C75" w:rsidP="007A0C75">
      <w:pPr>
        <w:spacing w:line="360" w:lineRule="auto"/>
        <w:rPr>
          <w:rFonts w:cs="Arial"/>
          <w:sz w:val="22"/>
          <w:szCs w:val="22"/>
        </w:rPr>
      </w:pPr>
      <w:r w:rsidRPr="007A0C75">
        <w:rPr>
          <w:rFonts w:cs="Arial"/>
          <w:color w:val="222222"/>
          <w:sz w:val="22"/>
          <w:szCs w:val="22"/>
          <w:shd w:val="clear" w:color="auto" w:fill="FFFFFF"/>
        </w:rPr>
        <w:t xml:space="preserve">Feldman, E.R. and </w:t>
      </w:r>
      <w:proofErr w:type="spellStart"/>
      <w:r w:rsidRPr="007A0C75">
        <w:rPr>
          <w:rFonts w:cs="Arial"/>
          <w:color w:val="222222"/>
          <w:sz w:val="22"/>
          <w:szCs w:val="22"/>
          <w:shd w:val="clear" w:color="auto" w:fill="FFFFFF"/>
        </w:rPr>
        <w:t>Sakhartov</w:t>
      </w:r>
      <w:proofErr w:type="spellEnd"/>
      <w:r w:rsidRPr="007A0C75">
        <w:rPr>
          <w:rFonts w:cs="Arial"/>
          <w:color w:val="222222"/>
          <w:sz w:val="22"/>
          <w:szCs w:val="22"/>
          <w:shd w:val="clear" w:color="auto" w:fill="FFFFFF"/>
        </w:rPr>
        <w:t>, A.V., 2022. Resource redeployment and divestiture as strategic alternatives. </w:t>
      </w:r>
      <w:r w:rsidRPr="007A0C75">
        <w:rPr>
          <w:rFonts w:cs="Arial"/>
          <w:i/>
          <w:iCs/>
          <w:color w:val="222222"/>
          <w:sz w:val="22"/>
          <w:szCs w:val="22"/>
          <w:shd w:val="clear" w:color="auto" w:fill="FFFFFF"/>
        </w:rPr>
        <w:t>Organization Science</w:t>
      </w:r>
      <w:r w:rsidRPr="007A0C75">
        <w:rPr>
          <w:rFonts w:cs="Arial"/>
          <w:color w:val="222222"/>
          <w:sz w:val="22"/>
          <w:szCs w:val="22"/>
          <w:shd w:val="clear" w:color="auto" w:fill="FFFFFF"/>
        </w:rPr>
        <w:t>, </w:t>
      </w:r>
      <w:r w:rsidRPr="007A0C75">
        <w:rPr>
          <w:rFonts w:cs="Arial"/>
          <w:i/>
          <w:iCs/>
          <w:color w:val="222222"/>
          <w:sz w:val="22"/>
          <w:szCs w:val="22"/>
          <w:shd w:val="clear" w:color="auto" w:fill="FFFFFF"/>
        </w:rPr>
        <w:t>33</w:t>
      </w:r>
      <w:r w:rsidRPr="007A0C75">
        <w:rPr>
          <w:rFonts w:cs="Arial"/>
          <w:color w:val="222222"/>
          <w:sz w:val="22"/>
          <w:szCs w:val="22"/>
          <w:shd w:val="clear" w:color="auto" w:fill="FFFFFF"/>
        </w:rPr>
        <w:t>(3), pp.926-945.</w:t>
      </w:r>
      <w:r w:rsidRPr="007A0C75">
        <w:rPr>
          <w:rFonts w:cs="Arial"/>
          <w:sz w:val="22"/>
          <w:szCs w:val="22"/>
        </w:rPr>
        <w:t xml:space="preserve"> </w:t>
      </w:r>
    </w:p>
    <w:p w14:paraId="3CB599CE" w14:textId="77777777" w:rsidR="007A0C75" w:rsidRPr="007A0C75" w:rsidRDefault="007A0C75" w:rsidP="007A0C75">
      <w:pPr>
        <w:spacing w:line="360" w:lineRule="auto"/>
        <w:rPr>
          <w:rFonts w:cs="Arial"/>
          <w:sz w:val="22"/>
          <w:szCs w:val="22"/>
        </w:rPr>
      </w:pPr>
      <w:r w:rsidRPr="007A0C75">
        <w:rPr>
          <w:rFonts w:cs="Arial"/>
          <w:sz w:val="22"/>
          <w:szCs w:val="22"/>
        </w:rPr>
        <w:t xml:space="preserve">GE, 2024. </w:t>
      </w:r>
      <w:r w:rsidRPr="007A0C75">
        <w:rPr>
          <w:rStyle w:val="Emphasis"/>
          <w:rFonts w:eastAsiaTheme="majorEastAsia" w:cs="Arial"/>
          <w:sz w:val="22"/>
          <w:szCs w:val="22"/>
        </w:rPr>
        <w:t>2023 Annual Report</w:t>
      </w:r>
      <w:r w:rsidRPr="007A0C75">
        <w:rPr>
          <w:rFonts w:cs="Arial"/>
          <w:sz w:val="22"/>
          <w:szCs w:val="22"/>
        </w:rPr>
        <w:t xml:space="preserve">. GE. Available at: </w:t>
      </w:r>
      <w:hyperlink r:id="rId24" w:tgtFrame="_new" w:history="1">
        <w:r w:rsidRPr="007A0C75">
          <w:rPr>
            <w:rStyle w:val="Hyperlink"/>
            <w:rFonts w:eastAsiaTheme="majorEastAsia" w:cs="Arial"/>
            <w:sz w:val="22"/>
            <w:szCs w:val="22"/>
          </w:rPr>
          <w:t>https://www.ge.com/sites/default/files/ge_ar2023_annualreport.pdf</w:t>
        </w:r>
      </w:hyperlink>
      <w:r w:rsidRPr="007A0C75">
        <w:rPr>
          <w:rFonts w:cs="Arial"/>
          <w:sz w:val="22"/>
          <w:szCs w:val="22"/>
        </w:rPr>
        <w:t xml:space="preserve"> (Accessed: 8 December 2025).</w:t>
      </w:r>
    </w:p>
    <w:p w14:paraId="1DDA3BEB" w14:textId="77777777" w:rsidR="007A0C75" w:rsidRPr="007A0C75" w:rsidRDefault="007A0C75" w:rsidP="007A0C75">
      <w:pPr>
        <w:spacing w:line="360" w:lineRule="auto"/>
        <w:rPr>
          <w:rFonts w:cs="Arial"/>
          <w:sz w:val="22"/>
          <w:szCs w:val="22"/>
        </w:rPr>
      </w:pPr>
      <w:bookmarkStart w:id="23" w:name="OLE_LINK3"/>
      <w:r w:rsidRPr="007A0C75">
        <w:rPr>
          <w:rFonts w:cs="Arial"/>
          <w:color w:val="222222"/>
          <w:sz w:val="22"/>
          <w:szCs w:val="22"/>
          <w:shd w:val="clear" w:color="auto" w:fill="FFFFFF"/>
        </w:rPr>
        <w:t>Kithinji, M., 2022. Effect of account payable management on financial performance of public universities in Kenya. </w:t>
      </w:r>
      <w:r w:rsidRPr="007A0C75">
        <w:rPr>
          <w:rFonts w:cs="Arial"/>
          <w:i/>
          <w:iCs/>
          <w:color w:val="222222"/>
          <w:sz w:val="22"/>
          <w:szCs w:val="22"/>
          <w:shd w:val="clear" w:color="auto" w:fill="FFFFFF"/>
        </w:rPr>
        <w:t>Reviewed Journal International of Business Management [ISSN 2663-127X]</w:t>
      </w:r>
      <w:r w:rsidRPr="007A0C75">
        <w:rPr>
          <w:rFonts w:cs="Arial"/>
          <w:color w:val="222222"/>
          <w:sz w:val="22"/>
          <w:szCs w:val="22"/>
          <w:shd w:val="clear" w:color="auto" w:fill="FFFFFF"/>
        </w:rPr>
        <w:t>.</w:t>
      </w:r>
      <w:r w:rsidRPr="007A0C75">
        <w:rPr>
          <w:rFonts w:cs="Arial"/>
          <w:sz w:val="22"/>
          <w:szCs w:val="22"/>
        </w:rPr>
        <w:t xml:space="preserve"> </w:t>
      </w:r>
    </w:p>
    <w:p w14:paraId="5839762B"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 xml:space="preserve">Malik, A., Sinha, P., </w:t>
      </w:r>
      <w:proofErr w:type="spellStart"/>
      <w:r w:rsidRPr="007A0C75">
        <w:rPr>
          <w:rFonts w:cs="Arial"/>
          <w:color w:val="222222"/>
          <w:sz w:val="22"/>
          <w:szCs w:val="22"/>
          <w:shd w:val="clear" w:color="auto" w:fill="FFFFFF"/>
        </w:rPr>
        <w:t>Budhwar</w:t>
      </w:r>
      <w:proofErr w:type="spellEnd"/>
      <w:r w:rsidRPr="007A0C75">
        <w:rPr>
          <w:rFonts w:cs="Arial"/>
          <w:color w:val="222222"/>
          <w:sz w:val="22"/>
          <w:szCs w:val="22"/>
          <w:shd w:val="clear" w:color="auto" w:fill="FFFFFF"/>
        </w:rPr>
        <w:t>, P. and Pereira, V., 2023. Managing legitimacy in a cross-border post-merger integration context: the role of language strategies. </w:t>
      </w:r>
      <w:r w:rsidRPr="007A0C75">
        <w:rPr>
          <w:rFonts w:cs="Arial"/>
          <w:i/>
          <w:iCs/>
          <w:color w:val="222222"/>
          <w:sz w:val="22"/>
          <w:szCs w:val="22"/>
          <w:shd w:val="clear" w:color="auto" w:fill="FFFFFF"/>
        </w:rPr>
        <w:t xml:space="preserve">The </w:t>
      </w:r>
      <w:proofErr w:type="spellStart"/>
      <w:r w:rsidRPr="007A0C75">
        <w:rPr>
          <w:rFonts w:cs="Arial"/>
          <w:i/>
          <w:iCs/>
          <w:color w:val="222222"/>
          <w:sz w:val="22"/>
          <w:szCs w:val="22"/>
          <w:shd w:val="clear" w:color="auto" w:fill="FFFFFF"/>
        </w:rPr>
        <w:t>InTernaTIonal</w:t>
      </w:r>
      <w:proofErr w:type="spellEnd"/>
      <w:r w:rsidRPr="007A0C75">
        <w:rPr>
          <w:rFonts w:cs="Arial"/>
          <w:i/>
          <w:iCs/>
          <w:color w:val="222222"/>
          <w:sz w:val="22"/>
          <w:szCs w:val="22"/>
          <w:shd w:val="clear" w:color="auto" w:fill="FFFFFF"/>
        </w:rPr>
        <w:t xml:space="preserve"> Journal of human resource </w:t>
      </w:r>
      <w:proofErr w:type="spellStart"/>
      <w:r w:rsidRPr="007A0C75">
        <w:rPr>
          <w:rFonts w:cs="Arial"/>
          <w:i/>
          <w:iCs/>
          <w:color w:val="222222"/>
          <w:sz w:val="22"/>
          <w:szCs w:val="22"/>
          <w:shd w:val="clear" w:color="auto" w:fill="FFFFFF"/>
        </w:rPr>
        <w:t>managemenT</w:t>
      </w:r>
      <w:proofErr w:type="spellEnd"/>
      <w:r w:rsidRPr="007A0C75">
        <w:rPr>
          <w:rFonts w:cs="Arial"/>
          <w:color w:val="222222"/>
          <w:sz w:val="22"/>
          <w:szCs w:val="22"/>
          <w:shd w:val="clear" w:color="auto" w:fill="FFFFFF"/>
        </w:rPr>
        <w:t>, </w:t>
      </w:r>
      <w:r w:rsidRPr="007A0C75">
        <w:rPr>
          <w:rFonts w:cs="Arial"/>
          <w:i/>
          <w:iCs/>
          <w:color w:val="222222"/>
          <w:sz w:val="22"/>
          <w:szCs w:val="22"/>
          <w:shd w:val="clear" w:color="auto" w:fill="FFFFFF"/>
        </w:rPr>
        <w:t>34</w:t>
      </w:r>
      <w:r w:rsidRPr="007A0C75">
        <w:rPr>
          <w:rFonts w:cs="Arial"/>
          <w:color w:val="222222"/>
          <w:sz w:val="22"/>
          <w:szCs w:val="22"/>
          <w:shd w:val="clear" w:color="auto" w:fill="FFFFFF"/>
        </w:rPr>
        <w:t>(21), pp.4144-4174.</w:t>
      </w:r>
    </w:p>
    <w:p w14:paraId="2F773A9F"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 xml:space="preserve">Niu, Y., Werle, N., Cohen, M., Cui, S., Deshpande, V., Ernst, R., </w:t>
      </w:r>
      <w:proofErr w:type="spellStart"/>
      <w:r w:rsidRPr="007A0C75">
        <w:rPr>
          <w:rFonts w:cs="Arial"/>
          <w:color w:val="222222"/>
          <w:sz w:val="22"/>
          <w:szCs w:val="22"/>
          <w:shd w:val="clear" w:color="auto" w:fill="FFFFFF"/>
        </w:rPr>
        <w:t>Huchzermeier</w:t>
      </w:r>
      <w:proofErr w:type="spellEnd"/>
      <w:r w:rsidRPr="007A0C75">
        <w:rPr>
          <w:rFonts w:cs="Arial"/>
          <w:color w:val="222222"/>
          <w:sz w:val="22"/>
          <w:szCs w:val="22"/>
          <w:shd w:val="clear" w:color="auto" w:fill="FFFFFF"/>
        </w:rPr>
        <w:t>, A., Tsay, A.A. and Wu, J., 2025. Restructuring Global Supply Chains: Navigating Challenges of the COVID-19 Pandemic and Beyond. </w:t>
      </w:r>
      <w:r w:rsidRPr="007A0C75">
        <w:rPr>
          <w:rFonts w:cs="Arial"/>
          <w:i/>
          <w:iCs/>
          <w:color w:val="222222"/>
          <w:sz w:val="22"/>
          <w:szCs w:val="22"/>
          <w:shd w:val="clear" w:color="auto" w:fill="FFFFFF"/>
        </w:rPr>
        <w:t>Manufacturing &amp; Service Operations Management</w:t>
      </w:r>
      <w:r w:rsidRPr="007A0C75">
        <w:rPr>
          <w:rFonts w:cs="Arial"/>
          <w:color w:val="222222"/>
          <w:sz w:val="22"/>
          <w:szCs w:val="22"/>
          <w:shd w:val="clear" w:color="auto" w:fill="FFFFFF"/>
        </w:rPr>
        <w:t>.</w:t>
      </w:r>
    </w:p>
    <w:p w14:paraId="0C10A7ED"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Parrino, R., Bates, T.W., Gillan, S.L. and Kidwell, D.S., 2025. </w:t>
      </w:r>
      <w:r w:rsidRPr="007A0C75">
        <w:rPr>
          <w:rFonts w:cs="Arial"/>
          <w:i/>
          <w:iCs/>
          <w:color w:val="222222"/>
          <w:sz w:val="22"/>
          <w:szCs w:val="22"/>
          <w:shd w:val="clear" w:color="auto" w:fill="FFFFFF"/>
        </w:rPr>
        <w:t>Fundamentals of corporate finance</w:t>
      </w:r>
      <w:r w:rsidRPr="007A0C75">
        <w:rPr>
          <w:rFonts w:cs="Arial"/>
          <w:color w:val="222222"/>
          <w:sz w:val="22"/>
          <w:szCs w:val="22"/>
          <w:shd w:val="clear" w:color="auto" w:fill="FFFFFF"/>
        </w:rPr>
        <w:t>. John Wiley &amp; Sons.</w:t>
      </w:r>
    </w:p>
    <w:p w14:paraId="7606F17B"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sz w:val="22"/>
          <w:szCs w:val="22"/>
        </w:rPr>
        <w:t xml:space="preserve">Petty, J.W., Titman, S., Keown, A.J., Martin, P., Martin, J.D. and Burrow, M. (2015) </w:t>
      </w:r>
      <w:r w:rsidRPr="007A0C75">
        <w:rPr>
          <w:rFonts w:cs="Arial"/>
          <w:i/>
          <w:iCs/>
          <w:sz w:val="22"/>
          <w:szCs w:val="22"/>
        </w:rPr>
        <w:t>Financial management: Principles and applications.</w:t>
      </w:r>
      <w:r w:rsidRPr="007A0C75">
        <w:rPr>
          <w:rFonts w:cs="Arial"/>
          <w:sz w:val="22"/>
          <w:szCs w:val="22"/>
        </w:rPr>
        <w:t xml:space="preserve"> Pearson Higher Education AU</w:t>
      </w:r>
      <w:r w:rsidRPr="007A0C75">
        <w:rPr>
          <w:rFonts w:cs="Arial"/>
          <w:color w:val="222222"/>
          <w:sz w:val="22"/>
          <w:szCs w:val="22"/>
          <w:shd w:val="clear" w:color="auto" w:fill="FFFFFF"/>
        </w:rPr>
        <w:t xml:space="preserve"> </w:t>
      </w:r>
    </w:p>
    <w:p w14:paraId="036AF958" w14:textId="77777777" w:rsidR="007A0C75" w:rsidRPr="007A0C75" w:rsidRDefault="007A0C75" w:rsidP="007A0C75">
      <w:pPr>
        <w:spacing w:line="360" w:lineRule="auto"/>
        <w:rPr>
          <w:rFonts w:cs="Arial"/>
          <w:color w:val="222222"/>
          <w:sz w:val="22"/>
          <w:szCs w:val="22"/>
          <w:shd w:val="clear" w:color="auto" w:fill="FFFFFF"/>
        </w:rPr>
      </w:pPr>
      <w:proofErr w:type="spellStart"/>
      <w:r w:rsidRPr="007A0C75">
        <w:rPr>
          <w:rFonts w:cs="Arial"/>
          <w:color w:val="222222"/>
          <w:sz w:val="22"/>
          <w:szCs w:val="22"/>
          <w:shd w:val="clear" w:color="auto" w:fill="FFFFFF"/>
        </w:rPr>
        <w:t>Puspitasari</w:t>
      </w:r>
      <w:proofErr w:type="spellEnd"/>
      <w:r w:rsidRPr="007A0C75">
        <w:rPr>
          <w:rFonts w:cs="Arial"/>
          <w:color w:val="222222"/>
          <w:sz w:val="22"/>
          <w:szCs w:val="22"/>
          <w:shd w:val="clear" w:color="auto" w:fill="FFFFFF"/>
        </w:rPr>
        <w:t xml:space="preserve">, E., </w:t>
      </w:r>
      <w:proofErr w:type="spellStart"/>
      <w:r w:rsidRPr="007A0C75">
        <w:rPr>
          <w:rFonts w:cs="Arial"/>
          <w:color w:val="222222"/>
          <w:sz w:val="22"/>
          <w:szCs w:val="22"/>
          <w:shd w:val="clear" w:color="auto" w:fill="FFFFFF"/>
        </w:rPr>
        <w:t>Sudiyatno</w:t>
      </w:r>
      <w:proofErr w:type="spellEnd"/>
      <w:r w:rsidRPr="007A0C75">
        <w:rPr>
          <w:rFonts w:cs="Arial"/>
          <w:color w:val="222222"/>
          <w:sz w:val="22"/>
          <w:szCs w:val="22"/>
          <w:shd w:val="clear" w:color="auto" w:fill="FFFFFF"/>
        </w:rPr>
        <w:t xml:space="preserve">, B., </w:t>
      </w:r>
      <w:proofErr w:type="spellStart"/>
      <w:r w:rsidRPr="007A0C75">
        <w:rPr>
          <w:rFonts w:cs="Arial"/>
          <w:color w:val="222222"/>
          <w:sz w:val="22"/>
          <w:szCs w:val="22"/>
          <w:shd w:val="clear" w:color="auto" w:fill="FFFFFF"/>
        </w:rPr>
        <w:t>Hartoto</w:t>
      </w:r>
      <w:proofErr w:type="spellEnd"/>
      <w:r w:rsidRPr="007A0C75">
        <w:rPr>
          <w:rFonts w:cs="Arial"/>
          <w:color w:val="222222"/>
          <w:sz w:val="22"/>
          <w:szCs w:val="22"/>
          <w:shd w:val="clear" w:color="auto" w:fill="FFFFFF"/>
        </w:rPr>
        <w:t>, W.E. and WIDATI, L.W., 2021. Net interest margin and return on assets: A Case Study in Indonesia. </w:t>
      </w:r>
      <w:r w:rsidRPr="007A0C75">
        <w:rPr>
          <w:rFonts w:cs="Arial"/>
          <w:i/>
          <w:iCs/>
          <w:color w:val="222222"/>
          <w:sz w:val="22"/>
          <w:szCs w:val="22"/>
          <w:shd w:val="clear" w:color="auto" w:fill="FFFFFF"/>
        </w:rPr>
        <w:t>The Journal of Asian Finance, Economics and Business</w:t>
      </w:r>
      <w:r w:rsidRPr="007A0C75">
        <w:rPr>
          <w:rFonts w:cs="Arial"/>
          <w:color w:val="222222"/>
          <w:sz w:val="22"/>
          <w:szCs w:val="22"/>
          <w:shd w:val="clear" w:color="auto" w:fill="FFFFFF"/>
        </w:rPr>
        <w:t>, </w:t>
      </w:r>
      <w:r w:rsidRPr="007A0C75">
        <w:rPr>
          <w:rFonts w:cs="Arial"/>
          <w:i/>
          <w:iCs/>
          <w:color w:val="222222"/>
          <w:sz w:val="22"/>
          <w:szCs w:val="22"/>
          <w:shd w:val="clear" w:color="auto" w:fill="FFFFFF"/>
        </w:rPr>
        <w:t>8</w:t>
      </w:r>
      <w:r w:rsidRPr="007A0C75">
        <w:rPr>
          <w:rFonts w:cs="Arial"/>
          <w:color w:val="222222"/>
          <w:sz w:val="22"/>
          <w:szCs w:val="22"/>
          <w:shd w:val="clear" w:color="auto" w:fill="FFFFFF"/>
        </w:rPr>
        <w:t xml:space="preserve">(4), pp.727-734. </w:t>
      </w:r>
    </w:p>
    <w:p w14:paraId="39EC499C" w14:textId="77777777" w:rsidR="007A0C75" w:rsidRPr="007A0C75" w:rsidRDefault="007A0C75" w:rsidP="007A0C75">
      <w:pPr>
        <w:spacing w:line="360" w:lineRule="auto"/>
        <w:rPr>
          <w:rFonts w:cs="Arial"/>
          <w:color w:val="222222"/>
          <w:sz w:val="22"/>
          <w:szCs w:val="22"/>
          <w:shd w:val="clear" w:color="auto" w:fill="FFFFFF"/>
        </w:rPr>
      </w:pPr>
      <w:proofErr w:type="spellStart"/>
      <w:r w:rsidRPr="007A0C75">
        <w:rPr>
          <w:rFonts w:cs="Arial"/>
          <w:color w:val="222222"/>
          <w:sz w:val="22"/>
          <w:szCs w:val="22"/>
          <w:shd w:val="clear" w:color="auto" w:fill="FFFFFF"/>
        </w:rPr>
        <w:t>Rompotis</w:t>
      </w:r>
      <w:proofErr w:type="spellEnd"/>
      <w:r w:rsidRPr="007A0C75">
        <w:rPr>
          <w:rFonts w:cs="Arial"/>
          <w:color w:val="222222"/>
          <w:sz w:val="22"/>
          <w:szCs w:val="22"/>
          <w:shd w:val="clear" w:color="auto" w:fill="FFFFFF"/>
        </w:rPr>
        <w:t>, G., 2025. Cash flow management, performance and risk: evidence from Greece. </w:t>
      </w:r>
      <w:proofErr w:type="spellStart"/>
      <w:r w:rsidRPr="007A0C75">
        <w:rPr>
          <w:rFonts w:cs="Arial"/>
          <w:i/>
          <w:iCs/>
          <w:color w:val="222222"/>
          <w:sz w:val="22"/>
          <w:szCs w:val="22"/>
          <w:shd w:val="clear" w:color="auto" w:fill="FFFFFF"/>
        </w:rPr>
        <w:t>Euromed</w:t>
      </w:r>
      <w:proofErr w:type="spellEnd"/>
      <w:r w:rsidRPr="007A0C75">
        <w:rPr>
          <w:rFonts w:cs="Arial"/>
          <w:i/>
          <w:iCs/>
          <w:color w:val="222222"/>
          <w:sz w:val="22"/>
          <w:szCs w:val="22"/>
          <w:shd w:val="clear" w:color="auto" w:fill="FFFFFF"/>
        </w:rPr>
        <w:t xml:space="preserve"> journal of business</w:t>
      </w:r>
      <w:r w:rsidRPr="007A0C75">
        <w:rPr>
          <w:rFonts w:cs="Arial"/>
          <w:color w:val="222222"/>
          <w:sz w:val="22"/>
          <w:szCs w:val="22"/>
          <w:shd w:val="clear" w:color="auto" w:fill="FFFFFF"/>
        </w:rPr>
        <w:t>, </w:t>
      </w:r>
      <w:r w:rsidRPr="007A0C75">
        <w:rPr>
          <w:rFonts w:cs="Arial"/>
          <w:i/>
          <w:iCs/>
          <w:color w:val="222222"/>
          <w:sz w:val="22"/>
          <w:szCs w:val="22"/>
          <w:shd w:val="clear" w:color="auto" w:fill="FFFFFF"/>
        </w:rPr>
        <w:t>20</w:t>
      </w:r>
      <w:r w:rsidRPr="007A0C75">
        <w:rPr>
          <w:rFonts w:cs="Arial"/>
          <w:color w:val="222222"/>
          <w:sz w:val="22"/>
          <w:szCs w:val="22"/>
          <w:shd w:val="clear" w:color="auto" w:fill="FFFFFF"/>
        </w:rPr>
        <w:t xml:space="preserve">(3), pp.595 </w:t>
      </w:r>
    </w:p>
    <w:p w14:paraId="38D0B8B1" w14:textId="77777777" w:rsidR="007A0C75" w:rsidRPr="007A0C75" w:rsidRDefault="007A0C75" w:rsidP="007A0C75">
      <w:pPr>
        <w:spacing w:line="360" w:lineRule="auto"/>
        <w:rPr>
          <w:rFonts w:cs="Arial"/>
          <w:color w:val="222222"/>
          <w:sz w:val="22"/>
          <w:szCs w:val="22"/>
          <w:shd w:val="clear" w:color="auto" w:fill="FFFFFF"/>
        </w:rPr>
      </w:pPr>
      <w:proofErr w:type="spellStart"/>
      <w:r w:rsidRPr="007A0C75">
        <w:rPr>
          <w:rFonts w:cs="Arial"/>
          <w:color w:val="222222"/>
          <w:sz w:val="22"/>
          <w:szCs w:val="22"/>
          <w:shd w:val="clear" w:color="auto" w:fill="FFFFFF"/>
        </w:rPr>
        <w:t>Sabilillah</w:t>
      </w:r>
      <w:proofErr w:type="spellEnd"/>
      <w:r w:rsidRPr="007A0C75">
        <w:rPr>
          <w:rFonts w:cs="Arial"/>
          <w:color w:val="222222"/>
          <w:sz w:val="22"/>
          <w:szCs w:val="22"/>
          <w:shd w:val="clear" w:color="auto" w:fill="FFFFFF"/>
        </w:rPr>
        <w:t xml:space="preserve">, M.D., </w:t>
      </w:r>
      <w:proofErr w:type="spellStart"/>
      <w:r w:rsidRPr="007A0C75">
        <w:rPr>
          <w:rFonts w:cs="Arial"/>
          <w:color w:val="222222"/>
          <w:sz w:val="22"/>
          <w:szCs w:val="22"/>
          <w:shd w:val="clear" w:color="auto" w:fill="FFFFFF"/>
        </w:rPr>
        <w:t>Hidayat</w:t>
      </w:r>
      <w:proofErr w:type="spellEnd"/>
      <w:r w:rsidRPr="007A0C75">
        <w:rPr>
          <w:rFonts w:cs="Arial"/>
          <w:color w:val="222222"/>
          <w:sz w:val="22"/>
          <w:szCs w:val="22"/>
          <w:shd w:val="clear" w:color="auto" w:fill="FFFFFF"/>
        </w:rPr>
        <w:t xml:space="preserve">, M.I.A.A., Mahmud, A. and </w:t>
      </w:r>
      <w:proofErr w:type="spellStart"/>
      <w:r w:rsidRPr="007A0C75">
        <w:rPr>
          <w:rFonts w:cs="Arial"/>
          <w:color w:val="222222"/>
          <w:sz w:val="22"/>
          <w:szCs w:val="22"/>
          <w:shd w:val="clear" w:color="auto" w:fill="FFFFFF"/>
        </w:rPr>
        <w:t>Rizqamr</w:t>
      </w:r>
      <w:proofErr w:type="spellEnd"/>
      <w:r w:rsidRPr="007A0C75">
        <w:rPr>
          <w:rFonts w:cs="Arial"/>
          <w:color w:val="222222"/>
          <w:sz w:val="22"/>
          <w:szCs w:val="22"/>
          <w:shd w:val="clear" w:color="auto" w:fill="FFFFFF"/>
        </w:rPr>
        <w:t>, F.M., 2025. The Effect of Quick Ratio and Cash Ratio on Current Ratio in Retail Companies on The Indonesia Stock Exchange. </w:t>
      </w:r>
      <w:r w:rsidRPr="007A0C75">
        <w:rPr>
          <w:rFonts w:cs="Arial"/>
          <w:i/>
          <w:iCs/>
          <w:color w:val="222222"/>
          <w:sz w:val="22"/>
          <w:szCs w:val="22"/>
          <w:shd w:val="clear" w:color="auto" w:fill="FFFFFF"/>
        </w:rPr>
        <w:t>International Journal of Economics Management and Social Science</w:t>
      </w:r>
      <w:r w:rsidRPr="007A0C75">
        <w:rPr>
          <w:rFonts w:cs="Arial"/>
          <w:color w:val="222222"/>
          <w:sz w:val="22"/>
          <w:szCs w:val="22"/>
          <w:shd w:val="clear" w:color="auto" w:fill="FFFFFF"/>
        </w:rPr>
        <w:t>, </w:t>
      </w:r>
      <w:r w:rsidRPr="007A0C75">
        <w:rPr>
          <w:rFonts w:cs="Arial"/>
          <w:i/>
          <w:iCs/>
          <w:color w:val="222222"/>
          <w:sz w:val="22"/>
          <w:szCs w:val="22"/>
          <w:shd w:val="clear" w:color="auto" w:fill="FFFFFF"/>
        </w:rPr>
        <w:t>8</w:t>
      </w:r>
      <w:r w:rsidRPr="007A0C75">
        <w:rPr>
          <w:rFonts w:cs="Arial"/>
          <w:color w:val="222222"/>
          <w:sz w:val="22"/>
          <w:szCs w:val="22"/>
          <w:shd w:val="clear" w:color="auto" w:fill="FFFFFF"/>
        </w:rPr>
        <w:t xml:space="preserve">(3), pp.69-76. </w:t>
      </w:r>
    </w:p>
    <w:p w14:paraId="3A4A4208"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Saputra, F., 2022. Analysis effect return on assets (ROA), return on equity (ROE) and price earning ratio (PER) on stock prices of coal companies in the Indonesia Stock Exchange (IDX) period 2018-2021. </w:t>
      </w:r>
      <w:r w:rsidRPr="007A0C75">
        <w:rPr>
          <w:rFonts w:cs="Arial"/>
          <w:i/>
          <w:iCs/>
          <w:color w:val="222222"/>
          <w:sz w:val="22"/>
          <w:szCs w:val="22"/>
          <w:shd w:val="clear" w:color="auto" w:fill="FFFFFF"/>
        </w:rPr>
        <w:t>Dinasti International Journal of Economics, Finance and Accounting</w:t>
      </w:r>
      <w:r w:rsidRPr="007A0C75">
        <w:rPr>
          <w:rFonts w:cs="Arial"/>
          <w:color w:val="222222"/>
          <w:sz w:val="22"/>
          <w:szCs w:val="22"/>
          <w:shd w:val="clear" w:color="auto" w:fill="FFFFFF"/>
        </w:rPr>
        <w:t>, </w:t>
      </w:r>
      <w:r w:rsidRPr="007A0C75">
        <w:rPr>
          <w:rFonts w:cs="Arial"/>
          <w:i/>
          <w:iCs/>
          <w:color w:val="222222"/>
          <w:sz w:val="22"/>
          <w:szCs w:val="22"/>
          <w:shd w:val="clear" w:color="auto" w:fill="FFFFFF"/>
        </w:rPr>
        <w:t>3</w:t>
      </w:r>
      <w:r w:rsidRPr="007A0C75">
        <w:rPr>
          <w:rFonts w:cs="Arial"/>
          <w:color w:val="222222"/>
          <w:sz w:val="22"/>
          <w:szCs w:val="22"/>
          <w:shd w:val="clear" w:color="auto" w:fill="FFFFFF"/>
        </w:rPr>
        <w:t xml:space="preserve">(1), pp.82-94. </w:t>
      </w:r>
    </w:p>
    <w:p w14:paraId="4DD3FDAE" w14:textId="77777777" w:rsidR="007A0C75" w:rsidRPr="007A0C75" w:rsidRDefault="007A0C75" w:rsidP="007A0C75">
      <w:pPr>
        <w:spacing w:line="360" w:lineRule="auto"/>
        <w:rPr>
          <w:rFonts w:cs="Arial"/>
          <w:sz w:val="22"/>
          <w:szCs w:val="22"/>
        </w:rPr>
      </w:pPr>
      <w:proofErr w:type="spellStart"/>
      <w:r w:rsidRPr="007A0C75">
        <w:rPr>
          <w:rFonts w:cs="Arial"/>
          <w:color w:val="222222"/>
          <w:sz w:val="22"/>
          <w:szCs w:val="22"/>
          <w:shd w:val="clear" w:color="auto" w:fill="FFFFFF"/>
        </w:rPr>
        <w:t>Sunaryo</w:t>
      </w:r>
      <w:proofErr w:type="spellEnd"/>
      <w:r w:rsidRPr="007A0C75">
        <w:rPr>
          <w:rFonts w:cs="Arial"/>
          <w:color w:val="222222"/>
          <w:sz w:val="22"/>
          <w:szCs w:val="22"/>
          <w:shd w:val="clear" w:color="auto" w:fill="FFFFFF"/>
        </w:rPr>
        <w:t>, D., 2021</w:t>
      </w:r>
      <w:bookmarkEnd w:id="23"/>
      <w:r w:rsidRPr="007A0C75">
        <w:rPr>
          <w:rFonts w:cs="Arial"/>
          <w:color w:val="222222"/>
          <w:sz w:val="22"/>
          <w:szCs w:val="22"/>
          <w:shd w:val="clear" w:color="auto" w:fill="FFFFFF"/>
        </w:rPr>
        <w:t>. Analysis of current ratio, debt to assets ratio and gross profit margin on financial distress with moderated share prices in retail companies listed in securities exchange. </w:t>
      </w:r>
      <w:r w:rsidRPr="007A0C75">
        <w:rPr>
          <w:rFonts w:cs="Arial"/>
          <w:i/>
          <w:iCs/>
          <w:color w:val="222222"/>
          <w:sz w:val="22"/>
          <w:szCs w:val="22"/>
          <w:shd w:val="clear" w:color="auto" w:fill="FFFFFF"/>
        </w:rPr>
        <w:t>International Journal of Educational Research &amp; Social Sciences</w:t>
      </w:r>
      <w:r w:rsidRPr="007A0C75">
        <w:rPr>
          <w:rFonts w:cs="Arial"/>
          <w:color w:val="222222"/>
          <w:sz w:val="22"/>
          <w:szCs w:val="22"/>
          <w:shd w:val="clear" w:color="auto" w:fill="FFFFFF"/>
        </w:rPr>
        <w:t>, </w:t>
      </w:r>
      <w:r w:rsidRPr="007A0C75">
        <w:rPr>
          <w:rFonts w:cs="Arial"/>
          <w:i/>
          <w:iCs/>
          <w:color w:val="222222"/>
          <w:sz w:val="22"/>
          <w:szCs w:val="22"/>
          <w:shd w:val="clear" w:color="auto" w:fill="FFFFFF"/>
        </w:rPr>
        <w:t>2</w:t>
      </w:r>
      <w:r w:rsidRPr="007A0C75">
        <w:rPr>
          <w:rFonts w:cs="Arial"/>
          <w:color w:val="222222"/>
          <w:sz w:val="22"/>
          <w:szCs w:val="22"/>
          <w:shd w:val="clear" w:color="auto" w:fill="FFFFFF"/>
        </w:rPr>
        <w:t>(1), pp.23-33.</w:t>
      </w:r>
    </w:p>
    <w:p w14:paraId="58B7CEB5" w14:textId="77777777" w:rsidR="007A0C75" w:rsidRPr="007A0C75" w:rsidRDefault="007A0C75" w:rsidP="007A0C75">
      <w:pPr>
        <w:spacing w:line="360" w:lineRule="auto"/>
        <w:rPr>
          <w:rFonts w:cs="Arial"/>
          <w:sz w:val="22"/>
          <w:szCs w:val="22"/>
        </w:rPr>
      </w:pPr>
      <w:proofErr w:type="spellStart"/>
      <w:r w:rsidRPr="007A0C75">
        <w:rPr>
          <w:rFonts w:cs="Arial"/>
          <w:color w:val="222222"/>
          <w:sz w:val="22"/>
          <w:szCs w:val="22"/>
          <w:shd w:val="clear" w:color="auto" w:fill="FFFFFF"/>
        </w:rPr>
        <w:t>Vernimmen</w:t>
      </w:r>
      <w:proofErr w:type="spellEnd"/>
      <w:r w:rsidRPr="007A0C75">
        <w:rPr>
          <w:rFonts w:cs="Arial"/>
          <w:color w:val="222222"/>
          <w:sz w:val="22"/>
          <w:szCs w:val="22"/>
          <w:shd w:val="clear" w:color="auto" w:fill="FFFFFF"/>
        </w:rPr>
        <w:t xml:space="preserve">, P., </w:t>
      </w:r>
      <w:proofErr w:type="spellStart"/>
      <w:r w:rsidRPr="007A0C75">
        <w:rPr>
          <w:rFonts w:cs="Arial"/>
          <w:color w:val="222222"/>
          <w:sz w:val="22"/>
          <w:szCs w:val="22"/>
          <w:shd w:val="clear" w:color="auto" w:fill="FFFFFF"/>
        </w:rPr>
        <w:t>Quiry</w:t>
      </w:r>
      <w:proofErr w:type="spellEnd"/>
      <w:r w:rsidRPr="007A0C75">
        <w:rPr>
          <w:rFonts w:cs="Arial"/>
          <w:color w:val="222222"/>
          <w:sz w:val="22"/>
          <w:szCs w:val="22"/>
          <w:shd w:val="clear" w:color="auto" w:fill="FFFFFF"/>
        </w:rPr>
        <w:t>, P. and Le Fur, Y., 2022. </w:t>
      </w:r>
      <w:r w:rsidRPr="007A0C75">
        <w:rPr>
          <w:rFonts w:cs="Arial"/>
          <w:i/>
          <w:iCs/>
          <w:color w:val="222222"/>
          <w:sz w:val="22"/>
          <w:szCs w:val="22"/>
          <w:shd w:val="clear" w:color="auto" w:fill="FFFFFF"/>
        </w:rPr>
        <w:t>Corporate finance: theory and practice</w:t>
      </w:r>
      <w:r w:rsidRPr="007A0C75">
        <w:rPr>
          <w:rFonts w:cs="Arial"/>
          <w:color w:val="222222"/>
          <w:sz w:val="22"/>
          <w:szCs w:val="22"/>
          <w:shd w:val="clear" w:color="auto" w:fill="FFFFFF"/>
        </w:rPr>
        <w:t>. John Wiley &amp; Sons.</w:t>
      </w:r>
    </w:p>
    <w:p w14:paraId="1E81CF12" w14:textId="77777777" w:rsidR="007A0C75" w:rsidRDefault="007A0C75" w:rsidP="007A0C75">
      <w:pPr>
        <w:rPr>
          <w:sz w:val="22"/>
          <w:szCs w:val="22"/>
        </w:rPr>
      </w:pPr>
    </w:p>
    <w:p w14:paraId="74F1ACCB" w14:textId="77777777" w:rsidR="007A0C75" w:rsidRDefault="007A0C75">
      <w:r>
        <w:br w:type="page"/>
      </w:r>
    </w:p>
    <w:p w14:paraId="767EDDFB" w14:textId="77777777" w:rsidR="007A0C75" w:rsidRDefault="007A0C75" w:rsidP="007A0C75">
      <w:pPr>
        <w:pStyle w:val="Heading1"/>
      </w:pPr>
      <w:bookmarkStart w:id="24" w:name="_Toc216386214"/>
      <w:r>
        <w:t>Appendices</w:t>
      </w:r>
      <w:bookmarkEnd w:id="24"/>
    </w:p>
    <w:p w14:paraId="7C16D84C" w14:textId="77777777" w:rsidR="007A0C75" w:rsidRPr="007A0C75" w:rsidRDefault="007A0C75" w:rsidP="007A0C75">
      <w:pPr>
        <w:pStyle w:val="Heading2"/>
      </w:pPr>
      <w:bookmarkStart w:id="25" w:name="_Toc216386215"/>
      <w:r w:rsidRPr="007A0C75">
        <w:t>Appendix A</w:t>
      </w:r>
      <w:bookmarkEnd w:id="25"/>
      <w:r w:rsidRPr="007A0C75">
        <w:t xml:space="preserve"> </w:t>
      </w:r>
    </w:p>
    <w:tbl>
      <w:tblPr>
        <w:tblStyle w:val="TableGrid"/>
        <w:tblW w:w="0" w:type="auto"/>
        <w:tblLook w:val="04A0" w:firstRow="1" w:lastRow="0" w:firstColumn="1" w:lastColumn="0" w:noHBand="0" w:noVBand="1"/>
      </w:tblPr>
      <w:tblGrid>
        <w:gridCol w:w="1129"/>
        <w:gridCol w:w="1276"/>
        <w:gridCol w:w="1418"/>
        <w:gridCol w:w="3389"/>
        <w:gridCol w:w="1804"/>
      </w:tblGrid>
      <w:tr w:rsidR="007A0C75" w:rsidRPr="007A0C75" w14:paraId="69EB6D85" w14:textId="77777777" w:rsidTr="00B24F4B">
        <w:tc>
          <w:tcPr>
            <w:tcW w:w="1129" w:type="dxa"/>
          </w:tcPr>
          <w:p w14:paraId="1374CE07" w14:textId="77777777" w:rsidR="007A0C75" w:rsidRPr="007A0C75" w:rsidRDefault="007A0C75" w:rsidP="007A0C75">
            <w:pPr>
              <w:spacing w:line="360" w:lineRule="auto"/>
              <w:jc w:val="center"/>
              <w:rPr>
                <w:rFonts w:cs="Arial"/>
                <w:b/>
                <w:bCs/>
                <w:color w:val="000000"/>
                <w:sz w:val="22"/>
                <w:szCs w:val="22"/>
              </w:rPr>
            </w:pPr>
            <w:bookmarkStart w:id="26" w:name="OLE_LINK2"/>
            <w:r w:rsidRPr="007A0C75">
              <w:rPr>
                <w:rFonts w:cs="Arial"/>
                <w:b/>
                <w:bCs/>
                <w:color w:val="000000"/>
                <w:sz w:val="22"/>
                <w:szCs w:val="22"/>
              </w:rPr>
              <w:t>Year</w:t>
            </w:r>
          </w:p>
        </w:tc>
        <w:tc>
          <w:tcPr>
            <w:tcW w:w="1276" w:type="dxa"/>
          </w:tcPr>
          <w:p w14:paraId="0310A41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1418" w:type="dxa"/>
          </w:tcPr>
          <w:p w14:paraId="3074772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Gross Profit (£m)</w:t>
            </w:r>
          </w:p>
        </w:tc>
        <w:tc>
          <w:tcPr>
            <w:tcW w:w="3389" w:type="dxa"/>
          </w:tcPr>
          <w:p w14:paraId="7F0CCB3E"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Gross Profit Margin = Gross Profit ÷ Net Sales</w:t>
            </w:r>
          </w:p>
        </w:tc>
        <w:tc>
          <w:tcPr>
            <w:tcW w:w="1804" w:type="dxa"/>
          </w:tcPr>
          <w:p w14:paraId="28DE0ED3"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Gross Profit Margin</w:t>
            </w:r>
          </w:p>
        </w:tc>
      </w:tr>
      <w:tr w:rsidR="007A0C75" w:rsidRPr="007A0C75" w14:paraId="4B660E97" w14:textId="77777777" w:rsidTr="00B24F4B">
        <w:tc>
          <w:tcPr>
            <w:tcW w:w="1129" w:type="dxa"/>
          </w:tcPr>
          <w:p w14:paraId="07D5825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24F673E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1418" w:type="dxa"/>
          </w:tcPr>
          <w:p w14:paraId="1DC99A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1,76,256</w:t>
            </w:r>
          </w:p>
        </w:tc>
        <w:tc>
          <w:tcPr>
            <w:tcW w:w="3389" w:type="dxa"/>
          </w:tcPr>
          <w:p w14:paraId="5A462B3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176,256 ÷ 614,680</w:t>
            </w:r>
          </w:p>
        </w:tc>
        <w:tc>
          <w:tcPr>
            <w:tcW w:w="1804" w:type="dxa"/>
          </w:tcPr>
          <w:p w14:paraId="50F468D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28.67%</w:t>
            </w:r>
          </w:p>
        </w:tc>
      </w:tr>
      <w:tr w:rsidR="007A0C75" w:rsidRPr="007A0C75" w14:paraId="52AFCDAE" w14:textId="77777777" w:rsidTr="00B24F4B">
        <w:tc>
          <w:tcPr>
            <w:tcW w:w="1129" w:type="dxa"/>
          </w:tcPr>
          <w:p w14:paraId="254A899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378CBA9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1418" w:type="dxa"/>
          </w:tcPr>
          <w:p w14:paraId="2CE0470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1,73,016</w:t>
            </w:r>
          </w:p>
        </w:tc>
        <w:tc>
          <w:tcPr>
            <w:tcW w:w="3389" w:type="dxa"/>
          </w:tcPr>
          <w:p w14:paraId="33115BD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173,016 ÷ 601,602</w:t>
            </w:r>
          </w:p>
        </w:tc>
        <w:tc>
          <w:tcPr>
            <w:tcW w:w="1804" w:type="dxa"/>
          </w:tcPr>
          <w:p w14:paraId="3BFC21F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28.76%</w:t>
            </w:r>
          </w:p>
        </w:tc>
      </w:tr>
      <w:tr w:rsidR="007A0C75" w:rsidRPr="007A0C75" w14:paraId="547EE5F0" w14:textId="77777777" w:rsidTr="00B24F4B">
        <w:tc>
          <w:tcPr>
            <w:tcW w:w="1129" w:type="dxa"/>
          </w:tcPr>
          <w:p w14:paraId="3D727AF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6BE3CE4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1418" w:type="dxa"/>
          </w:tcPr>
          <w:p w14:paraId="1D6EAD9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1,52,292</w:t>
            </w:r>
          </w:p>
        </w:tc>
        <w:tc>
          <w:tcPr>
            <w:tcW w:w="3389" w:type="dxa"/>
          </w:tcPr>
          <w:p w14:paraId="3A05CA6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152,292 ÷ 542,751</w:t>
            </w:r>
          </w:p>
        </w:tc>
        <w:tc>
          <w:tcPr>
            <w:tcW w:w="1804" w:type="dxa"/>
          </w:tcPr>
          <w:p w14:paraId="0B33924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28.06%</w:t>
            </w:r>
          </w:p>
        </w:tc>
      </w:tr>
      <w:tr w:rsidR="007A0C75" w:rsidRPr="007A0C75" w14:paraId="10B919C0" w14:textId="77777777" w:rsidTr="00B24F4B">
        <w:tc>
          <w:tcPr>
            <w:tcW w:w="1129" w:type="dxa"/>
          </w:tcPr>
          <w:p w14:paraId="2347FA9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1B66050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1418" w:type="dxa"/>
          </w:tcPr>
          <w:p w14:paraId="33DB5C3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97,560</w:t>
            </w:r>
          </w:p>
        </w:tc>
        <w:tc>
          <w:tcPr>
            <w:tcW w:w="3389" w:type="dxa"/>
          </w:tcPr>
          <w:p w14:paraId="016CB9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97,560 ÷ 420,457</w:t>
            </w:r>
          </w:p>
        </w:tc>
        <w:tc>
          <w:tcPr>
            <w:tcW w:w="1804" w:type="dxa"/>
          </w:tcPr>
          <w:p w14:paraId="431B7DE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23.20%</w:t>
            </w:r>
          </w:p>
        </w:tc>
      </w:tr>
      <w:tr w:rsidR="007A0C75" w:rsidRPr="007A0C75" w14:paraId="7F35FDB6" w14:textId="77777777" w:rsidTr="00B24F4B">
        <w:tc>
          <w:tcPr>
            <w:tcW w:w="1129" w:type="dxa"/>
          </w:tcPr>
          <w:p w14:paraId="281DA71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14A06DC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w:t>
            </w:r>
          </w:p>
        </w:tc>
        <w:tc>
          <w:tcPr>
            <w:tcW w:w="1418" w:type="dxa"/>
          </w:tcPr>
          <w:p w14:paraId="69A15E1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1,13,994</w:t>
            </w:r>
          </w:p>
        </w:tc>
        <w:tc>
          <w:tcPr>
            <w:tcW w:w="3389" w:type="dxa"/>
          </w:tcPr>
          <w:p w14:paraId="6EA4560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113,994 ÷ 394,879</w:t>
            </w:r>
          </w:p>
        </w:tc>
        <w:tc>
          <w:tcPr>
            <w:tcW w:w="1804" w:type="dxa"/>
          </w:tcPr>
          <w:p w14:paraId="3186108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28.87%</w:t>
            </w:r>
          </w:p>
        </w:tc>
      </w:tr>
    </w:tbl>
    <w:p w14:paraId="55531F0F" w14:textId="77777777" w:rsidR="007A0C75" w:rsidRPr="007A0C75" w:rsidRDefault="007A0C75" w:rsidP="007A0C75">
      <w:pPr>
        <w:pStyle w:val="Heading2"/>
      </w:pPr>
      <w:bookmarkStart w:id="27" w:name="_Toc216386216"/>
      <w:bookmarkEnd w:id="26"/>
      <w:r w:rsidRPr="007A0C75">
        <w:t>Appendix B</w:t>
      </w:r>
      <w:bookmarkEnd w:id="27"/>
    </w:p>
    <w:tbl>
      <w:tblPr>
        <w:tblStyle w:val="TableGrid"/>
        <w:tblW w:w="0" w:type="auto"/>
        <w:tblLook w:val="04A0" w:firstRow="1" w:lastRow="0" w:firstColumn="1" w:lastColumn="0" w:noHBand="0" w:noVBand="1"/>
      </w:tblPr>
      <w:tblGrid>
        <w:gridCol w:w="1129"/>
        <w:gridCol w:w="1276"/>
        <w:gridCol w:w="1418"/>
        <w:gridCol w:w="3389"/>
        <w:gridCol w:w="1804"/>
      </w:tblGrid>
      <w:tr w:rsidR="007A0C75" w:rsidRPr="007A0C75" w14:paraId="47CD8C08" w14:textId="77777777" w:rsidTr="007A0C75">
        <w:trPr>
          <w:trHeight w:val="63"/>
        </w:trPr>
        <w:tc>
          <w:tcPr>
            <w:tcW w:w="1129" w:type="dxa"/>
          </w:tcPr>
          <w:p w14:paraId="70DB6AA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2C983BB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1418" w:type="dxa"/>
          </w:tcPr>
          <w:p w14:paraId="67381021"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Income (£m)</w:t>
            </w:r>
          </w:p>
        </w:tc>
        <w:tc>
          <w:tcPr>
            <w:tcW w:w="3389" w:type="dxa"/>
          </w:tcPr>
          <w:p w14:paraId="6CCFBFB7"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Net Profit Margin = Net Income ÷ Net Sales</w:t>
            </w:r>
          </w:p>
        </w:tc>
        <w:tc>
          <w:tcPr>
            <w:tcW w:w="1804" w:type="dxa"/>
          </w:tcPr>
          <w:p w14:paraId="78FAC7BD" w14:textId="77777777" w:rsidR="007A0C75" w:rsidRPr="007A0C75" w:rsidRDefault="007A0C75" w:rsidP="007A0C75">
            <w:pPr>
              <w:spacing w:line="360" w:lineRule="auto"/>
              <w:jc w:val="center"/>
              <w:rPr>
                <w:rFonts w:cs="Arial"/>
                <w:b/>
                <w:bCs/>
                <w:color w:val="000000"/>
                <w:sz w:val="22"/>
                <w:szCs w:val="22"/>
              </w:rPr>
            </w:pPr>
            <w:bookmarkStart w:id="28" w:name="OLE_LINK1"/>
            <w:r w:rsidRPr="007A0C75">
              <w:rPr>
                <w:rFonts w:cs="Arial"/>
                <w:b/>
                <w:bCs/>
                <w:sz w:val="22"/>
                <w:szCs w:val="22"/>
              </w:rPr>
              <w:t>Net Profit Margin</w:t>
            </w:r>
            <w:bookmarkEnd w:id="28"/>
          </w:p>
        </w:tc>
      </w:tr>
      <w:tr w:rsidR="007A0C75" w:rsidRPr="007A0C75" w14:paraId="3A17A0F9" w14:textId="77777777" w:rsidTr="00B24F4B">
        <w:trPr>
          <w:trHeight w:val="63"/>
        </w:trPr>
        <w:tc>
          <w:tcPr>
            <w:tcW w:w="1129" w:type="dxa"/>
          </w:tcPr>
          <w:p w14:paraId="3381D7D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1741164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1418" w:type="dxa"/>
          </w:tcPr>
          <w:p w14:paraId="3700D28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w:t>
            </w:r>
          </w:p>
        </w:tc>
        <w:tc>
          <w:tcPr>
            <w:tcW w:w="3389" w:type="dxa"/>
          </w:tcPr>
          <w:p w14:paraId="359A318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 ÷ 614,680</w:t>
            </w:r>
          </w:p>
        </w:tc>
        <w:tc>
          <w:tcPr>
            <w:tcW w:w="1804" w:type="dxa"/>
          </w:tcPr>
          <w:p w14:paraId="776A0A3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6.28%</w:t>
            </w:r>
          </w:p>
        </w:tc>
      </w:tr>
      <w:tr w:rsidR="007A0C75" w:rsidRPr="007A0C75" w14:paraId="6A2F6A40" w14:textId="77777777" w:rsidTr="00B24F4B">
        <w:tc>
          <w:tcPr>
            <w:tcW w:w="1129" w:type="dxa"/>
          </w:tcPr>
          <w:p w14:paraId="37874FF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5D148D7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1418" w:type="dxa"/>
          </w:tcPr>
          <w:p w14:paraId="78836E3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w:t>
            </w:r>
          </w:p>
        </w:tc>
        <w:tc>
          <w:tcPr>
            <w:tcW w:w="3389" w:type="dxa"/>
          </w:tcPr>
          <w:p w14:paraId="6528DE7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 ÷ 601,602</w:t>
            </w:r>
          </w:p>
        </w:tc>
        <w:tc>
          <w:tcPr>
            <w:tcW w:w="1804" w:type="dxa"/>
          </w:tcPr>
          <w:p w14:paraId="6BEC7AC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0.88%</w:t>
            </w:r>
          </w:p>
        </w:tc>
      </w:tr>
      <w:tr w:rsidR="007A0C75" w:rsidRPr="007A0C75" w14:paraId="2F531E43" w14:textId="77777777" w:rsidTr="00B24F4B">
        <w:tc>
          <w:tcPr>
            <w:tcW w:w="1129" w:type="dxa"/>
          </w:tcPr>
          <w:p w14:paraId="380C158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42A3CF8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1418" w:type="dxa"/>
          </w:tcPr>
          <w:p w14:paraId="215DAAA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w:t>
            </w:r>
          </w:p>
        </w:tc>
        <w:tc>
          <w:tcPr>
            <w:tcW w:w="3389" w:type="dxa"/>
          </w:tcPr>
          <w:p w14:paraId="216810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 ÷ 542,751</w:t>
            </w:r>
          </w:p>
        </w:tc>
        <w:tc>
          <w:tcPr>
            <w:tcW w:w="1804" w:type="dxa"/>
          </w:tcPr>
          <w:p w14:paraId="304703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0.07%</w:t>
            </w:r>
          </w:p>
        </w:tc>
      </w:tr>
      <w:tr w:rsidR="007A0C75" w:rsidRPr="007A0C75" w14:paraId="4B2D58B1" w14:textId="77777777" w:rsidTr="00B24F4B">
        <w:tc>
          <w:tcPr>
            <w:tcW w:w="1129" w:type="dxa"/>
          </w:tcPr>
          <w:p w14:paraId="22BCBC8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3D99EFE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1418" w:type="dxa"/>
          </w:tcPr>
          <w:p w14:paraId="5595F8E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w:t>
            </w:r>
          </w:p>
        </w:tc>
        <w:tc>
          <w:tcPr>
            <w:tcW w:w="3389" w:type="dxa"/>
          </w:tcPr>
          <w:p w14:paraId="757A199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 ÷ 420,457</w:t>
            </w:r>
          </w:p>
        </w:tc>
        <w:tc>
          <w:tcPr>
            <w:tcW w:w="1804" w:type="dxa"/>
          </w:tcPr>
          <w:p w14:paraId="6834C31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-23.36%</w:t>
            </w:r>
          </w:p>
        </w:tc>
      </w:tr>
      <w:tr w:rsidR="007A0C75" w:rsidRPr="007A0C75" w14:paraId="753ADA30" w14:textId="77777777" w:rsidTr="00B24F4B">
        <w:tc>
          <w:tcPr>
            <w:tcW w:w="1129" w:type="dxa"/>
          </w:tcPr>
          <w:p w14:paraId="25B06A8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7BF26F1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w:t>
            </w:r>
          </w:p>
        </w:tc>
        <w:tc>
          <w:tcPr>
            <w:tcW w:w="1418" w:type="dxa"/>
          </w:tcPr>
          <w:p w14:paraId="1E9BAC5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w:t>
            </w:r>
          </w:p>
        </w:tc>
        <w:tc>
          <w:tcPr>
            <w:tcW w:w="3389" w:type="dxa"/>
          </w:tcPr>
          <w:p w14:paraId="552FD62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 ÷ 394,879</w:t>
            </w:r>
          </w:p>
        </w:tc>
        <w:tc>
          <w:tcPr>
            <w:tcW w:w="1804" w:type="dxa"/>
          </w:tcPr>
          <w:p w14:paraId="27369D3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-6.09%</w:t>
            </w:r>
          </w:p>
        </w:tc>
      </w:tr>
    </w:tbl>
    <w:p w14:paraId="6DD16A02" w14:textId="77777777" w:rsidR="007A0C75" w:rsidRPr="007A0C75" w:rsidRDefault="007A0C75" w:rsidP="007A0C75">
      <w:pPr>
        <w:pStyle w:val="Heading2"/>
      </w:pPr>
      <w:bookmarkStart w:id="29" w:name="_Toc216386217"/>
      <w:r w:rsidRPr="007A0C75">
        <w:t>Appendix C</w:t>
      </w:r>
      <w:bookmarkEnd w:id="29"/>
    </w:p>
    <w:tbl>
      <w:tblPr>
        <w:tblStyle w:val="TableGrid"/>
        <w:tblW w:w="0" w:type="auto"/>
        <w:tblLook w:val="04A0" w:firstRow="1" w:lastRow="0" w:firstColumn="1" w:lastColumn="0" w:noHBand="0" w:noVBand="1"/>
      </w:tblPr>
      <w:tblGrid>
        <w:gridCol w:w="1129"/>
        <w:gridCol w:w="1276"/>
        <w:gridCol w:w="1418"/>
        <w:gridCol w:w="3389"/>
        <w:gridCol w:w="1804"/>
      </w:tblGrid>
      <w:tr w:rsidR="007A0C75" w:rsidRPr="007A0C75" w14:paraId="5EF687A1" w14:textId="77777777" w:rsidTr="00B24F4B">
        <w:tc>
          <w:tcPr>
            <w:tcW w:w="1129" w:type="dxa"/>
          </w:tcPr>
          <w:p w14:paraId="15DCB143"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4E89056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Current Assets (£m)</w:t>
            </w:r>
          </w:p>
        </w:tc>
        <w:tc>
          <w:tcPr>
            <w:tcW w:w="1418" w:type="dxa"/>
          </w:tcPr>
          <w:p w14:paraId="79A1CEE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Current Liabilities (£m)</w:t>
            </w:r>
          </w:p>
        </w:tc>
        <w:tc>
          <w:tcPr>
            <w:tcW w:w="3389" w:type="dxa"/>
          </w:tcPr>
          <w:p w14:paraId="4F8B8FD8"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Current Ratio = Current Assets ÷ Current Liabilities</w:t>
            </w:r>
          </w:p>
        </w:tc>
        <w:tc>
          <w:tcPr>
            <w:tcW w:w="1804" w:type="dxa"/>
          </w:tcPr>
          <w:p w14:paraId="381A2B2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Current Ratio</w:t>
            </w:r>
          </w:p>
        </w:tc>
      </w:tr>
      <w:tr w:rsidR="007A0C75" w:rsidRPr="007A0C75" w14:paraId="3FD3C21E" w14:textId="77777777" w:rsidTr="00B24F4B">
        <w:tc>
          <w:tcPr>
            <w:tcW w:w="1129" w:type="dxa"/>
          </w:tcPr>
          <w:p w14:paraId="32BE0D1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400A2BB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3,26,843</w:t>
            </w:r>
          </w:p>
        </w:tc>
        <w:tc>
          <w:tcPr>
            <w:tcW w:w="1418" w:type="dxa"/>
          </w:tcPr>
          <w:p w14:paraId="613CC47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1,79,510</w:t>
            </w:r>
          </w:p>
        </w:tc>
        <w:tc>
          <w:tcPr>
            <w:tcW w:w="3389" w:type="dxa"/>
          </w:tcPr>
          <w:p w14:paraId="73498B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326,843 ÷ 179,510</w:t>
            </w:r>
          </w:p>
        </w:tc>
        <w:tc>
          <w:tcPr>
            <w:tcW w:w="1804" w:type="dxa"/>
          </w:tcPr>
          <w:p w14:paraId="6772F2A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1.82</w:t>
            </w:r>
          </w:p>
        </w:tc>
      </w:tr>
      <w:tr w:rsidR="007A0C75" w:rsidRPr="007A0C75" w14:paraId="70815DA4" w14:textId="77777777" w:rsidTr="00B24F4B">
        <w:tc>
          <w:tcPr>
            <w:tcW w:w="1129" w:type="dxa"/>
          </w:tcPr>
          <w:p w14:paraId="39CABD6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31D0333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3,37,146</w:t>
            </w:r>
          </w:p>
        </w:tc>
        <w:tc>
          <w:tcPr>
            <w:tcW w:w="1418" w:type="dxa"/>
          </w:tcPr>
          <w:p w14:paraId="1B48A96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2,16,787</w:t>
            </w:r>
          </w:p>
        </w:tc>
        <w:tc>
          <w:tcPr>
            <w:tcW w:w="3389" w:type="dxa"/>
          </w:tcPr>
          <w:p w14:paraId="4D98B78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337,146 ÷ 216,787</w:t>
            </w:r>
          </w:p>
        </w:tc>
        <w:tc>
          <w:tcPr>
            <w:tcW w:w="1804" w:type="dxa"/>
          </w:tcPr>
          <w:p w14:paraId="76C4A1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1.55</w:t>
            </w:r>
          </w:p>
        </w:tc>
      </w:tr>
      <w:tr w:rsidR="007A0C75" w:rsidRPr="007A0C75" w14:paraId="7C09D285" w14:textId="77777777" w:rsidTr="00B24F4B">
        <w:tc>
          <w:tcPr>
            <w:tcW w:w="1129" w:type="dxa"/>
          </w:tcPr>
          <w:p w14:paraId="2DF240C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41AB26C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3,38,040</w:t>
            </w:r>
          </w:p>
        </w:tc>
        <w:tc>
          <w:tcPr>
            <w:tcW w:w="1418" w:type="dxa"/>
          </w:tcPr>
          <w:p w14:paraId="5DFB3A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2,16,473</w:t>
            </w:r>
          </w:p>
        </w:tc>
        <w:tc>
          <w:tcPr>
            <w:tcW w:w="3389" w:type="dxa"/>
          </w:tcPr>
          <w:p w14:paraId="0A06899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338,040 ÷ 216,473</w:t>
            </w:r>
          </w:p>
        </w:tc>
        <w:tc>
          <w:tcPr>
            <w:tcW w:w="1804" w:type="dxa"/>
          </w:tcPr>
          <w:p w14:paraId="37D8322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1.56</w:t>
            </w:r>
          </w:p>
        </w:tc>
      </w:tr>
      <w:tr w:rsidR="007A0C75" w:rsidRPr="007A0C75" w14:paraId="292C807A" w14:textId="77777777" w:rsidTr="00B24F4B">
        <w:tc>
          <w:tcPr>
            <w:tcW w:w="1129" w:type="dxa"/>
          </w:tcPr>
          <w:p w14:paraId="1FDE20E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27A1A0B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2,58,851</w:t>
            </w:r>
          </w:p>
        </w:tc>
        <w:tc>
          <w:tcPr>
            <w:tcW w:w="1418" w:type="dxa"/>
          </w:tcPr>
          <w:p w14:paraId="7E9FD2B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1,61,148</w:t>
            </w:r>
          </w:p>
        </w:tc>
        <w:tc>
          <w:tcPr>
            <w:tcW w:w="3389" w:type="dxa"/>
          </w:tcPr>
          <w:p w14:paraId="54648E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258,851 ÷ 161,148</w:t>
            </w:r>
          </w:p>
        </w:tc>
        <w:tc>
          <w:tcPr>
            <w:tcW w:w="1804" w:type="dxa"/>
          </w:tcPr>
          <w:p w14:paraId="30B4F51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1.61</w:t>
            </w:r>
          </w:p>
        </w:tc>
      </w:tr>
      <w:tr w:rsidR="007A0C75" w:rsidRPr="007A0C75" w14:paraId="062A6B90" w14:textId="77777777" w:rsidTr="00B24F4B">
        <w:trPr>
          <w:trHeight w:val="63"/>
        </w:trPr>
        <w:tc>
          <w:tcPr>
            <w:tcW w:w="1129" w:type="dxa"/>
          </w:tcPr>
          <w:p w14:paraId="2B49967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411E64B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2,42,494</w:t>
            </w:r>
          </w:p>
        </w:tc>
        <w:tc>
          <w:tcPr>
            <w:tcW w:w="1418" w:type="dxa"/>
          </w:tcPr>
          <w:p w14:paraId="460B9D1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1,58,291</w:t>
            </w:r>
          </w:p>
        </w:tc>
        <w:tc>
          <w:tcPr>
            <w:tcW w:w="3389" w:type="dxa"/>
          </w:tcPr>
          <w:p w14:paraId="46978EC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242,494 ÷ 158,291</w:t>
            </w:r>
          </w:p>
        </w:tc>
        <w:tc>
          <w:tcPr>
            <w:tcW w:w="1804" w:type="dxa"/>
          </w:tcPr>
          <w:p w14:paraId="3F4CF39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1.53</w:t>
            </w:r>
          </w:p>
        </w:tc>
      </w:tr>
    </w:tbl>
    <w:p w14:paraId="246D1628" w14:textId="77777777" w:rsidR="007A0C75" w:rsidRPr="007A0C75" w:rsidRDefault="007A0C75" w:rsidP="007A0C75">
      <w:pPr>
        <w:pStyle w:val="Heading2"/>
      </w:pPr>
      <w:bookmarkStart w:id="30" w:name="_Toc216386218"/>
      <w:r w:rsidRPr="007A0C75">
        <w:t>Appendix D</w:t>
      </w:r>
      <w:bookmarkEnd w:id="30"/>
    </w:p>
    <w:tbl>
      <w:tblPr>
        <w:tblStyle w:val="TableGrid"/>
        <w:tblW w:w="0" w:type="auto"/>
        <w:tblLook w:val="04A0" w:firstRow="1" w:lastRow="0" w:firstColumn="1" w:lastColumn="0" w:noHBand="0" w:noVBand="1"/>
      </w:tblPr>
      <w:tblGrid>
        <w:gridCol w:w="1113"/>
        <w:gridCol w:w="1269"/>
        <w:gridCol w:w="1411"/>
        <w:gridCol w:w="1231"/>
        <w:gridCol w:w="2512"/>
        <w:gridCol w:w="1480"/>
      </w:tblGrid>
      <w:tr w:rsidR="007A0C75" w:rsidRPr="007A0C75" w14:paraId="2D44BD0C" w14:textId="77777777" w:rsidTr="00B24F4B">
        <w:tc>
          <w:tcPr>
            <w:tcW w:w="1129" w:type="dxa"/>
          </w:tcPr>
          <w:p w14:paraId="07F7C1C5"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46D14FC0"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Current Assets (£m)</w:t>
            </w:r>
          </w:p>
        </w:tc>
        <w:tc>
          <w:tcPr>
            <w:tcW w:w="1418" w:type="dxa"/>
          </w:tcPr>
          <w:p w14:paraId="66ED4087"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Inventory (£m)</w:t>
            </w:r>
          </w:p>
        </w:tc>
        <w:tc>
          <w:tcPr>
            <w:tcW w:w="1134" w:type="dxa"/>
          </w:tcPr>
          <w:p w14:paraId="36D17BB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Current Liabilities (£m)</w:t>
            </w:r>
          </w:p>
        </w:tc>
        <w:tc>
          <w:tcPr>
            <w:tcW w:w="2556" w:type="dxa"/>
          </w:tcPr>
          <w:p w14:paraId="1D8330C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Quick Ratio = (Current Assets – Inventory) ÷ Current Liabilities</w:t>
            </w:r>
          </w:p>
        </w:tc>
        <w:tc>
          <w:tcPr>
            <w:tcW w:w="1503" w:type="dxa"/>
          </w:tcPr>
          <w:p w14:paraId="4CF34FA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Quick Ratio</w:t>
            </w:r>
          </w:p>
        </w:tc>
      </w:tr>
      <w:tr w:rsidR="007A0C75" w:rsidRPr="007A0C75" w14:paraId="522A9A95" w14:textId="77777777" w:rsidTr="00B24F4B">
        <w:tc>
          <w:tcPr>
            <w:tcW w:w="1129" w:type="dxa"/>
          </w:tcPr>
          <w:p w14:paraId="4115525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6A04E3C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3,26,843</w:t>
            </w:r>
          </w:p>
        </w:tc>
        <w:tc>
          <w:tcPr>
            <w:tcW w:w="1418" w:type="dxa"/>
          </w:tcPr>
          <w:p w14:paraId="58A2C2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1,20,430</w:t>
            </w:r>
          </w:p>
        </w:tc>
        <w:tc>
          <w:tcPr>
            <w:tcW w:w="1134" w:type="dxa"/>
          </w:tcPr>
          <w:p w14:paraId="7705C81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1,79,510</w:t>
            </w:r>
          </w:p>
        </w:tc>
        <w:tc>
          <w:tcPr>
            <w:tcW w:w="2556" w:type="dxa"/>
          </w:tcPr>
          <w:p w14:paraId="33DAD1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(326,843 – 120,430) ÷ 179,510</w:t>
            </w:r>
          </w:p>
        </w:tc>
        <w:tc>
          <w:tcPr>
            <w:tcW w:w="1503" w:type="dxa"/>
          </w:tcPr>
          <w:p w14:paraId="6CB0B55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1.15</w:t>
            </w:r>
          </w:p>
        </w:tc>
      </w:tr>
      <w:tr w:rsidR="007A0C75" w:rsidRPr="007A0C75" w14:paraId="1C42AD06" w14:textId="77777777" w:rsidTr="00B24F4B">
        <w:tc>
          <w:tcPr>
            <w:tcW w:w="1129" w:type="dxa"/>
          </w:tcPr>
          <w:p w14:paraId="4779324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0F899F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3,37,146</w:t>
            </w:r>
          </w:p>
        </w:tc>
        <w:tc>
          <w:tcPr>
            <w:tcW w:w="1418" w:type="dxa"/>
          </w:tcPr>
          <w:p w14:paraId="2DADABE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1,34,469</w:t>
            </w:r>
          </w:p>
        </w:tc>
        <w:tc>
          <w:tcPr>
            <w:tcW w:w="1134" w:type="dxa"/>
          </w:tcPr>
          <w:p w14:paraId="7AA90CE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2,16,787</w:t>
            </w:r>
          </w:p>
        </w:tc>
        <w:tc>
          <w:tcPr>
            <w:tcW w:w="2556" w:type="dxa"/>
          </w:tcPr>
          <w:p w14:paraId="4261763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(337,146 – 134,469) ÷ 216,787</w:t>
            </w:r>
          </w:p>
        </w:tc>
        <w:tc>
          <w:tcPr>
            <w:tcW w:w="1503" w:type="dxa"/>
          </w:tcPr>
          <w:p w14:paraId="300072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1.09</w:t>
            </w:r>
          </w:p>
        </w:tc>
      </w:tr>
      <w:tr w:rsidR="007A0C75" w:rsidRPr="007A0C75" w14:paraId="7B0BC717" w14:textId="77777777" w:rsidTr="00B24F4B">
        <w:tc>
          <w:tcPr>
            <w:tcW w:w="1129" w:type="dxa"/>
          </w:tcPr>
          <w:p w14:paraId="44F48FE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7540764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3,38,040</w:t>
            </w:r>
          </w:p>
        </w:tc>
        <w:tc>
          <w:tcPr>
            <w:tcW w:w="1418" w:type="dxa"/>
          </w:tcPr>
          <w:p w14:paraId="4505EC2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1,40,181</w:t>
            </w:r>
          </w:p>
        </w:tc>
        <w:tc>
          <w:tcPr>
            <w:tcW w:w="1134" w:type="dxa"/>
          </w:tcPr>
          <w:p w14:paraId="0F40E8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2,16,473</w:t>
            </w:r>
          </w:p>
        </w:tc>
        <w:tc>
          <w:tcPr>
            <w:tcW w:w="2556" w:type="dxa"/>
          </w:tcPr>
          <w:p w14:paraId="48127BA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(338,040 – 140,181) ÷ 216,473</w:t>
            </w:r>
          </w:p>
        </w:tc>
        <w:tc>
          <w:tcPr>
            <w:tcW w:w="1503" w:type="dxa"/>
          </w:tcPr>
          <w:p w14:paraId="081DD1F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0.92</w:t>
            </w:r>
          </w:p>
        </w:tc>
      </w:tr>
      <w:tr w:rsidR="007A0C75" w:rsidRPr="007A0C75" w14:paraId="65205579" w14:textId="77777777" w:rsidTr="00B24F4B">
        <w:tc>
          <w:tcPr>
            <w:tcW w:w="1129" w:type="dxa"/>
          </w:tcPr>
          <w:p w14:paraId="0DE1B49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26D8F83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2,58,851</w:t>
            </w:r>
          </w:p>
        </w:tc>
        <w:tc>
          <w:tcPr>
            <w:tcW w:w="1418" w:type="dxa"/>
          </w:tcPr>
          <w:p w14:paraId="6CB7322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88,273</w:t>
            </w:r>
          </w:p>
        </w:tc>
        <w:tc>
          <w:tcPr>
            <w:tcW w:w="1134" w:type="dxa"/>
          </w:tcPr>
          <w:p w14:paraId="4B0B78F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1,61,148</w:t>
            </w:r>
          </w:p>
        </w:tc>
        <w:tc>
          <w:tcPr>
            <w:tcW w:w="2556" w:type="dxa"/>
          </w:tcPr>
          <w:p w14:paraId="122BF57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(258,851 – 88,273) ÷ 161,148</w:t>
            </w:r>
          </w:p>
        </w:tc>
        <w:tc>
          <w:tcPr>
            <w:tcW w:w="1503" w:type="dxa"/>
          </w:tcPr>
          <w:p w14:paraId="3B73D0D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1.06</w:t>
            </w:r>
          </w:p>
        </w:tc>
      </w:tr>
      <w:tr w:rsidR="007A0C75" w:rsidRPr="007A0C75" w14:paraId="2A389804" w14:textId="77777777" w:rsidTr="00B24F4B">
        <w:tc>
          <w:tcPr>
            <w:tcW w:w="1129" w:type="dxa"/>
          </w:tcPr>
          <w:p w14:paraId="247BDCB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3ECF6FE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2,42,494</w:t>
            </w:r>
          </w:p>
        </w:tc>
        <w:tc>
          <w:tcPr>
            <w:tcW w:w="1418" w:type="dxa"/>
          </w:tcPr>
          <w:p w14:paraId="37051B2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79,355</w:t>
            </w:r>
          </w:p>
        </w:tc>
        <w:tc>
          <w:tcPr>
            <w:tcW w:w="1134" w:type="dxa"/>
          </w:tcPr>
          <w:p w14:paraId="59EF9B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1,58,291</w:t>
            </w:r>
          </w:p>
        </w:tc>
        <w:tc>
          <w:tcPr>
            <w:tcW w:w="2556" w:type="dxa"/>
          </w:tcPr>
          <w:p w14:paraId="5828CDE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(242,494 – 79,355) ÷ 158,291</w:t>
            </w:r>
          </w:p>
        </w:tc>
        <w:tc>
          <w:tcPr>
            <w:tcW w:w="1503" w:type="dxa"/>
          </w:tcPr>
          <w:p w14:paraId="306EEAF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1.03</w:t>
            </w:r>
          </w:p>
        </w:tc>
      </w:tr>
    </w:tbl>
    <w:p w14:paraId="582C9137" w14:textId="77777777" w:rsidR="007A0C75" w:rsidRPr="007A0C75" w:rsidRDefault="007A0C75" w:rsidP="007A0C75">
      <w:pPr>
        <w:pStyle w:val="Heading2"/>
      </w:pPr>
      <w:bookmarkStart w:id="31" w:name="_Toc216386219"/>
      <w:r w:rsidRPr="007A0C75">
        <w:t>Appendix E</w:t>
      </w:r>
      <w:bookmarkEnd w:id="31"/>
    </w:p>
    <w:tbl>
      <w:tblPr>
        <w:tblStyle w:val="TableGrid"/>
        <w:tblW w:w="0" w:type="auto"/>
        <w:tblLook w:val="04A0" w:firstRow="1" w:lastRow="0" w:firstColumn="1" w:lastColumn="0" w:noHBand="0" w:noVBand="1"/>
      </w:tblPr>
      <w:tblGrid>
        <w:gridCol w:w="1129"/>
        <w:gridCol w:w="1276"/>
        <w:gridCol w:w="1418"/>
        <w:gridCol w:w="3389"/>
        <w:gridCol w:w="1804"/>
      </w:tblGrid>
      <w:tr w:rsidR="007A0C75" w:rsidRPr="007A0C75" w14:paraId="051E7CD3" w14:textId="77777777" w:rsidTr="00B24F4B">
        <w:tc>
          <w:tcPr>
            <w:tcW w:w="1129" w:type="dxa"/>
          </w:tcPr>
          <w:p w14:paraId="40CBDAE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679A77C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1418" w:type="dxa"/>
          </w:tcPr>
          <w:p w14:paraId="2BF32581"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Total Assets (£m)</w:t>
            </w:r>
          </w:p>
        </w:tc>
        <w:tc>
          <w:tcPr>
            <w:tcW w:w="3389" w:type="dxa"/>
          </w:tcPr>
          <w:p w14:paraId="29F28F85"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Asset Turnover = Net Sales ÷ Total Assets</w:t>
            </w:r>
          </w:p>
        </w:tc>
        <w:tc>
          <w:tcPr>
            <w:tcW w:w="1804" w:type="dxa"/>
          </w:tcPr>
          <w:p w14:paraId="5978A9F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Asset Turnover</w:t>
            </w:r>
          </w:p>
        </w:tc>
      </w:tr>
      <w:tr w:rsidR="007A0C75" w:rsidRPr="007A0C75" w14:paraId="4CDF8093" w14:textId="77777777" w:rsidTr="00B24F4B">
        <w:trPr>
          <w:trHeight w:val="63"/>
        </w:trPr>
        <w:tc>
          <w:tcPr>
            <w:tcW w:w="1129" w:type="dxa"/>
          </w:tcPr>
          <w:p w14:paraId="7DA74E5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167464F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1418" w:type="dxa"/>
          </w:tcPr>
          <w:p w14:paraId="0A518AE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5,10,290</w:t>
            </w:r>
          </w:p>
        </w:tc>
        <w:tc>
          <w:tcPr>
            <w:tcW w:w="3389" w:type="dxa"/>
          </w:tcPr>
          <w:p w14:paraId="754B9F5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 ÷ 510,290</w:t>
            </w:r>
          </w:p>
        </w:tc>
        <w:tc>
          <w:tcPr>
            <w:tcW w:w="1804" w:type="dxa"/>
          </w:tcPr>
          <w:p w14:paraId="712C55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r>
      <w:tr w:rsidR="007A0C75" w:rsidRPr="007A0C75" w14:paraId="1627A6EE" w14:textId="77777777" w:rsidTr="00B24F4B">
        <w:tc>
          <w:tcPr>
            <w:tcW w:w="1129" w:type="dxa"/>
          </w:tcPr>
          <w:p w14:paraId="3554603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00FB1B0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1418" w:type="dxa"/>
          </w:tcPr>
          <w:p w14:paraId="3C47E21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5,10,348</w:t>
            </w:r>
          </w:p>
        </w:tc>
        <w:tc>
          <w:tcPr>
            <w:tcW w:w="3389" w:type="dxa"/>
          </w:tcPr>
          <w:p w14:paraId="2CB92EF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 ÷ 510,348</w:t>
            </w:r>
          </w:p>
        </w:tc>
        <w:tc>
          <w:tcPr>
            <w:tcW w:w="1804" w:type="dxa"/>
          </w:tcPr>
          <w:p w14:paraId="574BE89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1.18</w:t>
            </w:r>
          </w:p>
        </w:tc>
      </w:tr>
      <w:tr w:rsidR="007A0C75" w:rsidRPr="007A0C75" w14:paraId="4B2D021B" w14:textId="77777777" w:rsidTr="00B24F4B">
        <w:tc>
          <w:tcPr>
            <w:tcW w:w="1129" w:type="dxa"/>
          </w:tcPr>
          <w:p w14:paraId="0A3BAE6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2E9EC39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1418" w:type="dxa"/>
          </w:tcPr>
          <w:p w14:paraId="1BC262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5,04,163</w:t>
            </w:r>
          </w:p>
        </w:tc>
        <w:tc>
          <w:tcPr>
            <w:tcW w:w="3389" w:type="dxa"/>
          </w:tcPr>
          <w:p w14:paraId="0B516DF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 ÷ 504,163</w:t>
            </w:r>
          </w:p>
        </w:tc>
        <w:tc>
          <w:tcPr>
            <w:tcW w:w="1804" w:type="dxa"/>
          </w:tcPr>
          <w:p w14:paraId="4DF500D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1.08</w:t>
            </w:r>
          </w:p>
        </w:tc>
      </w:tr>
      <w:tr w:rsidR="007A0C75" w:rsidRPr="007A0C75" w14:paraId="528E3882" w14:textId="77777777" w:rsidTr="00B24F4B">
        <w:tc>
          <w:tcPr>
            <w:tcW w:w="1129" w:type="dxa"/>
          </w:tcPr>
          <w:p w14:paraId="18B697C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2FE9A28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1418" w:type="dxa"/>
          </w:tcPr>
          <w:p w14:paraId="310E05B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3,55,872</w:t>
            </w:r>
          </w:p>
        </w:tc>
        <w:tc>
          <w:tcPr>
            <w:tcW w:w="3389" w:type="dxa"/>
          </w:tcPr>
          <w:p w14:paraId="01FD248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 ÷ 355,872</w:t>
            </w:r>
          </w:p>
        </w:tc>
        <w:tc>
          <w:tcPr>
            <w:tcW w:w="1804" w:type="dxa"/>
          </w:tcPr>
          <w:p w14:paraId="6770197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w:t>
            </w:r>
          </w:p>
        </w:tc>
      </w:tr>
      <w:tr w:rsidR="007A0C75" w:rsidRPr="007A0C75" w14:paraId="16EC7A62" w14:textId="77777777" w:rsidTr="00B24F4B">
        <w:tc>
          <w:tcPr>
            <w:tcW w:w="1129" w:type="dxa"/>
          </w:tcPr>
          <w:p w14:paraId="351AC63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5F340B6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w:t>
            </w:r>
          </w:p>
        </w:tc>
        <w:tc>
          <w:tcPr>
            <w:tcW w:w="1418" w:type="dxa"/>
          </w:tcPr>
          <w:p w14:paraId="6AA5F77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3,23,354</w:t>
            </w:r>
          </w:p>
        </w:tc>
        <w:tc>
          <w:tcPr>
            <w:tcW w:w="3389" w:type="dxa"/>
          </w:tcPr>
          <w:p w14:paraId="7C14290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 ÷ 323,354</w:t>
            </w:r>
          </w:p>
        </w:tc>
        <w:tc>
          <w:tcPr>
            <w:tcW w:w="1804" w:type="dxa"/>
          </w:tcPr>
          <w:p w14:paraId="2C781C9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1.22</w:t>
            </w:r>
          </w:p>
        </w:tc>
      </w:tr>
    </w:tbl>
    <w:p w14:paraId="091FD2AD" w14:textId="77777777" w:rsidR="007A0C75" w:rsidRPr="007A0C75" w:rsidRDefault="007A0C75" w:rsidP="007A0C75">
      <w:pPr>
        <w:pStyle w:val="Heading2"/>
      </w:pPr>
      <w:bookmarkStart w:id="32" w:name="_Toc216386220"/>
      <w:r w:rsidRPr="007A0C75">
        <w:t>Appendix F</w:t>
      </w:r>
      <w:bookmarkEnd w:id="32"/>
    </w:p>
    <w:tbl>
      <w:tblPr>
        <w:tblStyle w:val="TableGrid"/>
        <w:tblW w:w="0" w:type="auto"/>
        <w:tblLook w:val="04A0" w:firstRow="1" w:lastRow="0" w:firstColumn="1" w:lastColumn="0" w:noHBand="0" w:noVBand="1"/>
      </w:tblPr>
      <w:tblGrid>
        <w:gridCol w:w="1129"/>
        <w:gridCol w:w="1276"/>
        <w:gridCol w:w="1418"/>
        <w:gridCol w:w="3389"/>
        <w:gridCol w:w="1804"/>
      </w:tblGrid>
      <w:tr w:rsidR="007A0C75" w:rsidRPr="007A0C75" w14:paraId="3F747436" w14:textId="77777777" w:rsidTr="00B24F4B">
        <w:tc>
          <w:tcPr>
            <w:tcW w:w="1129" w:type="dxa"/>
          </w:tcPr>
          <w:p w14:paraId="24E1FEDB"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0CFAE064"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1418" w:type="dxa"/>
          </w:tcPr>
          <w:p w14:paraId="0F7F251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PPE (£m)</w:t>
            </w:r>
          </w:p>
        </w:tc>
        <w:tc>
          <w:tcPr>
            <w:tcW w:w="3389" w:type="dxa"/>
          </w:tcPr>
          <w:p w14:paraId="1BBE7EC8"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Fixed Asset Turnover = Net Sales ÷ Net Property, Plant &amp; Equipment</w:t>
            </w:r>
          </w:p>
        </w:tc>
        <w:tc>
          <w:tcPr>
            <w:tcW w:w="1804" w:type="dxa"/>
          </w:tcPr>
          <w:p w14:paraId="76128490"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Fixed Asset Turnover</w:t>
            </w:r>
          </w:p>
        </w:tc>
      </w:tr>
      <w:tr w:rsidR="007A0C75" w:rsidRPr="007A0C75" w14:paraId="6554D3C2" w14:textId="77777777" w:rsidTr="00B24F4B">
        <w:tc>
          <w:tcPr>
            <w:tcW w:w="1129" w:type="dxa"/>
          </w:tcPr>
          <w:p w14:paraId="719B04A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630F182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1418" w:type="dxa"/>
          </w:tcPr>
          <w:p w14:paraId="551E1F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87,285</w:t>
            </w:r>
          </w:p>
        </w:tc>
        <w:tc>
          <w:tcPr>
            <w:tcW w:w="3389" w:type="dxa"/>
          </w:tcPr>
          <w:p w14:paraId="7FA6A13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 ÷ 87,285</w:t>
            </w:r>
          </w:p>
        </w:tc>
        <w:tc>
          <w:tcPr>
            <w:tcW w:w="1804" w:type="dxa"/>
          </w:tcPr>
          <w:p w14:paraId="368347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7.04</w:t>
            </w:r>
          </w:p>
        </w:tc>
      </w:tr>
      <w:tr w:rsidR="007A0C75" w:rsidRPr="007A0C75" w14:paraId="04DD7ABC" w14:textId="77777777" w:rsidTr="00B24F4B">
        <w:tc>
          <w:tcPr>
            <w:tcW w:w="1129" w:type="dxa"/>
          </w:tcPr>
          <w:p w14:paraId="024C9CB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5023ABE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1418" w:type="dxa"/>
          </w:tcPr>
          <w:p w14:paraId="0387B8D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74,647</w:t>
            </w:r>
          </w:p>
        </w:tc>
        <w:tc>
          <w:tcPr>
            <w:tcW w:w="3389" w:type="dxa"/>
          </w:tcPr>
          <w:p w14:paraId="08C9A48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 ÷ 74,647</w:t>
            </w:r>
          </w:p>
        </w:tc>
        <w:tc>
          <w:tcPr>
            <w:tcW w:w="1804" w:type="dxa"/>
          </w:tcPr>
          <w:p w14:paraId="3AB9CC4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8.06</w:t>
            </w:r>
          </w:p>
        </w:tc>
      </w:tr>
      <w:tr w:rsidR="007A0C75" w:rsidRPr="007A0C75" w14:paraId="7E2F99A5" w14:textId="77777777" w:rsidTr="00B24F4B">
        <w:tc>
          <w:tcPr>
            <w:tcW w:w="1129" w:type="dxa"/>
          </w:tcPr>
          <w:p w14:paraId="3FBA3CB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66B7F7B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1418" w:type="dxa"/>
          </w:tcPr>
          <w:p w14:paraId="3AA7335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62,791</w:t>
            </w:r>
          </w:p>
        </w:tc>
        <w:tc>
          <w:tcPr>
            <w:tcW w:w="3389" w:type="dxa"/>
          </w:tcPr>
          <w:p w14:paraId="3B6AA21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 ÷ 62,791</w:t>
            </w:r>
          </w:p>
        </w:tc>
        <w:tc>
          <w:tcPr>
            <w:tcW w:w="1804" w:type="dxa"/>
          </w:tcPr>
          <w:p w14:paraId="04D86F3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8.64</w:t>
            </w:r>
          </w:p>
        </w:tc>
      </w:tr>
      <w:tr w:rsidR="007A0C75" w:rsidRPr="007A0C75" w14:paraId="0D5A74FC" w14:textId="77777777" w:rsidTr="00B24F4B">
        <w:tc>
          <w:tcPr>
            <w:tcW w:w="1129" w:type="dxa"/>
          </w:tcPr>
          <w:p w14:paraId="03265B2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7182FB7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1418" w:type="dxa"/>
          </w:tcPr>
          <w:p w14:paraId="48F7104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44,619</w:t>
            </w:r>
          </w:p>
        </w:tc>
        <w:tc>
          <w:tcPr>
            <w:tcW w:w="3389" w:type="dxa"/>
          </w:tcPr>
          <w:p w14:paraId="493950B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 ÷ 44,619</w:t>
            </w:r>
          </w:p>
        </w:tc>
        <w:tc>
          <w:tcPr>
            <w:tcW w:w="1804" w:type="dxa"/>
          </w:tcPr>
          <w:p w14:paraId="36DB125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9.42</w:t>
            </w:r>
          </w:p>
        </w:tc>
      </w:tr>
    </w:tbl>
    <w:p w14:paraId="6246ACEE" w14:textId="77777777" w:rsidR="007A0C75" w:rsidRPr="007A0C75" w:rsidRDefault="007A0C75" w:rsidP="007A0C75">
      <w:pPr>
        <w:pStyle w:val="Heading2"/>
      </w:pPr>
      <w:bookmarkStart w:id="33" w:name="_Toc216386221"/>
      <w:r w:rsidRPr="007A0C75">
        <w:t>Appendix G</w:t>
      </w:r>
      <w:bookmarkEnd w:id="33"/>
    </w:p>
    <w:tbl>
      <w:tblPr>
        <w:tblStyle w:val="TableGrid"/>
        <w:tblW w:w="0" w:type="auto"/>
        <w:tblLook w:val="04A0" w:firstRow="1" w:lastRow="0" w:firstColumn="1" w:lastColumn="0" w:noHBand="0" w:noVBand="1"/>
      </w:tblPr>
      <w:tblGrid>
        <w:gridCol w:w="1115"/>
        <w:gridCol w:w="1403"/>
        <w:gridCol w:w="1366"/>
        <w:gridCol w:w="1951"/>
        <w:gridCol w:w="1271"/>
        <w:gridCol w:w="1910"/>
      </w:tblGrid>
      <w:tr w:rsidR="007A0C75" w:rsidRPr="007A0C75" w14:paraId="40342F85" w14:textId="77777777" w:rsidTr="00B24F4B">
        <w:tc>
          <w:tcPr>
            <w:tcW w:w="1127" w:type="dxa"/>
          </w:tcPr>
          <w:p w14:paraId="4C6507F1"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417" w:type="dxa"/>
          </w:tcPr>
          <w:p w14:paraId="5AEE8E74"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Income before tax</w:t>
            </w:r>
          </w:p>
        </w:tc>
        <w:tc>
          <w:tcPr>
            <w:tcW w:w="1284" w:type="dxa"/>
          </w:tcPr>
          <w:p w14:paraId="0CDBD32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Interest income (expenses)</w:t>
            </w:r>
          </w:p>
        </w:tc>
        <w:tc>
          <w:tcPr>
            <w:tcW w:w="1979" w:type="dxa"/>
          </w:tcPr>
          <w:p w14:paraId="684159C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EBIT = Income before tax – Interest expense</w:t>
            </w:r>
          </w:p>
        </w:tc>
        <w:tc>
          <w:tcPr>
            <w:tcW w:w="1276" w:type="dxa"/>
          </w:tcPr>
          <w:p w14:paraId="2E1E5833"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Interest Expense (£m)</w:t>
            </w:r>
          </w:p>
        </w:tc>
        <w:tc>
          <w:tcPr>
            <w:tcW w:w="1933" w:type="dxa"/>
          </w:tcPr>
          <w:p w14:paraId="5D2A70B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Interest Coverage Ratio = EBIT ÷ Interest Expense</w:t>
            </w:r>
          </w:p>
        </w:tc>
      </w:tr>
      <w:tr w:rsidR="007A0C75" w:rsidRPr="007A0C75" w14:paraId="3F1532B4" w14:textId="77777777" w:rsidTr="00B24F4B">
        <w:tc>
          <w:tcPr>
            <w:tcW w:w="1127" w:type="dxa"/>
          </w:tcPr>
          <w:p w14:paraId="2D0FDCE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7" w:type="dxa"/>
          </w:tcPr>
          <w:p w14:paraId="54997C3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43,905</w:t>
            </w:r>
          </w:p>
        </w:tc>
        <w:tc>
          <w:tcPr>
            <w:tcW w:w="1284" w:type="dxa"/>
          </w:tcPr>
          <w:p w14:paraId="1F3FAAC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-1,422</w:t>
            </w:r>
          </w:p>
        </w:tc>
        <w:tc>
          <w:tcPr>
            <w:tcW w:w="1979" w:type="dxa"/>
          </w:tcPr>
          <w:p w14:paraId="6886F80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43,905 – (1,422) = 45,327</w:t>
            </w:r>
          </w:p>
        </w:tc>
        <w:tc>
          <w:tcPr>
            <w:tcW w:w="1276" w:type="dxa"/>
          </w:tcPr>
          <w:p w14:paraId="1CE6ABD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1,422</w:t>
            </w:r>
          </w:p>
        </w:tc>
        <w:tc>
          <w:tcPr>
            <w:tcW w:w="1933" w:type="dxa"/>
          </w:tcPr>
          <w:p w14:paraId="585B3BE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31.87</w:t>
            </w:r>
          </w:p>
        </w:tc>
      </w:tr>
      <w:tr w:rsidR="007A0C75" w:rsidRPr="007A0C75" w14:paraId="2B404367" w14:textId="77777777" w:rsidTr="00B24F4B">
        <w:tc>
          <w:tcPr>
            <w:tcW w:w="1127" w:type="dxa"/>
          </w:tcPr>
          <w:p w14:paraId="2B4708E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7" w:type="dxa"/>
          </w:tcPr>
          <w:p w14:paraId="5F2DFDE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16,080</w:t>
            </w:r>
          </w:p>
        </w:tc>
        <w:tc>
          <w:tcPr>
            <w:tcW w:w="1284" w:type="dxa"/>
          </w:tcPr>
          <w:p w14:paraId="0273762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-566</w:t>
            </w:r>
          </w:p>
        </w:tc>
        <w:tc>
          <w:tcPr>
            <w:tcW w:w="1979" w:type="dxa"/>
          </w:tcPr>
          <w:p w14:paraId="2288256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16,080 – (566) = 16,646</w:t>
            </w:r>
          </w:p>
        </w:tc>
        <w:tc>
          <w:tcPr>
            <w:tcW w:w="1276" w:type="dxa"/>
          </w:tcPr>
          <w:p w14:paraId="5C0F066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566</w:t>
            </w:r>
          </w:p>
        </w:tc>
        <w:tc>
          <w:tcPr>
            <w:tcW w:w="1933" w:type="dxa"/>
          </w:tcPr>
          <w:p w14:paraId="4776950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29.41</w:t>
            </w:r>
          </w:p>
        </w:tc>
      </w:tr>
      <w:tr w:rsidR="007A0C75" w:rsidRPr="007A0C75" w14:paraId="678415D9" w14:textId="77777777" w:rsidTr="00B24F4B">
        <w:tc>
          <w:tcPr>
            <w:tcW w:w="1127" w:type="dxa"/>
          </w:tcPr>
          <w:p w14:paraId="5B6684A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7" w:type="dxa"/>
          </w:tcPr>
          <w:p w14:paraId="06FD053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11,393</w:t>
            </w:r>
          </w:p>
        </w:tc>
        <w:tc>
          <w:tcPr>
            <w:tcW w:w="1284" w:type="dxa"/>
          </w:tcPr>
          <w:p w14:paraId="33BEE2E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-2,200</w:t>
            </w:r>
          </w:p>
        </w:tc>
        <w:tc>
          <w:tcPr>
            <w:tcW w:w="1979" w:type="dxa"/>
          </w:tcPr>
          <w:p w14:paraId="3D14A24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11,393 – (2,200) = 13,593</w:t>
            </w:r>
          </w:p>
        </w:tc>
        <w:tc>
          <w:tcPr>
            <w:tcW w:w="1276" w:type="dxa"/>
          </w:tcPr>
          <w:p w14:paraId="5BA21AC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2,200</w:t>
            </w:r>
          </w:p>
        </w:tc>
        <w:tc>
          <w:tcPr>
            <w:tcW w:w="1933" w:type="dxa"/>
          </w:tcPr>
          <w:p w14:paraId="74EA9C8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6.18</w:t>
            </w:r>
          </w:p>
        </w:tc>
      </w:tr>
      <w:tr w:rsidR="007A0C75" w:rsidRPr="007A0C75" w14:paraId="1DC97CE7" w14:textId="77777777" w:rsidTr="00B24F4B">
        <w:tc>
          <w:tcPr>
            <w:tcW w:w="1127" w:type="dxa"/>
          </w:tcPr>
          <w:p w14:paraId="51471D3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7" w:type="dxa"/>
          </w:tcPr>
          <w:p w14:paraId="3037C83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-92,254</w:t>
            </w:r>
          </w:p>
        </w:tc>
        <w:tc>
          <w:tcPr>
            <w:tcW w:w="1284" w:type="dxa"/>
          </w:tcPr>
          <w:p w14:paraId="67083FD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-4,332</w:t>
            </w:r>
          </w:p>
        </w:tc>
        <w:tc>
          <w:tcPr>
            <w:tcW w:w="1979" w:type="dxa"/>
          </w:tcPr>
          <w:p w14:paraId="428609D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 xml:space="preserve">–92,254 – (4,332) = –87,922 </w:t>
            </w:r>
          </w:p>
        </w:tc>
        <w:tc>
          <w:tcPr>
            <w:tcW w:w="1276" w:type="dxa"/>
          </w:tcPr>
          <w:p w14:paraId="2B34B58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4,332</w:t>
            </w:r>
          </w:p>
        </w:tc>
        <w:tc>
          <w:tcPr>
            <w:tcW w:w="1933" w:type="dxa"/>
          </w:tcPr>
          <w:p w14:paraId="2023F0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–20.29</w:t>
            </w:r>
          </w:p>
        </w:tc>
      </w:tr>
      <w:tr w:rsidR="007A0C75" w:rsidRPr="007A0C75" w14:paraId="73BC78CE" w14:textId="77777777" w:rsidTr="00B24F4B">
        <w:tc>
          <w:tcPr>
            <w:tcW w:w="1127" w:type="dxa"/>
          </w:tcPr>
          <w:p w14:paraId="55C95E3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7" w:type="dxa"/>
          </w:tcPr>
          <w:p w14:paraId="29305BF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-18,598</w:t>
            </w:r>
          </w:p>
        </w:tc>
        <w:tc>
          <w:tcPr>
            <w:tcW w:w="1284" w:type="dxa"/>
          </w:tcPr>
          <w:p w14:paraId="3F43FEF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-3,361</w:t>
            </w:r>
          </w:p>
        </w:tc>
        <w:tc>
          <w:tcPr>
            <w:tcW w:w="1979" w:type="dxa"/>
          </w:tcPr>
          <w:p w14:paraId="2E9968C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–18,598 – (3,361) = –15,237</w:t>
            </w:r>
          </w:p>
        </w:tc>
        <w:tc>
          <w:tcPr>
            <w:tcW w:w="1276" w:type="dxa"/>
          </w:tcPr>
          <w:p w14:paraId="4E5672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3,361</w:t>
            </w:r>
          </w:p>
        </w:tc>
        <w:tc>
          <w:tcPr>
            <w:tcW w:w="1933" w:type="dxa"/>
          </w:tcPr>
          <w:p w14:paraId="6568777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–4.53</w:t>
            </w:r>
          </w:p>
        </w:tc>
      </w:tr>
    </w:tbl>
    <w:p w14:paraId="20736FD9" w14:textId="77777777" w:rsidR="007A0C75" w:rsidRPr="007A0C75" w:rsidRDefault="007A0C75" w:rsidP="007A0C75">
      <w:pPr>
        <w:pStyle w:val="Heading2"/>
      </w:pPr>
      <w:bookmarkStart w:id="34" w:name="_Toc216386222"/>
      <w:r w:rsidRPr="007A0C75">
        <w:t>Appendix H</w:t>
      </w:r>
      <w:bookmarkEnd w:id="34"/>
    </w:p>
    <w:tbl>
      <w:tblPr>
        <w:tblStyle w:val="TableGrid"/>
        <w:tblW w:w="0" w:type="auto"/>
        <w:tblLook w:val="04A0" w:firstRow="1" w:lastRow="0" w:firstColumn="1" w:lastColumn="0" w:noHBand="0" w:noVBand="1"/>
      </w:tblPr>
      <w:tblGrid>
        <w:gridCol w:w="1129"/>
        <w:gridCol w:w="1276"/>
        <w:gridCol w:w="3119"/>
        <w:gridCol w:w="3492"/>
      </w:tblGrid>
      <w:tr w:rsidR="007A0C75" w:rsidRPr="007A0C75" w14:paraId="06C0419E" w14:textId="77777777" w:rsidTr="00B24F4B">
        <w:trPr>
          <w:trHeight w:val="566"/>
        </w:trPr>
        <w:tc>
          <w:tcPr>
            <w:tcW w:w="1129" w:type="dxa"/>
          </w:tcPr>
          <w:p w14:paraId="079698C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3770901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Total Liabilities</w:t>
            </w:r>
          </w:p>
        </w:tc>
        <w:tc>
          <w:tcPr>
            <w:tcW w:w="3119" w:type="dxa"/>
          </w:tcPr>
          <w:p w14:paraId="7454B53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Total Equity</w:t>
            </w:r>
          </w:p>
        </w:tc>
        <w:tc>
          <w:tcPr>
            <w:tcW w:w="3492" w:type="dxa"/>
          </w:tcPr>
          <w:p w14:paraId="70B910A3"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Debt-to-Equity Ratio = Total Liabilities ÷ Total Shareholders’ Equity</w:t>
            </w:r>
          </w:p>
        </w:tc>
      </w:tr>
      <w:tr w:rsidR="007A0C75" w:rsidRPr="007A0C75" w14:paraId="1128DF32" w14:textId="77777777" w:rsidTr="007A0C75">
        <w:trPr>
          <w:trHeight w:val="63"/>
        </w:trPr>
        <w:tc>
          <w:tcPr>
            <w:tcW w:w="1129" w:type="dxa"/>
          </w:tcPr>
          <w:p w14:paraId="18A1FC6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195BCEA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1,96,989</w:t>
            </w:r>
          </w:p>
        </w:tc>
        <w:tc>
          <w:tcPr>
            <w:tcW w:w="3119" w:type="dxa"/>
          </w:tcPr>
          <w:p w14:paraId="7212FBE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3,13,301</w:t>
            </w:r>
          </w:p>
        </w:tc>
        <w:tc>
          <w:tcPr>
            <w:tcW w:w="3492" w:type="dxa"/>
          </w:tcPr>
          <w:p w14:paraId="5D57ECE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0.63</w:t>
            </w:r>
          </w:p>
        </w:tc>
      </w:tr>
      <w:tr w:rsidR="007A0C75" w:rsidRPr="007A0C75" w14:paraId="4768518B" w14:textId="77777777" w:rsidTr="00B24F4B">
        <w:tc>
          <w:tcPr>
            <w:tcW w:w="1129" w:type="dxa"/>
          </w:tcPr>
          <w:p w14:paraId="6807434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79ABD00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2,34,399</w:t>
            </w:r>
          </w:p>
        </w:tc>
        <w:tc>
          <w:tcPr>
            <w:tcW w:w="3119" w:type="dxa"/>
          </w:tcPr>
          <w:p w14:paraId="4F589E5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2,75,949</w:t>
            </w:r>
          </w:p>
        </w:tc>
        <w:tc>
          <w:tcPr>
            <w:tcW w:w="3492" w:type="dxa"/>
          </w:tcPr>
          <w:p w14:paraId="15BE7A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0.85</w:t>
            </w:r>
          </w:p>
        </w:tc>
      </w:tr>
      <w:tr w:rsidR="007A0C75" w:rsidRPr="007A0C75" w14:paraId="53600954" w14:textId="77777777" w:rsidTr="00B24F4B">
        <w:tc>
          <w:tcPr>
            <w:tcW w:w="1129" w:type="dxa"/>
          </w:tcPr>
          <w:p w14:paraId="080D179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794ECA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2,35,757</w:t>
            </w:r>
          </w:p>
        </w:tc>
        <w:tc>
          <w:tcPr>
            <w:tcW w:w="3119" w:type="dxa"/>
          </w:tcPr>
          <w:p w14:paraId="5EB6D2D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2,68,406</w:t>
            </w:r>
          </w:p>
        </w:tc>
        <w:tc>
          <w:tcPr>
            <w:tcW w:w="3492" w:type="dxa"/>
          </w:tcPr>
          <w:p w14:paraId="26C44A3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0.88</w:t>
            </w:r>
          </w:p>
        </w:tc>
      </w:tr>
      <w:tr w:rsidR="007A0C75" w:rsidRPr="007A0C75" w14:paraId="32188E0E" w14:textId="77777777" w:rsidTr="00B24F4B">
        <w:tc>
          <w:tcPr>
            <w:tcW w:w="1129" w:type="dxa"/>
          </w:tcPr>
          <w:p w14:paraId="2652C43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503D5C2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1,76,952</w:t>
            </w:r>
          </w:p>
        </w:tc>
        <w:tc>
          <w:tcPr>
            <w:tcW w:w="3119" w:type="dxa"/>
          </w:tcPr>
          <w:p w14:paraId="5D0406A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1,78,920</w:t>
            </w:r>
          </w:p>
        </w:tc>
        <w:tc>
          <w:tcPr>
            <w:tcW w:w="3492" w:type="dxa"/>
          </w:tcPr>
          <w:p w14:paraId="7E80E68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0.99</w:t>
            </w:r>
          </w:p>
        </w:tc>
      </w:tr>
      <w:tr w:rsidR="007A0C75" w:rsidRPr="007A0C75" w14:paraId="54F8E79C" w14:textId="77777777" w:rsidTr="00B24F4B">
        <w:tc>
          <w:tcPr>
            <w:tcW w:w="1129" w:type="dxa"/>
          </w:tcPr>
          <w:p w14:paraId="730E6DC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0B972C9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1,70,249</w:t>
            </w:r>
          </w:p>
        </w:tc>
        <w:tc>
          <w:tcPr>
            <w:tcW w:w="3119" w:type="dxa"/>
          </w:tcPr>
          <w:p w14:paraId="41964B8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1,53,105</w:t>
            </w:r>
          </w:p>
        </w:tc>
        <w:tc>
          <w:tcPr>
            <w:tcW w:w="3492" w:type="dxa"/>
          </w:tcPr>
          <w:p w14:paraId="3DDCA6D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1.11</w:t>
            </w:r>
          </w:p>
        </w:tc>
      </w:tr>
    </w:tbl>
    <w:p w14:paraId="6BDA2848" w14:textId="77777777" w:rsidR="007A0C75" w:rsidRPr="007A0C75" w:rsidRDefault="007A0C75" w:rsidP="007A0C75">
      <w:pPr>
        <w:pStyle w:val="Heading2"/>
      </w:pPr>
      <w:bookmarkStart w:id="35" w:name="_Toc216386223"/>
      <w:r w:rsidRPr="007A0C75">
        <w:t>Appendix I</w:t>
      </w:r>
      <w:bookmarkEnd w:id="35"/>
    </w:p>
    <w:tbl>
      <w:tblPr>
        <w:tblStyle w:val="TableGrid"/>
        <w:tblW w:w="0" w:type="auto"/>
        <w:tblLook w:val="04A0" w:firstRow="1" w:lastRow="0" w:firstColumn="1" w:lastColumn="0" w:noHBand="0" w:noVBand="1"/>
      </w:tblPr>
      <w:tblGrid>
        <w:gridCol w:w="1271"/>
        <w:gridCol w:w="1559"/>
        <w:gridCol w:w="1418"/>
        <w:gridCol w:w="2964"/>
        <w:gridCol w:w="1804"/>
      </w:tblGrid>
      <w:tr w:rsidR="007A0C75" w:rsidRPr="007A0C75" w14:paraId="244ABF20" w14:textId="77777777" w:rsidTr="00B24F4B">
        <w:tc>
          <w:tcPr>
            <w:tcW w:w="1271" w:type="dxa"/>
          </w:tcPr>
          <w:p w14:paraId="2B483F7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559" w:type="dxa"/>
          </w:tcPr>
          <w:p w14:paraId="0DB805C3"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Income (Loss) (£m)</w:t>
            </w:r>
          </w:p>
        </w:tc>
        <w:tc>
          <w:tcPr>
            <w:tcW w:w="1418" w:type="dxa"/>
          </w:tcPr>
          <w:p w14:paraId="67C1C68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Total Assets (£m)</w:t>
            </w:r>
          </w:p>
        </w:tc>
        <w:tc>
          <w:tcPr>
            <w:tcW w:w="2964" w:type="dxa"/>
          </w:tcPr>
          <w:p w14:paraId="0FEA2E32"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ROA = Net Income ÷ Total Assets</w:t>
            </w:r>
          </w:p>
        </w:tc>
        <w:tc>
          <w:tcPr>
            <w:tcW w:w="1804" w:type="dxa"/>
          </w:tcPr>
          <w:p w14:paraId="25FADF0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ROA (%)</w:t>
            </w:r>
          </w:p>
        </w:tc>
      </w:tr>
      <w:tr w:rsidR="007A0C75" w:rsidRPr="007A0C75" w14:paraId="42F61BB4" w14:textId="77777777" w:rsidTr="00B24F4B">
        <w:trPr>
          <w:trHeight w:val="63"/>
        </w:trPr>
        <w:tc>
          <w:tcPr>
            <w:tcW w:w="1271" w:type="dxa"/>
          </w:tcPr>
          <w:p w14:paraId="6292EF3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559" w:type="dxa"/>
          </w:tcPr>
          <w:p w14:paraId="39EFDA7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w:t>
            </w:r>
          </w:p>
        </w:tc>
        <w:tc>
          <w:tcPr>
            <w:tcW w:w="1418" w:type="dxa"/>
          </w:tcPr>
          <w:p w14:paraId="419DA82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5,10,290</w:t>
            </w:r>
          </w:p>
        </w:tc>
        <w:tc>
          <w:tcPr>
            <w:tcW w:w="2964" w:type="dxa"/>
          </w:tcPr>
          <w:p w14:paraId="5848C99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 ÷ 510,290</w:t>
            </w:r>
          </w:p>
        </w:tc>
        <w:tc>
          <w:tcPr>
            <w:tcW w:w="1804" w:type="dxa"/>
          </w:tcPr>
          <w:p w14:paraId="7B6A957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7.56%</w:t>
            </w:r>
          </w:p>
        </w:tc>
      </w:tr>
      <w:tr w:rsidR="007A0C75" w:rsidRPr="007A0C75" w14:paraId="4D4C6889" w14:textId="77777777" w:rsidTr="00B24F4B">
        <w:tc>
          <w:tcPr>
            <w:tcW w:w="1271" w:type="dxa"/>
          </w:tcPr>
          <w:p w14:paraId="769197E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559" w:type="dxa"/>
          </w:tcPr>
          <w:p w14:paraId="4A7CD4F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w:t>
            </w:r>
          </w:p>
        </w:tc>
        <w:tc>
          <w:tcPr>
            <w:tcW w:w="1418" w:type="dxa"/>
          </w:tcPr>
          <w:p w14:paraId="3202674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5,10,348</w:t>
            </w:r>
          </w:p>
        </w:tc>
        <w:tc>
          <w:tcPr>
            <w:tcW w:w="2964" w:type="dxa"/>
          </w:tcPr>
          <w:p w14:paraId="214142C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 ÷ 510,348</w:t>
            </w:r>
          </w:p>
        </w:tc>
        <w:tc>
          <w:tcPr>
            <w:tcW w:w="1804" w:type="dxa"/>
          </w:tcPr>
          <w:p w14:paraId="5FAB64F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1.04%</w:t>
            </w:r>
          </w:p>
        </w:tc>
      </w:tr>
      <w:tr w:rsidR="007A0C75" w:rsidRPr="007A0C75" w14:paraId="1703A12C" w14:textId="77777777" w:rsidTr="00B24F4B">
        <w:tc>
          <w:tcPr>
            <w:tcW w:w="1271" w:type="dxa"/>
          </w:tcPr>
          <w:p w14:paraId="07533AB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559" w:type="dxa"/>
          </w:tcPr>
          <w:p w14:paraId="1EFF79D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w:t>
            </w:r>
          </w:p>
        </w:tc>
        <w:tc>
          <w:tcPr>
            <w:tcW w:w="1418" w:type="dxa"/>
          </w:tcPr>
          <w:p w14:paraId="49F2B36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5,04,163</w:t>
            </w:r>
          </w:p>
        </w:tc>
        <w:tc>
          <w:tcPr>
            <w:tcW w:w="2964" w:type="dxa"/>
          </w:tcPr>
          <w:p w14:paraId="7EDA59E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 ÷ 504,163</w:t>
            </w:r>
          </w:p>
        </w:tc>
        <w:tc>
          <w:tcPr>
            <w:tcW w:w="1804" w:type="dxa"/>
          </w:tcPr>
          <w:p w14:paraId="19B6DB3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0.08%</w:t>
            </w:r>
          </w:p>
        </w:tc>
      </w:tr>
      <w:tr w:rsidR="007A0C75" w:rsidRPr="007A0C75" w14:paraId="6E18C58A" w14:textId="77777777" w:rsidTr="00B24F4B">
        <w:tc>
          <w:tcPr>
            <w:tcW w:w="1271" w:type="dxa"/>
          </w:tcPr>
          <w:p w14:paraId="014ADB9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559" w:type="dxa"/>
          </w:tcPr>
          <w:p w14:paraId="2FD6279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w:t>
            </w:r>
          </w:p>
        </w:tc>
        <w:tc>
          <w:tcPr>
            <w:tcW w:w="1418" w:type="dxa"/>
          </w:tcPr>
          <w:p w14:paraId="45B889A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3,55,872</w:t>
            </w:r>
          </w:p>
        </w:tc>
        <w:tc>
          <w:tcPr>
            <w:tcW w:w="2964" w:type="dxa"/>
          </w:tcPr>
          <w:p w14:paraId="5385451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 ÷ 355,872</w:t>
            </w:r>
          </w:p>
        </w:tc>
        <w:tc>
          <w:tcPr>
            <w:tcW w:w="1804" w:type="dxa"/>
          </w:tcPr>
          <w:p w14:paraId="3AB9345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–27.60%</w:t>
            </w:r>
          </w:p>
        </w:tc>
      </w:tr>
      <w:tr w:rsidR="007A0C75" w:rsidRPr="007A0C75" w14:paraId="779E8EBC" w14:textId="77777777" w:rsidTr="00B24F4B">
        <w:tc>
          <w:tcPr>
            <w:tcW w:w="1271" w:type="dxa"/>
          </w:tcPr>
          <w:p w14:paraId="475F2F3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559" w:type="dxa"/>
          </w:tcPr>
          <w:p w14:paraId="29A393B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w:t>
            </w:r>
          </w:p>
        </w:tc>
        <w:tc>
          <w:tcPr>
            <w:tcW w:w="1418" w:type="dxa"/>
          </w:tcPr>
          <w:p w14:paraId="0366D6E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3,23,354</w:t>
            </w:r>
          </w:p>
        </w:tc>
        <w:tc>
          <w:tcPr>
            <w:tcW w:w="2964" w:type="dxa"/>
          </w:tcPr>
          <w:p w14:paraId="1B4F4CB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 ÷ 323,354</w:t>
            </w:r>
          </w:p>
        </w:tc>
        <w:tc>
          <w:tcPr>
            <w:tcW w:w="1804" w:type="dxa"/>
          </w:tcPr>
          <w:p w14:paraId="4C3DBD9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–7.43%</w:t>
            </w:r>
          </w:p>
        </w:tc>
      </w:tr>
    </w:tbl>
    <w:p w14:paraId="18D6B670" w14:textId="77777777" w:rsidR="007A0C75" w:rsidRPr="007A0C75" w:rsidRDefault="007A0C75" w:rsidP="007A0C75">
      <w:pPr>
        <w:pStyle w:val="Heading2"/>
      </w:pPr>
      <w:bookmarkStart w:id="36" w:name="_Toc216386224"/>
      <w:r w:rsidRPr="007A0C75">
        <w:t>Appendix J</w:t>
      </w:r>
      <w:bookmarkEnd w:id="36"/>
    </w:p>
    <w:tbl>
      <w:tblPr>
        <w:tblStyle w:val="TableGrid"/>
        <w:tblW w:w="0" w:type="auto"/>
        <w:tblLook w:val="04A0" w:firstRow="1" w:lastRow="0" w:firstColumn="1" w:lastColumn="0" w:noHBand="0" w:noVBand="1"/>
      </w:tblPr>
      <w:tblGrid>
        <w:gridCol w:w="1204"/>
        <w:gridCol w:w="1490"/>
        <w:gridCol w:w="1684"/>
        <w:gridCol w:w="2933"/>
        <w:gridCol w:w="1705"/>
      </w:tblGrid>
      <w:tr w:rsidR="007A0C75" w:rsidRPr="007A0C75" w14:paraId="00E31EB4" w14:textId="77777777" w:rsidTr="00B24F4B">
        <w:tc>
          <w:tcPr>
            <w:tcW w:w="1221" w:type="dxa"/>
          </w:tcPr>
          <w:p w14:paraId="0021AF2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506" w:type="dxa"/>
          </w:tcPr>
          <w:p w14:paraId="2748EAB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Income (Loss) (£m)</w:t>
            </w:r>
          </w:p>
        </w:tc>
        <w:tc>
          <w:tcPr>
            <w:tcW w:w="1587" w:type="dxa"/>
          </w:tcPr>
          <w:p w14:paraId="33616B3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Total Shareholders’ Equity (£m)</w:t>
            </w:r>
          </w:p>
        </w:tc>
        <w:tc>
          <w:tcPr>
            <w:tcW w:w="2973" w:type="dxa"/>
          </w:tcPr>
          <w:p w14:paraId="3B5BD595"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ROE = Net Income (Loss) ÷ Total Shareholders’ Equity</w:t>
            </w:r>
          </w:p>
        </w:tc>
        <w:tc>
          <w:tcPr>
            <w:tcW w:w="1729" w:type="dxa"/>
          </w:tcPr>
          <w:p w14:paraId="4D1D877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ROE (%)</w:t>
            </w:r>
          </w:p>
        </w:tc>
      </w:tr>
      <w:tr w:rsidR="007A0C75" w:rsidRPr="007A0C75" w14:paraId="689F6A7F" w14:textId="77777777" w:rsidTr="00B24F4B">
        <w:tc>
          <w:tcPr>
            <w:tcW w:w="1221" w:type="dxa"/>
          </w:tcPr>
          <w:p w14:paraId="241D888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506" w:type="dxa"/>
          </w:tcPr>
          <w:p w14:paraId="1C0B722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w:t>
            </w:r>
          </w:p>
        </w:tc>
        <w:tc>
          <w:tcPr>
            <w:tcW w:w="1587" w:type="dxa"/>
          </w:tcPr>
          <w:p w14:paraId="7E27B9C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3,13,301</w:t>
            </w:r>
          </w:p>
        </w:tc>
        <w:tc>
          <w:tcPr>
            <w:tcW w:w="2973" w:type="dxa"/>
          </w:tcPr>
          <w:p w14:paraId="550E8A1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 ÷ 313,301</w:t>
            </w:r>
          </w:p>
        </w:tc>
        <w:tc>
          <w:tcPr>
            <w:tcW w:w="1729" w:type="dxa"/>
          </w:tcPr>
          <w:p w14:paraId="29D4ED4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12.31%</w:t>
            </w:r>
          </w:p>
        </w:tc>
      </w:tr>
      <w:tr w:rsidR="007A0C75" w:rsidRPr="007A0C75" w14:paraId="39384317" w14:textId="77777777" w:rsidTr="00B24F4B">
        <w:tc>
          <w:tcPr>
            <w:tcW w:w="1221" w:type="dxa"/>
          </w:tcPr>
          <w:p w14:paraId="46C582B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506" w:type="dxa"/>
          </w:tcPr>
          <w:p w14:paraId="2233CA7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w:t>
            </w:r>
          </w:p>
        </w:tc>
        <w:tc>
          <w:tcPr>
            <w:tcW w:w="1587" w:type="dxa"/>
          </w:tcPr>
          <w:p w14:paraId="37EB355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2,75,949</w:t>
            </w:r>
          </w:p>
        </w:tc>
        <w:tc>
          <w:tcPr>
            <w:tcW w:w="2973" w:type="dxa"/>
          </w:tcPr>
          <w:p w14:paraId="5569F29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 ÷ 275,949</w:t>
            </w:r>
          </w:p>
        </w:tc>
        <w:tc>
          <w:tcPr>
            <w:tcW w:w="1729" w:type="dxa"/>
          </w:tcPr>
          <w:p w14:paraId="5C8D711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1.92%</w:t>
            </w:r>
          </w:p>
        </w:tc>
      </w:tr>
      <w:tr w:rsidR="007A0C75" w:rsidRPr="007A0C75" w14:paraId="64DCF090" w14:textId="77777777" w:rsidTr="00B24F4B">
        <w:tc>
          <w:tcPr>
            <w:tcW w:w="1221" w:type="dxa"/>
          </w:tcPr>
          <w:p w14:paraId="3E72AAF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506" w:type="dxa"/>
          </w:tcPr>
          <w:p w14:paraId="5016796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w:t>
            </w:r>
          </w:p>
        </w:tc>
        <w:tc>
          <w:tcPr>
            <w:tcW w:w="1587" w:type="dxa"/>
          </w:tcPr>
          <w:p w14:paraId="093B9DC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2,68,406</w:t>
            </w:r>
          </w:p>
        </w:tc>
        <w:tc>
          <w:tcPr>
            <w:tcW w:w="2973" w:type="dxa"/>
          </w:tcPr>
          <w:p w14:paraId="4F2010A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 ÷ 268,406</w:t>
            </w:r>
          </w:p>
        </w:tc>
        <w:tc>
          <w:tcPr>
            <w:tcW w:w="1729" w:type="dxa"/>
          </w:tcPr>
          <w:p w14:paraId="1C2C26E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0.15%</w:t>
            </w:r>
          </w:p>
        </w:tc>
      </w:tr>
      <w:tr w:rsidR="007A0C75" w:rsidRPr="007A0C75" w14:paraId="6B037276" w14:textId="77777777" w:rsidTr="00B24F4B">
        <w:tc>
          <w:tcPr>
            <w:tcW w:w="1221" w:type="dxa"/>
          </w:tcPr>
          <w:p w14:paraId="0B05A83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506" w:type="dxa"/>
          </w:tcPr>
          <w:p w14:paraId="73123E8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w:t>
            </w:r>
          </w:p>
        </w:tc>
        <w:tc>
          <w:tcPr>
            <w:tcW w:w="1587" w:type="dxa"/>
          </w:tcPr>
          <w:p w14:paraId="1DF4F1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1,78,920</w:t>
            </w:r>
          </w:p>
        </w:tc>
        <w:tc>
          <w:tcPr>
            <w:tcW w:w="2973" w:type="dxa"/>
          </w:tcPr>
          <w:p w14:paraId="58EEC59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 ÷ 178,920</w:t>
            </w:r>
          </w:p>
        </w:tc>
        <w:tc>
          <w:tcPr>
            <w:tcW w:w="1729" w:type="dxa"/>
          </w:tcPr>
          <w:p w14:paraId="5B1FB8D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–54.90%</w:t>
            </w:r>
          </w:p>
        </w:tc>
      </w:tr>
      <w:tr w:rsidR="007A0C75" w:rsidRPr="007A0C75" w14:paraId="60E66A80" w14:textId="77777777" w:rsidTr="00B24F4B">
        <w:tc>
          <w:tcPr>
            <w:tcW w:w="1221" w:type="dxa"/>
          </w:tcPr>
          <w:p w14:paraId="7E4B0EF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506" w:type="dxa"/>
          </w:tcPr>
          <w:p w14:paraId="20898AA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w:t>
            </w:r>
          </w:p>
        </w:tc>
        <w:tc>
          <w:tcPr>
            <w:tcW w:w="1587" w:type="dxa"/>
          </w:tcPr>
          <w:p w14:paraId="5799AED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1,53,105</w:t>
            </w:r>
          </w:p>
        </w:tc>
        <w:tc>
          <w:tcPr>
            <w:tcW w:w="2973" w:type="dxa"/>
          </w:tcPr>
          <w:p w14:paraId="3DD55D7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 ÷ 153,105</w:t>
            </w:r>
          </w:p>
        </w:tc>
        <w:tc>
          <w:tcPr>
            <w:tcW w:w="1729" w:type="dxa"/>
          </w:tcPr>
          <w:p w14:paraId="3D6EDB7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–15.69%</w:t>
            </w:r>
          </w:p>
        </w:tc>
      </w:tr>
    </w:tbl>
    <w:p w14:paraId="02909D86" w14:textId="77777777" w:rsidR="007A0C75" w:rsidRPr="007A0C75" w:rsidRDefault="007A0C75" w:rsidP="007A0C75">
      <w:pPr>
        <w:pStyle w:val="Heading2"/>
      </w:pPr>
      <w:bookmarkStart w:id="37" w:name="_Toc216386225"/>
      <w:r w:rsidRPr="007A0C75">
        <w:t>Appendix K</w:t>
      </w:r>
      <w:bookmarkEnd w:id="37"/>
    </w:p>
    <w:tbl>
      <w:tblPr>
        <w:tblStyle w:val="TableGrid"/>
        <w:tblW w:w="0" w:type="auto"/>
        <w:tblLook w:val="04A0" w:firstRow="1" w:lastRow="0" w:firstColumn="1" w:lastColumn="0" w:noHBand="0" w:noVBand="1"/>
      </w:tblPr>
      <w:tblGrid>
        <w:gridCol w:w="1271"/>
        <w:gridCol w:w="1418"/>
        <w:gridCol w:w="1701"/>
        <w:gridCol w:w="2822"/>
        <w:gridCol w:w="1804"/>
      </w:tblGrid>
      <w:tr w:rsidR="007A0C75" w:rsidRPr="007A0C75" w14:paraId="33D74E65" w14:textId="77777777" w:rsidTr="00B24F4B">
        <w:tc>
          <w:tcPr>
            <w:tcW w:w="1271" w:type="dxa"/>
          </w:tcPr>
          <w:p w14:paraId="00F7DC2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418" w:type="dxa"/>
          </w:tcPr>
          <w:p w14:paraId="3FC64A3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Operating Cash Flow (OCF) (£m)</w:t>
            </w:r>
          </w:p>
        </w:tc>
        <w:tc>
          <w:tcPr>
            <w:tcW w:w="1701" w:type="dxa"/>
          </w:tcPr>
          <w:p w14:paraId="35193235"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2822" w:type="dxa"/>
          </w:tcPr>
          <w:p w14:paraId="22A7DE04"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 xml:space="preserve">Cash Flow Margin = </w:t>
            </w:r>
            <w:r w:rsidRPr="007A0C75">
              <w:rPr>
                <w:rFonts w:cs="Arial"/>
                <w:b/>
                <w:bCs/>
                <w:color w:val="000000"/>
                <w:sz w:val="22"/>
                <w:szCs w:val="22"/>
              </w:rPr>
              <w:t>Operating Cash Flow (OCF)/ Net Sales</w:t>
            </w:r>
          </w:p>
        </w:tc>
        <w:tc>
          <w:tcPr>
            <w:tcW w:w="1804" w:type="dxa"/>
          </w:tcPr>
          <w:p w14:paraId="1CFD133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Margin (%)</w:t>
            </w:r>
          </w:p>
        </w:tc>
      </w:tr>
      <w:tr w:rsidR="007A0C75" w:rsidRPr="007A0C75" w14:paraId="1A988292" w14:textId="77777777" w:rsidTr="00B24F4B">
        <w:tc>
          <w:tcPr>
            <w:tcW w:w="1271" w:type="dxa"/>
          </w:tcPr>
          <w:p w14:paraId="65E7469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8" w:type="dxa"/>
          </w:tcPr>
          <w:p w14:paraId="748CF1A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73,392</w:t>
            </w:r>
          </w:p>
        </w:tc>
        <w:tc>
          <w:tcPr>
            <w:tcW w:w="1701" w:type="dxa"/>
          </w:tcPr>
          <w:p w14:paraId="5E1EFD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2822" w:type="dxa"/>
          </w:tcPr>
          <w:p w14:paraId="65DE482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73,392 ÷ 614,680</w:t>
            </w:r>
          </w:p>
        </w:tc>
        <w:tc>
          <w:tcPr>
            <w:tcW w:w="1804" w:type="dxa"/>
          </w:tcPr>
          <w:p w14:paraId="1B8363C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11.94%</w:t>
            </w:r>
          </w:p>
        </w:tc>
      </w:tr>
      <w:tr w:rsidR="007A0C75" w:rsidRPr="007A0C75" w14:paraId="058DE329" w14:textId="77777777" w:rsidTr="00B24F4B">
        <w:tc>
          <w:tcPr>
            <w:tcW w:w="1271" w:type="dxa"/>
          </w:tcPr>
          <w:p w14:paraId="67D5DF5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8" w:type="dxa"/>
          </w:tcPr>
          <w:p w14:paraId="12E7328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40,283</w:t>
            </w:r>
          </w:p>
        </w:tc>
        <w:tc>
          <w:tcPr>
            <w:tcW w:w="1701" w:type="dxa"/>
          </w:tcPr>
          <w:p w14:paraId="4A8A37E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2822" w:type="dxa"/>
          </w:tcPr>
          <w:p w14:paraId="338FE1C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40,283 ÷ 601,602</w:t>
            </w:r>
          </w:p>
        </w:tc>
        <w:tc>
          <w:tcPr>
            <w:tcW w:w="1804" w:type="dxa"/>
          </w:tcPr>
          <w:p w14:paraId="31D64E7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6.69%</w:t>
            </w:r>
          </w:p>
        </w:tc>
      </w:tr>
      <w:tr w:rsidR="007A0C75" w:rsidRPr="007A0C75" w14:paraId="5151F0F7" w14:textId="77777777" w:rsidTr="00B24F4B">
        <w:tc>
          <w:tcPr>
            <w:tcW w:w="1271" w:type="dxa"/>
          </w:tcPr>
          <w:p w14:paraId="2F5055E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8" w:type="dxa"/>
          </w:tcPr>
          <w:p w14:paraId="37FBD5E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10,926</w:t>
            </w:r>
          </w:p>
        </w:tc>
        <w:tc>
          <w:tcPr>
            <w:tcW w:w="1701" w:type="dxa"/>
          </w:tcPr>
          <w:p w14:paraId="534AFDF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2822" w:type="dxa"/>
          </w:tcPr>
          <w:p w14:paraId="7EFD421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10,926 ÷ 542,751</w:t>
            </w:r>
          </w:p>
        </w:tc>
        <w:tc>
          <w:tcPr>
            <w:tcW w:w="1804" w:type="dxa"/>
          </w:tcPr>
          <w:p w14:paraId="54DD855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2.01%</w:t>
            </w:r>
          </w:p>
        </w:tc>
      </w:tr>
      <w:tr w:rsidR="007A0C75" w:rsidRPr="007A0C75" w14:paraId="56884BFE" w14:textId="77777777" w:rsidTr="00B24F4B">
        <w:tc>
          <w:tcPr>
            <w:tcW w:w="1271" w:type="dxa"/>
          </w:tcPr>
          <w:p w14:paraId="4F9605B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8" w:type="dxa"/>
          </w:tcPr>
          <w:p w14:paraId="4965994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25,190</w:t>
            </w:r>
          </w:p>
        </w:tc>
        <w:tc>
          <w:tcPr>
            <w:tcW w:w="1701" w:type="dxa"/>
          </w:tcPr>
          <w:p w14:paraId="59B68FF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2822" w:type="dxa"/>
          </w:tcPr>
          <w:p w14:paraId="4BBEAA2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25,190 ÷ 420,457</w:t>
            </w:r>
          </w:p>
        </w:tc>
        <w:tc>
          <w:tcPr>
            <w:tcW w:w="1804" w:type="dxa"/>
          </w:tcPr>
          <w:p w14:paraId="6C92CB2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5.99%</w:t>
            </w:r>
          </w:p>
        </w:tc>
      </w:tr>
      <w:tr w:rsidR="007A0C75" w:rsidRPr="007A0C75" w14:paraId="0F62E7CA" w14:textId="77777777" w:rsidTr="00B24F4B">
        <w:tc>
          <w:tcPr>
            <w:tcW w:w="1271" w:type="dxa"/>
          </w:tcPr>
          <w:p w14:paraId="45D82B5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8" w:type="dxa"/>
          </w:tcPr>
          <w:p w14:paraId="11044B5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14,822</w:t>
            </w:r>
          </w:p>
        </w:tc>
        <w:tc>
          <w:tcPr>
            <w:tcW w:w="1701" w:type="dxa"/>
          </w:tcPr>
          <w:p w14:paraId="6CCAA65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w:t>
            </w:r>
          </w:p>
        </w:tc>
        <w:tc>
          <w:tcPr>
            <w:tcW w:w="2822" w:type="dxa"/>
          </w:tcPr>
          <w:p w14:paraId="355D174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14,822 ÷ 394,879</w:t>
            </w:r>
          </w:p>
        </w:tc>
        <w:tc>
          <w:tcPr>
            <w:tcW w:w="1804" w:type="dxa"/>
          </w:tcPr>
          <w:p w14:paraId="4F51C79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3.75%</w:t>
            </w:r>
          </w:p>
        </w:tc>
      </w:tr>
    </w:tbl>
    <w:p w14:paraId="6062F47E" w14:textId="77777777" w:rsidR="007A0C75" w:rsidRPr="007A0C75" w:rsidRDefault="007A0C75" w:rsidP="007A0C75">
      <w:pPr>
        <w:pStyle w:val="Heading2"/>
      </w:pPr>
      <w:bookmarkStart w:id="38" w:name="_Toc216386226"/>
      <w:r w:rsidRPr="007A0C75">
        <w:t>Appendix L</w:t>
      </w:r>
      <w:bookmarkEnd w:id="38"/>
    </w:p>
    <w:tbl>
      <w:tblPr>
        <w:tblStyle w:val="TableGrid"/>
        <w:tblW w:w="0" w:type="auto"/>
        <w:tblLook w:val="04A0" w:firstRow="1" w:lastRow="0" w:firstColumn="1" w:lastColumn="0" w:noHBand="0" w:noVBand="1"/>
      </w:tblPr>
      <w:tblGrid>
        <w:gridCol w:w="1271"/>
        <w:gridCol w:w="1418"/>
        <w:gridCol w:w="1701"/>
        <w:gridCol w:w="2830"/>
        <w:gridCol w:w="1796"/>
      </w:tblGrid>
      <w:tr w:rsidR="007A0C75" w:rsidRPr="007A0C75" w14:paraId="38785EAC" w14:textId="77777777" w:rsidTr="00B24F4B">
        <w:tc>
          <w:tcPr>
            <w:tcW w:w="1271" w:type="dxa"/>
          </w:tcPr>
          <w:p w14:paraId="4F4A63E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418" w:type="dxa"/>
          </w:tcPr>
          <w:p w14:paraId="73E6B455"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Inventory (£m)</w:t>
            </w:r>
          </w:p>
        </w:tc>
        <w:tc>
          <w:tcPr>
            <w:tcW w:w="1701" w:type="dxa"/>
          </w:tcPr>
          <w:p w14:paraId="74A11BE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Cost of Sales (£m)</w:t>
            </w:r>
          </w:p>
        </w:tc>
        <w:tc>
          <w:tcPr>
            <w:tcW w:w="2830" w:type="dxa"/>
          </w:tcPr>
          <w:p w14:paraId="63B89D5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Inventory Days=(Inventory​/Cost of Sales)*365</w:t>
            </w:r>
          </w:p>
        </w:tc>
        <w:tc>
          <w:tcPr>
            <w:tcW w:w="1796" w:type="dxa"/>
          </w:tcPr>
          <w:p w14:paraId="3C7A3CB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Inventory Days</w:t>
            </w:r>
          </w:p>
        </w:tc>
      </w:tr>
      <w:tr w:rsidR="007A0C75" w:rsidRPr="007A0C75" w14:paraId="06A24FA6" w14:textId="77777777" w:rsidTr="00B24F4B">
        <w:tc>
          <w:tcPr>
            <w:tcW w:w="1271" w:type="dxa"/>
            <w:vAlign w:val="bottom"/>
          </w:tcPr>
          <w:p w14:paraId="7CD4C1A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8" w:type="dxa"/>
            <w:vAlign w:val="bottom"/>
          </w:tcPr>
          <w:p w14:paraId="0916F7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1,20,430</w:t>
            </w:r>
          </w:p>
        </w:tc>
        <w:tc>
          <w:tcPr>
            <w:tcW w:w="1701" w:type="dxa"/>
            <w:vAlign w:val="bottom"/>
          </w:tcPr>
          <w:p w14:paraId="512EE5D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4,38,424</w:t>
            </w:r>
          </w:p>
        </w:tc>
        <w:tc>
          <w:tcPr>
            <w:tcW w:w="2830" w:type="dxa"/>
            <w:vAlign w:val="bottom"/>
          </w:tcPr>
          <w:p w14:paraId="0F3386A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(120,430 ÷ 438,424) × 365</w:t>
            </w:r>
          </w:p>
        </w:tc>
        <w:tc>
          <w:tcPr>
            <w:tcW w:w="1796" w:type="dxa"/>
            <w:vAlign w:val="bottom"/>
          </w:tcPr>
          <w:p w14:paraId="46C1749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100.2 days</w:t>
            </w:r>
          </w:p>
        </w:tc>
      </w:tr>
      <w:tr w:rsidR="007A0C75" w:rsidRPr="007A0C75" w14:paraId="029B44AE" w14:textId="77777777" w:rsidTr="00B24F4B">
        <w:tc>
          <w:tcPr>
            <w:tcW w:w="1271" w:type="dxa"/>
            <w:vAlign w:val="bottom"/>
          </w:tcPr>
          <w:p w14:paraId="1BD64CC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8" w:type="dxa"/>
            <w:vAlign w:val="bottom"/>
          </w:tcPr>
          <w:p w14:paraId="074C2DF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1,34,469</w:t>
            </w:r>
          </w:p>
        </w:tc>
        <w:tc>
          <w:tcPr>
            <w:tcW w:w="1701" w:type="dxa"/>
            <w:vAlign w:val="bottom"/>
          </w:tcPr>
          <w:p w14:paraId="108CDF2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4,28,586</w:t>
            </w:r>
          </w:p>
        </w:tc>
        <w:tc>
          <w:tcPr>
            <w:tcW w:w="2830" w:type="dxa"/>
            <w:vAlign w:val="bottom"/>
          </w:tcPr>
          <w:p w14:paraId="0759EDB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(134,469 ÷ 428,586) × 365</w:t>
            </w:r>
          </w:p>
        </w:tc>
        <w:tc>
          <w:tcPr>
            <w:tcW w:w="1796" w:type="dxa"/>
            <w:vAlign w:val="bottom"/>
          </w:tcPr>
          <w:p w14:paraId="2001DD8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114.5 days</w:t>
            </w:r>
          </w:p>
        </w:tc>
      </w:tr>
      <w:tr w:rsidR="007A0C75" w:rsidRPr="007A0C75" w14:paraId="6918FDE3" w14:textId="77777777" w:rsidTr="00B24F4B">
        <w:tc>
          <w:tcPr>
            <w:tcW w:w="1271" w:type="dxa"/>
            <w:vAlign w:val="bottom"/>
          </w:tcPr>
          <w:p w14:paraId="19A67E2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8" w:type="dxa"/>
            <w:vAlign w:val="bottom"/>
          </w:tcPr>
          <w:p w14:paraId="2341BDA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1,40,181</w:t>
            </w:r>
          </w:p>
        </w:tc>
        <w:tc>
          <w:tcPr>
            <w:tcW w:w="1701" w:type="dxa"/>
            <w:vAlign w:val="bottom"/>
          </w:tcPr>
          <w:p w14:paraId="2C15EF0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3,90,459</w:t>
            </w:r>
          </w:p>
        </w:tc>
        <w:tc>
          <w:tcPr>
            <w:tcW w:w="2830" w:type="dxa"/>
            <w:vAlign w:val="bottom"/>
          </w:tcPr>
          <w:p w14:paraId="608002A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(140,181 ÷ 390,459) × 365</w:t>
            </w:r>
          </w:p>
        </w:tc>
        <w:tc>
          <w:tcPr>
            <w:tcW w:w="1796" w:type="dxa"/>
            <w:vAlign w:val="bottom"/>
          </w:tcPr>
          <w:p w14:paraId="29F2F7C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130.9 days</w:t>
            </w:r>
          </w:p>
        </w:tc>
      </w:tr>
      <w:tr w:rsidR="007A0C75" w:rsidRPr="007A0C75" w14:paraId="4A0D419C" w14:textId="77777777" w:rsidTr="00B24F4B">
        <w:tc>
          <w:tcPr>
            <w:tcW w:w="1271" w:type="dxa"/>
            <w:vAlign w:val="bottom"/>
          </w:tcPr>
          <w:p w14:paraId="7ED0D0D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8" w:type="dxa"/>
            <w:vAlign w:val="bottom"/>
          </w:tcPr>
          <w:p w14:paraId="2BE7DC9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88,273</w:t>
            </w:r>
          </w:p>
        </w:tc>
        <w:tc>
          <w:tcPr>
            <w:tcW w:w="1701" w:type="dxa"/>
            <w:vAlign w:val="bottom"/>
          </w:tcPr>
          <w:p w14:paraId="7906274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3,22,897</w:t>
            </w:r>
          </w:p>
        </w:tc>
        <w:tc>
          <w:tcPr>
            <w:tcW w:w="2830" w:type="dxa"/>
            <w:vAlign w:val="bottom"/>
          </w:tcPr>
          <w:p w14:paraId="7C1EB9B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(88,273 ÷ 322,897) × 365</w:t>
            </w:r>
          </w:p>
        </w:tc>
        <w:tc>
          <w:tcPr>
            <w:tcW w:w="1796" w:type="dxa"/>
            <w:vAlign w:val="bottom"/>
          </w:tcPr>
          <w:p w14:paraId="41C8A92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99.7 days</w:t>
            </w:r>
          </w:p>
        </w:tc>
      </w:tr>
      <w:tr w:rsidR="007A0C75" w:rsidRPr="007A0C75" w14:paraId="22617FC1" w14:textId="77777777" w:rsidTr="00B24F4B">
        <w:tc>
          <w:tcPr>
            <w:tcW w:w="1271" w:type="dxa"/>
            <w:vAlign w:val="bottom"/>
          </w:tcPr>
          <w:p w14:paraId="799AE9B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8" w:type="dxa"/>
            <w:vAlign w:val="bottom"/>
          </w:tcPr>
          <w:p w14:paraId="47050ED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79,355</w:t>
            </w:r>
          </w:p>
        </w:tc>
        <w:tc>
          <w:tcPr>
            <w:tcW w:w="1701" w:type="dxa"/>
            <w:vAlign w:val="bottom"/>
          </w:tcPr>
          <w:p w14:paraId="2816FD3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2,80,885</w:t>
            </w:r>
          </w:p>
        </w:tc>
        <w:tc>
          <w:tcPr>
            <w:tcW w:w="2830" w:type="dxa"/>
            <w:vAlign w:val="bottom"/>
          </w:tcPr>
          <w:p w14:paraId="14FDCA4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(79,355 ÷ 280,885) × 365</w:t>
            </w:r>
          </w:p>
        </w:tc>
        <w:tc>
          <w:tcPr>
            <w:tcW w:w="1796" w:type="dxa"/>
            <w:vAlign w:val="bottom"/>
          </w:tcPr>
          <w:p w14:paraId="6746CE3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103.1 days</w:t>
            </w:r>
          </w:p>
        </w:tc>
      </w:tr>
    </w:tbl>
    <w:p w14:paraId="116EC0F2" w14:textId="77777777" w:rsidR="007A0C75" w:rsidRPr="007A0C75" w:rsidRDefault="007A0C75" w:rsidP="007A0C75">
      <w:pPr>
        <w:pStyle w:val="Heading2"/>
      </w:pPr>
      <w:bookmarkStart w:id="39" w:name="_Toc216386227"/>
      <w:r w:rsidRPr="007A0C75">
        <w:t>Appendix M</w:t>
      </w:r>
      <w:bookmarkEnd w:id="39"/>
    </w:p>
    <w:tbl>
      <w:tblPr>
        <w:tblStyle w:val="TableGrid"/>
        <w:tblW w:w="0" w:type="auto"/>
        <w:tblLook w:val="04A0" w:firstRow="1" w:lastRow="0" w:firstColumn="1" w:lastColumn="0" w:noHBand="0" w:noVBand="1"/>
      </w:tblPr>
      <w:tblGrid>
        <w:gridCol w:w="1271"/>
        <w:gridCol w:w="1418"/>
        <w:gridCol w:w="1701"/>
        <w:gridCol w:w="2822"/>
        <w:gridCol w:w="1804"/>
      </w:tblGrid>
      <w:tr w:rsidR="007A0C75" w:rsidRPr="007A0C75" w14:paraId="12F60961" w14:textId="77777777" w:rsidTr="007A0C75">
        <w:trPr>
          <w:trHeight w:val="63"/>
        </w:trPr>
        <w:tc>
          <w:tcPr>
            <w:tcW w:w="1271" w:type="dxa"/>
          </w:tcPr>
          <w:p w14:paraId="60ECAF5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418" w:type="dxa"/>
          </w:tcPr>
          <w:p w14:paraId="7310B6D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Accounts Receivable (£m)</w:t>
            </w:r>
          </w:p>
        </w:tc>
        <w:tc>
          <w:tcPr>
            <w:tcW w:w="1701" w:type="dxa"/>
          </w:tcPr>
          <w:p w14:paraId="63431C1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2822" w:type="dxa"/>
          </w:tcPr>
          <w:p w14:paraId="20996B0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Receivables Days=(Accounts Receivable​/Net Sales)×365</w:t>
            </w:r>
          </w:p>
        </w:tc>
        <w:tc>
          <w:tcPr>
            <w:tcW w:w="1804" w:type="dxa"/>
          </w:tcPr>
          <w:p w14:paraId="38AAFE9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Receivables Days</w:t>
            </w:r>
          </w:p>
        </w:tc>
      </w:tr>
      <w:tr w:rsidR="007A0C75" w:rsidRPr="007A0C75" w14:paraId="037D8F75" w14:textId="77777777" w:rsidTr="00B24F4B">
        <w:tc>
          <w:tcPr>
            <w:tcW w:w="1271" w:type="dxa"/>
          </w:tcPr>
          <w:p w14:paraId="03D280E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8" w:type="dxa"/>
          </w:tcPr>
          <w:p w14:paraId="3DA77C9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1,29,433</w:t>
            </w:r>
          </w:p>
        </w:tc>
        <w:tc>
          <w:tcPr>
            <w:tcW w:w="1701" w:type="dxa"/>
          </w:tcPr>
          <w:p w14:paraId="5D62F3C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2822" w:type="dxa"/>
          </w:tcPr>
          <w:p w14:paraId="382E49F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(129,433 ÷ 614,680) × 365</w:t>
            </w:r>
          </w:p>
        </w:tc>
        <w:tc>
          <w:tcPr>
            <w:tcW w:w="1804" w:type="dxa"/>
          </w:tcPr>
          <w:p w14:paraId="62D795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76.9 days</w:t>
            </w:r>
          </w:p>
        </w:tc>
      </w:tr>
      <w:tr w:rsidR="007A0C75" w:rsidRPr="007A0C75" w14:paraId="609675BE" w14:textId="77777777" w:rsidTr="00B24F4B">
        <w:tc>
          <w:tcPr>
            <w:tcW w:w="1271" w:type="dxa"/>
          </w:tcPr>
          <w:p w14:paraId="02F5216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8" w:type="dxa"/>
          </w:tcPr>
          <w:p w14:paraId="110FDC4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1,29,215</w:t>
            </w:r>
          </w:p>
        </w:tc>
        <w:tc>
          <w:tcPr>
            <w:tcW w:w="1701" w:type="dxa"/>
          </w:tcPr>
          <w:p w14:paraId="2881E0B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2822" w:type="dxa"/>
          </w:tcPr>
          <w:p w14:paraId="1997A0C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(129,215 ÷ 601,602) × 365</w:t>
            </w:r>
          </w:p>
        </w:tc>
        <w:tc>
          <w:tcPr>
            <w:tcW w:w="1804" w:type="dxa"/>
          </w:tcPr>
          <w:p w14:paraId="6900D91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78.4 days</w:t>
            </w:r>
          </w:p>
        </w:tc>
      </w:tr>
      <w:tr w:rsidR="007A0C75" w:rsidRPr="007A0C75" w14:paraId="07BD6424" w14:textId="77777777" w:rsidTr="00B24F4B">
        <w:tc>
          <w:tcPr>
            <w:tcW w:w="1271" w:type="dxa"/>
          </w:tcPr>
          <w:p w14:paraId="072FE10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8" w:type="dxa"/>
          </w:tcPr>
          <w:p w14:paraId="52D9803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1,12,346</w:t>
            </w:r>
          </w:p>
        </w:tc>
        <w:tc>
          <w:tcPr>
            <w:tcW w:w="1701" w:type="dxa"/>
          </w:tcPr>
          <w:p w14:paraId="7D17DB2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2822" w:type="dxa"/>
          </w:tcPr>
          <w:p w14:paraId="173F2A9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(112,346 ÷ 542,751) × 365</w:t>
            </w:r>
          </w:p>
        </w:tc>
        <w:tc>
          <w:tcPr>
            <w:tcW w:w="1804" w:type="dxa"/>
          </w:tcPr>
          <w:p w14:paraId="6D52421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75.5 days</w:t>
            </w:r>
          </w:p>
        </w:tc>
      </w:tr>
      <w:tr w:rsidR="007A0C75" w:rsidRPr="007A0C75" w14:paraId="5FAA7704" w14:textId="77777777" w:rsidTr="00B24F4B">
        <w:tc>
          <w:tcPr>
            <w:tcW w:w="1271" w:type="dxa"/>
          </w:tcPr>
          <w:p w14:paraId="07B7642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8" w:type="dxa"/>
          </w:tcPr>
          <w:p w14:paraId="218A63B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1,12,596</w:t>
            </w:r>
          </w:p>
        </w:tc>
        <w:tc>
          <w:tcPr>
            <w:tcW w:w="1701" w:type="dxa"/>
          </w:tcPr>
          <w:p w14:paraId="55214A9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2822" w:type="dxa"/>
          </w:tcPr>
          <w:p w14:paraId="793833A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(112,596 ÷ 420,457) × 365</w:t>
            </w:r>
          </w:p>
        </w:tc>
        <w:tc>
          <w:tcPr>
            <w:tcW w:w="1804" w:type="dxa"/>
          </w:tcPr>
          <w:p w14:paraId="7C22D74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97.6 days</w:t>
            </w:r>
          </w:p>
        </w:tc>
      </w:tr>
      <w:tr w:rsidR="007A0C75" w:rsidRPr="007A0C75" w14:paraId="748A9D66" w14:textId="77777777" w:rsidTr="00B24F4B">
        <w:tc>
          <w:tcPr>
            <w:tcW w:w="1271" w:type="dxa"/>
          </w:tcPr>
          <w:p w14:paraId="29A4D0C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8" w:type="dxa"/>
          </w:tcPr>
          <w:p w14:paraId="32E9896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1,14,182</w:t>
            </w:r>
          </w:p>
        </w:tc>
        <w:tc>
          <w:tcPr>
            <w:tcW w:w="1701" w:type="dxa"/>
          </w:tcPr>
          <w:p w14:paraId="444A0A7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w:t>
            </w:r>
          </w:p>
        </w:tc>
        <w:tc>
          <w:tcPr>
            <w:tcW w:w="2822" w:type="dxa"/>
          </w:tcPr>
          <w:p w14:paraId="6780585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(114,182 ÷ 394,879) × 365</w:t>
            </w:r>
          </w:p>
        </w:tc>
        <w:tc>
          <w:tcPr>
            <w:tcW w:w="1804" w:type="dxa"/>
          </w:tcPr>
          <w:p w14:paraId="41C9C4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105.5 days</w:t>
            </w:r>
          </w:p>
        </w:tc>
      </w:tr>
    </w:tbl>
    <w:p w14:paraId="04C544A0" w14:textId="77777777" w:rsidR="007A0C75" w:rsidRPr="007A0C75" w:rsidRDefault="007A0C75" w:rsidP="007A0C75">
      <w:pPr>
        <w:pStyle w:val="Heading2"/>
      </w:pPr>
      <w:bookmarkStart w:id="40" w:name="_Toc216386228"/>
      <w:r w:rsidRPr="007A0C75">
        <w:t>Appendix N</w:t>
      </w:r>
      <w:bookmarkEnd w:id="40"/>
    </w:p>
    <w:tbl>
      <w:tblPr>
        <w:tblStyle w:val="TableGrid"/>
        <w:tblW w:w="0" w:type="auto"/>
        <w:tblLook w:val="04A0" w:firstRow="1" w:lastRow="0" w:firstColumn="1" w:lastColumn="0" w:noHBand="0" w:noVBand="1"/>
      </w:tblPr>
      <w:tblGrid>
        <w:gridCol w:w="1271"/>
        <w:gridCol w:w="1418"/>
        <w:gridCol w:w="1701"/>
        <w:gridCol w:w="2822"/>
        <w:gridCol w:w="1804"/>
      </w:tblGrid>
      <w:tr w:rsidR="007A0C75" w:rsidRPr="007A0C75" w14:paraId="11DD577D" w14:textId="77777777" w:rsidTr="00B24F4B">
        <w:tc>
          <w:tcPr>
            <w:tcW w:w="1271" w:type="dxa"/>
          </w:tcPr>
          <w:p w14:paraId="1EE65743"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Year</w:t>
            </w:r>
          </w:p>
        </w:tc>
        <w:tc>
          <w:tcPr>
            <w:tcW w:w="1418" w:type="dxa"/>
          </w:tcPr>
          <w:p w14:paraId="05AE7478"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Accounts Payable (£m)</w:t>
            </w:r>
          </w:p>
        </w:tc>
        <w:tc>
          <w:tcPr>
            <w:tcW w:w="1701" w:type="dxa"/>
          </w:tcPr>
          <w:p w14:paraId="10B6CBE1"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Cost of Sales (£m)</w:t>
            </w:r>
          </w:p>
        </w:tc>
        <w:tc>
          <w:tcPr>
            <w:tcW w:w="2822" w:type="dxa"/>
          </w:tcPr>
          <w:p w14:paraId="4FB837A0"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Payables Days=(Accounts Payable/Cost of Sales ​)×365</w:t>
            </w:r>
          </w:p>
        </w:tc>
        <w:tc>
          <w:tcPr>
            <w:tcW w:w="1804" w:type="dxa"/>
          </w:tcPr>
          <w:p w14:paraId="693ADA80"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Payables Days</w:t>
            </w:r>
          </w:p>
        </w:tc>
      </w:tr>
      <w:tr w:rsidR="007A0C75" w:rsidRPr="007A0C75" w14:paraId="486E711F" w14:textId="77777777" w:rsidTr="00B24F4B">
        <w:tc>
          <w:tcPr>
            <w:tcW w:w="1271" w:type="dxa"/>
          </w:tcPr>
          <w:p w14:paraId="73721AF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8" w:type="dxa"/>
          </w:tcPr>
          <w:p w14:paraId="7B817DA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83,229</w:t>
            </w:r>
          </w:p>
        </w:tc>
        <w:tc>
          <w:tcPr>
            <w:tcW w:w="1701" w:type="dxa"/>
          </w:tcPr>
          <w:p w14:paraId="31BE365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4,38,424</w:t>
            </w:r>
          </w:p>
        </w:tc>
        <w:tc>
          <w:tcPr>
            <w:tcW w:w="2822" w:type="dxa"/>
          </w:tcPr>
          <w:p w14:paraId="6936F31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(83,229 ÷ 438,424) × 365</w:t>
            </w:r>
          </w:p>
        </w:tc>
        <w:tc>
          <w:tcPr>
            <w:tcW w:w="1804" w:type="dxa"/>
          </w:tcPr>
          <w:p w14:paraId="7C1839C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69.3 days</w:t>
            </w:r>
          </w:p>
        </w:tc>
      </w:tr>
      <w:tr w:rsidR="007A0C75" w:rsidRPr="007A0C75" w14:paraId="34BA1827" w14:textId="77777777" w:rsidTr="00B24F4B">
        <w:tc>
          <w:tcPr>
            <w:tcW w:w="1271" w:type="dxa"/>
          </w:tcPr>
          <w:p w14:paraId="4FF691A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8" w:type="dxa"/>
          </w:tcPr>
          <w:p w14:paraId="413E498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92,707</w:t>
            </w:r>
          </w:p>
        </w:tc>
        <w:tc>
          <w:tcPr>
            <w:tcW w:w="1701" w:type="dxa"/>
          </w:tcPr>
          <w:p w14:paraId="0D985B3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4,28,586</w:t>
            </w:r>
          </w:p>
        </w:tc>
        <w:tc>
          <w:tcPr>
            <w:tcW w:w="2822" w:type="dxa"/>
          </w:tcPr>
          <w:p w14:paraId="28EF771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(92,707 ÷ 428,586) × 365</w:t>
            </w:r>
          </w:p>
        </w:tc>
        <w:tc>
          <w:tcPr>
            <w:tcW w:w="1804" w:type="dxa"/>
          </w:tcPr>
          <w:p w14:paraId="05B9673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78.9 days</w:t>
            </w:r>
          </w:p>
        </w:tc>
      </w:tr>
      <w:tr w:rsidR="007A0C75" w:rsidRPr="007A0C75" w14:paraId="0FE16297" w14:textId="77777777" w:rsidTr="00B24F4B">
        <w:tc>
          <w:tcPr>
            <w:tcW w:w="1271" w:type="dxa"/>
          </w:tcPr>
          <w:p w14:paraId="623D623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8" w:type="dxa"/>
          </w:tcPr>
          <w:p w14:paraId="67EDAD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71,373</w:t>
            </w:r>
          </w:p>
        </w:tc>
        <w:tc>
          <w:tcPr>
            <w:tcW w:w="1701" w:type="dxa"/>
          </w:tcPr>
          <w:p w14:paraId="24333DD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3,90,459</w:t>
            </w:r>
          </w:p>
        </w:tc>
        <w:tc>
          <w:tcPr>
            <w:tcW w:w="2822" w:type="dxa"/>
          </w:tcPr>
          <w:p w14:paraId="5CD7488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(71,373 ÷ 390,459) × 365</w:t>
            </w:r>
          </w:p>
        </w:tc>
        <w:tc>
          <w:tcPr>
            <w:tcW w:w="1804" w:type="dxa"/>
          </w:tcPr>
          <w:p w14:paraId="4A0729F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66.7 days</w:t>
            </w:r>
          </w:p>
        </w:tc>
      </w:tr>
      <w:tr w:rsidR="007A0C75" w:rsidRPr="007A0C75" w14:paraId="31FA22A5" w14:textId="77777777" w:rsidTr="00B24F4B">
        <w:tc>
          <w:tcPr>
            <w:tcW w:w="1271" w:type="dxa"/>
          </w:tcPr>
          <w:p w14:paraId="548FF26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8" w:type="dxa"/>
          </w:tcPr>
          <w:p w14:paraId="31523D9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57,033</w:t>
            </w:r>
          </w:p>
        </w:tc>
        <w:tc>
          <w:tcPr>
            <w:tcW w:w="1701" w:type="dxa"/>
          </w:tcPr>
          <w:p w14:paraId="3B10C4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3,22,897</w:t>
            </w:r>
          </w:p>
        </w:tc>
        <w:tc>
          <w:tcPr>
            <w:tcW w:w="2822" w:type="dxa"/>
          </w:tcPr>
          <w:p w14:paraId="0D5736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(57,033 ÷ 322,897) × 365</w:t>
            </w:r>
          </w:p>
        </w:tc>
        <w:tc>
          <w:tcPr>
            <w:tcW w:w="1804" w:type="dxa"/>
          </w:tcPr>
          <w:p w14:paraId="65C7830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64.4 days</w:t>
            </w:r>
          </w:p>
        </w:tc>
      </w:tr>
      <w:tr w:rsidR="007A0C75" w:rsidRPr="007A0C75" w14:paraId="13E9EBC5" w14:textId="77777777" w:rsidTr="00B24F4B">
        <w:tc>
          <w:tcPr>
            <w:tcW w:w="1271" w:type="dxa"/>
          </w:tcPr>
          <w:p w14:paraId="640FE6E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8" w:type="dxa"/>
          </w:tcPr>
          <w:p w14:paraId="51196F3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72,031</w:t>
            </w:r>
          </w:p>
        </w:tc>
        <w:tc>
          <w:tcPr>
            <w:tcW w:w="1701" w:type="dxa"/>
          </w:tcPr>
          <w:p w14:paraId="57CCD8F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2,80,885</w:t>
            </w:r>
          </w:p>
        </w:tc>
        <w:tc>
          <w:tcPr>
            <w:tcW w:w="2822" w:type="dxa"/>
          </w:tcPr>
          <w:p w14:paraId="68AC4DD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(72,031 ÷ 280,885) × 365</w:t>
            </w:r>
          </w:p>
        </w:tc>
        <w:tc>
          <w:tcPr>
            <w:tcW w:w="1804" w:type="dxa"/>
          </w:tcPr>
          <w:p w14:paraId="3533810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93.5 days</w:t>
            </w:r>
          </w:p>
        </w:tc>
      </w:tr>
    </w:tbl>
    <w:p w14:paraId="1006B292" w14:textId="77777777" w:rsidR="007A0C75" w:rsidRPr="007A0C75" w:rsidRDefault="007A0C75" w:rsidP="007A0C75">
      <w:pPr>
        <w:pStyle w:val="Heading2"/>
      </w:pPr>
      <w:bookmarkStart w:id="41" w:name="_Toc216386229"/>
      <w:r w:rsidRPr="007A0C75">
        <w:t>Appendix O</w:t>
      </w:r>
      <w:bookmarkEnd w:id="41"/>
    </w:p>
    <w:tbl>
      <w:tblPr>
        <w:tblStyle w:val="TableGrid"/>
        <w:tblW w:w="0" w:type="auto"/>
        <w:tblLook w:val="04A0" w:firstRow="1" w:lastRow="0" w:firstColumn="1" w:lastColumn="0" w:noHBand="0" w:noVBand="1"/>
      </w:tblPr>
      <w:tblGrid>
        <w:gridCol w:w="1271"/>
        <w:gridCol w:w="1418"/>
        <w:gridCol w:w="1984"/>
        <w:gridCol w:w="1559"/>
        <w:gridCol w:w="2784"/>
      </w:tblGrid>
      <w:tr w:rsidR="007A0C75" w:rsidRPr="007A0C75" w14:paraId="7DFC4216" w14:textId="77777777" w:rsidTr="00B24F4B">
        <w:tc>
          <w:tcPr>
            <w:tcW w:w="1271" w:type="dxa"/>
          </w:tcPr>
          <w:p w14:paraId="6BFD41E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418" w:type="dxa"/>
          </w:tcPr>
          <w:p w14:paraId="6DD579C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Inventory Days</w:t>
            </w:r>
          </w:p>
        </w:tc>
        <w:tc>
          <w:tcPr>
            <w:tcW w:w="1984" w:type="dxa"/>
          </w:tcPr>
          <w:p w14:paraId="31AEB3A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Receivable Days</w:t>
            </w:r>
          </w:p>
        </w:tc>
        <w:tc>
          <w:tcPr>
            <w:tcW w:w="1559" w:type="dxa"/>
          </w:tcPr>
          <w:p w14:paraId="162F8D40"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Payable Days</w:t>
            </w:r>
          </w:p>
        </w:tc>
        <w:tc>
          <w:tcPr>
            <w:tcW w:w="2784" w:type="dxa"/>
          </w:tcPr>
          <w:p w14:paraId="394A99D5"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CCC = Inventory Days + Receivable Days – Payable Days</w:t>
            </w:r>
          </w:p>
        </w:tc>
      </w:tr>
      <w:tr w:rsidR="007A0C75" w:rsidRPr="007A0C75" w14:paraId="31C3A5FB" w14:textId="77777777" w:rsidTr="007A0C75">
        <w:trPr>
          <w:trHeight w:val="63"/>
        </w:trPr>
        <w:tc>
          <w:tcPr>
            <w:tcW w:w="1271" w:type="dxa"/>
          </w:tcPr>
          <w:p w14:paraId="518051A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8" w:type="dxa"/>
          </w:tcPr>
          <w:p w14:paraId="42C98A0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100.2</w:t>
            </w:r>
          </w:p>
        </w:tc>
        <w:tc>
          <w:tcPr>
            <w:tcW w:w="1984" w:type="dxa"/>
          </w:tcPr>
          <w:p w14:paraId="48C1DD6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76.8</w:t>
            </w:r>
          </w:p>
        </w:tc>
        <w:tc>
          <w:tcPr>
            <w:tcW w:w="1559" w:type="dxa"/>
          </w:tcPr>
          <w:p w14:paraId="5057999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69.3</w:t>
            </w:r>
          </w:p>
        </w:tc>
        <w:tc>
          <w:tcPr>
            <w:tcW w:w="2784" w:type="dxa"/>
          </w:tcPr>
          <w:p w14:paraId="4BAC72F9"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107.7 days</w:t>
            </w:r>
          </w:p>
        </w:tc>
      </w:tr>
      <w:tr w:rsidR="007A0C75" w:rsidRPr="007A0C75" w14:paraId="030A47FE" w14:textId="77777777" w:rsidTr="00B24F4B">
        <w:tc>
          <w:tcPr>
            <w:tcW w:w="1271" w:type="dxa"/>
          </w:tcPr>
          <w:p w14:paraId="39C35AC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8" w:type="dxa"/>
          </w:tcPr>
          <w:p w14:paraId="167DB6B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114.4</w:t>
            </w:r>
          </w:p>
        </w:tc>
        <w:tc>
          <w:tcPr>
            <w:tcW w:w="1984" w:type="dxa"/>
          </w:tcPr>
          <w:p w14:paraId="6FD870E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78.4</w:t>
            </w:r>
          </w:p>
        </w:tc>
        <w:tc>
          <w:tcPr>
            <w:tcW w:w="1559" w:type="dxa"/>
          </w:tcPr>
          <w:p w14:paraId="5D717FD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79</w:t>
            </w:r>
          </w:p>
        </w:tc>
        <w:tc>
          <w:tcPr>
            <w:tcW w:w="2784" w:type="dxa"/>
          </w:tcPr>
          <w:p w14:paraId="6641BD5B"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113.8 days</w:t>
            </w:r>
          </w:p>
        </w:tc>
      </w:tr>
      <w:tr w:rsidR="007A0C75" w:rsidRPr="007A0C75" w14:paraId="420C2404" w14:textId="77777777" w:rsidTr="00B24F4B">
        <w:tc>
          <w:tcPr>
            <w:tcW w:w="1271" w:type="dxa"/>
          </w:tcPr>
          <w:p w14:paraId="3C789F6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8" w:type="dxa"/>
          </w:tcPr>
          <w:p w14:paraId="7A8750B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131</w:t>
            </w:r>
          </w:p>
        </w:tc>
        <w:tc>
          <w:tcPr>
            <w:tcW w:w="1984" w:type="dxa"/>
          </w:tcPr>
          <w:p w14:paraId="34304C5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75.5</w:t>
            </w:r>
          </w:p>
        </w:tc>
        <w:tc>
          <w:tcPr>
            <w:tcW w:w="1559" w:type="dxa"/>
          </w:tcPr>
          <w:p w14:paraId="3BEE0AD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66.7</w:t>
            </w:r>
          </w:p>
        </w:tc>
        <w:tc>
          <w:tcPr>
            <w:tcW w:w="2784" w:type="dxa"/>
          </w:tcPr>
          <w:p w14:paraId="3621998A"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139.8 days</w:t>
            </w:r>
          </w:p>
        </w:tc>
      </w:tr>
      <w:tr w:rsidR="007A0C75" w:rsidRPr="007A0C75" w14:paraId="2187BB15" w14:textId="77777777" w:rsidTr="00B24F4B">
        <w:tc>
          <w:tcPr>
            <w:tcW w:w="1271" w:type="dxa"/>
          </w:tcPr>
          <w:p w14:paraId="66CE81F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8" w:type="dxa"/>
          </w:tcPr>
          <w:p w14:paraId="1B5D031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99.7</w:t>
            </w:r>
          </w:p>
        </w:tc>
        <w:tc>
          <w:tcPr>
            <w:tcW w:w="1984" w:type="dxa"/>
          </w:tcPr>
          <w:p w14:paraId="5A4CC78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97.6</w:t>
            </w:r>
          </w:p>
        </w:tc>
        <w:tc>
          <w:tcPr>
            <w:tcW w:w="1559" w:type="dxa"/>
          </w:tcPr>
          <w:p w14:paraId="4E8F39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64.4</w:t>
            </w:r>
          </w:p>
        </w:tc>
        <w:tc>
          <w:tcPr>
            <w:tcW w:w="2784" w:type="dxa"/>
          </w:tcPr>
          <w:p w14:paraId="67A434BA"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132.9 days</w:t>
            </w:r>
          </w:p>
        </w:tc>
      </w:tr>
      <w:tr w:rsidR="007A0C75" w:rsidRPr="007A0C75" w14:paraId="7CE944DD" w14:textId="77777777" w:rsidTr="00B24F4B">
        <w:tc>
          <w:tcPr>
            <w:tcW w:w="1271" w:type="dxa"/>
          </w:tcPr>
          <w:p w14:paraId="6F20E39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8" w:type="dxa"/>
          </w:tcPr>
          <w:p w14:paraId="5BC8760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103.1</w:t>
            </w:r>
          </w:p>
        </w:tc>
        <w:tc>
          <w:tcPr>
            <w:tcW w:w="1984" w:type="dxa"/>
          </w:tcPr>
          <w:p w14:paraId="3464670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105.4</w:t>
            </w:r>
          </w:p>
        </w:tc>
        <w:tc>
          <w:tcPr>
            <w:tcW w:w="1559" w:type="dxa"/>
          </w:tcPr>
          <w:p w14:paraId="0AD1166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93.5</w:t>
            </w:r>
          </w:p>
        </w:tc>
        <w:tc>
          <w:tcPr>
            <w:tcW w:w="2784" w:type="dxa"/>
          </w:tcPr>
          <w:p w14:paraId="1255B40E"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115.0 days</w:t>
            </w:r>
          </w:p>
        </w:tc>
      </w:tr>
    </w:tbl>
    <w:p w14:paraId="1C03D2F1" w14:textId="77777777" w:rsidR="007A0C75" w:rsidRPr="007A0C75" w:rsidRDefault="007A0C75" w:rsidP="006A4B35">
      <w:pPr>
        <w:pStyle w:val="Heading2"/>
      </w:pPr>
      <w:bookmarkStart w:id="42" w:name="_Toc216386230"/>
      <w:r w:rsidRPr="007A0C75">
        <w:t>Appendix P</w:t>
      </w:r>
      <w:bookmarkEnd w:id="42"/>
    </w:p>
    <w:p w14:paraId="59C01661" w14:textId="77777777" w:rsidR="007A0C75" w:rsidRPr="007A0C75" w:rsidRDefault="007A0C75" w:rsidP="007A0C75">
      <w:pPr>
        <w:spacing w:line="360" w:lineRule="auto"/>
        <w:rPr>
          <w:rFonts w:cs="Arial"/>
          <w:sz w:val="22"/>
          <w:szCs w:val="22"/>
        </w:rPr>
      </w:pPr>
      <w:r w:rsidRPr="007A0C75">
        <w:rPr>
          <w:rFonts w:cs="Arial"/>
          <w:sz w:val="22"/>
          <w:szCs w:val="22"/>
        </w:rPr>
        <w:t>PBP Calculation</w:t>
      </w:r>
    </w:p>
    <w:p w14:paraId="3927753C"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A</w:t>
      </w:r>
    </w:p>
    <w:tbl>
      <w:tblPr>
        <w:tblStyle w:val="TableGrid"/>
        <w:tblW w:w="0" w:type="auto"/>
        <w:tblLook w:val="04A0" w:firstRow="1" w:lastRow="0" w:firstColumn="1" w:lastColumn="0" w:noHBand="0" w:noVBand="1"/>
      </w:tblPr>
      <w:tblGrid>
        <w:gridCol w:w="3005"/>
        <w:gridCol w:w="3005"/>
        <w:gridCol w:w="3006"/>
      </w:tblGrid>
      <w:tr w:rsidR="007A0C75" w:rsidRPr="007A0C75" w14:paraId="250BEA5D" w14:textId="77777777" w:rsidTr="00B24F4B">
        <w:tc>
          <w:tcPr>
            <w:tcW w:w="3005" w:type="dxa"/>
          </w:tcPr>
          <w:p w14:paraId="39C94B2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tcPr>
          <w:p w14:paraId="7A54CE2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3006" w:type="dxa"/>
          </w:tcPr>
          <w:p w14:paraId="2276078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Cumulative Cash Flow (£m)</w:t>
            </w:r>
          </w:p>
        </w:tc>
      </w:tr>
      <w:tr w:rsidR="007A0C75" w:rsidRPr="007A0C75" w14:paraId="65EA00FC" w14:textId="77777777" w:rsidTr="00B24F4B">
        <w:tc>
          <w:tcPr>
            <w:tcW w:w="3005" w:type="dxa"/>
          </w:tcPr>
          <w:p w14:paraId="552AB23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0</w:t>
            </w:r>
          </w:p>
        </w:tc>
        <w:tc>
          <w:tcPr>
            <w:tcW w:w="3005" w:type="dxa"/>
          </w:tcPr>
          <w:p w14:paraId="620416A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w:t>
            </w:r>
          </w:p>
        </w:tc>
        <w:tc>
          <w:tcPr>
            <w:tcW w:w="3006" w:type="dxa"/>
          </w:tcPr>
          <w:p w14:paraId="51E5549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w:t>
            </w:r>
          </w:p>
        </w:tc>
      </w:tr>
      <w:tr w:rsidR="007A0C75" w:rsidRPr="007A0C75" w14:paraId="1587449A" w14:textId="77777777" w:rsidTr="00B24F4B">
        <w:tc>
          <w:tcPr>
            <w:tcW w:w="3005" w:type="dxa"/>
          </w:tcPr>
          <w:p w14:paraId="5D34BA3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tcPr>
          <w:p w14:paraId="4AD95E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tcPr>
          <w:p w14:paraId="1018768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–30</w:t>
            </w:r>
          </w:p>
        </w:tc>
      </w:tr>
      <w:tr w:rsidR="007A0C75" w:rsidRPr="007A0C75" w14:paraId="2AE5BE63" w14:textId="77777777" w:rsidTr="00B24F4B">
        <w:tc>
          <w:tcPr>
            <w:tcW w:w="3005" w:type="dxa"/>
          </w:tcPr>
          <w:p w14:paraId="015F869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tcPr>
          <w:p w14:paraId="48BAFCA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c>
          <w:tcPr>
            <w:tcW w:w="3006" w:type="dxa"/>
          </w:tcPr>
          <w:p w14:paraId="487AD2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–18</w:t>
            </w:r>
          </w:p>
        </w:tc>
      </w:tr>
      <w:tr w:rsidR="007A0C75" w:rsidRPr="007A0C75" w14:paraId="161BFE44" w14:textId="77777777" w:rsidTr="00B24F4B">
        <w:tc>
          <w:tcPr>
            <w:tcW w:w="3005" w:type="dxa"/>
          </w:tcPr>
          <w:p w14:paraId="4AC5AC1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tcPr>
          <w:p w14:paraId="1C66C2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c>
          <w:tcPr>
            <w:tcW w:w="3006" w:type="dxa"/>
          </w:tcPr>
          <w:p w14:paraId="2D399B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w:t>
            </w:r>
          </w:p>
        </w:tc>
      </w:tr>
      <w:tr w:rsidR="007A0C75" w:rsidRPr="007A0C75" w14:paraId="464CD94D" w14:textId="77777777" w:rsidTr="00B24F4B">
        <w:tc>
          <w:tcPr>
            <w:tcW w:w="3005" w:type="dxa"/>
          </w:tcPr>
          <w:p w14:paraId="4AF63FE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tcPr>
          <w:p w14:paraId="63FE92E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tcPr>
          <w:p w14:paraId="38559549"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6</w:t>
            </w:r>
            <w:r w:rsidRPr="007A0C75">
              <w:rPr>
                <w:rFonts w:cs="Arial"/>
                <w:color w:val="000000"/>
                <w:sz w:val="22"/>
                <w:szCs w:val="22"/>
              </w:rPr>
              <w:t xml:space="preserve"> </w:t>
            </w:r>
          </w:p>
        </w:tc>
      </w:tr>
      <w:tr w:rsidR="007A0C75" w:rsidRPr="007A0C75" w14:paraId="73E7B8E0" w14:textId="77777777" w:rsidTr="00B24F4B">
        <w:tc>
          <w:tcPr>
            <w:tcW w:w="3005" w:type="dxa"/>
          </w:tcPr>
          <w:p w14:paraId="0D39394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tcPr>
          <w:p w14:paraId="6756947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w:t>
            </w:r>
          </w:p>
        </w:tc>
        <w:tc>
          <w:tcPr>
            <w:tcW w:w="3006" w:type="dxa"/>
          </w:tcPr>
          <w:p w14:paraId="7F8A338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r>
    </w:tbl>
    <w:p w14:paraId="1BAC6CE0" w14:textId="77777777" w:rsidR="007A0C75" w:rsidRPr="007A0C75" w:rsidRDefault="007A0C75" w:rsidP="007A0C75">
      <w:pPr>
        <w:spacing w:line="360" w:lineRule="auto"/>
        <w:rPr>
          <w:rFonts w:cs="Arial"/>
          <w:sz w:val="22"/>
          <w:szCs w:val="22"/>
        </w:rPr>
      </w:pPr>
      <w:r w:rsidRPr="007A0C75">
        <w:rPr>
          <w:rFonts w:cs="Arial"/>
          <w:sz w:val="22"/>
          <w:szCs w:val="22"/>
        </w:rPr>
        <w:t>Hence, PBP = 3 + (4 ÷ 10) = 3.4 years</w:t>
      </w:r>
    </w:p>
    <w:p w14:paraId="40D99ED3"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B</w:t>
      </w:r>
    </w:p>
    <w:tbl>
      <w:tblPr>
        <w:tblStyle w:val="TableGrid"/>
        <w:tblW w:w="0" w:type="auto"/>
        <w:tblLook w:val="04A0" w:firstRow="1" w:lastRow="0" w:firstColumn="1" w:lastColumn="0" w:noHBand="0" w:noVBand="1"/>
      </w:tblPr>
      <w:tblGrid>
        <w:gridCol w:w="3005"/>
        <w:gridCol w:w="3005"/>
        <w:gridCol w:w="3006"/>
      </w:tblGrid>
      <w:tr w:rsidR="007A0C75" w:rsidRPr="007A0C75" w14:paraId="68519A24" w14:textId="77777777" w:rsidTr="00B24F4B">
        <w:tc>
          <w:tcPr>
            <w:tcW w:w="3005" w:type="dxa"/>
          </w:tcPr>
          <w:p w14:paraId="77AEC92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tcPr>
          <w:p w14:paraId="07671E4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3006" w:type="dxa"/>
          </w:tcPr>
          <w:p w14:paraId="1A02610B"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Cumulative Cash Flow (£m)</w:t>
            </w:r>
          </w:p>
        </w:tc>
      </w:tr>
      <w:tr w:rsidR="007A0C75" w:rsidRPr="007A0C75" w14:paraId="46E40F90" w14:textId="77777777" w:rsidTr="00B24F4B">
        <w:tc>
          <w:tcPr>
            <w:tcW w:w="3005" w:type="dxa"/>
          </w:tcPr>
          <w:p w14:paraId="1D934B4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0</w:t>
            </w:r>
          </w:p>
        </w:tc>
        <w:tc>
          <w:tcPr>
            <w:tcW w:w="3005" w:type="dxa"/>
          </w:tcPr>
          <w:p w14:paraId="36BC4B8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–30</w:t>
            </w:r>
          </w:p>
        </w:tc>
        <w:tc>
          <w:tcPr>
            <w:tcW w:w="3006" w:type="dxa"/>
          </w:tcPr>
          <w:p w14:paraId="70AA0DE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–30</w:t>
            </w:r>
          </w:p>
        </w:tc>
      </w:tr>
      <w:tr w:rsidR="007A0C75" w:rsidRPr="007A0C75" w14:paraId="01297A9F" w14:textId="77777777" w:rsidTr="00B24F4B">
        <w:tc>
          <w:tcPr>
            <w:tcW w:w="3005" w:type="dxa"/>
          </w:tcPr>
          <w:p w14:paraId="3635ED7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tcPr>
          <w:p w14:paraId="4DE2D1A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tcPr>
          <w:p w14:paraId="1190F59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w:t>
            </w:r>
          </w:p>
        </w:tc>
      </w:tr>
      <w:tr w:rsidR="007A0C75" w:rsidRPr="007A0C75" w14:paraId="571AB241" w14:textId="77777777" w:rsidTr="00B24F4B">
        <w:tc>
          <w:tcPr>
            <w:tcW w:w="3005" w:type="dxa"/>
          </w:tcPr>
          <w:p w14:paraId="2F51C90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tcPr>
          <w:p w14:paraId="6F9AE6C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tcPr>
          <w:p w14:paraId="2493D9E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–18</w:t>
            </w:r>
          </w:p>
        </w:tc>
      </w:tr>
      <w:tr w:rsidR="007A0C75" w:rsidRPr="007A0C75" w14:paraId="7F394C35" w14:textId="77777777" w:rsidTr="00B24F4B">
        <w:tc>
          <w:tcPr>
            <w:tcW w:w="3005" w:type="dxa"/>
          </w:tcPr>
          <w:p w14:paraId="36354AD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tcPr>
          <w:p w14:paraId="358420A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tcPr>
          <w:p w14:paraId="28E5494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r>
      <w:tr w:rsidR="007A0C75" w:rsidRPr="007A0C75" w14:paraId="3028C776" w14:textId="77777777" w:rsidTr="00B24F4B">
        <w:tc>
          <w:tcPr>
            <w:tcW w:w="3005" w:type="dxa"/>
          </w:tcPr>
          <w:p w14:paraId="542D938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tcPr>
          <w:p w14:paraId="738168B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tcPr>
          <w:p w14:paraId="469A7FE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150B4884" w14:textId="77777777" w:rsidTr="00B24F4B">
        <w:tc>
          <w:tcPr>
            <w:tcW w:w="3005" w:type="dxa"/>
          </w:tcPr>
          <w:p w14:paraId="2778C2D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tcPr>
          <w:p w14:paraId="5ED7D58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tcPr>
          <w:p w14:paraId="19275597"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0</w:t>
            </w:r>
            <w:r w:rsidRPr="007A0C75">
              <w:rPr>
                <w:rFonts w:cs="Arial"/>
                <w:color w:val="000000"/>
                <w:sz w:val="22"/>
                <w:szCs w:val="22"/>
              </w:rPr>
              <w:t xml:space="preserve"> </w:t>
            </w:r>
          </w:p>
        </w:tc>
      </w:tr>
    </w:tbl>
    <w:p w14:paraId="6CE9AE71" w14:textId="77777777" w:rsidR="007A0C75" w:rsidRPr="007A0C75" w:rsidRDefault="007A0C75" w:rsidP="007A0C75">
      <w:pPr>
        <w:spacing w:line="360" w:lineRule="auto"/>
        <w:rPr>
          <w:rFonts w:cs="Arial"/>
          <w:sz w:val="22"/>
          <w:szCs w:val="22"/>
        </w:rPr>
      </w:pPr>
      <w:r w:rsidRPr="007A0C75">
        <w:rPr>
          <w:rFonts w:cs="Arial"/>
          <w:sz w:val="22"/>
          <w:szCs w:val="22"/>
        </w:rPr>
        <w:t>Hence, PBP = 5.0 years</w:t>
      </w:r>
    </w:p>
    <w:p w14:paraId="5BD6119F"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C</w:t>
      </w:r>
    </w:p>
    <w:tbl>
      <w:tblPr>
        <w:tblStyle w:val="TableGrid"/>
        <w:tblW w:w="0" w:type="auto"/>
        <w:tblLook w:val="04A0" w:firstRow="1" w:lastRow="0" w:firstColumn="1" w:lastColumn="0" w:noHBand="0" w:noVBand="1"/>
      </w:tblPr>
      <w:tblGrid>
        <w:gridCol w:w="3005"/>
        <w:gridCol w:w="3005"/>
        <w:gridCol w:w="3006"/>
      </w:tblGrid>
      <w:tr w:rsidR="007A0C75" w:rsidRPr="007A0C75" w14:paraId="5E75C54A" w14:textId="77777777" w:rsidTr="00B24F4B">
        <w:tc>
          <w:tcPr>
            <w:tcW w:w="3005" w:type="dxa"/>
          </w:tcPr>
          <w:p w14:paraId="3E6EE23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tcPr>
          <w:p w14:paraId="3EEA4A6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3006" w:type="dxa"/>
          </w:tcPr>
          <w:p w14:paraId="3D3612A3"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Cumulative Cash Flow (£m)</w:t>
            </w:r>
          </w:p>
        </w:tc>
      </w:tr>
      <w:tr w:rsidR="007A0C75" w:rsidRPr="007A0C75" w14:paraId="0DBC8833" w14:textId="77777777" w:rsidTr="00B24F4B">
        <w:tc>
          <w:tcPr>
            <w:tcW w:w="3005" w:type="dxa"/>
          </w:tcPr>
          <w:p w14:paraId="671E8C0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0</w:t>
            </w:r>
          </w:p>
        </w:tc>
        <w:tc>
          <w:tcPr>
            <w:tcW w:w="3005" w:type="dxa"/>
          </w:tcPr>
          <w:p w14:paraId="19F0160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w:t>
            </w:r>
          </w:p>
        </w:tc>
        <w:tc>
          <w:tcPr>
            <w:tcW w:w="3006" w:type="dxa"/>
          </w:tcPr>
          <w:p w14:paraId="2A8A11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w:t>
            </w:r>
          </w:p>
        </w:tc>
      </w:tr>
      <w:tr w:rsidR="007A0C75" w:rsidRPr="007A0C75" w14:paraId="2D6C1FF9" w14:textId="77777777" w:rsidTr="00B24F4B">
        <w:tc>
          <w:tcPr>
            <w:tcW w:w="3005" w:type="dxa"/>
          </w:tcPr>
          <w:p w14:paraId="14C1BEA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tcPr>
          <w:p w14:paraId="67BBFA5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c>
          <w:tcPr>
            <w:tcW w:w="3006" w:type="dxa"/>
          </w:tcPr>
          <w:p w14:paraId="318098A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w:t>
            </w:r>
          </w:p>
        </w:tc>
      </w:tr>
      <w:tr w:rsidR="007A0C75" w:rsidRPr="007A0C75" w14:paraId="3A7B13DF" w14:textId="77777777" w:rsidTr="00B24F4B">
        <w:tc>
          <w:tcPr>
            <w:tcW w:w="3005" w:type="dxa"/>
          </w:tcPr>
          <w:p w14:paraId="281351E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tcPr>
          <w:p w14:paraId="0838BD9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tcPr>
          <w:p w14:paraId="03CF159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–35</w:t>
            </w:r>
          </w:p>
        </w:tc>
      </w:tr>
      <w:tr w:rsidR="007A0C75" w:rsidRPr="007A0C75" w14:paraId="23D95EC9" w14:textId="77777777" w:rsidTr="00B24F4B">
        <w:tc>
          <w:tcPr>
            <w:tcW w:w="3005" w:type="dxa"/>
          </w:tcPr>
          <w:p w14:paraId="1EB634B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tcPr>
          <w:p w14:paraId="4F104C9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w:t>
            </w:r>
          </w:p>
        </w:tc>
        <w:tc>
          <w:tcPr>
            <w:tcW w:w="3006" w:type="dxa"/>
          </w:tcPr>
          <w:p w14:paraId="3F57BC2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r>
      <w:tr w:rsidR="007A0C75" w:rsidRPr="007A0C75" w14:paraId="06A3C138" w14:textId="77777777" w:rsidTr="00B24F4B">
        <w:tc>
          <w:tcPr>
            <w:tcW w:w="3005" w:type="dxa"/>
          </w:tcPr>
          <w:p w14:paraId="6516173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tcPr>
          <w:p w14:paraId="1B857CC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c>
          <w:tcPr>
            <w:tcW w:w="3006" w:type="dxa"/>
          </w:tcPr>
          <w:p w14:paraId="6B1102C2"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10</w:t>
            </w:r>
            <w:r w:rsidRPr="007A0C75">
              <w:rPr>
                <w:rFonts w:cs="Arial"/>
                <w:color w:val="000000"/>
                <w:sz w:val="22"/>
                <w:szCs w:val="22"/>
              </w:rPr>
              <w:t xml:space="preserve"> </w:t>
            </w:r>
          </w:p>
        </w:tc>
      </w:tr>
      <w:tr w:rsidR="007A0C75" w:rsidRPr="007A0C75" w14:paraId="40A053B4" w14:textId="77777777" w:rsidTr="00B24F4B">
        <w:tc>
          <w:tcPr>
            <w:tcW w:w="3005" w:type="dxa"/>
          </w:tcPr>
          <w:p w14:paraId="533834D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tcPr>
          <w:p w14:paraId="2E4F2DF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c>
          <w:tcPr>
            <w:tcW w:w="3006" w:type="dxa"/>
          </w:tcPr>
          <w:p w14:paraId="2EA30FC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r>
    </w:tbl>
    <w:p w14:paraId="61B7EC24" w14:textId="77777777" w:rsidR="007A0C75" w:rsidRPr="007A0C75" w:rsidRDefault="007A0C75" w:rsidP="007A0C75">
      <w:pPr>
        <w:spacing w:line="360" w:lineRule="auto"/>
        <w:rPr>
          <w:rFonts w:cs="Arial"/>
          <w:sz w:val="22"/>
          <w:szCs w:val="22"/>
        </w:rPr>
      </w:pPr>
      <w:r w:rsidRPr="007A0C75">
        <w:rPr>
          <w:rFonts w:cs="Arial"/>
          <w:sz w:val="22"/>
          <w:szCs w:val="22"/>
        </w:rPr>
        <w:t>Hence, PBP = 3 + (15 ÷ 25) = 3.6 years</w:t>
      </w:r>
    </w:p>
    <w:p w14:paraId="67EB136B" w14:textId="77777777" w:rsidR="007A0C75" w:rsidRPr="007A0C75" w:rsidRDefault="007A0C75" w:rsidP="006A4B35">
      <w:pPr>
        <w:pStyle w:val="Heading2"/>
      </w:pPr>
      <w:bookmarkStart w:id="43" w:name="_Toc216386231"/>
      <w:r w:rsidRPr="007A0C75">
        <w:t>Appendix Q</w:t>
      </w:r>
      <w:bookmarkEnd w:id="43"/>
    </w:p>
    <w:p w14:paraId="4054D0C1" w14:textId="77777777" w:rsidR="007A0C75" w:rsidRPr="007A0C75" w:rsidRDefault="007A0C75" w:rsidP="007A0C75">
      <w:pPr>
        <w:spacing w:line="360" w:lineRule="auto"/>
        <w:rPr>
          <w:rFonts w:cs="Arial"/>
          <w:sz w:val="22"/>
          <w:szCs w:val="22"/>
        </w:rPr>
      </w:pPr>
      <w:r w:rsidRPr="007A0C75">
        <w:rPr>
          <w:rFonts w:cs="Arial"/>
          <w:sz w:val="22"/>
          <w:szCs w:val="22"/>
        </w:rPr>
        <w:t>ARR Calculation</w:t>
      </w:r>
    </w:p>
    <w:p w14:paraId="10D950A3"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A</w:t>
      </w:r>
    </w:p>
    <w:p w14:paraId="7BF72C7E" w14:textId="77777777" w:rsidR="007A0C75" w:rsidRPr="007A0C75" w:rsidRDefault="007A0C75" w:rsidP="007A0C75">
      <w:pPr>
        <w:spacing w:line="360" w:lineRule="auto"/>
        <w:rPr>
          <w:rFonts w:cs="Arial"/>
          <w:sz w:val="22"/>
          <w:szCs w:val="22"/>
        </w:rPr>
      </w:pPr>
      <w:r w:rsidRPr="007A0C75">
        <w:rPr>
          <w:rFonts w:cs="Arial"/>
          <w:sz w:val="22"/>
          <w:szCs w:val="22"/>
        </w:rPr>
        <w:t>(</w:t>
      </w:r>
      <w:proofErr w:type="spellStart"/>
      <w:r w:rsidRPr="007A0C75">
        <w:rPr>
          <w:rFonts w:cs="Arial"/>
          <w:sz w:val="22"/>
          <w:szCs w:val="22"/>
        </w:rPr>
        <w:t>i</w:t>
      </w:r>
      <w:proofErr w:type="spellEnd"/>
      <w:r w:rsidRPr="007A0C75">
        <w:rPr>
          <w:rFonts w:cs="Arial"/>
          <w:sz w:val="22"/>
          <w:szCs w:val="22"/>
        </w:rPr>
        <w:t>) Annual Depreciation= (Initial Investment ÷ 5) = 40 ÷ 5 = £8m per year</w:t>
      </w:r>
    </w:p>
    <w:p w14:paraId="5472CF37" w14:textId="77777777" w:rsidR="007A0C75" w:rsidRPr="007A0C75" w:rsidRDefault="007A0C75" w:rsidP="007A0C75">
      <w:pPr>
        <w:spacing w:line="360" w:lineRule="auto"/>
        <w:rPr>
          <w:rFonts w:cs="Arial"/>
          <w:sz w:val="22"/>
          <w:szCs w:val="22"/>
        </w:rPr>
      </w:pPr>
      <w:r w:rsidRPr="007A0C75">
        <w:rPr>
          <w:rFonts w:cs="Arial"/>
          <w:sz w:val="22"/>
          <w:szCs w:val="22"/>
        </w:rPr>
        <w:t>(ii) Accounting profit = (Net cash inflow – Depreciation)</w:t>
      </w:r>
    </w:p>
    <w:tbl>
      <w:tblPr>
        <w:tblStyle w:val="TableGrid"/>
        <w:tblW w:w="0" w:type="auto"/>
        <w:tblLook w:val="04A0" w:firstRow="1" w:lastRow="0" w:firstColumn="1" w:lastColumn="0" w:noHBand="0" w:noVBand="1"/>
      </w:tblPr>
      <w:tblGrid>
        <w:gridCol w:w="3005"/>
        <w:gridCol w:w="3005"/>
        <w:gridCol w:w="3006"/>
      </w:tblGrid>
      <w:tr w:rsidR="007A0C75" w:rsidRPr="007A0C75" w14:paraId="627E0283" w14:textId="77777777" w:rsidTr="00B24F4B">
        <w:tc>
          <w:tcPr>
            <w:tcW w:w="3005" w:type="dxa"/>
          </w:tcPr>
          <w:p w14:paraId="53844B1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tcPr>
          <w:p w14:paraId="1542AB7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Cash Inflow (£m)</w:t>
            </w:r>
          </w:p>
        </w:tc>
        <w:tc>
          <w:tcPr>
            <w:tcW w:w="3006" w:type="dxa"/>
          </w:tcPr>
          <w:p w14:paraId="39B7FD5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Accounting Profit (£m)</w:t>
            </w:r>
          </w:p>
        </w:tc>
      </w:tr>
      <w:tr w:rsidR="007A0C75" w:rsidRPr="007A0C75" w14:paraId="3E1FD253" w14:textId="77777777" w:rsidTr="00B24F4B">
        <w:tc>
          <w:tcPr>
            <w:tcW w:w="3005" w:type="dxa"/>
          </w:tcPr>
          <w:p w14:paraId="17333F9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tcPr>
          <w:p w14:paraId="241C7D0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tcPr>
          <w:p w14:paraId="73F5F75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w:t>
            </w:r>
          </w:p>
        </w:tc>
      </w:tr>
      <w:tr w:rsidR="007A0C75" w:rsidRPr="007A0C75" w14:paraId="43F45EF9" w14:textId="77777777" w:rsidTr="00B24F4B">
        <w:tc>
          <w:tcPr>
            <w:tcW w:w="3005" w:type="dxa"/>
          </w:tcPr>
          <w:p w14:paraId="65D499A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tcPr>
          <w:p w14:paraId="2818BF1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c>
          <w:tcPr>
            <w:tcW w:w="3006" w:type="dxa"/>
          </w:tcPr>
          <w:p w14:paraId="5868B4F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w:t>
            </w:r>
          </w:p>
        </w:tc>
      </w:tr>
      <w:tr w:rsidR="007A0C75" w:rsidRPr="007A0C75" w14:paraId="43B30966" w14:textId="77777777" w:rsidTr="00B24F4B">
        <w:tc>
          <w:tcPr>
            <w:tcW w:w="3005" w:type="dxa"/>
          </w:tcPr>
          <w:p w14:paraId="10EC431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tcPr>
          <w:p w14:paraId="52D75C0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c>
          <w:tcPr>
            <w:tcW w:w="3006" w:type="dxa"/>
          </w:tcPr>
          <w:p w14:paraId="2AF2E7C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6153552C" w14:textId="77777777" w:rsidTr="00B24F4B">
        <w:tc>
          <w:tcPr>
            <w:tcW w:w="3005" w:type="dxa"/>
          </w:tcPr>
          <w:p w14:paraId="467C5FC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tcPr>
          <w:p w14:paraId="2C741B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tcPr>
          <w:p w14:paraId="7D5C847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w:t>
            </w:r>
          </w:p>
        </w:tc>
      </w:tr>
      <w:tr w:rsidR="007A0C75" w:rsidRPr="007A0C75" w14:paraId="7B176A7E" w14:textId="77777777" w:rsidTr="00B24F4B">
        <w:tc>
          <w:tcPr>
            <w:tcW w:w="3005" w:type="dxa"/>
          </w:tcPr>
          <w:p w14:paraId="54F767C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tcPr>
          <w:p w14:paraId="3256161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w:t>
            </w:r>
          </w:p>
        </w:tc>
        <w:tc>
          <w:tcPr>
            <w:tcW w:w="3006" w:type="dxa"/>
          </w:tcPr>
          <w:p w14:paraId="2B9B2CE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bl>
    <w:p w14:paraId="4C5D6147" w14:textId="77777777" w:rsidR="007A0C75" w:rsidRPr="007A0C75" w:rsidRDefault="007A0C75" w:rsidP="007A0C75">
      <w:pPr>
        <w:spacing w:line="360" w:lineRule="auto"/>
        <w:rPr>
          <w:rFonts w:cs="Arial"/>
          <w:sz w:val="22"/>
          <w:szCs w:val="22"/>
        </w:rPr>
      </w:pPr>
      <w:r w:rsidRPr="007A0C75">
        <w:rPr>
          <w:rFonts w:cs="Arial"/>
          <w:sz w:val="22"/>
          <w:szCs w:val="22"/>
        </w:rPr>
        <w:t>Total Accounting Profit = £14m</w:t>
      </w:r>
    </w:p>
    <w:p w14:paraId="3569C439" w14:textId="77777777" w:rsidR="007A0C75" w:rsidRPr="007A0C75" w:rsidRDefault="007A0C75" w:rsidP="007A0C75">
      <w:pPr>
        <w:spacing w:line="360" w:lineRule="auto"/>
        <w:rPr>
          <w:rFonts w:cs="Arial"/>
          <w:sz w:val="22"/>
          <w:szCs w:val="22"/>
        </w:rPr>
      </w:pPr>
      <w:r w:rsidRPr="007A0C75">
        <w:rPr>
          <w:rFonts w:cs="Arial"/>
          <w:sz w:val="22"/>
          <w:szCs w:val="22"/>
        </w:rPr>
        <w:t>Average Accounting Profit = 14 ÷ 5 = £2.8m</w:t>
      </w:r>
    </w:p>
    <w:p w14:paraId="359999F8" w14:textId="77777777" w:rsidR="007A0C75" w:rsidRPr="007A0C75" w:rsidRDefault="007A0C75" w:rsidP="007A0C75">
      <w:pPr>
        <w:spacing w:line="360" w:lineRule="auto"/>
        <w:rPr>
          <w:rFonts w:cs="Arial"/>
          <w:sz w:val="22"/>
          <w:szCs w:val="22"/>
        </w:rPr>
      </w:pPr>
      <w:r w:rsidRPr="007A0C75">
        <w:rPr>
          <w:rFonts w:cs="Arial"/>
          <w:sz w:val="22"/>
          <w:szCs w:val="22"/>
        </w:rPr>
        <w:t>(iii) ARR for Project A = (Average Annual Accounting Profit/ Initial Investment) = 2.8 ÷ 40 = 7.0%</w:t>
      </w:r>
    </w:p>
    <w:p w14:paraId="60B4A213"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B</w:t>
      </w:r>
    </w:p>
    <w:p w14:paraId="0CBA8AB9" w14:textId="77777777" w:rsidR="007A0C75" w:rsidRPr="007A0C75" w:rsidRDefault="007A0C75" w:rsidP="007A0C75">
      <w:pPr>
        <w:spacing w:line="360" w:lineRule="auto"/>
        <w:rPr>
          <w:rFonts w:cs="Arial"/>
          <w:sz w:val="22"/>
          <w:szCs w:val="22"/>
        </w:rPr>
      </w:pPr>
      <w:r w:rsidRPr="007A0C75">
        <w:rPr>
          <w:rFonts w:cs="Arial"/>
          <w:sz w:val="22"/>
          <w:szCs w:val="22"/>
        </w:rPr>
        <w:t>(</w:t>
      </w:r>
      <w:proofErr w:type="spellStart"/>
      <w:r w:rsidRPr="007A0C75">
        <w:rPr>
          <w:rFonts w:cs="Arial"/>
          <w:sz w:val="22"/>
          <w:szCs w:val="22"/>
        </w:rPr>
        <w:t>i</w:t>
      </w:r>
      <w:proofErr w:type="spellEnd"/>
      <w:r w:rsidRPr="007A0C75">
        <w:rPr>
          <w:rFonts w:cs="Arial"/>
          <w:sz w:val="22"/>
          <w:szCs w:val="22"/>
        </w:rPr>
        <w:t>) Annual Depreciation= (Initial Investment ÷ 5) = 30 ÷ 5 = £6m per year</w:t>
      </w:r>
    </w:p>
    <w:p w14:paraId="6B688A2F" w14:textId="77777777" w:rsidR="007A0C75" w:rsidRPr="007A0C75" w:rsidRDefault="007A0C75" w:rsidP="007A0C75">
      <w:pPr>
        <w:spacing w:line="360" w:lineRule="auto"/>
        <w:rPr>
          <w:rFonts w:cs="Arial"/>
          <w:sz w:val="22"/>
          <w:szCs w:val="22"/>
        </w:rPr>
      </w:pPr>
      <w:r w:rsidRPr="007A0C75">
        <w:rPr>
          <w:rFonts w:cs="Arial"/>
          <w:sz w:val="22"/>
          <w:szCs w:val="22"/>
        </w:rPr>
        <w:t>(ii) Accounting profit = (Net cash inflow – Depreciation)</w:t>
      </w:r>
    </w:p>
    <w:tbl>
      <w:tblPr>
        <w:tblStyle w:val="TableGrid"/>
        <w:tblW w:w="0" w:type="auto"/>
        <w:tblLook w:val="04A0" w:firstRow="1" w:lastRow="0" w:firstColumn="1" w:lastColumn="0" w:noHBand="0" w:noVBand="1"/>
      </w:tblPr>
      <w:tblGrid>
        <w:gridCol w:w="3005"/>
        <w:gridCol w:w="3005"/>
        <w:gridCol w:w="3006"/>
      </w:tblGrid>
      <w:tr w:rsidR="007A0C75" w:rsidRPr="007A0C75" w14:paraId="46538E36" w14:textId="77777777" w:rsidTr="00B24F4B">
        <w:tc>
          <w:tcPr>
            <w:tcW w:w="3005" w:type="dxa"/>
            <w:vAlign w:val="bottom"/>
          </w:tcPr>
          <w:p w14:paraId="248A290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vAlign w:val="bottom"/>
          </w:tcPr>
          <w:p w14:paraId="6353F5F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Cash Inflow (£m)</w:t>
            </w:r>
          </w:p>
        </w:tc>
        <w:tc>
          <w:tcPr>
            <w:tcW w:w="3006" w:type="dxa"/>
            <w:vAlign w:val="bottom"/>
          </w:tcPr>
          <w:p w14:paraId="2710B09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Accounting Profit (£m)</w:t>
            </w:r>
          </w:p>
        </w:tc>
      </w:tr>
      <w:tr w:rsidR="007A0C75" w:rsidRPr="007A0C75" w14:paraId="3F6ACCEC" w14:textId="77777777" w:rsidTr="00B24F4B">
        <w:tc>
          <w:tcPr>
            <w:tcW w:w="3005" w:type="dxa"/>
            <w:vAlign w:val="bottom"/>
          </w:tcPr>
          <w:p w14:paraId="0E83830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vAlign w:val="bottom"/>
          </w:tcPr>
          <w:p w14:paraId="6646CCC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vAlign w:val="bottom"/>
          </w:tcPr>
          <w:p w14:paraId="452BE13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r w:rsidR="007A0C75" w:rsidRPr="007A0C75" w14:paraId="4C6D6A7C" w14:textId="77777777" w:rsidTr="00B24F4B">
        <w:tc>
          <w:tcPr>
            <w:tcW w:w="3005" w:type="dxa"/>
            <w:vAlign w:val="bottom"/>
          </w:tcPr>
          <w:p w14:paraId="7F44557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vAlign w:val="bottom"/>
          </w:tcPr>
          <w:p w14:paraId="7B8EDCD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vAlign w:val="bottom"/>
          </w:tcPr>
          <w:p w14:paraId="32BB09A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r w:rsidR="007A0C75" w:rsidRPr="007A0C75" w14:paraId="586462D1" w14:textId="77777777" w:rsidTr="00B24F4B">
        <w:tc>
          <w:tcPr>
            <w:tcW w:w="3005" w:type="dxa"/>
            <w:vAlign w:val="bottom"/>
          </w:tcPr>
          <w:p w14:paraId="1C9B00B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vAlign w:val="bottom"/>
          </w:tcPr>
          <w:p w14:paraId="01768AD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vAlign w:val="bottom"/>
          </w:tcPr>
          <w:p w14:paraId="3BB98D0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r w:rsidR="007A0C75" w:rsidRPr="007A0C75" w14:paraId="260372D4" w14:textId="77777777" w:rsidTr="00B24F4B">
        <w:tc>
          <w:tcPr>
            <w:tcW w:w="3005" w:type="dxa"/>
            <w:vAlign w:val="bottom"/>
          </w:tcPr>
          <w:p w14:paraId="1E2FDB5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vAlign w:val="bottom"/>
          </w:tcPr>
          <w:p w14:paraId="2CFE9CA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vAlign w:val="bottom"/>
          </w:tcPr>
          <w:p w14:paraId="3ECBA84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r w:rsidR="007A0C75" w:rsidRPr="007A0C75" w14:paraId="498B2C14" w14:textId="77777777" w:rsidTr="00B24F4B">
        <w:tc>
          <w:tcPr>
            <w:tcW w:w="3005" w:type="dxa"/>
            <w:vAlign w:val="bottom"/>
          </w:tcPr>
          <w:p w14:paraId="6D58E9F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vAlign w:val="bottom"/>
          </w:tcPr>
          <w:p w14:paraId="0715408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vAlign w:val="bottom"/>
          </w:tcPr>
          <w:p w14:paraId="5558C50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bl>
    <w:p w14:paraId="7B26DE3E" w14:textId="77777777" w:rsidR="007A0C75" w:rsidRPr="007A0C75" w:rsidRDefault="007A0C75" w:rsidP="007A0C75">
      <w:pPr>
        <w:spacing w:line="360" w:lineRule="auto"/>
        <w:rPr>
          <w:rFonts w:cs="Arial"/>
          <w:sz w:val="22"/>
          <w:szCs w:val="22"/>
        </w:rPr>
      </w:pPr>
      <w:r w:rsidRPr="007A0C75">
        <w:rPr>
          <w:rFonts w:cs="Arial"/>
          <w:sz w:val="22"/>
          <w:szCs w:val="22"/>
        </w:rPr>
        <w:t>Total Accounting Profit = £0</w:t>
      </w:r>
    </w:p>
    <w:p w14:paraId="1D28EEB5" w14:textId="77777777" w:rsidR="007A0C75" w:rsidRPr="007A0C75" w:rsidRDefault="007A0C75" w:rsidP="007A0C75">
      <w:pPr>
        <w:spacing w:line="360" w:lineRule="auto"/>
        <w:rPr>
          <w:rFonts w:cs="Arial"/>
          <w:sz w:val="22"/>
          <w:szCs w:val="22"/>
        </w:rPr>
      </w:pPr>
      <w:r w:rsidRPr="007A0C75">
        <w:rPr>
          <w:rFonts w:cs="Arial"/>
          <w:sz w:val="22"/>
          <w:szCs w:val="22"/>
        </w:rPr>
        <w:t>Average Accounting Profit = 0</w:t>
      </w:r>
    </w:p>
    <w:p w14:paraId="465A44BC" w14:textId="77777777" w:rsidR="007A0C75" w:rsidRPr="007A0C75" w:rsidRDefault="007A0C75" w:rsidP="007A0C75">
      <w:pPr>
        <w:spacing w:line="360" w:lineRule="auto"/>
        <w:rPr>
          <w:rFonts w:cs="Arial"/>
          <w:sz w:val="22"/>
          <w:szCs w:val="22"/>
        </w:rPr>
      </w:pPr>
      <w:r w:rsidRPr="007A0C75">
        <w:rPr>
          <w:rFonts w:cs="Arial"/>
          <w:sz w:val="22"/>
          <w:szCs w:val="22"/>
        </w:rPr>
        <w:t>(iii) ARR for Project A = (Average Annual Accounting Profit/ Initial Investment) = 0 ÷ 30 = 0</w:t>
      </w:r>
    </w:p>
    <w:p w14:paraId="100BB5DE"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C</w:t>
      </w:r>
    </w:p>
    <w:p w14:paraId="2C4CC9C3" w14:textId="77777777" w:rsidR="007A0C75" w:rsidRPr="007A0C75" w:rsidRDefault="007A0C75" w:rsidP="007A0C75">
      <w:pPr>
        <w:spacing w:line="360" w:lineRule="auto"/>
        <w:rPr>
          <w:rFonts w:cs="Arial"/>
          <w:sz w:val="22"/>
          <w:szCs w:val="22"/>
        </w:rPr>
      </w:pPr>
      <w:r w:rsidRPr="007A0C75">
        <w:rPr>
          <w:rFonts w:cs="Arial"/>
          <w:sz w:val="22"/>
          <w:szCs w:val="22"/>
        </w:rPr>
        <w:t>(</w:t>
      </w:r>
      <w:proofErr w:type="spellStart"/>
      <w:r w:rsidRPr="007A0C75">
        <w:rPr>
          <w:rFonts w:cs="Arial"/>
          <w:sz w:val="22"/>
          <w:szCs w:val="22"/>
        </w:rPr>
        <w:t>i</w:t>
      </w:r>
      <w:proofErr w:type="spellEnd"/>
      <w:r w:rsidRPr="007A0C75">
        <w:rPr>
          <w:rFonts w:cs="Arial"/>
          <w:sz w:val="22"/>
          <w:szCs w:val="22"/>
        </w:rPr>
        <w:t>) Annual Depreciation= (Initial Investment ÷ 5) = 50 ÷ 5 = £10m per year</w:t>
      </w:r>
    </w:p>
    <w:p w14:paraId="18E4F597" w14:textId="77777777" w:rsidR="007A0C75" w:rsidRPr="007A0C75" w:rsidRDefault="007A0C75" w:rsidP="007A0C75">
      <w:pPr>
        <w:spacing w:line="360" w:lineRule="auto"/>
        <w:rPr>
          <w:rFonts w:cs="Arial"/>
          <w:sz w:val="22"/>
          <w:szCs w:val="22"/>
        </w:rPr>
      </w:pPr>
      <w:r w:rsidRPr="007A0C75">
        <w:rPr>
          <w:rFonts w:cs="Arial"/>
          <w:sz w:val="22"/>
          <w:szCs w:val="22"/>
        </w:rPr>
        <w:t>(ii) Accounting profit = (Net cash inflow – Depreciation)</w:t>
      </w:r>
    </w:p>
    <w:tbl>
      <w:tblPr>
        <w:tblStyle w:val="TableGrid"/>
        <w:tblW w:w="0" w:type="auto"/>
        <w:tblLook w:val="04A0" w:firstRow="1" w:lastRow="0" w:firstColumn="1" w:lastColumn="0" w:noHBand="0" w:noVBand="1"/>
      </w:tblPr>
      <w:tblGrid>
        <w:gridCol w:w="3005"/>
        <w:gridCol w:w="3005"/>
        <w:gridCol w:w="3006"/>
      </w:tblGrid>
      <w:tr w:rsidR="007A0C75" w:rsidRPr="007A0C75" w14:paraId="74C4DCDB" w14:textId="77777777" w:rsidTr="00B24F4B">
        <w:tc>
          <w:tcPr>
            <w:tcW w:w="3005" w:type="dxa"/>
            <w:vAlign w:val="bottom"/>
          </w:tcPr>
          <w:p w14:paraId="22AE5AB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vAlign w:val="bottom"/>
          </w:tcPr>
          <w:p w14:paraId="15DB663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Cash Inflow (£m)</w:t>
            </w:r>
          </w:p>
        </w:tc>
        <w:tc>
          <w:tcPr>
            <w:tcW w:w="3006" w:type="dxa"/>
            <w:vAlign w:val="bottom"/>
          </w:tcPr>
          <w:p w14:paraId="1CEE15B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Accounting Profit (£m)</w:t>
            </w:r>
          </w:p>
        </w:tc>
      </w:tr>
      <w:tr w:rsidR="007A0C75" w:rsidRPr="007A0C75" w14:paraId="50C174E2" w14:textId="77777777" w:rsidTr="00B24F4B">
        <w:tc>
          <w:tcPr>
            <w:tcW w:w="3005" w:type="dxa"/>
            <w:vAlign w:val="bottom"/>
          </w:tcPr>
          <w:p w14:paraId="3F59BEA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vAlign w:val="bottom"/>
          </w:tcPr>
          <w:p w14:paraId="70F4320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c>
          <w:tcPr>
            <w:tcW w:w="3006" w:type="dxa"/>
            <w:vAlign w:val="bottom"/>
          </w:tcPr>
          <w:p w14:paraId="6330588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r>
      <w:tr w:rsidR="007A0C75" w:rsidRPr="007A0C75" w14:paraId="676E755F" w14:textId="77777777" w:rsidTr="00B24F4B">
        <w:tc>
          <w:tcPr>
            <w:tcW w:w="3005" w:type="dxa"/>
            <w:vAlign w:val="bottom"/>
          </w:tcPr>
          <w:p w14:paraId="28ADD84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vAlign w:val="bottom"/>
          </w:tcPr>
          <w:p w14:paraId="304EA49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vAlign w:val="bottom"/>
          </w:tcPr>
          <w:p w14:paraId="540BE57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r w:rsidR="007A0C75" w:rsidRPr="007A0C75" w14:paraId="0A927DF2" w14:textId="77777777" w:rsidTr="00B24F4B">
        <w:tc>
          <w:tcPr>
            <w:tcW w:w="3005" w:type="dxa"/>
            <w:vAlign w:val="bottom"/>
          </w:tcPr>
          <w:p w14:paraId="13999C6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vAlign w:val="bottom"/>
          </w:tcPr>
          <w:p w14:paraId="0710C0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w:t>
            </w:r>
          </w:p>
        </w:tc>
        <w:tc>
          <w:tcPr>
            <w:tcW w:w="3006" w:type="dxa"/>
            <w:vAlign w:val="bottom"/>
          </w:tcPr>
          <w:p w14:paraId="28BD8B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r>
      <w:tr w:rsidR="007A0C75" w:rsidRPr="007A0C75" w14:paraId="17589FA4" w14:textId="77777777" w:rsidTr="00B24F4B">
        <w:tc>
          <w:tcPr>
            <w:tcW w:w="3005" w:type="dxa"/>
            <w:vAlign w:val="bottom"/>
          </w:tcPr>
          <w:p w14:paraId="30F672E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vAlign w:val="bottom"/>
          </w:tcPr>
          <w:p w14:paraId="79A2AE0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c>
          <w:tcPr>
            <w:tcW w:w="3006" w:type="dxa"/>
            <w:vAlign w:val="bottom"/>
          </w:tcPr>
          <w:p w14:paraId="70FC3A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r>
      <w:tr w:rsidR="007A0C75" w:rsidRPr="007A0C75" w14:paraId="0B5119D2" w14:textId="77777777" w:rsidTr="00B24F4B">
        <w:tc>
          <w:tcPr>
            <w:tcW w:w="3005" w:type="dxa"/>
            <w:vAlign w:val="bottom"/>
          </w:tcPr>
          <w:p w14:paraId="3DF1088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vAlign w:val="bottom"/>
          </w:tcPr>
          <w:p w14:paraId="62E20F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c>
          <w:tcPr>
            <w:tcW w:w="3006" w:type="dxa"/>
            <w:vAlign w:val="bottom"/>
          </w:tcPr>
          <w:p w14:paraId="1573820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r>
    </w:tbl>
    <w:p w14:paraId="415852BF" w14:textId="77777777" w:rsidR="007A0C75" w:rsidRPr="007A0C75" w:rsidRDefault="007A0C75" w:rsidP="007A0C75">
      <w:pPr>
        <w:spacing w:line="360" w:lineRule="auto"/>
        <w:rPr>
          <w:rFonts w:cs="Arial"/>
          <w:sz w:val="22"/>
          <w:szCs w:val="22"/>
        </w:rPr>
      </w:pPr>
      <w:r w:rsidRPr="007A0C75">
        <w:rPr>
          <w:rFonts w:cs="Arial"/>
          <w:sz w:val="22"/>
          <w:szCs w:val="22"/>
        </w:rPr>
        <w:t>Total Accounting Profit = £25m</w:t>
      </w:r>
    </w:p>
    <w:p w14:paraId="746B51D5" w14:textId="77777777" w:rsidR="007A0C75" w:rsidRPr="007A0C75" w:rsidRDefault="007A0C75" w:rsidP="007A0C75">
      <w:pPr>
        <w:spacing w:line="360" w:lineRule="auto"/>
        <w:rPr>
          <w:rFonts w:cs="Arial"/>
          <w:sz w:val="22"/>
          <w:szCs w:val="22"/>
        </w:rPr>
      </w:pPr>
      <w:r w:rsidRPr="007A0C75">
        <w:rPr>
          <w:rFonts w:cs="Arial"/>
          <w:sz w:val="22"/>
          <w:szCs w:val="22"/>
        </w:rPr>
        <w:t>Average Accounting Profit = 25 ÷ 5 = £5m</w:t>
      </w:r>
    </w:p>
    <w:p w14:paraId="542F6086" w14:textId="77777777" w:rsidR="007A0C75" w:rsidRPr="007A0C75" w:rsidRDefault="007A0C75" w:rsidP="007A0C75">
      <w:pPr>
        <w:spacing w:line="360" w:lineRule="auto"/>
        <w:rPr>
          <w:rFonts w:cs="Arial"/>
          <w:sz w:val="22"/>
          <w:szCs w:val="22"/>
        </w:rPr>
      </w:pPr>
      <w:r w:rsidRPr="007A0C75">
        <w:rPr>
          <w:rFonts w:cs="Arial"/>
          <w:sz w:val="22"/>
          <w:szCs w:val="22"/>
        </w:rPr>
        <w:t>(iii) ARR for Project A = (Average Annual Accounting Profit/ Initial Investment) = 5 ÷ 50 = 10.0%</w:t>
      </w:r>
    </w:p>
    <w:p w14:paraId="3896D02B" w14:textId="77777777" w:rsidR="007A0C75" w:rsidRPr="007A0C75" w:rsidRDefault="007A0C75" w:rsidP="006A4B35">
      <w:pPr>
        <w:pStyle w:val="Heading2"/>
      </w:pPr>
      <w:bookmarkStart w:id="44" w:name="_Toc216386232"/>
      <w:r w:rsidRPr="007A0C75">
        <w:t xml:space="preserve">Appendix </w:t>
      </w:r>
      <w:r w:rsidR="006A4B35">
        <w:t>R</w:t>
      </w:r>
      <w:bookmarkEnd w:id="44"/>
    </w:p>
    <w:p w14:paraId="0CBCD326" w14:textId="77777777" w:rsidR="007A0C75" w:rsidRPr="007A0C75" w:rsidRDefault="007A0C75" w:rsidP="007A0C75">
      <w:pPr>
        <w:spacing w:line="360" w:lineRule="auto"/>
        <w:rPr>
          <w:rFonts w:cs="Arial"/>
          <w:sz w:val="22"/>
          <w:szCs w:val="22"/>
        </w:rPr>
      </w:pPr>
      <w:r w:rsidRPr="007A0C75">
        <w:rPr>
          <w:rFonts w:cs="Arial"/>
          <w:sz w:val="22"/>
          <w:szCs w:val="22"/>
        </w:rPr>
        <w:t>NPV Calculation</w:t>
      </w:r>
    </w:p>
    <w:p w14:paraId="42FCFDE5" w14:textId="77777777" w:rsidR="007A0C75" w:rsidRPr="007A0C75" w:rsidRDefault="007A0C75" w:rsidP="007A0C75">
      <w:pPr>
        <w:spacing w:line="360" w:lineRule="auto"/>
        <w:rPr>
          <w:rFonts w:cs="Arial"/>
          <w:sz w:val="22"/>
          <w:szCs w:val="22"/>
        </w:rPr>
      </w:pPr>
      <w:r w:rsidRPr="007A0C75">
        <w:rPr>
          <w:rFonts w:cs="Arial"/>
          <w:sz w:val="22"/>
          <w:szCs w:val="22"/>
        </w:rPr>
        <w:t>Present Value Factors at 10%</w:t>
      </w:r>
    </w:p>
    <w:tbl>
      <w:tblPr>
        <w:tblStyle w:val="TableGrid"/>
        <w:tblW w:w="0" w:type="auto"/>
        <w:tblLook w:val="04A0" w:firstRow="1" w:lastRow="0" w:firstColumn="1" w:lastColumn="0" w:noHBand="0" w:noVBand="1"/>
      </w:tblPr>
      <w:tblGrid>
        <w:gridCol w:w="4508"/>
        <w:gridCol w:w="4508"/>
      </w:tblGrid>
      <w:tr w:rsidR="007A0C75" w:rsidRPr="007A0C75" w14:paraId="5CD29226" w14:textId="77777777" w:rsidTr="00B24F4B">
        <w:tc>
          <w:tcPr>
            <w:tcW w:w="4508" w:type="dxa"/>
            <w:vAlign w:val="bottom"/>
          </w:tcPr>
          <w:p w14:paraId="7EA510A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4508" w:type="dxa"/>
            <w:vAlign w:val="bottom"/>
          </w:tcPr>
          <w:p w14:paraId="1D7CEE6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10% Discount Factor</w:t>
            </w:r>
          </w:p>
        </w:tc>
      </w:tr>
      <w:tr w:rsidR="007A0C75" w:rsidRPr="007A0C75" w14:paraId="45A7EDD3" w14:textId="77777777" w:rsidTr="00B24F4B">
        <w:tc>
          <w:tcPr>
            <w:tcW w:w="4508" w:type="dxa"/>
            <w:vAlign w:val="bottom"/>
          </w:tcPr>
          <w:p w14:paraId="153DA68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4508" w:type="dxa"/>
            <w:vAlign w:val="bottom"/>
          </w:tcPr>
          <w:p w14:paraId="79296F8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r>
      <w:tr w:rsidR="007A0C75" w:rsidRPr="007A0C75" w14:paraId="5AD84C7D" w14:textId="77777777" w:rsidTr="00B24F4B">
        <w:tc>
          <w:tcPr>
            <w:tcW w:w="4508" w:type="dxa"/>
            <w:vAlign w:val="bottom"/>
          </w:tcPr>
          <w:p w14:paraId="565B8D9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4508" w:type="dxa"/>
            <w:vAlign w:val="bottom"/>
          </w:tcPr>
          <w:p w14:paraId="1153E72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r>
      <w:tr w:rsidR="007A0C75" w:rsidRPr="007A0C75" w14:paraId="3BD89785" w14:textId="77777777" w:rsidTr="00B24F4B">
        <w:tc>
          <w:tcPr>
            <w:tcW w:w="4508" w:type="dxa"/>
            <w:vAlign w:val="bottom"/>
          </w:tcPr>
          <w:p w14:paraId="36FB388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4508" w:type="dxa"/>
            <w:vAlign w:val="bottom"/>
          </w:tcPr>
          <w:p w14:paraId="5EB4096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r>
      <w:tr w:rsidR="007A0C75" w:rsidRPr="007A0C75" w14:paraId="6452E72D" w14:textId="77777777" w:rsidTr="00B24F4B">
        <w:tc>
          <w:tcPr>
            <w:tcW w:w="4508" w:type="dxa"/>
            <w:vAlign w:val="bottom"/>
          </w:tcPr>
          <w:p w14:paraId="7F39958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4508" w:type="dxa"/>
            <w:vAlign w:val="bottom"/>
          </w:tcPr>
          <w:p w14:paraId="5F29DEB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r>
    </w:tbl>
    <w:p w14:paraId="5B7BA67A"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A</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51D0C160" w14:textId="77777777" w:rsidTr="00B24F4B">
        <w:tc>
          <w:tcPr>
            <w:tcW w:w="2254" w:type="dxa"/>
            <w:vAlign w:val="bottom"/>
          </w:tcPr>
          <w:p w14:paraId="31AE7D33"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vAlign w:val="bottom"/>
          </w:tcPr>
          <w:p w14:paraId="0E05D011"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2254" w:type="dxa"/>
            <w:vAlign w:val="bottom"/>
          </w:tcPr>
          <w:p w14:paraId="100BDB0B"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DF 10%</w:t>
            </w:r>
          </w:p>
        </w:tc>
        <w:tc>
          <w:tcPr>
            <w:tcW w:w="2254" w:type="dxa"/>
            <w:vAlign w:val="bottom"/>
          </w:tcPr>
          <w:p w14:paraId="31DEF7A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Present Value (£m)</w:t>
            </w:r>
          </w:p>
        </w:tc>
      </w:tr>
      <w:tr w:rsidR="007A0C75" w:rsidRPr="007A0C75" w14:paraId="73CB6B7D" w14:textId="77777777" w:rsidTr="00B24F4B">
        <w:tc>
          <w:tcPr>
            <w:tcW w:w="2254" w:type="dxa"/>
            <w:vAlign w:val="bottom"/>
          </w:tcPr>
          <w:p w14:paraId="509760A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5A64E72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6C03906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vAlign w:val="bottom"/>
          </w:tcPr>
          <w:p w14:paraId="5FC7170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9.09</w:t>
            </w:r>
          </w:p>
        </w:tc>
      </w:tr>
      <w:tr w:rsidR="007A0C75" w:rsidRPr="007A0C75" w14:paraId="17A65627" w14:textId="77777777" w:rsidTr="00B24F4B">
        <w:tc>
          <w:tcPr>
            <w:tcW w:w="2254" w:type="dxa"/>
            <w:vAlign w:val="bottom"/>
          </w:tcPr>
          <w:p w14:paraId="5DE7959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1862B36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c>
          <w:tcPr>
            <w:tcW w:w="2254" w:type="dxa"/>
            <w:vAlign w:val="bottom"/>
          </w:tcPr>
          <w:p w14:paraId="1D88247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vAlign w:val="bottom"/>
          </w:tcPr>
          <w:p w14:paraId="0AEBEB1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9.91</w:t>
            </w:r>
          </w:p>
        </w:tc>
      </w:tr>
      <w:tr w:rsidR="007A0C75" w:rsidRPr="007A0C75" w14:paraId="38FA877C" w14:textId="77777777" w:rsidTr="00B24F4B">
        <w:tc>
          <w:tcPr>
            <w:tcW w:w="2254" w:type="dxa"/>
            <w:vAlign w:val="bottom"/>
          </w:tcPr>
          <w:p w14:paraId="6343E19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3E33673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c>
          <w:tcPr>
            <w:tcW w:w="2254" w:type="dxa"/>
            <w:vAlign w:val="bottom"/>
          </w:tcPr>
          <w:p w14:paraId="550C0D7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vAlign w:val="bottom"/>
          </w:tcPr>
          <w:p w14:paraId="4A6C54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10.51</w:t>
            </w:r>
          </w:p>
        </w:tc>
      </w:tr>
      <w:tr w:rsidR="007A0C75" w:rsidRPr="007A0C75" w14:paraId="49CEC444" w14:textId="77777777" w:rsidTr="00B24F4B">
        <w:tc>
          <w:tcPr>
            <w:tcW w:w="2254" w:type="dxa"/>
            <w:vAlign w:val="bottom"/>
          </w:tcPr>
          <w:p w14:paraId="7E2C70D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09F0FAC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7CD1CA6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vAlign w:val="bottom"/>
          </w:tcPr>
          <w:p w14:paraId="174EEC5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6.83</w:t>
            </w:r>
          </w:p>
        </w:tc>
      </w:tr>
      <w:tr w:rsidR="007A0C75" w:rsidRPr="007A0C75" w14:paraId="3C61A7EA" w14:textId="77777777" w:rsidTr="00B24F4B">
        <w:tc>
          <w:tcPr>
            <w:tcW w:w="2254" w:type="dxa"/>
            <w:vAlign w:val="bottom"/>
          </w:tcPr>
          <w:p w14:paraId="1C4C30A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31F4641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w:t>
            </w:r>
          </w:p>
        </w:tc>
        <w:tc>
          <w:tcPr>
            <w:tcW w:w="2254" w:type="dxa"/>
            <w:vAlign w:val="bottom"/>
          </w:tcPr>
          <w:p w14:paraId="07B0C13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vAlign w:val="bottom"/>
          </w:tcPr>
          <w:p w14:paraId="22F216C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4.97</w:t>
            </w:r>
          </w:p>
        </w:tc>
      </w:tr>
      <w:tr w:rsidR="007A0C75" w:rsidRPr="007A0C75" w14:paraId="65DDA2BE" w14:textId="77777777" w:rsidTr="00B24F4B">
        <w:tc>
          <w:tcPr>
            <w:tcW w:w="2254" w:type="dxa"/>
            <w:vAlign w:val="bottom"/>
          </w:tcPr>
          <w:p w14:paraId="0973960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Total PV of inflows</w:t>
            </w:r>
          </w:p>
        </w:tc>
        <w:tc>
          <w:tcPr>
            <w:tcW w:w="2254" w:type="dxa"/>
            <w:vAlign w:val="bottom"/>
          </w:tcPr>
          <w:p w14:paraId="324E373F" w14:textId="77777777" w:rsidR="007A0C75" w:rsidRPr="007A0C75" w:rsidRDefault="007A0C75" w:rsidP="007A0C75">
            <w:pPr>
              <w:spacing w:line="360" w:lineRule="auto"/>
              <w:rPr>
                <w:rFonts w:cs="Arial"/>
                <w:color w:val="000000"/>
                <w:sz w:val="22"/>
                <w:szCs w:val="22"/>
              </w:rPr>
            </w:pPr>
          </w:p>
        </w:tc>
        <w:tc>
          <w:tcPr>
            <w:tcW w:w="2254" w:type="dxa"/>
            <w:vAlign w:val="bottom"/>
          </w:tcPr>
          <w:p w14:paraId="7DAA3D08" w14:textId="77777777" w:rsidR="007A0C75" w:rsidRPr="007A0C75" w:rsidRDefault="007A0C75" w:rsidP="007A0C75">
            <w:pPr>
              <w:spacing w:line="360" w:lineRule="auto"/>
              <w:rPr>
                <w:rFonts w:cs="Arial"/>
                <w:color w:val="000000"/>
                <w:sz w:val="22"/>
                <w:szCs w:val="22"/>
              </w:rPr>
            </w:pPr>
          </w:p>
        </w:tc>
        <w:tc>
          <w:tcPr>
            <w:tcW w:w="2254" w:type="dxa"/>
            <w:vAlign w:val="bottom"/>
          </w:tcPr>
          <w:p w14:paraId="06F4513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41.31</w:t>
            </w:r>
          </w:p>
        </w:tc>
      </w:tr>
      <w:tr w:rsidR="007A0C75" w:rsidRPr="007A0C75" w14:paraId="6C90EEB1" w14:textId="77777777" w:rsidTr="00B24F4B">
        <w:tc>
          <w:tcPr>
            <w:tcW w:w="2254" w:type="dxa"/>
            <w:vAlign w:val="bottom"/>
          </w:tcPr>
          <w:p w14:paraId="02B9507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Initial investment</w:t>
            </w:r>
          </w:p>
        </w:tc>
        <w:tc>
          <w:tcPr>
            <w:tcW w:w="2254" w:type="dxa"/>
            <w:vAlign w:val="bottom"/>
          </w:tcPr>
          <w:p w14:paraId="1A504E88" w14:textId="77777777" w:rsidR="007A0C75" w:rsidRPr="007A0C75" w:rsidRDefault="007A0C75" w:rsidP="007A0C75">
            <w:pPr>
              <w:spacing w:line="360" w:lineRule="auto"/>
              <w:rPr>
                <w:rFonts w:cs="Arial"/>
                <w:color w:val="000000"/>
                <w:sz w:val="22"/>
                <w:szCs w:val="22"/>
              </w:rPr>
            </w:pPr>
          </w:p>
        </w:tc>
        <w:tc>
          <w:tcPr>
            <w:tcW w:w="2254" w:type="dxa"/>
            <w:vAlign w:val="bottom"/>
          </w:tcPr>
          <w:p w14:paraId="15E16977" w14:textId="77777777" w:rsidR="007A0C75" w:rsidRPr="007A0C75" w:rsidRDefault="007A0C75" w:rsidP="007A0C75">
            <w:pPr>
              <w:spacing w:line="360" w:lineRule="auto"/>
              <w:rPr>
                <w:rFonts w:cs="Arial"/>
                <w:color w:val="000000"/>
                <w:sz w:val="22"/>
                <w:szCs w:val="22"/>
              </w:rPr>
            </w:pPr>
          </w:p>
        </w:tc>
        <w:tc>
          <w:tcPr>
            <w:tcW w:w="2254" w:type="dxa"/>
            <w:vAlign w:val="bottom"/>
          </w:tcPr>
          <w:p w14:paraId="0397AB3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w:t>
            </w:r>
          </w:p>
        </w:tc>
      </w:tr>
      <w:tr w:rsidR="007A0C75" w:rsidRPr="007A0C75" w14:paraId="602249D3" w14:textId="77777777" w:rsidTr="00B24F4B">
        <w:tc>
          <w:tcPr>
            <w:tcW w:w="2254" w:type="dxa"/>
            <w:vAlign w:val="bottom"/>
          </w:tcPr>
          <w:p w14:paraId="0F21EA9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NPV</w:t>
            </w:r>
          </w:p>
        </w:tc>
        <w:tc>
          <w:tcPr>
            <w:tcW w:w="2254" w:type="dxa"/>
            <w:vAlign w:val="bottom"/>
          </w:tcPr>
          <w:p w14:paraId="2331B172" w14:textId="77777777" w:rsidR="007A0C75" w:rsidRPr="007A0C75" w:rsidRDefault="007A0C75" w:rsidP="007A0C75">
            <w:pPr>
              <w:spacing w:line="360" w:lineRule="auto"/>
              <w:rPr>
                <w:rFonts w:cs="Arial"/>
                <w:color w:val="000000"/>
                <w:sz w:val="22"/>
                <w:szCs w:val="22"/>
              </w:rPr>
            </w:pPr>
          </w:p>
        </w:tc>
        <w:tc>
          <w:tcPr>
            <w:tcW w:w="2254" w:type="dxa"/>
            <w:vAlign w:val="bottom"/>
          </w:tcPr>
          <w:p w14:paraId="44712F4A" w14:textId="77777777" w:rsidR="007A0C75" w:rsidRPr="007A0C75" w:rsidRDefault="007A0C75" w:rsidP="007A0C75">
            <w:pPr>
              <w:spacing w:line="360" w:lineRule="auto"/>
              <w:rPr>
                <w:rFonts w:cs="Arial"/>
                <w:color w:val="000000"/>
                <w:sz w:val="22"/>
                <w:szCs w:val="22"/>
              </w:rPr>
            </w:pPr>
          </w:p>
        </w:tc>
        <w:tc>
          <w:tcPr>
            <w:tcW w:w="2254" w:type="dxa"/>
            <w:vAlign w:val="bottom"/>
          </w:tcPr>
          <w:p w14:paraId="453011A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 xml:space="preserve"> 1.31</w:t>
            </w:r>
          </w:p>
        </w:tc>
      </w:tr>
    </w:tbl>
    <w:p w14:paraId="1E76FDCB"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B</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5EEA3647" w14:textId="77777777" w:rsidTr="00B24F4B">
        <w:tc>
          <w:tcPr>
            <w:tcW w:w="2254" w:type="dxa"/>
            <w:vAlign w:val="bottom"/>
          </w:tcPr>
          <w:p w14:paraId="55F31BE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vAlign w:val="bottom"/>
          </w:tcPr>
          <w:p w14:paraId="6A83425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2254" w:type="dxa"/>
            <w:vAlign w:val="bottom"/>
          </w:tcPr>
          <w:p w14:paraId="4895DFD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DF 10%</w:t>
            </w:r>
          </w:p>
        </w:tc>
        <w:tc>
          <w:tcPr>
            <w:tcW w:w="2254" w:type="dxa"/>
            <w:vAlign w:val="bottom"/>
          </w:tcPr>
          <w:p w14:paraId="38BA520B"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Present Value (£m)</w:t>
            </w:r>
          </w:p>
        </w:tc>
      </w:tr>
      <w:tr w:rsidR="007A0C75" w:rsidRPr="007A0C75" w14:paraId="7FAD418A" w14:textId="77777777" w:rsidTr="00B24F4B">
        <w:tc>
          <w:tcPr>
            <w:tcW w:w="2254" w:type="dxa"/>
            <w:vAlign w:val="bottom"/>
          </w:tcPr>
          <w:p w14:paraId="5A312A2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2B2B8E7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410417D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vAlign w:val="bottom"/>
          </w:tcPr>
          <w:p w14:paraId="55141D1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5.45</w:t>
            </w:r>
          </w:p>
        </w:tc>
      </w:tr>
      <w:tr w:rsidR="007A0C75" w:rsidRPr="007A0C75" w14:paraId="0887F703" w14:textId="77777777" w:rsidTr="00B24F4B">
        <w:tc>
          <w:tcPr>
            <w:tcW w:w="2254" w:type="dxa"/>
            <w:vAlign w:val="bottom"/>
          </w:tcPr>
          <w:p w14:paraId="34B835D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19F5F90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0C5F7AC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vAlign w:val="bottom"/>
          </w:tcPr>
          <w:p w14:paraId="45F5FA1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4.96</w:t>
            </w:r>
          </w:p>
        </w:tc>
      </w:tr>
      <w:tr w:rsidR="007A0C75" w:rsidRPr="007A0C75" w14:paraId="089DF13B" w14:textId="77777777" w:rsidTr="00B24F4B">
        <w:tc>
          <w:tcPr>
            <w:tcW w:w="2254" w:type="dxa"/>
            <w:vAlign w:val="bottom"/>
          </w:tcPr>
          <w:p w14:paraId="631BD97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3E72D75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56BB088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vAlign w:val="bottom"/>
          </w:tcPr>
          <w:p w14:paraId="6043158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4.51</w:t>
            </w:r>
          </w:p>
        </w:tc>
      </w:tr>
      <w:tr w:rsidR="007A0C75" w:rsidRPr="007A0C75" w14:paraId="26EA4D36" w14:textId="77777777" w:rsidTr="00B24F4B">
        <w:tc>
          <w:tcPr>
            <w:tcW w:w="2254" w:type="dxa"/>
            <w:vAlign w:val="bottom"/>
          </w:tcPr>
          <w:p w14:paraId="2E3C0A5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5065CEB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6CB8799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vAlign w:val="bottom"/>
          </w:tcPr>
          <w:p w14:paraId="7C1E067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4.1</w:t>
            </w:r>
          </w:p>
        </w:tc>
      </w:tr>
      <w:tr w:rsidR="007A0C75" w:rsidRPr="007A0C75" w14:paraId="3B0AE1AC" w14:textId="77777777" w:rsidTr="00B24F4B">
        <w:tc>
          <w:tcPr>
            <w:tcW w:w="2254" w:type="dxa"/>
            <w:vAlign w:val="bottom"/>
          </w:tcPr>
          <w:p w14:paraId="05A0C59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03C91BC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553C818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vAlign w:val="bottom"/>
          </w:tcPr>
          <w:p w14:paraId="0D42142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3.73</w:t>
            </w:r>
          </w:p>
        </w:tc>
      </w:tr>
      <w:tr w:rsidR="007A0C75" w:rsidRPr="007A0C75" w14:paraId="06404DE8" w14:textId="77777777" w:rsidTr="00B24F4B">
        <w:tc>
          <w:tcPr>
            <w:tcW w:w="2254" w:type="dxa"/>
            <w:vAlign w:val="bottom"/>
          </w:tcPr>
          <w:p w14:paraId="2B80595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Total PV of inflows</w:t>
            </w:r>
          </w:p>
        </w:tc>
        <w:tc>
          <w:tcPr>
            <w:tcW w:w="2254" w:type="dxa"/>
            <w:vAlign w:val="bottom"/>
          </w:tcPr>
          <w:p w14:paraId="75F0B1AD"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2DDD2DD7"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19344B7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22.75</w:t>
            </w:r>
          </w:p>
        </w:tc>
      </w:tr>
      <w:tr w:rsidR="007A0C75" w:rsidRPr="007A0C75" w14:paraId="3284D928" w14:textId="77777777" w:rsidTr="00B24F4B">
        <w:tc>
          <w:tcPr>
            <w:tcW w:w="2254" w:type="dxa"/>
            <w:vAlign w:val="bottom"/>
          </w:tcPr>
          <w:p w14:paraId="6BF974C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Initial investment</w:t>
            </w:r>
          </w:p>
        </w:tc>
        <w:tc>
          <w:tcPr>
            <w:tcW w:w="2254" w:type="dxa"/>
            <w:vAlign w:val="bottom"/>
          </w:tcPr>
          <w:p w14:paraId="5C02CD2A"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7285A54A"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0C22EA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-30</w:t>
            </w:r>
          </w:p>
        </w:tc>
      </w:tr>
      <w:tr w:rsidR="007A0C75" w:rsidRPr="007A0C75" w14:paraId="3EDD3AF6" w14:textId="77777777" w:rsidTr="00B24F4B">
        <w:tc>
          <w:tcPr>
            <w:tcW w:w="2254" w:type="dxa"/>
            <w:vAlign w:val="bottom"/>
          </w:tcPr>
          <w:p w14:paraId="2D8BAD4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NPV</w:t>
            </w:r>
          </w:p>
        </w:tc>
        <w:tc>
          <w:tcPr>
            <w:tcW w:w="2254" w:type="dxa"/>
            <w:vAlign w:val="bottom"/>
          </w:tcPr>
          <w:p w14:paraId="62840750"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7E196592"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2F5A864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 xml:space="preserve"> –7.25</w:t>
            </w:r>
          </w:p>
        </w:tc>
      </w:tr>
    </w:tbl>
    <w:p w14:paraId="482BD6EB"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C</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4DC7FAF3" w14:textId="77777777" w:rsidTr="00B24F4B">
        <w:tc>
          <w:tcPr>
            <w:tcW w:w="2254" w:type="dxa"/>
            <w:vAlign w:val="bottom"/>
          </w:tcPr>
          <w:p w14:paraId="54E0D04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vAlign w:val="bottom"/>
          </w:tcPr>
          <w:p w14:paraId="4FA25A7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2254" w:type="dxa"/>
            <w:vAlign w:val="bottom"/>
          </w:tcPr>
          <w:p w14:paraId="2275E6B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DF 10%</w:t>
            </w:r>
          </w:p>
        </w:tc>
        <w:tc>
          <w:tcPr>
            <w:tcW w:w="2254" w:type="dxa"/>
            <w:vAlign w:val="bottom"/>
          </w:tcPr>
          <w:p w14:paraId="2021DA7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Present Value (£m)</w:t>
            </w:r>
          </w:p>
        </w:tc>
      </w:tr>
      <w:tr w:rsidR="007A0C75" w:rsidRPr="007A0C75" w14:paraId="66C2C0B2" w14:textId="77777777" w:rsidTr="00B24F4B">
        <w:tc>
          <w:tcPr>
            <w:tcW w:w="2254" w:type="dxa"/>
            <w:vAlign w:val="bottom"/>
          </w:tcPr>
          <w:p w14:paraId="0BF31AB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0853A6A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c>
          <w:tcPr>
            <w:tcW w:w="2254" w:type="dxa"/>
            <w:vAlign w:val="bottom"/>
          </w:tcPr>
          <w:p w14:paraId="0C2E4BC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vAlign w:val="bottom"/>
          </w:tcPr>
          <w:p w14:paraId="671D368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4.55</w:t>
            </w:r>
          </w:p>
        </w:tc>
      </w:tr>
      <w:tr w:rsidR="007A0C75" w:rsidRPr="007A0C75" w14:paraId="1C1BAA54" w14:textId="77777777" w:rsidTr="00B24F4B">
        <w:tc>
          <w:tcPr>
            <w:tcW w:w="2254" w:type="dxa"/>
            <w:vAlign w:val="bottom"/>
          </w:tcPr>
          <w:p w14:paraId="5867681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12105A9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1870742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vAlign w:val="bottom"/>
          </w:tcPr>
          <w:p w14:paraId="2D25BEF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8.26</w:t>
            </w:r>
          </w:p>
        </w:tc>
      </w:tr>
      <w:tr w:rsidR="007A0C75" w:rsidRPr="007A0C75" w14:paraId="7A9F9889" w14:textId="77777777" w:rsidTr="00B24F4B">
        <w:tc>
          <w:tcPr>
            <w:tcW w:w="2254" w:type="dxa"/>
            <w:vAlign w:val="bottom"/>
          </w:tcPr>
          <w:p w14:paraId="6C620C8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0887000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w:t>
            </w:r>
          </w:p>
        </w:tc>
        <w:tc>
          <w:tcPr>
            <w:tcW w:w="2254" w:type="dxa"/>
            <w:vAlign w:val="bottom"/>
          </w:tcPr>
          <w:p w14:paraId="3E19629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vAlign w:val="bottom"/>
          </w:tcPr>
          <w:p w14:paraId="6EE8F8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15.02</w:t>
            </w:r>
          </w:p>
        </w:tc>
      </w:tr>
      <w:tr w:rsidR="007A0C75" w:rsidRPr="007A0C75" w14:paraId="318C2B57" w14:textId="77777777" w:rsidTr="00B24F4B">
        <w:tc>
          <w:tcPr>
            <w:tcW w:w="2254" w:type="dxa"/>
            <w:vAlign w:val="bottom"/>
          </w:tcPr>
          <w:p w14:paraId="57ABBBC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724F8C7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c>
          <w:tcPr>
            <w:tcW w:w="2254" w:type="dxa"/>
            <w:vAlign w:val="bottom"/>
          </w:tcPr>
          <w:p w14:paraId="70CBD25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vAlign w:val="bottom"/>
          </w:tcPr>
          <w:p w14:paraId="5652622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17.08</w:t>
            </w:r>
          </w:p>
        </w:tc>
      </w:tr>
      <w:tr w:rsidR="007A0C75" w:rsidRPr="007A0C75" w14:paraId="2141D7A6" w14:textId="77777777" w:rsidTr="00B24F4B">
        <w:tc>
          <w:tcPr>
            <w:tcW w:w="2254" w:type="dxa"/>
            <w:vAlign w:val="bottom"/>
          </w:tcPr>
          <w:p w14:paraId="696772C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40AB5C1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c>
          <w:tcPr>
            <w:tcW w:w="2254" w:type="dxa"/>
            <w:vAlign w:val="bottom"/>
          </w:tcPr>
          <w:p w14:paraId="08F9AF3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vAlign w:val="bottom"/>
          </w:tcPr>
          <w:p w14:paraId="6DC45D7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9.32</w:t>
            </w:r>
          </w:p>
        </w:tc>
      </w:tr>
      <w:tr w:rsidR="007A0C75" w:rsidRPr="007A0C75" w14:paraId="10DF4981" w14:textId="77777777" w:rsidTr="00B24F4B">
        <w:tc>
          <w:tcPr>
            <w:tcW w:w="2254" w:type="dxa"/>
            <w:vAlign w:val="bottom"/>
          </w:tcPr>
          <w:p w14:paraId="75FAD13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Total PV of inflows</w:t>
            </w:r>
          </w:p>
        </w:tc>
        <w:tc>
          <w:tcPr>
            <w:tcW w:w="2254" w:type="dxa"/>
            <w:vAlign w:val="bottom"/>
          </w:tcPr>
          <w:p w14:paraId="323A44D7"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006FB5C4"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589CC28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54.23</w:t>
            </w:r>
          </w:p>
        </w:tc>
      </w:tr>
      <w:tr w:rsidR="007A0C75" w:rsidRPr="007A0C75" w14:paraId="3D17E853" w14:textId="77777777" w:rsidTr="00B24F4B">
        <w:tc>
          <w:tcPr>
            <w:tcW w:w="2254" w:type="dxa"/>
            <w:vAlign w:val="bottom"/>
          </w:tcPr>
          <w:p w14:paraId="611388F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Initial investment</w:t>
            </w:r>
          </w:p>
        </w:tc>
        <w:tc>
          <w:tcPr>
            <w:tcW w:w="2254" w:type="dxa"/>
            <w:vAlign w:val="bottom"/>
          </w:tcPr>
          <w:p w14:paraId="457B5BC7"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287CC387"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5565CA8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w:t>
            </w:r>
          </w:p>
        </w:tc>
      </w:tr>
      <w:tr w:rsidR="007A0C75" w:rsidRPr="007A0C75" w14:paraId="03C6ACA9" w14:textId="77777777" w:rsidTr="00B24F4B">
        <w:tc>
          <w:tcPr>
            <w:tcW w:w="2254" w:type="dxa"/>
            <w:vAlign w:val="bottom"/>
          </w:tcPr>
          <w:p w14:paraId="593889F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NPV</w:t>
            </w:r>
          </w:p>
        </w:tc>
        <w:tc>
          <w:tcPr>
            <w:tcW w:w="2254" w:type="dxa"/>
            <w:vAlign w:val="bottom"/>
          </w:tcPr>
          <w:p w14:paraId="6911FCC8"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721B7100"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21CAFFD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4.23</w:t>
            </w:r>
          </w:p>
        </w:tc>
      </w:tr>
    </w:tbl>
    <w:p w14:paraId="77DA8E08" w14:textId="77777777" w:rsidR="007A0C75" w:rsidRPr="007A0C75" w:rsidRDefault="007A0C75" w:rsidP="007A0C75">
      <w:pPr>
        <w:spacing w:line="360" w:lineRule="auto"/>
        <w:rPr>
          <w:rFonts w:cs="Arial"/>
          <w:b/>
          <w:bCs/>
          <w:sz w:val="22"/>
          <w:szCs w:val="22"/>
        </w:rPr>
      </w:pPr>
      <w:r w:rsidRPr="007A0C75">
        <w:rPr>
          <w:rFonts w:cs="Arial"/>
          <w:b/>
          <w:bCs/>
          <w:sz w:val="22"/>
          <w:szCs w:val="22"/>
        </w:rPr>
        <w:t>Appendix R</w:t>
      </w:r>
    </w:p>
    <w:p w14:paraId="1687C36B" w14:textId="77777777" w:rsidR="007A0C75" w:rsidRPr="007A0C75" w:rsidRDefault="007A0C75" w:rsidP="007A0C75">
      <w:pPr>
        <w:spacing w:line="360" w:lineRule="auto"/>
        <w:rPr>
          <w:rFonts w:cs="Arial"/>
          <w:sz w:val="22"/>
          <w:szCs w:val="22"/>
        </w:rPr>
      </w:pPr>
      <w:r w:rsidRPr="007A0C75">
        <w:rPr>
          <w:rFonts w:cs="Arial"/>
          <w:sz w:val="22"/>
          <w:szCs w:val="22"/>
        </w:rPr>
        <w:t xml:space="preserve"> PI Calculation</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229B8231" w14:textId="77777777" w:rsidTr="00B24F4B">
        <w:trPr>
          <w:trHeight w:val="207"/>
        </w:trPr>
        <w:tc>
          <w:tcPr>
            <w:tcW w:w="2254" w:type="dxa"/>
          </w:tcPr>
          <w:p w14:paraId="716092B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Project</w:t>
            </w:r>
          </w:p>
        </w:tc>
        <w:tc>
          <w:tcPr>
            <w:tcW w:w="2254" w:type="dxa"/>
          </w:tcPr>
          <w:p w14:paraId="20EA900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Initial Investment (£m)</w:t>
            </w:r>
          </w:p>
        </w:tc>
        <w:tc>
          <w:tcPr>
            <w:tcW w:w="2254" w:type="dxa"/>
          </w:tcPr>
          <w:p w14:paraId="61A4A3C7"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of Cash Inflows (£m)</w:t>
            </w:r>
          </w:p>
        </w:tc>
        <w:tc>
          <w:tcPr>
            <w:tcW w:w="2254" w:type="dxa"/>
          </w:tcPr>
          <w:p w14:paraId="042BE27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PI = PV / Initial Investment</w:t>
            </w:r>
          </w:p>
        </w:tc>
      </w:tr>
      <w:tr w:rsidR="007A0C75" w:rsidRPr="007A0C75" w14:paraId="0197152E" w14:textId="77777777" w:rsidTr="00B24F4B">
        <w:tc>
          <w:tcPr>
            <w:tcW w:w="2254" w:type="dxa"/>
          </w:tcPr>
          <w:p w14:paraId="42DE438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A</w:t>
            </w:r>
          </w:p>
        </w:tc>
        <w:tc>
          <w:tcPr>
            <w:tcW w:w="2254" w:type="dxa"/>
          </w:tcPr>
          <w:p w14:paraId="63D2697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w:t>
            </w:r>
          </w:p>
        </w:tc>
        <w:tc>
          <w:tcPr>
            <w:tcW w:w="2254" w:type="dxa"/>
          </w:tcPr>
          <w:p w14:paraId="1A23D92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41.67</w:t>
            </w:r>
          </w:p>
        </w:tc>
        <w:tc>
          <w:tcPr>
            <w:tcW w:w="2254" w:type="dxa"/>
          </w:tcPr>
          <w:p w14:paraId="6C4DD95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1.04</w:t>
            </w:r>
          </w:p>
        </w:tc>
      </w:tr>
      <w:tr w:rsidR="007A0C75" w:rsidRPr="007A0C75" w14:paraId="728FDF8F" w14:textId="77777777" w:rsidTr="00B24F4B">
        <w:tc>
          <w:tcPr>
            <w:tcW w:w="2254" w:type="dxa"/>
          </w:tcPr>
          <w:p w14:paraId="1C1438E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B</w:t>
            </w:r>
          </w:p>
        </w:tc>
        <w:tc>
          <w:tcPr>
            <w:tcW w:w="2254" w:type="dxa"/>
          </w:tcPr>
          <w:p w14:paraId="4ED738A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30</w:t>
            </w:r>
          </w:p>
        </w:tc>
        <w:tc>
          <w:tcPr>
            <w:tcW w:w="2254" w:type="dxa"/>
          </w:tcPr>
          <w:p w14:paraId="31A4478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22.71</w:t>
            </w:r>
          </w:p>
        </w:tc>
        <w:tc>
          <w:tcPr>
            <w:tcW w:w="2254" w:type="dxa"/>
          </w:tcPr>
          <w:p w14:paraId="0657D4E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0.76</w:t>
            </w:r>
          </w:p>
        </w:tc>
      </w:tr>
      <w:tr w:rsidR="007A0C75" w:rsidRPr="007A0C75" w14:paraId="659CBF77" w14:textId="77777777" w:rsidTr="00B24F4B">
        <w:tc>
          <w:tcPr>
            <w:tcW w:w="2254" w:type="dxa"/>
          </w:tcPr>
          <w:p w14:paraId="148066E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C</w:t>
            </w:r>
          </w:p>
        </w:tc>
        <w:tc>
          <w:tcPr>
            <w:tcW w:w="2254" w:type="dxa"/>
          </w:tcPr>
          <w:p w14:paraId="1CF7E8B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w:t>
            </w:r>
          </w:p>
        </w:tc>
        <w:tc>
          <w:tcPr>
            <w:tcW w:w="2254" w:type="dxa"/>
          </w:tcPr>
          <w:p w14:paraId="6DA744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55.03</w:t>
            </w:r>
          </w:p>
        </w:tc>
        <w:tc>
          <w:tcPr>
            <w:tcW w:w="2254" w:type="dxa"/>
          </w:tcPr>
          <w:p w14:paraId="44F0D15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w:t>
            </w:r>
          </w:p>
        </w:tc>
      </w:tr>
    </w:tbl>
    <w:p w14:paraId="496A1A89" w14:textId="77777777" w:rsidR="007A0C75" w:rsidRPr="007A0C75" w:rsidRDefault="007A0C75" w:rsidP="007A0C75">
      <w:pPr>
        <w:spacing w:line="360" w:lineRule="auto"/>
        <w:rPr>
          <w:rFonts w:cs="Arial"/>
          <w:sz w:val="22"/>
          <w:szCs w:val="22"/>
        </w:rPr>
      </w:pPr>
    </w:p>
    <w:p w14:paraId="0688DF9A" w14:textId="77777777" w:rsidR="007A0C75" w:rsidRPr="007A0C75" w:rsidRDefault="007A0C75" w:rsidP="006A4B35">
      <w:pPr>
        <w:pStyle w:val="Heading2"/>
      </w:pPr>
      <w:bookmarkStart w:id="45" w:name="_Toc216386233"/>
      <w:r w:rsidRPr="007A0C75">
        <w:t>Appendix S</w:t>
      </w:r>
      <w:bookmarkEnd w:id="45"/>
    </w:p>
    <w:p w14:paraId="4BF6C4A7" w14:textId="77777777" w:rsidR="007A0C75" w:rsidRPr="007A0C75" w:rsidRDefault="007A0C75" w:rsidP="007A0C75">
      <w:pPr>
        <w:spacing w:line="360" w:lineRule="auto"/>
        <w:rPr>
          <w:rFonts w:cs="Arial"/>
          <w:sz w:val="22"/>
          <w:szCs w:val="22"/>
        </w:rPr>
      </w:pPr>
      <w:r w:rsidRPr="007A0C75">
        <w:rPr>
          <w:rFonts w:cs="Arial"/>
          <w:sz w:val="22"/>
          <w:szCs w:val="22"/>
        </w:rPr>
        <w:t>IRR Calculation</w:t>
      </w:r>
    </w:p>
    <w:p w14:paraId="54E30CDD"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A</w:t>
      </w:r>
    </w:p>
    <w:p w14:paraId="25715E17" w14:textId="77777777" w:rsidR="007A0C75" w:rsidRPr="007A0C75" w:rsidRDefault="007A0C75" w:rsidP="007A0C75">
      <w:pPr>
        <w:spacing w:line="360" w:lineRule="auto"/>
        <w:rPr>
          <w:rFonts w:cs="Arial"/>
          <w:b/>
          <w:bCs/>
          <w:sz w:val="22"/>
          <w:szCs w:val="22"/>
        </w:rPr>
      </w:pPr>
      <w:r w:rsidRPr="007A0C75">
        <w:rPr>
          <w:rFonts w:cs="Arial"/>
          <w:sz w:val="22"/>
          <w:szCs w:val="22"/>
        </w:rPr>
        <w:t>NPV at 10%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2BEF1930" w14:textId="77777777" w:rsidTr="00B24F4B">
        <w:tc>
          <w:tcPr>
            <w:tcW w:w="2254" w:type="dxa"/>
          </w:tcPr>
          <w:p w14:paraId="0933701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tcPr>
          <w:p w14:paraId="15603D7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w:t>
            </w:r>
          </w:p>
        </w:tc>
        <w:tc>
          <w:tcPr>
            <w:tcW w:w="2254" w:type="dxa"/>
          </w:tcPr>
          <w:p w14:paraId="28228B3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Discount factor (1/(1+0.10)^t)</w:t>
            </w:r>
          </w:p>
        </w:tc>
        <w:tc>
          <w:tcPr>
            <w:tcW w:w="2254" w:type="dxa"/>
          </w:tcPr>
          <w:p w14:paraId="5042C0E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(£m)</w:t>
            </w:r>
          </w:p>
        </w:tc>
      </w:tr>
      <w:tr w:rsidR="007A0C75" w:rsidRPr="007A0C75" w14:paraId="7BA669C6" w14:textId="77777777" w:rsidTr="00B24F4B">
        <w:tc>
          <w:tcPr>
            <w:tcW w:w="2254" w:type="dxa"/>
          </w:tcPr>
          <w:p w14:paraId="0EA613E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tcPr>
          <w:p w14:paraId="1456CAC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60AF0FA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tcPr>
          <w:p w14:paraId="36F8A38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9.09</w:t>
            </w:r>
          </w:p>
        </w:tc>
      </w:tr>
      <w:tr w:rsidR="007A0C75" w:rsidRPr="007A0C75" w14:paraId="4654C52E" w14:textId="77777777" w:rsidTr="00B24F4B">
        <w:tc>
          <w:tcPr>
            <w:tcW w:w="2254" w:type="dxa"/>
          </w:tcPr>
          <w:p w14:paraId="3A34DB2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tcPr>
          <w:p w14:paraId="18C905C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c>
          <w:tcPr>
            <w:tcW w:w="2254" w:type="dxa"/>
            <w:vAlign w:val="bottom"/>
          </w:tcPr>
          <w:p w14:paraId="72EF27C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tcPr>
          <w:p w14:paraId="5BD646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9.91</w:t>
            </w:r>
          </w:p>
        </w:tc>
      </w:tr>
      <w:tr w:rsidR="007A0C75" w:rsidRPr="007A0C75" w14:paraId="03DAD2B1" w14:textId="77777777" w:rsidTr="00B24F4B">
        <w:tc>
          <w:tcPr>
            <w:tcW w:w="2254" w:type="dxa"/>
          </w:tcPr>
          <w:p w14:paraId="3D1D462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tcPr>
          <w:p w14:paraId="271A561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c>
          <w:tcPr>
            <w:tcW w:w="2254" w:type="dxa"/>
            <w:vAlign w:val="bottom"/>
          </w:tcPr>
          <w:p w14:paraId="3864674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tcPr>
          <w:p w14:paraId="7ED9C80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10.52</w:t>
            </w:r>
          </w:p>
        </w:tc>
      </w:tr>
      <w:tr w:rsidR="007A0C75" w:rsidRPr="007A0C75" w14:paraId="4DF48FC4" w14:textId="77777777" w:rsidTr="00B24F4B">
        <w:tc>
          <w:tcPr>
            <w:tcW w:w="2254" w:type="dxa"/>
          </w:tcPr>
          <w:p w14:paraId="7CD17B6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tcPr>
          <w:p w14:paraId="0B77497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7A499B8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tcPr>
          <w:p w14:paraId="74DFEF8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6.83</w:t>
            </w:r>
          </w:p>
        </w:tc>
      </w:tr>
      <w:tr w:rsidR="007A0C75" w:rsidRPr="007A0C75" w14:paraId="51DA16A0" w14:textId="77777777" w:rsidTr="00B24F4B">
        <w:tc>
          <w:tcPr>
            <w:tcW w:w="2254" w:type="dxa"/>
          </w:tcPr>
          <w:p w14:paraId="3A3C32F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tcPr>
          <w:p w14:paraId="327AE7C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w:t>
            </w:r>
          </w:p>
        </w:tc>
        <w:tc>
          <w:tcPr>
            <w:tcW w:w="2254" w:type="dxa"/>
            <w:vAlign w:val="bottom"/>
          </w:tcPr>
          <w:p w14:paraId="301A4E7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tcPr>
          <w:p w14:paraId="7C40827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4.97</w:t>
            </w:r>
          </w:p>
        </w:tc>
      </w:tr>
    </w:tbl>
    <w:p w14:paraId="36A2DAA8"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 xml:space="preserve">NPV(10%) = </w:t>
      </w:r>
      <w:r w:rsidRPr="007A0C75">
        <w:rPr>
          <w:rFonts w:cs="Arial"/>
          <w:color w:val="000000"/>
          <w:sz w:val="22"/>
          <w:szCs w:val="22"/>
        </w:rPr>
        <w:t>41.31</w:t>
      </w:r>
      <w:r w:rsidRPr="007A0C75">
        <w:rPr>
          <w:rStyle w:val="Strong"/>
          <w:rFonts w:eastAsiaTheme="majorEastAsia" w:cs="Arial"/>
          <w:sz w:val="22"/>
          <w:szCs w:val="22"/>
        </w:rPr>
        <w:t xml:space="preserve">− </w:t>
      </w:r>
      <w:r w:rsidRPr="007A0C75">
        <w:rPr>
          <w:rStyle w:val="Strong"/>
          <w:rFonts w:eastAsiaTheme="majorEastAsia" w:cs="Arial"/>
          <w:b w:val="0"/>
          <w:bCs w:val="0"/>
          <w:sz w:val="22"/>
          <w:szCs w:val="22"/>
        </w:rPr>
        <w:t>40.00 = 1.324 (£m)</w:t>
      </w:r>
    </w:p>
    <w:p w14:paraId="20AB3367"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NPV at 20%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7B0C4B48" w14:textId="77777777" w:rsidTr="00B24F4B">
        <w:tc>
          <w:tcPr>
            <w:tcW w:w="2254" w:type="dxa"/>
          </w:tcPr>
          <w:p w14:paraId="62DFBE1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tcPr>
          <w:p w14:paraId="3C8DA4F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w:t>
            </w:r>
          </w:p>
        </w:tc>
        <w:tc>
          <w:tcPr>
            <w:tcW w:w="2254" w:type="dxa"/>
          </w:tcPr>
          <w:p w14:paraId="20FDB12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Discount factor (1/(1+0.20)^t)</w:t>
            </w:r>
          </w:p>
        </w:tc>
        <w:tc>
          <w:tcPr>
            <w:tcW w:w="2254" w:type="dxa"/>
          </w:tcPr>
          <w:p w14:paraId="3F820BD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(£m)</w:t>
            </w:r>
          </w:p>
        </w:tc>
      </w:tr>
      <w:tr w:rsidR="007A0C75" w:rsidRPr="007A0C75" w14:paraId="499CE9DA" w14:textId="77777777" w:rsidTr="00B24F4B">
        <w:tc>
          <w:tcPr>
            <w:tcW w:w="2254" w:type="dxa"/>
          </w:tcPr>
          <w:p w14:paraId="21B0FAC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tcPr>
          <w:p w14:paraId="1D90595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tcPr>
          <w:p w14:paraId="45BF296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0.8333</w:t>
            </w:r>
          </w:p>
        </w:tc>
        <w:tc>
          <w:tcPr>
            <w:tcW w:w="2254" w:type="dxa"/>
          </w:tcPr>
          <w:p w14:paraId="51A532D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8.33</w:t>
            </w:r>
          </w:p>
        </w:tc>
      </w:tr>
      <w:tr w:rsidR="007A0C75" w:rsidRPr="007A0C75" w14:paraId="56A5C5E4" w14:textId="77777777" w:rsidTr="00B24F4B">
        <w:tc>
          <w:tcPr>
            <w:tcW w:w="2254" w:type="dxa"/>
          </w:tcPr>
          <w:p w14:paraId="23C4386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tcPr>
          <w:p w14:paraId="39B5541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c>
          <w:tcPr>
            <w:tcW w:w="2254" w:type="dxa"/>
          </w:tcPr>
          <w:p w14:paraId="7C689DF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0.694</w:t>
            </w:r>
          </w:p>
        </w:tc>
        <w:tc>
          <w:tcPr>
            <w:tcW w:w="2254" w:type="dxa"/>
          </w:tcPr>
          <w:p w14:paraId="54803C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8.33</w:t>
            </w:r>
          </w:p>
        </w:tc>
      </w:tr>
      <w:tr w:rsidR="007A0C75" w:rsidRPr="007A0C75" w14:paraId="58D88E59" w14:textId="77777777" w:rsidTr="00B24F4B">
        <w:tc>
          <w:tcPr>
            <w:tcW w:w="2254" w:type="dxa"/>
          </w:tcPr>
          <w:p w14:paraId="30A5A96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tcPr>
          <w:p w14:paraId="5E5F90C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c>
          <w:tcPr>
            <w:tcW w:w="2254" w:type="dxa"/>
          </w:tcPr>
          <w:p w14:paraId="1342186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0.579</w:t>
            </w:r>
          </w:p>
        </w:tc>
        <w:tc>
          <w:tcPr>
            <w:tcW w:w="2254" w:type="dxa"/>
          </w:tcPr>
          <w:p w14:paraId="69AE254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8.10</w:t>
            </w:r>
          </w:p>
        </w:tc>
      </w:tr>
      <w:tr w:rsidR="007A0C75" w:rsidRPr="007A0C75" w14:paraId="5840E213" w14:textId="77777777" w:rsidTr="00B24F4B">
        <w:tc>
          <w:tcPr>
            <w:tcW w:w="2254" w:type="dxa"/>
          </w:tcPr>
          <w:p w14:paraId="06D9D4B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tcPr>
          <w:p w14:paraId="6DC1FE9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tcPr>
          <w:p w14:paraId="464FE03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0.482</w:t>
            </w:r>
          </w:p>
        </w:tc>
        <w:tc>
          <w:tcPr>
            <w:tcW w:w="2254" w:type="dxa"/>
          </w:tcPr>
          <w:p w14:paraId="015941E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4.82</w:t>
            </w:r>
          </w:p>
        </w:tc>
      </w:tr>
      <w:tr w:rsidR="007A0C75" w:rsidRPr="007A0C75" w14:paraId="6543DB91" w14:textId="77777777" w:rsidTr="00B24F4B">
        <w:tc>
          <w:tcPr>
            <w:tcW w:w="2254" w:type="dxa"/>
          </w:tcPr>
          <w:p w14:paraId="4C2DD97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tcPr>
          <w:p w14:paraId="15FD1C2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w:t>
            </w:r>
          </w:p>
        </w:tc>
        <w:tc>
          <w:tcPr>
            <w:tcW w:w="2254" w:type="dxa"/>
          </w:tcPr>
          <w:p w14:paraId="2A2EB1A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0.402</w:t>
            </w:r>
          </w:p>
        </w:tc>
        <w:tc>
          <w:tcPr>
            <w:tcW w:w="2254" w:type="dxa"/>
          </w:tcPr>
          <w:p w14:paraId="5C63370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3.21</w:t>
            </w:r>
          </w:p>
        </w:tc>
      </w:tr>
    </w:tbl>
    <w:p w14:paraId="774B2E74" w14:textId="77777777" w:rsidR="007A0C75" w:rsidRPr="007A0C75" w:rsidRDefault="007A0C75" w:rsidP="007A0C75">
      <w:pPr>
        <w:spacing w:line="360" w:lineRule="auto"/>
        <w:rPr>
          <w:rFonts w:cs="Arial"/>
          <w:sz w:val="22"/>
          <w:szCs w:val="22"/>
        </w:rPr>
      </w:pPr>
      <w:r w:rsidRPr="007A0C75">
        <w:rPr>
          <w:rFonts w:cs="Arial"/>
          <w:sz w:val="22"/>
          <w:szCs w:val="22"/>
        </w:rPr>
        <w:t xml:space="preserve">NPV(20%) = 32.80−40.00 = </w:t>
      </w:r>
      <w:r w:rsidRPr="007A0C75">
        <w:rPr>
          <w:rStyle w:val="Strong"/>
          <w:rFonts w:eastAsiaTheme="majorEastAsia" w:cs="Arial"/>
          <w:b w:val="0"/>
          <w:bCs w:val="0"/>
          <w:sz w:val="22"/>
          <w:szCs w:val="22"/>
        </w:rPr>
        <w:t>−7.</w:t>
      </w:r>
      <w:r w:rsidRPr="007A0C75">
        <w:rPr>
          <w:rStyle w:val="Strong"/>
          <w:rFonts w:cs="Arial"/>
          <w:b w:val="0"/>
          <w:bCs w:val="0"/>
          <w:sz w:val="22"/>
          <w:szCs w:val="22"/>
        </w:rPr>
        <w:t>2</w:t>
      </w:r>
      <w:r w:rsidRPr="007A0C75">
        <w:rPr>
          <w:rStyle w:val="Strong"/>
          <w:rFonts w:eastAsiaTheme="majorEastAsia" w:cs="Arial"/>
          <w:b w:val="0"/>
          <w:bCs w:val="0"/>
          <w:sz w:val="22"/>
          <w:szCs w:val="22"/>
        </w:rPr>
        <w:t xml:space="preserve"> (£m)</w:t>
      </w:r>
    </w:p>
    <w:p w14:paraId="1A41FDBF" w14:textId="77777777" w:rsidR="007A0C75" w:rsidRPr="007A0C75" w:rsidRDefault="007A0C75" w:rsidP="007A0C75">
      <w:pPr>
        <w:spacing w:line="360" w:lineRule="auto"/>
        <w:rPr>
          <w:rFonts w:cs="Arial"/>
          <w:sz w:val="22"/>
          <w:szCs w:val="22"/>
        </w:rPr>
      </w:pPr>
      <w:r w:rsidRPr="007A0C75">
        <w:rPr>
          <w:rFonts w:cs="Arial"/>
          <w:sz w:val="22"/>
          <w:szCs w:val="22"/>
        </w:rPr>
        <w:t xml:space="preserve">IRR = r1+[NPV1 ÷ (NPV1−NPV2)]×(r2−r1) </w:t>
      </w:r>
    </w:p>
    <w:p w14:paraId="70B0478C" w14:textId="77777777" w:rsidR="007A0C75" w:rsidRPr="007A0C75" w:rsidRDefault="007A0C75" w:rsidP="007A0C75">
      <w:pPr>
        <w:spacing w:line="360" w:lineRule="auto"/>
        <w:rPr>
          <w:rFonts w:cs="Arial"/>
          <w:sz w:val="22"/>
          <w:szCs w:val="22"/>
        </w:rPr>
      </w:pPr>
      <w:r w:rsidRPr="007A0C75">
        <w:rPr>
          <w:rFonts w:cs="Arial"/>
          <w:sz w:val="22"/>
          <w:szCs w:val="22"/>
        </w:rPr>
        <w:t>IRR = 0.10+[1.324 ÷ (1.324−(−7.195)]×(0.20−0.10)</w:t>
      </w:r>
    </w:p>
    <w:p w14:paraId="35B5CAC8" w14:textId="77777777" w:rsidR="007A0C75" w:rsidRPr="007A0C75" w:rsidRDefault="007A0C75" w:rsidP="007A0C75">
      <w:pPr>
        <w:spacing w:line="360" w:lineRule="auto"/>
        <w:rPr>
          <w:rFonts w:cs="Arial"/>
          <w:sz w:val="22"/>
          <w:szCs w:val="22"/>
        </w:rPr>
      </w:pPr>
      <w:r w:rsidRPr="007A0C75">
        <w:rPr>
          <w:rFonts w:cs="Arial"/>
          <w:sz w:val="22"/>
          <w:szCs w:val="22"/>
        </w:rPr>
        <w:t xml:space="preserve">= 0.11555 </w:t>
      </w:r>
    </w:p>
    <w:p w14:paraId="1A313D7D" w14:textId="77777777" w:rsidR="007A0C75" w:rsidRPr="007A0C75" w:rsidRDefault="007A0C75" w:rsidP="007A0C75">
      <w:pPr>
        <w:spacing w:line="360" w:lineRule="auto"/>
        <w:rPr>
          <w:rFonts w:cs="Arial"/>
          <w:sz w:val="22"/>
          <w:szCs w:val="22"/>
        </w:rPr>
      </w:pPr>
      <w:r w:rsidRPr="007A0C75">
        <w:rPr>
          <w:rFonts w:cs="Arial"/>
          <w:b/>
          <w:bCs/>
          <w:sz w:val="22"/>
          <w:szCs w:val="22"/>
        </w:rPr>
        <w:t>Hence, IRR = 11.6%</w:t>
      </w:r>
    </w:p>
    <w:p w14:paraId="6E10AE49"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B</w:t>
      </w:r>
    </w:p>
    <w:p w14:paraId="10FB2A79" w14:textId="77777777" w:rsidR="007A0C75" w:rsidRPr="007A0C75" w:rsidRDefault="007A0C75" w:rsidP="007A0C75">
      <w:pPr>
        <w:spacing w:line="360" w:lineRule="auto"/>
        <w:rPr>
          <w:rFonts w:cs="Arial"/>
          <w:b/>
          <w:bCs/>
          <w:sz w:val="22"/>
          <w:szCs w:val="22"/>
        </w:rPr>
      </w:pPr>
      <w:r w:rsidRPr="007A0C75">
        <w:rPr>
          <w:rFonts w:cs="Arial"/>
          <w:sz w:val="22"/>
          <w:szCs w:val="22"/>
        </w:rPr>
        <w:t>NPV at 10%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7BA692F6" w14:textId="77777777" w:rsidTr="00B24F4B">
        <w:tc>
          <w:tcPr>
            <w:tcW w:w="2254" w:type="dxa"/>
          </w:tcPr>
          <w:p w14:paraId="0E99127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tcPr>
          <w:p w14:paraId="2167178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w:t>
            </w:r>
          </w:p>
        </w:tc>
        <w:tc>
          <w:tcPr>
            <w:tcW w:w="2254" w:type="dxa"/>
          </w:tcPr>
          <w:p w14:paraId="0AFE993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Discount factor (1/(1+0.10)^t)</w:t>
            </w:r>
          </w:p>
        </w:tc>
        <w:tc>
          <w:tcPr>
            <w:tcW w:w="2254" w:type="dxa"/>
          </w:tcPr>
          <w:p w14:paraId="6449BB6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(£m)</w:t>
            </w:r>
          </w:p>
        </w:tc>
      </w:tr>
      <w:tr w:rsidR="007A0C75" w:rsidRPr="007A0C75" w14:paraId="4222F693" w14:textId="77777777" w:rsidTr="00B24F4B">
        <w:tc>
          <w:tcPr>
            <w:tcW w:w="2254" w:type="dxa"/>
          </w:tcPr>
          <w:p w14:paraId="4060EAF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tcPr>
          <w:p w14:paraId="6121F7E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tcPr>
          <w:p w14:paraId="6F2FC59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vAlign w:val="bottom"/>
          </w:tcPr>
          <w:p w14:paraId="16BBEA9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5.45</w:t>
            </w:r>
          </w:p>
        </w:tc>
      </w:tr>
      <w:tr w:rsidR="007A0C75" w:rsidRPr="007A0C75" w14:paraId="5FBD4B43" w14:textId="77777777" w:rsidTr="00B24F4B">
        <w:tc>
          <w:tcPr>
            <w:tcW w:w="2254" w:type="dxa"/>
          </w:tcPr>
          <w:p w14:paraId="525A31D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tcPr>
          <w:p w14:paraId="693676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tcPr>
          <w:p w14:paraId="6966F01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vAlign w:val="bottom"/>
          </w:tcPr>
          <w:p w14:paraId="2D16D38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4.96</w:t>
            </w:r>
          </w:p>
        </w:tc>
      </w:tr>
      <w:tr w:rsidR="007A0C75" w:rsidRPr="007A0C75" w14:paraId="37C2E0A2" w14:textId="77777777" w:rsidTr="00B24F4B">
        <w:tc>
          <w:tcPr>
            <w:tcW w:w="2254" w:type="dxa"/>
          </w:tcPr>
          <w:p w14:paraId="7BFD412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tcPr>
          <w:p w14:paraId="3DB939A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tcPr>
          <w:p w14:paraId="05E5966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vAlign w:val="bottom"/>
          </w:tcPr>
          <w:p w14:paraId="53C7EC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4.51</w:t>
            </w:r>
          </w:p>
        </w:tc>
      </w:tr>
      <w:tr w:rsidR="007A0C75" w:rsidRPr="007A0C75" w14:paraId="46A4AA39" w14:textId="77777777" w:rsidTr="00B24F4B">
        <w:tc>
          <w:tcPr>
            <w:tcW w:w="2254" w:type="dxa"/>
          </w:tcPr>
          <w:p w14:paraId="4A30799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tcPr>
          <w:p w14:paraId="40B4C44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tcPr>
          <w:p w14:paraId="71D9F93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vAlign w:val="bottom"/>
          </w:tcPr>
          <w:p w14:paraId="523B43C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4.1</w:t>
            </w:r>
          </w:p>
        </w:tc>
      </w:tr>
      <w:tr w:rsidR="007A0C75" w:rsidRPr="007A0C75" w14:paraId="236C6496" w14:textId="77777777" w:rsidTr="00B24F4B">
        <w:tc>
          <w:tcPr>
            <w:tcW w:w="2254" w:type="dxa"/>
          </w:tcPr>
          <w:p w14:paraId="362320A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tcPr>
          <w:p w14:paraId="7CA784B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tcPr>
          <w:p w14:paraId="419C7F6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vAlign w:val="bottom"/>
          </w:tcPr>
          <w:p w14:paraId="2BD19C7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3.73</w:t>
            </w:r>
          </w:p>
        </w:tc>
      </w:tr>
    </w:tbl>
    <w:p w14:paraId="105BA2CA"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NPV(10%) = 22.75 -30 = –7.25</w:t>
      </w:r>
      <w:r w:rsidRPr="007A0C75">
        <w:rPr>
          <w:rFonts w:cs="Arial"/>
          <w:b/>
          <w:bCs/>
          <w:sz w:val="22"/>
          <w:szCs w:val="22"/>
        </w:rPr>
        <w:t xml:space="preserve"> </w:t>
      </w:r>
      <w:r w:rsidRPr="007A0C75">
        <w:rPr>
          <w:rStyle w:val="Strong"/>
          <w:rFonts w:eastAsiaTheme="majorEastAsia" w:cs="Arial"/>
          <w:b w:val="0"/>
          <w:bCs w:val="0"/>
          <w:sz w:val="22"/>
          <w:szCs w:val="22"/>
        </w:rPr>
        <w:t>(£m)</w:t>
      </w:r>
    </w:p>
    <w:p w14:paraId="2680E01F"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NPV at 5%</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59B4FD1E" w14:textId="77777777" w:rsidTr="00B24F4B">
        <w:tc>
          <w:tcPr>
            <w:tcW w:w="2254" w:type="dxa"/>
          </w:tcPr>
          <w:p w14:paraId="3922DCB4"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tcPr>
          <w:p w14:paraId="0979BE4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w:t>
            </w:r>
          </w:p>
        </w:tc>
        <w:tc>
          <w:tcPr>
            <w:tcW w:w="2254" w:type="dxa"/>
          </w:tcPr>
          <w:p w14:paraId="1E84ADC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Discount factor (1/(1+0.05)^t)</w:t>
            </w:r>
          </w:p>
        </w:tc>
        <w:tc>
          <w:tcPr>
            <w:tcW w:w="2254" w:type="dxa"/>
          </w:tcPr>
          <w:p w14:paraId="630BE09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(£m)</w:t>
            </w:r>
          </w:p>
        </w:tc>
      </w:tr>
      <w:tr w:rsidR="007A0C75" w:rsidRPr="007A0C75" w14:paraId="00C1252A" w14:textId="77777777" w:rsidTr="00B24F4B">
        <w:tc>
          <w:tcPr>
            <w:tcW w:w="2254" w:type="dxa"/>
            <w:vAlign w:val="bottom"/>
          </w:tcPr>
          <w:p w14:paraId="0F5F3B1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5369ECD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21AFE30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0.952</w:t>
            </w:r>
          </w:p>
        </w:tc>
        <w:tc>
          <w:tcPr>
            <w:tcW w:w="2254" w:type="dxa"/>
            <w:vAlign w:val="bottom"/>
          </w:tcPr>
          <w:p w14:paraId="73A44A3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5.714</w:t>
            </w:r>
          </w:p>
        </w:tc>
      </w:tr>
      <w:tr w:rsidR="007A0C75" w:rsidRPr="007A0C75" w14:paraId="2998BC92" w14:textId="77777777" w:rsidTr="00B24F4B">
        <w:tc>
          <w:tcPr>
            <w:tcW w:w="2254" w:type="dxa"/>
            <w:vAlign w:val="bottom"/>
          </w:tcPr>
          <w:p w14:paraId="0CBB5A7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0A89F5B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69A3A60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0.907</w:t>
            </w:r>
          </w:p>
        </w:tc>
        <w:tc>
          <w:tcPr>
            <w:tcW w:w="2254" w:type="dxa"/>
            <w:vAlign w:val="bottom"/>
          </w:tcPr>
          <w:p w14:paraId="46258CD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5.444</w:t>
            </w:r>
          </w:p>
        </w:tc>
      </w:tr>
      <w:tr w:rsidR="007A0C75" w:rsidRPr="007A0C75" w14:paraId="7BEBBAB2" w14:textId="77777777" w:rsidTr="00B24F4B">
        <w:tc>
          <w:tcPr>
            <w:tcW w:w="2254" w:type="dxa"/>
            <w:vAlign w:val="bottom"/>
          </w:tcPr>
          <w:p w14:paraId="6386E3C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48DE73E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19127B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0.864</w:t>
            </w:r>
          </w:p>
        </w:tc>
        <w:tc>
          <w:tcPr>
            <w:tcW w:w="2254" w:type="dxa"/>
            <w:vAlign w:val="bottom"/>
          </w:tcPr>
          <w:p w14:paraId="7520871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5.184</w:t>
            </w:r>
          </w:p>
        </w:tc>
      </w:tr>
      <w:tr w:rsidR="007A0C75" w:rsidRPr="007A0C75" w14:paraId="7CAE615B" w14:textId="77777777" w:rsidTr="00B24F4B">
        <w:tc>
          <w:tcPr>
            <w:tcW w:w="2254" w:type="dxa"/>
            <w:vAlign w:val="bottom"/>
          </w:tcPr>
          <w:p w14:paraId="1D663F2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76921BE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5E44569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0.823</w:t>
            </w:r>
          </w:p>
        </w:tc>
        <w:tc>
          <w:tcPr>
            <w:tcW w:w="2254" w:type="dxa"/>
            <w:vAlign w:val="bottom"/>
          </w:tcPr>
          <w:p w14:paraId="7EBB90C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4.938</w:t>
            </w:r>
          </w:p>
        </w:tc>
      </w:tr>
      <w:tr w:rsidR="007A0C75" w:rsidRPr="007A0C75" w14:paraId="34EC6E06" w14:textId="77777777" w:rsidTr="00B24F4B">
        <w:tc>
          <w:tcPr>
            <w:tcW w:w="2254" w:type="dxa"/>
            <w:vAlign w:val="bottom"/>
          </w:tcPr>
          <w:p w14:paraId="48D9E77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6A912F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5EDEADD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0.784</w:t>
            </w:r>
          </w:p>
        </w:tc>
        <w:tc>
          <w:tcPr>
            <w:tcW w:w="2254" w:type="dxa"/>
            <w:vAlign w:val="bottom"/>
          </w:tcPr>
          <w:p w14:paraId="1FC0724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4.704</w:t>
            </w:r>
          </w:p>
        </w:tc>
      </w:tr>
    </w:tbl>
    <w:p w14:paraId="6D45B56B"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 xml:space="preserve">NPV(5%) = 25.984–30 = –4.016 </w:t>
      </w:r>
      <w:r w:rsidRPr="007A0C75">
        <w:rPr>
          <w:rStyle w:val="Strong"/>
          <w:rFonts w:eastAsiaTheme="majorEastAsia" w:cs="Arial"/>
          <w:b w:val="0"/>
          <w:bCs w:val="0"/>
          <w:sz w:val="22"/>
          <w:szCs w:val="22"/>
        </w:rPr>
        <w:t>(£m)</w:t>
      </w:r>
      <w:r w:rsidRPr="007A0C75">
        <w:rPr>
          <w:rStyle w:val="Strong"/>
          <w:rFonts w:cs="Arial"/>
          <w:b w:val="0"/>
          <w:bCs w:val="0"/>
          <w:sz w:val="22"/>
          <w:szCs w:val="22"/>
        </w:rPr>
        <w:t xml:space="preserve"> (still negative)</w:t>
      </w:r>
    </w:p>
    <w:p w14:paraId="264DB086"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NPV at 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3CBA8C3D" w14:textId="77777777" w:rsidTr="00B24F4B">
        <w:tc>
          <w:tcPr>
            <w:tcW w:w="2254" w:type="dxa"/>
          </w:tcPr>
          <w:p w14:paraId="0D79D8D4"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tcPr>
          <w:p w14:paraId="167FEFD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w:t>
            </w:r>
          </w:p>
        </w:tc>
        <w:tc>
          <w:tcPr>
            <w:tcW w:w="2254" w:type="dxa"/>
          </w:tcPr>
          <w:p w14:paraId="4520049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Discount factor (1/(1+0.00)^t)</w:t>
            </w:r>
          </w:p>
        </w:tc>
        <w:tc>
          <w:tcPr>
            <w:tcW w:w="2254" w:type="dxa"/>
          </w:tcPr>
          <w:p w14:paraId="785DACC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(£m)</w:t>
            </w:r>
          </w:p>
        </w:tc>
      </w:tr>
      <w:tr w:rsidR="007A0C75" w:rsidRPr="007A0C75" w14:paraId="109616DC" w14:textId="77777777" w:rsidTr="00B24F4B">
        <w:tc>
          <w:tcPr>
            <w:tcW w:w="2254" w:type="dxa"/>
            <w:vAlign w:val="bottom"/>
          </w:tcPr>
          <w:p w14:paraId="5BA2C55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0E78A75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45B98D0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w:t>
            </w:r>
          </w:p>
        </w:tc>
        <w:tc>
          <w:tcPr>
            <w:tcW w:w="2254" w:type="dxa"/>
            <w:vAlign w:val="bottom"/>
          </w:tcPr>
          <w:p w14:paraId="7A6505A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59BE0AB3" w14:textId="77777777" w:rsidTr="00B24F4B">
        <w:tc>
          <w:tcPr>
            <w:tcW w:w="2254" w:type="dxa"/>
            <w:vAlign w:val="bottom"/>
          </w:tcPr>
          <w:p w14:paraId="68F7A4E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7F7E077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20F20A8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w:t>
            </w:r>
          </w:p>
        </w:tc>
        <w:tc>
          <w:tcPr>
            <w:tcW w:w="2254" w:type="dxa"/>
            <w:vAlign w:val="bottom"/>
          </w:tcPr>
          <w:p w14:paraId="008A6E8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11AF5E23" w14:textId="77777777" w:rsidTr="00B24F4B">
        <w:tc>
          <w:tcPr>
            <w:tcW w:w="2254" w:type="dxa"/>
            <w:vAlign w:val="bottom"/>
          </w:tcPr>
          <w:p w14:paraId="6AAD6BF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1A12C59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5D33A8F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w:t>
            </w:r>
          </w:p>
        </w:tc>
        <w:tc>
          <w:tcPr>
            <w:tcW w:w="2254" w:type="dxa"/>
            <w:vAlign w:val="bottom"/>
          </w:tcPr>
          <w:p w14:paraId="21E60DE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0C42E69B" w14:textId="77777777" w:rsidTr="00B24F4B">
        <w:tc>
          <w:tcPr>
            <w:tcW w:w="2254" w:type="dxa"/>
            <w:vAlign w:val="bottom"/>
          </w:tcPr>
          <w:p w14:paraId="0FBB1FB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18BB548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65A7156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w:t>
            </w:r>
          </w:p>
        </w:tc>
        <w:tc>
          <w:tcPr>
            <w:tcW w:w="2254" w:type="dxa"/>
            <w:vAlign w:val="bottom"/>
          </w:tcPr>
          <w:p w14:paraId="55ED50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7AD38608" w14:textId="77777777" w:rsidTr="00B24F4B">
        <w:tc>
          <w:tcPr>
            <w:tcW w:w="2254" w:type="dxa"/>
            <w:vAlign w:val="bottom"/>
          </w:tcPr>
          <w:p w14:paraId="7D95790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6A50447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245FD4D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w:t>
            </w:r>
          </w:p>
        </w:tc>
        <w:tc>
          <w:tcPr>
            <w:tcW w:w="2254" w:type="dxa"/>
            <w:vAlign w:val="bottom"/>
          </w:tcPr>
          <w:p w14:paraId="0B73F6E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bl>
    <w:p w14:paraId="1FC9CEC1" w14:textId="77777777" w:rsidR="007A0C75" w:rsidRPr="007A0C75" w:rsidRDefault="007A0C75" w:rsidP="007A0C75">
      <w:pPr>
        <w:spacing w:line="360" w:lineRule="auto"/>
        <w:rPr>
          <w:rStyle w:val="Strong"/>
          <w:rFonts w:cs="Arial"/>
          <w:b w:val="0"/>
          <w:bCs w:val="0"/>
          <w:sz w:val="22"/>
          <w:szCs w:val="22"/>
        </w:rPr>
      </w:pPr>
      <w:r w:rsidRPr="007A0C75">
        <w:rPr>
          <w:rStyle w:val="Strong"/>
          <w:rFonts w:cs="Arial"/>
          <w:b w:val="0"/>
          <w:bCs w:val="0"/>
          <w:sz w:val="22"/>
          <w:szCs w:val="22"/>
        </w:rPr>
        <w:t>NPV</w:t>
      </w:r>
      <w:r w:rsidR="00D57024">
        <w:rPr>
          <w:rStyle w:val="Strong"/>
          <w:rFonts w:cs="Arial"/>
          <w:b w:val="0"/>
          <w:bCs w:val="0"/>
          <w:sz w:val="22"/>
          <w:szCs w:val="22"/>
        </w:rPr>
        <w:t xml:space="preserve"> (</w:t>
      </w:r>
      <w:r w:rsidRPr="007A0C75">
        <w:rPr>
          <w:rStyle w:val="Strong"/>
          <w:rFonts w:cs="Arial"/>
          <w:b w:val="0"/>
          <w:bCs w:val="0"/>
          <w:sz w:val="22"/>
          <w:szCs w:val="22"/>
        </w:rPr>
        <w:t>0%</w:t>
      </w:r>
      <w:r w:rsidR="00D57024">
        <w:rPr>
          <w:rStyle w:val="Strong"/>
          <w:rFonts w:cs="Arial"/>
          <w:b w:val="0"/>
          <w:bCs w:val="0"/>
          <w:sz w:val="22"/>
          <w:szCs w:val="22"/>
        </w:rPr>
        <w:t xml:space="preserve">) </w:t>
      </w:r>
      <w:r w:rsidRPr="007A0C75">
        <w:rPr>
          <w:rStyle w:val="Strong"/>
          <w:rFonts w:cs="Arial"/>
          <w:b w:val="0"/>
          <w:bCs w:val="0"/>
          <w:sz w:val="22"/>
          <w:szCs w:val="22"/>
        </w:rPr>
        <w:t xml:space="preserve">= 30 – 30 = £0 </w:t>
      </w:r>
      <w:r w:rsidRPr="007A0C75">
        <w:rPr>
          <w:rFonts w:cs="Arial"/>
          <w:sz w:val="22"/>
          <w:szCs w:val="22"/>
        </w:rPr>
        <w:t>(break-even point)</w:t>
      </w:r>
    </w:p>
    <w:p w14:paraId="1C0D80AE" w14:textId="77777777" w:rsidR="007A0C75" w:rsidRPr="007A0C75" w:rsidRDefault="007A0C75" w:rsidP="007A0C75">
      <w:pPr>
        <w:spacing w:line="360" w:lineRule="auto"/>
        <w:rPr>
          <w:rFonts w:cs="Arial"/>
          <w:sz w:val="22"/>
          <w:szCs w:val="22"/>
        </w:rPr>
      </w:pPr>
      <w:r w:rsidRPr="007A0C75">
        <w:rPr>
          <w:rFonts w:cs="Arial"/>
          <w:sz w:val="22"/>
          <w:szCs w:val="22"/>
        </w:rPr>
        <w:t xml:space="preserve">IRR = r1 + [NPV1 ÷ (NPV1 − NPV2)] × (r2 − r1) </w:t>
      </w:r>
    </w:p>
    <w:p w14:paraId="4D0E6063" w14:textId="77777777" w:rsidR="007A0C75" w:rsidRPr="007A0C75" w:rsidRDefault="007A0C75" w:rsidP="007A0C75">
      <w:pPr>
        <w:spacing w:line="360" w:lineRule="auto"/>
        <w:rPr>
          <w:rFonts w:cs="Arial"/>
          <w:sz w:val="22"/>
          <w:szCs w:val="22"/>
        </w:rPr>
      </w:pPr>
      <w:r w:rsidRPr="007A0C75">
        <w:rPr>
          <w:rFonts w:cs="Arial"/>
          <w:sz w:val="22"/>
          <w:szCs w:val="22"/>
        </w:rPr>
        <w:t>IRR = 0+[0÷ (0−(− 4.016)]×(5−0)</w:t>
      </w:r>
    </w:p>
    <w:p w14:paraId="3B949340" w14:textId="77777777" w:rsidR="007A0C75" w:rsidRPr="007A0C75" w:rsidRDefault="007A0C75" w:rsidP="007A0C75">
      <w:pPr>
        <w:spacing w:line="360" w:lineRule="auto"/>
        <w:rPr>
          <w:rFonts w:cs="Arial"/>
          <w:sz w:val="22"/>
          <w:szCs w:val="22"/>
        </w:rPr>
      </w:pPr>
      <w:r w:rsidRPr="007A0C75">
        <w:rPr>
          <w:rFonts w:cs="Arial"/>
          <w:sz w:val="22"/>
          <w:szCs w:val="22"/>
        </w:rPr>
        <w:t>= 0%</w:t>
      </w:r>
    </w:p>
    <w:p w14:paraId="4DE1DD8F" w14:textId="77777777" w:rsidR="007A0C75" w:rsidRPr="007A0C75" w:rsidRDefault="007A0C75" w:rsidP="007A0C75">
      <w:pPr>
        <w:spacing w:line="360" w:lineRule="auto"/>
        <w:rPr>
          <w:rFonts w:cs="Arial"/>
          <w:sz w:val="22"/>
          <w:szCs w:val="22"/>
        </w:rPr>
      </w:pPr>
      <w:r w:rsidRPr="007A0C75">
        <w:rPr>
          <w:rFonts w:cs="Arial"/>
          <w:b/>
          <w:bCs/>
          <w:sz w:val="22"/>
          <w:szCs w:val="22"/>
        </w:rPr>
        <w:t>Hence, IRR = 0%</w:t>
      </w:r>
    </w:p>
    <w:p w14:paraId="6CFD9296"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C</w:t>
      </w:r>
    </w:p>
    <w:p w14:paraId="56ED63F3" w14:textId="77777777" w:rsidR="007A0C75" w:rsidRPr="007A0C75" w:rsidRDefault="007A0C75" w:rsidP="007A0C75">
      <w:pPr>
        <w:spacing w:line="360" w:lineRule="auto"/>
        <w:rPr>
          <w:rFonts w:cs="Arial"/>
          <w:b/>
          <w:bCs/>
          <w:sz w:val="22"/>
          <w:szCs w:val="22"/>
        </w:rPr>
      </w:pPr>
      <w:r w:rsidRPr="007A0C75">
        <w:rPr>
          <w:rFonts w:cs="Arial"/>
          <w:sz w:val="22"/>
          <w:szCs w:val="22"/>
        </w:rPr>
        <w:t>NPV at 10%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7AECD232" w14:textId="77777777" w:rsidTr="00B24F4B">
        <w:tc>
          <w:tcPr>
            <w:tcW w:w="2254" w:type="dxa"/>
          </w:tcPr>
          <w:p w14:paraId="6C204B00"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Year</w:t>
            </w:r>
          </w:p>
        </w:tc>
        <w:tc>
          <w:tcPr>
            <w:tcW w:w="2254" w:type="dxa"/>
          </w:tcPr>
          <w:p w14:paraId="2DEA2428"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Cash flow (£m)</w:t>
            </w:r>
          </w:p>
        </w:tc>
        <w:tc>
          <w:tcPr>
            <w:tcW w:w="2254" w:type="dxa"/>
          </w:tcPr>
          <w:p w14:paraId="0A79CE67"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Discount factor (1/(1+0.10)^t)</w:t>
            </w:r>
          </w:p>
        </w:tc>
        <w:tc>
          <w:tcPr>
            <w:tcW w:w="2254" w:type="dxa"/>
          </w:tcPr>
          <w:p w14:paraId="7DEFFDE9"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PV (£m)</w:t>
            </w:r>
          </w:p>
        </w:tc>
      </w:tr>
      <w:tr w:rsidR="007A0C75" w:rsidRPr="007A0C75" w14:paraId="7DD0D887" w14:textId="77777777" w:rsidTr="00B24F4B">
        <w:tc>
          <w:tcPr>
            <w:tcW w:w="2254" w:type="dxa"/>
            <w:vAlign w:val="bottom"/>
          </w:tcPr>
          <w:p w14:paraId="6A48C06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040ADD9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c>
          <w:tcPr>
            <w:tcW w:w="2254" w:type="dxa"/>
            <w:vAlign w:val="bottom"/>
          </w:tcPr>
          <w:p w14:paraId="2FE44C2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vAlign w:val="bottom"/>
          </w:tcPr>
          <w:p w14:paraId="6449C9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4.55</w:t>
            </w:r>
          </w:p>
        </w:tc>
      </w:tr>
      <w:tr w:rsidR="007A0C75" w:rsidRPr="007A0C75" w14:paraId="5DD09D2F" w14:textId="77777777" w:rsidTr="00B24F4B">
        <w:tc>
          <w:tcPr>
            <w:tcW w:w="2254" w:type="dxa"/>
            <w:vAlign w:val="bottom"/>
          </w:tcPr>
          <w:p w14:paraId="500F9F5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025FAC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2B57A54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vAlign w:val="bottom"/>
          </w:tcPr>
          <w:p w14:paraId="5C6D07C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8.26</w:t>
            </w:r>
          </w:p>
        </w:tc>
      </w:tr>
      <w:tr w:rsidR="007A0C75" w:rsidRPr="007A0C75" w14:paraId="6AC7EE20" w14:textId="77777777" w:rsidTr="00B24F4B">
        <w:tc>
          <w:tcPr>
            <w:tcW w:w="2254" w:type="dxa"/>
            <w:vAlign w:val="bottom"/>
          </w:tcPr>
          <w:p w14:paraId="272AF4E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36014FA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w:t>
            </w:r>
          </w:p>
        </w:tc>
        <w:tc>
          <w:tcPr>
            <w:tcW w:w="2254" w:type="dxa"/>
            <w:vAlign w:val="bottom"/>
          </w:tcPr>
          <w:p w14:paraId="6B59936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vAlign w:val="bottom"/>
          </w:tcPr>
          <w:p w14:paraId="6679D40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15.02</w:t>
            </w:r>
          </w:p>
        </w:tc>
      </w:tr>
      <w:tr w:rsidR="007A0C75" w:rsidRPr="007A0C75" w14:paraId="5D24FB0D" w14:textId="77777777" w:rsidTr="00B24F4B">
        <w:tc>
          <w:tcPr>
            <w:tcW w:w="2254" w:type="dxa"/>
            <w:vAlign w:val="bottom"/>
          </w:tcPr>
          <w:p w14:paraId="13073CC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17B49C5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c>
          <w:tcPr>
            <w:tcW w:w="2254" w:type="dxa"/>
            <w:vAlign w:val="bottom"/>
          </w:tcPr>
          <w:p w14:paraId="06DF09A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vAlign w:val="bottom"/>
          </w:tcPr>
          <w:p w14:paraId="3582272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17.08</w:t>
            </w:r>
          </w:p>
        </w:tc>
      </w:tr>
      <w:tr w:rsidR="007A0C75" w:rsidRPr="007A0C75" w14:paraId="28E1A91F" w14:textId="77777777" w:rsidTr="00B24F4B">
        <w:tc>
          <w:tcPr>
            <w:tcW w:w="2254" w:type="dxa"/>
            <w:vAlign w:val="bottom"/>
          </w:tcPr>
          <w:p w14:paraId="6EC0138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59BA6B9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c>
          <w:tcPr>
            <w:tcW w:w="2254" w:type="dxa"/>
            <w:vAlign w:val="bottom"/>
          </w:tcPr>
          <w:p w14:paraId="5FBEBE1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vAlign w:val="bottom"/>
          </w:tcPr>
          <w:p w14:paraId="338FA6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9.32</w:t>
            </w:r>
          </w:p>
        </w:tc>
      </w:tr>
    </w:tbl>
    <w:p w14:paraId="7421DBC8"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 xml:space="preserve">NPV(10%) = 54.23-50 = 4.23 </w:t>
      </w:r>
      <w:r w:rsidRPr="007A0C75">
        <w:rPr>
          <w:rStyle w:val="Strong"/>
          <w:rFonts w:eastAsiaTheme="majorEastAsia" w:cs="Arial"/>
          <w:b w:val="0"/>
          <w:bCs w:val="0"/>
          <w:sz w:val="22"/>
          <w:szCs w:val="22"/>
        </w:rPr>
        <w:t>(£m)</w:t>
      </w:r>
    </w:p>
    <w:p w14:paraId="51F97979"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NPV at 20%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6E9AF502" w14:textId="77777777" w:rsidTr="00B24F4B">
        <w:tc>
          <w:tcPr>
            <w:tcW w:w="2254" w:type="dxa"/>
          </w:tcPr>
          <w:p w14:paraId="6AB5ED7F"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Year</w:t>
            </w:r>
          </w:p>
        </w:tc>
        <w:tc>
          <w:tcPr>
            <w:tcW w:w="2254" w:type="dxa"/>
          </w:tcPr>
          <w:p w14:paraId="60651978"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Cash flow (£m)</w:t>
            </w:r>
          </w:p>
        </w:tc>
        <w:tc>
          <w:tcPr>
            <w:tcW w:w="2254" w:type="dxa"/>
          </w:tcPr>
          <w:p w14:paraId="218F05DC"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Discount factor (1/(1+0.20)^t)</w:t>
            </w:r>
          </w:p>
        </w:tc>
        <w:tc>
          <w:tcPr>
            <w:tcW w:w="2254" w:type="dxa"/>
          </w:tcPr>
          <w:p w14:paraId="06E086AB"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PV (£m)</w:t>
            </w:r>
          </w:p>
        </w:tc>
      </w:tr>
      <w:tr w:rsidR="007A0C75" w:rsidRPr="007A0C75" w14:paraId="0A894398" w14:textId="77777777" w:rsidTr="00B24F4B">
        <w:tc>
          <w:tcPr>
            <w:tcW w:w="2254" w:type="dxa"/>
            <w:vAlign w:val="bottom"/>
          </w:tcPr>
          <w:p w14:paraId="49B631F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6DA8458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c>
          <w:tcPr>
            <w:tcW w:w="2254" w:type="dxa"/>
            <w:vAlign w:val="bottom"/>
          </w:tcPr>
          <w:p w14:paraId="6B7FE94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0.833</w:t>
            </w:r>
          </w:p>
        </w:tc>
        <w:tc>
          <w:tcPr>
            <w:tcW w:w="2254" w:type="dxa"/>
            <w:vAlign w:val="bottom"/>
          </w:tcPr>
          <w:p w14:paraId="2524A98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4.17</w:t>
            </w:r>
          </w:p>
        </w:tc>
      </w:tr>
      <w:tr w:rsidR="007A0C75" w:rsidRPr="007A0C75" w14:paraId="642A535E" w14:textId="77777777" w:rsidTr="00B24F4B">
        <w:tc>
          <w:tcPr>
            <w:tcW w:w="2254" w:type="dxa"/>
            <w:vAlign w:val="bottom"/>
          </w:tcPr>
          <w:p w14:paraId="4EF2C8A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53079AF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65D18ED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0.694</w:t>
            </w:r>
          </w:p>
        </w:tc>
        <w:tc>
          <w:tcPr>
            <w:tcW w:w="2254" w:type="dxa"/>
            <w:vAlign w:val="bottom"/>
          </w:tcPr>
          <w:p w14:paraId="33627B8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6.94</w:t>
            </w:r>
          </w:p>
        </w:tc>
      </w:tr>
      <w:tr w:rsidR="007A0C75" w:rsidRPr="007A0C75" w14:paraId="5E72C310" w14:textId="77777777" w:rsidTr="00B24F4B">
        <w:tc>
          <w:tcPr>
            <w:tcW w:w="2254" w:type="dxa"/>
            <w:vAlign w:val="bottom"/>
          </w:tcPr>
          <w:p w14:paraId="46CD2F1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48954FF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w:t>
            </w:r>
          </w:p>
        </w:tc>
        <w:tc>
          <w:tcPr>
            <w:tcW w:w="2254" w:type="dxa"/>
            <w:vAlign w:val="bottom"/>
          </w:tcPr>
          <w:p w14:paraId="2328935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0.579</w:t>
            </w:r>
          </w:p>
        </w:tc>
        <w:tc>
          <w:tcPr>
            <w:tcW w:w="2254" w:type="dxa"/>
            <w:vAlign w:val="bottom"/>
          </w:tcPr>
          <w:p w14:paraId="66A837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11.58</w:t>
            </w:r>
          </w:p>
        </w:tc>
      </w:tr>
      <w:tr w:rsidR="007A0C75" w:rsidRPr="007A0C75" w14:paraId="1E456130" w14:textId="77777777" w:rsidTr="00B24F4B">
        <w:tc>
          <w:tcPr>
            <w:tcW w:w="2254" w:type="dxa"/>
            <w:vAlign w:val="bottom"/>
          </w:tcPr>
          <w:p w14:paraId="73B2311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161288B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c>
          <w:tcPr>
            <w:tcW w:w="2254" w:type="dxa"/>
            <w:vAlign w:val="bottom"/>
          </w:tcPr>
          <w:p w14:paraId="6012A47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0.482</w:t>
            </w:r>
          </w:p>
        </w:tc>
        <w:tc>
          <w:tcPr>
            <w:tcW w:w="2254" w:type="dxa"/>
            <w:vAlign w:val="bottom"/>
          </w:tcPr>
          <w:p w14:paraId="463C9C4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12.05</w:t>
            </w:r>
          </w:p>
        </w:tc>
      </w:tr>
      <w:tr w:rsidR="007A0C75" w:rsidRPr="007A0C75" w14:paraId="4C182CF6" w14:textId="77777777" w:rsidTr="00B24F4B">
        <w:tc>
          <w:tcPr>
            <w:tcW w:w="2254" w:type="dxa"/>
            <w:vAlign w:val="bottom"/>
          </w:tcPr>
          <w:p w14:paraId="66AE23C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419FBC7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c>
          <w:tcPr>
            <w:tcW w:w="2254" w:type="dxa"/>
            <w:vAlign w:val="bottom"/>
          </w:tcPr>
          <w:p w14:paraId="280D46D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0.402</w:t>
            </w:r>
          </w:p>
        </w:tc>
        <w:tc>
          <w:tcPr>
            <w:tcW w:w="2254" w:type="dxa"/>
            <w:vAlign w:val="bottom"/>
          </w:tcPr>
          <w:p w14:paraId="20648A3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6.03</w:t>
            </w:r>
          </w:p>
        </w:tc>
      </w:tr>
    </w:tbl>
    <w:p w14:paraId="5681BB4C" w14:textId="77777777" w:rsidR="007A0C75" w:rsidRPr="007A0C75" w:rsidRDefault="007A0C75" w:rsidP="007A0C75">
      <w:pPr>
        <w:spacing w:line="360" w:lineRule="auto"/>
        <w:rPr>
          <w:rFonts w:cs="Arial"/>
          <w:sz w:val="22"/>
          <w:szCs w:val="22"/>
        </w:rPr>
      </w:pPr>
      <w:r w:rsidRPr="007A0C75">
        <w:rPr>
          <w:rFonts w:cs="Arial"/>
          <w:sz w:val="22"/>
          <w:szCs w:val="22"/>
        </w:rPr>
        <w:t xml:space="preserve">NPV(20%) = 40.77− 50.00 = </w:t>
      </w:r>
      <w:r w:rsidRPr="007A0C75">
        <w:rPr>
          <w:rStyle w:val="Strong"/>
          <w:rFonts w:cs="Arial"/>
          <w:b w:val="0"/>
          <w:bCs w:val="0"/>
          <w:sz w:val="22"/>
          <w:szCs w:val="22"/>
        </w:rPr>
        <w:t xml:space="preserve">–9.23 </w:t>
      </w:r>
      <w:r w:rsidRPr="007A0C75">
        <w:rPr>
          <w:rStyle w:val="Strong"/>
          <w:rFonts w:eastAsiaTheme="majorEastAsia" w:cs="Arial"/>
          <w:b w:val="0"/>
          <w:bCs w:val="0"/>
          <w:sz w:val="22"/>
          <w:szCs w:val="22"/>
        </w:rPr>
        <w:t>(£m)</w:t>
      </w:r>
    </w:p>
    <w:p w14:paraId="49FB3BF5" w14:textId="77777777" w:rsidR="007A0C75" w:rsidRPr="007A0C75" w:rsidRDefault="007A0C75" w:rsidP="007A0C75">
      <w:pPr>
        <w:spacing w:line="360" w:lineRule="auto"/>
        <w:rPr>
          <w:rFonts w:cs="Arial"/>
          <w:sz w:val="22"/>
          <w:szCs w:val="22"/>
        </w:rPr>
      </w:pPr>
      <w:r w:rsidRPr="007A0C75">
        <w:rPr>
          <w:rFonts w:cs="Arial"/>
          <w:sz w:val="22"/>
          <w:szCs w:val="22"/>
        </w:rPr>
        <w:t xml:space="preserve">IRR = r1 + [NPV1 ÷ (NPV1 − NPV2)] × (r2 − r1) </w:t>
      </w:r>
    </w:p>
    <w:p w14:paraId="46380EAE" w14:textId="77777777" w:rsidR="007A0C75" w:rsidRPr="007A0C75" w:rsidRDefault="007A0C75" w:rsidP="007A0C75">
      <w:pPr>
        <w:spacing w:line="360" w:lineRule="auto"/>
        <w:rPr>
          <w:rFonts w:cs="Arial"/>
          <w:sz w:val="22"/>
          <w:szCs w:val="22"/>
        </w:rPr>
      </w:pPr>
      <w:r w:rsidRPr="007A0C75">
        <w:rPr>
          <w:rFonts w:cs="Arial"/>
          <w:sz w:val="22"/>
          <w:szCs w:val="22"/>
        </w:rPr>
        <w:t>IRR = 0.10+ [4.23 ÷ (4.23−(–9.23)] ×(0.20−0.10)</w:t>
      </w:r>
    </w:p>
    <w:p w14:paraId="6F97F988" w14:textId="77777777" w:rsidR="007A0C75" w:rsidRPr="007A0C75" w:rsidRDefault="007A0C75" w:rsidP="007A0C75">
      <w:pPr>
        <w:spacing w:line="360" w:lineRule="auto"/>
        <w:rPr>
          <w:rFonts w:cs="Arial"/>
          <w:sz w:val="22"/>
          <w:szCs w:val="22"/>
        </w:rPr>
      </w:pPr>
      <w:r w:rsidRPr="007A0C75">
        <w:rPr>
          <w:rFonts w:cs="Arial"/>
          <w:sz w:val="22"/>
          <w:szCs w:val="22"/>
        </w:rPr>
        <w:t xml:space="preserve">= 0.1314 </w:t>
      </w:r>
    </w:p>
    <w:p w14:paraId="344CCBD2" w14:textId="77777777" w:rsidR="007A0C75" w:rsidRPr="007A0C75" w:rsidRDefault="007A0C75" w:rsidP="007A0C75">
      <w:pPr>
        <w:spacing w:line="360" w:lineRule="auto"/>
        <w:rPr>
          <w:rFonts w:cs="Arial"/>
          <w:sz w:val="22"/>
          <w:szCs w:val="22"/>
        </w:rPr>
      </w:pPr>
      <w:r w:rsidRPr="007A0C75">
        <w:rPr>
          <w:rFonts w:cs="Arial"/>
          <w:b/>
          <w:bCs/>
          <w:sz w:val="22"/>
          <w:szCs w:val="22"/>
        </w:rPr>
        <w:t>Hence, IRR = 13.1%</w:t>
      </w:r>
    </w:p>
    <w:p w14:paraId="0134030C" w14:textId="77777777" w:rsidR="007A0C75" w:rsidRPr="007A0C75" w:rsidRDefault="007A0C75" w:rsidP="007A0C75">
      <w:pPr>
        <w:spacing w:line="360" w:lineRule="auto"/>
        <w:rPr>
          <w:rStyle w:val="Strong"/>
          <w:rFonts w:cs="Arial"/>
          <w:b w:val="0"/>
          <w:bCs w:val="0"/>
          <w:sz w:val="22"/>
          <w:szCs w:val="22"/>
        </w:rPr>
      </w:pPr>
    </w:p>
    <w:p w14:paraId="436588F9" w14:textId="77777777" w:rsidR="0055642C" w:rsidRPr="007A0C75" w:rsidRDefault="0055642C" w:rsidP="0055642C">
      <w:pPr>
        <w:spacing w:line="360" w:lineRule="auto"/>
        <w:rPr>
          <w:rFonts w:cs="Arial"/>
          <w:b/>
          <w:bCs/>
          <w:sz w:val="22"/>
          <w:szCs w:val="22"/>
        </w:rPr>
      </w:pPr>
    </w:p>
    <w:p w14:paraId="29449958" w14:textId="77777777" w:rsidR="0055642C" w:rsidRPr="0055642C" w:rsidRDefault="0055642C" w:rsidP="0055642C"/>
    <w:p w14:paraId="47BB7E97" w14:textId="77777777" w:rsidR="0055642C" w:rsidRPr="0055642C" w:rsidRDefault="0055642C" w:rsidP="0055642C"/>
    <w:sectPr w:rsidR="0055642C" w:rsidRPr="0055642C">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76412" w14:textId="77777777" w:rsidR="00D265A4" w:rsidRDefault="00D265A4" w:rsidP="00805DF9">
      <w:r>
        <w:separator/>
      </w:r>
    </w:p>
  </w:endnote>
  <w:endnote w:type="continuationSeparator" w:id="0">
    <w:p w14:paraId="1E3AF6FA" w14:textId="77777777" w:rsidR="00D265A4" w:rsidRDefault="00D265A4" w:rsidP="00805D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6008491"/>
      <w:docPartObj>
        <w:docPartGallery w:val="Page Numbers (Bottom of Page)"/>
        <w:docPartUnique/>
      </w:docPartObj>
    </w:sdtPr>
    <w:sdtEndPr>
      <w:rPr>
        <w:rStyle w:val="PageNumber"/>
      </w:rPr>
    </w:sdtEndPr>
    <w:sdtContent>
      <w:p w14:paraId="5754D3A9" w14:textId="77777777" w:rsidR="00805DF9" w:rsidRDefault="00805DF9" w:rsidP="00347C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48EE3B" w14:textId="77777777" w:rsidR="00805DF9" w:rsidRDefault="00805D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5951000"/>
      <w:docPartObj>
        <w:docPartGallery w:val="Page Numbers (Bottom of Page)"/>
        <w:docPartUnique/>
      </w:docPartObj>
    </w:sdtPr>
    <w:sdtEndPr>
      <w:rPr>
        <w:rStyle w:val="PageNumber"/>
      </w:rPr>
    </w:sdtEndPr>
    <w:sdtContent>
      <w:p w14:paraId="1DE9041F" w14:textId="77777777" w:rsidR="00805DF9" w:rsidRDefault="00805DF9" w:rsidP="00347C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4FD702" w14:textId="77777777" w:rsidR="00805DF9" w:rsidRDefault="00805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6F11C" w14:textId="77777777" w:rsidR="00D265A4" w:rsidRDefault="00D265A4" w:rsidP="00805DF9">
      <w:r>
        <w:separator/>
      </w:r>
    </w:p>
  </w:footnote>
  <w:footnote w:type="continuationSeparator" w:id="0">
    <w:p w14:paraId="14E18C00" w14:textId="77777777" w:rsidR="00D265A4" w:rsidRDefault="00D265A4" w:rsidP="00805D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746D1"/>
    <w:multiLevelType w:val="multilevel"/>
    <w:tmpl w:val="156E9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863768"/>
    <w:multiLevelType w:val="multilevel"/>
    <w:tmpl w:val="B476C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004D2B"/>
    <w:multiLevelType w:val="multilevel"/>
    <w:tmpl w:val="76842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B36EAB"/>
    <w:multiLevelType w:val="multilevel"/>
    <w:tmpl w:val="D71CE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7D3219"/>
    <w:multiLevelType w:val="multilevel"/>
    <w:tmpl w:val="3D0C5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942027">
    <w:abstractNumId w:val="0"/>
  </w:num>
  <w:num w:numId="2" w16cid:durableId="828135423">
    <w:abstractNumId w:val="1"/>
  </w:num>
  <w:num w:numId="3" w16cid:durableId="1547713097">
    <w:abstractNumId w:val="2"/>
  </w:num>
  <w:num w:numId="4" w16cid:durableId="90853819">
    <w:abstractNumId w:val="3"/>
  </w:num>
  <w:num w:numId="5" w16cid:durableId="547492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643"/>
    <w:rsid w:val="00011BF9"/>
    <w:rsid w:val="00045B60"/>
    <w:rsid w:val="00061491"/>
    <w:rsid w:val="000736A4"/>
    <w:rsid w:val="00150B01"/>
    <w:rsid w:val="00192DA2"/>
    <w:rsid w:val="001A3716"/>
    <w:rsid w:val="001A3A72"/>
    <w:rsid w:val="001B6D4A"/>
    <w:rsid w:val="001F2A43"/>
    <w:rsid w:val="001F4E33"/>
    <w:rsid w:val="00236B75"/>
    <w:rsid w:val="0028425D"/>
    <w:rsid w:val="002B293D"/>
    <w:rsid w:val="002B5ECC"/>
    <w:rsid w:val="002C4415"/>
    <w:rsid w:val="0032590F"/>
    <w:rsid w:val="003377A7"/>
    <w:rsid w:val="00396AB5"/>
    <w:rsid w:val="003B4A40"/>
    <w:rsid w:val="003B529D"/>
    <w:rsid w:val="003D1A48"/>
    <w:rsid w:val="003E3255"/>
    <w:rsid w:val="00411CBE"/>
    <w:rsid w:val="004231C1"/>
    <w:rsid w:val="00450B61"/>
    <w:rsid w:val="004E2596"/>
    <w:rsid w:val="00514CAE"/>
    <w:rsid w:val="0055642C"/>
    <w:rsid w:val="00560408"/>
    <w:rsid w:val="005732E8"/>
    <w:rsid w:val="00575C71"/>
    <w:rsid w:val="006531AA"/>
    <w:rsid w:val="00655643"/>
    <w:rsid w:val="00680C33"/>
    <w:rsid w:val="006A4B35"/>
    <w:rsid w:val="006B2FB1"/>
    <w:rsid w:val="006D0802"/>
    <w:rsid w:val="007407D3"/>
    <w:rsid w:val="00762330"/>
    <w:rsid w:val="007A0C75"/>
    <w:rsid w:val="007B5239"/>
    <w:rsid w:val="007C328C"/>
    <w:rsid w:val="007D2217"/>
    <w:rsid w:val="007D56F0"/>
    <w:rsid w:val="007D5DFA"/>
    <w:rsid w:val="007F329F"/>
    <w:rsid w:val="00805DF9"/>
    <w:rsid w:val="008205B6"/>
    <w:rsid w:val="00847874"/>
    <w:rsid w:val="00862035"/>
    <w:rsid w:val="00936427"/>
    <w:rsid w:val="0098116A"/>
    <w:rsid w:val="009D2E4A"/>
    <w:rsid w:val="00AF4093"/>
    <w:rsid w:val="00B03853"/>
    <w:rsid w:val="00B32824"/>
    <w:rsid w:val="00B55DC8"/>
    <w:rsid w:val="00B91437"/>
    <w:rsid w:val="00BA2D3A"/>
    <w:rsid w:val="00BC2B54"/>
    <w:rsid w:val="00BF5C0C"/>
    <w:rsid w:val="00C2293D"/>
    <w:rsid w:val="00C359FF"/>
    <w:rsid w:val="00C51758"/>
    <w:rsid w:val="00C65097"/>
    <w:rsid w:val="00C70457"/>
    <w:rsid w:val="00C7113C"/>
    <w:rsid w:val="00C90EEA"/>
    <w:rsid w:val="00CE731D"/>
    <w:rsid w:val="00CF53B2"/>
    <w:rsid w:val="00D24C1B"/>
    <w:rsid w:val="00D265A4"/>
    <w:rsid w:val="00D3348A"/>
    <w:rsid w:val="00D4090D"/>
    <w:rsid w:val="00D56825"/>
    <w:rsid w:val="00D57024"/>
    <w:rsid w:val="00D5739E"/>
    <w:rsid w:val="00D83C69"/>
    <w:rsid w:val="00DE28C3"/>
    <w:rsid w:val="00E0795F"/>
    <w:rsid w:val="00E179DF"/>
    <w:rsid w:val="00E322E8"/>
    <w:rsid w:val="00E37CD4"/>
    <w:rsid w:val="00E71EA0"/>
    <w:rsid w:val="00E9352E"/>
    <w:rsid w:val="00F03F46"/>
    <w:rsid w:val="00F47FAF"/>
    <w:rsid w:val="00F529FF"/>
    <w:rsid w:val="00F87821"/>
    <w:rsid w:val="00FB6A47"/>
    <w:rsid w:val="00FF516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DC18C"/>
  <w15:chartTrackingRefBased/>
  <w15:docId w15:val="{179F2C79-6FB8-C444-8A9C-4602D1B81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457"/>
    <w:pPr>
      <w:spacing w:before="240" w:after="240"/>
      <w:jc w:val="both"/>
    </w:pPr>
    <w:rPr>
      <w:rFonts w:ascii="Arial" w:eastAsia="Times New Roman" w:hAnsi="Arial" w:cs="Times New Roman"/>
      <w:kern w:val="0"/>
      <w:szCs w:val="24"/>
      <w:lang w:eastAsia="en-GB"/>
      <w14:ligatures w14:val="none"/>
    </w:rPr>
  </w:style>
  <w:style w:type="paragraph" w:styleId="Heading1">
    <w:name w:val="heading 1"/>
    <w:basedOn w:val="Normal"/>
    <w:next w:val="Normal"/>
    <w:link w:val="Heading1Char"/>
    <w:uiPriority w:val="9"/>
    <w:qFormat/>
    <w:rsid w:val="002C4415"/>
    <w:pPr>
      <w:keepNext/>
      <w:keepLines/>
      <w:spacing w:line="360" w:lineRule="auto"/>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2C4415"/>
    <w:pPr>
      <w:keepNext/>
      <w:keepLines/>
      <w:spacing w:before="40" w:line="360" w:lineRule="auto"/>
      <w:outlineLvl w:val="1"/>
    </w:pPr>
    <w:rPr>
      <w:rFonts w:eastAsiaTheme="majorEastAsia" w:cstheme="majorBidi"/>
      <w:b/>
      <w:color w:val="2F5496" w:themeColor="accent1" w:themeShade="BF"/>
      <w:sz w:val="28"/>
      <w:szCs w:val="33"/>
    </w:rPr>
  </w:style>
  <w:style w:type="paragraph" w:styleId="Heading3">
    <w:name w:val="heading 3"/>
    <w:basedOn w:val="Normal"/>
    <w:next w:val="Normal"/>
    <w:link w:val="Heading3Char"/>
    <w:uiPriority w:val="9"/>
    <w:unhideWhenUsed/>
    <w:qFormat/>
    <w:rsid w:val="00AF409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415"/>
    <w:rPr>
      <w:rFonts w:ascii="Arial" w:eastAsiaTheme="majorEastAsia" w:hAnsi="Arial" w:cstheme="majorBidi"/>
      <w:b/>
      <w:color w:val="2F5496" w:themeColor="accent1" w:themeShade="BF"/>
      <w:kern w:val="0"/>
      <w:sz w:val="32"/>
      <w:szCs w:val="40"/>
      <w:lang w:eastAsia="en-GB"/>
      <w14:ligatures w14:val="none"/>
    </w:rPr>
  </w:style>
  <w:style w:type="character" w:customStyle="1" w:styleId="Heading2Char">
    <w:name w:val="Heading 2 Char"/>
    <w:basedOn w:val="DefaultParagraphFont"/>
    <w:link w:val="Heading2"/>
    <w:uiPriority w:val="9"/>
    <w:rsid w:val="002C4415"/>
    <w:rPr>
      <w:rFonts w:ascii="Arial" w:eastAsiaTheme="majorEastAsia" w:hAnsi="Arial" w:cstheme="majorBidi"/>
      <w:b/>
      <w:color w:val="2F5496" w:themeColor="accent1" w:themeShade="BF"/>
      <w:kern w:val="0"/>
      <w:sz w:val="28"/>
      <w:szCs w:val="33"/>
      <w:lang w:eastAsia="en-GB"/>
      <w14:ligatures w14:val="none"/>
    </w:rPr>
  </w:style>
  <w:style w:type="character" w:customStyle="1" w:styleId="Heading3Char">
    <w:name w:val="Heading 3 Char"/>
    <w:basedOn w:val="DefaultParagraphFont"/>
    <w:link w:val="Heading3"/>
    <w:uiPriority w:val="9"/>
    <w:rsid w:val="00AF4093"/>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AF4093"/>
    <w:rPr>
      <w:b/>
      <w:bCs/>
    </w:rPr>
  </w:style>
  <w:style w:type="paragraph" w:styleId="NormalWeb">
    <w:name w:val="Normal (Web)"/>
    <w:basedOn w:val="Normal"/>
    <w:uiPriority w:val="99"/>
    <w:unhideWhenUsed/>
    <w:rsid w:val="00AF4093"/>
    <w:pPr>
      <w:spacing w:before="100" w:beforeAutospacing="1" w:after="100" w:afterAutospacing="1"/>
    </w:pPr>
  </w:style>
  <w:style w:type="paragraph" w:styleId="Caption">
    <w:name w:val="caption"/>
    <w:basedOn w:val="Normal"/>
    <w:next w:val="Normal"/>
    <w:uiPriority w:val="35"/>
    <w:unhideWhenUsed/>
    <w:qFormat/>
    <w:rsid w:val="003E3255"/>
    <w:pPr>
      <w:spacing w:after="200"/>
    </w:pPr>
    <w:rPr>
      <w:i/>
      <w:iCs/>
      <w:color w:val="44546A" w:themeColor="text2"/>
      <w:sz w:val="18"/>
      <w:szCs w:val="22"/>
    </w:rPr>
  </w:style>
  <w:style w:type="character" w:styleId="Emphasis">
    <w:name w:val="Emphasis"/>
    <w:basedOn w:val="DefaultParagraphFont"/>
    <w:uiPriority w:val="20"/>
    <w:qFormat/>
    <w:rsid w:val="00E0795F"/>
    <w:rPr>
      <w:i/>
      <w:iCs/>
    </w:rPr>
  </w:style>
  <w:style w:type="table" w:styleId="TableGrid">
    <w:name w:val="Table Grid"/>
    <w:basedOn w:val="TableNormal"/>
    <w:uiPriority w:val="39"/>
    <w:rsid w:val="00C650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C75"/>
    <w:rPr>
      <w:color w:val="0000FF"/>
      <w:u w:val="single"/>
    </w:rPr>
  </w:style>
  <w:style w:type="character" w:customStyle="1" w:styleId="mord">
    <w:name w:val="mord"/>
    <w:basedOn w:val="DefaultParagraphFont"/>
    <w:rsid w:val="007A0C75"/>
  </w:style>
  <w:style w:type="character" w:customStyle="1" w:styleId="mrel">
    <w:name w:val="mrel"/>
    <w:basedOn w:val="DefaultParagraphFont"/>
    <w:rsid w:val="007A0C75"/>
  </w:style>
  <w:style w:type="character" w:customStyle="1" w:styleId="vlist-s">
    <w:name w:val="vlist-s"/>
    <w:basedOn w:val="DefaultParagraphFont"/>
    <w:rsid w:val="007A0C75"/>
  </w:style>
  <w:style w:type="character" w:customStyle="1" w:styleId="mbin">
    <w:name w:val="mbin"/>
    <w:basedOn w:val="DefaultParagraphFont"/>
    <w:rsid w:val="007A0C75"/>
  </w:style>
  <w:style w:type="character" w:customStyle="1" w:styleId="mopen">
    <w:name w:val="mopen"/>
    <w:basedOn w:val="DefaultParagraphFont"/>
    <w:rsid w:val="007A0C75"/>
  </w:style>
  <w:style w:type="character" w:customStyle="1" w:styleId="mclose">
    <w:name w:val="mclose"/>
    <w:basedOn w:val="DefaultParagraphFont"/>
    <w:rsid w:val="007A0C75"/>
  </w:style>
  <w:style w:type="character" w:customStyle="1" w:styleId="katex-mathml">
    <w:name w:val="katex-mathml"/>
    <w:basedOn w:val="DefaultParagraphFont"/>
    <w:rsid w:val="007A0C75"/>
  </w:style>
  <w:style w:type="paragraph" w:styleId="TOCHeading">
    <w:name w:val="TOC Heading"/>
    <w:basedOn w:val="Heading1"/>
    <w:next w:val="Normal"/>
    <w:uiPriority w:val="39"/>
    <w:unhideWhenUsed/>
    <w:qFormat/>
    <w:rsid w:val="00560408"/>
    <w:pPr>
      <w:spacing w:before="480" w:line="276" w:lineRule="auto"/>
      <w:outlineLvl w:val="9"/>
    </w:pPr>
    <w:rPr>
      <w:rFonts w:asciiTheme="majorHAnsi" w:hAnsiTheme="majorHAnsi"/>
      <w:b w:val="0"/>
      <w:bCs/>
      <w:sz w:val="28"/>
      <w:szCs w:val="28"/>
      <w:lang w:val="en-US" w:eastAsia="en-US" w:bidi="ar-SA"/>
    </w:rPr>
  </w:style>
  <w:style w:type="paragraph" w:styleId="TOC1">
    <w:name w:val="toc 1"/>
    <w:basedOn w:val="Normal"/>
    <w:next w:val="Normal"/>
    <w:autoRedefine/>
    <w:uiPriority w:val="39"/>
    <w:unhideWhenUsed/>
    <w:rsid w:val="00560408"/>
    <w:pPr>
      <w:spacing w:before="120"/>
    </w:pPr>
    <w:rPr>
      <w:rFonts w:asciiTheme="minorHAnsi" w:hAnsiTheme="minorHAnsi" w:cs="Vrinda"/>
      <w:b/>
      <w:bCs/>
      <w:i/>
      <w:iCs/>
    </w:rPr>
  </w:style>
  <w:style w:type="paragraph" w:styleId="TOC2">
    <w:name w:val="toc 2"/>
    <w:basedOn w:val="Normal"/>
    <w:next w:val="Normal"/>
    <w:autoRedefine/>
    <w:uiPriority w:val="39"/>
    <w:unhideWhenUsed/>
    <w:rsid w:val="00560408"/>
    <w:pPr>
      <w:spacing w:before="120"/>
      <w:ind w:left="240"/>
    </w:pPr>
    <w:rPr>
      <w:rFonts w:asciiTheme="minorHAnsi" w:hAnsiTheme="minorHAnsi" w:cs="Vrinda"/>
      <w:b/>
      <w:bCs/>
      <w:sz w:val="22"/>
      <w:szCs w:val="22"/>
    </w:rPr>
  </w:style>
  <w:style w:type="paragraph" w:styleId="TOC3">
    <w:name w:val="toc 3"/>
    <w:basedOn w:val="Normal"/>
    <w:next w:val="Normal"/>
    <w:autoRedefine/>
    <w:uiPriority w:val="39"/>
    <w:semiHidden/>
    <w:unhideWhenUsed/>
    <w:rsid w:val="00560408"/>
    <w:pPr>
      <w:ind w:left="480"/>
    </w:pPr>
    <w:rPr>
      <w:rFonts w:asciiTheme="minorHAnsi" w:hAnsiTheme="minorHAnsi" w:cs="Vrinda"/>
      <w:sz w:val="20"/>
      <w:szCs w:val="20"/>
    </w:rPr>
  </w:style>
  <w:style w:type="paragraph" w:styleId="TOC4">
    <w:name w:val="toc 4"/>
    <w:basedOn w:val="Normal"/>
    <w:next w:val="Normal"/>
    <w:autoRedefine/>
    <w:uiPriority w:val="39"/>
    <w:semiHidden/>
    <w:unhideWhenUsed/>
    <w:rsid w:val="00560408"/>
    <w:pPr>
      <w:ind w:left="720"/>
    </w:pPr>
    <w:rPr>
      <w:rFonts w:asciiTheme="minorHAnsi" w:hAnsiTheme="minorHAnsi" w:cs="Vrinda"/>
      <w:sz w:val="20"/>
      <w:szCs w:val="20"/>
    </w:rPr>
  </w:style>
  <w:style w:type="paragraph" w:styleId="TOC5">
    <w:name w:val="toc 5"/>
    <w:basedOn w:val="Normal"/>
    <w:next w:val="Normal"/>
    <w:autoRedefine/>
    <w:uiPriority w:val="39"/>
    <w:semiHidden/>
    <w:unhideWhenUsed/>
    <w:rsid w:val="00560408"/>
    <w:pPr>
      <w:ind w:left="960"/>
    </w:pPr>
    <w:rPr>
      <w:rFonts w:asciiTheme="minorHAnsi" w:hAnsiTheme="minorHAnsi" w:cs="Vrinda"/>
      <w:sz w:val="20"/>
      <w:szCs w:val="20"/>
    </w:rPr>
  </w:style>
  <w:style w:type="paragraph" w:styleId="TOC6">
    <w:name w:val="toc 6"/>
    <w:basedOn w:val="Normal"/>
    <w:next w:val="Normal"/>
    <w:autoRedefine/>
    <w:uiPriority w:val="39"/>
    <w:semiHidden/>
    <w:unhideWhenUsed/>
    <w:rsid w:val="00560408"/>
    <w:pPr>
      <w:ind w:left="1200"/>
    </w:pPr>
    <w:rPr>
      <w:rFonts w:asciiTheme="minorHAnsi" w:hAnsiTheme="minorHAnsi" w:cs="Vrinda"/>
      <w:sz w:val="20"/>
      <w:szCs w:val="20"/>
    </w:rPr>
  </w:style>
  <w:style w:type="paragraph" w:styleId="TOC7">
    <w:name w:val="toc 7"/>
    <w:basedOn w:val="Normal"/>
    <w:next w:val="Normal"/>
    <w:autoRedefine/>
    <w:uiPriority w:val="39"/>
    <w:semiHidden/>
    <w:unhideWhenUsed/>
    <w:rsid w:val="00560408"/>
    <w:pPr>
      <w:ind w:left="1440"/>
    </w:pPr>
    <w:rPr>
      <w:rFonts w:asciiTheme="minorHAnsi" w:hAnsiTheme="minorHAnsi" w:cs="Vrinda"/>
      <w:sz w:val="20"/>
      <w:szCs w:val="20"/>
    </w:rPr>
  </w:style>
  <w:style w:type="paragraph" w:styleId="TOC8">
    <w:name w:val="toc 8"/>
    <w:basedOn w:val="Normal"/>
    <w:next w:val="Normal"/>
    <w:autoRedefine/>
    <w:uiPriority w:val="39"/>
    <w:semiHidden/>
    <w:unhideWhenUsed/>
    <w:rsid w:val="00560408"/>
    <w:pPr>
      <w:ind w:left="1680"/>
    </w:pPr>
    <w:rPr>
      <w:rFonts w:asciiTheme="minorHAnsi" w:hAnsiTheme="minorHAnsi" w:cs="Vrinda"/>
      <w:sz w:val="20"/>
      <w:szCs w:val="20"/>
    </w:rPr>
  </w:style>
  <w:style w:type="paragraph" w:styleId="TOC9">
    <w:name w:val="toc 9"/>
    <w:basedOn w:val="Normal"/>
    <w:next w:val="Normal"/>
    <w:autoRedefine/>
    <w:uiPriority w:val="39"/>
    <w:semiHidden/>
    <w:unhideWhenUsed/>
    <w:rsid w:val="00560408"/>
    <w:pPr>
      <w:ind w:left="1920"/>
    </w:pPr>
    <w:rPr>
      <w:rFonts w:asciiTheme="minorHAnsi" w:hAnsiTheme="minorHAnsi" w:cs="Vrinda"/>
      <w:sz w:val="20"/>
      <w:szCs w:val="20"/>
    </w:rPr>
  </w:style>
  <w:style w:type="paragraph" w:styleId="Footer">
    <w:name w:val="footer"/>
    <w:basedOn w:val="Normal"/>
    <w:link w:val="FooterChar"/>
    <w:uiPriority w:val="99"/>
    <w:unhideWhenUsed/>
    <w:rsid w:val="00805DF9"/>
    <w:pPr>
      <w:tabs>
        <w:tab w:val="center" w:pos="4513"/>
        <w:tab w:val="right" w:pos="9026"/>
      </w:tabs>
    </w:pPr>
    <w:rPr>
      <w:szCs w:val="30"/>
    </w:rPr>
  </w:style>
  <w:style w:type="character" w:customStyle="1" w:styleId="FooterChar">
    <w:name w:val="Footer Char"/>
    <w:basedOn w:val="DefaultParagraphFont"/>
    <w:link w:val="Footer"/>
    <w:uiPriority w:val="99"/>
    <w:rsid w:val="00805DF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805D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29364">
      <w:bodyDiv w:val="1"/>
      <w:marLeft w:val="0"/>
      <w:marRight w:val="0"/>
      <w:marTop w:val="0"/>
      <w:marBottom w:val="0"/>
      <w:divBdr>
        <w:top w:val="none" w:sz="0" w:space="0" w:color="auto"/>
        <w:left w:val="none" w:sz="0" w:space="0" w:color="auto"/>
        <w:bottom w:val="none" w:sz="0" w:space="0" w:color="auto"/>
        <w:right w:val="none" w:sz="0" w:space="0" w:color="auto"/>
      </w:divBdr>
    </w:div>
    <w:div w:id="125974880">
      <w:bodyDiv w:val="1"/>
      <w:marLeft w:val="0"/>
      <w:marRight w:val="0"/>
      <w:marTop w:val="0"/>
      <w:marBottom w:val="0"/>
      <w:divBdr>
        <w:top w:val="none" w:sz="0" w:space="0" w:color="auto"/>
        <w:left w:val="none" w:sz="0" w:space="0" w:color="auto"/>
        <w:bottom w:val="none" w:sz="0" w:space="0" w:color="auto"/>
        <w:right w:val="none" w:sz="0" w:space="0" w:color="auto"/>
      </w:divBdr>
    </w:div>
    <w:div w:id="238831470">
      <w:bodyDiv w:val="1"/>
      <w:marLeft w:val="0"/>
      <w:marRight w:val="0"/>
      <w:marTop w:val="0"/>
      <w:marBottom w:val="0"/>
      <w:divBdr>
        <w:top w:val="none" w:sz="0" w:space="0" w:color="auto"/>
        <w:left w:val="none" w:sz="0" w:space="0" w:color="auto"/>
        <w:bottom w:val="none" w:sz="0" w:space="0" w:color="auto"/>
        <w:right w:val="none" w:sz="0" w:space="0" w:color="auto"/>
      </w:divBdr>
    </w:div>
    <w:div w:id="312560621">
      <w:bodyDiv w:val="1"/>
      <w:marLeft w:val="0"/>
      <w:marRight w:val="0"/>
      <w:marTop w:val="0"/>
      <w:marBottom w:val="0"/>
      <w:divBdr>
        <w:top w:val="none" w:sz="0" w:space="0" w:color="auto"/>
        <w:left w:val="none" w:sz="0" w:space="0" w:color="auto"/>
        <w:bottom w:val="none" w:sz="0" w:space="0" w:color="auto"/>
        <w:right w:val="none" w:sz="0" w:space="0" w:color="auto"/>
      </w:divBdr>
    </w:div>
    <w:div w:id="632447718">
      <w:bodyDiv w:val="1"/>
      <w:marLeft w:val="0"/>
      <w:marRight w:val="0"/>
      <w:marTop w:val="0"/>
      <w:marBottom w:val="0"/>
      <w:divBdr>
        <w:top w:val="none" w:sz="0" w:space="0" w:color="auto"/>
        <w:left w:val="none" w:sz="0" w:space="0" w:color="auto"/>
        <w:bottom w:val="none" w:sz="0" w:space="0" w:color="auto"/>
        <w:right w:val="none" w:sz="0" w:space="0" w:color="auto"/>
      </w:divBdr>
    </w:div>
    <w:div w:id="709381317">
      <w:bodyDiv w:val="1"/>
      <w:marLeft w:val="0"/>
      <w:marRight w:val="0"/>
      <w:marTop w:val="0"/>
      <w:marBottom w:val="0"/>
      <w:divBdr>
        <w:top w:val="none" w:sz="0" w:space="0" w:color="auto"/>
        <w:left w:val="none" w:sz="0" w:space="0" w:color="auto"/>
        <w:bottom w:val="none" w:sz="0" w:space="0" w:color="auto"/>
        <w:right w:val="none" w:sz="0" w:space="0" w:color="auto"/>
      </w:divBdr>
    </w:div>
    <w:div w:id="748038944">
      <w:bodyDiv w:val="1"/>
      <w:marLeft w:val="0"/>
      <w:marRight w:val="0"/>
      <w:marTop w:val="0"/>
      <w:marBottom w:val="0"/>
      <w:divBdr>
        <w:top w:val="none" w:sz="0" w:space="0" w:color="auto"/>
        <w:left w:val="none" w:sz="0" w:space="0" w:color="auto"/>
        <w:bottom w:val="none" w:sz="0" w:space="0" w:color="auto"/>
        <w:right w:val="none" w:sz="0" w:space="0" w:color="auto"/>
      </w:divBdr>
    </w:div>
    <w:div w:id="770466318">
      <w:bodyDiv w:val="1"/>
      <w:marLeft w:val="0"/>
      <w:marRight w:val="0"/>
      <w:marTop w:val="0"/>
      <w:marBottom w:val="0"/>
      <w:divBdr>
        <w:top w:val="none" w:sz="0" w:space="0" w:color="auto"/>
        <w:left w:val="none" w:sz="0" w:space="0" w:color="auto"/>
        <w:bottom w:val="none" w:sz="0" w:space="0" w:color="auto"/>
        <w:right w:val="none" w:sz="0" w:space="0" w:color="auto"/>
      </w:divBdr>
    </w:div>
    <w:div w:id="815610438">
      <w:bodyDiv w:val="1"/>
      <w:marLeft w:val="0"/>
      <w:marRight w:val="0"/>
      <w:marTop w:val="0"/>
      <w:marBottom w:val="0"/>
      <w:divBdr>
        <w:top w:val="none" w:sz="0" w:space="0" w:color="auto"/>
        <w:left w:val="none" w:sz="0" w:space="0" w:color="auto"/>
        <w:bottom w:val="none" w:sz="0" w:space="0" w:color="auto"/>
        <w:right w:val="none" w:sz="0" w:space="0" w:color="auto"/>
      </w:divBdr>
    </w:div>
    <w:div w:id="937251079">
      <w:bodyDiv w:val="1"/>
      <w:marLeft w:val="0"/>
      <w:marRight w:val="0"/>
      <w:marTop w:val="0"/>
      <w:marBottom w:val="0"/>
      <w:divBdr>
        <w:top w:val="none" w:sz="0" w:space="0" w:color="auto"/>
        <w:left w:val="none" w:sz="0" w:space="0" w:color="auto"/>
        <w:bottom w:val="none" w:sz="0" w:space="0" w:color="auto"/>
        <w:right w:val="none" w:sz="0" w:space="0" w:color="auto"/>
      </w:divBdr>
    </w:div>
    <w:div w:id="945504493">
      <w:bodyDiv w:val="1"/>
      <w:marLeft w:val="0"/>
      <w:marRight w:val="0"/>
      <w:marTop w:val="0"/>
      <w:marBottom w:val="0"/>
      <w:divBdr>
        <w:top w:val="none" w:sz="0" w:space="0" w:color="auto"/>
        <w:left w:val="none" w:sz="0" w:space="0" w:color="auto"/>
        <w:bottom w:val="none" w:sz="0" w:space="0" w:color="auto"/>
        <w:right w:val="none" w:sz="0" w:space="0" w:color="auto"/>
      </w:divBdr>
    </w:div>
    <w:div w:id="1016496021">
      <w:bodyDiv w:val="1"/>
      <w:marLeft w:val="0"/>
      <w:marRight w:val="0"/>
      <w:marTop w:val="0"/>
      <w:marBottom w:val="0"/>
      <w:divBdr>
        <w:top w:val="none" w:sz="0" w:space="0" w:color="auto"/>
        <w:left w:val="none" w:sz="0" w:space="0" w:color="auto"/>
        <w:bottom w:val="none" w:sz="0" w:space="0" w:color="auto"/>
        <w:right w:val="none" w:sz="0" w:space="0" w:color="auto"/>
      </w:divBdr>
    </w:div>
    <w:div w:id="1017728502">
      <w:bodyDiv w:val="1"/>
      <w:marLeft w:val="0"/>
      <w:marRight w:val="0"/>
      <w:marTop w:val="0"/>
      <w:marBottom w:val="0"/>
      <w:divBdr>
        <w:top w:val="none" w:sz="0" w:space="0" w:color="auto"/>
        <w:left w:val="none" w:sz="0" w:space="0" w:color="auto"/>
        <w:bottom w:val="none" w:sz="0" w:space="0" w:color="auto"/>
        <w:right w:val="none" w:sz="0" w:space="0" w:color="auto"/>
      </w:divBdr>
    </w:div>
    <w:div w:id="1126853170">
      <w:bodyDiv w:val="1"/>
      <w:marLeft w:val="0"/>
      <w:marRight w:val="0"/>
      <w:marTop w:val="0"/>
      <w:marBottom w:val="0"/>
      <w:divBdr>
        <w:top w:val="none" w:sz="0" w:space="0" w:color="auto"/>
        <w:left w:val="none" w:sz="0" w:space="0" w:color="auto"/>
        <w:bottom w:val="none" w:sz="0" w:space="0" w:color="auto"/>
        <w:right w:val="none" w:sz="0" w:space="0" w:color="auto"/>
      </w:divBdr>
    </w:div>
    <w:div w:id="1233078387">
      <w:bodyDiv w:val="1"/>
      <w:marLeft w:val="0"/>
      <w:marRight w:val="0"/>
      <w:marTop w:val="0"/>
      <w:marBottom w:val="0"/>
      <w:divBdr>
        <w:top w:val="none" w:sz="0" w:space="0" w:color="auto"/>
        <w:left w:val="none" w:sz="0" w:space="0" w:color="auto"/>
        <w:bottom w:val="none" w:sz="0" w:space="0" w:color="auto"/>
        <w:right w:val="none" w:sz="0" w:space="0" w:color="auto"/>
      </w:divBdr>
    </w:div>
    <w:div w:id="1313676754">
      <w:bodyDiv w:val="1"/>
      <w:marLeft w:val="0"/>
      <w:marRight w:val="0"/>
      <w:marTop w:val="0"/>
      <w:marBottom w:val="0"/>
      <w:divBdr>
        <w:top w:val="none" w:sz="0" w:space="0" w:color="auto"/>
        <w:left w:val="none" w:sz="0" w:space="0" w:color="auto"/>
        <w:bottom w:val="none" w:sz="0" w:space="0" w:color="auto"/>
        <w:right w:val="none" w:sz="0" w:space="0" w:color="auto"/>
      </w:divBdr>
    </w:div>
    <w:div w:id="1402631031">
      <w:bodyDiv w:val="1"/>
      <w:marLeft w:val="0"/>
      <w:marRight w:val="0"/>
      <w:marTop w:val="0"/>
      <w:marBottom w:val="0"/>
      <w:divBdr>
        <w:top w:val="none" w:sz="0" w:space="0" w:color="auto"/>
        <w:left w:val="none" w:sz="0" w:space="0" w:color="auto"/>
        <w:bottom w:val="none" w:sz="0" w:space="0" w:color="auto"/>
        <w:right w:val="none" w:sz="0" w:space="0" w:color="auto"/>
      </w:divBdr>
    </w:div>
    <w:div w:id="1412391320">
      <w:bodyDiv w:val="1"/>
      <w:marLeft w:val="0"/>
      <w:marRight w:val="0"/>
      <w:marTop w:val="0"/>
      <w:marBottom w:val="0"/>
      <w:divBdr>
        <w:top w:val="none" w:sz="0" w:space="0" w:color="auto"/>
        <w:left w:val="none" w:sz="0" w:space="0" w:color="auto"/>
        <w:bottom w:val="none" w:sz="0" w:space="0" w:color="auto"/>
        <w:right w:val="none" w:sz="0" w:space="0" w:color="auto"/>
      </w:divBdr>
    </w:div>
    <w:div w:id="1461413014">
      <w:bodyDiv w:val="1"/>
      <w:marLeft w:val="0"/>
      <w:marRight w:val="0"/>
      <w:marTop w:val="0"/>
      <w:marBottom w:val="0"/>
      <w:divBdr>
        <w:top w:val="none" w:sz="0" w:space="0" w:color="auto"/>
        <w:left w:val="none" w:sz="0" w:space="0" w:color="auto"/>
        <w:bottom w:val="none" w:sz="0" w:space="0" w:color="auto"/>
        <w:right w:val="none" w:sz="0" w:space="0" w:color="auto"/>
      </w:divBdr>
    </w:div>
    <w:div w:id="1476678194">
      <w:bodyDiv w:val="1"/>
      <w:marLeft w:val="0"/>
      <w:marRight w:val="0"/>
      <w:marTop w:val="0"/>
      <w:marBottom w:val="0"/>
      <w:divBdr>
        <w:top w:val="none" w:sz="0" w:space="0" w:color="auto"/>
        <w:left w:val="none" w:sz="0" w:space="0" w:color="auto"/>
        <w:bottom w:val="none" w:sz="0" w:space="0" w:color="auto"/>
        <w:right w:val="none" w:sz="0" w:space="0" w:color="auto"/>
      </w:divBdr>
    </w:div>
    <w:div w:id="1524172068">
      <w:bodyDiv w:val="1"/>
      <w:marLeft w:val="0"/>
      <w:marRight w:val="0"/>
      <w:marTop w:val="0"/>
      <w:marBottom w:val="0"/>
      <w:divBdr>
        <w:top w:val="none" w:sz="0" w:space="0" w:color="auto"/>
        <w:left w:val="none" w:sz="0" w:space="0" w:color="auto"/>
        <w:bottom w:val="none" w:sz="0" w:space="0" w:color="auto"/>
        <w:right w:val="none" w:sz="0" w:space="0" w:color="auto"/>
      </w:divBdr>
    </w:div>
    <w:div w:id="1563440908">
      <w:bodyDiv w:val="1"/>
      <w:marLeft w:val="0"/>
      <w:marRight w:val="0"/>
      <w:marTop w:val="0"/>
      <w:marBottom w:val="0"/>
      <w:divBdr>
        <w:top w:val="none" w:sz="0" w:space="0" w:color="auto"/>
        <w:left w:val="none" w:sz="0" w:space="0" w:color="auto"/>
        <w:bottom w:val="none" w:sz="0" w:space="0" w:color="auto"/>
        <w:right w:val="none" w:sz="0" w:space="0" w:color="auto"/>
      </w:divBdr>
    </w:div>
    <w:div w:id="1710913111">
      <w:bodyDiv w:val="1"/>
      <w:marLeft w:val="0"/>
      <w:marRight w:val="0"/>
      <w:marTop w:val="0"/>
      <w:marBottom w:val="0"/>
      <w:divBdr>
        <w:top w:val="none" w:sz="0" w:space="0" w:color="auto"/>
        <w:left w:val="none" w:sz="0" w:space="0" w:color="auto"/>
        <w:bottom w:val="none" w:sz="0" w:space="0" w:color="auto"/>
        <w:right w:val="none" w:sz="0" w:space="0" w:color="auto"/>
      </w:divBdr>
    </w:div>
    <w:div w:id="1737052605">
      <w:bodyDiv w:val="1"/>
      <w:marLeft w:val="0"/>
      <w:marRight w:val="0"/>
      <w:marTop w:val="0"/>
      <w:marBottom w:val="0"/>
      <w:divBdr>
        <w:top w:val="none" w:sz="0" w:space="0" w:color="auto"/>
        <w:left w:val="none" w:sz="0" w:space="0" w:color="auto"/>
        <w:bottom w:val="none" w:sz="0" w:space="0" w:color="auto"/>
        <w:right w:val="none" w:sz="0" w:space="0" w:color="auto"/>
      </w:divBdr>
    </w:div>
    <w:div w:id="1836914425">
      <w:bodyDiv w:val="1"/>
      <w:marLeft w:val="0"/>
      <w:marRight w:val="0"/>
      <w:marTop w:val="0"/>
      <w:marBottom w:val="0"/>
      <w:divBdr>
        <w:top w:val="none" w:sz="0" w:space="0" w:color="auto"/>
        <w:left w:val="none" w:sz="0" w:space="0" w:color="auto"/>
        <w:bottom w:val="none" w:sz="0" w:space="0" w:color="auto"/>
        <w:right w:val="none" w:sz="0" w:space="0" w:color="auto"/>
      </w:divBdr>
    </w:div>
    <w:div w:id="1843230550">
      <w:bodyDiv w:val="1"/>
      <w:marLeft w:val="0"/>
      <w:marRight w:val="0"/>
      <w:marTop w:val="0"/>
      <w:marBottom w:val="0"/>
      <w:divBdr>
        <w:top w:val="none" w:sz="0" w:space="0" w:color="auto"/>
        <w:left w:val="none" w:sz="0" w:space="0" w:color="auto"/>
        <w:bottom w:val="none" w:sz="0" w:space="0" w:color="auto"/>
        <w:right w:val="none" w:sz="0" w:space="0" w:color="auto"/>
      </w:divBdr>
    </w:div>
    <w:div w:id="1847132703">
      <w:bodyDiv w:val="1"/>
      <w:marLeft w:val="0"/>
      <w:marRight w:val="0"/>
      <w:marTop w:val="0"/>
      <w:marBottom w:val="0"/>
      <w:divBdr>
        <w:top w:val="none" w:sz="0" w:space="0" w:color="auto"/>
        <w:left w:val="none" w:sz="0" w:space="0" w:color="auto"/>
        <w:bottom w:val="none" w:sz="0" w:space="0" w:color="auto"/>
        <w:right w:val="none" w:sz="0" w:space="0" w:color="auto"/>
      </w:divBdr>
    </w:div>
    <w:div w:id="1876699695">
      <w:bodyDiv w:val="1"/>
      <w:marLeft w:val="0"/>
      <w:marRight w:val="0"/>
      <w:marTop w:val="0"/>
      <w:marBottom w:val="0"/>
      <w:divBdr>
        <w:top w:val="none" w:sz="0" w:space="0" w:color="auto"/>
        <w:left w:val="none" w:sz="0" w:space="0" w:color="auto"/>
        <w:bottom w:val="none" w:sz="0" w:space="0" w:color="auto"/>
        <w:right w:val="none" w:sz="0" w:space="0" w:color="auto"/>
      </w:divBdr>
    </w:div>
    <w:div w:id="1945916349">
      <w:bodyDiv w:val="1"/>
      <w:marLeft w:val="0"/>
      <w:marRight w:val="0"/>
      <w:marTop w:val="0"/>
      <w:marBottom w:val="0"/>
      <w:divBdr>
        <w:top w:val="none" w:sz="0" w:space="0" w:color="auto"/>
        <w:left w:val="none" w:sz="0" w:space="0" w:color="auto"/>
        <w:bottom w:val="none" w:sz="0" w:space="0" w:color="auto"/>
        <w:right w:val="none" w:sz="0" w:space="0" w:color="auto"/>
      </w:divBdr>
    </w:div>
    <w:div w:id="2009671445">
      <w:bodyDiv w:val="1"/>
      <w:marLeft w:val="0"/>
      <w:marRight w:val="0"/>
      <w:marTop w:val="0"/>
      <w:marBottom w:val="0"/>
      <w:divBdr>
        <w:top w:val="none" w:sz="0" w:space="0" w:color="auto"/>
        <w:left w:val="none" w:sz="0" w:space="0" w:color="auto"/>
        <w:bottom w:val="none" w:sz="0" w:space="0" w:color="auto"/>
        <w:right w:val="none" w:sz="0" w:space="0" w:color="auto"/>
      </w:divBdr>
    </w:div>
    <w:div w:id="2128966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footer" Target="footer2.xm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ge.com/sites/default/files/ge_ar2023_annualreport.pdf?utm_source=chatgpt.com"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DAD58-1FB6-5C43-AC0C-243198F6D7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7697</Words>
  <Characters>43873</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dc:creator>
  <cp:keywords/>
  <dc:description/>
  <cp:lastModifiedBy>Md Habibur Rahman</cp:lastModifiedBy>
  <cp:revision>2</cp:revision>
  <dcterms:created xsi:type="dcterms:W3CDTF">2025-12-17T11:43:00Z</dcterms:created>
  <dcterms:modified xsi:type="dcterms:W3CDTF">2025-12-17T11:43:00Z</dcterms:modified>
</cp:coreProperties>
</file>