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spacing w:lineRule="auto" w:line="720"/>
        <w:rPr>
          <w:rFonts w:cs="Times New Roman"/>
          <w:b/>
          <w:sz w:val="36"/>
          <w:szCs w:val="36"/>
        </w:rPr>
      </w:pPr>
      <w:r>
        <w:rPr>
          <w:rFonts w:cs="Times New Roman"/>
          <w:b/>
          <w:sz w:val="36"/>
          <w:szCs w:val="36"/>
        </w:rPr>
        <w:drawing>
          <wp:inline distL="0" distT="0" distB="0" distR="0">
            <wp:extent cx="1981200" cy="1010023"/>
            <wp:effectExtent l="0" t="0" r="0" b="0"/>
            <wp:docPr id="1026" name="Picture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 cstate="print"/>
                    <a:srcRect l="0" t="0" r="0" b="0"/>
                    <a:stretch/>
                  </pic:blipFill>
                  <pic:spPr>
                    <a:xfrm rot="0">
                      <a:off x="0" y="0"/>
                      <a:ext cx="1981200" cy="1010023"/>
                    </a:xfrm>
                    <a:prstGeom prst="rect"/>
                  </pic:spPr>
                </pic:pic>
              </a:graphicData>
            </a:graphic>
          </wp:inline>
        </w:drawing>
      </w:r>
      <w:bookmarkStart w:id="0" w:name="_GoBack"/>
      <w:bookmarkEnd w:id="0"/>
    </w:p>
    <w:p>
      <w:pPr>
        <w:pStyle w:val="style0"/>
        <w:spacing w:lineRule="auto" w:line="720"/>
        <w:jc w:val="center"/>
        <w:rPr>
          <w:rFonts w:cs="Times New Roman"/>
          <w:b/>
          <w:sz w:val="36"/>
          <w:szCs w:val="36"/>
        </w:rPr>
      </w:pPr>
      <w:r>
        <w:rPr>
          <w:rFonts w:cs="Times New Roman"/>
          <w:b/>
          <w:sz w:val="36"/>
          <w:szCs w:val="36"/>
          <w:lang w:val="en-US"/>
        </w:rPr>
        <w:t xml:space="preserve">Program : Msc public health and social care in practice </w:t>
      </w:r>
    </w:p>
    <w:p>
      <w:pPr>
        <w:pStyle w:val="style0"/>
        <w:spacing w:lineRule="auto" w:line="720"/>
        <w:jc w:val="center"/>
        <w:rPr>
          <w:rFonts w:cs="Times New Roman"/>
          <w:b/>
          <w:sz w:val="36"/>
          <w:szCs w:val="36"/>
        </w:rPr>
      </w:pPr>
      <w:r>
        <w:rPr>
          <w:rFonts w:cs="Times New Roman"/>
          <w:b/>
          <w:sz w:val="36"/>
          <w:szCs w:val="36"/>
          <w:lang w:val="en-US"/>
        </w:rPr>
        <w:t xml:space="preserve">Module: population health and digital health promotion </w:t>
      </w:r>
    </w:p>
    <w:p>
      <w:pPr>
        <w:pStyle w:val="style0"/>
        <w:spacing w:lineRule="auto" w:line="720"/>
        <w:jc w:val="center"/>
        <w:rPr>
          <w:rFonts w:cs="Times New Roman"/>
          <w:b/>
          <w:sz w:val="36"/>
          <w:szCs w:val="36"/>
        </w:rPr>
      </w:pPr>
      <w:r>
        <w:rPr>
          <w:rFonts w:cs="Times New Roman"/>
          <w:b/>
          <w:sz w:val="36"/>
          <w:szCs w:val="36"/>
        </w:rPr>
        <w:t xml:space="preserve">Name: </w:t>
      </w:r>
      <w:r>
        <w:rPr>
          <w:rFonts w:cs="Times New Roman"/>
          <w:b/>
          <w:sz w:val="36"/>
          <w:szCs w:val="36"/>
          <w:lang w:val="en-US"/>
        </w:rPr>
        <w:t xml:space="preserve">vinal Suresh Bhai Miyani </w:t>
      </w:r>
    </w:p>
    <w:p>
      <w:pPr>
        <w:pStyle w:val="style0"/>
        <w:spacing w:lineRule="auto" w:line="720"/>
        <w:jc w:val="center"/>
        <w:rPr>
          <w:rFonts w:cs="Times New Roman"/>
          <w:b/>
          <w:sz w:val="36"/>
          <w:szCs w:val="36"/>
        </w:rPr>
      </w:pPr>
      <w:r>
        <w:rPr>
          <w:rFonts w:cs="Times New Roman"/>
          <w:b/>
          <w:sz w:val="36"/>
          <w:szCs w:val="36"/>
        </w:rPr>
        <w:t>Student ID:</w:t>
      </w:r>
      <w:r>
        <w:rPr>
          <w:rFonts w:cs="Times New Roman"/>
          <w:b/>
          <w:sz w:val="36"/>
          <w:szCs w:val="36"/>
        </w:rPr>
        <w:t xml:space="preserve"> </w:t>
      </w:r>
      <w:r>
        <w:rPr>
          <w:rFonts w:cs="Times New Roman"/>
          <w:b/>
          <w:sz w:val="36"/>
          <w:szCs w:val="36"/>
          <w:lang w:val="en-US"/>
        </w:rPr>
        <w:t>2332436</w:t>
      </w:r>
    </w:p>
    <w:p>
      <w:pPr>
        <w:pStyle w:val="style0"/>
        <w:spacing w:lineRule="auto" w:line="720"/>
        <w:jc w:val="center"/>
        <w:rPr>
          <w:rFonts w:cs="Times New Roman"/>
          <w:b/>
          <w:sz w:val="36"/>
          <w:szCs w:val="36"/>
        </w:rPr>
      </w:pPr>
      <w:r>
        <w:rPr>
          <w:rFonts w:cs="Times New Roman"/>
          <w:b/>
          <w:sz w:val="36"/>
          <w:szCs w:val="36"/>
        </w:rPr>
        <w:t>Module code: LCHS7007</w:t>
      </w:r>
    </w:p>
    <w:p>
      <w:pPr>
        <w:pStyle w:val="style0"/>
        <w:spacing w:lineRule="auto" w:line="720"/>
        <w:jc w:val="center"/>
        <w:rPr>
          <w:rFonts w:cs="Times New Roman"/>
          <w:b/>
          <w:sz w:val="36"/>
          <w:szCs w:val="36"/>
        </w:rPr>
      </w:pPr>
      <w:r>
        <w:rPr>
          <w:rFonts w:cs="Times New Roman"/>
          <w:b/>
          <w:sz w:val="36"/>
          <w:szCs w:val="36"/>
        </w:rPr>
        <w:t>Lecturer:</w:t>
      </w:r>
      <w:r>
        <w:rPr>
          <w:rFonts w:cs="Times New Roman"/>
          <w:b/>
          <w:sz w:val="36"/>
          <w:szCs w:val="36"/>
        </w:rPr>
        <w:t xml:space="preserve"> Dr</w:t>
      </w:r>
      <w:r>
        <w:rPr>
          <w:rFonts w:cs="Times New Roman"/>
          <w:b/>
          <w:sz w:val="36"/>
          <w:szCs w:val="36"/>
          <w:lang w:val="en-US"/>
        </w:rPr>
        <w:t xml:space="preserve"> ping wu</w:t>
      </w:r>
    </w:p>
    <w:p>
      <w:pPr>
        <w:pStyle w:val="style0"/>
        <w:spacing w:lineRule="auto" w:line="720"/>
        <w:jc w:val="center"/>
        <w:rPr>
          <w:rFonts w:cs="Times New Roman"/>
          <w:b/>
        </w:rPr>
      </w:pPr>
      <w:r>
        <w:rPr>
          <w:rFonts w:cs="Times New Roman"/>
          <w:b/>
        </w:rPr>
        <w:br w:type="page"/>
      </w:r>
    </w:p>
    <w:p>
      <w:pPr>
        <w:pStyle w:val="style0"/>
        <w:rPr>
          <w:rFonts w:cs="Times New Roman" w:eastAsia="宋体"/>
          <w:szCs w:val="32"/>
        </w:rPr>
      </w:pPr>
    </w:p>
    <w:p>
      <w:pPr>
        <w:pStyle w:val="style266"/>
        <w:rPr>
          <w:color w:val="auto"/>
        </w:rPr>
      </w:pPr>
      <w:r>
        <w:rPr>
          <w:color w:val="auto"/>
        </w:rPr>
        <w:t>Contents</w:t>
      </w:r>
    </w:p>
    <w:p>
      <w:pPr>
        <w:pStyle w:val="style19"/>
        <w:tabs>
          <w:tab w:val="right" w:leader="dot" w:pos="9350"/>
        </w:tabs>
        <w:rPr>
          <w:rFonts w:ascii="Calibri" w:eastAsia="宋体" w:hAnsi="Calibri"/>
          <w:noProof/>
          <w:sz w:val="22"/>
        </w:rPr>
      </w:pPr>
      <w:r>
        <w:rPr/>
        <w:fldChar w:fldCharType="begin"/>
      </w:r>
      <w:r>
        <w:instrText xml:space="preserve"> TOC \o "1-3" \h \z \u </w:instrText>
      </w:r>
      <w:r>
        <w:rPr/>
        <w:fldChar w:fldCharType="separate"/>
      </w:r>
      <w:r>
        <w:rPr/>
        <w:fldChar w:fldCharType="begin"/>
      </w:r>
      <w:r>
        <w:instrText xml:space="preserve"> HYPERLINK \l "_Toc183397581" </w:instrText>
      </w:r>
      <w:r>
        <w:rPr/>
        <w:fldChar w:fldCharType="separate"/>
      </w:r>
      <w:r>
        <w:rPr>
          <w:rStyle w:val="style85"/>
          <w:rFonts w:cs="Times New Roman"/>
          <w:noProof/>
        </w:rPr>
        <w:t>Task 1</w:t>
      </w:r>
      <w:r>
        <w:rPr>
          <w:noProof/>
          <w:webHidden/>
        </w:rPr>
        <w:tab/>
      </w:r>
      <w:r>
        <w:rPr>
          <w:noProof/>
          <w:webHidden/>
        </w:rPr>
        <w:fldChar w:fldCharType="begin"/>
      </w:r>
      <w:r>
        <w:rPr>
          <w:noProof/>
          <w:webHidden/>
        </w:rPr>
        <w:instrText xml:space="preserve"> PAGEREF _Toc183397581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"_Toc183397582" </w:instrText>
      </w:r>
      <w:r>
        <w:rPr/>
        <w:fldChar w:fldCharType="separate"/>
      </w:r>
      <w:r>
        <w:rPr>
          <w:rStyle w:val="style85"/>
          <w:rFonts w:cs="Times New Roman"/>
          <w:noProof/>
        </w:rPr>
        <w:t>Blog 1</w:t>
      </w:r>
      <w:r>
        <w:rPr>
          <w:noProof/>
          <w:webHidden/>
        </w:rPr>
        <w:tab/>
      </w:r>
      <w:r>
        <w:rPr>
          <w:noProof/>
          <w:webHidden/>
        </w:rPr>
        <w:fldChar w:fldCharType="begin"/>
      </w:r>
      <w:r>
        <w:rPr>
          <w:noProof/>
          <w:webHidden/>
        </w:rPr>
        <w:instrText xml:space="preserve"> PAGEREF _Toc183397582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"_Toc183397583" </w:instrText>
      </w:r>
      <w:r>
        <w:rPr/>
        <w:fldChar w:fldCharType="separate"/>
      </w:r>
      <w:r>
        <w:rPr>
          <w:rStyle w:val="style85"/>
          <w:rFonts w:cs="Times New Roman"/>
          <w:noProof/>
        </w:rPr>
        <w:t>The Impact of Mobile Health Applications on Managing Chronic Diseases</w:t>
      </w:r>
      <w:r>
        <w:rPr>
          <w:noProof/>
          <w:webHidden/>
        </w:rPr>
        <w:tab/>
      </w:r>
      <w:r>
        <w:rPr>
          <w:noProof/>
          <w:webHidden/>
        </w:rPr>
        <w:fldChar w:fldCharType="begin"/>
      </w:r>
      <w:r>
        <w:rPr>
          <w:noProof/>
          <w:webHidden/>
        </w:rPr>
        <w:instrText xml:space="preserve"> PAGEREF _Toc183397583 \h </w:instrText>
      </w:r>
      <w:r>
        <w:rPr>
          <w:noProof/>
          <w:webHidden/>
        </w:rPr>
        <w:fldChar w:fldCharType="separate"/>
      </w:r>
      <w:r>
        <w:rPr>
          <w:noProof/>
          <w:webHidden/>
        </w:rPr>
        <w:t>3</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"_Toc183397584" </w:instrText>
      </w:r>
      <w:r>
        <w:rPr/>
        <w:fldChar w:fldCharType="separate"/>
      </w:r>
      <w:r>
        <w:rPr>
          <w:rStyle w:val="style85"/>
          <w:rFonts w:cs="Times New Roman"/>
          <w:noProof/>
        </w:rPr>
        <w:t>Mobile Health Applications as a Solution</w:t>
      </w:r>
      <w:r>
        <w:rPr>
          <w:noProof/>
          <w:webHidden/>
        </w:rPr>
        <w:tab/>
      </w:r>
      <w:r>
        <w:rPr>
          <w:noProof/>
          <w:webHidden/>
        </w:rPr>
        <w:fldChar w:fldCharType="begin"/>
      </w:r>
      <w:r>
        <w:rPr>
          <w:noProof/>
          <w:webHidden/>
        </w:rPr>
        <w:instrText xml:space="preserve"> PAGEREF _Toc183397584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"_Toc183397585" </w:instrText>
      </w:r>
      <w:r>
        <w:rPr/>
        <w:fldChar w:fldCharType="separate"/>
      </w:r>
      <w:r>
        <w:rPr>
          <w:rStyle w:val="style85"/>
          <w:rFonts w:cs="Times New Roman"/>
          <w:noProof/>
        </w:rPr>
        <w:t>Evidence of Effectiveness</w:t>
      </w:r>
      <w:r>
        <w:rPr>
          <w:noProof/>
          <w:webHidden/>
        </w:rPr>
        <w:tab/>
      </w:r>
      <w:r>
        <w:rPr>
          <w:noProof/>
          <w:webHidden/>
        </w:rPr>
        <w:fldChar w:fldCharType="begin"/>
      </w:r>
      <w:r>
        <w:rPr>
          <w:noProof/>
          <w:webHidden/>
        </w:rPr>
        <w:instrText xml:space="preserve"> PAGEREF _Toc183397585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"_Toc183397586" </w:instrText>
      </w:r>
      <w:r>
        <w:rPr/>
        <w:fldChar w:fldCharType="separate"/>
      </w:r>
      <w:r>
        <w:rPr>
          <w:rStyle w:val="style85"/>
          <w:rFonts w:cs="Times New Roman"/>
          <w:noProof/>
        </w:rPr>
        <w:t>Critical Analysis of Impact</w:t>
      </w:r>
      <w:r>
        <w:rPr>
          <w:noProof/>
          <w:webHidden/>
        </w:rPr>
        <w:tab/>
      </w:r>
      <w:r>
        <w:rPr>
          <w:noProof/>
          <w:webHidden/>
        </w:rPr>
        <w:fldChar w:fldCharType="begin"/>
      </w:r>
      <w:r>
        <w:rPr>
          <w:noProof/>
          <w:webHidden/>
        </w:rPr>
        <w:instrText xml:space="preserve"> PAGEREF _Toc183397586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"_Toc183397587" </w:instrText>
      </w:r>
      <w:r>
        <w:rPr/>
        <w:fldChar w:fldCharType="separate"/>
      </w:r>
      <w:r>
        <w:rPr>
          <w:rStyle w:val="style85"/>
          <w:rFonts w:cs="Times New Roman"/>
          <w:noProof/>
        </w:rPr>
        <w:t>Advantages</w:t>
      </w:r>
      <w:r>
        <w:rPr>
          <w:noProof/>
          <w:webHidden/>
        </w:rPr>
        <w:tab/>
      </w:r>
      <w:r>
        <w:rPr>
          <w:noProof/>
          <w:webHidden/>
        </w:rPr>
        <w:fldChar w:fldCharType="begin"/>
      </w:r>
      <w:r>
        <w:rPr>
          <w:noProof/>
          <w:webHidden/>
        </w:rPr>
        <w:instrText xml:space="preserve"> PAGEREF _Toc183397587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"_Toc183397588" </w:instrText>
      </w:r>
      <w:r>
        <w:rPr/>
        <w:fldChar w:fldCharType="separate"/>
      </w:r>
      <w:r>
        <w:rPr>
          <w:rStyle w:val="style85"/>
          <w:rFonts w:cs="Times New Roman"/>
          <w:noProof/>
        </w:rPr>
        <w:t>Disadvantages</w:t>
      </w:r>
      <w:r>
        <w:rPr>
          <w:noProof/>
          <w:webHidden/>
        </w:rPr>
        <w:tab/>
      </w:r>
      <w:r>
        <w:rPr>
          <w:noProof/>
          <w:webHidden/>
        </w:rPr>
        <w:fldChar w:fldCharType="begin"/>
      </w:r>
      <w:r>
        <w:rPr>
          <w:noProof/>
          <w:webHidden/>
        </w:rPr>
        <w:instrText xml:space="preserve"> PAGEREF _Toc183397588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"_Toc183397589" </w:instrText>
      </w:r>
      <w:r>
        <w:rPr/>
        <w:fldChar w:fldCharType="separate"/>
      </w:r>
      <w:r>
        <w:rPr>
          <w:rStyle w:val="style85"/>
          <w:noProof/>
        </w:rPr>
        <w:t>Blog 2</w:t>
      </w:r>
      <w:r>
        <w:rPr>
          <w:noProof/>
          <w:webHidden/>
        </w:rPr>
        <w:tab/>
      </w:r>
      <w:r>
        <w:rPr>
          <w:noProof/>
          <w:webHidden/>
        </w:rPr>
        <w:fldChar w:fldCharType="begin"/>
      </w:r>
      <w:r>
        <w:rPr>
          <w:noProof/>
          <w:webHidden/>
        </w:rPr>
        <w:instrText xml:space="preserve"> PAGEREF _Toc183397589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"_Toc183397590" </w:instrText>
      </w:r>
      <w:r>
        <w:rPr/>
        <w:fldChar w:fldCharType="separate"/>
      </w:r>
      <w:r>
        <w:rPr>
          <w:rStyle w:val="style85"/>
          <w:noProof/>
        </w:rPr>
        <w:t>The Impact of ChronicCare+: A Novel Digital Health Application for Chronic Disease Management</w:t>
      </w:r>
      <w:r>
        <w:rPr>
          <w:noProof/>
          <w:webHidden/>
        </w:rPr>
        <w:tab/>
      </w:r>
      <w:r>
        <w:rPr>
          <w:noProof/>
          <w:webHidden/>
        </w:rPr>
        <w:fldChar w:fldCharType="begin"/>
      </w:r>
      <w:r>
        <w:rPr>
          <w:noProof/>
          <w:webHidden/>
        </w:rPr>
        <w:instrText xml:space="preserve"> PAGEREF _Toc183397590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"_Toc183397591" </w:instrText>
      </w:r>
      <w:r>
        <w:rPr/>
        <w:fldChar w:fldCharType="separate"/>
      </w:r>
      <w:r>
        <w:rPr>
          <w:rStyle w:val="style85"/>
          <w:noProof/>
        </w:rPr>
        <w:t>Chronic Diseases: A Global Challenge</w:t>
      </w:r>
      <w:r>
        <w:rPr>
          <w:noProof/>
          <w:webHidden/>
        </w:rPr>
        <w:tab/>
      </w:r>
      <w:r>
        <w:rPr>
          <w:noProof/>
          <w:webHidden/>
        </w:rPr>
        <w:fldChar w:fldCharType="begin"/>
      </w:r>
      <w:r>
        <w:rPr>
          <w:noProof/>
          <w:webHidden/>
        </w:rPr>
        <w:instrText xml:space="preserve"> PAGEREF _Toc183397591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"_Toc183397592" </w:instrText>
      </w:r>
      <w:r>
        <w:rPr/>
        <w:fldChar w:fldCharType="separate"/>
      </w:r>
      <w:r>
        <w:rPr>
          <w:rStyle w:val="style85"/>
          <w:noProof/>
        </w:rPr>
        <w:t>ChronicCare+: An Innovative Solution</w:t>
      </w:r>
      <w:r>
        <w:rPr>
          <w:noProof/>
          <w:webHidden/>
        </w:rPr>
        <w:tab/>
      </w:r>
      <w:r>
        <w:rPr>
          <w:noProof/>
          <w:webHidden/>
        </w:rPr>
        <w:fldChar w:fldCharType="begin"/>
      </w:r>
      <w:r>
        <w:rPr>
          <w:noProof/>
          <w:webHidden/>
        </w:rPr>
        <w:instrText xml:space="preserve"> PAGEREF _Toc183397592 \h </w:instrText>
      </w:r>
      <w:r>
        <w:rPr>
          <w:noProof/>
          <w:webHidden/>
        </w:rPr>
        <w:fldChar w:fldCharType="separate"/>
      </w:r>
      <w:r>
        <w:rPr>
          <w:noProof/>
          <w:webHidden/>
        </w:rPr>
        <w:t>8</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"_Toc183397593" </w:instrText>
      </w:r>
      <w:r>
        <w:rPr/>
        <w:fldChar w:fldCharType="separate"/>
      </w:r>
      <w:r>
        <w:rPr>
          <w:rStyle w:val="style85"/>
          <w:noProof/>
        </w:rPr>
        <w:t>How ChronicCare+ Promotes Health</w:t>
      </w:r>
      <w:r>
        <w:rPr>
          <w:noProof/>
          <w:webHidden/>
        </w:rPr>
        <w:tab/>
      </w:r>
      <w:r>
        <w:rPr>
          <w:noProof/>
          <w:webHidden/>
        </w:rPr>
        <w:fldChar w:fldCharType="begin"/>
      </w:r>
      <w:r>
        <w:rPr>
          <w:noProof/>
          <w:webHidden/>
        </w:rPr>
        <w:instrText xml:space="preserve"> PAGEREF _Toc183397593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350"/>
        </w:tabs>
        <w:rPr>
          <w:rFonts w:ascii="Calibri" w:eastAsia="宋体" w:hAnsi="Calibri"/>
          <w:noProof/>
          <w:sz w:val="22"/>
        </w:rPr>
      </w:pPr>
      <w:r>
        <w:rPr/>
        <w:fldChar w:fldCharType="begin"/>
      </w:r>
      <w:r>
        <w:instrText xml:space="preserve"> HYPERLINK \l "_Toc183397594" </w:instrText>
      </w:r>
      <w:r>
        <w:rPr/>
        <w:fldChar w:fldCharType="separate"/>
      </w:r>
      <w:r>
        <w:rPr>
          <w:rStyle w:val="style85"/>
          <w:noProof/>
        </w:rPr>
        <w:t>Critical Analysis of ChronicCare+</w:t>
      </w:r>
      <w:r>
        <w:rPr>
          <w:noProof/>
          <w:webHidden/>
        </w:rPr>
        <w:tab/>
      </w:r>
      <w:r>
        <w:rPr>
          <w:noProof/>
          <w:webHidden/>
        </w:rPr>
        <w:fldChar w:fldCharType="begin"/>
      </w:r>
      <w:r>
        <w:rPr>
          <w:noProof/>
          <w:webHidden/>
        </w:rPr>
        <w:instrText xml:space="preserve"> PAGEREF _Toc183397594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"_Toc183397595" </w:instrText>
      </w:r>
      <w:r>
        <w:rPr/>
        <w:fldChar w:fldCharType="separate"/>
      </w:r>
      <w:r>
        <w:rPr>
          <w:rStyle w:val="style85"/>
          <w:noProof/>
        </w:rPr>
        <w:t>Addressing the Challenges</w:t>
      </w:r>
      <w:r>
        <w:rPr>
          <w:noProof/>
          <w:webHidden/>
        </w:rPr>
        <w:tab/>
      </w:r>
      <w:r>
        <w:rPr>
          <w:noProof/>
          <w:webHidden/>
        </w:rPr>
        <w:fldChar w:fldCharType="begin"/>
      </w:r>
      <w:r>
        <w:rPr>
          <w:noProof/>
          <w:webHidden/>
        </w:rPr>
        <w:instrText xml:space="preserve"> PAGEREF _Toc183397595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"_Toc183397596" </w:instrText>
      </w:r>
      <w:r>
        <w:rPr/>
        <w:fldChar w:fldCharType="separate"/>
      </w:r>
      <w:r>
        <w:rPr>
          <w:rStyle w:val="style85"/>
          <w:rFonts w:eastAsia="Times New Roman"/>
          <w:noProof/>
          <w:shd w:val="clear" w:color="auto" w:fill="ffffff"/>
        </w:rPr>
        <w:t>References</w:t>
      </w:r>
      <w:r>
        <w:rPr>
          <w:noProof/>
          <w:webHidden/>
        </w:rPr>
        <w:tab/>
      </w:r>
      <w:r>
        <w:rPr>
          <w:noProof/>
          <w:webHidden/>
        </w:rPr>
        <w:fldChar w:fldCharType="begin"/>
      </w:r>
      <w:r>
        <w:rPr>
          <w:noProof/>
          <w:webHidden/>
        </w:rPr>
        <w:instrText xml:space="preserve"> PAGEREF _Toc183397596 \h </w:instrText>
      </w:r>
      <w:r>
        <w:rPr>
          <w:noProof/>
          <w:webHidden/>
        </w:rPr>
        <w:fldChar w:fldCharType="separate"/>
      </w:r>
      <w:r>
        <w:rPr>
          <w:noProof/>
          <w:webHidden/>
        </w:rPr>
        <w:t>11</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"_Toc183397597" </w:instrText>
      </w:r>
      <w:r>
        <w:rPr/>
        <w:fldChar w:fldCharType="separate"/>
      </w:r>
      <w:r>
        <w:rPr>
          <w:rStyle w:val="style85"/>
          <w:noProof/>
        </w:rPr>
        <w:t>Task 2</w:t>
      </w:r>
      <w:r>
        <w:rPr>
          <w:noProof/>
          <w:webHidden/>
        </w:rPr>
        <w:tab/>
      </w:r>
      <w:r>
        <w:rPr>
          <w:noProof/>
          <w:webHidden/>
        </w:rPr>
        <w:fldChar w:fldCharType="begin"/>
      </w:r>
      <w:r>
        <w:rPr>
          <w:noProof/>
          <w:webHidden/>
        </w:rPr>
        <w:instrText xml:space="preserve"> PAGEREF _Toc183397597 \h </w:instrText>
      </w:r>
      <w:r>
        <w:rPr>
          <w:noProof/>
          <w:webHidden/>
        </w:rPr>
        <w:fldChar w:fldCharType="separate"/>
      </w:r>
      <w:r>
        <w:rPr>
          <w:noProof/>
          <w:webHidden/>
        </w:rPr>
        <w:t>12</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"_Toc183397598" </w:instrText>
      </w:r>
      <w:r>
        <w:rPr/>
        <w:fldChar w:fldCharType="separate"/>
      </w:r>
      <w:r>
        <w:rPr>
          <w:rStyle w:val="style85"/>
          <w:noProof/>
        </w:rPr>
        <w:t>Poster</w:t>
      </w:r>
      <w:r>
        <w:rPr>
          <w:noProof/>
          <w:webHidden/>
        </w:rPr>
        <w:tab/>
      </w:r>
      <w:r>
        <w:rPr>
          <w:noProof/>
          <w:webHidden/>
        </w:rPr>
        <w:fldChar w:fldCharType="begin"/>
      </w:r>
      <w:r>
        <w:rPr>
          <w:noProof/>
          <w:webHidden/>
        </w:rPr>
        <w:instrText xml:space="preserve"> PAGEREF _Toc183397598 \h </w:instrText>
      </w:r>
      <w:r>
        <w:rPr>
          <w:noProof/>
          <w:webHidden/>
        </w:rPr>
        <w:fldChar w:fldCharType="separate"/>
      </w:r>
      <w:r>
        <w:rPr>
          <w:noProof/>
          <w:webHidden/>
        </w:rPr>
        <w:t>12</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"_Toc183397599" </w:instrText>
      </w:r>
      <w:r>
        <w:rPr/>
        <w:fldChar w:fldCharType="separate"/>
      </w:r>
      <w:r>
        <w:rPr>
          <w:rStyle w:val="style85"/>
          <w:noProof/>
          <w:shd w:val="clear" w:color="auto" w:fill="ffffff"/>
        </w:rPr>
        <w:t>References</w:t>
      </w:r>
      <w:r>
        <w:rPr>
          <w:noProof/>
          <w:webHidden/>
        </w:rPr>
        <w:tab/>
      </w:r>
      <w:r>
        <w:rPr>
          <w:noProof/>
          <w:webHidden/>
        </w:rPr>
        <w:fldChar w:fldCharType="begin"/>
      </w:r>
      <w:r>
        <w:rPr>
          <w:noProof/>
          <w:webHidden/>
        </w:rPr>
        <w:instrText xml:space="preserve"> PAGEREF _Toc183397599 \h </w:instrText>
      </w:r>
      <w:r>
        <w:rPr>
          <w:noProof/>
          <w:webHidden/>
        </w:rPr>
        <w:fldChar w:fldCharType="separate"/>
      </w:r>
      <w:r>
        <w:rPr>
          <w:noProof/>
          <w:webHidden/>
        </w:rPr>
        <w:t>13</w:t>
      </w:r>
      <w:r>
        <w:rPr>
          <w:noProof/>
          <w:webHidden/>
        </w:rPr>
        <w:fldChar w:fldCharType="end"/>
      </w:r>
      <w:r>
        <w:rPr/>
        <w:fldChar w:fldCharType="end"/>
      </w:r>
    </w:p>
    <w:p>
      <w:pPr>
        <w:pStyle w:val="style0"/>
        <w:rPr/>
      </w:pPr>
      <w:r>
        <w:rPr>
          <w:b/>
          <w:bCs/>
          <w:noProof/>
        </w:rPr>
        <w:fldChar w:fldCharType="end"/>
      </w:r>
    </w:p>
    <w:p>
      <w:pPr>
        <w:pStyle w:val="style0"/>
        <w:rPr>
          <w:rFonts w:cs="Times New Roman" w:eastAsia="宋体"/>
          <w:szCs w:val="32"/>
        </w:rPr>
      </w:pPr>
      <w:r>
        <w:rPr>
          <w:rFonts w:cs="Times New Roman"/>
        </w:rPr>
        <w:br w:type="page"/>
      </w:r>
    </w:p>
    <w:bookmarkStart w:id="1" w:name="_Toc183397581"/>
    <w:p>
      <w:pPr>
        <w:pStyle w:val="style1"/>
        <w:spacing w:lineRule="auto" w:line="480"/>
        <w:jc w:val="both"/>
        <w:rPr>
          <w:rFonts w:cs="Times New Roman"/>
        </w:rPr>
      </w:pPr>
      <w:r>
        <w:rPr>
          <w:rFonts w:cs="Times New Roman"/>
        </w:rPr>
        <w:t>Task 1</w:t>
      </w:r>
      <w:bookmarkEnd w:id="1"/>
    </w:p>
    <w:bookmarkStart w:id="2" w:name="_Toc183397582"/>
    <w:p>
      <w:pPr>
        <w:pStyle w:val="style1"/>
        <w:spacing w:lineRule="auto" w:line="480"/>
        <w:jc w:val="both"/>
        <w:rPr>
          <w:rFonts w:cs="Times New Roman"/>
        </w:rPr>
      </w:pPr>
      <w:r>
        <w:rPr>
          <w:rFonts w:cs="Times New Roman"/>
        </w:rPr>
        <w:t>Blog 1</w:t>
      </w:r>
      <w:bookmarkEnd w:id="2"/>
    </w:p>
    <w:bookmarkStart w:id="3" w:name="_Toc183397583"/>
    <w:p>
      <w:pPr>
        <w:pStyle w:val="style1"/>
        <w:spacing w:lineRule="auto" w:line="480"/>
        <w:jc w:val="both"/>
        <w:rPr>
          <w:rFonts w:cs="Times New Roman"/>
        </w:rPr>
      </w:pPr>
      <w:r>
        <w:rPr>
          <w:rFonts w:cs="Times New Roman"/>
        </w:rPr>
        <w:t xml:space="preserve">The Impact of Mobile Health Applications </w:t>
      </w:r>
      <w:r>
        <w:rPr>
          <w:rFonts w:cs="Times New Roman"/>
        </w:rPr>
        <w:t>on</w:t>
      </w:r>
      <w:r>
        <w:rPr>
          <w:rFonts w:cs="Times New Roman"/>
        </w:rPr>
        <w:t xml:space="preserve"> Managing Chronic Diseases</w:t>
      </w:r>
      <w:bookmarkEnd w:id="3"/>
    </w:p>
    <w:p>
      <w:pPr>
        <w:pStyle w:val="style0"/>
        <w:spacing w:lineRule="auto" w:line="480"/>
        <w:jc w:val="both"/>
        <w:rPr>
          <w:rFonts w:cs="Times New Roman"/>
        </w:rPr>
      </w:pPr>
      <w:r>
        <w:rPr>
          <w:rFonts w:cs="Times New Roman"/>
        </w:rPr>
        <w:t xml:space="preserve">Cardiovascular diseases, cancer, and diabetes remain significant killers with 41 million deaths every year, with at least 77% in LMICs as highlighted by WHO in 2023. These conditions inevitably put a vast strain </w:t>
      </w:r>
      <w:r>
        <w:rPr>
          <w:rFonts w:cs="Times New Roman"/>
        </w:rPr>
        <w:t>on</w:t>
      </w:r>
      <w:r>
        <w:rPr>
          <w:rFonts w:cs="Times New Roman"/>
        </w:rPr>
        <w:t xml:space="preserve"> healthcare organizations and economies as they often demand much care expenditure to contain. </w:t>
      </w:r>
    </w:p>
    <w:p>
      <w:pPr>
        <w:pStyle w:val="style0"/>
        <w:spacing w:lineRule="auto" w:line="480"/>
        <w:jc w:val="center"/>
        <w:rPr>
          <w:rFonts w:cs="Times New Roman"/>
        </w:rPr>
      </w:pPr>
      <w:r>
        <w:rPr>
          <w:rFonts w:cs="Times New Roman"/>
          <w:noProof/>
        </w:rPr>
        <w:drawing>
          <wp:inline distL="0" distT="0" distB="0" distR="0">
            <wp:extent cx="3819525" cy="3392685"/>
            <wp:effectExtent l="0" t="0" r="0" b="0"/>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3819525" cy="3392685"/>
                    </a:xfrm>
                    <a:prstGeom prst="rect"/>
                  </pic:spPr>
                </pic:pic>
              </a:graphicData>
            </a:graphic>
          </wp:inline>
        </w:drawing>
      </w:r>
    </w:p>
    <w:p>
      <w:pPr>
        <w:pStyle w:val="style0"/>
        <w:spacing w:lineRule="auto" w:line="480"/>
        <w:jc w:val="center"/>
        <w:rPr>
          <w:rFonts w:cs="Times New Roman"/>
        </w:rPr>
      </w:pPr>
      <w:r>
        <w:rPr>
          <w:rFonts w:cs="Times New Roman"/>
        </w:rPr>
        <w:t>Figure</w:t>
      </w:r>
      <w:r>
        <w:rPr>
          <w:rFonts w:cs="Times New Roman"/>
        </w:rPr>
        <w:t xml:space="preserve"> 1</w:t>
      </w:r>
      <w:r>
        <w:rPr>
          <w:rFonts w:cs="Times New Roman"/>
        </w:rPr>
        <w:t>: Global Annual Deaths. Source: (Zou et al., 2021)</w:t>
      </w:r>
    </w:p>
    <w:p>
      <w:pPr>
        <w:pStyle w:val="style0"/>
        <w:spacing w:lineRule="auto" w:line="480"/>
        <w:jc w:val="both"/>
        <w:rPr>
          <w:rFonts w:cs="Times New Roman"/>
        </w:rPr>
      </w:pPr>
      <w:r>
        <w:rPr>
          <w:rFonts w:cs="Times New Roman"/>
        </w:rPr>
        <w:t xml:space="preserve">Lack of quality lifestyle, minimal patient health literacy, and health access all contribute </w:t>
      </w:r>
      <w:r>
        <w:rPr>
          <w:rFonts w:cs="Times New Roman"/>
        </w:rPr>
        <w:t>to</w:t>
      </w:r>
      <w:r>
        <w:rPr>
          <w:rFonts w:cs="Times New Roman"/>
        </w:rPr>
        <w:t xml:space="preserve"> worsening chronic illness. </w:t>
      </w:r>
      <w:r>
        <w:rPr>
          <w:rFonts w:cs="Times New Roman"/>
        </w:rPr>
        <w:t>Addressing these challenges requires innovative, scalable, and cost-effective frameworks</w:t>
      </w:r>
      <w:r>
        <w:rPr>
          <w:rFonts w:cs="Times New Roman"/>
        </w:rPr>
        <w:t>.</w:t>
      </w:r>
    </w:p>
    <w:bookmarkStart w:id="4" w:name="_Toc183397584"/>
    <w:p>
      <w:pPr>
        <w:pStyle w:val="style2"/>
        <w:spacing w:lineRule="auto" w:line="480"/>
        <w:jc w:val="both"/>
        <w:rPr>
          <w:rFonts w:cs="Times New Roman"/>
        </w:rPr>
      </w:pPr>
      <w:r>
        <w:rPr>
          <w:rFonts w:cs="Times New Roman"/>
        </w:rPr>
        <w:t>Mobile Health Applications as a Solution</w:t>
      </w:r>
      <w:bookmarkEnd w:id="4"/>
    </w:p>
    <w:p>
      <w:pPr>
        <w:pStyle w:val="style0"/>
        <w:spacing w:lineRule="auto" w:line="480"/>
        <w:jc w:val="both"/>
        <w:rPr>
          <w:rFonts w:cs="Times New Roman"/>
        </w:rPr>
      </w:pPr>
      <w:r>
        <w:rPr>
          <w:rFonts w:cs="Times New Roman"/>
        </w:rPr>
        <w:t xml:space="preserve">Mobile health (mHealth) applications are seen as innovative in </w:t>
      </w:r>
      <w:r>
        <w:rPr>
          <w:rFonts w:cs="Times New Roman"/>
        </w:rPr>
        <w:t>treating</w:t>
      </w:r>
      <w:r>
        <w:rPr>
          <w:rFonts w:cs="Times New Roman"/>
        </w:rPr>
        <w:t xml:space="preserve"> chronic illnesses. </w:t>
      </w:r>
    </w:p>
    <w:p>
      <w:pPr>
        <w:pStyle w:val="style0"/>
        <w:spacing w:lineRule="auto" w:line="480"/>
        <w:jc w:val="center"/>
        <w:rPr>
          <w:rFonts w:cs="Times New Roman"/>
        </w:rPr>
      </w:pPr>
      <w:r>
        <w:rPr>
          <w:rFonts w:cs="Times New Roman"/>
          <w:noProof/>
        </w:rPr>
        <w:drawing>
          <wp:inline distL="0" distT="0" distB="0" distR="0">
            <wp:extent cx="4572000" cy="3874008"/>
            <wp:effectExtent l="0" t="0" r="0" b="0"/>
            <wp:docPr id="1028"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srcRect l="0" t="0" r="0" b="0"/>
                    <a:stretch/>
                  </pic:blipFill>
                  <pic:spPr>
                    <a:xfrm rot="0">
                      <a:off x="0" y="0"/>
                      <a:ext cx="4572000" cy="3874008"/>
                    </a:xfrm>
                    <a:prstGeom prst="rect"/>
                  </pic:spPr>
                </pic:pic>
              </a:graphicData>
            </a:graphic>
          </wp:inline>
        </w:drawing>
      </w:r>
    </w:p>
    <w:p>
      <w:pPr>
        <w:pStyle w:val="style0"/>
        <w:spacing w:lineRule="auto" w:line="480"/>
        <w:jc w:val="center"/>
        <w:rPr>
          <w:rFonts w:cs="Times New Roman"/>
        </w:rPr>
      </w:pPr>
      <w:r>
        <w:rPr>
          <w:rFonts w:cs="Times New Roman"/>
        </w:rPr>
        <w:t>Figure 2: Mobile health (mHealth) application for Chronic Illness Management</w:t>
      </w:r>
    </w:p>
    <w:p>
      <w:pPr>
        <w:pStyle w:val="style0"/>
        <w:spacing w:lineRule="auto" w:line="480"/>
        <w:jc w:val="both"/>
        <w:rPr>
          <w:rFonts w:cs="Times New Roman"/>
        </w:rPr>
      </w:pPr>
      <w:r>
        <w:rPr>
          <w:rFonts w:cs="Times New Roman"/>
        </w:rPr>
        <w:t>These apps leverage smartphone technology to:</w:t>
      </w:r>
    </w:p>
    <w:p>
      <w:pPr>
        <w:pStyle w:val="style179"/>
        <w:numPr>
          <w:ilvl w:val="0"/>
          <w:numId w:val="1"/>
        </w:numPr>
        <w:spacing w:lineRule="auto" w:line="480"/>
        <w:jc w:val="both"/>
        <w:rPr>
          <w:rFonts w:cs="Times New Roman"/>
        </w:rPr>
      </w:pPr>
      <w:r>
        <w:rPr>
          <w:rFonts w:cs="Times New Roman"/>
          <w:b/>
          <w:bCs/>
        </w:rPr>
        <w:t>Monitor Vital Signs:</w:t>
      </w:r>
      <w:r>
        <w:rPr>
          <w:rFonts w:cs="Times New Roman"/>
        </w:rPr>
        <w:t xml:space="preserve"> Monitor blood sugar levels, blood pressure, and other vital signs.</w:t>
      </w:r>
    </w:p>
    <w:p>
      <w:pPr>
        <w:pStyle w:val="style179"/>
        <w:numPr>
          <w:ilvl w:val="0"/>
          <w:numId w:val="1"/>
        </w:numPr>
        <w:spacing w:lineRule="auto" w:line="480"/>
        <w:jc w:val="both"/>
        <w:rPr>
          <w:rFonts w:cs="Times New Roman"/>
        </w:rPr>
      </w:pPr>
      <w:r>
        <w:rPr>
          <w:rFonts w:cs="Times New Roman"/>
          <w:b/>
          <w:bCs/>
        </w:rPr>
        <w:t>Promote Medication Adherence:</w:t>
      </w:r>
      <w:r>
        <w:rPr>
          <w:rFonts w:cs="Times New Roman"/>
        </w:rPr>
        <w:t xml:space="preserve"> Use to remind and notify for medications.</w:t>
      </w:r>
    </w:p>
    <w:p>
      <w:pPr>
        <w:pStyle w:val="style179"/>
        <w:numPr>
          <w:ilvl w:val="0"/>
          <w:numId w:val="1"/>
        </w:numPr>
        <w:spacing w:lineRule="auto" w:line="480"/>
        <w:jc w:val="both"/>
        <w:rPr>
          <w:rFonts w:cs="Times New Roman"/>
        </w:rPr>
      </w:pPr>
      <w:r>
        <w:rPr>
          <w:rFonts w:cs="Times New Roman"/>
          <w:b/>
          <w:bCs/>
        </w:rPr>
        <w:t>Provide Educational Resources:</w:t>
      </w:r>
      <w:r>
        <w:rPr>
          <w:rFonts w:cs="Times New Roman"/>
        </w:rPr>
        <w:t xml:space="preserve"> Share findings of similar diseases to deliver individual content on disease management.</w:t>
      </w:r>
    </w:p>
    <w:p>
      <w:pPr>
        <w:pStyle w:val="style179"/>
        <w:numPr>
          <w:ilvl w:val="0"/>
          <w:numId w:val="1"/>
        </w:numPr>
        <w:spacing w:lineRule="auto" w:line="480"/>
        <w:jc w:val="both"/>
        <w:rPr>
          <w:rFonts w:cs="Times New Roman"/>
        </w:rPr>
      </w:pPr>
      <w:r>
        <w:rPr>
          <w:rFonts w:cs="Times New Roman"/>
          <w:b/>
          <w:bCs/>
        </w:rPr>
        <w:t>Enable Telehealth Services:</w:t>
      </w:r>
      <w:r>
        <w:rPr>
          <w:rFonts w:cs="Times New Roman"/>
        </w:rPr>
        <w:t xml:space="preserve"> Provide synchronous and asynchronous shared care visits with practitioners.</w:t>
      </w:r>
    </w:p>
    <w:p>
      <w:pPr>
        <w:pStyle w:val="style0"/>
        <w:spacing w:lineRule="auto" w:line="480"/>
        <w:jc w:val="both"/>
        <w:rPr>
          <w:rFonts w:cs="Times New Roman"/>
        </w:rPr>
      </w:pPr>
      <w:r>
        <w:rPr>
          <w:rFonts w:cs="Times New Roman"/>
        </w:rPr>
        <w:t>For instance, the MySugr mobile application educates patients with diabetes to monitor blood glucose levels, record food consumption</w:t>
      </w:r>
      <w:r>
        <w:rPr>
          <w:rFonts w:cs="Times New Roman"/>
        </w:rPr>
        <w:t>,</w:t>
      </w:r>
      <w:r>
        <w:rPr>
          <w:rFonts w:cs="Times New Roman"/>
        </w:rPr>
        <w:t xml:space="preserve"> and provide users with feedback. In providing readily accessible health information, mHealth apps </w:t>
      </w:r>
      <w:r>
        <w:rPr>
          <w:rFonts w:cs="Times New Roman"/>
        </w:rPr>
        <w:t>allow</w:t>
      </w:r>
      <w:r>
        <w:rPr>
          <w:rFonts w:cs="Times New Roman"/>
        </w:rPr>
        <w:t xml:space="preserve"> patients to assume more of an active role in their health (MySugr, 2023).</w:t>
      </w:r>
    </w:p>
    <w:p>
      <w:pPr>
        <w:pStyle w:val="style0"/>
        <w:spacing w:lineRule="auto" w:line="480"/>
        <w:jc w:val="center"/>
        <w:rPr>
          <w:rFonts w:cs="Times New Roman"/>
        </w:rPr>
      </w:pPr>
      <w:r>
        <w:rPr>
          <w:rFonts w:cs="Times New Roman"/>
          <w:noProof/>
        </w:rPr>
        <w:drawing>
          <wp:inline distL="0" distT="0" distB="0" distR="0">
            <wp:extent cx="4362450" cy="3809686"/>
            <wp:effectExtent l="0" t="0" r="0" b="635"/>
            <wp:docPr id="1029" name="Picture 3"/>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srcRect l="0" t="0" r="0" b="0"/>
                    <a:stretch/>
                  </pic:blipFill>
                  <pic:spPr>
                    <a:xfrm rot="0">
                      <a:off x="0" y="0"/>
                      <a:ext cx="4362450" cy="3809686"/>
                    </a:xfrm>
                    <a:prstGeom prst="rect"/>
                  </pic:spPr>
                </pic:pic>
              </a:graphicData>
            </a:graphic>
          </wp:inline>
        </w:drawing>
      </w:r>
    </w:p>
    <w:p>
      <w:pPr>
        <w:pStyle w:val="style0"/>
        <w:spacing w:lineRule="auto" w:line="480"/>
        <w:jc w:val="center"/>
        <w:rPr>
          <w:rFonts w:cs="Times New Roman"/>
        </w:rPr>
      </w:pPr>
      <w:r>
        <w:rPr>
          <w:rFonts w:cs="Times New Roman"/>
        </w:rPr>
        <w:t>Figure 3: Diabetes App mySugr. (mySugr, 2023)</w:t>
      </w:r>
    </w:p>
    <w:bookmarkStart w:id="5" w:name="_Toc183397585"/>
    <w:p>
      <w:pPr>
        <w:pStyle w:val="style1"/>
        <w:spacing w:lineRule="auto" w:line="480"/>
        <w:jc w:val="both"/>
        <w:rPr>
          <w:rFonts w:cs="Times New Roman"/>
        </w:rPr>
      </w:pPr>
      <w:r>
        <w:rPr>
          <w:rFonts w:cs="Times New Roman"/>
        </w:rPr>
        <w:t>Evidence of Effectiveness</w:t>
      </w:r>
      <w:bookmarkEnd w:id="5"/>
    </w:p>
    <w:p>
      <w:pPr>
        <w:pStyle w:val="style0"/>
        <w:spacing w:lineRule="auto" w:line="480"/>
        <w:jc w:val="both"/>
        <w:rPr>
          <w:rFonts w:cs="Times New Roman"/>
        </w:rPr>
      </w:pPr>
      <w:r>
        <w:rPr>
          <w:rFonts w:cs="Times New Roman"/>
        </w:rPr>
        <w:t>Research evidence shows that mHealth applications are beneficial in the following ways. A systematic review in the Journal of Medical Internet Research by Hamine et al. (2022) found that mHealth interventions increased medication adherence by 20% and reduced HbA1c by 0.4%. In like manner, the American Heart Association investigation revealed that hypertensive patients who incorporated blood pressure tracking apps also realized an absolute change of -15</w:t>
      </w:r>
      <w:r>
        <w:rPr>
          <w:rFonts w:cs="Times New Roman"/>
        </w:rPr>
        <w:t>%</w:t>
      </w:r>
      <w:r>
        <w:rPr>
          <w:rFonts w:cs="Times New Roman"/>
        </w:rPr>
        <w:t xml:space="preserve"> in systolic </w:t>
      </w:r>
      <w:r>
        <w:rPr>
          <w:rFonts w:cs="Times New Roman"/>
        </w:rPr>
        <w:t xml:space="preserve">blood pressure in </w:t>
      </w:r>
      <w:r>
        <w:rPr>
          <w:rFonts w:cs="Times New Roman"/>
        </w:rPr>
        <w:t>six months</w:t>
      </w:r>
      <w:r>
        <w:rPr>
          <w:rFonts w:cs="Times New Roman"/>
        </w:rPr>
        <w:t xml:space="preserve"> (American Heart Association, 2023). These findings call into question the continued viability and efficacy of mHealth to be a key driver of patient satisfaction and contain the rate of growth in healthcare spending.</w:t>
      </w:r>
    </w:p>
    <w:bookmarkStart w:id="6" w:name="_Toc183397586"/>
    <w:p>
      <w:pPr>
        <w:pStyle w:val="style1"/>
        <w:spacing w:lineRule="auto" w:line="480"/>
        <w:jc w:val="both"/>
        <w:rPr>
          <w:rFonts w:cs="Times New Roman"/>
        </w:rPr>
      </w:pPr>
      <w:r>
        <w:rPr>
          <w:rFonts w:cs="Times New Roman"/>
        </w:rPr>
        <w:t>Critical Analysis of Impact</w:t>
      </w:r>
      <w:bookmarkEnd w:id="6"/>
    </w:p>
    <w:bookmarkStart w:id="7" w:name="_Toc183397587"/>
    <w:p>
      <w:pPr>
        <w:pStyle w:val="style2"/>
        <w:spacing w:lineRule="auto" w:line="480"/>
        <w:jc w:val="both"/>
        <w:rPr>
          <w:rFonts w:cs="Times New Roman"/>
        </w:rPr>
      </w:pPr>
      <w:r>
        <w:rPr>
          <w:rFonts w:cs="Times New Roman"/>
        </w:rPr>
        <w:t>Advantages</w:t>
      </w:r>
      <w:bookmarkEnd w:id="7"/>
    </w:p>
    <w:p>
      <w:pPr>
        <w:pStyle w:val="style179"/>
        <w:numPr>
          <w:ilvl w:val="0"/>
          <w:numId w:val="4"/>
        </w:numPr>
        <w:spacing w:lineRule="auto" w:line="480"/>
        <w:jc w:val="both"/>
        <w:rPr>
          <w:rFonts w:cs="Times New Roman"/>
        </w:rPr>
      </w:pPr>
      <w:r>
        <w:rPr>
          <w:rFonts w:cs="Times New Roman"/>
          <w:b/>
          <w:bCs/>
        </w:rPr>
        <w:t>Increased Accessibility:</w:t>
      </w:r>
      <w:r>
        <w:rPr>
          <w:rFonts w:cs="Times New Roman"/>
        </w:rPr>
        <w:t xml:space="preserve"> Telecommunication support in medical practice eliminates health disparities and is vital, especially in rural and developing regions.</w:t>
      </w:r>
    </w:p>
    <w:p>
      <w:pPr>
        <w:pStyle w:val="style179"/>
        <w:numPr>
          <w:ilvl w:val="0"/>
          <w:numId w:val="4"/>
        </w:numPr>
        <w:spacing w:lineRule="auto" w:line="480"/>
        <w:jc w:val="both"/>
        <w:rPr>
          <w:rFonts w:cs="Times New Roman"/>
        </w:rPr>
      </w:pPr>
      <w:r>
        <w:rPr>
          <w:rFonts w:cs="Times New Roman"/>
          <w:b/>
          <w:bCs/>
        </w:rPr>
        <w:t>Cost-Effectiveness:</w:t>
      </w:r>
      <w:r>
        <w:rPr>
          <w:rFonts w:cs="Times New Roman"/>
        </w:rPr>
        <w:t xml:space="preserve"> By substituting conventional in-person meet-ups, mHealth apps drive down costs for both patients and healthcare entities.</w:t>
      </w:r>
    </w:p>
    <w:p>
      <w:pPr>
        <w:pStyle w:val="style179"/>
        <w:numPr>
          <w:ilvl w:val="0"/>
          <w:numId w:val="4"/>
        </w:numPr>
        <w:spacing w:lineRule="auto" w:line="480"/>
        <w:jc w:val="both"/>
        <w:rPr>
          <w:rFonts w:cs="Times New Roman"/>
        </w:rPr>
      </w:pPr>
      <w:r>
        <w:rPr>
          <w:rFonts w:cs="Times New Roman"/>
          <w:b/>
          <w:bCs/>
        </w:rPr>
        <w:t>Empowered Decision-Making:</w:t>
      </w:r>
      <w:r>
        <w:rPr>
          <w:rFonts w:cs="Times New Roman"/>
        </w:rPr>
        <w:t xml:space="preserve"> Cascade services of immediate feedback support improved personal management.</w:t>
      </w:r>
    </w:p>
    <w:bookmarkStart w:id="8" w:name="_Toc183397588"/>
    <w:p>
      <w:pPr>
        <w:pStyle w:val="style2"/>
        <w:spacing w:lineRule="auto" w:line="480"/>
        <w:jc w:val="both"/>
        <w:rPr>
          <w:rFonts w:cs="Times New Roman"/>
        </w:rPr>
      </w:pPr>
      <w:r>
        <w:rPr>
          <w:rFonts w:cs="Times New Roman"/>
        </w:rPr>
        <w:t>Disadvantages</w:t>
      </w:r>
      <w:bookmarkEnd w:id="8"/>
    </w:p>
    <w:p>
      <w:pPr>
        <w:pStyle w:val="style179"/>
        <w:numPr>
          <w:ilvl w:val="0"/>
          <w:numId w:val="3"/>
        </w:numPr>
        <w:spacing w:lineRule="auto" w:line="480"/>
        <w:jc w:val="both"/>
        <w:rPr>
          <w:rFonts w:cs="Times New Roman"/>
        </w:rPr>
      </w:pPr>
      <w:r>
        <w:rPr>
          <w:rFonts w:cs="Times New Roman"/>
          <w:b/>
          <w:bCs/>
        </w:rPr>
        <w:t>Digital Literacy Barriers:</w:t>
      </w:r>
      <w:r>
        <w:rPr>
          <w:rFonts w:cs="Times New Roman"/>
        </w:rPr>
        <w:t xml:space="preserve"> People who are of advanced age well as persons with restricted technological literacy are likely to encounter difficulties while using the apps.</w:t>
      </w:r>
    </w:p>
    <w:p>
      <w:pPr>
        <w:pStyle w:val="style179"/>
        <w:numPr>
          <w:ilvl w:val="0"/>
          <w:numId w:val="3"/>
        </w:numPr>
        <w:spacing w:lineRule="auto" w:line="480"/>
        <w:jc w:val="both"/>
        <w:rPr>
          <w:rFonts w:cs="Times New Roman"/>
        </w:rPr>
      </w:pPr>
      <w:r>
        <w:rPr>
          <w:rFonts w:cs="Times New Roman"/>
          <w:b/>
          <w:bCs/>
        </w:rPr>
        <w:t xml:space="preserve">Data Privacy Concerns: </w:t>
      </w:r>
      <w:r>
        <w:rPr>
          <w:rFonts w:cs="Times New Roman"/>
        </w:rPr>
        <w:t>Dread of loss of data deters a lot of would-be consumers.</w:t>
      </w:r>
    </w:p>
    <w:p>
      <w:pPr>
        <w:pStyle w:val="style179"/>
        <w:numPr>
          <w:ilvl w:val="0"/>
          <w:numId w:val="3"/>
        </w:numPr>
        <w:spacing w:lineRule="auto" w:line="480"/>
        <w:jc w:val="both"/>
        <w:rPr>
          <w:rFonts w:cs="Times New Roman"/>
        </w:rPr>
      </w:pPr>
      <w:r>
        <w:rPr>
          <w:rFonts w:cs="Times New Roman"/>
          <w:b/>
          <w:bCs/>
        </w:rPr>
        <w:t>Sustained Engagement Issues:</w:t>
      </w:r>
      <w:r>
        <w:rPr>
          <w:rFonts w:cs="Times New Roman"/>
        </w:rPr>
        <w:t xml:space="preserve"> Most consumers tend to drop out with mHealth apps after the initial use, therefore, limiting the longevity of the app.</w:t>
      </w:r>
    </w:p>
    <w:p>
      <w:pPr>
        <w:pStyle w:val="style0"/>
        <w:rPr>
          <w:rFonts w:cs="宋体" w:eastAsia="宋体"/>
          <w:szCs w:val="32"/>
          <w:shd w:val="clear" w:color="auto" w:fill="ffffff"/>
        </w:rPr>
      </w:pPr>
      <w:r>
        <w:rPr>
          <w:rFonts w:cs="Times New Roman"/>
        </w:rPr>
        <w:br w:type="page"/>
      </w:r>
    </w:p>
    <w:bookmarkStart w:id="9" w:name="_Toc183397589"/>
    <w:p>
      <w:pPr>
        <w:pStyle w:val="style1"/>
        <w:spacing w:lineRule="auto" w:line="480"/>
        <w:jc w:val="both"/>
        <w:rPr/>
      </w:pPr>
      <w:r>
        <w:t>Blog 2</w:t>
      </w:r>
      <w:bookmarkEnd w:id="9"/>
    </w:p>
    <w:bookmarkStart w:id="10" w:name="_Toc183397590"/>
    <w:p>
      <w:pPr>
        <w:pStyle w:val="style1"/>
        <w:spacing w:lineRule="auto" w:line="480"/>
        <w:jc w:val="both"/>
        <w:rPr/>
      </w:pPr>
      <w:r>
        <w:t>The Impact of ChronicCare+: A Novel Digital Health Application for Chronic Disease Management</w:t>
      </w:r>
      <w:bookmarkEnd w:id="10"/>
    </w:p>
    <w:bookmarkStart w:id="11" w:name="_Toc183397591"/>
    <w:p>
      <w:pPr>
        <w:pStyle w:val="style2"/>
        <w:spacing w:lineRule="auto" w:line="480"/>
        <w:jc w:val="both"/>
        <w:rPr/>
      </w:pPr>
      <w:r>
        <w:t>Chronic Diseases: A Global Challenge</w:t>
      </w:r>
      <w:bookmarkEnd w:id="11"/>
    </w:p>
    <w:p>
      <w:pPr>
        <w:pStyle w:val="style0"/>
        <w:spacing w:lineRule="auto" w:line="480"/>
        <w:jc w:val="both"/>
        <w:rPr/>
      </w:pPr>
      <w:r>
        <w:t>Chronic diseases such as diabetes, hypertension, and cardiovascular illnesses remain among the most pressing public health concerns worldwide</w:t>
      </w:r>
      <w:r>
        <w:t xml:space="preserve"> (Cucciniello et al., 2021)</w:t>
      </w:r>
      <w:r>
        <w:t xml:space="preserve">. </w:t>
      </w:r>
      <w:r>
        <w:t xml:space="preserve"> According to WHO</w:t>
      </w:r>
      <w:r>
        <w:t xml:space="preserve"> (2023)</w:t>
      </w:r>
      <w:r>
        <w:t xml:space="preserve">, the above diseases account for more than 41 million human fatalities every year; low-and middle-income countries are worst hit accounting for 77 percent of the statistics. </w:t>
      </w:r>
      <w:r>
        <w:t>According to Rahman et al. (2022), t</w:t>
      </w:r>
      <w:r>
        <w:t xml:space="preserve">he challenges require novel, sustainable, and </w:t>
      </w:r>
      <w:r>
        <w:t>centered</w:t>
      </w:r>
      <w:r>
        <w:t xml:space="preserve"> on the patient answers to the improvement of people’s health and the weakening of the burden on healthcare facilities.</w:t>
      </w:r>
    </w:p>
    <w:p>
      <w:pPr>
        <w:pStyle w:val="style0"/>
        <w:spacing w:lineRule="auto" w:line="480"/>
        <w:jc w:val="both"/>
        <w:rPr/>
      </w:pPr>
      <w:r>
        <w:rPr>
          <w:noProof/>
        </w:rPr>
        <w:drawing>
          <wp:inline distL="0" distT="0" distB="0" distR="0">
            <wp:extent cx="5838825" cy="3538680"/>
            <wp:effectExtent l="0" t="0" r="0" b="5080"/>
            <wp:docPr id="1030"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cstate="print"/>
                    <a:srcRect l="0" t="0" r="0" b="0"/>
                    <a:stretch/>
                  </pic:blipFill>
                  <pic:spPr>
                    <a:xfrm rot="0">
                      <a:off x="0" y="0"/>
                      <a:ext cx="5838825" cy="3538680"/>
                    </a:xfrm>
                    <a:prstGeom prst="rect"/>
                  </pic:spPr>
                </pic:pic>
              </a:graphicData>
            </a:graphic>
          </wp:inline>
        </w:drawing>
      </w:r>
    </w:p>
    <w:p>
      <w:pPr>
        <w:pStyle w:val="style0"/>
        <w:spacing w:lineRule="auto" w:line="480"/>
        <w:jc w:val="center"/>
        <w:rPr/>
      </w:pPr>
      <w:r>
        <w:t>Figure 1: Risk Factors for Chronic Diseases</w:t>
      </w:r>
    </w:p>
    <w:bookmarkStart w:id="12" w:name="_Toc183397592"/>
    <w:p>
      <w:pPr>
        <w:pStyle w:val="style1"/>
        <w:spacing w:lineRule="auto" w:line="480"/>
        <w:jc w:val="both"/>
        <w:rPr/>
      </w:pPr>
      <w:r>
        <w:t>ChronicCare+: An Innovative Solution</w:t>
      </w:r>
      <w:bookmarkEnd w:id="12"/>
    </w:p>
    <w:p>
      <w:pPr>
        <w:pStyle w:val="style0"/>
        <w:spacing w:lineRule="auto" w:line="480"/>
        <w:jc w:val="both"/>
        <w:rPr/>
      </w:pPr>
      <w:r>
        <w:t>To</w:t>
      </w:r>
      <w:r>
        <w:t xml:space="preserve"> address the above, I developed ChronicCare+ which is a digital health tool that is targeted at ensuring patient engagement and correct chronic disease management. </w:t>
      </w:r>
    </w:p>
    <w:p>
      <w:pPr>
        <w:pStyle w:val="style0"/>
        <w:spacing w:lineRule="auto" w:line="480"/>
        <w:jc w:val="both"/>
        <w:rPr/>
      </w:pPr>
      <w:r>
        <w:rPr>
          <w:noProof/>
        </w:rPr>
        <w:drawing>
          <wp:inline distL="0" distT="0" distB="0" distR="0">
            <wp:extent cx="5943600" cy="2971800"/>
            <wp:effectExtent l="0" t="0" r="0" b="0"/>
            <wp:docPr id="1031" name="Picture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cstate="print"/>
                    <a:srcRect l="0" t="0" r="0" b="0"/>
                    <a:stretch/>
                  </pic:blipFill>
                  <pic:spPr>
                    <a:xfrm rot="0">
                      <a:off x="0" y="0"/>
                      <a:ext cx="5943600" cy="2971800"/>
                    </a:xfrm>
                    <a:prstGeom prst="rect"/>
                  </pic:spPr>
                </pic:pic>
              </a:graphicData>
            </a:graphic>
          </wp:inline>
        </w:drawing>
      </w:r>
    </w:p>
    <w:p>
      <w:pPr>
        <w:pStyle w:val="style0"/>
        <w:spacing w:lineRule="auto" w:line="480"/>
        <w:jc w:val="center"/>
        <w:rPr/>
      </w:pPr>
      <w:r>
        <w:t>Figure 2: ChronicCare+ App Layout.</w:t>
      </w:r>
    </w:p>
    <w:p>
      <w:pPr>
        <w:pStyle w:val="style0"/>
        <w:spacing w:lineRule="auto" w:line="480"/>
        <w:jc w:val="both"/>
        <w:rPr/>
      </w:pPr>
      <w:r>
        <w:t>The captivator of the app is that it utilizes sophisticated technologies that include AI and wearable devices to offer personalized care in addition to seamless monitoring. Its key features include:</w:t>
      </w:r>
    </w:p>
    <w:p>
      <w:pPr>
        <w:pStyle w:val="style179"/>
        <w:numPr>
          <w:ilvl w:val="0"/>
          <w:numId w:val="5"/>
        </w:numPr>
        <w:spacing w:lineRule="auto" w:line="480"/>
        <w:jc w:val="both"/>
        <w:rPr/>
      </w:pPr>
      <w:r>
        <w:rPr>
          <w:b/>
          <w:bCs/>
        </w:rPr>
        <w:t>AI-Driven Recommendations:</w:t>
      </w:r>
      <w:r>
        <w:t xml:space="preserve"> Instead of generic health advice, ChronicCare+ provides its users with individualized information on diet, physical activity, or health history.</w:t>
      </w:r>
    </w:p>
    <w:p>
      <w:pPr>
        <w:pStyle w:val="style179"/>
        <w:numPr>
          <w:ilvl w:val="0"/>
          <w:numId w:val="5"/>
        </w:numPr>
        <w:spacing w:lineRule="auto" w:line="480"/>
        <w:jc w:val="both"/>
        <w:rPr/>
      </w:pPr>
      <w:r>
        <w:rPr>
          <w:b/>
          <w:bCs/>
        </w:rPr>
        <w:t>Wearable Integration:</w:t>
      </w:r>
      <w:r>
        <w:t xml:space="preserve"> It also forms a perfect integration of several devices including fitness trackers with vital signs as well as blood glucose levels and blood pressure.</w:t>
      </w:r>
    </w:p>
    <w:p>
      <w:pPr>
        <w:pStyle w:val="style179"/>
        <w:numPr>
          <w:ilvl w:val="0"/>
          <w:numId w:val="5"/>
        </w:numPr>
        <w:spacing w:lineRule="auto" w:line="480"/>
        <w:jc w:val="both"/>
        <w:rPr/>
      </w:pPr>
      <w:r>
        <w:rPr>
          <w:b/>
          <w:bCs/>
        </w:rPr>
        <w:t>Educational Gamification:</w:t>
      </w:r>
      <w:r>
        <w:t xml:space="preserve"> Interactive, fun educational modules on disease self-care are used to help people learn more effectively and stay on course in their healthcare.</w:t>
      </w:r>
    </w:p>
    <w:p>
      <w:pPr>
        <w:pStyle w:val="style179"/>
        <w:numPr>
          <w:ilvl w:val="0"/>
          <w:numId w:val="5"/>
        </w:numPr>
        <w:spacing w:lineRule="auto" w:line="480"/>
        <w:jc w:val="both"/>
        <w:rPr/>
      </w:pPr>
      <w:r>
        <w:rPr>
          <w:b/>
          <w:bCs/>
        </w:rPr>
        <w:t>Predictive Analytics:</w:t>
      </w:r>
      <w:r>
        <w:t xml:space="preserve"> ChronicCare+ suggests directions for focusing action based on early signs of potential health issues.</w:t>
      </w:r>
    </w:p>
    <w:p>
      <w:pPr>
        <w:pStyle w:val="style179"/>
        <w:numPr>
          <w:ilvl w:val="0"/>
          <w:numId w:val="5"/>
        </w:numPr>
        <w:spacing w:lineRule="auto" w:line="480"/>
        <w:jc w:val="both"/>
        <w:rPr/>
      </w:pPr>
      <w:r>
        <w:rPr>
          <w:b/>
          <w:bCs/>
        </w:rPr>
        <w:t>Community Support:</w:t>
      </w:r>
      <w:r>
        <w:t xml:space="preserve"> A secure platform connects users with peer support groups and healthcare professionals.</w:t>
      </w:r>
    </w:p>
    <w:bookmarkStart w:id="13" w:name="_Toc183397593"/>
    <w:p>
      <w:pPr>
        <w:pStyle w:val="style2"/>
        <w:spacing w:lineRule="auto" w:line="480"/>
        <w:jc w:val="both"/>
        <w:rPr/>
      </w:pPr>
      <w:r>
        <w:t>How ChronicCare+ Promotes Health</w:t>
      </w:r>
      <w:bookmarkEnd w:id="13"/>
    </w:p>
    <w:p>
      <w:pPr>
        <w:pStyle w:val="style0"/>
        <w:spacing w:lineRule="auto" w:line="480"/>
        <w:jc w:val="both"/>
        <w:rPr/>
      </w:pPr>
      <w:r>
        <w:t xml:space="preserve">ChronicCare+ takes advantage of key missing links </w:t>
      </w:r>
      <w:r>
        <w:t>in</w:t>
      </w:r>
      <w:r>
        <w:t xml:space="preserve"> the healthcare sector especially to minority groups. For example, </w:t>
      </w:r>
      <w:r>
        <w:t>diabetics</w:t>
      </w:r>
      <w:r>
        <w:t xml:space="preserve"> using the app could enter </w:t>
      </w:r>
      <w:r>
        <w:t>blood sugar levels, get recommendations on healthier eating, and</w:t>
      </w:r>
      <w:r>
        <w:t xml:space="preserve"> </w:t>
      </w:r>
      <w:r>
        <w:t xml:space="preserve">have </w:t>
      </w:r>
      <w:r>
        <w:t xml:space="preserve">a chat group to encourage the user. At the same time, real-time data sharing </w:t>
      </w:r>
      <w:r>
        <w:t>allows</w:t>
      </w:r>
      <w:r>
        <w:t xml:space="preserve"> intervening with healthcare providers </w:t>
      </w:r>
      <w:r>
        <w:t>promptly</w:t>
      </w:r>
      <w:r>
        <w:t xml:space="preserve"> and decreasing complications and, consequently, the number of hospitalizations. </w:t>
      </w:r>
    </w:p>
    <w:p>
      <w:pPr>
        <w:pStyle w:val="style0"/>
        <w:spacing w:lineRule="auto" w:line="480"/>
        <w:jc w:val="center"/>
        <w:rPr/>
      </w:pPr>
      <w:r>
        <w:rPr>
          <w:noProof/>
        </w:rPr>
        <w:drawing>
          <wp:inline distL="0" distT="0" distB="0" distR="0">
            <wp:extent cx="2314513" cy="3983545"/>
            <wp:effectExtent l="0" t="0" r="0" b="0"/>
            <wp:docPr id="1032" name="Picture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srcRect l="0" t="0" r="0" b="0"/>
                    <a:stretch/>
                  </pic:blipFill>
                  <pic:spPr>
                    <a:xfrm rot="0">
                      <a:off x="0" y="0"/>
                      <a:ext cx="2314513" cy="3983545"/>
                    </a:xfrm>
                    <a:prstGeom prst="rect"/>
                  </pic:spPr>
                </pic:pic>
              </a:graphicData>
            </a:graphic>
          </wp:inline>
        </w:drawing>
      </w:r>
    </w:p>
    <w:p>
      <w:pPr>
        <w:pStyle w:val="style0"/>
        <w:spacing w:lineRule="auto" w:line="480"/>
        <w:jc w:val="center"/>
        <w:rPr/>
      </w:pPr>
      <w:r>
        <w:t>Figure 3: Usage of ChronicCare+</w:t>
      </w:r>
    </w:p>
    <w:bookmarkStart w:id="14" w:name="_Toc183397594"/>
    <w:p>
      <w:pPr>
        <w:pStyle w:val="style2"/>
        <w:spacing w:lineRule="auto" w:line="480"/>
        <w:jc w:val="both"/>
        <w:rPr/>
      </w:pPr>
      <w:r>
        <w:t>Critical Analysis of ChronicCare+</w:t>
      </w:r>
      <w:bookmarkEnd w:id="14"/>
    </w:p>
    <w:p>
      <w:pPr>
        <w:pStyle w:val="style0"/>
        <w:spacing w:lineRule="auto" w:line="480"/>
        <w:jc w:val="both"/>
        <w:rPr/>
      </w:pPr>
      <w:r>
        <w:t>ChronicCare+ offers significant benefits in improving health outcomes and reducing healthcare disparities. The use of AI makes the product recommendations much more personal</w:t>
      </w:r>
      <w:r>
        <w:t>, and the wearables make the monitoring more constant. Educational information helps not only increase users' awareness but also</w:t>
      </w:r>
      <w:r>
        <w:t xml:space="preserve"> makes them follow the treatment regimen. The community support feature helps alleviate the psychological impact of living with one or the other chronic disease.</w:t>
      </w:r>
    </w:p>
    <w:p>
      <w:pPr>
        <w:pStyle w:val="style0"/>
        <w:spacing w:lineRule="auto" w:line="480"/>
        <w:jc w:val="both"/>
        <w:rPr/>
      </w:pPr>
      <w:r>
        <w:t>However</w:t>
      </w:r>
      <w:r>
        <w:t>,</w:t>
      </w:r>
      <w:r>
        <w:t xml:space="preserve"> there are some challenges</w:t>
      </w:r>
      <w:r>
        <w:t xml:space="preserve"> as well.</w:t>
      </w:r>
      <w:r>
        <w:t xml:space="preserve"> The main disadvantage of this research is that it relies heavily on data collected from a single country. A big issue </w:t>
      </w:r>
      <w:r>
        <w:t>includes</w:t>
      </w:r>
      <w:r>
        <w:t xml:space="preserve"> the protection of the data</w:t>
      </w:r>
      <w:r>
        <w:t>.</w:t>
      </w:r>
    </w:p>
    <w:bookmarkStart w:id="15" w:name="_Toc183397595"/>
    <w:p>
      <w:pPr>
        <w:pStyle w:val="style1"/>
        <w:spacing w:lineRule="auto" w:line="480"/>
        <w:jc w:val="both"/>
        <w:rPr/>
      </w:pPr>
      <w:r>
        <w:t>Addressing the Challenges</w:t>
      </w:r>
      <w:bookmarkEnd w:id="15"/>
    </w:p>
    <w:p>
      <w:pPr>
        <w:pStyle w:val="style0"/>
        <w:spacing w:lineRule="auto" w:line="480"/>
        <w:jc w:val="both"/>
        <w:rPr/>
      </w:pPr>
      <w:r>
        <w:t>To mitigate these issues, robust data security measures such as encryption and transparent privacy policies must be implemented to build user trust. Providing manual data entry options can make the app accessible to users without wearables. Digital literacy support, including tutorials and 24/7 customer assistance, can address usability concerns, ensuring that a broader audience benefits from ChronicCare+.</w:t>
      </w:r>
    </w:p>
    <w:p>
      <w:pPr>
        <w:pStyle w:val="style0"/>
        <w:rPr/>
      </w:pPr>
      <w:r>
        <w:br w:type="page"/>
      </w:r>
    </w:p>
    <w:bookmarkStart w:id="16" w:name="_Toc183397596"/>
    <w:p>
      <w:pPr>
        <w:pStyle w:val="style1"/>
        <w:rPr>
          <w:rFonts w:eastAsia="Times New Roman"/>
          <w:shd w:val="clear" w:color="auto" w:fill="ffffff"/>
        </w:rPr>
      </w:pPr>
      <w:r>
        <w:rPr>
          <w:rFonts w:eastAsia="Times New Roman"/>
          <w:shd w:val="clear" w:color="auto" w:fill="ffffff"/>
        </w:rPr>
        <w:t>References</w:t>
      </w:r>
      <w:bookmarkEnd w:id="16"/>
    </w:p>
    <w:p>
      <w:pPr>
        <w:pStyle w:val="style0"/>
        <w:spacing w:after="0" w:lineRule="auto" w:line="480"/>
        <w:ind w:left="720" w:hanging="720"/>
        <w:rPr>
          <w:rFonts w:cs="Times New Roman"/>
          <w:szCs w:val="24"/>
          <w:shd w:val="clear" w:color="auto" w:fill="ffffff"/>
        </w:rPr>
      </w:pPr>
      <w:r>
        <w:rPr>
          <w:rFonts w:cs="Times New Roman"/>
          <w:szCs w:val="24"/>
          <w:shd w:val="clear" w:color="auto" w:fill="ffffff"/>
        </w:rPr>
        <w:t xml:space="preserve">American Heart Association (2023) </w:t>
      </w:r>
      <w:r>
        <w:rPr>
          <w:rFonts w:cs="Times New Roman"/>
          <w:i/>
          <w:iCs/>
          <w:szCs w:val="24"/>
          <w:shd w:val="clear" w:color="auto" w:fill="ffffff"/>
        </w:rPr>
        <w:t>Hypertension control through digital health</w:t>
      </w:r>
      <w:r>
        <w:rPr>
          <w:rFonts w:cs="Times New Roman"/>
          <w:szCs w:val="24"/>
          <w:shd w:val="clear" w:color="auto" w:fill="ffffff"/>
        </w:rPr>
        <w:t xml:space="preserve">. Available at: </w:t>
      </w:r>
      <w:r>
        <w:rPr/>
        <w:fldChar w:fldCharType="begin"/>
      </w:r>
      <w:r>
        <w:instrText xml:space="preserve"> HYPERLINK "https://www.heart.org" \t "_new" </w:instrText>
      </w:r>
      <w:r>
        <w:rPr/>
        <w:fldChar w:fldCharType="separate"/>
      </w:r>
      <w:r>
        <w:rPr>
          <w:rFonts w:cs="Times New Roman"/>
          <w:szCs w:val="24"/>
          <w:u w:val="single"/>
          <w:shd w:val="clear" w:color="auto" w:fill="ffffff"/>
        </w:rPr>
        <w:t>www.heart.org</w:t>
      </w:r>
      <w:r>
        <w:rPr/>
        <w:fldChar w:fldCharType="end"/>
      </w:r>
      <w:r>
        <w:rPr>
          <w:rFonts w:cs="Times New Roman"/>
          <w:szCs w:val="24"/>
          <w:shd w:val="clear" w:color="auto" w:fill="ffffff"/>
        </w:rPr>
        <w:t xml:space="preserve"> (Accessed: 19 November 2024).</w:t>
      </w:r>
    </w:p>
    <w:p>
      <w:pPr>
        <w:pStyle w:val="style0"/>
        <w:spacing w:after="0" w:lineRule="auto" w:line="480"/>
        <w:ind w:left="720" w:hanging="720"/>
        <w:rPr>
          <w:rFonts w:cs="Times New Roman" w:eastAsia="Calibri"/>
          <w:szCs w:val="24"/>
          <w:shd w:val="clear" w:color="auto" w:fill="ffffff"/>
        </w:rPr>
      </w:pPr>
      <w:r>
        <w:rPr>
          <w:rFonts w:cs="Times New Roman" w:eastAsia="Calibri"/>
          <w:szCs w:val="24"/>
          <w:shd w:val="clear" w:color="auto" w:fill="ffffff"/>
        </w:rPr>
        <w:t>Cucciniello, M., Petracca, F., Ciani, O. and Tarricone, R. (2021) Development features and study characteristics of mobile health apps in the management of chronic conditions: a systematic review of randomised trials. </w:t>
      </w:r>
      <w:r>
        <w:rPr>
          <w:rFonts w:cs="Times New Roman" w:eastAsia="Calibri"/>
          <w:i/>
          <w:iCs/>
          <w:szCs w:val="24"/>
          <w:shd w:val="clear" w:color="auto" w:fill="ffffff"/>
        </w:rPr>
        <w:t>NPJ digital medicine</w:t>
      </w:r>
      <w:r>
        <w:rPr>
          <w:rFonts w:cs="Times New Roman" w:eastAsia="Calibri"/>
          <w:szCs w:val="24"/>
          <w:shd w:val="clear" w:color="auto" w:fill="ffffff"/>
        </w:rPr>
        <w:t>, </w:t>
      </w:r>
      <w:r>
        <w:rPr>
          <w:rFonts w:cs="Times New Roman" w:eastAsia="Calibri"/>
          <w:i/>
          <w:iCs/>
          <w:szCs w:val="24"/>
          <w:shd w:val="clear" w:color="auto" w:fill="ffffff"/>
        </w:rPr>
        <w:t>4</w:t>
      </w:r>
      <w:r>
        <w:rPr>
          <w:rFonts w:cs="Times New Roman" w:eastAsia="Calibri"/>
          <w:szCs w:val="24"/>
          <w:shd w:val="clear" w:color="auto" w:fill="ffffff"/>
        </w:rPr>
        <w:t>(1), p.144.</w:t>
      </w:r>
    </w:p>
    <w:p>
      <w:pPr>
        <w:pStyle w:val="style0"/>
        <w:spacing w:after="0" w:lineRule="auto" w:line="480"/>
        <w:ind w:left="720" w:hanging="720"/>
        <w:rPr>
          <w:rFonts w:cs="Times New Roman"/>
          <w:szCs w:val="24"/>
          <w:shd w:val="clear" w:color="auto" w:fill="ffffff"/>
        </w:rPr>
      </w:pPr>
      <w:r>
        <w:rPr>
          <w:rFonts w:cs="Times New Roman"/>
          <w:szCs w:val="24"/>
          <w:shd w:val="clear" w:color="auto" w:fill="ffffff"/>
        </w:rPr>
        <w:t xml:space="preserve">Hamine, S., Gerth-Guyette, E., Faulx, D., Green, B. B., and Ginsburg, A. S. (2022) ‘Impact of mHealth chronic disease management on treatment adherence and patient outcomes: A systematic review’, </w:t>
      </w:r>
      <w:r>
        <w:rPr>
          <w:rFonts w:cs="Times New Roman"/>
          <w:i/>
          <w:iCs/>
          <w:szCs w:val="24"/>
          <w:shd w:val="clear" w:color="auto" w:fill="ffffff"/>
        </w:rPr>
        <w:t>Journal of Medical Internet Research</w:t>
      </w:r>
      <w:r>
        <w:rPr>
          <w:rFonts w:cs="Times New Roman"/>
          <w:szCs w:val="24"/>
          <w:shd w:val="clear" w:color="auto" w:fill="ffffff"/>
        </w:rPr>
        <w:t>, 24(3), pp. 20–30.</w:t>
      </w:r>
    </w:p>
    <w:p>
      <w:pPr>
        <w:pStyle w:val="style0"/>
        <w:spacing w:after="0" w:lineRule="auto" w:line="480"/>
        <w:ind w:left="720" w:hanging="720"/>
        <w:rPr>
          <w:rFonts w:cs="Times New Roman"/>
          <w:szCs w:val="24"/>
          <w:shd w:val="clear" w:color="auto" w:fill="ffffff"/>
        </w:rPr>
      </w:pPr>
      <w:r>
        <w:rPr>
          <w:rFonts w:cs="Times New Roman"/>
          <w:szCs w:val="24"/>
          <w:shd w:val="clear" w:color="auto" w:fill="ffffff"/>
        </w:rPr>
        <w:t xml:space="preserve">MySugr (2023) </w:t>
      </w:r>
      <w:r>
        <w:rPr>
          <w:rFonts w:cs="Times New Roman"/>
          <w:i/>
          <w:iCs/>
          <w:szCs w:val="24"/>
          <w:shd w:val="clear" w:color="auto" w:fill="ffffff"/>
        </w:rPr>
        <w:t>Transforming diabetes management</w:t>
      </w:r>
      <w:r>
        <w:rPr>
          <w:rFonts w:cs="Times New Roman"/>
          <w:szCs w:val="24"/>
          <w:shd w:val="clear" w:color="auto" w:fill="ffffff"/>
        </w:rPr>
        <w:t xml:space="preserve">. Available at: </w:t>
      </w:r>
      <w:r>
        <w:rPr/>
        <w:fldChar w:fldCharType="begin"/>
      </w:r>
      <w:r>
        <w:instrText xml:space="preserve"> HYPERLINK "https://www.mysugr.com" \t "_new" </w:instrText>
      </w:r>
      <w:r>
        <w:rPr/>
        <w:fldChar w:fldCharType="separate"/>
      </w:r>
      <w:r>
        <w:rPr>
          <w:rFonts w:cs="Times New Roman"/>
          <w:szCs w:val="24"/>
          <w:u w:val="single"/>
          <w:shd w:val="clear" w:color="auto" w:fill="ffffff"/>
        </w:rPr>
        <w:t>www.mysugr.com</w:t>
      </w:r>
      <w:r>
        <w:rPr/>
        <w:fldChar w:fldCharType="end"/>
      </w:r>
      <w:r>
        <w:rPr>
          <w:rFonts w:cs="Times New Roman"/>
          <w:szCs w:val="24"/>
          <w:shd w:val="clear" w:color="auto" w:fill="ffffff"/>
        </w:rPr>
        <w:t xml:space="preserve"> (Accessed: 19 November 2024).</w:t>
      </w:r>
    </w:p>
    <w:p>
      <w:pPr>
        <w:pStyle w:val="style0"/>
        <w:spacing w:after="0" w:lineRule="auto" w:line="480"/>
        <w:ind w:left="720" w:hanging="720"/>
        <w:rPr>
          <w:rFonts w:cs="Times New Roman" w:eastAsia="Calibri"/>
          <w:szCs w:val="24"/>
          <w:shd w:val="clear" w:color="auto" w:fill="ffffff"/>
        </w:rPr>
      </w:pPr>
      <w:r>
        <w:rPr>
          <w:rFonts w:cs="Times New Roman" w:eastAsia="Calibri"/>
          <w:szCs w:val="24"/>
          <w:shd w:val="clear" w:color="auto" w:fill="ffffff"/>
        </w:rPr>
        <w:t>Rahman, K., Pasam, P., Addimulam, S. and Natakam, V.M., 2022. Leveraging AI for Chronic Disease Management: A New Horizon in Medical Research. </w:t>
      </w:r>
      <w:r>
        <w:rPr>
          <w:rFonts w:cs="Times New Roman" w:eastAsia="Calibri"/>
          <w:i/>
          <w:iCs/>
          <w:szCs w:val="24"/>
          <w:shd w:val="clear" w:color="auto" w:fill="ffffff"/>
        </w:rPr>
        <w:t>Malaysian Journal of Medical and Biological Research</w:t>
      </w:r>
      <w:r>
        <w:rPr>
          <w:rFonts w:cs="Times New Roman" w:eastAsia="Calibri"/>
          <w:szCs w:val="24"/>
          <w:shd w:val="clear" w:color="auto" w:fill="ffffff"/>
        </w:rPr>
        <w:t>, </w:t>
      </w:r>
      <w:r>
        <w:rPr>
          <w:rFonts w:cs="Times New Roman" w:eastAsia="Calibri"/>
          <w:i/>
          <w:iCs/>
          <w:szCs w:val="24"/>
          <w:shd w:val="clear" w:color="auto" w:fill="ffffff"/>
        </w:rPr>
        <w:t>9</w:t>
      </w:r>
      <w:r>
        <w:rPr>
          <w:rFonts w:cs="Times New Roman" w:eastAsia="Calibri"/>
          <w:szCs w:val="24"/>
          <w:shd w:val="clear" w:color="auto" w:fill="ffffff"/>
        </w:rPr>
        <w:t>(2), pp.81-90.</w:t>
      </w:r>
    </w:p>
    <w:p>
      <w:pPr>
        <w:pStyle w:val="style0"/>
        <w:spacing w:after="0" w:lineRule="auto" w:line="480"/>
        <w:ind w:left="720" w:hanging="720"/>
        <w:rPr>
          <w:rFonts w:cs="Times New Roman" w:eastAsia="Calibri"/>
        </w:rPr>
      </w:pPr>
      <w:r>
        <w:rPr>
          <w:rFonts w:cs="Times New Roman" w:eastAsia="Calibri"/>
          <w:szCs w:val="24"/>
          <w:shd w:val="clear" w:color="auto" w:fill="ffffff"/>
        </w:rPr>
        <w:t xml:space="preserve">World Health Organization (2023) </w:t>
      </w:r>
      <w:r>
        <w:rPr>
          <w:rFonts w:cs="Times New Roman" w:eastAsia="Calibri"/>
          <w:i/>
          <w:iCs/>
          <w:szCs w:val="24"/>
          <w:shd w:val="clear" w:color="auto" w:fill="ffffff"/>
        </w:rPr>
        <w:t>chronic diseases: Key facts</w:t>
      </w:r>
      <w:r>
        <w:rPr>
          <w:rFonts w:cs="Times New Roman" w:eastAsia="Calibri"/>
          <w:szCs w:val="24"/>
          <w:shd w:val="clear" w:color="auto" w:fill="ffffff"/>
        </w:rPr>
        <w:t xml:space="preserve">. Available at: </w:t>
      </w:r>
      <w:r>
        <w:rPr/>
        <w:fldChar w:fldCharType="begin"/>
      </w:r>
      <w:r>
        <w:instrText xml:space="preserve"> HYPERLINK "https://www.who.int" \t "_new" </w:instrText>
      </w:r>
      <w:r>
        <w:rPr/>
        <w:fldChar w:fldCharType="separate"/>
      </w:r>
      <w:r>
        <w:rPr>
          <w:rFonts w:cs="Times New Roman" w:eastAsia="Calibri"/>
          <w:szCs w:val="24"/>
          <w:u w:val="single"/>
          <w:shd w:val="clear" w:color="auto" w:fill="ffffff"/>
        </w:rPr>
        <w:t>www.who.int</w:t>
      </w:r>
      <w:r>
        <w:rPr/>
        <w:fldChar w:fldCharType="end"/>
      </w:r>
      <w:r>
        <w:rPr>
          <w:rFonts w:cs="Times New Roman" w:eastAsia="Calibri"/>
          <w:szCs w:val="24"/>
          <w:shd w:val="clear" w:color="auto" w:fill="ffffff"/>
        </w:rPr>
        <w:t xml:space="preserve"> (Accessed: 19 November 2024).</w:t>
      </w:r>
    </w:p>
    <w:p>
      <w:pPr>
        <w:pStyle w:val="style0"/>
        <w:spacing w:after="0" w:lineRule="auto" w:line="480"/>
        <w:ind w:left="720" w:hanging="720"/>
        <w:rPr>
          <w:rFonts w:cs="Times New Roman"/>
          <w:szCs w:val="24"/>
          <w:shd w:val="clear" w:color="auto" w:fill="ffffff"/>
        </w:rPr>
      </w:pPr>
      <w:r>
        <w:rPr>
          <w:rFonts w:cs="Times New Roman"/>
          <w:szCs w:val="24"/>
          <w:shd w:val="clear" w:color="auto" w:fill="ffffff"/>
        </w:rPr>
        <w:t xml:space="preserve">World Health Organization (2023) </w:t>
      </w:r>
      <w:r>
        <w:rPr>
          <w:rFonts w:cs="Times New Roman"/>
          <w:i/>
          <w:iCs/>
          <w:szCs w:val="24"/>
          <w:shd w:val="clear" w:color="auto" w:fill="ffffff"/>
        </w:rPr>
        <w:t>chronic</w:t>
      </w:r>
      <w:r>
        <w:rPr>
          <w:rFonts w:cs="Times New Roman"/>
          <w:i/>
          <w:iCs/>
          <w:szCs w:val="24"/>
          <w:shd w:val="clear" w:color="auto" w:fill="ffffff"/>
        </w:rPr>
        <w:t xml:space="preserve"> diseases: Key facts</w:t>
      </w:r>
      <w:r>
        <w:rPr>
          <w:rFonts w:cs="Times New Roman"/>
          <w:szCs w:val="24"/>
          <w:shd w:val="clear" w:color="auto" w:fill="ffffff"/>
        </w:rPr>
        <w:t xml:space="preserve">. Available at: </w:t>
      </w:r>
      <w:r>
        <w:rPr/>
        <w:fldChar w:fldCharType="begin"/>
      </w:r>
      <w:r>
        <w:instrText xml:space="preserve"> HYPERLINK "https://www.who.int" \t "_new" </w:instrText>
      </w:r>
      <w:r>
        <w:rPr/>
        <w:fldChar w:fldCharType="separate"/>
      </w:r>
      <w:r>
        <w:rPr>
          <w:rFonts w:cs="Times New Roman"/>
          <w:szCs w:val="24"/>
          <w:u w:val="single"/>
          <w:shd w:val="clear" w:color="auto" w:fill="ffffff"/>
        </w:rPr>
        <w:t>www.who.int</w:t>
      </w:r>
      <w:r>
        <w:rPr/>
        <w:fldChar w:fldCharType="end"/>
      </w:r>
      <w:r>
        <w:rPr>
          <w:rFonts w:cs="Times New Roman"/>
          <w:szCs w:val="24"/>
          <w:shd w:val="clear" w:color="auto" w:fill="ffffff"/>
        </w:rPr>
        <w:t xml:space="preserve"> (Accessed: 19 November 2024).</w:t>
      </w:r>
    </w:p>
    <w:p>
      <w:pPr>
        <w:pStyle w:val="style0"/>
        <w:spacing w:after="0" w:lineRule="auto" w:line="480"/>
        <w:ind w:left="720" w:hanging="720"/>
        <w:rPr>
          <w:rFonts w:cs="Times New Roman"/>
          <w:sz w:val="32"/>
          <w:szCs w:val="28"/>
          <w:shd w:val="clear" w:color="auto" w:fill="ffffff"/>
        </w:rPr>
      </w:pPr>
      <w:r>
        <w:rPr>
          <w:rFonts w:cs="Times New Roman"/>
          <w:szCs w:val="24"/>
          <w:shd w:val="clear" w:color="auto" w:fill="ffffff"/>
        </w:rPr>
        <w:t>Zou, K.H., Li, J.Z., Salem, L.A., Imperato, J., Edwards, J. and Ray, A. (2021) Harnessing real-world evidence to reduce the burden of non-communicable disease: health information technology and innovation to generate insights. </w:t>
      </w:r>
      <w:r>
        <w:rPr>
          <w:rFonts w:cs="Times New Roman"/>
          <w:i/>
          <w:iCs/>
          <w:szCs w:val="24"/>
          <w:shd w:val="clear" w:color="auto" w:fill="ffffff"/>
        </w:rPr>
        <w:t>Health Services and Outcomes Research Methodology</w:t>
      </w:r>
      <w:r>
        <w:rPr>
          <w:rFonts w:cs="Times New Roman"/>
          <w:szCs w:val="24"/>
          <w:shd w:val="clear" w:color="auto" w:fill="ffffff"/>
        </w:rPr>
        <w:t>, </w:t>
      </w:r>
      <w:r>
        <w:rPr>
          <w:rFonts w:cs="Times New Roman"/>
          <w:i/>
          <w:iCs/>
          <w:szCs w:val="24"/>
          <w:shd w:val="clear" w:color="auto" w:fill="ffffff"/>
        </w:rPr>
        <w:t>21</w:t>
      </w:r>
      <w:r>
        <w:rPr>
          <w:rFonts w:cs="Times New Roman"/>
          <w:szCs w:val="24"/>
          <w:shd w:val="clear" w:color="auto" w:fill="ffffff"/>
        </w:rPr>
        <w:t>(1), pp.8-20.</w:t>
      </w:r>
    </w:p>
    <w:p>
      <w:pPr>
        <w:pStyle w:val="style0"/>
        <w:rPr/>
      </w:pPr>
    </w:p>
    <w:bookmarkStart w:id="17" w:name="_Toc183397597"/>
    <w:p>
      <w:pPr>
        <w:pStyle w:val="style1"/>
        <w:rPr/>
      </w:pPr>
      <w:r>
        <w:t>Task 2</w:t>
      </w:r>
      <w:bookmarkEnd w:id="17"/>
    </w:p>
    <w:bookmarkStart w:id="18" w:name="_Toc183397598"/>
    <w:p>
      <w:pPr>
        <w:pStyle w:val="style1"/>
        <w:rPr/>
      </w:pPr>
      <w:r>
        <w:t>Poster</w:t>
      </w:r>
      <w:bookmarkEnd w:id="18"/>
    </w:p>
    <w:p>
      <w:pPr>
        <w:pStyle w:val="style0"/>
        <w:spacing w:lineRule="auto" w:line="480"/>
        <w:jc w:val="both"/>
        <w:rPr/>
      </w:pPr>
      <w:r>
        <w:rPr>
          <w:noProof/>
        </w:rPr>
        <w:drawing>
          <wp:inline distL="0" distT="0" distB="0" distR="0">
            <wp:extent cx="6267450" cy="3303214"/>
            <wp:effectExtent l="0" t="0" r="0" b="0"/>
            <wp:docPr id="1033" name="Graphic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Graphic 7"/>
                    <pic:cNvPicPr/>
                  </pic:nvPicPr>
                  <pic:blipFill>
                    <a:blip r:embed="rId9" cstate="print"/>
                    <a:srcRect l="0" t="0" r="0" b="0"/>
                    <a:stretch/>
                  </pic:blipFill>
                  <pic:spPr>
                    <a:xfrm rot="0">
                      <a:off x="0" y="0"/>
                      <a:ext cx="6267450" cy="3303214"/>
                    </a:xfrm>
                    <a:prstGeom prst="rect"/>
                  </pic:spPr>
                </pic:pic>
              </a:graphicData>
            </a:graphic>
          </wp:inline>
        </w:drawing>
      </w:r>
    </w:p>
    <w:p>
      <w:pPr>
        <w:pStyle w:val="style0"/>
        <w:rPr>
          <w:rFonts w:cs="宋体" w:eastAsia="宋体"/>
          <w:szCs w:val="32"/>
          <w:shd w:val="clear" w:color="auto" w:fill="ffffff"/>
        </w:rPr>
      </w:pPr>
      <w:r>
        <w:rPr>
          <w:shd w:val="clear" w:color="auto" w:fill="ffffff"/>
        </w:rPr>
        <w:br w:type="page"/>
      </w:r>
    </w:p>
    <w:bookmarkStart w:id="19" w:name="_Toc183397599"/>
    <w:p>
      <w:pPr>
        <w:pStyle w:val="style1"/>
        <w:spacing w:lineRule="auto" w:line="480"/>
        <w:rPr>
          <w:shd w:val="clear" w:color="auto" w:fill="ffffff"/>
        </w:rPr>
      </w:pPr>
      <w:r>
        <w:rPr>
          <w:shd w:val="clear" w:color="auto" w:fill="ffffff"/>
        </w:rPr>
        <w:t>References</w:t>
      </w:r>
      <w:bookmarkEnd w:id="19"/>
    </w:p>
    <w:p>
      <w:pPr>
        <w:pStyle w:val="style0"/>
        <w:spacing w:after="0" w:lineRule="auto" w:line="480"/>
        <w:ind w:left="720" w:hanging="720"/>
        <w:rPr>
          <w:rFonts w:cs="Times New Roman"/>
          <w:szCs w:val="24"/>
          <w:shd w:val="clear" w:color="auto" w:fill="ffffff"/>
        </w:rPr>
      </w:pPr>
      <w:r>
        <w:rPr>
          <w:rFonts w:cs="Times New Roman"/>
          <w:szCs w:val="24"/>
          <w:shd w:val="clear" w:color="auto" w:fill="ffffff"/>
        </w:rPr>
        <w:t>Ahmadi, A., 2024. Digital health transformation: leveraging ai for monitoring and disease management. </w:t>
      </w:r>
      <w:r>
        <w:rPr>
          <w:rFonts w:cs="Times New Roman"/>
          <w:i/>
          <w:iCs/>
          <w:szCs w:val="24"/>
          <w:shd w:val="clear" w:color="auto" w:fill="ffffff"/>
        </w:rPr>
        <w:t>International Journal of BioLife Sciences (IJBLS)</w:t>
      </w:r>
      <w:r>
        <w:rPr>
          <w:rFonts w:cs="Times New Roman"/>
          <w:szCs w:val="24"/>
          <w:shd w:val="clear" w:color="auto" w:fill="ffffff"/>
        </w:rPr>
        <w:t>, </w:t>
      </w:r>
      <w:r>
        <w:rPr>
          <w:rFonts w:cs="Times New Roman"/>
          <w:i/>
          <w:iCs/>
          <w:szCs w:val="24"/>
          <w:shd w:val="clear" w:color="auto" w:fill="ffffff"/>
        </w:rPr>
        <w:t>3</w:t>
      </w:r>
      <w:r>
        <w:rPr>
          <w:rFonts w:cs="Times New Roman"/>
          <w:szCs w:val="24"/>
          <w:shd w:val="clear" w:color="auto" w:fill="ffffff"/>
        </w:rPr>
        <w:t>(1), pp.10-24.</w:t>
      </w:r>
    </w:p>
    <w:p>
      <w:pPr>
        <w:pStyle w:val="style0"/>
        <w:spacing w:after="0" w:lineRule="auto" w:line="480"/>
        <w:ind w:left="720" w:hanging="720"/>
        <w:rPr>
          <w:rFonts w:cs="Times New Roman"/>
          <w:szCs w:val="24"/>
          <w:shd w:val="clear" w:color="auto" w:fill="ffffff"/>
        </w:rPr>
      </w:pPr>
      <w:r>
        <w:rPr>
          <w:rFonts w:cs="Times New Roman"/>
          <w:szCs w:val="24"/>
          <w:shd w:val="clear" w:color="auto" w:fill="ffffff"/>
        </w:rPr>
        <w:t xml:space="preserve">Craig, J. (n.d.) </w:t>
      </w:r>
      <w:r>
        <w:rPr>
          <w:rFonts w:cs="Times New Roman"/>
          <w:i/>
          <w:iCs/>
          <w:szCs w:val="24"/>
          <w:shd w:val="clear" w:color="auto" w:fill="ffffff"/>
        </w:rPr>
        <w:t>chronic</w:t>
      </w:r>
      <w:r>
        <w:rPr>
          <w:rFonts w:cs="Times New Roman"/>
          <w:i/>
          <w:iCs/>
          <w:szCs w:val="24"/>
          <w:shd w:val="clear" w:color="auto" w:fill="ffffff"/>
        </w:rPr>
        <w:t xml:space="preserve"> diseases cause 75 percent of all deaths globally. The toll is likely to rise: How diseases like cancer and diabetes are growing, explained in four charts</w:t>
      </w:r>
      <w:r>
        <w:rPr>
          <w:rFonts w:cs="Times New Roman"/>
          <w:szCs w:val="24"/>
          <w:shd w:val="clear" w:color="auto" w:fill="ffffff"/>
        </w:rPr>
        <w:t xml:space="preserve">. Vox. Available at: </w:t>
      </w:r>
      <w:r>
        <w:rPr/>
        <w:fldChar w:fldCharType="begin"/>
      </w:r>
      <w:r>
        <w:instrText xml:space="preserve"> HYPERLINK "https://www.vox.com/future-perfect/373495/chronic-disease-global-rates-cancer-diabetes-noncommunicable" \t "_new" </w:instrText>
      </w:r>
      <w:r>
        <w:rPr/>
        <w:fldChar w:fldCharType="separate"/>
      </w:r>
      <w:r>
        <w:rPr>
          <w:rStyle w:val="style85"/>
          <w:rFonts w:cs="Times New Roman"/>
          <w:color w:val="auto"/>
          <w:szCs w:val="24"/>
          <w:shd w:val="clear" w:color="auto" w:fill="ffffff"/>
        </w:rPr>
        <w:t>https://www.vox.com/future-perfect/373495/chronic-disease-global-rates-cancer-diabetes-noncommunicable</w:t>
      </w:r>
      <w:r>
        <w:rPr/>
        <w:fldChar w:fldCharType="end"/>
      </w:r>
      <w:r>
        <w:rPr>
          <w:rFonts w:cs="Times New Roman"/>
          <w:szCs w:val="24"/>
          <w:shd w:val="clear" w:color="auto" w:fill="ffffff"/>
        </w:rPr>
        <w:t xml:space="preserve"> (Accessed: 25 November 2024).</w:t>
      </w:r>
    </w:p>
    <w:p>
      <w:pPr>
        <w:pStyle w:val="style0"/>
        <w:spacing w:after="0" w:lineRule="auto" w:line="480"/>
        <w:ind w:left="720" w:hanging="720"/>
        <w:rPr>
          <w:rFonts w:cs="Times New Roman"/>
          <w:szCs w:val="24"/>
          <w:shd w:val="clear" w:color="auto" w:fill="ffffff"/>
        </w:rPr>
      </w:pPr>
      <w:r>
        <w:rPr>
          <w:rFonts w:cs="Times New Roman"/>
          <w:szCs w:val="24"/>
          <w:shd w:val="clear" w:color="auto" w:fill="ffffff"/>
        </w:rPr>
        <w:t>Danda, R.R. and Dileep, V., 2024. Leveraging AI and Machine Learning for Enhanced Preventive Care and Chronic Disease Management in Health Insurance Plans. </w:t>
      </w:r>
      <w:r>
        <w:rPr>
          <w:rFonts w:cs="Times New Roman"/>
          <w:i/>
          <w:iCs/>
          <w:szCs w:val="24"/>
          <w:shd w:val="clear" w:color="auto" w:fill="ffffff"/>
        </w:rPr>
        <w:t>Frontiers in Health Informatics</w:t>
      </w:r>
      <w:r>
        <w:rPr>
          <w:rFonts w:cs="Times New Roman"/>
          <w:szCs w:val="24"/>
          <w:shd w:val="clear" w:color="auto" w:fill="ffffff"/>
        </w:rPr>
        <w:t>, pp.6878-6891.</w:t>
      </w:r>
    </w:p>
    <w:p>
      <w:pPr>
        <w:pStyle w:val="style0"/>
        <w:spacing w:after="0" w:lineRule="auto" w:line="480"/>
        <w:ind w:left="720" w:hanging="720"/>
        <w:rPr>
          <w:rFonts w:cs="Times New Roman"/>
          <w:szCs w:val="24"/>
          <w:shd w:val="clear" w:color="auto" w:fill="ffffff"/>
        </w:rPr>
      </w:pPr>
      <w:r>
        <w:rPr>
          <w:rFonts w:cs="Times New Roman"/>
          <w:szCs w:val="24"/>
          <w:shd w:val="clear" w:color="auto" w:fill="ffffff"/>
        </w:rPr>
        <w:t>Hamine, S., Gerth-Guyette, E., Faulx, D., Green, B.B. and Ginsburg, A.S. (2015) Impact of mHealth chronic disease management on treatment adherence and patient outcomes: a systematic review. </w:t>
      </w:r>
      <w:r>
        <w:rPr>
          <w:rFonts w:cs="Times New Roman"/>
          <w:i/>
          <w:iCs/>
          <w:szCs w:val="24"/>
          <w:shd w:val="clear" w:color="auto" w:fill="ffffff"/>
        </w:rPr>
        <w:t>Journal of medical Internet research</w:t>
      </w:r>
      <w:r>
        <w:rPr>
          <w:rFonts w:cs="Times New Roman"/>
          <w:szCs w:val="24"/>
          <w:shd w:val="clear" w:color="auto" w:fill="ffffff"/>
        </w:rPr>
        <w:t>, </w:t>
      </w:r>
      <w:r>
        <w:rPr>
          <w:rFonts w:cs="Times New Roman"/>
          <w:i/>
          <w:iCs/>
          <w:szCs w:val="24"/>
          <w:shd w:val="clear" w:color="auto" w:fill="ffffff"/>
        </w:rPr>
        <w:t>17</w:t>
      </w:r>
      <w:r>
        <w:rPr>
          <w:rFonts w:cs="Times New Roman"/>
          <w:szCs w:val="24"/>
          <w:shd w:val="clear" w:color="auto" w:fill="ffffff"/>
        </w:rPr>
        <w:t>(2), p.e52.</w:t>
      </w:r>
    </w:p>
    <w:p>
      <w:pPr>
        <w:pStyle w:val="style0"/>
        <w:spacing w:after="0" w:lineRule="auto" w:line="480"/>
        <w:ind w:left="720" w:hanging="720"/>
        <w:rPr>
          <w:rFonts w:cs="Times New Roman"/>
          <w:szCs w:val="24"/>
          <w:shd w:val="clear" w:color="auto" w:fill="ffffff"/>
        </w:rPr>
      </w:pPr>
      <w:r>
        <w:rPr>
          <w:rFonts w:cs="Times New Roman"/>
          <w:szCs w:val="24"/>
          <w:shd w:val="clear" w:color="auto" w:fill="ffffff"/>
        </w:rPr>
        <w:t>Rahman, K., Pasam, P., Addimulam, S. and Natakam, V.M., 2022. Leveraging AI for Chronic Disease Management: A New Horizon in Medical Research. </w:t>
      </w:r>
      <w:r>
        <w:rPr>
          <w:rFonts w:cs="Times New Roman"/>
          <w:i/>
          <w:iCs/>
          <w:szCs w:val="24"/>
          <w:shd w:val="clear" w:color="auto" w:fill="ffffff"/>
        </w:rPr>
        <w:t>Malaysian Journal of Medical and Biological Research</w:t>
      </w:r>
      <w:r>
        <w:rPr>
          <w:rFonts w:cs="Times New Roman"/>
          <w:szCs w:val="24"/>
          <w:shd w:val="clear" w:color="auto" w:fill="ffffff"/>
        </w:rPr>
        <w:t>, </w:t>
      </w:r>
      <w:r>
        <w:rPr>
          <w:rFonts w:cs="Times New Roman"/>
          <w:i/>
          <w:iCs/>
          <w:szCs w:val="24"/>
          <w:shd w:val="clear" w:color="auto" w:fill="ffffff"/>
        </w:rPr>
        <w:t>9</w:t>
      </w:r>
      <w:r>
        <w:rPr>
          <w:rFonts w:cs="Times New Roman"/>
          <w:szCs w:val="24"/>
          <w:shd w:val="clear" w:color="auto" w:fill="ffffff"/>
        </w:rPr>
        <w:t>(2), pp.81-90.</w:t>
      </w:r>
    </w:p>
    <w:p>
      <w:pPr>
        <w:pStyle w:val="style0"/>
        <w:spacing w:after="0" w:lineRule="auto" w:line="480"/>
        <w:ind w:left="720" w:hanging="720"/>
        <w:rPr>
          <w:rFonts w:cs="Times New Roman"/>
          <w:szCs w:val="24"/>
          <w:shd w:val="clear" w:color="auto" w:fill="ffffff"/>
        </w:rPr>
      </w:pPr>
      <w:r>
        <w:rPr>
          <w:rFonts w:cs="Times New Roman"/>
          <w:szCs w:val="24"/>
          <w:shd w:val="clear" w:color="auto" w:fill="ffffff"/>
        </w:rPr>
        <w:t>Rosenstock, I.M., Strecher, V.J. and Becker, M.H. (1988) Social learning theory and the health belief model. </w:t>
      </w:r>
      <w:r>
        <w:rPr>
          <w:rFonts w:cs="Times New Roman"/>
          <w:i/>
          <w:iCs/>
          <w:szCs w:val="24"/>
          <w:shd w:val="clear" w:color="auto" w:fill="ffffff"/>
        </w:rPr>
        <w:t>Health education quarterly</w:t>
      </w:r>
      <w:r>
        <w:rPr>
          <w:rFonts w:cs="Times New Roman"/>
          <w:szCs w:val="24"/>
          <w:shd w:val="clear" w:color="auto" w:fill="ffffff"/>
        </w:rPr>
        <w:t>, </w:t>
      </w:r>
      <w:r>
        <w:rPr>
          <w:rFonts w:cs="Times New Roman"/>
          <w:i/>
          <w:iCs/>
          <w:szCs w:val="24"/>
          <w:shd w:val="clear" w:color="auto" w:fill="ffffff"/>
        </w:rPr>
        <w:t>15</w:t>
      </w:r>
      <w:r>
        <w:rPr>
          <w:rFonts w:cs="Times New Roman"/>
          <w:szCs w:val="24"/>
          <w:shd w:val="clear" w:color="auto" w:fill="ffffff"/>
        </w:rPr>
        <w:t>(2), pp.175-183.</w:t>
      </w:r>
    </w:p>
    <w:p>
      <w:pPr>
        <w:pStyle w:val="style0"/>
        <w:spacing w:after="0" w:lineRule="auto" w:line="480"/>
        <w:ind w:left="720" w:hanging="720"/>
        <w:rPr>
          <w:szCs w:val="24"/>
        </w:rPr>
      </w:pPr>
      <w:r>
        <w:rPr>
          <w:rFonts w:cs="Times New Roman"/>
          <w:szCs w:val="24"/>
          <w:shd w:val="clear" w:color="auto" w:fill="ffffff"/>
        </w:rPr>
        <w:t xml:space="preserve">World Health Organization (2023) </w:t>
      </w:r>
      <w:r>
        <w:rPr>
          <w:rFonts w:cs="Times New Roman"/>
          <w:i/>
          <w:iCs/>
          <w:szCs w:val="24"/>
          <w:shd w:val="clear" w:color="auto" w:fill="ffffff"/>
        </w:rPr>
        <w:t>chronic</w:t>
      </w:r>
      <w:r>
        <w:rPr>
          <w:rFonts w:cs="Times New Roman"/>
          <w:i/>
          <w:iCs/>
          <w:szCs w:val="24"/>
          <w:shd w:val="clear" w:color="auto" w:fill="ffffff"/>
        </w:rPr>
        <w:t xml:space="preserve"> diseases: Key facts</w:t>
      </w:r>
      <w:r>
        <w:rPr>
          <w:rFonts w:cs="Times New Roman"/>
          <w:szCs w:val="24"/>
          <w:shd w:val="clear" w:color="auto" w:fill="ffffff"/>
        </w:rPr>
        <w:t xml:space="preserve">. Available at: </w:t>
      </w:r>
      <w:r>
        <w:rPr/>
        <w:fldChar w:fldCharType="begin"/>
      </w:r>
      <w:r>
        <w:instrText xml:space="preserve"> HYPERLINK "https://www.who.int" \t "_new" </w:instrText>
      </w:r>
      <w:r>
        <w:rPr/>
        <w:fldChar w:fldCharType="separate"/>
      </w:r>
      <w:r>
        <w:rPr>
          <w:rStyle w:val="style85"/>
          <w:rFonts w:cs="Times New Roman"/>
          <w:color w:val="auto"/>
          <w:szCs w:val="24"/>
          <w:shd w:val="clear" w:color="auto" w:fill="ffffff"/>
        </w:rPr>
        <w:t>www.who.int</w:t>
      </w:r>
      <w:r>
        <w:rPr/>
        <w:fldChar w:fldCharType="end"/>
      </w:r>
      <w:r>
        <w:rPr>
          <w:rFonts w:cs="Times New Roman"/>
          <w:szCs w:val="24"/>
          <w:shd w:val="clear" w:color="auto" w:fill="ffffff"/>
        </w:rPr>
        <w:t xml:space="preserve"> (Accessed: 19 November 2024).</w:t>
      </w:r>
    </w:p>
    <w:sectPr>
      <w:footerReference w:type="default" r:id="rId1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4</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19461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007E5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A6E2B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45902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B538D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removePersonalInformation/>
  <w:removeDateAndTime/>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rPr>
      <w:rFonts w:ascii="Times New Roman" w:hAnsi="Times New Roman"/>
      <w:sz w:val="24"/>
    </w:rPr>
  </w:style>
  <w:style w:type="paragraph" w:styleId="style1">
    <w:name w:val="heading 1"/>
    <w:basedOn w:val="style0"/>
    <w:next w:val="style0"/>
    <w:link w:val="style4097"/>
    <w:qFormat/>
    <w:uiPriority w:val="9"/>
    <w:pPr>
      <w:keepNext/>
      <w:keepLines/>
      <w:spacing w:before="240" w:after="0" w:lineRule="auto" w:line="360"/>
      <w:outlineLvl w:val="0"/>
    </w:pPr>
    <w:rPr>
      <w:rFonts w:cs="宋体" w:eastAsia="宋体"/>
      <w:b/>
      <w:sz w:val="28"/>
      <w:szCs w:val="32"/>
    </w:rPr>
  </w:style>
  <w:style w:type="paragraph" w:styleId="style2">
    <w:name w:val="heading 2"/>
    <w:basedOn w:val="style0"/>
    <w:next w:val="style0"/>
    <w:link w:val="style4098"/>
    <w:qFormat/>
    <w:uiPriority w:val="9"/>
    <w:pPr>
      <w:keepNext/>
      <w:keepLines/>
      <w:spacing w:before="40" w:after="0" w:lineRule="auto" w:line="360"/>
      <w:outlineLvl w:val="1"/>
    </w:pPr>
    <w:rPr>
      <w:rFonts w:cs="宋体" w:eastAsia="宋体"/>
      <w:i/>
      <w:sz w:val="26"/>
      <w:szCs w:val="26"/>
    </w:rPr>
  </w:style>
  <w:style w:type="paragraph" w:styleId="style3">
    <w:name w:val="heading 3"/>
    <w:basedOn w:val="style0"/>
    <w:next w:val="style0"/>
    <w:link w:val="style4099"/>
    <w:qFormat/>
    <w:uiPriority w:val="9"/>
    <w:pPr>
      <w:keepNext/>
      <w:keepLines/>
      <w:spacing w:before="40" w:after="0"/>
      <w:outlineLvl w:val="2"/>
    </w:pPr>
    <w:rPr>
      <w:rFonts w:ascii="Calibri Light" w:cs="宋体" w:eastAsia="宋体" w:hAnsi="Calibri Light"/>
      <w:color w:val="1f3763"/>
      <w:szCs w:val="24"/>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9e864e26-6077-401e-8039-fa6920747802"/>
    <w:basedOn w:val="style65"/>
    <w:next w:val="style4097"/>
    <w:link w:val="style1"/>
    <w:uiPriority w:val="9"/>
    <w:rPr>
      <w:rFonts w:ascii="Times New Roman" w:cs="宋体" w:eastAsia="宋体" w:hAnsi="Times New Roman"/>
      <w:b/>
      <w:sz w:val="28"/>
      <w:szCs w:val="32"/>
    </w:rPr>
  </w:style>
  <w:style w:type="character" w:customStyle="1" w:styleId="style4098">
    <w:name w:val="Heading 2 Char_96b5ac7a-17f7-494e-a2e9-c9afee5dadf0"/>
    <w:basedOn w:val="style65"/>
    <w:next w:val="style4098"/>
    <w:link w:val="style2"/>
    <w:uiPriority w:val="9"/>
    <w:rPr>
      <w:rFonts w:ascii="Times New Roman" w:cs="宋体" w:eastAsia="宋体" w:hAnsi="Times New Roman"/>
      <w:i/>
      <w:sz w:val="26"/>
      <w:szCs w:val="26"/>
    </w:rPr>
  </w:style>
  <w:style w:type="paragraph" w:styleId="style179">
    <w:name w:val="List Paragraph"/>
    <w:basedOn w:val="style0"/>
    <w:next w:val="style179"/>
    <w:qFormat/>
    <w:uiPriority w:val="34"/>
    <w:pPr>
      <w:ind w:left="720"/>
      <w:contextualSpacing/>
    </w:pPr>
    <w:rPr/>
  </w:style>
  <w:style w:type="character" w:customStyle="1" w:styleId="style4099">
    <w:name w:val="Heading 3 Char_3a30fb3d-84a0-46de-bee7-35c1ad4a2f96"/>
    <w:basedOn w:val="style65"/>
    <w:next w:val="style4099"/>
    <w:link w:val="style3"/>
    <w:uiPriority w:val="9"/>
    <w:rPr>
      <w:rFonts w:ascii="Calibri Light" w:cs="宋体" w:eastAsia="宋体" w:hAnsi="Calibri Light"/>
      <w:color w:val="1f3763"/>
      <w:sz w:val="24"/>
      <w:szCs w:val="24"/>
    </w:rPr>
  </w:style>
  <w:style w:type="character" w:styleId="style85">
    <w:name w:val="Hyperlink"/>
    <w:basedOn w:val="style65"/>
    <w:next w:val="style85"/>
    <w:uiPriority w:val="99"/>
    <w:rPr>
      <w:color w:val="0563c1"/>
      <w:u w:val="single"/>
    </w:rPr>
  </w:style>
  <w:style w:type="character" w:customStyle="1" w:styleId="style4100">
    <w:name w:val="Unresolved Mention"/>
    <w:basedOn w:val="style65"/>
    <w:next w:val="style4100"/>
    <w:uiPriority w:val="99"/>
    <w:rPr>
      <w:color w:val="605e5c"/>
      <w:shd w:val="clear" w:color="auto" w:fill="e1dfdd"/>
    </w:rPr>
  </w:style>
  <w:style w:type="paragraph" w:styleId="style31">
    <w:name w:val="header"/>
    <w:basedOn w:val="style0"/>
    <w:next w:val="style31"/>
    <w:link w:val="style4101"/>
    <w:uiPriority w:val="99"/>
    <w:pPr>
      <w:tabs>
        <w:tab w:val="center" w:leader="none" w:pos="4680"/>
        <w:tab w:val="right" w:leader="none" w:pos="9360"/>
      </w:tabs>
      <w:spacing w:after="0" w:lineRule="auto" w:line="240"/>
    </w:pPr>
    <w:rPr/>
  </w:style>
  <w:style w:type="character" w:customStyle="1" w:styleId="style4101">
    <w:name w:val="Header Char_a70a068a-42ce-433a-8f3a-560042011d7b"/>
    <w:basedOn w:val="style65"/>
    <w:next w:val="style4101"/>
    <w:link w:val="style31"/>
    <w:uiPriority w:val="99"/>
    <w:rPr>
      <w:rFonts w:ascii="Times New Roman" w:hAnsi="Times New Roman"/>
      <w:sz w:val="24"/>
    </w:rPr>
  </w:style>
  <w:style w:type="paragraph" w:styleId="style32">
    <w:name w:val="footer"/>
    <w:basedOn w:val="style0"/>
    <w:next w:val="style32"/>
    <w:link w:val="style4102"/>
    <w:uiPriority w:val="99"/>
    <w:pPr>
      <w:tabs>
        <w:tab w:val="center" w:leader="none" w:pos="4680"/>
        <w:tab w:val="right" w:leader="none" w:pos="9360"/>
      </w:tabs>
      <w:spacing w:after="0" w:lineRule="auto" w:line="240"/>
    </w:pPr>
    <w:rPr/>
  </w:style>
  <w:style w:type="character" w:customStyle="1" w:styleId="style4102">
    <w:name w:val="Footer Char_1cc0ac67-04cb-4b39-94fb-eeeab1a024e0"/>
    <w:basedOn w:val="style65"/>
    <w:next w:val="style4102"/>
    <w:link w:val="style32"/>
    <w:uiPriority w:val="99"/>
    <w:rPr>
      <w:rFonts w:ascii="Times New Roman" w:hAnsi="Times New Roman"/>
      <w:sz w:val="24"/>
    </w:rPr>
  </w:style>
  <w:style w:type="paragraph" w:styleId="style266">
    <w:name w:val="TOC Heading"/>
    <w:basedOn w:val="style1"/>
    <w:next w:val="style0"/>
    <w:qFormat/>
    <w:uiPriority w:val="39"/>
    <w:pPr>
      <w:outlineLvl w:val="9"/>
    </w:pPr>
    <w:rPr>
      <w:rFonts w:ascii="Calibri Light" w:hAnsi="Calibri Light"/>
      <w:color w:val="2f5496"/>
      <w:sz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s>
</file>

<file path=word/_rels/document.xml.rels><?xml version="1.0" encoding="UTF-8"?>
<Relationships xmlns="http://schemas.openxmlformats.org/package/2006/relationships"><Relationship Id="rId11" Type="http://schemas.openxmlformats.org/officeDocument/2006/relationships/styles" Target="styles.xml"/><Relationship Id="rId10" Type="http://schemas.openxmlformats.org/officeDocument/2006/relationships/footer" Target="footer1.xml"/><Relationship Id="rId13" Type="http://schemas.openxmlformats.org/officeDocument/2006/relationships/settings" Target="settings.xml"/><Relationship Id="rId12"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2.jpeg"/><Relationship Id="rId9" Type="http://schemas.openxmlformats.org/officeDocument/2006/relationships/image" Target="media/image5.png"/><Relationship Id="rId15" Type="http://schemas.openxmlformats.org/officeDocument/2006/relationships/customXml" Target="../customXml/item1.xml"/><Relationship Id="rId14" Type="http://schemas.openxmlformats.org/officeDocument/2006/relationships/theme" Target="theme/theme1.xml"/><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3.jpe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4D56D-79F8-487B-94B7-CD15C6AC9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1485</Words>
  <Pages>13</Pages>
  <Characters>9083</Characters>
  <Application>WPS Office</Application>
  <DocSecurity>0</DocSecurity>
  <Paragraphs>113</Paragraphs>
  <ScaleCrop>false</ScaleCrop>
  <LinksUpToDate>false</LinksUpToDate>
  <CharactersWithSpaces>10480</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2024-11-24T22:31:00Z</dcterms:created>
  <dc:creator>WPS Office</dc:creator>
  <lastModifiedBy>moto g64 5G</lastModifiedBy>
  <dcterms:modified xsi:type="dcterms:W3CDTF">2024-11-24T23:42:38Z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d69ba56f626db936126494144196b9f9e41b78b6eb04629161fc053884fd2614</vt:lpwstr>
  </property>
  <property fmtid="{D5CDD505-2E9C-101B-9397-08002B2CF9AE}" pid="3" name="ICV">
    <vt:lpwstr>fe64f916249e4ab2a68a6feba23ee7eb</vt:lpwstr>
  </property>
</Properties>
</file>