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E87C15F" w:rsidP="62DC4C2B" w:rsidRDefault="7E87C15F" w14:paraId="2CCD6B30" w14:textId="13C1FD67">
      <w:pPr>
        <w:pStyle w:val="Normal"/>
        <w:spacing w:after="1160"/>
        <w:jc w:val="center"/>
      </w:pPr>
      <w:r w:rsidR="7E87C15F">
        <w:drawing>
          <wp:inline wp14:editId="26B76224" wp14:anchorId="43106CA8">
            <wp:extent cx="3147631" cy="1515745"/>
            <wp:effectExtent l="0" t="0" r="0" b="0"/>
            <wp:docPr id="21352267" name="Picture 3" descr="Y Ddwyddod Dewi San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8809914" name="Picture 3" descr="Y Ddwyddod Dewi Sant.&#10;&#10;AI-generated content may be incorrect."/>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a:ext>
                      </a:extLst>
                    </a:blip>
                    <a:srcRect/>
                    <a:stretch>
                      <a:fillRect/>
                    </a:stretch>
                  </pic:blipFill>
                  <pic:spPr bwMode="auto">
                    <a:xfrm rot="0">
                      <a:off x="0" y="0"/>
                      <a:ext cx="3147631" cy="1515745"/>
                    </a:xfrm>
                    <a:prstGeom prst="rect">
                      <a:avLst/>
                    </a:prstGeom>
                    <a:noFill/>
                    <a:ln>
                      <a:noFill/>
                    </a:ln>
                  </pic:spPr>
                </pic:pic>
              </a:graphicData>
            </a:graphic>
          </wp:inline>
        </w:drawing>
      </w:r>
    </w:p>
    <w:p w:rsidR="7C0E09B2" w:rsidP="62DC4C2B" w:rsidRDefault="7C0E09B2" w14:paraId="562739AF" w14:textId="0E84B614">
      <w:pPr>
        <w:pStyle w:val="Normal"/>
        <w:spacing w:before="240" w:beforeAutospacing="off" w:after="1160" w:line="240" w:lineRule="auto"/>
        <w:jc w:val="center"/>
      </w:pPr>
      <w:r w:rsidRPr="62DC4C2B" w:rsidR="7C0E09B2">
        <w:rPr>
          <w:rFonts w:ascii="Times New Roman" w:hAnsi="Times New Roman" w:eastAsia="Times New Roman" w:cs="Times New Roman"/>
          <w:color w:val="000000" w:themeColor="text1" w:themeTint="FF" w:themeShade="FF"/>
          <w:sz w:val="36"/>
          <w:szCs w:val="36"/>
        </w:rPr>
        <w:t>Strengthening NVIDIA’s Long-Term Growth Through Integrated AI Hardware and Enterprise Software Solutions</w:t>
      </w:r>
    </w:p>
    <w:p w:rsidR="00E70164" w:rsidP="7C0E09B2" w:rsidRDefault="7C0E09B2" w14:paraId="6CA27A72" w14:textId="77777777">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Programme</w:t>
      </w:r>
      <w:r w:rsidR="003B14A1">
        <w:rPr>
          <w:rFonts w:ascii="Times New Roman" w:hAnsi="Times New Roman"/>
          <w:sz w:val="24"/>
        </w:rPr>
        <w:br/>
      </w:r>
      <w:r w:rsidRPr="7C0E09B2">
        <w:rPr>
          <w:rFonts w:ascii="Times New Roman" w:hAnsi="Times New Roman" w:eastAsia="Times New Roman" w:cs="Times New Roman"/>
          <w:color w:val="auto"/>
          <w:sz w:val="24"/>
        </w:rPr>
        <w:t>Master of Business Administration</w:t>
      </w:r>
    </w:p>
    <w:p w:rsidR="00E70164" w:rsidP="7C0E09B2" w:rsidRDefault="7C0E09B2" w14:paraId="18FAA83D" w14:textId="77777777">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Module</w:t>
      </w:r>
      <w:r w:rsidR="003B14A1">
        <w:rPr>
          <w:rFonts w:ascii="Times New Roman" w:hAnsi="Times New Roman"/>
          <w:sz w:val="24"/>
        </w:rPr>
        <w:br/>
      </w:r>
      <w:r w:rsidRPr="7C0E09B2">
        <w:rPr>
          <w:rFonts w:ascii="Times New Roman" w:hAnsi="Times New Roman" w:eastAsia="Times New Roman" w:cs="Times New Roman"/>
          <w:color w:val="auto"/>
          <w:sz w:val="24"/>
        </w:rPr>
        <w:t>LCMB7037 Business Development Proposal</w:t>
      </w:r>
    </w:p>
    <w:p w:rsidR="00E70164" w:rsidP="7C0E09B2" w:rsidRDefault="7C0E09B2" w14:paraId="60FC73B7" w14:textId="77777777">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Pathway</w:t>
      </w:r>
      <w:r w:rsidR="003B14A1">
        <w:rPr>
          <w:rFonts w:ascii="Times New Roman" w:hAnsi="Times New Roman"/>
          <w:sz w:val="24"/>
        </w:rPr>
        <w:br/>
      </w:r>
      <w:r w:rsidRPr="7C0E09B2">
        <w:rPr>
          <w:rFonts w:ascii="Times New Roman" w:hAnsi="Times New Roman" w:eastAsia="Times New Roman" w:cs="Times New Roman"/>
          <w:color w:val="auto"/>
          <w:sz w:val="24"/>
        </w:rPr>
        <w:t>Path B Business Plan for an Existing Company</w:t>
      </w:r>
    </w:p>
    <w:p w:rsidR="00E70164" w:rsidP="7C0E09B2" w:rsidRDefault="7C0E09B2" w14:paraId="72587F9C" w14:textId="3E891D9C">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Student name</w:t>
      </w:r>
      <w:r w:rsidR="003B14A1">
        <w:rPr>
          <w:rFonts w:ascii="Times New Roman" w:hAnsi="Times New Roman"/>
          <w:sz w:val="24"/>
        </w:rPr>
        <w:br/>
      </w:r>
      <w:r w:rsidR="00FD1172">
        <w:rPr>
          <w:rFonts w:ascii="Times New Roman" w:hAnsi="Times New Roman" w:eastAsia="Times New Roman" w:cs="Times New Roman"/>
          <w:color w:val="auto"/>
          <w:sz w:val="24"/>
        </w:rPr>
        <w:t>Ranjit Masaribhai Modhwadiya</w:t>
      </w:r>
    </w:p>
    <w:p w:rsidR="00E70164" w:rsidP="7C0E09B2" w:rsidRDefault="7C0E09B2" w14:paraId="5760B23B" w14:textId="6987C962">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Student ID</w:t>
      </w:r>
      <w:r w:rsidR="003B14A1">
        <w:rPr>
          <w:rFonts w:ascii="Times New Roman" w:hAnsi="Times New Roman"/>
          <w:sz w:val="24"/>
        </w:rPr>
        <w:br/>
      </w:r>
      <w:r w:rsidR="00593168">
        <w:rPr>
          <w:rFonts w:ascii="Times New Roman" w:hAnsi="Times New Roman" w:eastAsia="Times New Roman" w:cs="Times New Roman"/>
          <w:color w:val="auto"/>
          <w:sz w:val="24"/>
        </w:rPr>
        <w:t>2529489</w:t>
      </w:r>
    </w:p>
    <w:p w:rsidR="00E70164" w:rsidP="7C0E09B2" w:rsidRDefault="7C0E09B2" w14:paraId="792669F3" w14:textId="62399C26">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Supervisor</w:t>
      </w:r>
      <w:r w:rsidR="003B14A1">
        <w:rPr>
          <w:rFonts w:ascii="Times New Roman" w:hAnsi="Times New Roman"/>
          <w:sz w:val="24"/>
        </w:rPr>
        <w:br/>
      </w:r>
      <w:r w:rsidR="00B21FC3">
        <w:rPr>
          <w:rFonts w:ascii="Times New Roman" w:hAnsi="Times New Roman" w:eastAsia="Times New Roman" w:cs="Times New Roman"/>
          <w:color w:val="auto"/>
          <w:sz w:val="24"/>
        </w:rPr>
        <w:t>Bentil Oduro</w:t>
      </w:r>
    </w:p>
    <w:p w:rsidR="00E70164" w:rsidP="7C0E09B2" w:rsidRDefault="7C0E09B2" w14:paraId="3DC93F5D" w14:textId="77777777">
      <w:pPr>
        <w:jc w:val="center"/>
        <w:rPr>
          <w:rFonts w:ascii="Times New Roman" w:hAnsi="Times New Roman" w:eastAsia="Times New Roman" w:cs="Times New Roman"/>
          <w:color w:val="auto"/>
        </w:rPr>
      </w:pPr>
      <w:r w:rsidRPr="7C0E09B2">
        <w:rPr>
          <w:rFonts w:ascii="Times New Roman" w:hAnsi="Times New Roman" w:eastAsia="Times New Roman" w:cs="Times New Roman"/>
          <w:b/>
          <w:bCs/>
          <w:color w:val="auto"/>
          <w:sz w:val="24"/>
        </w:rPr>
        <w:t>Submission</w:t>
      </w:r>
      <w:r w:rsidR="003B14A1">
        <w:rPr>
          <w:rFonts w:ascii="Times New Roman" w:hAnsi="Times New Roman"/>
          <w:sz w:val="24"/>
        </w:rPr>
        <w:br/>
      </w:r>
      <w:r w:rsidRPr="7C0E09B2">
        <w:rPr>
          <w:rFonts w:ascii="Times New Roman" w:hAnsi="Times New Roman" w:eastAsia="Times New Roman" w:cs="Times New Roman"/>
          <w:color w:val="auto"/>
          <w:sz w:val="24"/>
        </w:rPr>
        <w:t>Week 5 formative submission</w:t>
      </w:r>
    </w:p>
    <w:p w:rsidR="00E70164" w:rsidRDefault="003B14A1" w14:paraId="672A6659" w14:textId="77777777">
      <w:r>
        <w:rPr>
          <w:rFonts w:ascii="Times New Roman" w:hAnsi="Times New Roman"/>
          <w:sz w:val="24"/>
        </w:rPr>
        <w:br w:type="page"/>
      </w:r>
    </w:p>
    <w:p w:rsidR="00E70164" w:rsidP="7C0E09B2" w:rsidRDefault="24008AE6" w14:paraId="406425CA" w14:textId="691DB344">
      <w:pPr>
        <w:jc w:val="center"/>
      </w:pPr>
      <w:r w:rsidRPr="7C0E09B2">
        <w:rPr>
          <w:rFonts w:ascii="Times New Roman" w:hAnsi="Times New Roman" w:eastAsia="Times New Roman" w:cs="Times New Roman"/>
          <w:b/>
          <w:bCs/>
          <w:sz w:val="24"/>
          <w:szCs w:val="24"/>
        </w:rPr>
        <w:t>Table of Contents</w:t>
      </w:r>
    </w:p>
    <w:sdt>
      <w:sdtPr>
        <w:id w:val="2023780294"/>
        <w:docPartObj>
          <w:docPartGallery w:val="Table of Contents"/>
          <w:docPartUnique/>
        </w:docPartObj>
      </w:sdtPr>
      <w:sdtEndPr/>
      <w:sdtContent>
        <w:p xmlns:wp14="http://schemas.microsoft.com/office/word/2010/wordml" w14:paraId="42378168" wp14:textId="77777777">
          <w:pPr>
            <w:tabs>
              <w:tab w:val="right" w:leader="dot" w:pos="9792"/>
            </w:tabs>
            <w:spacing w:after="140"/>
          </w:pPr>
          <w:r>
            <w:rPr>
              <w:rFonts w:ascii="Times New Roman" w:hAnsi="Times New Roman"/>
              <w:sz w:val="22"/>
            </w:rPr>
            <w:t>1 Proposal context and company description</w:t>
          </w:r>
          <w:r>
            <w:rPr>
              <w:rFonts w:ascii="Times New Roman" w:hAnsi="Times New Roman"/>
              <w:sz w:val="22"/>
            </w:rPr>
            <w:tab/>
          </w:r>
          <w:r>
            <w:rPr>
              <w:rFonts w:ascii="Times New Roman" w:hAnsi="Times New Roman"/>
              <w:sz w:val="22"/>
            </w:rPr>
            <w:t>3</w:t>
          </w:r>
        </w:p>
        <w:p xmlns:wp14="http://schemas.microsoft.com/office/word/2010/wordml" w14:paraId="48734A13" wp14:textId="77777777">
          <w:pPr>
            <w:tabs>
              <w:tab w:val="right" w:leader="dot" w:pos="9792"/>
            </w:tabs>
            <w:spacing w:after="140"/>
          </w:pPr>
          <w:r>
            <w:rPr>
              <w:rFonts w:ascii="Times New Roman" w:hAnsi="Times New Roman"/>
              <w:sz w:val="22"/>
            </w:rPr>
            <w:t>2 Business development problem and proposed solution</w:t>
          </w:r>
          <w:r>
            <w:rPr>
              <w:rFonts w:ascii="Times New Roman" w:hAnsi="Times New Roman"/>
              <w:sz w:val="22"/>
            </w:rPr>
            <w:tab/>
          </w:r>
          <w:r>
            <w:rPr>
              <w:rFonts w:ascii="Times New Roman" w:hAnsi="Times New Roman"/>
              <w:sz w:val="22"/>
            </w:rPr>
            <w:t>3</w:t>
          </w:r>
        </w:p>
        <w:p xmlns:wp14="http://schemas.microsoft.com/office/word/2010/wordml" w14:paraId="0BF60642" wp14:textId="77777777">
          <w:pPr>
            <w:tabs>
              <w:tab w:val="right" w:leader="dot" w:pos="9792"/>
            </w:tabs>
            <w:spacing w:after="140"/>
          </w:pPr>
          <w:r>
            <w:rPr>
              <w:rFonts w:ascii="Times New Roman" w:hAnsi="Times New Roman"/>
              <w:sz w:val="22"/>
            </w:rPr>
            <w:t>3 Research aim question and objectives</w:t>
          </w:r>
          <w:r>
            <w:rPr>
              <w:rFonts w:ascii="Times New Roman" w:hAnsi="Times New Roman"/>
              <w:sz w:val="22"/>
            </w:rPr>
            <w:tab/>
          </w:r>
          <w:r>
            <w:rPr>
              <w:rFonts w:ascii="Times New Roman" w:hAnsi="Times New Roman"/>
              <w:sz w:val="22"/>
            </w:rPr>
            <w:t>4</w:t>
          </w:r>
        </w:p>
        <w:p xmlns:wp14="http://schemas.microsoft.com/office/word/2010/wordml" w14:paraId="36C96AE7" wp14:textId="77777777">
          <w:pPr>
            <w:tabs>
              <w:tab w:val="right" w:leader="dot" w:pos="9792"/>
            </w:tabs>
            <w:spacing w:after="140"/>
          </w:pPr>
          <w:r>
            <w:rPr>
              <w:rFonts w:ascii="Times New Roman" w:hAnsi="Times New Roman"/>
              <w:sz w:val="22"/>
            </w:rPr>
            <w:t>4 Research methodology</w:t>
          </w:r>
          <w:r>
            <w:rPr>
              <w:rFonts w:ascii="Times New Roman" w:hAnsi="Times New Roman"/>
              <w:sz w:val="22"/>
            </w:rPr>
            <w:tab/>
          </w:r>
          <w:r>
            <w:rPr>
              <w:rFonts w:ascii="Times New Roman" w:hAnsi="Times New Roman"/>
              <w:sz w:val="22"/>
            </w:rPr>
            <w:t>4</w:t>
          </w:r>
        </w:p>
        <w:p xmlns:wp14="http://schemas.microsoft.com/office/word/2010/wordml" w14:paraId="359722A6" wp14:textId="77777777">
          <w:pPr>
            <w:tabs>
              <w:tab w:val="right" w:leader="dot" w:pos="9792"/>
            </w:tabs>
            <w:spacing w:after="140"/>
            <w:ind w:left="288"/>
          </w:pPr>
          <w:r>
            <w:rPr>
              <w:rFonts w:ascii="Times New Roman" w:hAnsi="Times New Roman"/>
              <w:sz w:val="22"/>
            </w:rPr>
            <w:t>4.1 Research design</w:t>
          </w:r>
          <w:r>
            <w:rPr>
              <w:rFonts w:ascii="Times New Roman" w:hAnsi="Times New Roman"/>
              <w:sz w:val="22"/>
            </w:rPr>
            <w:tab/>
          </w:r>
          <w:r>
            <w:rPr>
              <w:rFonts w:ascii="Times New Roman" w:hAnsi="Times New Roman"/>
              <w:sz w:val="22"/>
            </w:rPr>
            <w:t>4</w:t>
          </w:r>
        </w:p>
        <w:p xmlns:wp14="http://schemas.microsoft.com/office/word/2010/wordml" w14:paraId="5C254DE6" wp14:textId="77777777">
          <w:pPr>
            <w:tabs>
              <w:tab w:val="right" w:leader="dot" w:pos="9792"/>
            </w:tabs>
            <w:spacing w:after="140"/>
            <w:ind w:left="288"/>
          </w:pPr>
          <w:r>
            <w:rPr>
              <w:rFonts w:ascii="Times New Roman" w:hAnsi="Times New Roman"/>
              <w:sz w:val="22"/>
            </w:rPr>
            <w:t>4.2 Evidence collection</w:t>
          </w:r>
          <w:r>
            <w:rPr>
              <w:rFonts w:ascii="Times New Roman" w:hAnsi="Times New Roman"/>
              <w:sz w:val="22"/>
            </w:rPr>
            <w:tab/>
          </w:r>
          <w:r>
            <w:rPr>
              <w:rFonts w:ascii="Times New Roman" w:hAnsi="Times New Roman"/>
              <w:sz w:val="22"/>
            </w:rPr>
            <w:t>4</w:t>
          </w:r>
        </w:p>
        <w:p xmlns:wp14="http://schemas.microsoft.com/office/word/2010/wordml" w14:paraId="2DFB9B0B" wp14:textId="77777777">
          <w:pPr>
            <w:tabs>
              <w:tab w:val="right" w:leader="dot" w:pos="9792"/>
            </w:tabs>
            <w:spacing w:after="140"/>
            <w:ind w:left="288"/>
          </w:pPr>
          <w:r>
            <w:rPr>
              <w:rFonts w:ascii="Times New Roman" w:hAnsi="Times New Roman"/>
              <w:sz w:val="22"/>
            </w:rPr>
            <w:t>4.3 Analysis</w:t>
          </w:r>
          <w:r>
            <w:rPr>
              <w:rFonts w:ascii="Times New Roman" w:hAnsi="Times New Roman"/>
              <w:sz w:val="22"/>
            </w:rPr>
            <w:tab/>
          </w:r>
          <w:r>
            <w:rPr>
              <w:rFonts w:ascii="Times New Roman" w:hAnsi="Times New Roman"/>
              <w:sz w:val="22"/>
            </w:rPr>
            <w:t>5</w:t>
          </w:r>
        </w:p>
        <w:p xmlns:wp14="http://schemas.microsoft.com/office/word/2010/wordml" w14:paraId="0A11D9E3" wp14:textId="77777777">
          <w:pPr>
            <w:tabs>
              <w:tab w:val="right" w:leader="dot" w:pos="9792"/>
            </w:tabs>
            <w:spacing w:after="140"/>
            <w:ind w:left="288"/>
          </w:pPr>
          <w:r>
            <w:rPr>
              <w:rFonts w:ascii="Times New Roman" w:hAnsi="Times New Roman"/>
              <w:sz w:val="22"/>
            </w:rPr>
            <w:t>4.4 Quality ethics and data management</w:t>
          </w:r>
          <w:r>
            <w:rPr>
              <w:rFonts w:ascii="Times New Roman" w:hAnsi="Times New Roman"/>
              <w:sz w:val="22"/>
            </w:rPr>
            <w:tab/>
          </w:r>
          <w:r>
            <w:rPr>
              <w:rFonts w:ascii="Times New Roman" w:hAnsi="Times New Roman"/>
              <w:sz w:val="22"/>
            </w:rPr>
            <w:t>5</w:t>
          </w:r>
        </w:p>
        <w:p xmlns:wp14="http://schemas.microsoft.com/office/word/2010/wordml" w14:paraId="75B023BD" wp14:textId="77777777">
          <w:pPr>
            <w:tabs>
              <w:tab w:val="right" w:leader="dot" w:pos="9792"/>
            </w:tabs>
            <w:spacing w:after="140"/>
          </w:pPr>
          <w:r>
            <w:rPr>
              <w:rFonts w:ascii="Times New Roman" w:hAnsi="Times New Roman"/>
              <w:sz w:val="22"/>
            </w:rPr>
            <w:t>5 Market research and preliminary validation</w:t>
          </w:r>
          <w:r>
            <w:rPr>
              <w:rFonts w:ascii="Times New Roman" w:hAnsi="Times New Roman"/>
              <w:sz w:val="22"/>
            </w:rPr>
            <w:tab/>
          </w:r>
          <w:r>
            <w:rPr>
              <w:rFonts w:ascii="Times New Roman" w:hAnsi="Times New Roman"/>
              <w:sz w:val="22"/>
            </w:rPr>
            <w:t>5</w:t>
          </w:r>
        </w:p>
        <w:p xmlns:wp14="http://schemas.microsoft.com/office/word/2010/wordml" w14:paraId="45949D33" wp14:textId="77777777">
          <w:pPr>
            <w:tabs>
              <w:tab w:val="right" w:leader="dot" w:pos="9792"/>
            </w:tabs>
            <w:spacing w:after="140"/>
          </w:pPr>
          <w:r>
            <w:rPr>
              <w:rFonts w:ascii="Times New Roman" w:hAnsi="Times New Roman"/>
              <w:sz w:val="22"/>
            </w:rPr>
            <w:t>6 Anticipated risks</w:t>
          </w:r>
          <w:r>
            <w:rPr>
              <w:rFonts w:ascii="Times New Roman" w:hAnsi="Times New Roman"/>
              <w:sz w:val="22"/>
            </w:rPr>
            <w:tab/>
          </w:r>
          <w:r>
            <w:rPr>
              <w:rFonts w:ascii="Times New Roman" w:hAnsi="Times New Roman"/>
              <w:sz w:val="22"/>
            </w:rPr>
            <w:t>7</w:t>
          </w:r>
        </w:p>
        <w:p xmlns:wp14="http://schemas.microsoft.com/office/word/2010/wordml" w14:paraId="4BB27CDF" wp14:textId="77777777">
          <w:pPr>
            <w:tabs>
              <w:tab w:val="right" w:leader="dot" w:pos="9792"/>
            </w:tabs>
            <w:spacing w:after="140"/>
            <w:ind w:left="288"/>
          </w:pPr>
          <w:r>
            <w:rPr>
              <w:rFonts w:ascii="Times New Roman" w:hAnsi="Times New Roman"/>
              <w:sz w:val="22"/>
            </w:rPr>
            <w:t>6.1 Basis of the initial risk ratings</w:t>
          </w:r>
          <w:r>
            <w:rPr>
              <w:rFonts w:ascii="Times New Roman" w:hAnsi="Times New Roman"/>
              <w:sz w:val="22"/>
            </w:rPr>
            <w:tab/>
          </w:r>
          <w:r>
            <w:rPr>
              <w:rFonts w:ascii="Times New Roman" w:hAnsi="Times New Roman"/>
              <w:sz w:val="22"/>
            </w:rPr>
            <w:t>8</w:t>
          </w:r>
        </w:p>
        <w:p xmlns:wp14="http://schemas.microsoft.com/office/word/2010/wordml" w14:paraId="1B2E044D" wp14:textId="77777777">
          <w:pPr>
            <w:tabs>
              <w:tab w:val="right" w:leader="dot" w:pos="9792"/>
            </w:tabs>
            <w:spacing w:after="140"/>
          </w:pPr>
          <w:r>
            <w:rPr>
              <w:rFonts w:ascii="Times New Roman" w:hAnsi="Times New Roman"/>
              <w:sz w:val="22"/>
            </w:rPr>
            <w:t>7 Expected contribution and feasibility</w:t>
          </w:r>
          <w:r>
            <w:rPr>
              <w:rFonts w:ascii="Times New Roman" w:hAnsi="Times New Roman"/>
              <w:sz w:val="22"/>
            </w:rPr>
            <w:tab/>
          </w:r>
          <w:r>
            <w:rPr>
              <w:rFonts w:ascii="Times New Roman" w:hAnsi="Times New Roman"/>
              <w:sz w:val="22"/>
            </w:rPr>
            <w:t>8</w:t>
          </w:r>
        </w:p>
        <w:p xmlns:wp14="http://schemas.microsoft.com/office/word/2010/wordml" w14:paraId="1292B31A" wp14:textId="77777777">
          <w:pPr>
            <w:tabs>
              <w:tab w:val="right" w:leader="dot" w:pos="9792"/>
            </w:tabs>
            <w:spacing w:after="140"/>
          </w:pPr>
          <w:r>
            <w:rPr>
              <w:rFonts w:ascii="Times New Roman" w:hAnsi="Times New Roman"/>
              <w:sz w:val="22"/>
            </w:rPr>
            <w:t>8 Project timeline</w:t>
          </w:r>
          <w:r>
            <w:rPr>
              <w:rFonts w:ascii="Times New Roman" w:hAnsi="Times New Roman"/>
              <w:sz w:val="22"/>
            </w:rPr>
            <w:tab/>
          </w:r>
          <w:r>
            <w:rPr>
              <w:rFonts w:ascii="Times New Roman" w:hAnsi="Times New Roman"/>
              <w:sz w:val="22"/>
            </w:rPr>
            <w:t>10</w:t>
          </w:r>
        </w:p>
        <w:p xmlns:wp14="http://schemas.microsoft.com/office/word/2010/wordml" w14:paraId="27A40F1D" wp14:textId="77777777">
          <w:pPr>
            <w:tabs>
              <w:tab w:val="right" w:leader="dot" w:pos="9792"/>
            </w:tabs>
            <w:spacing w:after="140"/>
          </w:pPr>
          <w:r>
            <w:rPr>
              <w:rFonts w:ascii="Times New Roman" w:hAnsi="Times New Roman"/>
              <w:sz w:val="22"/>
            </w:rPr>
            <w:t>References</w:t>
          </w:r>
          <w:r>
            <w:rPr>
              <w:rFonts w:ascii="Times New Roman" w:hAnsi="Times New Roman"/>
              <w:sz w:val="22"/>
            </w:rPr>
            <w:tab/>
          </w:r>
          <w:r>
            <w:rPr>
              <w:rFonts w:ascii="Times New Roman" w:hAnsi="Times New Roman"/>
              <w:sz w:val="22"/>
            </w:rPr>
            <w:t>11</w:t>
          </w:r>
        </w:p>
      </w:sdtContent>
    </w:sdt>
    <w:p w:rsidR="7C0E09B2" w:rsidP="7C0E09B2" w:rsidRDefault="7C0E09B2" w14:paraId="3799194A" w14:textId="7F104622">
      <w:pPr>
        <w:jc w:val="center"/>
        <w:rPr>
          <w:rFonts w:ascii="Times New Roman" w:hAnsi="Times New Roman" w:eastAsia="Times New Roman" w:cs="Times New Roman"/>
          <w:b/>
          <w:bCs/>
          <w:sz w:val="24"/>
          <w:szCs w:val="24"/>
        </w:rPr>
      </w:pPr>
    </w:p>
    <w:p w:rsidR="00E70164" w:rsidRDefault="003B14A1" w14:paraId="0A37501D" w14:textId="77777777">
      <w:r>
        <w:rPr>
          <w:rFonts w:ascii="Times New Roman" w:hAnsi="Times New Roman"/>
          <w:sz w:val="24"/>
        </w:rPr>
        <w:br w:type="page"/>
      </w:r>
    </w:p>
    <w:p w:rsidR="00E70164" w:rsidP="62DC4C2B" w:rsidRDefault="7C0E09B2" w14:paraId="5FA64CA4" w14:textId="77777777">
      <w:pPr>
        <w:pStyle w:val="Heading1"/>
        <w:spacing w:line="360" w:lineRule="auto"/>
        <w:jc w:val="both"/>
        <w:rPr>
          <w:rFonts w:ascii="Times New Roman" w:hAnsi="Times New Roman" w:eastAsia="Times New Roman" w:cs="Times New Roman"/>
          <w:sz w:val="24"/>
          <w:szCs w:val="24"/>
        </w:rPr>
      </w:pPr>
      <w:bookmarkStart w:name="_Toc123445226" w:id="0"/>
      <w:r w:rsidRPr="62DC4C2B" w:rsidR="7C0E09B2">
        <w:rPr>
          <w:rFonts w:ascii="Times New Roman" w:hAnsi="Times New Roman" w:eastAsia="Times New Roman" w:cs="Times New Roman"/>
          <w:color w:val="000000" w:themeColor="text1" w:themeTint="FF" w:themeShade="FF"/>
          <w:sz w:val="24"/>
          <w:szCs w:val="24"/>
        </w:rPr>
        <w:t>1 Proposal context and company description</w:t>
      </w:r>
      <w:bookmarkEnd w:id="0"/>
    </w:p>
    <w:p w:rsidR="00E70164" w:rsidP="62DC4C2B" w:rsidRDefault="7C0E09B2" w14:paraId="26E33629" w14:textId="55C445C5">
      <w:pPr>
        <w:spacing w:line="360" w:lineRule="auto"/>
        <w:jc w:val="both"/>
        <w:rPr>
          <w:rFonts w:ascii="Times New Roman" w:hAnsi="Times New Roman" w:eastAsia="Times New Roman" w:cs="Times New Roman"/>
          <w:sz w:val="24"/>
          <w:szCs w:val="24"/>
        </w:rPr>
      </w:pPr>
      <w:r w:rsidRPr="62DC4C2B" w:rsidR="7C0E09B2">
        <w:rPr>
          <w:rFonts w:ascii="Times New Roman" w:hAnsi="Times New Roman"/>
          <w:sz w:val="24"/>
          <w:szCs w:val="24"/>
        </w:rPr>
        <w:t>NVIDIA’s business development challenge is to sustain long-term growth while reducing its reliance on concentrated data centre infrastructure sales. This proposal evaluates whether integrating its AI hardware with enterprise software and partner-delivered implementation services could broaden its enterprise customer base and increase recurring revenue. It follows Path B by analysing an existing company, assessing a growth opportunity and recommending a commercially feasible business model.</w:t>
      </w:r>
    </w:p>
    <w:p w:rsidR="00E70164" w:rsidP="62DC4C2B" w:rsidRDefault="7C0E09B2" w14:paraId="163CFA72"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NVIDIA was founded in 1993 and is incorporated in Delaware, with headquarters in Santa Clara, California. It reports two segments: Compute and Networking, which includes data centre computing, networking, AI software and automotive platforms, and Graphics, which includes gaming and professional visualisation products. Its platform combines GPUs, CPUs, data processing units, high-speed interconnects, networking and a large software stack built around CUDA. The company also sells paid licences for NVIDIA AI Enterprise and virtual GPU software (NVIDIA, 2026a).</w:t>
      </w:r>
    </w:p>
    <w:p w:rsidR="00E70164" w:rsidP="62DC4C2B" w:rsidRDefault="7C0E09B2" w14:paraId="47CCA395"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company’s current financial strength provides a credible base for development. Fiscal 2026 revenue reached $215.94 billion, compared with $130.50 billion in fiscal 2025. Data Center revenue was $193.74 billion, approximately 89.7 per cent of the total, and included $162.36 billion from compute and $31.38 billion from networking (NVIDIA, 2026a). This concentration confirms NVIDIA’s leadership in AI infrastructure, but it also exposes the company to the investment cycles, purchasing decisions and bargaining power of a relatively small number of large customers. Two direct customers accounted for 22 per cent and 14 per cent of fiscal 2026 revenue (NVIDIA, 2026a).</w:t>
      </w:r>
    </w:p>
    <w:p w:rsidR="00E70164" w:rsidP="62DC4C2B" w:rsidRDefault="7C0E09B2" w14:paraId="6A891DBB" w14:textId="77777777">
      <w:pPr>
        <w:pStyle w:val="Heading1"/>
        <w:spacing w:line="360" w:lineRule="auto"/>
        <w:jc w:val="both"/>
        <w:rPr>
          <w:rFonts w:ascii="Times New Roman" w:hAnsi="Times New Roman" w:eastAsia="Times New Roman" w:cs="Times New Roman"/>
          <w:sz w:val="24"/>
          <w:szCs w:val="24"/>
        </w:rPr>
      </w:pPr>
      <w:bookmarkStart w:name="_Toc1736328735" w:id="2"/>
      <w:r w:rsidRPr="62DC4C2B" w:rsidR="7C0E09B2">
        <w:rPr>
          <w:rFonts w:ascii="Times New Roman" w:hAnsi="Times New Roman" w:eastAsia="Times New Roman" w:cs="Times New Roman"/>
          <w:color w:val="000000" w:themeColor="text1" w:themeTint="FF" w:themeShade="FF"/>
          <w:sz w:val="24"/>
          <w:szCs w:val="24"/>
        </w:rPr>
        <w:t>2 Business development problem and proposed solution</w:t>
      </w:r>
      <w:bookmarkEnd w:id="2"/>
    </w:p>
    <w:p w:rsidR="00E70164" w:rsidP="62DC4C2B" w:rsidRDefault="7C0E09B2" w14:paraId="3E79EE05"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sz w:val="24"/>
          <w:szCs w:val="24"/>
        </w:rPr>
        <w:t>NVIDIA’s business problem is its high dependence on data centre infrastructure revenue and a small number of large customers, which exposes future growth to their investment cycles and purchasing decisions (NVIDIA, 2026a). At the same time, enterprise customers face barriers to moving AI pilots into governed production. ISG’s study of 1,200 AI use cases found that only 31 per cent had reached full production and only one in four achieved the expected return on growth, despite average spending of $1.3 million per initiative (ISG, 2025). NVIDIA’s own 2026 cross-industry survey found that 64 per cent of respondents actively used AI, but 48 per cent cited data problems, 38 per cent cited a shortage of AI expertise and 30 per cent cited unclear return on investment (Rowinski, 2026). This implementation gap creates an opportunity to assess whether an integrated enterprise offer could diversify NVIDIA’s customer relationships and generate more recurring software and support income.</w:t>
      </w:r>
    </w:p>
    <w:p w:rsidR="00E70164" w:rsidP="62DC4C2B" w:rsidRDefault="7C0E09B2" w14:paraId="1239EE91"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proposed development is an integrated enterprise offer provisionally called NVIDIA Enterprise AI Solutions. It would combine approved NVIDIA compute and networking configurations with NVIDIA AI Enterprise, NIM microservices, NeMo, Run:ai orchestration and optional DGX Cloud capacity. Customers would select a deployment route across on-premises, cloud or hybrid infrastructure. Certified consulting and systems-integration partners would deliver data readiness, security configuration, migration and operating support. Sector packs for financial services, manufacturing, healthcare and retail would provide reference architectures, governance controls, implementation templates and measurable use cases.</w:t>
      </w:r>
    </w:p>
    <w:p w:rsidR="00E70164" w:rsidP="62DC4C2B" w:rsidRDefault="7C0E09B2" w14:paraId="28F581D3"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 xml:space="preserve">The proposal extends products NVIDIA already owns rather than creating an unrelated business. The change lies in commercial integration. A staged subscription would connect software, support and lifecycle services to the installed hardware base, while outcome measures such as time to production, </w:t>
      </w:r>
      <w:r w:rsidRPr="62DC4C2B" w:rsidR="7C0E09B2">
        <w:rPr>
          <w:rFonts w:ascii="Times New Roman" w:hAnsi="Times New Roman" w:eastAsia="Times New Roman" w:cs="Times New Roman"/>
          <w:sz w:val="24"/>
          <w:szCs w:val="24"/>
        </w:rPr>
        <w:t>GPU utilisation, inference cost and renewal rates would make value visible. The final BDP will test whether this model can broaden the enterprise customer mix, increase recurring revenue and protect hardware demand without displacing NVIDIA’s cloud, server and consulting partners.</w:t>
      </w:r>
    </w:p>
    <w:p w:rsidR="00E70164" w:rsidP="62DC4C2B" w:rsidRDefault="7C0E09B2" w14:paraId="1380A203" w14:textId="77777777">
      <w:pPr>
        <w:pStyle w:val="Heading1"/>
        <w:spacing w:line="360" w:lineRule="auto"/>
        <w:jc w:val="both"/>
        <w:rPr>
          <w:rFonts w:ascii="Times New Roman" w:hAnsi="Times New Roman" w:eastAsia="Times New Roman" w:cs="Times New Roman"/>
          <w:sz w:val="24"/>
          <w:szCs w:val="24"/>
        </w:rPr>
      </w:pPr>
      <w:bookmarkStart w:name="_Toc1393181607" w:id="4"/>
      <w:r w:rsidRPr="62DC4C2B" w:rsidR="7C0E09B2">
        <w:rPr>
          <w:rFonts w:ascii="Times New Roman" w:hAnsi="Times New Roman" w:eastAsia="Times New Roman" w:cs="Times New Roman"/>
          <w:color w:val="000000" w:themeColor="text1" w:themeTint="FF" w:themeShade="FF"/>
          <w:sz w:val="24"/>
          <w:szCs w:val="24"/>
        </w:rPr>
        <w:t>3 Research aim question and objectives</w:t>
      </w:r>
      <w:bookmarkEnd w:id="4"/>
    </w:p>
    <w:p w:rsidR="00E70164" w:rsidP="62DC4C2B" w:rsidRDefault="7C0E09B2" w14:paraId="1AE61F93"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sz w:val="24"/>
          <w:szCs w:val="24"/>
        </w:rPr>
        <w:t>Aim. To evaluate and recommend an integrated AI hardware and enterprise software business model that could strengthen NVIDIA’s long-term growth by improving enterprise adoption, recurring revenue and customer retention.</w:t>
      </w:r>
    </w:p>
    <w:p w:rsidR="00E70164" w:rsidP="62DC4C2B" w:rsidRDefault="7C0E09B2" w14:paraId="02A326FD"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b w:val="1"/>
          <w:bCs w:val="1"/>
          <w:sz w:val="24"/>
          <w:szCs w:val="24"/>
        </w:rPr>
        <w:t>Research question.</w:t>
      </w:r>
      <w:r w:rsidRPr="62DC4C2B" w:rsidR="7C0E09B2">
        <w:rPr>
          <w:rFonts w:ascii="Times New Roman" w:hAnsi="Times New Roman" w:eastAsia="Times New Roman" w:cs="Times New Roman"/>
          <w:sz w:val="24"/>
          <w:szCs w:val="24"/>
        </w:rPr>
        <w:t xml:space="preserve"> How can NVIDIA combine its AI hardware, enterprise software and partner ecosystem into a commercially viable solution that helps enterprise customers move from pilot projects to production at scale?</w:t>
      </w:r>
    </w:p>
    <w:p w:rsidR="00E70164" w:rsidP="62DC4C2B" w:rsidRDefault="7C0E09B2" w14:paraId="1F643E46"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project will pursue the following objectives:</w:t>
      </w:r>
    </w:p>
    <w:p w:rsidR="00E70164" w:rsidP="62DC4C2B" w:rsidRDefault="00623727" w14:paraId="60017A26" w14:textId="1A65479B">
      <w:pPr>
        <w:pStyle w:val="ListNumber"/>
        <w:spacing w:after="60" w:line="360" w:lineRule="auto"/>
        <w:jc w:val="both"/>
        <w:rPr>
          <w:rFonts w:ascii="Times New Roman" w:hAnsi="Times New Roman" w:eastAsia="Times New Roman" w:cs="Times New Roman"/>
          <w:sz w:val="24"/>
          <w:szCs w:val="24"/>
        </w:rPr>
      </w:pPr>
      <w:r w:rsidRPr="62DC4C2B" w:rsidR="00623727">
        <w:rPr>
          <w:rFonts w:ascii="Times New Roman" w:hAnsi="Times New Roman" w:eastAsia="Times New Roman" w:cs="Times New Roman"/>
          <w:sz w:val="24"/>
          <w:szCs w:val="24"/>
        </w:rPr>
        <w:t xml:space="preserve">To </w:t>
      </w:r>
      <w:r w:rsidRPr="62DC4C2B" w:rsidR="00623727">
        <w:rPr>
          <w:rFonts w:ascii="Times New Roman" w:hAnsi="Times New Roman" w:eastAsia="Times New Roman" w:cs="Times New Roman"/>
          <w:sz w:val="24"/>
          <w:szCs w:val="24"/>
        </w:rPr>
        <w:t>a</w:t>
      </w:r>
      <w:r w:rsidRPr="62DC4C2B" w:rsidR="7C0E09B2">
        <w:rPr>
          <w:rFonts w:ascii="Times New Roman" w:hAnsi="Times New Roman" w:eastAsia="Times New Roman" w:cs="Times New Roman"/>
          <w:sz w:val="24"/>
          <w:szCs w:val="24"/>
        </w:rPr>
        <w:t>ssess NVIDIA’s current business model, financial performance, customer concentration and position in enterprise AI.</w:t>
      </w:r>
    </w:p>
    <w:p w:rsidR="00E70164" w:rsidP="62DC4C2B" w:rsidRDefault="00623727" w14:paraId="359B6534" w14:textId="08C928AC">
      <w:pPr>
        <w:pStyle w:val="ListNumber"/>
        <w:spacing w:after="60" w:line="360" w:lineRule="auto"/>
        <w:jc w:val="both"/>
        <w:rPr>
          <w:rFonts w:ascii="Times New Roman" w:hAnsi="Times New Roman" w:eastAsia="Times New Roman" w:cs="Times New Roman"/>
          <w:sz w:val="24"/>
          <w:szCs w:val="24"/>
        </w:rPr>
      </w:pPr>
      <w:r w:rsidRPr="62DC4C2B" w:rsidR="00623727">
        <w:rPr>
          <w:rFonts w:ascii="Times New Roman" w:hAnsi="Times New Roman" w:eastAsia="Times New Roman" w:cs="Times New Roman"/>
          <w:sz w:val="24"/>
          <w:szCs w:val="24"/>
        </w:rPr>
        <w:t xml:space="preserve">To </w:t>
      </w:r>
      <w:r w:rsidRPr="62DC4C2B" w:rsidR="00623727">
        <w:rPr>
          <w:rFonts w:ascii="Times New Roman" w:hAnsi="Times New Roman" w:eastAsia="Times New Roman" w:cs="Times New Roman"/>
          <w:sz w:val="24"/>
          <w:szCs w:val="24"/>
        </w:rPr>
        <w:t>i</w:t>
      </w:r>
      <w:r w:rsidRPr="62DC4C2B" w:rsidR="7C0E09B2">
        <w:rPr>
          <w:rFonts w:ascii="Times New Roman" w:hAnsi="Times New Roman" w:eastAsia="Times New Roman" w:cs="Times New Roman"/>
          <w:sz w:val="24"/>
          <w:szCs w:val="24"/>
        </w:rPr>
        <w:t>dentify the technical, organisational and financial barriers that prevent enterprises from scaling AI workloads.</w:t>
      </w:r>
    </w:p>
    <w:p w:rsidR="00E70164" w:rsidP="62DC4C2B" w:rsidRDefault="00623727" w14:paraId="1D7A405B" w14:textId="54350B50">
      <w:pPr>
        <w:pStyle w:val="ListNumber"/>
        <w:spacing w:after="60" w:line="360" w:lineRule="auto"/>
        <w:jc w:val="both"/>
        <w:rPr>
          <w:rFonts w:ascii="Times New Roman" w:hAnsi="Times New Roman" w:eastAsia="Times New Roman" w:cs="Times New Roman"/>
          <w:sz w:val="24"/>
          <w:szCs w:val="24"/>
        </w:rPr>
      </w:pPr>
      <w:r w:rsidRPr="62DC4C2B" w:rsidR="00623727">
        <w:rPr>
          <w:rFonts w:ascii="Times New Roman" w:hAnsi="Times New Roman" w:eastAsia="Times New Roman" w:cs="Times New Roman"/>
          <w:sz w:val="24"/>
          <w:szCs w:val="24"/>
        </w:rPr>
        <w:t xml:space="preserve">To </w:t>
      </w:r>
      <w:r w:rsidRPr="62DC4C2B" w:rsidR="00623727">
        <w:rPr>
          <w:rFonts w:ascii="Times New Roman" w:hAnsi="Times New Roman" w:eastAsia="Times New Roman" w:cs="Times New Roman"/>
          <w:sz w:val="24"/>
          <w:szCs w:val="24"/>
        </w:rPr>
        <w:t>c</w:t>
      </w:r>
      <w:r w:rsidRPr="62DC4C2B" w:rsidR="7C0E09B2">
        <w:rPr>
          <w:rFonts w:ascii="Times New Roman" w:hAnsi="Times New Roman" w:eastAsia="Times New Roman" w:cs="Times New Roman"/>
          <w:sz w:val="24"/>
          <w:szCs w:val="24"/>
        </w:rPr>
        <w:t>ompare NVIDIA’s integrated platform with competing accelerators, cloud AI services and custom silicon strategies.</w:t>
      </w:r>
    </w:p>
    <w:p w:rsidR="00E70164" w:rsidP="62DC4C2B" w:rsidRDefault="00623727" w14:paraId="2E3A53C4" w14:textId="57D5A47C">
      <w:pPr>
        <w:pStyle w:val="ListNumber"/>
        <w:spacing w:after="60" w:line="360" w:lineRule="auto"/>
        <w:jc w:val="both"/>
        <w:rPr>
          <w:rFonts w:ascii="Times New Roman" w:hAnsi="Times New Roman" w:eastAsia="Times New Roman" w:cs="Times New Roman"/>
          <w:sz w:val="24"/>
          <w:szCs w:val="24"/>
        </w:rPr>
      </w:pPr>
      <w:r w:rsidRPr="62DC4C2B" w:rsidR="00623727">
        <w:rPr>
          <w:rFonts w:ascii="Times New Roman" w:hAnsi="Times New Roman"/>
          <w:sz w:val="24"/>
          <w:szCs w:val="24"/>
        </w:rPr>
        <w:t>To propose an enterprise solution, route to market, operating model and partner structure using the Business Model Canvas.</w:t>
      </w:r>
    </w:p>
    <w:p w:rsidR="00E70164" w:rsidP="62DC4C2B" w:rsidRDefault="00116B6D" w14:paraId="1EDEEBE2" w14:textId="46A4E296">
      <w:pPr>
        <w:pStyle w:val="ListNumber"/>
        <w:spacing w:after="60" w:line="360" w:lineRule="auto"/>
        <w:jc w:val="both"/>
        <w:rPr>
          <w:rFonts w:ascii="Times New Roman" w:hAnsi="Times New Roman" w:eastAsia="Times New Roman" w:cs="Times New Roman"/>
          <w:sz w:val="24"/>
          <w:szCs w:val="24"/>
        </w:rPr>
      </w:pPr>
      <w:r w:rsidRPr="62DC4C2B" w:rsidR="00116B6D">
        <w:rPr>
          <w:rFonts w:ascii="Times New Roman" w:hAnsi="Times New Roman" w:eastAsia="Times New Roman" w:cs="Times New Roman"/>
          <w:sz w:val="24"/>
          <w:szCs w:val="24"/>
        </w:rPr>
        <w:t xml:space="preserve">To </w:t>
      </w:r>
      <w:r w:rsidRPr="62DC4C2B" w:rsidR="00116B6D">
        <w:rPr>
          <w:rFonts w:ascii="Times New Roman" w:hAnsi="Times New Roman" w:eastAsia="Times New Roman" w:cs="Times New Roman"/>
          <w:sz w:val="24"/>
          <w:szCs w:val="24"/>
        </w:rPr>
        <w:t>e</w:t>
      </w:r>
      <w:r w:rsidRPr="62DC4C2B" w:rsidR="7C0E09B2">
        <w:rPr>
          <w:rFonts w:ascii="Times New Roman" w:hAnsi="Times New Roman" w:eastAsia="Times New Roman" w:cs="Times New Roman"/>
          <w:sz w:val="24"/>
          <w:szCs w:val="24"/>
        </w:rPr>
        <w:t>valuate commercial feasibility through scenario-based revenue, cost, adoption and risk assumptions, then recommend an implementation pathway.</w:t>
      </w:r>
    </w:p>
    <w:p w:rsidR="00E70164" w:rsidP="62DC4C2B" w:rsidRDefault="7C0E09B2" w14:paraId="5D7B3A82" w14:textId="77777777">
      <w:pPr>
        <w:pStyle w:val="Heading1"/>
        <w:spacing w:line="360" w:lineRule="auto"/>
        <w:jc w:val="both"/>
        <w:rPr>
          <w:rFonts w:ascii="Times New Roman" w:hAnsi="Times New Roman" w:eastAsia="Times New Roman" w:cs="Times New Roman"/>
          <w:sz w:val="24"/>
          <w:szCs w:val="24"/>
        </w:rPr>
      </w:pPr>
      <w:bookmarkStart w:name="_Toc1406089827" w:id="22"/>
      <w:r w:rsidRPr="62DC4C2B" w:rsidR="7C0E09B2">
        <w:rPr>
          <w:rFonts w:ascii="Times New Roman" w:hAnsi="Times New Roman" w:eastAsia="Times New Roman" w:cs="Times New Roman"/>
          <w:color w:val="000000" w:themeColor="text1" w:themeTint="FF" w:themeShade="FF"/>
          <w:sz w:val="24"/>
          <w:szCs w:val="24"/>
        </w:rPr>
        <w:t>4 Research methodology</w:t>
      </w:r>
      <w:bookmarkEnd w:id="22"/>
    </w:p>
    <w:p w:rsidR="00E70164" w:rsidP="62DC4C2B" w:rsidRDefault="7C0E09B2" w14:paraId="649864C4" w14:textId="77777777">
      <w:pPr>
        <w:pStyle w:val="Heading2"/>
        <w:spacing w:line="360" w:lineRule="auto"/>
        <w:jc w:val="both"/>
        <w:rPr>
          <w:rFonts w:ascii="Times New Roman" w:hAnsi="Times New Roman" w:eastAsia="Times New Roman" w:cs="Times New Roman"/>
        </w:rPr>
      </w:pPr>
      <w:bookmarkStart w:name="_Toc1675772688" w:id="23"/>
      <w:r w:rsidRPr="62DC4C2B" w:rsidR="7C0E09B2">
        <w:rPr>
          <w:rFonts w:ascii="Times New Roman" w:hAnsi="Times New Roman" w:eastAsia="Times New Roman" w:cs="Times New Roman"/>
          <w:b w:val="1"/>
          <w:bCs w:val="1"/>
          <w:color w:val="000000" w:themeColor="text1" w:themeTint="FF" w:themeShade="FF"/>
          <w:sz w:val="24"/>
          <w:szCs w:val="24"/>
        </w:rPr>
        <w:t>4.1 Research design</w:t>
      </w:r>
      <w:bookmarkEnd w:id="23"/>
    </w:p>
    <w:p w:rsidR="00E70164" w:rsidP="62DC4C2B" w:rsidRDefault="7C0E09B2" w14:paraId="657C8A76"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study will use a pragmatic case study combining qualitative evidence with quantitative financial and market analysis (Saunders et al., 2023). A case study suits a contemporary strategic question in which the company, its ecosystem and the market context cannot be separated cleanly (Yin, 2018). The design will be abductive: evidence about customer concentration and enterprise adoption will guide an initial explanation, while additional evidence and business models will refine it. The study will use only secondary data. No surveys, interviews, observation, personal data or confidential company information are planned.</w:t>
      </w:r>
    </w:p>
    <w:p w:rsidR="00E70164" w:rsidP="62DC4C2B" w:rsidRDefault="7C0E09B2" w14:paraId="53B1B6BB" w14:textId="77777777">
      <w:pPr>
        <w:pStyle w:val="Heading2"/>
        <w:spacing w:line="360" w:lineRule="auto"/>
        <w:jc w:val="both"/>
        <w:rPr>
          <w:rFonts w:ascii="Times New Roman" w:hAnsi="Times New Roman" w:eastAsia="Times New Roman" w:cs="Times New Roman"/>
        </w:rPr>
      </w:pPr>
      <w:bookmarkStart w:name="_Toc1153293569" w:id="24"/>
      <w:r w:rsidRPr="62DC4C2B" w:rsidR="7C0E09B2">
        <w:rPr>
          <w:rFonts w:ascii="Times New Roman" w:hAnsi="Times New Roman" w:eastAsia="Times New Roman" w:cs="Times New Roman"/>
          <w:b w:val="1"/>
          <w:bCs w:val="1"/>
          <w:color w:val="000000" w:themeColor="text1" w:themeTint="FF" w:themeShade="FF"/>
          <w:sz w:val="24"/>
          <w:szCs w:val="24"/>
        </w:rPr>
        <w:t>4.2 Evidence collection</w:t>
      </w:r>
      <w:bookmarkEnd w:id="24"/>
    </w:p>
    <w:p w:rsidR="00E70164" w:rsidP="62DC4C2B" w:rsidRDefault="7C0E09B2" w14:paraId="5B10C356"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Evidence will be collected from NVIDIA annual reports, SEC filings, earnings releases, product documentation and licensing information. Competitor evidence will come from official reports and technical documentation published by AMD, Intel and major cloud providers. Independent market validation will use peer-reviewed research, reputable industry surveys and academic databases including Scopus, ABI INFORM and Google Scholar. Searches will combine terms such as enterprise AI adoption, AI infrastructure, GPU orchestration, AI software platform, production generative AI, hybrid AI and AI return on investment.</w:t>
      </w:r>
    </w:p>
    <w:p w:rsidR="00E70164" w:rsidP="62DC4C2B" w:rsidRDefault="7C0E09B2" w14:paraId="02F26796"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Priority will be given to evidence published from 2022 to 2026 because the technology and regulatory environment changes quickly. Earlier sources will be retained for established frameworks. Inclusion will require a named publisher, transparent method or auditable primary data, direct relevance to enterprise deployment, and sufficient detail to support comparison. Undated promotional material, anonymous commentary, duplicated press coverage and unsupported market estimates will be excluded. A source log will record the author, date, purpose, method, key result, limitation and section in which each source is used.</w:t>
      </w:r>
    </w:p>
    <w:p w:rsidR="00E70164" w:rsidP="62DC4C2B" w:rsidRDefault="7C0E09B2" w14:paraId="5619793B" w14:textId="77777777">
      <w:pPr>
        <w:pStyle w:val="Heading2"/>
        <w:spacing w:line="360" w:lineRule="auto"/>
        <w:jc w:val="both"/>
        <w:rPr>
          <w:rFonts w:ascii="Times New Roman" w:hAnsi="Times New Roman" w:eastAsia="Times New Roman" w:cs="Times New Roman"/>
        </w:rPr>
      </w:pPr>
      <w:bookmarkStart w:name="_Toc928652785" w:id="25"/>
      <w:r w:rsidRPr="62DC4C2B" w:rsidR="7C0E09B2">
        <w:rPr>
          <w:rFonts w:ascii="Times New Roman" w:hAnsi="Times New Roman" w:eastAsia="Times New Roman" w:cs="Times New Roman"/>
          <w:b w:val="1"/>
          <w:bCs w:val="1"/>
          <w:color w:val="000000" w:themeColor="text1" w:themeTint="FF" w:themeShade="FF"/>
          <w:sz w:val="24"/>
          <w:szCs w:val="24"/>
        </w:rPr>
        <w:t>4.3 Analysis</w:t>
      </w:r>
      <w:bookmarkEnd w:id="25"/>
    </w:p>
    <w:p w:rsidR="00E70164" w:rsidP="62DC4C2B" w:rsidRDefault="7C0E09B2" w14:paraId="696A0893"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Financial analysis will calculate revenue growth, data centre concentration, customer concentration and indicative recurring-revenue scenarios. Because NVIDIA does not separately disclose all enterprise software revenue, the study will not claim a precise software baseline. Instead, low, central and high scenarios will test combinations of enterprise accounts, GPU subscriptions, service attachment and renewal. All assumptions will be stated and sensitivity-tested rather than presented as forecasts.</w:t>
      </w:r>
    </w:p>
    <w:p w:rsidR="00E70164" w:rsidP="62DC4C2B" w:rsidRDefault="7C0E09B2" w14:paraId="33BD650A"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Qualitative evidence will be coded by adoption barrier, customer need, buying criterion, competitive response, regulatory constraint and implementation requirement, following a structured thematic approach (Braun and Clarke, 2006). The final BDP will apply the five required business analysis models: PESTLE, SWOT, competitor analysis, Porter’s Five Forces (Porter, 1980) and the Ansoff Matrix (Ansoff, 1957). The Business Model Canvas will show how NVIDIA would create, deliver and capture value (Osterwalder and Pigneur, 2010). Triangulation across company filings, product documentation, independent surveys and academic research will reduce dependence on any single source.</w:t>
      </w:r>
    </w:p>
    <w:p w:rsidR="00E70164" w:rsidP="62DC4C2B" w:rsidRDefault="7C0E09B2" w14:paraId="5EC22A07" w14:textId="77777777">
      <w:pPr>
        <w:pStyle w:val="Heading2"/>
        <w:spacing w:line="360" w:lineRule="auto"/>
        <w:jc w:val="both"/>
        <w:rPr>
          <w:rFonts w:ascii="Times New Roman" w:hAnsi="Times New Roman" w:eastAsia="Times New Roman" w:cs="Times New Roman"/>
        </w:rPr>
      </w:pPr>
      <w:bookmarkStart w:name="_Toc668074326" w:id="26"/>
      <w:r w:rsidRPr="62DC4C2B" w:rsidR="7C0E09B2">
        <w:rPr>
          <w:rFonts w:ascii="Times New Roman" w:hAnsi="Times New Roman" w:eastAsia="Times New Roman" w:cs="Times New Roman"/>
          <w:b w:val="1"/>
          <w:bCs w:val="1"/>
          <w:color w:val="000000" w:themeColor="text1" w:themeTint="FF" w:themeShade="FF"/>
          <w:sz w:val="24"/>
          <w:szCs w:val="24"/>
        </w:rPr>
        <w:t>4.4 Quality ethics and data management</w:t>
      </w:r>
      <w:bookmarkEnd w:id="26"/>
    </w:p>
    <w:p w:rsidR="00E70164" w:rsidP="62DC4C2B" w:rsidRDefault="7C0E09B2" w14:paraId="28A90B3B"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main quality risks are company self-promotion, inconsistent market definitions and rapid obsolescence. The study will separate reported fact from interpretation, verify important figures against filings, record the evidence date and explain conflicts between sources. Its secondary-data design presents minimal risk to participants because there are none. Public sources will be cited in Harvard style, copyright restrictions will be respected and no paywalled text will be reproduced beyond permitted quotation.</w:t>
      </w:r>
    </w:p>
    <w:p w:rsidR="00E70164" w:rsidP="62DC4C2B" w:rsidRDefault="7C0E09B2" w14:paraId="20626518"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Research notes and extracted datasets will be stored in password-protected university storage with versioned filenames and a data dictionary. Only information needed for the project will be retained. Any generative AI use must be declared in the ethics form and follow current UWTSD policy. AI may support editing or source organisation only where permitted; it will not replace source verification, analysis or the student’s authorship. The supervisor and programme manager must approve the ethics application before research activity begins, as required by the workshop guidance.</w:t>
      </w:r>
    </w:p>
    <w:p w:rsidR="00E70164" w:rsidP="62DC4C2B" w:rsidRDefault="7C0E09B2" w14:paraId="1EECBA8B" w14:textId="77777777">
      <w:pPr>
        <w:pStyle w:val="Heading1"/>
        <w:spacing w:line="360" w:lineRule="auto"/>
        <w:jc w:val="both"/>
        <w:rPr>
          <w:rFonts w:ascii="Times New Roman" w:hAnsi="Times New Roman" w:eastAsia="Times New Roman" w:cs="Times New Roman"/>
          <w:sz w:val="24"/>
          <w:szCs w:val="24"/>
        </w:rPr>
      </w:pPr>
      <w:bookmarkStart w:name="_Toc373511420" w:id="27"/>
      <w:r w:rsidRPr="62DC4C2B" w:rsidR="7C0E09B2">
        <w:rPr>
          <w:rFonts w:ascii="Times New Roman" w:hAnsi="Times New Roman" w:eastAsia="Times New Roman" w:cs="Times New Roman"/>
          <w:color w:val="000000" w:themeColor="text1" w:themeTint="FF" w:themeShade="FF"/>
          <w:sz w:val="24"/>
          <w:szCs w:val="24"/>
        </w:rPr>
        <w:t>5 Market research and preliminary validation</w:t>
      </w:r>
      <w:bookmarkEnd w:id="27"/>
    </w:p>
    <w:p w:rsidR="00E70164" w:rsidP="62DC4C2B" w:rsidRDefault="7C0E09B2" w14:paraId="60321EE0"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 xml:space="preserve">Preliminary evidence supports further investigation. NVIDIA already has the technical components needed for an integrated offer. NVIDIA AI Enterprise combines supported microservices, frameworks and libraries with orchestration and infrastructure management. Its reference architecture joins Blackwell computing, networking, software and partners in an enterprise AI factory, while Run:ai </w:t>
      </w:r>
      <w:r w:rsidRPr="62DC4C2B" w:rsidR="7C0E09B2">
        <w:rPr>
          <w:rFonts w:ascii="Times New Roman" w:hAnsi="Times New Roman" w:eastAsia="Times New Roman" w:cs="Times New Roman"/>
          <w:sz w:val="24"/>
          <w:szCs w:val="24"/>
        </w:rPr>
        <w:t>manages workload scheduling and GPU utilisation (NVIDIA, 2026b). The published enterprise licensing guide lists a one-year subscription price of $4,500 per GPU, providing a transparent starting point for scenario analysis (NVIDIA, 2026c).</w:t>
      </w:r>
    </w:p>
    <w:p w:rsidR="00E70164" w:rsidP="62DC4C2B" w:rsidRDefault="7C0E09B2" w14:paraId="63D00CB5"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Demand indicators are strong but should be interpreted cautiously. NVIDIA’s 2026 survey of more than 3,200 respondents reported active AI use among 64 per cent of organisations and 76 per cent of organisations with more than 1,000 employees. The same survey identified unresolved data, skills and return-on-investment problems (Rowinski, 2026). Because respondents had opted in to NVIDIA communications, the sample may overrepresent organisations interested in AI. ISG’s lower production and return figures therefore provide a useful independent counterweight. Together, the sources indicate a large addressable enterprise market and a persistent implementation gap rather than effortless adoption.</w:t>
      </w:r>
    </w:p>
    <w:p w:rsidR="00E70164" w:rsidP="62DC4C2B" w:rsidRDefault="7C0E09B2" w14:paraId="68FB7E9E"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Competition will be assessed at platform level. AMD and Intel compete in accelerators and software ecosystems, while AWS, Google and Microsoft combine cloud infrastructure with proprietary AI chips and managed services. Large customers can also design custom silicon. NVIDIA’s differentiators are CUDA, a broad developer ecosystem, high-performance networking and co-designed systems. Its vulnerabilities include premium total cost, dependence on external manufacturing, customer concentration, fast product transitions and export controls. The fiscal 2026 Form 10-K states that NVIDIA was effectively foreclosed from China’s data centre compute market and that new architectures may create supply, qualification and demand-timing volatility (NVIDIA, 2026a).</w:t>
      </w:r>
    </w:p>
    <w:p w:rsidR="00E70164" w:rsidP="62DC4C2B" w:rsidRDefault="7C0E09B2" w14:paraId="6F153E63"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proposed offer will therefore be validated against five tests: a defined enterprise problem, measurable customer benefit, partner compatibility, recurring revenue potential and regulatory feasibility. Evidence will be sought for each target sector, and the recommendation will be revised if customers can obtain equivalent value more cheaply from cloud-native services or if integration costs outweigh likely subscription income.</w:t>
      </w:r>
    </w:p>
    <w:p w:rsidR="00E70164" w:rsidP="62DC4C2B" w:rsidRDefault="7C0E09B2" w14:paraId="47B31FDC"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preliminary target customer is a large or upper-mid-market organisation that has completed at least one AI pilot but lacks a standard route to production. Buying groups are likely to include the chief information or technology officer, data and AI leaders, security and risk teams, procurement, finance and the operating function that owns the use case. The proposed sales journey would begin with a partner-led readiness assessment, continue through a limited production deployment and convert to a multi-year platform subscription only after agreed technical and business measures are met. This reduces the risk of selling excess infrastructure before data, governance and operating capability are ready.</w:t>
      </w:r>
    </w:p>
    <w:p w:rsidR="00E70164" w:rsidP="62DC4C2B" w:rsidRDefault="7C0E09B2" w14:paraId="60C43EB5"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Commercial performance would be assessed through software attachment to eligible systems, pilot-to-production conversion, deployment time, GPU utilisation, annual recurring software and support revenue, renewal, partner contribution and customer concentration. Customer outcomes would include cost per workload, service reliability, governance compliance and use-case value. These measures will help the final report distinguish revenue growth from durable growth. A model that raises near-term hardware sales but produces weak utilisation, low renewal or partner conflict would not meet the proposal’s objective.</w:t>
      </w:r>
    </w:p>
    <w:p w:rsidR="00E70164" w:rsidP="62DC4C2B" w:rsidRDefault="7C0E09B2" w14:paraId="70DF057B" w14:textId="75FE2A01">
      <w:pPr>
        <w:pStyle w:val="Heading1"/>
        <w:spacing w:line="360" w:lineRule="auto"/>
        <w:jc w:val="both"/>
        <w:rPr>
          <w:rFonts w:ascii="Times New Roman" w:hAnsi="Times New Roman" w:eastAsia="Times New Roman" w:cs="Times New Roman"/>
          <w:sz w:val="24"/>
          <w:szCs w:val="24"/>
        </w:rPr>
      </w:pPr>
      <w:bookmarkStart w:name="_Toc1139815021" w:id="28"/>
      <w:r w:rsidRPr="62DC4C2B" w:rsidR="7C0E09B2">
        <w:rPr>
          <w:rFonts w:ascii="Times New Roman" w:hAnsi="Times New Roman" w:eastAsia="Times New Roman" w:cs="Times New Roman"/>
          <w:color w:val="000000" w:themeColor="text1" w:themeTint="FF" w:themeShade="FF"/>
          <w:sz w:val="24"/>
          <w:szCs w:val="24"/>
        </w:rPr>
        <w:t xml:space="preserve">6 </w:t>
      </w:r>
      <w:r w:rsidRPr="62DC4C2B" w:rsidR="00DB5074">
        <w:rPr>
          <w:rFonts w:ascii="Times New Roman" w:hAnsi="Times New Roman" w:eastAsia="Times New Roman" w:cs="Times New Roman"/>
          <w:color w:val="000000" w:themeColor="text1" w:themeTint="FF" w:themeShade="FF"/>
          <w:sz w:val="24"/>
          <w:szCs w:val="24"/>
        </w:rPr>
        <w:t>An</w:t>
      </w:r>
      <w:r w:rsidRPr="62DC4C2B" w:rsidR="00DB5074">
        <w:rPr>
          <w:rFonts w:ascii="Times New Roman" w:hAnsi="Times New Roman" w:eastAsia="Times New Roman" w:cs="Times New Roman"/>
          <w:color w:val="000000" w:themeColor="text1" w:themeTint="FF" w:themeShade="FF"/>
          <w:sz w:val="24"/>
          <w:szCs w:val="24"/>
        </w:rPr>
        <w:t>ticipated</w:t>
      </w:r>
      <w:r w:rsidRPr="62DC4C2B" w:rsidR="7C0E09B2">
        <w:rPr>
          <w:rFonts w:ascii="Times New Roman" w:hAnsi="Times New Roman" w:eastAsia="Times New Roman" w:cs="Times New Roman"/>
          <w:color w:val="000000" w:themeColor="text1" w:themeTint="FF" w:themeShade="FF"/>
          <w:sz w:val="24"/>
          <w:szCs w:val="24"/>
        </w:rPr>
        <w:t xml:space="preserve"> risks</w:t>
      </w:r>
      <w:bookmarkEnd w:id="28"/>
    </w:p>
    <w:p w:rsidR="00E70164" w:rsidP="62DC4C2B" w:rsidRDefault="7C0E09B2" w14:paraId="3F8D80A6"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sz w:val="24"/>
          <w:szCs w:val="24"/>
        </w:rPr>
        <w:t>The risk register covers risks to completing the research and risks to the proposed business model. Ratings are provisional researcher judgements informed by the preliminary evidence and project design; they are not statistically estimated probabilities or NVIDIA’s internal risk ratings. Likelihood (L) refers to a risk arising during the 16-week study or, for commercial risks, during the proposed initial implementation. Impact (I) refers to its consequences for research credibility, timely completion or commercial feasibility before the listed mitigation is applied.</w:t>
      </w:r>
    </w:p>
    <w:p xmlns:wp14="http://schemas.microsoft.com/office/word/2010/wordml" w:rsidP="62DC4C2B" w14:paraId="1AE2F758" wp14:textId="77777777">
      <w:pPr>
        <w:spacing w:line="360" w:lineRule="auto"/>
        <w:jc w:val="both"/>
      </w:pPr>
      <w:r w:rsidRPr="62DC4C2B" w:rsidR="62DC4C2B">
        <w:rPr>
          <w:rFonts w:ascii="Times New Roman" w:hAnsi="Times New Roman"/>
          <w:sz w:val="24"/>
          <w:szCs w:val="24"/>
        </w:rPr>
        <w:t>Likelihood uses the following anchors: 1 = rare, with no identified trigger; 2 = unlikely, requiring an exceptional lapse or event; 3 = possible, with a plausible trigger but uncertain occurrence; 4 = likely, with an existing exposure or repeated trigger; and 5 = almost certain, with an ongoing condition expected to recur. Impact is scored as 1 = negligible, requiring minor correction; 2 = minor, requiring limited rework; 3 = moderate, requiring changes to assumptions or a workstream; 4 = major, requiring substantial redesign or threatening a key objective; and 5 = severe, potentially invalidating the study or preventing market entry.</w:t>
      </w:r>
    </w:p>
    <w:p xmlns:wp14="http://schemas.microsoft.com/office/word/2010/wordml" w:rsidP="62DC4C2B" w14:paraId="3317E2D5" wp14:textId="77777777">
      <w:pPr>
        <w:spacing w:line="360" w:lineRule="auto"/>
        <w:jc w:val="both"/>
      </w:pPr>
      <w:r w:rsidRPr="62DC4C2B" w:rsidR="62DC4C2B">
        <w:rPr>
          <w:rFonts w:ascii="Times New Roman" w:hAnsi="Times New Roman"/>
          <w:sz w:val="24"/>
          <w:szCs w:val="24"/>
        </w:rPr>
        <w:t>The priority score is L × I, ranging from 1 to 25. Scores of 1–4 are low, 5–9 moderate, 10–16 high and 17–25 critical. These project-specific thresholds guide attention rather than measure expected financial loss. The rationale below explains each initial score. Ratings will be reviewed at the evidence cut-off in week 10 and before submission; changes will be recorded with their supporting evidence. No reduction in residual risk will be assumed until a mitigation is demonstrated.</w:t>
      </w:r>
    </w:p>
    <w:tbl>
      <w:tblPr>
        <w:tblStyle w:val="TableGridLight"/>
        <w:tblW w:w="9918" w:type="dxa"/>
        <w:tblLayout w:type="fixed"/>
        <w:tblLook w:val="04A0" w:firstRow="1" w:lastRow="0" w:firstColumn="1" w:lastColumn="0" w:noHBand="0" w:noVBand="1"/>
        <w:tblBorders>
          <w:top w:val="single" w:color="D9D9D9" w:sz="4"/>
          <w:left w:val="single" w:color="D9D9D9" w:sz="4"/>
          <w:bottom w:val="single" w:color="D9D9D9" w:sz="4"/>
          <w:right w:val="single" w:color="D9D9D9" w:sz="4"/>
          <w:insideH w:val="single" w:color="D9D9D9" w:sz="4"/>
          <w:insideV w:val="single" w:color="D9D9D9" w:sz="4"/>
        </w:tblBorders>
      </w:tblPr>
      <w:tblGrid>
        <w:gridCol w:w="2475"/>
        <w:gridCol w:w="810"/>
        <w:gridCol w:w="840"/>
        <w:gridCol w:w="990"/>
        <w:gridCol w:w="4803"/>
      </w:tblGrid>
      <w:tr w:rsidR="00E70164" w:rsidTr="7C0E09B2" w14:paraId="5D1B1FD7" w14:textId="77777777">
        <w:trPr>
          <w:tblHeader/>
          <w:tblHeader/>
          <w:cantSplit/>
        </w:trPr>
        <w:tc>
          <w:tcPr>
            <w:tcW w:w="2475" w:type="dxa"/>
            <w:tcBorders>
              <w:top w:val="single" w:color="D9D9D9" w:sz="6" w:space="0"/>
              <w:left w:val="single" w:color="D9D9D9" w:sz="6" w:space="0"/>
              <w:bottom w:val="single" w:color="D9D9D9" w:sz="6" w:space="0"/>
              <w:right w:val="single" w:color="D9D9D9" w:sz="6" w:space="0"/>
            </w:tcBorders>
            <w:shd w:val="clear" w:color="auto" w:fill="2F2F2F"/>
            <w:tcMar>
              <w:top w:w="90" w:type="dxa"/>
              <w:left w:w="100" w:type="dxa"/>
              <w:bottom w:w="90" w:type="dxa"/>
              <w:right w:w="100" w:type="dxa"/>
            </w:tcMar>
            <w:vAlign w:val="center"/>
          </w:tcPr>
          <w:p w:rsidR="00E70164" w:rsidP="7C0E09B2" w:rsidRDefault="7C0E09B2" w14:paraId="0B436CD8" w14:textId="77777777">
            <w:pPr>
              <w:spacing w:after="0" w:line="252" w:lineRule="auto"/>
              <w:rPr>
                <w:rFonts w:ascii="Times New Roman" w:hAnsi="Times New Roman" w:eastAsia="Times New Roman" w:cs="Times New Roman"/>
                <w:b/>
                <w:bCs/>
                <w:color w:val="auto"/>
                <w:sz w:val="24"/>
                <w:szCs w:val="24"/>
              </w:rPr>
            </w:pPr>
            <w:r w:rsidRPr="7C0E09B2">
              <w:rPr>
                <w:rFonts w:ascii="Times New Roman" w:hAnsi="Times New Roman" w:eastAsia="Times New Roman" w:cs="Times New Roman"/>
                <w:b/>
                <w:bCs/>
                <w:color w:val="auto"/>
                <w:sz w:val="24"/>
                <w:szCs w:val="24"/>
              </w:rPr>
              <w:t>Risk</w:t>
            </w:r>
          </w:p>
        </w:tc>
        <w:tc>
          <w:tcPr>
            <w:tcW w:w="810" w:type="dxa"/>
            <w:tcBorders>
              <w:top w:val="single" w:color="D9D9D9" w:sz="6" w:space="0"/>
              <w:left w:val="single" w:color="D9D9D9" w:sz="6" w:space="0"/>
              <w:bottom w:val="single" w:color="D9D9D9" w:sz="6" w:space="0"/>
              <w:right w:val="single" w:color="D9D9D9" w:sz="6" w:space="0"/>
            </w:tcBorders>
            <w:shd w:val="clear" w:color="auto" w:fill="2F2F2F"/>
            <w:tcMar>
              <w:top w:w="90" w:type="dxa"/>
              <w:left w:w="100" w:type="dxa"/>
              <w:bottom w:w="90" w:type="dxa"/>
              <w:right w:w="100" w:type="dxa"/>
            </w:tcMar>
            <w:vAlign w:val="center"/>
          </w:tcPr>
          <w:p w:rsidR="00E70164" w:rsidP="7C0E09B2" w:rsidRDefault="7C0E09B2" w14:paraId="1FE97689" w14:textId="77777777">
            <w:pPr>
              <w:spacing w:after="0" w:line="252" w:lineRule="auto"/>
              <w:rPr>
                <w:rFonts w:ascii="Times New Roman" w:hAnsi="Times New Roman" w:eastAsia="Times New Roman" w:cs="Times New Roman"/>
                <w:b/>
                <w:bCs/>
                <w:color w:val="auto"/>
                <w:sz w:val="24"/>
                <w:szCs w:val="24"/>
              </w:rPr>
            </w:pPr>
            <w:r w:rsidRPr="7C0E09B2">
              <w:rPr>
                <w:rFonts w:ascii="Times New Roman" w:hAnsi="Times New Roman" w:eastAsia="Times New Roman" w:cs="Times New Roman"/>
                <w:b/>
                <w:bCs/>
                <w:color w:val="auto"/>
                <w:sz w:val="24"/>
                <w:szCs w:val="24"/>
              </w:rPr>
              <w:t>L</w:t>
            </w:r>
          </w:p>
        </w:tc>
        <w:tc>
          <w:tcPr>
            <w:tcW w:w="840" w:type="dxa"/>
            <w:tcBorders>
              <w:top w:val="single" w:color="D9D9D9" w:sz="6" w:space="0"/>
              <w:left w:val="single" w:color="D9D9D9" w:sz="6" w:space="0"/>
              <w:bottom w:val="single" w:color="D9D9D9" w:sz="6" w:space="0"/>
              <w:right w:val="single" w:color="D9D9D9" w:sz="6" w:space="0"/>
            </w:tcBorders>
            <w:shd w:val="clear" w:color="auto" w:fill="2F2F2F"/>
            <w:tcMar>
              <w:top w:w="90" w:type="dxa"/>
              <w:left w:w="100" w:type="dxa"/>
              <w:bottom w:w="90" w:type="dxa"/>
              <w:right w:w="100" w:type="dxa"/>
            </w:tcMar>
            <w:vAlign w:val="center"/>
          </w:tcPr>
          <w:p w:rsidR="00E70164" w:rsidP="7C0E09B2" w:rsidRDefault="7C0E09B2" w14:paraId="2906B3E5" w14:textId="77777777">
            <w:pPr>
              <w:spacing w:after="0" w:line="252" w:lineRule="auto"/>
              <w:rPr>
                <w:rFonts w:ascii="Times New Roman" w:hAnsi="Times New Roman" w:eastAsia="Times New Roman" w:cs="Times New Roman"/>
                <w:b/>
                <w:bCs/>
                <w:color w:val="auto"/>
                <w:sz w:val="24"/>
                <w:szCs w:val="24"/>
              </w:rPr>
            </w:pPr>
            <w:r w:rsidRPr="7C0E09B2">
              <w:rPr>
                <w:rFonts w:ascii="Times New Roman" w:hAnsi="Times New Roman" w:eastAsia="Times New Roman" w:cs="Times New Roman"/>
                <w:b/>
                <w:bCs/>
                <w:color w:val="auto"/>
                <w:sz w:val="24"/>
                <w:szCs w:val="24"/>
              </w:rPr>
              <w:t>I</w:t>
            </w:r>
          </w:p>
        </w:tc>
        <w:tc>
          <w:tcPr>
            <w:tcW w:w="990" w:type="dxa"/>
            <w:tcBorders>
              <w:top w:val="single" w:color="D9D9D9" w:sz="6" w:space="0"/>
              <w:left w:val="single" w:color="D9D9D9" w:sz="6" w:space="0"/>
              <w:bottom w:val="single" w:color="D9D9D9" w:sz="6" w:space="0"/>
              <w:right w:val="single" w:color="D9D9D9" w:sz="6" w:space="0"/>
            </w:tcBorders>
            <w:shd w:val="clear" w:color="auto" w:fill="2F2F2F"/>
            <w:tcMar>
              <w:top w:w="90" w:type="dxa"/>
              <w:left w:w="100" w:type="dxa"/>
              <w:bottom w:w="90" w:type="dxa"/>
              <w:right w:w="100" w:type="dxa"/>
            </w:tcMar>
            <w:vAlign w:val="center"/>
          </w:tcPr>
          <w:p w:rsidR="00E70164" w:rsidP="7C0E09B2" w:rsidRDefault="7C0E09B2" w14:paraId="657C3913" w14:textId="77777777">
            <w:pPr>
              <w:spacing w:after="0" w:line="252" w:lineRule="auto"/>
              <w:rPr>
                <w:rFonts w:ascii="Times New Roman" w:hAnsi="Times New Roman" w:eastAsia="Times New Roman" w:cs="Times New Roman"/>
                <w:b/>
                <w:bCs/>
                <w:color w:val="auto"/>
                <w:sz w:val="24"/>
                <w:szCs w:val="24"/>
              </w:rPr>
            </w:pPr>
            <w:r w:rsidRPr="7C0E09B2">
              <w:rPr>
                <w:rFonts w:ascii="Times New Roman" w:hAnsi="Times New Roman" w:eastAsia="Times New Roman" w:cs="Times New Roman"/>
                <w:b/>
                <w:bCs/>
                <w:color w:val="auto"/>
                <w:sz w:val="24"/>
                <w:szCs w:val="24"/>
              </w:rPr>
              <w:t>Score</w:t>
            </w:r>
          </w:p>
        </w:tc>
        <w:tc>
          <w:tcPr>
            <w:tcW w:w="4803" w:type="dxa"/>
            <w:tcBorders>
              <w:top w:val="single" w:color="D9D9D9" w:sz="6" w:space="0"/>
              <w:left w:val="single" w:color="D9D9D9" w:sz="6" w:space="0"/>
              <w:bottom w:val="single" w:color="D9D9D9" w:sz="6" w:space="0"/>
              <w:right w:val="single" w:color="D9D9D9" w:sz="6" w:space="0"/>
            </w:tcBorders>
            <w:shd w:val="clear" w:color="auto" w:fill="2F2F2F"/>
            <w:tcMar>
              <w:top w:w="90" w:type="dxa"/>
              <w:left w:w="100" w:type="dxa"/>
              <w:bottom w:w="90" w:type="dxa"/>
              <w:right w:w="100" w:type="dxa"/>
            </w:tcMar>
            <w:vAlign w:val="center"/>
          </w:tcPr>
          <w:p w:rsidR="00E70164" w:rsidP="7C0E09B2" w:rsidRDefault="7C0E09B2" w14:paraId="62786163" w14:textId="77777777">
            <w:pPr>
              <w:spacing w:after="0" w:line="252" w:lineRule="auto"/>
              <w:rPr>
                <w:rFonts w:ascii="Times New Roman" w:hAnsi="Times New Roman" w:eastAsia="Times New Roman" w:cs="Times New Roman"/>
                <w:b/>
                <w:bCs/>
                <w:color w:val="auto"/>
                <w:sz w:val="24"/>
                <w:szCs w:val="24"/>
              </w:rPr>
            </w:pPr>
            <w:r w:rsidRPr="7C0E09B2">
              <w:rPr>
                <w:rFonts w:ascii="Times New Roman" w:hAnsi="Times New Roman" w:eastAsia="Times New Roman" w:cs="Times New Roman"/>
                <w:b/>
                <w:bCs/>
                <w:color w:val="auto"/>
                <w:sz w:val="24"/>
                <w:szCs w:val="24"/>
              </w:rPr>
              <w:t>Mitigation</w:t>
            </w:r>
          </w:p>
        </w:tc>
      </w:tr>
      <w:tr w:rsidR="00E70164" w:rsidTr="7C0E09B2" w14:paraId="50E85FAE" w14:textId="77777777">
        <w:trPr>
          <w:cantSplit/>
        </w:trPr>
        <w:tc>
          <w:tcPr>
            <w:tcW w:w="2475"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087EAE18"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Rapid market change</w:t>
            </w:r>
          </w:p>
        </w:tc>
        <w:tc>
          <w:tcPr>
            <w:tcW w:w="81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2598DEE6"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84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279935FF"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99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0EB5E791"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16</w:t>
            </w:r>
          </w:p>
        </w:tc>
        <w:tc>
          <w:tcPr>
            <w:tcW w:w="4803"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202DD429"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Use dated evidence, close data collection in week 10 and recheck material developments before submission.</w:t>
            </w:r>
          </w:p>
        </w:tc>
      </w:tr>
      <w:tr w:rsidR="00E70164" w:rsidTr="7C0E09B2" w14:paraId="536E0F0B" w14:textId="77777777">
        <w:trPr>
          <w:cantSplit/>
        </w:trPr>
        <w:tc>
          <w:tcPr>
            <w:tcW w:w="2475"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1076A2A9"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Biased or promotional sources</w:t>
            </w:r>
          </w:p>
        </w:tc>
        <w:tc>
          <w:tcPr>
            <w:tcW w:w="81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7C964D78"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84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17310F6F"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99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632BF140"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16</w:t>
            </w:r>
          </w:p>
        </w:tc>
        <w:tc>
          <w:tcPr>
            <w:tcW w:w="4803"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55751472"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Triangulate company claims with filings, independent surveys and peer-reviewed research.</w:t>
            </w:r>
          </w:p>
        </w:tc>
      </w:tr>
      <w:tr w:rsidR="00E70164" w:rsidTr="7C0E09B2" w14:paraId="40901979" w14:textId="77777777">
        <w:trPr>
          <w:cantSplit/>
        </w:trPr>
        <w:tc>
          <w:tcPr>
            <w:tcW w:w="2475"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7CC16688"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Insufficient software disclosure</w:t>
            </w:r>
          </w:p>
        </w:tc>
        <w:tc>
          <w:tcPr>
            <w:tcW w:w="81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22C3D751"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84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5FCD5EC4"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3</w:t>
            </w:r>
          </w:p>
        </w:tc>
        <w:tc>
          <w:tcPr>
            <w:tcW w:w="99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4B73E586"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12</w:t>
            </w:r>
          </w:p>
        </w:tc>
        <w:tc>
          <w:tcPr>
            <w:tcW w:w="4803"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0C88A14A"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Use explicit scenarios and sensitivity ranges; do not infer undisclosed revenue.</w:t>
            </w:r>
          </w:p>
        </w:tc>
      </w:tr>
      <w:tr w:rsidR="00E70164" w:rsidTr="7C0E09B2" w14:paraId="1FAE3CEA" w14:textId="77777777">
        <w:trPr>
          <w:cantSplit/>
        </w:trPr>
        <w:tc>
          <w:tcPr>
            <w:tcW w:w="2475"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43DF7DEE"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Scope becomes too broad</w:t>
            </w:r>
          </w:p>
        </w:tc>
        <w:tc>
          <w:tcPr>
            <w:tcW w:w="81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0B778152"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3</w:t>
            </w:r>
          </w:p>
        </w:tc>
        <w:tc>
          <w:tcPr>
            <w:tcW w:w="84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5055DCC4"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99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48DF98D7"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12</w:t>
            </w:r>
          </w:p>
        </w:tc>
        <w:tc>
          <w:tcPr>
            <w:tcW w:w="4803"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32DACF9B"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Limit the solution to enterprise production AI and four illustrative sectors.</w:t>
            </w:r>
          </w:p>
        </w:tc>
      </w:tr>
      <w:tr w:rsidR="00E70164" w:rsidTr="7C0E09B2" w14:paraId="2823AA26" w14:textId="77777777">
        <w:trPr>
          <w:cantSplit/>
        </w:trPr>
        <w:tc>
          <w:tcPr>
            <w:tcW w:w="2475"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58D21352"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Academic integrity or inaccurate AI output</w:t>
            </w:r>
          </w:p>
        </w:tc>
        <w:tc>
          <w:tcPr>
            <w:tcW w:w="81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18F999B5"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2</w:t>
            </w:r>
          </w:p>
        </w:tc>
        <w:tc>
          <w:tcPr>
            <w:tcW w:w="84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78941E47"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5</w:t>
            </w:r>
          </w:p>
        </w:tc>
        <w:tc>
          <w:tcPr>
            <w:tcW w:w="99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5D369756"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10</w:t>
            </w:r>
          </w:p>
        </w:tc>
        <w:tc>
          <w:tcPr>
            <w:tcW w:w="4803"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21091B8D"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Follow UWTSD policy, declare permitted use and verify every fact against the cited source.</w:t>
            </w:r>
          </w:p>
        </w:tc>
      </w:tr>
      <w:tr w:rsidR="00E70164" w:rsidTr="7C0E09B2" w14:paraId="2BCB1E11" w14:textId="77777777">
        <w:trPr>
          <w:cantSplit/>
        </w:trPr>
        <w:tc>
          <w:tcPr>
            <w:tcW w:w="2475"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2ABEAC5D"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Commercial channel conflict</w:t>
            </w:r>
          </w:p>
        </w:tc>
        <w:tc>
          <w:tcPr>
            <w:tcW w:w="81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7A036E3D"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3</w:t>
            </w:r>
          </w:p>
        </w:tc>
        <w:tc>
          <w:tcPr>
            <w:tcW w:w="84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3BC2995D"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99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394C502F"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12</w:t>
            </w:r>
          </w:p>
        </w:tc>
        <w:tc>
          <w:tcPr>
            <w:tcW w:w="4803"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213D57D5"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Design partner-led delivery, preserve cloud and OEM routes, and test incentives in the operating model.</w:t>
            </w:r>
          </w:p>
        </w:tc>
      </w:tr>
      <w:tr w:rsidR="00E70164" w:rsidTr="7C0E09B2" w14:paraId="73B1B3ED" w14:textId="77777777">
        <w:trPr>
          <w:cantSplit/>
        </w:trPr>
        <w:tc>
          <w:tcPr>
            <w:tcW w:w="2475"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0A9752CE"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Customer lock-in or governance concerns</w:t>
            </w:r>
          </w:p>
        </w:tc>
        <w:tc>
          <w:tcPr>
            <w:tcW w:w="81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68D9363B"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3</w:t>
            </w:r>
          </w:p>
        </w:tc>
        <w:tc>
          <w:tcPr>
            <w:tcW w:w="84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7CD048C6"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990"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60063D61"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12</w:t>
            </w:r>
          </w:p>
        </w:tc>
        <w:tc>
          <w:tcPr>
            <w:tcW w:w="4803" w:type="dxa"/>
            <w:tcBorders>
              <w:top w:val="single" w:color="D9D9D9" w:sz="6" w:space="0"/>
              <w:left w:val="single" w:color="D9D9D9" w:sz="6" w:space="0"/>
              <w:bottom w:val="single" w:color="D9D9D9" w:sz="6" w:space="0"/>
              <w:right w:val="single" w:color="D9D9D9" w:sz="6" w:space="0"/>
            </w:tcBorders>
            <w:tcMar>
              <w:top w:w="90" w:type="dxa"/>
              <w:left w:w="100" w:type="dxa"/>
              <w:bottom w:w="90" w:type="dxa"/>
              <w:right w:w="100" w:type="dxa"/>
            </w:tcMar>
            <w:vAlign w:val="center"/>
          </w:tcPr>
          <w:p w:rsidR="00E70164" w:rsidP="7C0E09B2" w:rsidRDefault="7C0E09B2" w14:paraId="7CD96C05"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Support hybrid deployment, open models, data portability and auditable governance controls.</w:t>
            </w:r>
          </w:p>
        </w:tc>
      </w:tr>
      <w:tr w:rsidR="00E70164" w:rsidTr="7C0E09B2" w14:paraId="41C4898E" w14:textId="77777777">
        <w:trPr>
          <w:cantSplit/>
        </w:trPr>
        <w:tc>
          <w:tcPr>
            <w:tcW w:w="2475"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3443633F"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Export supply and regulatory disruption</w:t>
            </w:r>
          </w:p>
        </w:tc>
        <w:tc>
          <w:tcPr>
            <w:tcW w:w="81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2A108F41"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4</w:t>
            </w:r>
          </w:p>
        </w:tc>
        <w:tc>
          <w:tcPr>
            <w:tcW w:w="84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44240AAE"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5</w:t>
            </w:r>
          </w:p>
        </w:tc>
        <w:tc>
          <w:tcPr>
            <w:tcW w:w="990"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5007C906"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20</w:t>
            </w:r>
          </w:p>
        </w:tc>
        <w:tc>
          <w:tcPr>
            <w:tcW w:w="4803" w:type="dxa"/>
            <w:tcBorders>
              <w:top w:val="single" w:color="D9D9D9" w:sz="6" w:space="0"/>
              <w:left w:val="single" w:color="D9D9D9" w:sz="6" w:space="0"/>
              <w:bottom w:val="single" w:color="D9D9D9" w:sz="6" w:space="0"/>
              <w:right w:val="single" w:color="D9D9D9" w:sz="6" w:space="0"/>
            </w:tcBorders>
            <w:shd w:val="clear" w:color="auto" w:fill="F3F3F3"/>
            <w:tcMar>
              <w:top w:w="90" w:type="dxa"/>
              <w:left w:w="100" w:type="dxa"/>
              <w:bottom w:w="90" w:type="dxa"/>
              <w:right w:w="100" w:type="dxa"/>
            </w:tcMar>
            <w:vAlign w:val="center"/>
          </w:tcPr>
          <w:p w:rsidR="00E70164" w:rsidP="7C0E09B2" w:rsidRDefault="7C0E09B2" w14:paraId="51C69A3B" w14:textId="77777777">
            <w:pPr>
              <w:spacing w:after="0" w:line="252" w:lineRule="auto"/>
              <w:rPr>
                <w:rFonts w:ascii="Times New Roman" w:hAnsi="Times New Roman" w:eastAsia="Times New Roman" w:cs="Times New Roman"/>
                <w:color w:val="auto"/>
                <w:sz w:val="24"/>
                <w:szCs w:val="24"/>
              </w:rPr>
            </w:pPr>
            <w:r w:rsidRPr="7C0E09B2">
              <w:rPr>
                <w:rFonts w:ascii="Times New Roman" w:hAnsi="Times New Roman" w:eastAsia="Times New Roman" w:cs="Times New Roman"/>
                <w:color w:val="auto"/>
                <w:sz w:val="24"/>
                <w:szCs w:val="24"/>
              </w:rPr>
              <w:t>Use regional scenarios, compliant product configurations and staged market selection.</w:t>
            </w:r>
          </w:p>
        </w:tc>
      </w:tr>
    </w:tbl>
    <w:p xmlns:wp14="http://schemas.microsoft.com/office/word/2010/wordml" w:rsidP="62DC4C2B" w14:paraId="3BE6E78D" wp14:textId="77777777">
      <w:pPr>
        <w:pStyle w:val="Heading2"/>
        <w:spacing w:line="360" w:lineRule="auto"/>
        <w:jc w:val="both"/>
      </w:pPr>
      <w:r w:rsidRPr="62DC4C2B" w:rsidR="62DC4C2B">
        <w:rPr>
          <w:rFonts w:ascii="Times New Roman" w:hAnsi="Times New Roman"/>
          <w:b w:val="1"/>
          <w:bCs w:val="1"/>
          <w:color w:val="000000" w:themeColor="text1" w:themeTint="FF" w:themeShade="FF"/>
          <w:sz w:val="24"/>
          <w:szCs w:val="24"/>
        </w:rPr>
        <w:t>6.1 Basis of the initial risk ratings</w:t>
      </w:r>
    </w:p>
    <w:p xmlns:wp14="http://schemas.microsoft.com/office/word/2010/wordml" w:rsidP="62DC4C2B" w14:paraId="65109BDD" wp14:textId="77777777">
      <w:pPr>
        <w:spacing w:line="360" w:lineRule="auto"/>
        <w:jc w:val="both"/>
      </w:pPr>
      <w:r w:rsidRPr="62DC4C2B" w:rsidR="62DC4C2B">
        <w:rPr>
          <w:rFonts w:ascii="Times New Roman" w:hAnsi="Times New Roman"/>
          <w:sz w:val="24"/>
          <w:szCs w:val="24"/>
        </w:rPr>
        <w:t>Rapid market change (4 × 4 = 16). NVIDIA’s disclosures describe fast architecture transitions and associated demand and qualification uncertainty (NVIDIA, 2026a). Evidence becoming outdated is therefore likely, and a material change could require substantial revision of the competitive assessment and proposed offer.</w:t>
      </w:r>
    </w:p>
    <w:p xmlns:wp14="http://schemas.microsoft.com/office/word/2010/wordml" w:rsidP="62DC4C2B" w14:paraId="4BF7268F" wp14:textId="77777777">
      <w:pPr>
        <w:spacing w:line="360" w:lineRule="auto"/>
        <w:jc w:val="both"/>
      </w:pPr>
      <w:r w:rsidRPr="62DC4C2B" w:rsidR="62DC4C2B">
        <w:rPr>
          <w:rFonts w:ascii="Times New Roman" w:hAnsi="Times New Roman"/>
          <w:sz w:val="24"/>
          <w:szCs w:val="24"/>
        </w:rPr>
        <w:t>Biased or promotional sources (4 × 4 = 16). Company product material and the opt-in NVIDIA survey are prominent sources in the preliminary assessment. Their selection and commercial interests make bias likely; reliance on them without triangulation could substantially weaken the market validation.</w:t>
      </w:r>
    </w:p>
    <w:p xmlns:wp14="http://schemas.microsoft.com/office/word/2010/wordml" w:rsidP="62DC4C2B" w14:paraId="0485F937" wp14:textId="77777777">
      <w:pPr>
        <w:spacing w:line="360" w:lineRule="auto"/>
        <w:jc w:val="both"/>
      </w:pPr>
      <w:r w:rsidRPr="62DC4C2B" w:rsidR="62DC4C2B">
        <w:rPr>
          <w:rFonts w:ascii="Times New Roman" w:hAnsi="Times New Roman"/>
          <w:sz w:val="24"/>
          <w:szCs w:val="24"/>
        </w:rPr>
        <w:t>Insufficient software disclosure (4 × 3 = 12). The available disclosures do not provide a complete standalone enterprise software revenue baseline (NVIDIA, 2026a). This limitation is likely to persist and requires scenario assumptions, but it does not prevent a qualified feasibility assessment.</w:t>
      </w:r>
    </w:p>
    <w:p xmlns:wp14="http://schemas.microsoft.com/office/word/2010/wordml" w:rsidP="62DC4C2B" w14:paraId="363E2F24" wp14:textId="77777777">
      <w:pPr>
        <w:spacing w:line="360" w:lineRule="auto"/>
        <w:jc w:val="both"/>
      </w:pPr>
      <w:r w:rsidRPr="62DC4C2B" w:rsidR="62DC4C2B">
        <w:rPr>
          <w:rFonts w:ascii="Times New Roman" w:hAnsi="Times New Roman"/>
          <w:sz w:val="24"/>
          <w:szCs w:val="24"/>
        </w:rPr>
        <w:t>Scope becomes too broad (3 × 4 = 12). Covering several technologies, deployment routes and four sectors creates a plausible scope risk within 16 weeks. It is possible rather than established, but insufficient depth could compromise the main recommendation and require substantial narrowing.</w:t>
      </w:r>
    </w:p>
    <w:p xmlns:wp14="http://schemas.microsoft.com/office/word/2010/wordml" w:rsidP="62DC4C2B" w14:paraId="592BC834" wp14:textId="77777777">
      <w:pPr>
        <w:spacing w:line="360" w:lineRule="auto"/>
        <w:jc w:val="both"/>
      </w:pPr>
      <w:r w:rsidRPr="62DC4C2B" w:rsidR="62DC4C2B">
        <w:rPr>
          <w:rFonts w:ascii="Times New Roman" w:hAnsi="Times New Roman"/>
          <w:sz w:val="24"/>
          <w:szCs w:val="24"/>
        </w:rPr>
        <w:t>Academic integrity or inaccurate AI output (2 × 5 = 10). The likelihood of an undetected material error is provisionally assessed as unlikely on the assumption that the stated authorship and source-verification rules are followed. A serious breach could invalidate the submission. This rating must increase if those safeguards are not followed.</w:t>
      </w:r>
    </w:p>
    <w:p xmlns:wp14="http://schemas.microsoft.com/office/word/2010/wordml" w:rsidP="62DC4C2B" w14:paraId="5F5BBF97" wp14:textId="77777777">
      <w:pPr>
        <w:spacing w:line="360" w:lineRule="auto"/>
        <w:jc w:val="both"/>
      </w:pPr>
      <w:r w:rsidRPr="62DC4C2B" w:rsidR="62DC4C2B">
        <w:rPr>
          <w:rFonts w:ascii="Times New Roman" w:hAnsi="Times New Roman"/>
          <w:sz w:val="24"/>
          <w:szCs w:val="24"/>
        </w:rPr>
        <w:t>Commercial channel conflict (3 × 4 = 12). Bundled services could overlap with cloud, OEM and consulting partners’ roles. Conflict is plausible but has not been demonstrated for the proposed offer; if it occurs, partner incentives and the route to market may require substantial redesign.</w:t>
      </w:r>
    </w:p>
    <w:p xmlns:wp14="http://schemas.microsoft.com/office/word/2010/wordml" w:rsidP="62DC4C2B" w14:paraId="3AE0A485" wp14:textId="77777777">
      <w:pPr>
        <w:spacing w:line="360" w:lineRule="auto"/>
        <w:jc w:val="both"/>
      </w:pPr>
      <w:r w:rsidRPr="62DC4C2B" w:rsidR="62DC4C2B">
        <w:rPr>
          <w:rFonts w:ascii="Times New Roman" w:hAnsi="Times New Roman"/>
          <w:sz w:val="24"/>
          <w:szCs w:val="24"/>
        </w:rPr>
        <w:t>Customer lock-in or governance concerns (3 × 4 = 12). An integrated proprietary platform could raise portability and governance objections among the proposed buying groups. The frequency is unverified, so likelihood remains possible; objections could materially delay adoption or require changes to the solution.</w:t>
      </w:r>
    </w:p>
    <w:p xmlns:wp14="http://schemas.microsoft.com/office/word/2010/wordml" w:rsidP="62DC4C2B" w14:paraId="62722E72" wp14:textId="77777777">
      <w:pPr>
        <w:spacing w:line="360" w:lineRule="auto"/>
        <w:jc w:val="both"/>
      </w:pPr>
      <w:r w:rsidRPr="62DC4C2B" w:rsidR="62DC4C2B">
        <w:rPr>
          <w:rFonts w:ascii="Times New Roman" w:hAnsi="Times New Roman"/>
          <w:sz w:val="24"/>
          <w:szCs w:val="24"/>
        </w:rPr>
        <w:t>Export supply and regulatory disruption (4 × 5 = 20). NVIDIA reports export restrictions, manufacturing dependencies and supply risks (NVIDIA, 2026a). Continuing exposure supports a likely rating, while restrictions could prevent access to a selected market. Severity is therefore assessed against market-entry feasibility, not a quantified revenue loss.</w:t>
      </w:r>
    </w:p>
    <w:p w:rsidR="00E70164" w:rsidP="62DC4C2B" w:rsidRDefault="7C0E09B2" w14:paraId="0786EDE3" w14:textId="77777777">
      <w:pPr>
        <w:pStyle w:val="Heading1"/>
        <w:spacing w:line="360" w:lineRule="auto"/>
        <w:jc w:val="both"/>
        <w:rPr>
          <w:rFonts w:ascii="Times New Roman" w:hAnsi="Times New Roman" w:eastAsia="Times New Roman" w:cs="Times New Roman"/>
          <w:sz w:val="24"/>
          <w:szCs w:val="24"/>
        </w:rPr>
      </w:pPr>
      <w:bookmarkStart w:name="_Toc2062197184" w:id="33"/>
      <w:r w:rsidRPr="62DC4C2B" w:rsidR="7C0E09B2">
        <w:rPr>
          <w:rFonts w:ascii="Times New Roman" w:hAnsi="Times New Roman" w:eastAsia="Times New Roman" w:cs="Times New Roman"/>
          <w:color w:val="000000" w:themeColor="text1" w:themeTint="FF" w:themeShade="FF"/>
          <w:sz w:val="24"/>
          <w:szCs w:val="24"/>
        </w:rPr>
        <w:t>7 Expected contribution and feasibility</w:t>
      </w:r>
      <w:bookmarkEnd w:id="33"/>
    </w:p>
    <w:p w:rsidR="00E70164" w:rsidP="62DC4C2B" w:rsidRDefault="7C0E09B2" w14:paraId="3B046DD2"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 xml:space="preserve">The final BDP will deliver a Business Model Canvas, market and competitor assessment, marketing and sales strategy, operating plan, human-capital requirements, the five required business models, financial scenarios and an implementation recommendation. The expected contribution is a decision-ready proposal that links NVIDIA’s existing technical assets to a clearer enterprise buying and operating model. Success will be judged through adoption, </w:t>
      </w:r>
      <w:bookmarkStart w:name="_Int_7JqnuEnB" w:id="34"/>
      <w:r w:rsidRPr="62DC4C2B" w:rsidR="7C0E09B2">
        <w:rPr>
          <w:rFonts w:ascii="Times New Roman" w:hAnsi="Times New Roman" w:eastAsia="Times New Roman" w:cs="Times New Roman"/>
          <w:sz w:val="24"/>
          <w:szCs w:val="24"/>
        </w:rPr>
        <w:t>deployment</w:t>
      </w:r>
      <w:bookmarkEnd w:id="34"/>
      <w:r w:rsidRPr="62DC4C2B" w:rsidR="7C0E09B2">
        <w:rPr>
          <w:rFonts w:ascii="Times New Roman" w:hAnsi="Times New Roman" w:eastAsia="Times New Roman" w:cs="Times New Roman"/>
          <w:sz w:val="24"/>
          <w:szCs w:val="24"/>
        </w:rPr>
        <w:t xml:space="preserve"> and commercial measures rather than hardware sales alone.</w:t>
      </w:r>
    </w:p>
    <w:p w:rsidR="00E70164" w:rsidP="62DC4C2B" w:rsidRDefault="7C0E09B2" w14:paraId="12D5BEFF" w14:textId="77777777">
      <w:pPr>
        <w:spacing w:line="360" w:lineRule="auto"/>
        <w:jc w:val="both"/>
        <w:rPr>
          <w:rFonts w:ascii="Times New Roman" w:hAnsi="Times New Roman" w:eastAsia="Times New Roman" w:cs="Times New Roman"/>
          <w:sz w:val="24"/>
          <w:szCs w:val="24"/>
        </w:rPr>
      </w:pPr>
      <w:r w:rsidRPr="62DC4C2B" w:rsidR="7C0E09B2">
        <w:rPr>
          <w:rFonts w:ascii="Times New Roman" w:hAnsi="Times New Roman" w:eastAsia="Times New Roman" w:cs="Times New Roman"/>
          <w:sz w:val="24"/>
          <w:szCs w:val="24"/>
        </w:rPr>
        <w:t>The project is feasible within 16 weeks because it relies on accessible secondary evidence and established analytical frameworks. Its main limitation is the absence of confidential customer economics and direct primary research. The recommendation will therefore remain a researched strategic proposal, not a claim about NVIDIA’s internal plans. If the evidence supports only part of the integrated model, the final report will recommend a narrower pilot rather than force a full-scale conclusion.</w:t>
      </w:r>
    </w:p>
    <w:p w:rsidR="00E70164" w:rsidP="7C0E09B2" w:rsidRDefault="00E70164" w14:paraId="5DAB6C7B" w14:textId="77777777">
      <w:pPr>
        <w:jc w:val="both"/>
        <w:rPr>
          <w:rFonts w:ascii="Times New Roman" w:hAnsi="Times New Roman" w:eastAsia="Times New Roman" w:cs="Times New Roman"/>
          <w:sz w:val="24"/>
          <w:szCs w:val="24"/>
        </w:rPr>
        <w:sectPr w:rsidR="00E70164">
          <w:footerReference w:type="default" r:id="rId13"/>
          <w:pgSz w:w="12240" w:h="15840" w:orient="portrait"/>
          <w:pgMar w:top="1080" w:right="1224" w:bottom="1008" w:left="1224" w:header="720" w:footer="720" w:gutter="0"/>
          <w:cols w:space="720"/>
          <w:docGrid w:linePitch="360"/>
        </w:sectPr>
      </w:pPr>
    </w:p>
    <w:p w:rsidR="00E70164" w:rsidP="7C0E09B2" w:rsidRDefault="7C0E09B2" w14:paraId="638C4AC4" w14:textId="77777777">
      <w:pPr>
        <w:pStyle w:val="Heading1"/>
        <w:rPr>
          <w:rFonts w:ascii="Times New Roman" w:hAnsi="Times New Roman" w:eastAsia="Times New Roman" w:cs="Times New Roman"/>
        </w:rPr>
      </w:pPr>
      <w:bookmarkStart w:name="_Toc225231488" w:id="35"/>
      <w:r w:rsidRPr="7C0E09B2">
        <w:rPr>
          <w:rFonts w:ascii="Times New Roman" w:hAnsi="Times New Roman" w:eastAsia="Times New Roman" w:cs="Times New Roman"/>
          <w:color w:val="000000"/>
        </w:rPr>
        <w:t>8 Project timeline</w:t>
      </w:r>
      <w:bookmarkEnd w:id="35"/>
    </w:p>
    <w:p w:rsidR="00E70164" w:rsidP="7C0E09B2" w:rsidRDefault="7C0E09B2" w14:paraId="52E91E4D" w14:textId="77777777">
      <w:pPr>
        <w:rPr>
          <w:rFonts w:ascii="Times New Roman" w:hAnsi="Times New Roman" w:eastAsia="Times New Roman" w:cs="Times New Roman"/>
        </w:rPr>
      </w:pPr>
      <w:r w:rsidRPr="7C0E09B2">
        <w:rPr>
          <w:rFonts w:ascii="Times New Roman" w:hAnsi="Times New Roman" w:eastAsia="Times New Roman" w:cs="Times New Roman"/>
          <w:sz w:val="24"/>
        </w:rPr>
        <w:t>The schedule aligns the formative outline and ethics submission with week 5, incorporates eight supervisory meetings in even-numbered weeks and reserves the final two weeks for revision and submission.</w:t>
      </w:r>
    </w:p>
    <w:tbl>
      <w:tblPr>
        <w:tblW w:w="0" w:type="auto"/>
        <w:tblLayout w:type="fixed"/>
        <w:tblLook w:val="04A0" w:firstRow="1" w:lastRow="0" w:firstColumn="1" w:lastColumn="0" w:noHBand="0" w:noVBand="1"/>
        <w:tblBorders>
          <w:top w:val="single" w:color="D9D9D9" w:sz="4"/>
          <w:left w:val="single" w:color="D9D9D9" w:sz="4"/>
          <w:bottom w:val="single" w:color="D9D9D9" w:sz="4"/>
          <w:right w:val="single" w:color="D9D9D9" w:sz="4"/>
          <w:insideH w:val="single" w:color="D9D9D9" w:sz="4"/>
          <w:insideV w:val="single" w:color="D9D9D9" w:sz="4"/>
        </w:tblBorders>
      </w:tblPr>
      <w:tblGrid>
        <w:gridCol w:w="3024"/>
        <w:gridCol w:w="720"/>
        <w:gridCol w:w="720"/>
        <w:gridCol w:w="720"/>
        <w:gridCol w:w="720"/>
        <w:gridCol w:w="720"/>
        <w:gridCol w:w="720"/>
        <w:gridCol w:w="720"/>
        <w:gridCol w:w="720"/>
        <w:gridCol w:w="720"/>
        <w:gridCol w:w="720"/>
        <w:gridCol w:w="720"/>
        <w:gridCol w:w="720"/>
        <w:gridCol w:w="720"/>
        <w:gridCol w:w="720"/>
        <w:gridCol w:w="720"/>
        <w:gridCol w:w="720"/>
      </w:tblGrid>
      <w:tr w:rsidR="00E70164" w:rsidTr="7C0E09B2" w14:paraId="77BCBD06" w14:textId="77777777">
        <w:trPr>
          <w:tblHeader/>
          <w:tblHeade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18283460" w14:textId="77777777">
            <w:pPr>
              <w:spacing w:after="0"/>
              <w:rPr>
                <w:rFonts w:ascii="Times New Roman" w:hAnsi="Times New Roman" w:eastAsia="Times New Roman" w:cs="Times New Roman"/>
                <w:b/>
                <w:bCs/>
                <w:color w:val="auto"/>
                <w:sz w:val="15"/>
                <w:szCs w:val="15"/>
              </w:rPr>
            </w:pPr>
            <w:r w:rsidRPr="7C0E09B2">
              <w:rPr>
                <w:rFonts w:ascii="Times New Roman" w:hAnsi="Times New Roman" w:eastAsia="Times New Roman" w:cs="Times New Roman"/>
                <w:b/>
                <w:bCs/>
                <w:color w:val="auto"/>
                <w:sz w:val="15"/>
                <w:szCs w:val="15"/>
              </w:rPr>
              <w:t>Activity</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649841BE"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7144751B"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2</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57AB7477"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3</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4FB28CDF"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4</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76DB90EB"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5</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29B4EA11"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6</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75697EEC"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7</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44B0A208"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8</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2B2B7304"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9</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446DE71A"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10</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4737E36C"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11</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4E75B50F"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12</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39F18D26"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13</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4E1E336A"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14</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33CFEC6B"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15</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shd w:val="clear" w:color="auto" w:fill="2F2F2F"/>
            <w:tcMar>
              <w:top w:w="60" w:type="dxa"/>
              <w:left w:w="45" w:type="dxa"/>
              <w:bottom w:w="60" w:type="dxa"/>
              <w:right w:w="45" w:type="dxa"/>
            </w:tcMar>
            <w:vAlign w:val="center"/>
          </w:tcPr>
          <w:p w:rsidR="00E70164" w:rsidP="7C0E09B2" w:rsidRDefault="7C0E09B2" w14:paraId="339EFE5D" w14:textId="77777777">
            <w:pPr>
              <w:spacing w:after="0"/>
              <w:jc w:val="center"/>
              <w:rPr>
                <w:rFonts w:ascii="Times New Roman" w:hAnsi="Times New Roman" w:eastAsia="Times New Roman" w:cs="Times New Roman"/>
                <w:b/>
                <w:bCs/>
                <w:color w:val="auto"/>
                <w:sz w:val="14"/>
                <w:szCs w:val="14"/>
              </w:rPr>
            </w:pPr>
            <w:r w:rsidRPr="7C0E09B2">
              <w:rPr>
                <w:rFonts w:ascii="Times New Roman" w:hAnsi="Times New Roman" w:eastAsia="Times New Roman" w:cs="Times New Roman"/>
                <w:b/>
                <w:bCs/>
                <w:color w:val="auto"/>
                <w:sz w:val="14"/>
                <w:szCs w:val="14"/>
              </w:rPr>
              <w:t>16</w:t>
            </w:r>
          </w:p>
        </w:tc>
      </w:tr>
      <w:tr w:rsidR="00E70164" w:rsidTr="7C0E09B2" w14:paraId="1643FDDD"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497B00AD"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Confirm scope and research question</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3096EF0"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7E0CB7FE"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2EB378F"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A05A80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A39BBE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1C8F39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2A3D3E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D0B940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E27B00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0061E4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4EAFD9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B94D5A5"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DEEC66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656B9A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5FB0818"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49F31CB" w14:textId="77777777">
            <w:pPr>
              <w:spacing w:after="0"/>
              <w:jc w:val="center"/>
              <w:rPr>
                <w:rFonts w:ascii="Times New Roman" w:hAnsi="Times New Roman" w:eastAsia="Times New Roman" w:cs="Times New Roman"/>
              </w:rPr>
            </w:pPr>
          </w:p>
        </w:tc>
      </w:tr>
      <w:tr w:rsidR="00E70164" w:rsidTr="7C0E09B2" w14:paraId="23EB39C7"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74D13B95"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Initial literature and source protocol</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1E61A33"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2A5697B1"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2AA7E729"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6AE3BE76"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312826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2486C05"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101652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B99056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299C43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DDBEF00"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461D77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CF2D8B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FB78278"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FC39945"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562CB0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4CE0A41" w14:textId="77777777">
            <w:pPr>
              <w:spacing w:after="0"/>
              <w:jc w:val="center"/>
              <w:rPr>
                <w:rFonts w:ascii="Times New Roman" w:hAnsi="Times New Roman" w:eastAsia="Times New Roman" w:cs="Times New Roman"/>
              </w:rPr>
            </w:pPr>
          </w:p>
        </w:tc>
      </w:tr>
      <w:tr w:rsidR="00E70164" w:rsidTr="7C0E09B2" w14:paraId="38C36E81"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39F96501"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BDP outline and ethics application</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2EBF3C5"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18F67DA1"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1551937A"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540B4049"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2FC106A0"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D98A12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946DB8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997CC1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10FFD37"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B69937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FE9F23F"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F72F64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8CE6F9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1CDCEA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BB9E25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3DE523C" w14:textId="77777777">
            <w:pPr>
              <w:spacing w:after="0"/>
              <w:jc w:val="center"/>
              <w:rPr>
                <w:rFonts w:ascii="Times New Roman" w:hAnsi="Times New Roman" w:eastAsia="Times New Roman" w:cs="Times New Roman"/>
              </w:rPr>
            </w:pPr>
          </w:p>
        </w:tc>
      </w:tr>
      <w:tr w:rsidR="00E70164" w:rsidTr="7C0E09B2" w14:paraId="4E6D8BE4"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3BEA0C5D"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Company financial and product evidence</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2E5622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7547A0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043CB0F"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0BF38BBE"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726491C"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6ABC5ABD"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58B47519"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7459315"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537F28F"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DFB9E20"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0DF9E5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4E871B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44A5D2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38610E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37805D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63F29E8" w14:textId="77777777">
            <w:pPr>
              <w:spacing w:after="0"/>
              <w:jc w:val="center"/>
              <w:rPr>
                <w:rFonts w:ascii="Times New Roman" w:hAnsi="Times New Roman" w:eastAsia="Times New Roman" w:cs="Times New Roman"/>
              </w:rPr>
            </w:pPr>
          </w:p>
        </w:tc>
      </w:tr>
      <w:tr w:rsidR="00E70164" w:rsidTr="7C0E09B2" w14:paraId="12942CA4"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37453503"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Market and competitor evidence</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B7B4B8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A0FF5F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630AD6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1829076"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3C354A8"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57FA147"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0FDFCD0A"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21615E5F"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709FC242"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BA226A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7AD93B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DE4B5B7"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6204FF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DBF0D7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B62F1B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2F2C34E" w14:textId="77777777">
            <w:pPr>
              <w:spacing w:after="0"/>
              <w:jc w:val="center"/>
              <w:rPr>
                <w:rFonts w:ascii="Times New Roman" w:hAnsi="Times New Roman" w:eastAsia="Times New Roman" w:cs="Times New Roman"/>
              </w:rPr>
            </w:pPr>
          </w:p>
        </w:tc>
      </w:tr>
      <w:tr w:rsidR="00E70164" w:rsidTr="7C0E09B2" w14:paraId="6C8A8DC9"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57932E3F"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Thematic and financial analysis</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80A4E5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921983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96FEF7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194DBD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69D0D3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4CD245A"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6E1A8611"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B4DA821"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6A3A5489"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563D233C"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FC8BD3B"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231BE67"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6FEB5B0"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0D7AA6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196D064"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4FF1C98" w14:textId="77777777">
            <w:pPr>
              <w:spacing w:after="0"/>
              <w:jc w:val="center"/>
              <w:rPr>
                <w:rFonts w:ascii="Times New Roman" w:hAnsi="Times New Roman" w:eastAsia="Times New Roman" w:cs="Times New Roman"/>
              </w:rPr>
            </w:pPr>
          </w:p>
        </w:tc>
      </w:tr>
      <w:tr w:rsidR="00E70164" w:rsidTr="7C0E09B2" w14:paraId="4E4EFCDC"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32A4170C"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Business models and solution design</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D072C0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8A2191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BD18F9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38601F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F3CABC7"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B08B5D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6DEB4AB"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17360855"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53129FD4"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759C4941"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CA2B931"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3BB617F"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AD9C6F4"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B1F511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5F9C3D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023141B" w14:textId="77777777">
            <w:pPr>
              <w:spacing w:after="0"/>
              <w:jc w:val="center"/>
              <w:rPr>
                <w:rFonts w:ascii="Times New Roman" w:hAnsi="Times New Roman" w:eastAsia="Times New Roman" w:cs="Times New Roman"/>
              </w:rPr>
            </w:pPr>
          </w:p>
        </w:tc>
      </w:tr>
      <w:tr w:rsidR="00E70164" w:rsidTr="7C0E09B2" w14:paraId="3ED82942"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4E164C0A"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Draft main BDP sections</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F3B140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62C75D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64355A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A96511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DF4E37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4FB30F8"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DA6542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041E394"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5626C1C2"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64BCFF2A"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7BA5B967"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7A56624"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74ED782"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74A065C"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22B00A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2C6D796" w14:textId="77777777">
            <w:pPr>
              <w:spacing w:after="0"/>
              <w:jc w:val="center"/>
              <w:rPr>
                <w:rFonts w:ascii="Times New Roman" w:hAnsi="Times New Roman" w:eastAsia="Times New Roman" w:cs="Times New Roman"/>
              </w:rPr>
            </w:pPr>
          </w:p>
        </w:tc>
      </w:tr>
      <w:tr w:rsidR="00E70164" w:rsidTr="7C0E09B2" w14:paraId="38F631C5"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3AC7B8BF"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Review evidence and update sources</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E1831B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4E11D2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1126E5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DE403A5"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2431CD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9E398E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6287F2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BE93A6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84BA73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4B3F2E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D34F5C7"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B4020A7"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230508C"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E3D9F2D"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D7B270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F904CB7" w14:textId="77777777">
            <w:pPr>
              <w:spacing w:after="0"/>
              <w:jc w:val="center"/>
              <w:rPr>
                <w:rFonts w:ascii="Times New Roman" w:hAnsi="Times New Roman" w:eastAsia="Times New Roman" w:cs="Times New Roman"/>
              </w:rPr>
            </w:pPr>
          </w:p>
        </w:tc>
      </w:tr>
      <w:tr w:rsidR="00E70164" w:rsidTr="7C0E09B2" w14:paraId="0C00B030"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2375ECBA"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Edit references and quality checks</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6971CD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A1F701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3EFCA4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F96A72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B95CD1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220BBB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3CB595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D9C8D3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675E05E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FC17F8B"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A4F7224"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AE48A43"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0F40DEB"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16781AC"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35AF12C4"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7A52294" w14:textId="77777777">
            <w:pPr>
              <w:spacing w:after="0"/>
              <w:jc w:val="center"/>
              <w:rPr>
                <w:rFonts w:ascii="Times New Roman" w:hAnsi="Times New Roman" w:eastAsia="Times New Roman" w:cs="Times New Roman"/>
              </w:rPr>
            </w:pPr>
          </w:p>
        </w:tc>
      </w:tr>
      <w:tr w:rsidR="00E70164" w:rsidTr="7C0E09B2" w14:paraId="147C89CA" w14:textId="77777777">
        <w:trPr>
          <w:cantSplit/>
        </w:trPr>
        <w:tc>
          <w:tcPr>
            <w:tcW w:w="3024"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7C0E09B2" w14:paraId="0AAD8CAC" w14:textId="77777777">
            <w:pPr>
              <w:spacing w:after="0"/>
              <w:rPr>
                <w:rFonts w:ascii="Times New Roman" w:hAnsi="Times New Roman" w:eastAsia="Times New Roman" w:cs="Times New Roman"/>
                <w:sz w:val="15"/>
                <w:szCs w:val="15"/>
              </w:rPr>
            </w:pPr>
            <w:r w:rsidRPr="7C0E09B2">
              <w:rPr>
                <w:rFonts w:ascii="Times New Roman" w:hAnsi="Times New Roman" w:eastAsia="Times New Roman" w:cs="Times New Roman"/>
                <w:sz w:val="15"/>
                <w:szCs w:val="15"/>
              </w:rPr>
              <w:t>Final revision and submission</w:t>
            </w: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07DCDA8"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50EA2D7"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3DD355C9"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A81F0B1"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17AAFB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56EE48EE"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908EB2C"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21FD38A"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1FE2DD96"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7357532"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07F023C8"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4BDB5498"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2916C19D" w14:textId="77777777">
            <w:pPr>
              <w:spacing w:after="0"/>
              <w:jc w:val="center"/>
              <w:rPr>
                <w:rFonts w:ascii="Times New Roman" w:hAnsi="Times New Roman" w:eastAsia="Times New Roman" w:cs="Times New Roman"/>
              </w:rPr>
            </w:pPr>
          </w:p>
        </w:tc>
        <w:tc>
          <w:tcPr>
            <w:tcW w:w="720"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top w:w="60" w:type="dxa"/>
              <w:left w:w="45" w:type="dxa"/>
              <w:bottom w:w="60" w:type="dxa"/>
              <w:right w:w="45" w:type="dxa"/>
            </w:tcMar>
            <w:vAlign w:val="center"/>
          </w:tcPr>
          <w:p w:rsidR="00E70164" w:rsidP="7C0E09B2" w:rsidRDefault="00E70164" w14:paraId="74869460" w14:textId="77777777">
            <w:pPr>
              <w:spacing w:after="0"/>
              <w:jc w:val="center"/>
              <w:rPr>
                <w:rFonts w:ascii="Times New Roman" w:hAnsi="Times New Roman" w:eastAsia="Times New Roman" w:cs="Times New Roman"/>
              </w:rPr>
            </w:pP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4B46DF5C"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c>
          <w:tcPr>
            <w:tcW w:w="720" w:type="dxa"/>
            <w:tcBorders>
              <w:top w:val="single" w:color="D9D9D9" w:sz="6" w:space="0"/>
              <w:left w:val="single" w:color="D9D9D9" w:sz="6" w:space="0"/>
              <w:bottom w:val="single" w:color="D9D9D9" w:sz="6" w:space="0"/>
              <w:right w:val="single" w:color="D9D9D9" w:sz="6" w:space="0"/>
            </w:tcBorders>
            <w:shd w:val="clear" w:color="auto" w:fill="EEF6E5"/>
            <w:tcMar>
              <w:top w:w="60" w:type="dxa"/>
              <w:left w:w="45" w:type="dxa"/>
              <w:bottom w:w="60" w:type="dxa"/>
              <w:right w:w="45" w:type="dxa"/>
            </w:tcMar>
            <w:vAlign w:val="center"/>
          </w:tcPr>
          <w:p w:rsidR="00E70164" w:rsidP="7C0E09B2" w:rsidRDefault="7C0E09B2" w14:paraId="15EA8488" w14:textId="77777777">
            <w:pPr>
              <w:spacing w:after="0"/>
              <w:jc w:val="center"/>
              <w:rPr>
                <w:rFonts w:ascii="Times New Roman" w:hAnsi="Times New Roman" w:eastAsia="Times New Roman" w:cs="Times New Roman"/>
                <w:sz w:val="14"/>
                <w:szCs w:val="14"/>
              </w:rPr>
            </w:pPr>
            <w:r w:rsidRPr="7C0E09B2">
              <w:rPr>
                <w:rFonts w:ascii="Times New Roman" w:hAnsi="Times New Roman" w:eastAsia="Times New Roman" w:cs="Times New Roman"/>
                <w:sz w:val="14"/>
                <w:szCs w:val="14"/>
              </w:rPr>
              <w:t>X</w:t>
            </w:r>
          </w:p>
        </w:tc>
      </w:tr>
    </w:tbl>
    <w:p w:rsidR="00E70164" w:rsidP="7C0E09B2" w:rsidRDefault="7C0E09B2" w14:paraId="00078A47" w14:textId="77777777">
      <w:pPr>
        <w:spacing w:before="140"/>
        <w:rPr>
          <w:rFonts w:ascii="Times New Roman" w:hAnsi="Times New Roman" w:eastAsia="Times New Roman" w:cs="Times New Roman"/>
        </w:rPr>
      </w:pPr>
      <w:r w:rsidRPr="7C0E09B2">
        <w:rPr>
          <w:rFonts w:ascii="Times New Roman" w:hAnsi="Times New Roman" w:eastAsia="Times New Roman" w:cs="Times New Roman"/>
          <w:sz w:val="24"/>
        </w:rPr>
        <w:t>Supervision meetings: weeks 2, 4, 6, 8, 10, 12, 14 and 16. Final BDP deadline: 4 January 2027 at 2 pm.</w:t>
      </w:r>
    </w:p>
    <w:p w:rsidR="00E70164" w:rsidRDefault="00E70164" w14:paraId="187F57B8" w14:textId="77777777">
      <w:pPr>
        <w:sectPr w:rsidR="00E70164">
          <w:pgSz w:w="15840" w:h="12240" w:orient="landscape"/>
          <w:pgMar w:top="792" w:right="648" w:bottom="792" w:left="648" w:header="720" w:footer="720" w:gutter="0"/>
          <w:cols w:space="720"/>
          <w:docGrid w:linePitch="360"/>
        </w:sectPr>
      </w:pPr>
    </w:p>
    <w:p w:rsidR="00E70164" w:rsidP="7C0E09B2" w:rsidRDefault="7C0E09B2" w14:paraId="476E51CF" w14:textId="77777777">
      <w:pPr>
        <w:pStyle w:val="Heading1"/>
        <w:spacing w:line="360" w:lineRule="auto"/>
        <w:jc w:val="both"/>
        <w:rPr>
          <w:rFonts w:ascii="Times New Roman" w:hAnsi="Times New Roman" w:eastAsia="Times New Roman" w:cs="Times New Roman"/>
          <w:sz w:val="24"/>
          <w:szCs w:val="24"/>
        </w:rPr>
      </w:pPr>
      <w:bookmarkStart w:name="_Toc904806310" w:id="36"/>
      <w:r w:rsidRPr="7C0E09B2">
        <w:rPr>
          <w:rFonts w:ascii="Times New Roman" w:hAnsi="Times New Roman" w:eastAsia="Times New Roman" w:cs="Times New Roman"/>
          <w:color w:val="000000"/>
          <w:sz w:val="24"/>
          <w:szCs w:val="24"/>
        </w:rPr>
        <w:t>References</w:t>
      </w:r>
      <w:bookmarkEnd w:id="36"/>
    </w:p>
    <w:p w:rsidR="00E70164" w:rsidP="7C0E09B2" w:rsidRDefault="7C0E09B2" w14:paraId="50A75976"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Ansoff, H.I. (1957) ‘Strategies for diversification’, Harvard Business Review, 35(5), pp. 113–124.</w:t>
      </w:r>
    </w:p>
    <w:p w:rsidR="00E70164" w:rsidP="7C0E09B2" w:rsidRDefault="7C0E09B2" w14:paraId="4A761079"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Braun, V. and Clarke, V. (2006) ‘Using thematic analysis in psychology’, Qualitative Research in Psychology, 3(2), pp. 77–101. doi: 10.1191/1478088706qp063oa.</w:t>
      </w:r>
    </w:p>
    <w:p w:rsidR="00E70164" w:rsidP="7C0E09B2" w:rsidRDefault="7C0E09B2" w14:paraId="3E7B74B7"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ISG (2025) State of Enterprise AI Adoption. Available at: https://isg-one.com/state-of-enterprise-ai-adoption-report-2025 (Accessed: 16 September 2026).</w:t>
      </w:r>
    </w:p>
    <w:p w:rsidR="00E70164" w:rsidP="7C0E09B2" w:rsidRDefault="7C0E09B2" w14:paraId="4125B706"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NVIDIA (2026a) Annual Report on Form 10-K for the fiscal year ended 25 January 2026. Available at: https://www.sec.gov/Archives/edgar/data/1045810/000104581026000021/nvda-20260125.htm (Accessed: 16 September 2026).</w:t>
      </w:r>
    </w:p>
    <w:p w:rsidR="00E70164" w:rsidP="7C0E09B2" w:rsidRDefault="7C0E09B2" w14:paraId="5B12C546"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NVIDIA (2026b) NVIDIA AI Enterprise. Available at: https://www.nvidia.com/en-us/data-center/products/ai-enterprise/ (Accessed: 16 September 2026).</w:t>
      </w:r>
    </w:p>
    <w:p w:rsidR="00E70164" w:rsidP="7C0E09B2" w:rsidRDefault="7C0E09B2" w14:paraId="41D510C1"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NVIDIA (2026c) NVIDIA Enterprise Licensing Guide: Pricing. Available at: https://docs.nvidia.com/enterprise-licensing-guide/latest/pricing.html (Accessed: 16 September 2026).</w:t>
      </w:r>
    </w:p>
    <w:p w:rsidR="00E70164" w:rsidP="7C0E09B2" w:rsidRDefault="7C0E09B2" w14:paraId="44B9B6A3"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NVIDIA (2026d) NVIDIA Announces Financial Results for Fourth Quarter and Fiscal 2026. Available at: https://nvidianews.nvidia.com/news/nvidia-announces-financial-results-for-fourth-quarter-and-fiscal-2026 (Accessed: 16 September 2026).</w:t>
      </w:r>
    </w:p>
    <w:p w:rsidR="00E70164" w:rsidP="7C0E09B2" w:rsidRDefault="7C0E09B2" w14:paraId="2CF71736"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Osterwalder, A. and Pigneur, Y. (2010) Business Model Generation. Hoboken, NJ: John Wiley and Sons.</w:t>
      </w:r>
    </w:p>
    <w:p w:rsidR="00E70164" w:rsidP="7C0E09B2" w:rsidRDefault="7C0E09B2" w14:paraId="38C3296D"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Porter, M.E. (1980) Competitive Strategy. New York: Free Press.</w:t>
      </w:r>
    </w:p>
    <w:p w:rsidR="00E70164" w:rsidP="7C0E09B2" w:rsidRDefault="7C0E09B2" w14:paraId="1DFF5576"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Rowinski, D. (2026) ‘How AI is driving revenue, cutting costs and boosting productivity for every industry in 2026’, NVIDIA Blog, 9 March. Available at: https://blogs.nvidia.com/blog/state-of-ai-report-2026/ (Accessed: 16 September 2026).</w:t>
      </w:r>
    </w:p>
    <w:p w:rsidR="00E70164" w:rsidP="7C0E09B2" w:rsidRDefault="7C0E09B2" w14:paraId="23A9F874"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Saunders, M.N.K., Lewis, P. and Thornhill, A. (2023) Research Methods for Business Students. 9th edn. Harlow: Pearson.</w:t>
      </w:r>
    </w:p>
    <w:p w:rsidR="00E70164" w:rsidP="7C0E09B2" w:rsidRDefault="7C0E09B2" w14:paraId="2D5A17C5" w14:textId="77777777">
      <w:pPr>
        <w:spacing w:after="100" w:line="360" w:lineRule="auto"/>
        <w:ind w:left="360" w:hanging="360"/>
        <w:jc w:val="both"/>
        <w:rPr>
          <w:rFonts w:ascii="Times New Roman" w:hAnsi="Times New Roman" w:eastAsia="Times New Roman" w:cs="Times New Roman"/>
          <w:sz w:val="24"/>
          <w:szCs w:val="24"/>
        </w:rPr>
      </w:pPr>
      <w:r w:rsidRPr="7C0E09B2">
        <w:rPr>
          <w:rFonts w:ascii="Times New Roman" w:hAnsi="Times New Roman" w:eastAsia="Times New Roman" w:cs="Times New Roman"/>
          <w:sz w:val="24"/>
          <w:szCs w:val="24"/>
        </w:rPr>
        <w:t>Yin, R.K. (2018) Case Study Research and Applications: Design and Methods. 6th edn. Thousand Oaks, CA: Sage.</w:t>
      </w:r>
    </w:p>
    <w:sectPr w:rsidR="00E70164" w:rsidSect="00034616">
      <w:pgSz w:w="12240" w:h="15840" w:orient="portrait"/>
      <w:pgMar w:top="1080"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221A" w:rsidRDefault="0068221A" w14:paraId="3930BE83" w14:textId="77777777">
      <w:pPr>
        <w:spacing w:after="0" w:line="240" w:lineRule="auto"/>
      </w:pPr>
      <w:r>
        <w:separator/>
      </w:r>
    </w:p>
  </w:endnote>
  <w:endnote w:type="continuationSeparator" w:id="0">
    <w:p w:rsidR="0068221A" w:rsidRDefault="0068221A" w14:paraId="6C89583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70164" w:rsidRDefault="003B14A1" w14:paraId="464807ED" w14:textId="77777777">
    <w:pPr>
      <w:pStyle w:val="Footer"/>
      <w:jc w:val="center"/>
    </w:pPr>
    <w:r>
      <w:rPr>
        <w:color w:val="666666"/>
        <w:sz w:val="16"/>
      </w:rPr>
      <w:t>LCMB7037 Business Development Proposal Outline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221A" w:rsidRDefault="0068221A" w14:paraId="092ABB80" w14:textId="77777777">
      <w:pPr>
        <w:spacing w:after="0" w:line="240" w:lineRule="auto"/>
      </w:pPr>
      <w:r>
        <w:separator/>
      </w:r>
    </w:p>
  </w:footnote>
  <w:footnote w:type="continuationSeparator" w:id="0">
    <w:p w:rsidR="0068221A" w:rsidRDefault="0068221A" w14:paraId="77555B22"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7JqnuEnB" int2:invalidationBookmarkName="" int2:hashCode="cjP7NoP0CYzQqH" int2:id="t1i4v2v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861361197">
    <w:abstractNumId w:val="8"/>
  </w:num>
  <w:num w:numId="2" w16cid:durableId="1013580100">
    <w:abstractNumId w:val="6"/>
  </w:num>
  <w:num w:numId="3" w16cid:durableId="1243027191">
    <w:abstractNumId w:val="5"/>
  </w:num>
  <w:num w:numId="4" w16cid:durableId="129398079">
    <w:abstractNumId w:val="4"/>
  </w:num>
  <w:num w:numId="5" w16cid:durableId="319626348">
    <w:abstractNumId w:val="7"/>
  </w:num>
  <w:num w:numId="6" w16cid:durableId="118770864">
    <w:abstractNumId w:val="3"/>
  </w:num>
  <w:num w:numId="7" w16cid:durableId="1778938408">
    <w:abstractNumId w:val="2"/>
  </w:num>
  <w:num w:numId="8" w16cid:durableId="17632932">
    <w:abstractNumId w:val="1"/>
  </w:num>
  <w:num w:numId="9" w16cid:durableId="651566493">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15E7"/>
    <w:rsid w:val="0006063C"/>
    <w:rsid w:val="00116B6D"/>
    <w:rsid w:val="0015074B"/>
    <w:rsid w:val="00174AFA"/>
    <w:rsid w:val="002942E0"/>
    <w:rsid w:val="0029639D"/>
    <w:rsid w:val="002A558D"/>
    <w:rsid w:val="002C27FF"/>
    <w:rsid w:val="00326F90"/>
    <w:rsid w:val="00355FF6"/>
    <w:rsid w:val="003B14A1"/>
    <w:rsid w:val="003C5A6B"/>
    <w:rsid w:val="0047421E"/>
    <w:rsid w:val="00593168"/>
    <w:rsid w:val="00623727"/>
    <w:rsid w:val="0068221A"/>
    <w:rsid w:val="007230AF"/>
    <w:rsid w:val="00846624"/>
    <w:rsid w:val="00927065"/>
    <w:rsid w:val="009F32DC"/>
    <w:rsid w:val="00AA1D8D"/>
    <w:rsid w:val="00AA2A7E"/>
    <w:rsid w:val="00B05A06"/>
    <w:rsid w:val="00B21FC3"/>
    <w:rsid w:val="00B47730"/>
    <w:rsid w:val="00CB0664"/>
    <w:rsid w:val="00DB5074"/>
    <w:rsid w:val="00DE7FE4"/>
    <w:rsid w:val="00E70164"/>
    <w:rsid w:val="00FC693F"/>
    <w:rsid w:val="00FD1172"/>
    <w:rsid w:val="00FD5EC8"/>
    <w:rsid w:val="0198A52B"/>
    <w:rsid w:val="063667DC"/>
    <w:rsid w:val="17DC07C1"/>
    <w:rsid w:val="1A931E2E"/>
    <w:rsid w:val="20B998B1"/>
    <w:rsid w:val="24008AE6"/>
    <w:rsid w:val="31855DA8"/>
    <w:rsid w:val="355C888F"/>
    <w:rsid w:val="390A9F3B"/>
    <w:rsid w:val="55B771FC"/>
    <w:rsid w:val="5AE04BFC"/>
    <w:rsid w:val="62DC4C2B"/>
    <w:rsid w:val="66A99AB5"/>
    <w:rsid w:val="7C0E09B2"/>
    <w:rsid w:val="7E87C1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114522B-7BA7-4404-80F1-659E051661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pPr>
    <w:rPr>
      <w:rFonts w:ascii="Aptos" w:hAnsi="Aptos"/>
      <w:color w:val="000000"/>
      <w:sz w:val="21"/>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hAnsiTheme="majorHAnsi" w:eastAsiaTheme="majorEastAsia"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hAnsiTheme="majorHAnsi" w:eastAsiaTheme="majorEastAsia"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spacing w:after="280" w:line="240" w:lineRule="auto"/>
      <w:contextualSpacing/>
    </w:pPr>
    <w:rPr>
      <w:rFonts w:asciiTheme="majorHAnsi" w:hAnsiTheme="majorHAnsi" w:eastAsiaTheme="majorEastAsia" w:cstheme="majorBidi"/>
      <w:b/>
      <w:color w:val="000000"/>
      <w:spacing w:val="5"/>
      <w:kern w:val="28"/>
      <w:sz w:val="48"/>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000000"/>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uiPriority w:val="39"/>
    <w:unhideWhenUsed/>
    <w:rsid w:val="7C0E09B2"/>
    <w:pPr>
      <w:spacing w:after="100"/>
    </w:pPr>
  </w:style>
  <w:style w:type="paragraph" w:styleId="TOC2">
    <w:name w:val="toc 2"/>
    <w:basedOn w:val="Normal"/>
    <w:next w:val="Normal"/>
    <w:uiPriority w:val="39"/>
    <w:unhideWhenUsed/>
    <w:rsid w:val="7C0E09B2"/>
    <w:pPr>
      <w:spacing w:after="100"/>
      <w:ind w:left="220"/>
    </w:p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on">
    <w:name w:val="Revision"/>
    <w:hidden/>
    <w:uiPriority w:val="99"/>
    <w:semiHidden/>
    <w:rsid w:val="002C27FF"/>
    <w:pPr>
      <w:spacing w:after="0" w:line="240" w:lineRule="auto"/>
    </w:pPr>
    <w:rPr>
      <w:rFonts w:ascii="Aptos" w:hAnsi="Aptos"/>
      <w:color w:val="000000"/>
      <w:sz w:val="21"/>
    </w:rPr>
  </w:style>
  <w:style w:type="character" w:styleId="CommentReference">
    <w:name w:val="Comment Reference"/>
    <w:basedOn w:val="DefaultParagraphFont"/>
    <w:uiPriority w:val="99"/>
    <w:semiHidden/>
    <w:unhideWhenUsed/>
    <w:rsid w:val="000415E7"/>
    <w:rPr>
      <w:sz w:val="16"/>
      <w:szCs w:val="16"/>
    </w:rPr>
  </w:style>
  <w:style w:type="paragraph" w:styleId="CommentText">
    <w:name w:val="Comment Text"/>
    <w:basedOn w:val="Normal"/>
    <w:link w:val="CommentTextChar"/>
    <w:uiPriority w:val="99"/>
    <w:unhideWhenUsed/>
    <w:rsid w:val="000415E7"/>
    <w:pPr>
      <w:spacing w:line="240" w:lineRule="auto"/>
    </w:pPr>
    <w:rPr>
      <w:sz w:val="20"/>
      <w:szCs w:val="20"/>
    </w:rPr>
  </w:style>
  <w:style w:type="character" w:styleId="CommentTextChar" w:customStyle="1">
    <w:name w:val="Comment Text Char"/>
    <w:basedOn w:val="DefaultParagraphFont"/>
    <w:link w:val="CommentText"/>
    <w:uiPriority w:val="99"/>
    <w:rsid w:val="000415E7"/>
    <w:rPr>
      <w:rFonts w:ascii="Aptos" w:hAnsi="Aptos"/>
      <w:color w:val="000000"/>
      <w:sz w:val="20"/>
      <w:szCs w:val="20"/>
    </w:rPr>
  </w:style>
  <w:style w:type="paragraph" w:styleId="CommentSubject">
    <w:name w:val="Comment Subject"/>
    <w:basedOn w:val="CommentText"/>
    <w:next w:val="CommentText"/>
    <w:link w:val="CommentSubjectChar"/>
    <w:uiPriority w:val="99"/>
    <w:semiHidden/>
    <w:unhideWhenUsed/>
    <w:rsid w:val="000415E7"/>
    <w:rPr>
      <w:b/>
      <w:bCs/>
    </w:rPr>
  </w:style>
  <w:style w:type="character" w:styleId="CommentSubjectChar" w:customStyle="1">
    <w:name w:val="Comment Subject Char"/>
    <w:basedOn w:val="CommentTextChar"/>
    <w:link w:val="CommentSubject"/>
    <w:uiPriority w:val="99"/>
    <w:semiHidden/>
    <w:rsid w:val="000415E7"/>
    <w:rPr>
      <w:rFonts w:ascii="Aptos" w:hAnsi="Aptos"/>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microsoft.com/office/2011/relationships/people" Target="people.xml" Id="rId15" /><Relationship Type="http://schemas.openxmlformats.org/officeDocument/2006/relationships/settings" Target="settings.xml" Id="rId4"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Strengthening NVIDIA’s Long Term Growth Through Integrated AI Hardware and Enterprise Software Solutions</dc:title>
  <dc:subject>LCMB7037 Business Development Proposal Outline</dc:subject>
  <dc:creator>[Insert student name]</dc:creator>
  <keywords>NVIDIA, enterprise AI, business development proposal, LCMB7037</keywords>
  <dc:description>generated by python-docx</dc:description>
  <lastModifiedBy>nabigha Faheem'S</lastModifiedBy>
  <revision>14</revision>
  <dcterms:created xsi:type="dcterms:W3CDTF">2026-10-03T15:20:00.0000000Z</dcterms:created>
  <dcterms:modified xsi:type="dcterms:W3CDTF">2026-10-05T13:41:24.6995691Z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5dc2ed5d-7680-49fc-aca3-1244bc4c4f0a</vt:lpwstr>
  </property>
</Properties>
</file>