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1D7A2" w14:textId="77777777" w:rsidR="008C6ECD" w:rsidRPr="008C6ECD" w:rsidRDefault="008C6ECD" w:rsidP="008C6ECD">
      <w:pPr>
        <w:spacing w:line="360" w:lineRule="auto"/>
        <w:rPr>
          <w:rFonts w:ascii="Calibri" w:hAnsi="Calibri" w:cs="Calibri"/>
          <w:sz w:val="24"/>
          <w:szCs w:val="24"/>
        </w:rPr>
      </w:pPr>
      <w:r w:rsidRPr="008C6ECD">
        <w:rPr>
          <w:rFonts w:ascii="Calibri" w:hAnsi="Calibri" w:cs="Calibri"/>
          <w:sz w:val="24"/>
          <w:szCs w:val="24"/>
        </w:rPr>
        <w:t>The COVID</w:t>
      </w:r>
      <w:r w:rsidRPr="008C6ECD">
        <w:rPr>
          <w:rFonts w:ascii="Calibri" w:hAnsi="Calibri" w:cs="Calibri"/>
          <w:sz w:val="24"/>
          <w:szCs w:val="24"/>
        </w:rPr>
        <w:noBreakHyphen/>
        <w:t>19 Pandemic’s Impact on the Mental Health and Coping Mechanisms of Healthcare Workers</w:t>
      </w:r>
    </w:p>
    <w:p w14:paraId="0E6A3626" w14:textId="77777777" w:rsidR="008C6ECD" w:rsidRPr="008C6ECD" w:rsidRDefault="008C6ECD" w:rsidP="008C6ECD">
      <w:pPr>
        <w:spacing w:line="360" w:lineRule="auto"/>
        <w:rPr>
          <w:rFonts w:ascii="Calibri" w:hAnsi="Calibri" w:cs="Calibri"/>
          <w:sz w:val="24"/>
          <w:szCs w:val="24"/>
        </w:rPr>
      </w:pPr>
      <w:r w:rsidRPr="008C6ECD">
        <w:rPr>
          <w:rFonts w:ascii="Calibri" w:hAnsi="Calibri" w:cs="Calibri"/>
          <w:sz w:val="24"/>
          <w:szCs w:val="24"/>
        </w:rPr>
        <w:t>Nasreen Akhtar</w:t>
      </w:r>
      <w:r w:rsidRPr="008C6ECD">
        <w:rPr>
          <w:rFonts w:ascii="Calibri" w:hAnsi="Calibri" w:cs="Calibri"/>
          <w:sz w:val="24"/>
          <w:szCs w:val="24"/>
        </w:rPr>
        <w:br/>
        <w:t>Student Number: 2132945</w:t>
      </w:r>
      <w:r w:rsidRPr="008C6ECD">
        <w:rPr>
          <w:rFonts w:ascii="Calibri" w:hAnsi="Calibri" w:cs="Calibri"/>
          <w:sz w:val="24"/>
          <w:szCs w:val="24"/>
        </w:rPr>
        <w:br/>
        <w:t>BSc (Hons) Health and Social Care</w:t>
      </w:r>
      <w:r w:rsidRPr="008C6ECD">
        <w:rPr>
          <w:rFonts w:ascii="Calibri" w:hAnsi="Calibri" w:cs="Calibri"/>
          <w:sz w:val="24"/>
          <w:szCs w:val="24"/>
        </w:rPr>
        <w:br/>
        <w:t>Independent Project</w:t>
      </w:r>
      <w:r w:rsidRPr="008C6ECD">
        <w:rPr>
          <w:rFonts w:ascii="Calibri" w:hAnsi="Calibri" w:cs="Calibri"/>
          <w:sz w:val="24"/>
          <w:szCs w:val="24"/>
        </w:rPr>
        <w:br/>
        <w:t>University of Wales Trinity Saint David</w:t>
      </w:r>
    </w:p>
    <w:p w14:paraId="1BAC108C" w14:textId="5BDFE800" w:rsidR="008C6ECD" w:rsidRPr="008C6ECD" w:rsidRDefault="008C6ECD" w:rsidP="008C6ECD">
      <w:pPr>
        <w:spacing w:line="360" w:lineRule="auto"/>
        <w:rPr>
          <w:rFonts w:ascii="Calibri" w:hAnsi="Calibri" w:cs="Calibri"/>
          <w:sz w:val="24"/>
          <w:szCs w:val="24"/>
        </w:rPr>
      </w:pPr>
      <w:r w:rsidRPr="008C6ECD">
        <w:rPr>
          <w:rFonts w:ascii="Calibri" w:hAnsi="Calibri" w:cs="Calibri"/>
          <w:sz w:val="24"/>
          <w:szCs w:val="24"/>
        </w:rPr>
        <w:t>Word Count:</w:t>
      </w:r>
      <w:r>
        <w:rPr>
          <w:rFonts w:ascii="Calibri" w:hAnsi="Calibri" w:cs="Calibri"/>
          <w:sz w:val="24"/>
          <w:szCs w:val="24"/>
        </w:rPr>
        <w:t xml:space="preserve"> 9000</w:t>
      </w:r>
      <w:r w:rsidRPr="008C6ECD">
        <w:rPr>
          <w:rFonts w:ascii="Calibri" w:hAnsi="Calibri" w:cs="Calibri"/>
          <w:sz w:val="24"/>
          <w:szCs w:val="24"/>
        </w:rPr>
        <w:br/>
        <w:t>Submission Date:</w:t>
      </w:r>
    </w:p>
    <w:p w14:paraId="708964FB" w14:textId="77777777" w:rsidR="008C6ECD" w:rsidRDefault="008C6ECD" w:rsidP="0090505E">
      <w:pPr>
        <w:spacing w:line="360" w:lineRule="auto"/>
        <w:rPr>
          <w:rFonts w:ascii="Calibri" w:hAnsi="Calibri" w:cs="Calibri"/>
          <w:b/>
          <w:bCs/>
          <w:sz w:val="24"/>
          <w:szCs w:val="24"/>
        </w:rPr>
      </w:pPr>
    </w:p>
    <w:p w14:paraId="5C4A3AA9" w14:textId="0F8EB383"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DECLARATION</w:t>
      </w:r>
    </w:p>
    <w:p w14:paraId="26B941DC" w14:textId="77441288"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This work has not previously been accepted in substance for any degree and is not being concurrently submitted in candidature for any degree</w:t>
      </w:r>
      <w:r w:rsidR="008E2F90" w:rsidRPr="00640CAD">
        <w:rPr>
          <w:rFonts w:ascii="Calibri" w:hAnsi="Calibri" w:cs="Calibri"/>
          <w:sz w:val="24"/>
          <w:szCs w:val="24"/>
        </w:rPr>
        <w:t>.</w:t>
      </w:r>
    </w:p>
    <w:p w14:paraId="2C204DF2"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Signed…</w:t>
      </w:r>
      <w:proofErr w:type="gramStart"/>
      <w:r w:rsidRPr="00640CAD">
        <w:rPr>
          <w:rFonts w:ascii="Calibri" w:hAnsi="Calibri" w:cs="Calibri"/>
          <w:sz w:val="24"/>
          <w:szCs w:val="24"/>
        </w:rPr>
        <w:t>N.AKHTAR</w:t>
      </w:r>
      <w:proofErr w:type="gramEnd"/>
      <w:r w:rsidRPr="00640CAD">
        <w:rPr>
          <w:rFonts w:ascii="Calibri" w:hAnsi="Calibri" w:cs="Calibri"/>
          <w:sz w:val="24"/>
          <w:szCs w:val="24"/>
        </w:rPr>
        <w:t>…………………………………………</w:t>
      </w:r>
    </w:p>
    <w:p w14:paraId="6E5AF927"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Date……</w:t>
      </w:r>
      <w:proofErr w:type="gramStart"/>
      <w:r w:rsidRPr="00640CAD">
        <w:rPr>
          <w:rFonts w:ascii="Calibri" w:hAnsi="Calibri" w:cs="Calibri"/>
          <w:sz w:val="24"/>
          <w:szCs w:val="24"/>
        </w:rPr>
        <w:t>N.AKHTAR</w:t>
      </w:r>
      <w:proofErr w:type="gramEnd"/>
      <w:r w:rsidRPr="00640CAD">
        <w:rPr>
          <w:rFonts w:ascii="Calibri" w:hAnsi="Calibri" w:cs="Calibri"/>
          <w:sz w:val="24"/>
          <w:szCs w:val="24"/>
        </w:rPr>
        <w:t>…………………………………………</w:t>
      </w:r>
    </w:p>
    <w:p w14:paraId="33154EDF"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STATEMENT 1</w:t>
      </w:r>
    </w:p>
    <w:p w14:paraId="537F84AC" w14:textId="2F0345E0"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 xml:space="preserve">This dissertation is being submitted in partial </w:t>
      </w:r>
      <w:proofErr w:type="spellStart"/>
      <w:r w:rsidR="00884A3A">
        <w:rPr>
          <w:rFonts w:ascii="Calibri" w:hAnsi="Calibri" w:cs="Calibri"/>
          <w:sz w:val="24"/>
          <w:szCs w:val="24"/>
        </w:rPr>
        <w:t>fulfillment</w:t>
      </w:r>
      <w:proofErr w:type="spellEnd"/>
      <w:r w:rsidRPr="00640CAD">
        <w:rPr>
          <w:rFonts w:ascii="Calibri" w:hAnsi="Calibri" w:cs="Calibri"/>
          <w:sz w:val="24"/>
          <w:szCs w:val="24"/>
        </w:rPr>
        <w:t xml:space="preserve"> of the requirements for the degree of BSc.</w:t>
      </w:r>
    </w:p>
    <w:p w14:paraId="5E119525"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Signed…</w:t>
      </w:r>
      <w:proofErr w:type="gramStart"/>
      <w:r w:rsidRPr="00640CAD">
        <w:rPr>
          <w:rFonts w:ascii="Calibri" w:hAnsi="Calibri" w:cs="Calibri"/>
          <w:sz w:val="24"/>
          <w:szCs w:val="24"/>
        </w:rPr>
        <w:t>N.AKHTAR</w:t>
      </w:r>
      <w:proofErr w:type="gramEnd"/>
      <w:r w:rsidRPr="00640CAD">
        <w:rPr>
          <w:rFonts w:ascii="Calibri" w:hAnsi="Calibri" w:cs="Calibri"/>
          <w:sz w:val="24"/>
          <w:szCs w:val="24"/>
        </w:rPr>
        <w:t>………………………………………….</w:t>
      </w:r>
    </w:p>
    <w:p w14:paraId="6393A466"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Date………………………………………………</w:t>
      </w:r>
    </w:p>
    <w:p w14:paraId="3216D5D7"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STATEMENT 2</w:t>
      </w:r>
    </w:p>
    <w:p w14:paraId="31166B74"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This dissertation is the result of my own independent work/investigation, except where otherwise stated. Other sources are acknowledged by footnotes giving explicit references. A bibliography is appended.</w:t>
      </w:r>
    </w:p>
    <w:p w14:paraId="44250C85"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Signed…</w:t>
      </w:r>
      <w:proofErr w:type="gramStart"/>
      <w:r w:rsidRPr="00640CAD">
        <w:rPr>
          <w:rFonts w:ascii="Calibri" w:hAnsi="Calibri" w:cs="Calibri"/>
          <w:sz w:val="24"/>
          <w:szCs w:val="24"/>
        </w:rPr>
        <w:t>N.AKHTAR</w:t>
      </w:r>
      <w:proofErr w:type="gramEnd"/>
      <w:r w:rsidRPr="00640CAD">
        <w:rPr>
          <w:rFonts w:ascii="Calibri" w:hAnsi="Calibri" w:cs="Calibri"/>
          <w:sz w:val="24"/>
          <w:szCs w:val="24"/>
        </w:rPr>
        <w:t>…………………………………………</w:t>
      </w:r>
    </w:p>
    <w:p w14:paraId="5C5E19D0"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Date………………………………………………</w:t>
      </w:r>
    </w:p>
    <w:p w14:paraId="2111360D"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STATEMENT 3</w:t>
      </w:r>
    </w:p>
    <w:p w14:paraId="2C53635F"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lastRenderedPageBreak/>
        <w:t>I hereby give consent for my dissertation, if accepted, to be available for photocopying and for interlibrary loan, and for the title and summary to be made available to outside organisations.</w:t>
      </w:r>
    </w:p>
    <w:p w14:paraId="1617F467"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Signed…</w:t>
      </w:r>
      <w:proofErr w:type="gramStart"/>
      <w:r w:rsidRPr="00640CAD">
        <w:rPr>
          <w:rFonts w:ascii="Calibri" w:hAnsi="Calibri" w:cs="Calibri"/>
          <w:sz w:val="24"/>
          <w:szCs w:val="24"/>
        </w:rPr>
        <w:t>N.AKHTAR</w:t>
      </w:r>
      <w:proofErr w:type="gramEnd"/>
      <w:r w:rsidRPr="00640CAD">
        <w:rPr>
          <w:rFonts w:ascii="Calibri" w:hAnsi="Calibri" w:cs="Calibri"/>
          <w:sz w:val="24"/>
          <w:szCs w:val="24"/>
        </w:rPr>
        <w:t>……………………………………………</w:t>
      </w:r>
    </w:p>
    <w:p w14:paraId="3007D26F"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Date…………………………………………………</w:t>
      </w:r>
    </w:p>
    <w:p w14:paraId="3720BCF3"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STATEMENT 4</w:t>
      </w:r>
    </w:p>
    <w:p w14:paraId="7DFD7AD5"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I hereby give consent for my dissertation, if accepted, to be available on the university’s IT system to those who have consent to use the system.</w:t>
      </w:r>
    </w:p>
    <w:p w14:paraId="005E454E"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Signed…</w:t>
      </w:r>
      <w:proofErr w:type="gramStart"/>
      <w:r w:rsidRPr="00640CAD">
        <w:rPr>
          <w:rFonts w:ascii="Calibri" w:hAnsi="Calibri" w:cs="Calibri"/>
          <w:sz w:val="24"/>
          <w:szCs w:val="24"/>
        </w:rPr>
        <w:t>N.AKHTAR</w:t>
      </w:r>
      <w:proofErr w:type="gramEnd"/>
      <w:r w:rsidRPr="00640CAD">
        <w:rPr>
          <w:rFonts w:ascii="Calibri" w:hAnsi="Calibri" w:cs="Calibri"/>
          <w:sz w:val="24"/>
          <w:szCs w:val="24"/>
        </w:rPr>
        <w:t>……………………………………………</w:t>
      </w:r>
    </w:p>
    <w:p w14:paraId="6630FE90" w14:textId="4A562541"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Date…………………………………………………</w:t>
      </w:r>
    </w:p>
    <w:p w14:paraId="00A2B701"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The COVID-19 Pandemic's Impact on the Mental Health and Coping Mechanisms of Healthcare Workers</w:t>
      </w:r>
    </w:p>
    <w:p w14:paraId="7D5348EC" w14:textId="77777777" w:rsidR="00B75A0D" w:rsidRPr="00640CAD" w:rsidRDefault="00B75A0D" w:rsidP="0090505E">
      <w:pPr>
        <w:spacing w:line="360" w:lineRule="auto"/>
        <w:rPr>
          <w:rFonts w:ascii="Calibri" w:hAnsi="Calibri" w:cs="Calibri"/>
          <w:sz w:val="24"/>
          <w:szCs w:val="24"/>
        </w:rPr>
      </w:pPr>
      <w:r w:rsidRPr="00640CAD">
        <w:rPr>
          <w:rFonts w:ascii="Calibri" w:hAnsi="Calibri" w:cs="Calibri"/>
          <w:sz w:val="24"/>
          <w:szCs w:val="24"/>
        </w:rPr>
        <w:t>Nasreen Akhtar / 2132945</w:t>
      </w:r>
    </w:p>
    <w:p w14:paraId="6B5BA193" w14:textId="064A58D8" w:rsidR="00244BE9" w:rsidRDefault="00B75A0D" w:rsidP="0090505E">
      <w:pPr>
        <w:spacing w:line="360" w:lineRule="auto"/>
        <w:rPr>
          <w:rFonts w:ascii="Calibri" w:hAnsi="Calibri" w:cs="Calibri"/>
          <w:sz w:val="24"/>
          <w:szCs w:val="24"/>
        </w:rPr>
      </w:pPr>
      <w:r w:rsidRPr="00640CAD">
        <w:rPr>
          <w:rFonts w:ascii="Calibri" w:hAnsi="Calibri" w:cs="Calibri"/>
          <w:sz w:val="24"/>
          <w:szCs w:val="24"/>
        </w:rPr>
        <w:t>Dissertation submitted as part of the requirements for the award BSc (Hons) Health and Social Care</w:t>
      </w:r>
      <w:r w:rsidR="008E2F90" w:rsidRPr="00640CAD">
        <w:rPr>
          <w:rFonts w:ascii="Calibri" w:hAnsi="Calibri" w:cs="Calibri"/>
          <w:sz w:val="24"/>
          <w:szCs w:val="24"/>
        </w:rPr>
        <w:t>.</w:t>
      </w:r>
    </w:p>
    <w:p w14:paraId="0347341E" w14:textId="77777777" w:rsidR="003933F5" w:rsidRDefault="003933F5" w:rsidP="0090505E">
      <w:pPr>
        <w:spacing w:line="360" w:lineRule="auto"/>
        <w:rPr>
          <w:rFonts w:ascii="Calibri" w:hAnsi="Calibri" w:cs="Calibri"/>
          <w:sz w:val="24"/>
          <w:szCs w:val="24"/>
        </w:rPr>
      </w:pPr>
    </w:p>
    <w:p w14:paraId="6E2651A4" w14:textId="77777777" w:rsidR="003933F5" w:rsidRDefault="003933F5" w:rsidP="0090505E">
      <w:pPr>
        <w:spacing w:line="360" w:lineRule="auto"/>
        <w:rPr>
          <w:rFonts w:ascii="Calibri" w:hAnsi="Calibri" w:cs="Calibri"/>
          <w:sz w:val="24"/>
          <w:szCs w:val="24"/>
        </w:rPr>
      </w:pPr>
    </w:p>
    <w:p w14:paraId="3F945544" w14:textId="77777777" w:rsidR="003933F5" w:rsidRDefault="003933F5" w:rsidP="0090505E">
      <w:pPr>
        <w:spacing w:line="360" w:lineRule="auto"/>
        <w:rPr>
          <w:rFonts w:ascii="Calibri" w:hAnsi="Calibri" w:cs="Calibri"/>
          <w:sz w:val="24"/>
          <w:szCs w:val="24"/>
        </w:rPr>
      </w:pPr>
    </w:p>
    <w:p w14:paraId="3850985E" w14:textId="77777777" w:rsidR="003933F5" w:rsidRDefault="003933F5" w:rsidP="0090505E">
      <w:pPr>
        <w:spacing w:line="360" w:lineRule="auto"/>
        <w:rPr>
          <w:rFonts w:ascii="Calibri" w:hAnsi="Calibri" w:cs="Calibri"/>
          <w:sz w:val="24"/>
          <w:szCs w:val="24"/>
        </w:rPr>
      </w:pPr>
    </w:p>
    <w:p w14:paraId="0F3D7164" w14:textId="77777777" w:rsidR="003933F5" w:rsidRDefault="003933F5" w:rsidP="0090505E">
      <w:pPr>
        <w:spacing w:line="360" w:lineRule="auto"/>
        <w:rPr>
          <w:rFonts w:ascii="Calibri" w:hAnsi="Calibri" w:cs="Calibri"/>
          <w:sz w:val="24"/>
          <w:szCs w:val="24"/>
        </w:rPr>
      </w:pPr>
    </w:p>
    <w:p w14:paraId="3600F86D" w14:textId="77777777" w:rsidR="003933F5" w:rsidRDefault="003933F5" w:rsidP="0090505E">
      <w:pPr>
        <w:spacing w:line="360" w:lineRule="auto"/>
        <w:rPr>
          <w:rFonts w:ascii="Calibri" w:hAnsi="Calibri" w:cs="Calibri"/>
          <w:sz w:val="24"/>
          <w:szCs w:val="24"/>
        </w:rPr>
      </w:pPr>
    </w:p>
    <w:p w14:paraId="6FA64431" w14:textId="77777777" w:rsidR="003933F5" w:rsidRDefault="003933F5" w:rsidP="0090505E">
      <w:pPr>
        <w:spacing w:line="360" w:lineRule="auto"/>
        <w:rPr>
          <w:rFonts w:ascii="Calibri" w:hAnsi="Calibri" w:cs="Calibri"/>
          <w:sz w:val="24"/>
          <w:szCs w:val="24"/>
        </w:rPr>
      </w:pPr>
    </w:p>
    <w:p w14:paraId="1C5FF2C4" w14:textId="77777777" w:rsidR="003933F5" w:rsidRDefault="003933F5" w:rsidP="0090505E">
      <w:pPr>
        <w:spacing w:line="360" w:lineRule="auto"/>
        <w:rPr>
          <w:rFonts w:ascii="Calibri" w:hAnsi="Calibri" w:cs="Calibri"/>
          <w:sz w:val="24"/>
          <w:szCs w:val="24"/>
        </w:rPr>
      </w:pPr>
    </w:p>
    <w:p w14:paraId="641485A1" w14:textId="77777777" w:rsidR="003933F5" w:rsidRDefault="003933F5" w:rsidP="0090505E">
      <w:pPr>
        <w:spacing w:line="360" w:lineRule="auto"/>
        <w:rPr>
          <w:rFonts w:ascii="Calibri" w:hAnsi="Calibri" w:cs="Calibri"/>
          <w:sz w:val="24"/>
          <w:szCs w:val="24"/>
        </w:rPr>
      </w:pPr>
    </w:p>
    <w:p w14:paraId="6DA35CA3" w14:textId="77777777" w:rsidR="003933F5" w:rsidRDefault="003933F5" w:rsidP="0090505E">
      <w:pPr>
        <w:spacing w:line="360" w:lineRule="auto"/>
        <w:rPr>
          <w:rFonts w:ascii="Calibri" w:hAnsi="Calibri" w:cs="Calibri"/>
          <w:sz w:val="24"/>
          <w:szCs w:val="24"/>
        </w:rPr>
      </w:pPr>
    </w:p>
    <w:p w14:paraId="580A7E07" w14:textId="77777777" w:rsidR="003933F5" w:rsidRDefault="003933F5" w:rsidP="0090505E">
      <w:pPr>
        <w:spacing w:line="360" w:lineRule="auto"/>
        <w:rPr>
          <w:rFonts w:ascii="Calibri" w:hAnsi="Calibri" w:cs="Calibri"/>
          <w:sz w:val="24"/>
          <w:szCs w:val="24"/>
        </w:rPr>
      </w:pPr>
    </w:p>
    <w:p w14:paraId="72DA9E1D" w14:textId="0390F6E0" w:rsidR="00B75A0D" w:rsidRDefault="00B75A0D" w:rsidP="0090505E">
      <w:pPr>
        <w:spacing w:line="360" w:lineRule="auto"/>
        <w:rPr>
          <w:rFonts w:ascii="Calibri" w:hAnsi="Calibri" w:cs="Calibri"/>
          <w:b/>
          <w:bCs/>
        </w:rPr>
      </w:pPr>
      <w:r w:rsidRPr="0035016D">
        <w:rPr>
          <w:rFonts w:ascii="Calibri" w:hAnsi="Calibri" w:cs="Calibri"/>
          <w:b/>
          <w:bCs/>
        </w:rPr>
        <w:lastRenderedPageBreak/>
        <w:t>Abstract</w:t>
      </w:r>
    </w:p>
    <w:p w14:paraId="5F820E05" w14:textId="1AE951EA" w:rsidR="008C6ECD" w:rsidRDefault="008C6ECD" w:rsidP="0090505E">
      <w:pPr>
        <w:spacing w:line="360" w:lineRule="auto"/>
        <w:rPr>
          <w:rFonts w:ascii="Calibri" w:hAnsi="Calibri" w:cs="Calibri"/>
        </w:rPr>
      </w:pPr>
      <w:r w:rsidRPr="008C6ECD">
        <w:rPr>
          <w:rFonts w:ascii="Calibri" w:hAnsi="Calibri" w:cs="Calibri"/>
        </w:rPr>
        <w:t>The COVID</w:t>
      </w:r>
      <w:r w:rsidRPr="008C6ECD">
        <w:rPr>
          <w:rFonts w:ascii="Calibri" w:hAnsi="Calibri" w:cs="Calibri"/>
        </w:rPr>
        <w:noBreakHyphen/>
        <w:t>19 pandemic placed unprecedented pressure on global healthcare systems and exposed healthcare workers (HCWs) to significant psychological strain. This dissertation investigates the mental health impact of the pandemic on HCWs, examines the coping mechanisms they employed, and evaluates the effectiveness of institutional support systems. Using a systematic review of international literature published between 2020 and 2025, the study identifies widespread mental health challenges, including anxiety, depression, burnout, moral injury, and post</w:t>
      </w:r>
      <w:r w:rsidRPr="008C6ECD">
        <w:rPr>
          <w:rFonts w:ascii="Calibri" w:hAnsi="Calibri" w:cs="Calibri"/>
        </w:rPr>
        <w:noBreakHyphen/>
        <w:t>traumatic stress disorder (PTSD). Contributing factors included fear of infection, inadequate personal protective equipment (PPE), high patient mortality, long working hours, and limited opportunities for rest and recovery.</w:t>
      </w:r>
    </w:p>
    <w:p w14:paraId="29C45DB4" w14:textId="77777777" w:rsidR="008C6ECD" w:rsidRPr="008C6ECD" w:rsidRDefault="008C6ECD" w:rsidP="008C6ECD">
      <w:pPr>
        <w:spacing w:line="360" w:lineRule="auto"/>
        <w:rPr>
          <w:rFonts w:ascii="Calibri" w:hAnsi="Calibri" w:cs="Calibri"/>
        </w:rPr>
      </w:pPr>
      <w:r w:rsidRPr="008C6ECD">
        <w:rPr>
          <w:rFonts w:ascii="Calibri" w:hAnsi="Calibri" w:cs="Calibri"/>
        </w:rPr>
        <w:t>The dissertation explores adaptive coping strategies such as social support, mindfulness, resilience, and physical activity, as well as maladaptive strategies including avoidance, emotional withdrawal, and increased substance use. Institutional support emerged as a critical determinant of HCWs’ well</w:t>
      </w:r>
      <w:r w:rsidRPr="008C6ECD">
        <w:rPr>
          <w:rFonts w:ascii="Calibri" w:hAnsi="Calibri" w:cs="Calibri"/>
        </w:rPr>
        <w:noBreakHyphen/>
        <w:t>being. Organisations that provided clear communication, adequate PPE, accessible psychological services, and compassionate leadership reported better staff outcomes. However, support was inconsistent across settings, and many HCWs reported barriers such as stigma, workload pressures, and limited awareness of available services.</w:t>
      </w:r>
    </w:p>
    <w:p w14:paraId="6D4B8646" w14:textId="77777777" w:rsidR="008C6ECD" w:rsidRPr="008C6ECD" w:rsidRDefault="008C6ECD" w:rsidP="008C6ECD">
      <w:pPr>
        <w:spacing w:line="360" w:lineRule="auto"/>
        <w:rPr>
          <w:rFonts w:ascii="Calibri" w:hAnsi="Calibri" w:cs="Calibri"/>
        </w:rPr>
      </w:pPr>
      <w:r w:rsidRPr="008C6ECD">
        <w:rPr>
          <w:rFonts w:ascii="Calibri" w:hAnsi="Calibri" w:cs="Calibri"/>
        </w:rPr>
        <w:t>The study concludes that protecting HCWs’ mental health is essential for workforce sustainability and high</w:t>
      </w:r>
      <w:r w:rsidRPr="008C6ECD">
        <w:rPr>
          <w:rFonts w:ascii="Calibri" w:hAnsi="Calibri" w:cs="Calibri"/>
        </w:rPr>
        <w:noBreakHyphen/>
        <w:t>quality patient care. Recommendations include strengthening organisational mental health provision, embedding psychological support into routine practice, improving communication and leadership, and ensuring adequate resources during future health crises.</w:t>
      </w:r>
    </w:p>
    <w:p w14:paraId="3F6A5964" w14:textId="77777777" w:rsidR="008C6ECD" w:rsidRDefault="008C6ECD" w:rsidP="0090505E">
      <w:pPr>
        <w:spacing w:line="360" w:lineRule="auto"/>
        <w:rPr>
          <w:rFonts w:ascii="Calibri" w:hAnsi="Calibri" w:cs="Calibri"/>
        </w:rPr>
      </w:pPr>
    </w:p>
    <w:p w14:paraId="14AC1191" w14:textId="77777777" w:rsidR="008C6ECD" w:rsidRDefault="008C6ECD" w:rsidP="0090505E">
      <w:pPr>
        <w:spacing w:line="360" w:lineRule="auto"/>
        <w:rPr>
          <w:rFonts w:ascii="Calibri" w:hAnsi="Calibri" w:cs="Calibri"/>
        </w:rPr>
      </w:pPr>
    </w:p>
    <w:p w14:paraId="04A06394" w14:textId="77777777" w:rsidR="008C6ECD" w:rsidRDefault="008C6ECD" w:rsidP="0090505E">
      <w:pPr>
        <w:spacing w:line="360" w:lineRule="auto"/>
        <w:rPr>
          <w:rFonts w:ascii="Calibri" w:hAnsi="Calibri" w:cs="Calibri"/>
        </w:rPr>
      </w:pPr>
    </w:p>
    <w:p w14:paraId="0B9FBA89" w14:textId="77777777" w:rsidR="008C6ECD" w:rsidRDefault="008C6ECD" w:rsidP="0090505E">
      <w:pPr>
        <w:spacing w:line="360" w:lineRule="auto"/>
        <w:rPr>
          <w:rFonts w:ascii="Calibri" w:hAnsi="Calibri" w:cs="Calibri"/>
        </w:rPr>
      </w:pPr>
    </w:p>
    <w:p w14:paraId="39188AE0" w14:textId="77777777" w:rsidR="008C6ECD" w:rsidRDefault="008C6ECD" w:rsidP="0090505E">
      <w:pPr>
        <w:spacing w:line="360" w:lineRule="auto"/>
        <w:rPr>
          <w:rFonts w:ascii="Calibri" w:hAnsi="Calibri" w:cs="Calibri"/>
        </w:rPr>
      </w:pPr>
    </w:p>
    <w:p w14:paraId="47BADFFD" w14:textId="77777777" w:rsidR="008C6ECD" w:rsidRDefault="008C6ECD" w:rsidP="0090505E">
      <w:pPr>
        <w:spacing w:line="360" w:lineRule="auto"/>
        <w:rPr>
          <w:rFonts w:ascii="Calibri" w:hAnsi="Calibri" w:cs="Calibri"/>
        </w:rPr>
      </w:pPr>
    </w:p>
    <w:p w14:paraId="2DB7D322" w14:textId="77777777" w:rsidR="008C6ECD" w:rsidRDefault="008C6ECD" w:rsidP="0090505E">
      <w:pPr>
        <w:spacing w:line="360" w:lineRule="auto"/>
        <w:rPr>
          <w:rFonts w:ascii="Calibri" w:hAnsi="Calibri" w:cs="Calibri"/>
        </w:rPr>
      </w:pPr>
    </w:p>
    <w:p w14:paraId="2008E7DC" w14:textId="77777777" w:rsidR="008C6ECD" w:rsidRDefault="008C6ECD" w:rsidP="0090505E">
      <w:pPr>
        <w:spacing w:line="360" w:lineRule="auto"/>
        <w:rPr>
          <w:rFonts w:ascii="Calibri" w:hAnsi="Calibri" w:cs="Calibri"/>
        </w:rPr>
      </w:pPr>
    </w:p>
    <w:p w14:paraId="04206ED3" w14:textId="77777777" w:rsidR="008C6ECD" w:rsidRPr="008C6ECD" w:rsidRDefault="008C6ECD" w:rsidP="0090505E">
      <w:pPr>
        <w:spacing w:line="360" w:lineRule="auto"/>
        <w:rPr>
          <w:rFonts w:ascii="Calibri" w:hAnsi="Calibri" w:cs="Calibri"/>
        </w:rPr>
      </w:pPr>
    </w:p>
    <w:p w14:paraId="27CCDB75" w14:textId="77777777" w:rsidR="003933F5" w:rsidRDefault="003933F5" w:rsidP="0090505E">
      <w:pPr>
        <w:spacing w:line="360" w:lineRule="auto"/>
        <w:rPr>
          <w:rFonts w:ascii="Calibri" w:hAnsi="Calibri" w:cs="Calibri"/>
          <w:b/>
          <w:bCs/>
          <w:sz w:val="24"/>
          <w:szCs w:val="24"/>
        </w:rPr>
      </w:pPr>
    </w:p>
    <w:p w14:paraId="725B140A" w14:textId="77777777" w:rsidR="0035016D" w:rsidRPr="00471ACB" w:rsidRDefault="0035016D" w:rsidP="0035016D">
      <w:pPr>
        <w:spacing w:line="360" w:lineRule="auto"/>
        <w:rPr>
          <w:rFonts w:ascii="Calibri" w:hAnsi="Calibri" w:cs="Calibri"/>
          <w:b/>
          <w:bCs/>
        </w:rPr>
      </w:pPr>
      <w:r w:rsidRPr="00471ACB">
        <w:rPr>
          <w:rFonts w:ascii="Calibri" w:hAnsi="Calibri" w:cs="Calibri"/>
          <w:b/>
          <w:bCs/>
        </w:rPr>
        <w:lastRenderedPageBreak/>
        <w:t>Table of Contents:</w:t>
      </w:r>
    </w:p>
    <w:p w14:paraId="7304F8B3" w14:textId="77777777" w:rsidR="008C6ECD" w:rsidRPr="008C6ECD" w:rsidRDefault="008C6ECD" w:rsidP="008C6ECD">
      <w:pPr>
        <w:spacing w:line="360" w:lineRule="auto"/>
        <w:ind w:left="720"/>
        <w:rPr>
          <w:rFonts w:ascii="Calibri" w:hAnsi="Calibri" w:cs="Calibri"/>
          <w:b/>
          <w:bCs/>
        </w:rPr>
      </w:pPr>
      <w:r w:rsidRPr="008C6ECD">
        <w:rPr>
          <w:rFonts w:ascii="Calibri" w:hAnsi="Calibri" w:cs="Calibri"/>
          <w:b/>
          <w:bCs/>
        </w:rPr>
        <w:t>Chapter 1: Introduction</w:t>
      </w:r>
    </w:p>
    <w:p w14:paraId="20C5D4AE" w14:textId="77777777" w:rsidR="008C6ECD" w:rsidRPr="008C6ECD" w:rsidRDefault="008C6ECD" w:rsidP="008C6ECD">
      <w:pPr>
        <w:spacing w:line="360" w:lineRule="auto"/>
        <w:ind w:left="720"/>
        <w:rPr>
          <w:rFonts w:ascii="Calibri" w:hAnsi="Calibri" w:cs="Calibri"/>
          <w:b/>
          <w:bCs/>
        </w:rPr>
      </w:pPr>
      <w:r w:rsidRPr="008C6ECD">
        <w:rPr>
          <w:rFonts w:ascii="Calibri" w:hAnsi="Calibri" w:cs="Calibri"/>
          <w:b/>
          <w:bCs/>
        </w:rPr>
        <w:t>1.1 Introduction</w:t>
      </w:r>
    </w:p>
    <w:p w14:paraId="607CCF2E" w14:textId="77777777" w:rsidR="008C6ECD" w:rsidRPr="008C6ECD" w:rsidRDefault="008C6ECD" w:rsidP="008C6ECD">
      <w:pPr>
        <w:spacing w:line="360" w:lineRule="auto"/>
        <w:ind w:left="720"/>
        <w:rPr>
          <w:rFonts w:ascii="Calibri" w:hAnsi="Calibri" w:cs="Calibri"/>
          <w:b/>
          <w:bCs/>
        </w:rPr>
      </w:pPr>
      <w:r w:rsidRPr="008C6ECD">
        <w:rPr>
          <w:rFonts w:ascii="Calibri" w:hAnsi="Calibri" w:cs="Calibri"/>
          <w:b/>
          <w:bCs/>
        </w:rPr>
        <w:t>1.2 Definitions and Terminology</w:t>
      </w:r>
    </w:p>
    <w:p w14:paraId="2F250BDA" w14:textId="77777777" w:rsidR="008C6ECD" w:rsidRPr="008C6ECD" w:rsidRDefault="008C6ECD" w:rsidP="008C6ECD">
      <w:pPr>
        <w:spacing w:line="360" w:lineRule="auto"/>
        <w:ind w:left="720"/>
        <w:rPr>
          <w:rFonts w:ascii="Calibri" w:hAnsi="Calibri" w:cs="Calibri"/>
          <w:b/>
          <w:bCs/>
        </w:rPr>
      </w:pPr>
      <w:r w:rsidRPr="008C6ECD">
        <w:rPr>
          <w:rFonts w:ascii="Calibri" w:hAnsi="Calibri" w:cs="Calibri"/>
          <w:b/>
          <w:bCs/>
        </w:rPr>
        <w:t>1.3 Rationale for Research</w:t>
      </w:r>
    </w:p>
    <w:p w14:paraId="3B447280" w14:textId="77777777" w:rsidR="008C6ECD" w:rsidRPr="008C6ECD" w:rsidRDefault="008C6ECD" w:rsidP="008C6ECD">
      <w:pPr>
        <w:spacing w:line="360" w:lineRule="auto"/>
        <w:ind w:left="720"/>
        <w:rPr>
          <w:rFonts w:ascii="Calibri" w:hAnsi="Calibri" w:cs="Calibri"/>
          <w:b/>
          <w:bCs/>
        </w:rPr>
      </w:pPr>
      <w:r w:rsidRPr="008C6ECD">
        <w:rPr>
          <w:rFonts w:ascii="Calibri" w:hAnsi="Calibri" w:cs="Calibri"/>
          <w:b/>
          <w:bCs/>
        </w:rPr>
        <w:t>1.4 Aim and Objectives</w:t>
      </w:r>
    </w:p>
    <w:p w14:paraId="518D8E6F" w14:textId="4BE97D34" w:rsidR="008C6ECD" w:rsidRDefault="008C6ECD" w:rsidP="008C6ECD">
      <w:pPr>
        <w:spacing w:line="360" w:lineRule="auto"/>
        <w:ind w:left="720"/>
        <w:rPr>
          <w:rFonts w:ascii="Calibri" w:hAnsi="Calibri" w:cs="Calibri"/>
          <w:b/>
          <w:bCs/>
        </w:rPr>
      </w:pPr>
      <w:r w:rsidRPr="008C6ECD">
        <w:rPr>
          <w:rFonts w:ascii="Calibri" w:hAnsi="Calibri" w:cs="Calibri"/>
          <w:b/>
          <w:bCs/>
        </w:rPr>
        <w:t>1.5 Conclusion</w:t>
      </w:r>
    </w:p>
    <w:p w14:paraId="5A967554" w14:textId="32159E37" w:rsidR="008C6ECD" w:rsidRPr="008C6ECD" w:rsidRDefault="008C6ECD" w:rsidP="008C6ECD">
      <w:pPr>
        <w:pStyle w:val="ListParagraph"/>
        <w:spacing w:after="0"/>
        <w:rPr>
          <w:rFonts w:ascii="Calibri" w:eastAsia="Times New Roman" w:hAnsi="Calibri" w:cs="Calibri"/>
          <w:b/>
          <w:bCs/>
          <w:lang w:eastAsia="en-GB"/>
        </w:rPr>
      </w:pPr>
      <w:r w:rsidRPr="008C6ECD">
        <w:rPr>
          <w:rFonts w:ascii="Calibri" w:eastAsia="Times New Roman" w:hAnsi="Calibri" w:cs="Calibri"/>
          <w:b/>
          <w:bCs/>
          <w:lang w:eastAsia="en-GB"/>
        </w:rPr>
        <w:t>Chapter 2: Background Information and Analysis</w:t>
      </w:r>
      <w:r w:rsidRPr="008C6ECD">
        <w:rPr>
          <w:rFonts w:ascii="Calibri" w:eastAsia="Times New Roman" w:hAnsi="Calibri" w:cs="Calibri"/>
          <w:b/>
          <w:bCs/>
          <w:lang w:eastAsia="en-GB"/>
        </w:rPr>
        <w:br/>
        <w:t>2.1 Introduction</w:t>
      </w:r>
      <w:r w:rsidRPr="008C6ECD">
        <w:rPr>
          <w:rFonts w:ascii="Calibri" w:eastAsia="Times New Roman" w:hAnsi="Calibri" w:cs="Calibri"/>
          <w:b/>
          <w:bCs/>
          <w:lang w:eastAsia="en-GB"/>
        </w:rPr>
        <w:br/>
        <w:t>2.2 Historical Background</w:t>
      </w:r>
      <w:r w:rsidRPr="008C6ECD">
        <w:rPr>
          <w:rFonts w:ascii="Calibri" w:eastAsia="Times New Roman" w:hAnsi="Calibri" w:cs="Calibri"/>
          <w:b/>
          <w:bCs/>
          <w:lang w:eastAsia="en-GB"/>
        </w:rPr>
        <w:br/>
        <w:t>2.3 Theoretical Background</w:t>
      </w:r>
      <w:r w:rsidRPr="008C6ECD">
        <w:rPr>
          <w:rFonts w:ascii="Calibri" w:eastAsia="Times New Roman" w:hAnsi="Calibri" w:cs="Calibri"/>
          <w:b/>
          <w:bCs/>
          <w:lang w:eastAsia="en-GB"/>
        </w:rPr>
        <w:br/>
        <w:t>2.4 International Context</w:t>
      </w:r>
      <w:r w:rsidRPr="008C6ECD">
        <w:rPr>
          <w:rFonts w:ascii="Calibri" w:eastAsia="Times New Roman" w:hAnsi="Calibri" w:cs="Calibri"/>
          <w:b/>
          <w:bCs/>
          <w:lang w:eastAsia="en-GB"/>
        </w:rPr>
        <w:br/>
        <w:t>2.5 National/Local UK Context</w:t>
      </w:r>
      <w:r w:rsidRPr="008C6ECD">
        <w:rPr>
          <w:rFonts w:ascii="Calibri" w:eastAsia="Times New Roman" w:hAnsi="Calibri" w:cs="Calibri"/>
          <w:b/>
          <w:bCs/>
          <w:lang w:eastAsia="en-GB"/>
        </w:rPr>
        <w:br/>
        <w:t>2.6 Conclusion</w:t>
      </w:r>
    </w:p>
    <w:p w14:paraId="3D54F55F" w14:textId="77777777" w:rsidR="008C6ECD" w:rsidRDefault="008C6ECD" w:rsidP="00471ACB">
      <w:pPr>
        <w:pStyle w:val="ListParagraph"/>
        <w:spacing w:after="0" w:line="240" w:lineRule="auto"/>
        <w:rPr>
          <w:rFonts w:ascii="Calibri" w:eastAsia="Times New Roman" w:hAnsi="Calibri" w:cs="Calibri"/>
          <w:b/>
          <w:bCs/>
          <w:lang w:eastAsia="en-GB"/>
        </w:rPr>
      </w:pPr>
    </w:p>
    <w:p w14:paraId="47649D10" w14:textId="77777777" w:rsidR="008C6ECD" w:rsidRPr="008C6ECD" w:rsidRDefault="008C6ECD" w:rsidP="008C6ECD">
      <w:pPr>
        <w:pStyle w:val="ListParagraph"/>
        <w:spacing w:after="0"/>
        <w:rPr>
          <w:rFonts w:ascii="Calibri" w:eastAsia="Times New Roman" w:hAnsi="Calibri" w:cs="Calibri"/>
          <w:b/>
          <w:bCs/>
          <w:lang w:eastAsia="en-GB"/>
        </w:rPr>
      </w:pPr>
      <w:r w:rsidRPr="008C6ECD">
        <w:rPr>
          <w:rFonts w:ascii="Calibri" w:eastAsia="Times New Roman" w:hAnsi="Calibri" w:cs="Calibri"/>
          <w:b/>
          <w:bCs/>
          <w:lang w:eastAsia="en-GB"/>
        </w:rPr>
        <w:t>Chapter 3: Research Methodology</w:t>
      </w:r>
      <w:r w:rsidRPr="008C6ECD">
        <w:rPr>
          <w:rFonts w:ascii="Calibri" w:eastAsia="Times New Roman" w:hAnsi="Calibri" w:cs="Calibri"/>
          <w:b/>
          <w:bCs/>
          <w:lang w:eastAsia="en-GB"/>
        </w:rPr>
        <w:br/>
        <w:t>3.1 Search Strategy</w:t>
      </w:r>
      <w:r w:rsidRPr="008C6ECD">
        <w:rPr>
          <w:rFonts w:ascii="Calibri" w:eastAsia="Times New Roman" w:hAnsi="Calibri" w:cs="Calibri"/>
          <w:b/>
          <w:bCs/>
          <w:lang w:eastAsia="en-GB"/>
        </w:rPr>
        <w:br/>
        <w:t>3.2 Inclusion and Exclusion Criteria</w:t>
      </w:r>
      <w:r w:rsidRPr="008C6ECD">
        <w:rPr>
          <w:rFonts w:ascii="Calibri" w:eastAsia="Times New Roman" w:hAnsi="Calibri" w:cs="Calibri"/>
          <w:b/>
          <w:bCs/>
          <w:lang w:eastAsia="en-GB"/>
        </w:rPr>
        <w:br/>
        <w:t>3.3 Validation of Sources</w:t>
      </w:r>
      <w:r w:rsidRPr="008C6ECD">
        <w:rPr>
          <w:rFonts w:ascii="Calibri" w:eastAsia="Times New Roman" w:hAnsi="Calibri" w:cs="Calibri"/>
          <w:b/>
          <w:bCs/>
          <w:lang w:eastAsia="en-GB"/>
        </w:rPr>
        <w:br/>
        <w:t>3.4 Thematic Coding</w:t>
      </w:r>
      <w:r w:rsidRPr="008C6ECD">
        <w:rPr>
          <w:rFonts w:ascii="Calibri" w:eastAsia="Times New Roman" w:hAnsi="Calibri" w:cs="Calibri"/>
          <w:b/>
          <w:bCs/>
          <w:lang w:eastAsia="en-GB"/>
        </w:rPr>
        <w:br/>
        <w:t>3.5 Ethical Considerations</w:t>
      </w:r>
      <w:r w:rsidRPr="008C6ECD">
        <w:rPr>
          <w:rFonts w:ascii="Calibri" w:eastAsia="Times New Roman" w:hAnsi="Calibri" w:cs="Calibri"/>
          <w:b/>
          <w:bCs/>
          <w:lang w:eastAsia="en-GB"/>
        </w:rPr>
        <w:br/>
        <w:t>3.6 Summary</w:t>
      </w:r>
    </w:p>
    <w:p w14:paraId="695027EF" w14:textId="0CF5E4C1" w:rsidR="0006046B" w:rsidRDefault="008C6ECD" w:rsidP="008C6ECD">
      <w:pPr>
        <w:pStyle w:val="ListParagraph"/>
        <w:spacing w:after="0"/>
        <w:rPr>
          <w:rFonts w:ascii="Calibri" w:eastAsia="Times New Roman" w:hAnsi="Calibri" w:cs="Calibri"/>
          <w:b/>
          <w:bCs/>
          <w:lang w:eastAsia="en-GB"/>
        </w:rPr>
      </w:pPr>
      <w:r w:rsidRPr="008C6ECD">
        <w:rPr>
          <w:rFonts w:ascii="Calibri" w:eastAsia="Times New Roman" w:hAnsi="Calibri" w:cs="Calibri"/>
          <w:b/>
          <w:bCs/>
          <w:lang w:eastAsia="en-GB"/>
        </w:rPr>
        <w:t>Chapter 4: Findings and Discussion</w:t>
      </w:r>
      <w:r w:rsidRPr="008C6ECD">
        <w:rPr>
          <w:rFonts w:ascii="Calibri" w:eastAsia="Times New Roman" w:hAnsi="Calibri" w:cs="Calibri"/>
          <w:b/>
          <w:bCs/>
          <w:lang w:eastAsia="en-GB"/>
        </w:rPr>
        <w:br/>
        <w:t>4.1 Introduction</w:t>
      </w:r>
      <w:r w:rsidRPr="008C6ECD">
        <w:rPr>
          <w:rFonts w:ascii="Calibri" w:eastAsia="Times New Roman" w:hAnsi="Calibri" w:cs="Calibri"/>
          <w:b/>
          <w:bCs/>
          <w:lang w:eastAsia="en-GB"/>
        </w:rPr>
        <w:br/>
        <w:t>4.2 Thematic Analysis</w:t>
      </w:r>
      <w:r w:rsidRPr="008C6ECD">
        <w:rPr>
          <w:rFonts w:ascii="Calibri" w:eastAsia="Times New Roman" w:hAnsi="Calibri" w:cs="Calibri"/>
          <w:b/>
          <w:bCs/>
          <w:lang w:eastAsia="en-GB"/>
        </w:rPr>
        <w:br/>
        <w:t>4.3 Mental Health Challenges</w:t>
      </w:r>
      <w:r w:rsidRPr="008C6ECD">
        <w:rPr>
          <w:rFonts w:ascii="Calibri" w:eastAsia="Times New Roman" w:hAnsi="Calibri" w:cs="Calibri"/>
          <w:b/>
          <w:bCs/>
          <w:lang w:eastAsia="en-GB"/>
        </w:rPr>
        <w:br/>
        <w:t>4.4 Coping Mechanisms</w:t>
      </w:r>
      <w:r w:rsidRPr="008C6ECD">
        <w:rPr>
          <w:rFonts w:ascii="Calibri" w:eastAsia="Times New Roman" w:hAnsi="Calibri" w:cs="Calibri"/>
          <w:b/>
          <w:bCs/>
          <w:lang w:eastAsia="en-GB"/>
        </w:rPr>
        <w:br/>
        <w:t>4.5 Institutional Support</w:t>
      </w:r>
      <w:r w:rsidRPr="008C6ECD">
        <w:rPr>
          <w:rFonts w:ascii="Calibri" w:eastAsia="Times New Roman" w:hAnsi="Calibri" w:cs="Calibri"/>
          <w:b/>
          <w:bCs/>
          <w:lang w:eastAsia="en-GB"/>
        </w:rPr>
        <w:br/>
        <w:t>4.6 Conclusion</w:t>
      </w:r>
    </w:p>
    <w:p w14:paraId="46808429" w14:textId="77777777" w:rsidR="008C6ECD" w:rsidRDefault="008C6ECD" w:rsidP="008C6ECD">
      <w:pPr>
        <w:pStyle w:val="ListParagraph"/>
        <w:spacing w:after="0"/>
        <w:rPr>
          <w:rFonts w:ascii="Calibri" w:eastAsia="Times New Roman" w:hAnsi="Calibri" w:cs="Calibri"/>
          <w:b/>
          <w:bCs/>
          <w:lang w:eastAsia="en-GB"/>
        </w:rPr>
      </w:pPr>
    </w:p>
    <w:p w14:paraId="58235E18" w14:textId="77777777" w:rsidR="008C6ECD" w:rsidRPr="008C6ECD" w:rsidRDefault="008C6ECD" w:rsidP="008C6ECD">
      <w:pPr>
        <w:pStyle w:val="ListParagraph"/>
        <w:spacing w:after="0"/>
        <w:rPr>
          <w:rFonts w:ascii="Calibri" w:eastAsia="Times New Roman" w:hAnsi="Calibri" w:cs="Calibri"/>
          <w:b/>
          <w:bCs/>
          <w:lang w:eastAsia="en-GB"/>
        </w:rPr>
      </w:pPr>
      <w:r w:rsidRPr="008C6ECD">
        <w:rPr>
          <w:rFonts w:ascii="Calibri" w:eastAsia="Times New Roman" w:hAnsi="Calibri" w:cs="Calibri"/>
          <w:b/>
          <w:bCs/>
          <w:lang w:eastAsia="en-GB"/>
        </w:rPr>
        <w:t>Chapter 5: Recommendations and Conclusion</w:t>
      </w:r>
      <w:r w:rsidRPr="008C6ECD">
        <w:rPr>
          <w:rFonts w:ascii="Calibri" w:eastAsia="Times New Roman" w:hAnsi="Calibri" w:cs="Calibri"/>
          <w:b/>
          <w:bCs/>
          <w:lang w:eastAsia="en-GB"/>
        </w:rPr>
        <w:br/>
        <w:t>5.1 Overall Conclusion</w:t>
      </w:r>
      <w:r w:rsidRPr="008C6ECD">
        <w:rPr>
          <w:rFonts w:ascii="Calibri" w:eastAsia="Times New Roman" w:hAnsi="Calibri" w:cs="Calibri"/>
          <w:b/>
          <w:bCs/>
          <w:lang w:eastAsia="en-GB"/>
        </w:rPr>
        <w:br/>
        <w:t>5.2 Recommendations</w:t>
      </w:r>
      <w:r w:rsidRPr="008C6ECD">
        <w:rPr>
          <w:rFonts w:ascii="Calibri" w:eastAsia="Times New Roman" w:hAnsi="Calibri" w:cs="Calibri"/>
          <w:b/>
          <w:bCs/>
          <w:lang w:eastAsia="en-GB"/>
        </w:rPr>
        <w:br/>
        <w:t>5.3 Limitations</w:t>
      </w:r>
      <w:r w:rsidRPr="008C6ECD">
        <w:rPr>
          <w:rFonts w:ascii="Calibri" w:eastAsia="Times New Roman" w:hAnsi="Calibri" w:cs="Calibri"/>
          <w:b/>
          <w:bCs/>
          <w:lang w:eastAsia="en-GB"/>
        </w:rPr>
        <w:br/>
        <w:t>5.4 Future Research</w:t>
      </w:r>
    </w:p>
    <w:p w14:paraId="5FDDA837" w14:textId="77777777" w:rsidR="008C6ECD" w:rsidRPr="008C6ECD" w:rsidRDefault="008C6ECD" w:rsidP="008C6ECD">
      <w:pPr>
        <w:pStyle w:val="ListParagraph"/>
        <w:spacing w:after="0"/>
        <w:rPr>
          <w:rFonts w:ascii="Calibri" w:eastAsia="Times New Roman" w:hAnsi="Calibri" w:cs="Calibri"/>
          <w:b/>
          <w:bCs/>
          <w:lang w:eastAsia="en-GB"/>
        </w:rPr>
      </w:pPr>
      <w:r w:rsidRPr="008C6ECD">
        <w:rPr>
          <w:rFonts w:ascii="Calibri" w:eastAsia="Times New Roman" w:hAnsi="Calibri" w:cs="Calibri"/>
          <w:b/>
          <w:bCs/>
          <w:lang w:eastAsia="en-GB"/>
        </w:rPr>
        <w:t>References</w:t>
      </w:r>
    </w:p>
    <w:p w14:paraId="12FFE41B" w14:textId="77777777" w:rsidR="008C6ECD" w:rsidRPr="008C6ECD" w:rsidRDefault="008C6ECD" w:rsidP="008C6ECD">
      <w:pPr>
        <w:pStyle w:val="ListParagraph"/>
        <w:spacing w:after="0"/>
        <w:rPr>
          <w:rFonts w:ascii="Calibri" w:eastAsia="Times New Roman" w:hAnsi="Calibri" w:cs="Calibri"/>
          <w:b/>
          <w:bCs/>
          <w:lang w:eastAsia="en-GB"/>
        </w:rPr>
      </w:pPr>
    </w:p>
    <w:p w14:paraId="0D824C38" w14:textId="5CCEBF61" w:rsidR="008C6ECD" w:rsidRDefault="008C6ECD" w:rsidP="0090505E">
      <w:pPr>
        <w:spacing w:line="360" w:lineRule="auto"/>
        <w:rPr>
          <w:rFonts w:ascii="Calibri" w:hAnsi="Calibri" w:cs="Calibri"/>
          <w:b/>
          <w:bCs/>
          <w:sz w:val="28"/>
          <w:szCs w:val="28"/>
        </w:rPr>
      </w:pPr>
    </w:p>
    <w:p w14:paraId="71D97A11" w14:textId="2C3AF22C" w:rsidR="00E50159" w:rsidRDefault="00E50159" w:rsidP="0090505E">
      <w:pPr>
        <w:spacing w:line="360" w:lineRule="auto"/>
        <w:rPr>
          <w:rFonts w:ascii="Calibri" w:hAnsi="Calibri" w:cs="Calibri"/>
          <w:b/>
          <w:bCs/>
          <w:sz w:val="28"/>
          <w:szCs w:val="28"/>
        </w:rPr>
      </w:pPr>
    </w:p>
    <w:p w14:paraId="0A665FC7" w14:textId="0D53712C" w:rsidR="00E50159" w:rsidRDefault="00E50159" w:rsidP="0090505E">
      <w:pPr>
        <w:spacing w:line="360" w:lineRule="auto"/>
        <w:rPr>
          <w:rFonts w:ascii="Calibri" w:hAnsi="Calibri" w:cs="Calibri"/>
          <w:b/>
          <w:bCs/>
          <w:sz w:val="28"/>
          <w:szCs w:val="28"/>
        </w:rPr>
      </w:pPr>
    </w:p>
    <w:p w14:paraId="2EBF3D1D" w14:textId="0A4AF6C3" w:rsidR="007E3C93" w:rsidRDefault="00B75A0D" w:rsidP="0090505E">
      <w:pPr>
        <w:spacing w:line="360" w:lineRule="auto"/>
        <w:rPr>
          <w:rFonts w:ascii="Calibri" w:hAnsi="Calibri" w:cs="Calibri"/>
          <w:b/>
          <w:bCs/>
          <w:sz w:val="28"/>
          <w:szCs w:val="28"/>
        </w:rPr>
      </w:pPr>
      <w:r w:rsidRPr="00640CAD">
        <w:rPr>
          <w:rFonts w:ascii="Calibri" w:hAnsi="Calibri" w:cs="Calibri"/>
          <w:b/>
          <w:bCs/>
          <w:sz w:val="28"/>
          <w:szCs w:val="28"/>
        </w:rPr>
        <w:lastRenderedPageBreak/>
        <w:t>Chapter 1:</w:t>
      </w:r>
    </w:p>
    <w:p w14:paraId="7FA3F22C" w14:textId="1BAC820E" w:rsidR="00E50159" w:rsidRPr="00E50159" w:rsidRDefault="00E50159" w:rsidP="00E50159">
      <w:pPr>
        <w:spacing w:line="360" w:lineRule="auto"/>
        <w:rPr>
          <w:rFonts w:ascii="Calibri" w:hAnsi="Calibri" w:cs="Calibri"/>
          <w:sz w:val="28"/>
          <w:szCs w:val="28"/>
        </w:rPr>
      </w:pPr>
      <w:r w:rsidRPr="00E50159">
        <w:rPr>
          <w:rFonts w:ascii="Calibri" w:hAnsi="Calibri" w:cs="Calibri"/>
          <w:sz w:val="28"/>
          <w:szCs w:val="28"/>
        </w:rPr>
        <w:t>1.1 Introduction</w:t>
      </w:r>
    </w:p>
    <w:p w14:paraId="4F8E81F6" w14:textId="6EED83CB" w:rsidR="00E50159" w:rsidRDefault="00E50159" w:rsidP="00E50159">
      <w:pPr>
        <w:spacing w:line="360" w:lineRule="auto"/>
        <w:rPr>
          <w:rFonts w:ascii="Calibri" w:hAnsi="Calibri" w:cs="Calibri"/>
          <w:sz w:val="24"/>
          <w:szCs w:val="24"/>
        </w:rPr>
      </w:pPr>
      <w:r w:rsidRPr="00E50159">
        <w:rPr>
          <w:rFonts w:ascii="Calibri" w:hAnsi="Calibri" w:cs="Calibri"/>
          <w:sz w:val="24"/>
          <w:szCs w:val="24"/>
        </w:rPr>
        <w:t>The COVID</w:t>
      </w:r>
      <w:r w:rsidRPr="00E50159">
        <w:rPr>
          <w:rFonts w:ascii="Calibri" w:hAnsi="Calibri" w:cs="Calibri"/>
          <w:sz w:val="24"/>
          <w:szCs w:val="24"/>
        </w:rPr>
        <w:noBreakHyphen/>
        <w:t>19 pandemic profoundly disrupted global healthcare systems and placed extraordinary physical and psychological demands on healthcare workers (HCWs). As frontline responders, HCWs were required to manage rapidly increasing patient numbers, adapt to evolving clinical guidelines, and work in environments characterised by uncertainty, risk, and emotional intensity. These pressures contributed to widespread mental health challenges, including stress, anxiety, depression, burnout, and post</w:t>
      </w:r>
      <w:r w:rsidRPr="00E50159">
        <w:rPr>
          <w:rFonts w:ascii="Calibri" w:hAnsi="Calibri" w:cs="Calibri"/>
          <w:sz w:val="24"/>
          <w:szCs w:val="24"/>
        </w:rPr>
        <w:noBreakHyphen/>
        <w:t>traumatic stress disorder (PTSD). The pandemic also exposed long</w:t>
      </w:r>
      <w:r w:rsidRPr="00E50159">
        <w:rPr>
          <w:rFonts w:ascii="Calibri" w:hAnsi="Calibri" w:cs="Calibri"/>
          <w:sz w:val="24"/>
          <w:szCs w:val="24"/>
        </w:rPr>
        <w:noBreakHyphen/>
        <w:t>standing structural issues within healthcare systems, such as staff shortages, inadequate resources, and limited access to psychological support.</w:t>
      </w:r>
    </w:p>
    <w:p w14:paraId="788B5274"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Understanding how HCWs experienced and coped with these challenges is essential for improving workforce resilience, informing future crisis planning, and ensuring the sustainability of healthcare services. This dissertation examines the mental health impact of COVID</w:t>
      </w:r>
      <w:r w:rsidRPr="00D32263">
        <w:rPr>
          <w:rFonts w:ascii="Calibri" w:hAnsi="Calibri" w:cs="Calibri"/>
          <w:sz w:val="24"/>
          <w:szCs w:val="24"/>
        </w:rPr>
        <w:noBreakHyphen/>
        <w:t>19 on HCWs, explores the coping mechanisms they employed, and evaluates the effectiveness of institutional support systems.</w:t>
      </w:r>
    </w:p>
    <w:p w14:paraId="13E72FA5"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1.2 Definitions and Terminology</w:t>
      </w:r>
    </w:p>
    <w:p w14:paraId="271B7807"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Mental Health:</w:t>
      </w:r>
      <w:r w:rsidRPr="00D32263">
        <w:rPr>
          <w:rFonts w:ascii="Calibri" w:hAnsi="Calibri" w:cs="Calibri"/>
          <w:sz w:val="24"/>
          <w:szCs w:val="24"/>
        </w:rPr>
        <w:br/>
        <w:t>The World Health Organization (2022) defines mental health as “a state of mental well</w:t>
      </w:r>
      <w:r w:rsidRPr="00D32263">
        <w:rPr>
          <w:rFonts w:ascii="Calibri" w:hAnsi="Calibri" w:cs="Calibri"/>
          <w:sz w:val="24"/>
          <w:szCs w:val="24"/>
        </w:rPr>
        <w:noBreakHyphen/>
        <w:t>being that enables people to cope with the stresses of life, realise their abilities, learn well and work well, and contribute to their community.”</w:t>
      </w:r>
    </w:p>
    <w:p w14:paraId="63D86907"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Coping Mechanisms:</w:t>
      </w:r>
      <w:r w:rsidRPr="00D32263">
        <w:rPr>
          <w:rFonts w:ascii="Calibri" w:hAnsi="Calibri" w:cs="Calibri"/>
          <w:sz w:val="24"/>
          <w:szCs w:val="24"/>
        </w:rPr>
        <w:br/>
        <w:t>The NHS (2023) describes coping mechanisms as the thoughts and behaviours individuals use to manage the internal and external demands of stressful situations. These may include social support, mindfulness, problem</w:t>
      </w:r>
      <w:r w:rsidRPr="00D32263">
        <w:rPr>
          <w:rFonts w:ascii="Calibri" w:hAnsi="Calibri" w:cs="Calibri"/>
          <w:sz w:val="24"/>
          <w:szCs w:val="24"/>
        </w:rPr>
        <w:noBreakHyphen/>
        <w:t>solving, or emotional regulation.</w:t>
      </w:r>
    </w:p>
    <w:p w14:paraId="00420C23"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Healthcare Worker (HCW):</w:t>
      </w:r>
      <w:r w:rsidRPr="00D32263">
        <w:rPr>
          <w:rFonts w:ascii="Calibri" w:hAnsi="Calibri" w:cs="Calibri"/>
          <w:sz w:val="24"/>
          <w:szCs w:val="24"/>
        </w:rPr>
        <w:br/>
        <w:t>The WHO (2020) defines HCWs as “all people engaged in actions whose primary intent is to enhance health,” including nurses, doctors, allied health professionals, and support staff.</w:t>
      </w:r>
    </w:p>
    <w:p w14:paraId="00D83EFC"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These definitions provide conceptual clarity for examining HCWs’ mental health experiences during the pandemic.</w:t>
      </w:r>
    </w:p>
    <w:p w14:paraId="02F4F9BB"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lastRenderedPageBreak/>
        <w:t>1.3 Rationale for Research</w:t>
      </w:r>
    </w:p>
    <w:p w14:paraId="0B1D34EB"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HCWs were at heightened risk of psychological distress during COVID</w:t>
      </w:r>
      <w:r w:rsidRPr="00D32263">
        <w:rPr>
          <w:rFonts w:ascii="Calibri" w:hAnsi="Calibri" w:cs="Calibri"/>
          <w:sz w:val="24"/>
          <w:szCs w:val="24"/>
        </w:rPr>
        <w:noBreakHyphen/>
        <w:t>19 due to the emotional intensity of their roles, exposure to trauma, and increased workloads. Research consistently shows elevated levels of anxiety, depression, and burnout among HCWs worldwide (Lai et al., 2020; Cabarkapa et al., 2020). Investigating these experiences is important for several reasons:</w:t>
      </w:r>
    </w:p>
    <w:p w14:paraId="7A83DA16" w14:textId="77777777" w:rsidR="00D32263" w:rsidRPr="00D32263" w:rsidRDefault="00D32263">
      <w:pPr>
        <w:numPr>
          <w:ilvl w:val="0"/>
          <w:numId w:val="1"/>
        </w:numPr>
        <w:spacing w:line="360" w:lineRule="auto"/>
        <w:rPr>
          <w:rFonts w:ascii="Calibri" w:hAnsi="Calibri" w:cs="Calibri"/>
          <w:sz w:val="24"/>
          <w:szCs w:val="24"/>
        </w:rPr>
      </w:pPr>
      <w:r w:rsidRPr="00D32263">
        <w:rPr>
          <w:rFonts w:ascii="Calibri" w:hAnsi="Calibri" w:cs="Calibri"/>
          <w:b/>
          <w:bCs/>
          <w:sz w:val="24"/>
          <w:szCs w:val="24"/>
        </w:rPr>
        <w:t>Workforce sustainability:</w:t>
      </w:r>
      <w:r w:rsidRPr="00D32263">
        <w:rPr>
          <w:rFonts w:ascii="Calibri" w:hAnsi="Calibri" w:cs="Calibri"/>
          <w:sz w:val="24"/>
          <w:szCs w:val="24"/>
        </w:rPr>
        <w:t xml:space="preserve"> Supporting HCWs’ mental health reduces burnout and improves retention.</w:t>
      </w:r>
    </w:p>
    <w:p w14:paraId="2F52701A" w14:textId="77777777" w:rsidR="00D32263" w:rsidRPr="00D32263" w:rsidRDefault="00D32263">
      <w:pPr>
        <w:numPr>
          <w:ilvl w:val="0"/>
          <w:numId w:val="1"/>
        </w:numPr>
        <w:spacing w:line="360" w:lineRule="auto"/>
        <w:rPr>
          <w:rFonts w:ascii="Calibri" w:hAnsi="Calibri" w:cs="Calibri"/>
          <w:sz w:val="24"/>
          <w:szCs w:val="24"/>
        </w:rPr>
      </w:pPr>
      <w:r w:rsidRPr="00D32263">
        <w:rPr>
          <w:rFonts w:ascii="Calibri" w:hAnsi="Calibri" w:cs="Calibri"/>
          <w:b/>
          <w:bCs/>
          <w:sz w:val="24"/>
          <w:szCs w:val="24"/>
        </w:rPr>
        <w:t>Quality of care:</w:t>
      </w:r>
      <w:r w:rsidRPr="00D32263">
        <w:rPr>
          <w:rFonts w:ascii="Calibri" w:hAnsi="Calibri" w:cs="Calibri"/>
          <w:sz w:val="24"/>
          <w:szCs w:val="24"/>
        </w:rPr>
        <w:t xml:space="preserve"> Mentally healthy staff provide safer, more effective care (Greenberg et al., 2020).</w:t>
      </w:r>
    </w:p>
    <w:p w14:paraId="08A35237" w14:textId="77777777" w:rsidR="00D32263" w:rsidRPr="00D32263" w:rsidRDefault="00D32263">
      <w:pPr>
        <w:numPr>
          <w:ilvl w:val="0"/>
          <w:numId w:val="1"/>
        </w:numPr>
        <w:spacing w:line="360" w:lineRule="auto"/>
        <w:rPr>
          <w:rFonts w:ascii="Calibri" w:hAnsi="Calibri" w:cs="Calibri"/>
          <w:sz w:val="24"/>
          <w:szCs w:val="24"/>
        </w:rPr>
      </w:pPr>
      <w:r w:rsidRPr="00D32263">
        <w:rPr>
          <w:rFonts w:ascii="Calibri" w:hAnsi="Calibri" w:cs="Calibri"/>
          <w:b/>
          <w:bCs/>
          <w:sz w:val="24"/>
          <w:szCs w:val="24"/>
        </w:rPr>
        <w:t>Future preparedness:</w:t>
      </w:r>
      <w:r w:rsidRPr="00D32263">
        <w:rPr>
          <w:rFonts w:ascii="Calibri" w:hAnsi="Calibri" w:cs="Calibri"/>
          <w:sz w:val="24"/>
          <w:szCs w:val="24"/>
        </w:rPr>
        <w:t xml:space="preserve"> Understanding coping strategies and institutional responses can inform future crisis planning (Shaukat et al., 2020).</w:t>
      </w:r>
    </w:p>
    <w:p w14:paraId="7C95C75E"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1.4 Aim and Objectives</w:t>
      </w:r>
    </w:p>
    <w:p w14:paraId="190E549E"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Aim:</w:t>
      </w:r>
      <w:r w:rsidRPr="00D32263">
        <w:rPr>
          <w:rFonts w:ascii="Calibri" w:hAnsi="Calibri" w:cs="Calibri"/>
          <w:sz w:val="24"/>
          <w:szCs w:val="24"/>
        </w:rPr>
        <w:br/>
        <w:t>To investigate the effects of the COVID</w:t>
      </w:r>
      <w:r w:rsidRPr="00D32263">
        <w:rPr>
          <w:rFonts w:ascii="Calibri" w:hAnsi="Calibri" w:cs="Calibri"/>
          <w:sz w:val="24"/>
          <w:szCs w:val="24"/>
        </w:rPr>
        <w:noBreakHyphen/>
        <w:t>19 pandemic on the mental health and coping mechanisms of healthcare workers, evaluating existing literature and offering recommendations for improved institutional support systems.</w:t>
      </w:r>
    </w:p>
    <w:p w14:paraId="55D0E16D"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Objectives:</w:t>
      </w:r>
    </w:p>
    <w:p w14:paraId="4964FCFF" w14:textId="77777777" w:rsidR="00D32263" w:rsidRPr="00D32263" w:rsidRDefault="00D32263">
      <w:pPr>
        <w:numPr>
          <w:ilvl w:val="0"/>
          <w:numId w:val="2"/>
        </w:numPr>
        <w:spacing w:line="360" w:lineRule="auto"/>
        <w:rPr>
          <w:rFonts w:ascii="Calibri" w:hAnsi="Calibri" w:cs="Calibri"/>
          <w:sz w:val="24"/>
          <w:szCs w:val="24"/>
        </w:rPr>
      </w:pPr>
      <w:r w:rsidRPr="00D32263">
        <w:rPr>
          <w:rFonts w:ascii="Calibri" w:hAnsi="Calibri" w:cs="Calibri"/>
          <w:sz w:val="24"/>
          <w:szCs w:val="24"/>
        </w:rPr>
        <w:t>To explore the specific mental health issues and coping mechanisms experienced by HCWs during the pandemic.</w:t>
      </w:r>
    </w:p>
    <w:p w14:paraId="424A99C7" w14:textId="77777777" w:rsidR="00D32263" w:rsidRPr="00D32263" w:rsidRDefault="00D32263">
      <w:pPr>
        <w:numPr>
          <w:ilvl w:val="0"/>
          <w:numId w:val="2"/>
        </w:numPr>
        <w:spacing w:line="360" w:lineRule="auto"/>
        <w:rPr>
          <w:rFonts w:ascii="Calibri" w:hAnsi="Calibri" w:cs="Calibri"/>
          <w:sz w:val="24"/>
          <w:szCs w:val="24"/>
        </w:rPr>
      </w:pPr>
      <w:r w:rsidRPr="00D32263">
        <w:rPr>
          <w:rFonts w:ascii="Calibri" w:hAnsi="Calibri" w:cs="Calibri"/>
          <w:sz w:val="24"/>
          <w:szCs w:val="24"/>
        </w:rPr>
        <w:t>To conduct a systematic review of existing studies to identify recurring themes and findings.</w:t>
      </w:r>
    </w:p>
    <w:p w14:paraId="42FA4AA6" w14:textId="77777777" w:rsidR="00D32263" w:rsidRPr="00D32263" w:rsidRDefault="00D32263">
      <w:pPr>
        <w:numPr>
          <w:ilvl w:val="0"/>
          <w:numId w:val="2"/>
        </w:numPr>
        <w:spacing w:line="360" w:lineRule="auto"/>
        <w:rPr>
          <w:rFonts w:ascii="Calibri" w:hAnsi="Calibri" w:cs="Calibri"/>
          <w:sz w:val="24"/>
          <w:szCs w:val="24"/>
        </w:rPr>
      </w:pPr>
      <w:r w:rsidRPr="00D32263">
        <w:rPr>
          <w:rFonts w:ascii="Calibri" w:hAnsi="Calibri" w:cs="Calibri"/>
          <w:sz w:val="24"/>
          <w:szCs w:val="24"/>
        </w:rPr>
        <w:t>To assess the effectiveness of coping strategies used by HCWs.</w:t>
      </w:r>
    </w:p>
    <w:p w14:paraId="170E969A" w14:textId="77777777" w:rsidR="00D32263" w:rsidRPr="00D32263" w:rsidRDefault="00D32263">
      <w:pPr>
        <w:numPr>
          <w:ilvl w:val="0"/>
          <w:numId w:val="2"/>
        </w:numPr>
        <w:spacing w:line="360" w:lineRule="auto"/>
        <w:rPr>
          <w:rFonts w:ascii="Calibri" w:hAnsi="Calibri" w:cs="Calibri"/>
          <w:sz w:val="24"/>
          <w:szCs w:val="24"/>
        </w:rPr>
      </w:pPr>
      <w:r w:rsidRPr="00D32263">
        <w:rPr>
          <w:rFonts w:ascii="Calibri" w:hAnsi="Calibri" w:cs="Calibri"/>
          <w:sz w:val="24"/>
          <w:szCs w:val="24"/>
        </w:rPr>
        <w:t>To propose recommendations for healthcare institutions and policymakers to strengthen mental health support.</w:t>
      </w:r>
    </w:p>
    <w:p w14:paraId="25B452AF"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Research Questions:</w:t>
      </w:r>
    </w:p>
    <w:p w14:paraId="11D4DB05" w14:textId="77777777" w:rsidR="00D32263" w:rsidRPr="00D32263" w:rsidRDefault="00D32263">
      <w:pPr>
        <w:numPr>
          <w:ilvl w:val="0"/>
          <w:numId w:val="3"/>
        </w:numPr>
        <w:spacing w:line="360" w:lineRule="auto"/>
        <w:rPr>
          <w:rFonts w:ascii="Calibri" w:hAnsi="Calibri" w:cs="Calibri"/>
          <w:sz w:val="24"/>
          <w:szCs w:val="24"/>
        </w:rPr>
      </w:pPr>
      <w:r w:rsidRPr="00D32263">
        <w:rPr>
          <w:rFonts w:ascii="Calibri" w:hAnsi="Calibri" w:cs="Calibri"/>
          <w:sz w:val="24"/>
          <w:szCs w:val="24"/>
        </w:rPr>
        <w:t>What mental health challenges did healthcare workers face during the COVID</w:t>
      </w:r>
      <w:r w:rsidRPr="00D32263">
        <w:rPr>
          <w:rFonts w:ascii="Calibri" w:hAnsi="Calibri" w:cs="Calibri"/>
          <w:sz w:val="24"/>
          <w:szCs w:val="24"/>
        </w:rPr>
        <w:noBreakHyphen/>
        <w:t>19 pandemic?</w:t>
      </w:r>
    </w:p>
    <w:p w14:paraId="2DE30152" w14:textId="77777777" w:rsidR="00D32263" w:rsidRPr="00D32263" w:rsidRDefault="00D32263">
      <w:pPr>
        <w:numPr>
          <w:ilvl w:val="0"/>
          <w:numId w:val="3"/>
        </w:numPr>
        <w:spacing w:line="360" w:lineRule="auto"/>
        <w:rPr>
          <w:rFonts w:ascii="Calibri" w:hAnsi="Calibri" w:cs="Calibri"/>
          <w:sz w:val="24"/>
          <w:szCs w:val="24"/>
        </w:rPr>
      </w:pPr>
      <w:r w:rsidRPr="00D32263">
        <w:rPr>
          <w:rFonts w:ascii="Calibri" w:hAnsi="Calibri" w:cs="Calibri"/>
          <w:sz w:val="24"/>
          <w:szCs w:val="24"/>
        </w:rPr>
        <w:t>What coping strategies did healthcare workers use during the pandemic?</w:t>
      </w:r>
    </w:p>
    <w:p w14:paraId="78B66A99" w14:textId="77777777" w:rsidR="00D32263" w:rsidRPr="00D32263" w:rsidRDefault="00D32263">
      <w:pPr>
        <w:numPr>
          <w:ilvl w:val="0"/>
          <w:numId w:val="3"/>
        </w:numPr>
        <w:spacing w:line="360" w:lineRule="auto"/>
        <w:rPr>
          <w:rFonts w:ascii="Calibri" w:hAnsi="Calibri" w:cs="Calibri"/>
          <w:sz w:val="24"/>
          <w:szCs w:val="24"/>
        </w:rPr>
      </w:pPr>
      <w:r w:rsidRPr="00D32263">
        <w:rPr>
          <w:rFonts w:ascii="Calibri" w:hAnsi="Calibri" w:cs="Calibri"/>
          <w:sz w:val="24"/>
          <w:szCs w:val="24"/>
        </w:rPr>
        <w:lastRenderedPageBreak/>
        <w:t>How effective were institutional support systems in addressing HCWs’ mental health needs?</w:t>
      </w:r>
    </w:p>
    <w:p w14:paraId="09245830"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1.5 Conclusion</w:t>
      </w:r>
    </w:p>
    <w:p w14:paraId="5257CC6E"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This chapter has introduced the context, definitions, rationale, aims, and research questions guiding this dissertation. It establishes the importance of understanding both individual coping strategies and organisational support systems. Chapter 2 now builds on this foundation by reviewing existing literature on the psychological impact of pandemics on healthcare workers.</w:t>
      </w:r>
    </w:p>
    <w:p w14:paraId="11CF27F2" w14:textId="10D40251" w:rsidR="00D32263" w:rsidRDefault="00D32263" w:rsidP="00E50159">
      <w:pPr>
        <w:spacing w:line="360" w:lineRule="auto"/>
        <w:rPr>
          <w:rFonts w:ascii="Calibri" w:hAnsi="Calibri" w:cs="Calibri"/>
          <w:sz w:val="24"/>
          <w:szCs w:val="24"/>
        </w:rPr>
      </w:pPr>
      <w:r w:rsidRPr="00D32263">
        <w:rPr>
          <w:rFonts w:ascii="Calibri" w:hAnsi="Calibri" w:cs="Calibri"/>
          <w:b/>
          <w:bCs/>
          <w:sz w:val="24"/>
          <w:szCs w:val="24"/>
        </w:rPr>
        <w:t>Chapter 2: Background Information and Analysis</w:t>
      </w:r>
    </w:p>
    <w:p w14:paraId="0D665F64"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2.1 Introduction</w:t>
      </w:r>
    </w:p>
    <w:p w14:paraId="2B6626AB" w14:textId="6375312A"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The COVID</w:t>
      </w:r>
      <w:r w:rsidRPr="00D32263">
        <w:rPr>
          <w:rFonts w:ascii="Calibri" w:hAnsi="Calibri" w:cs="Calibri"/>
          <w:sz w:val="24"/>
          <w:szCs w:val="24"/>
        </w:rPr>
        <w:noBreakHyphen/>
        <w:t>19 pandemic placed exceptional pressure on healthcare systems worldwide and exposed healthcare workers (HCWs) to significant psychological strain. HCWs were required to manage rapidly increasing patient numbers, adapt to evolving clinical guidelines, and work in environments characterised by uncertainty, risk, and emotional intensity. These conditions contributed to widespread mental health challenges, including anxiety, depression, burnout, and post</w:t>
      </w:r>
      <w:r w:rsidRPr="00D32263">
        <w:rPr>
          <w:rFonts w:ascii="Calibri" w:hAnsi="Calibri" w:cs="Calibri"/>
          <w:sz w:val="24"/>
          <w:szCs w:val="24"/>
        </w:rPr>
        <w:noBreakHyphen/>
        <w:t>traumatic stress disorder (PTSD). To understand the scale and nature of these challenges, it is essential to situate COVID</w:t>
      </w:r>
      <w:r w:rsidRPr="00D32263">
        <w:rPr>
          <w:rFonts w:ascii="Calibri" w:hAnsi="Calibri" w:cs="Calibri"/>
          <w:sz w:val="24"/>
          <w:szCs w:val="24"/>
        </w:rPr>
        <w:noBreakHyphen/>
        <w:t>19 within the broader history of pandemics, examine relevant psychological and occupational theories, and compare international and UK responses. This chapter</w:t>
      </w:r>
      <w:r>
        <w:rPr>
          <w:rFonts w:ascii="Calibri" w:hAnsi="Calibri" w:cs="Calibri"/>
          <w:sz w:val="24"/>
          <w:szCs w:val="24"/>
        </w:rPr>
        <w:t>,</w:t>
      </w:r>
      <w:r w:rsidRPr="00D32263">
        <w:rPr>
          <w:rFonts w:ascii="Calibri" w:hAnsi="Calibri" w:cs="Calibri"/>
          <w:sz w:val="24"/>
          <w:szCs w:val="24"/>
        </w:rPr>
        <w:t xml:space="preserve"> therefore</w:t>
      </w:r>
      <w:r>
        <w:rPr>
          <w:rFonts w:ascii="Calibri" w:hAnsi="Calibri" w:cs="Calibri"/>
          <w:sz w:val="24"/>
          <w:szCs w:val="24"/>
        </w:rPr>
        <w:t>,</w:t>
      </w:r>
      <w:r w:rsidRPr="00D32263">
        <w:rPr>
          <w:rFonts w:ascii="Calibri" w:hAnsi="Calibri" w:cs="Calibri"/>
          <w:sz w:val="24"/>
          <w:szCs w:val="24"/>
        </w:rPr>
        <w:t xml:space="preserve"> provides historical context, explores theoretical frameworks, analyses international evidence, and examines national and local UK developments that shaped HCWs’ experiences during the pandemic.</w:t>
      </w:r>
    </w:p>
    <w:p w14:paraId="2B830094"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2.2 Historical Background</w:t>
      </w:r>
    </w:p>
    <w:p w14:paraId="5BB9F146" w14:textId="4FB9DCE2"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Pandemics have historically placed substantial psychological burdens on HCWs. Research from previous outbreaks</w:t>
      </w:r>
      <w:r w:rsidR="00F87139">
        <w:rPr>
          <w:rFonts w:ascii="Calibri" w:hAnsi="Calibri" w:cs="Calibri"/>
          <w:sz w:val="24"/>
          <w:szCs w:val="24"/>
        </w:rPr>
        <w:t>,</w:t>
      </w:r>
      <w:r w:rsidR="00B91BAA">
        <w:rPr>
          <w:rFonts w:ascii="Calibri" w:hAnsi="Calibri" w:cs="Calibri"/>
          <w:sz w:val="24"/>
          <w:szCs w:val="24"/>
        </w:rPr>
        <w:t xml:space="preserve"> </w:t>
      </w:r>
      <w:r w:rsidRPr="00D32263">
        <w:rPr>
          <w:rFonts w:ascii="Calibri" w:hAnsi="Calibri" w:cs="Calibri"/>
          <w:sz w:val="24"/>
          <w:szCs w:val="24"/>
        </w:rPr>
        <w:t>including SARS (2003), H1N1 (2009), MERS (2012 onwards), and Ebola (2014–2016)</w:t>
      </w:r>
      <w:r w:rsidR="00F87139">
        <w:rPr>
          <w:rFonts w:ascii="Calibri" w:hAnsi="Calibri" w:cs="Calibri"/>
          <w:sz w:val="24"/>
          <w:szCs w:val="24"/>
        </w:rPr>
        <w:t>,</w:t>
      </w:r>
      <w:r w:rsidR="00B91BAA">
        <w:rPr>
          <w:rFonts w:ascii="Calibri" w:hAnsi="Calibri" w:cs="Calibri"/>
          <w:sz w:val="24"/>
          <w:szCs w:val="24"/>
        </w:rPr>
        <w:t xml:space="preserve"> </w:t>
      </w:r>
      <w:r w:rsidRPr="00D32263">
        <w:rPr>
          <w:rFonts w:ascii="Calibri" w:hAnsi="Calibri" w:cs="Calibri"/>
          <w:sz w:val="24"/>
          <w:szCs w:val="24"/>
        </w:rPr>
        <w:t>demonstrates consistent patterns of fear, trauma, and long</w:t>
      </w:r>
      <w:r w:rsidRPr="00D32263">
        <w:rPr>
          <w:rFonts w:ascii="Calibri" w:hAnsi="Calibri" w:cs="Calibri"/>
          <w:sz w:val="24"/>
          <w:szCs w:val="24"/>
        </w:rPr>
        <w:noBreakHyphen/>
        <w:t>term mental health consequences among frontline staff.</w:t>
      </w:r>
    </w:p>
    <w:p w14:paraId="0769FD86"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SARS (2003)</w:t>
      </w:r>
    </w:p>
    <w:p w14:paraId="082FB129"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The SARS outbreak in Toronto is one of the most widely studied examples of pandemic</w:t>
      </w:r>
      <w:r w:rsidRPr="00D32263">
        <w:rPr>
          <w:rFonts w:ascii="Calibri" w:hAnsi="Calibri" w:cs="Calibri"/>
          <w:sz w:val="24"/>
          <w:szCs w:val="24"/>
        </w:rPr>
        <w:noBreakHyphen/>
        <w:t xml:space="preserve">related psychological distress among HCWs. Maunder et al. (2006) found that 29% of hospital staff experienced PTSD symptoms, including insomnia, hypervigilance, and emotional withdrawal. Staff reported feeling isolated, stigmatised, and fearful of infecting their families. Wu et al. (2009) later </w:t>
      </w:r>
      <w:r w:rsidRPr="00D32263">
        <w:rPr>
          <w:rFonts w:ascii="Calibri" w:hAnsi="Calibri" w:cs="Calibri"/>
          <w:sz w:val="24"/>
          <w:szCs w:val="24"/>
        </w:rPr>
        <w:lastRenderedPageBreak/>
        <w:t>found that these psychological effects persisted for more than a year after the outbreak, demonstrating the long</w:t>
      </w:r>
      <w:r w:rsidRPr="00D32263">
        <w:rPr>
          <w:rFonts w:ascii="Calibri" w:hAnsi="Calibri" w:cs="Calibri"/>
          <w:sz w:val="24"/>
          <w:szCs w:val="24"/>
        </w:rPr>
        <w:noBreakHyphen/>
        <w:t>term consequences of pandemic</w:t>
      </w:r>
      <w:r w:rsidRPr="00D32263">
        <w:rPr>
          <w:rFonts w:ascii="Calibri" w:hAnsi="Calibri" w:cs="Calibri"/>
          <w:sz w:val="24"/>
          <w:szCs w:val="24"/>
        </w:rPr>
        <w:noBreakHyphen/>
        <w:t>related stress.</w:t>
      </w:r>
    </w:p>
    <w:p w14:paraId="2781471F"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H1N1 (2009)</w:t>
      </w:r>
    </w:p>
    <w:p w14:paraId="2592302D"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During the H1N1 influenza pandemic, Goulia et al. (2010) reported high levels of anxiety among HCWs, driven by unclear information, rapidly changing guidelines, and fear of infection. Many staff felt unprepared and inadequately protected, particularly when PPE supplies were inconsistent. These concerns closely mirror those reported during COVID</w:t>
      </w:r>
      <w:r w:rsidRPr="00D32263">
        <w:rPr>
          <w:rFonts w:ascii="Calibri" w:hAnsi="Calibri" w:cs="Calibri"/>
          <w:sz w:val="24"/>
          <w:szCs w:val="24"/>
        </w:rPr>
        <w:noBreakHyphen/>
        <w:t>19.</w:t>
      </w:r>
    </w:p>
    <w:p w14:paraId="744F05DC"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Ebola (2014–2016)</w:t>
      </w:r>
    </w:p>
    <w:p w14:paraId="16A0CF1F"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The Ebola outbreak placed extreme psychological pressure on HCWs in West Africa and high</w:t>
      </w:r>
      <w:r w:rsidRPr="00D32263">
        <w:rPr>
          <w:rFonts w:ascii="Calibri" w:hAnsi="Calibri" w:cs="Calibri"/>
          <w:sz w:val="24"/>
          <w:szCs w:val="24"/>
        </w:rPr>
        <w:noBreakHyphen/>
        <w:t>income countries. Staff reported fear of contagion, moral distress, and stigma from the public. The emotional burden of caring for critically ill patients, combined with high mortality rates, contributed to significant psychological strain.</w:t>
      </w:r>
    </w:p>
    <w:p w14:paraId="32369807"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MERS (2012 onwards)</w:t>
      </w:r>
    </w:p>
    <w:p w14:paraId="73730E1F"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South Korea’s experience with MERS led to increased awareness of HCWs’ mental health needs. Studies found that HCWs experienced anxiety, fear, and stigma, but also highlighted the importance of clear communication and strong infection control protocols in reducing distress.</w:t>
      </w:r>
    </w:p>
    <w:p w14:paraId="5B5ACE1C"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Relevance to COVID</w:t>
      </w:r>
      <w:r w:rsidRPr="00D32263">
        <w:rPr>
          <w:rFonts w:ascii="Calibri" w:hAnsi="Calibri" w:cs="Calibri"/>
          <w:b/>
          <w:bCs/>
          <w:sz w:val="24"/>
          <w:szCs w:val="24"/>
        </w:rPr>
        <w:noBreakHyphen/>
        <w:t>19</w:t>
      </w:r>
    </w:p>
    <w:p w14:paraId="45A1F438"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COVID</w:t>
      </w:r>
      <w:r w:rsidRPr="00D32263">
        <w:rPr>
          <w:rFonts w:ascii="Calibri" w:hAnsi="Calibri" w:cs="Calibri"/>
          <w:sz w:val="24"/>
          <w:szCs w:val="24"/>
        </w:rPr>
        <w:noBreakHyphen/>
        <w:t>19 intensified these issues due to its global scale, prolonged duration, and high mortality rates. Lai et al. (2020) found that more than half of HCWs in China experienced symptoms of depression and anxiety, while Rossi et al. (2020) reported high rates of PTSD among Italian HCWs. The consistency of findings across pandemics demonstrates that HCWs’ mental health challenges are not new, but COVID</w:t>
      </w:r>
      <w:r w:rsidRPr="00D32263">
        <w:rPr>
          <w:rFonts w:ascii="Calibri" w:hAnsi="Calibri" w:cs="Calibri"/>
          <w:sz w:val="24"/>
          <w:szCs w:val="24"/>
        </w:rPr>
        <w:noBreakHyphen/>
        <w:t>19 amplified them to an unprecedented level.</w:t>
      </w:r>
    </w:p>
    <w:p w14:paraId="7122DF55"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Limitations of historical research</w:t>
      </w:r>
    </w:p>
    <w:p w14:paraId="61DEBBA9" w14:textId="77777777" w:rsidR="00D32263" w:rsidRDefault="00D32263" w:rsidP="00D32263">
      <w:pPr>
        <w:spacing w:line="360" w:lineRule="auto"/>
        <w:rPr>
          <w:rFonts w:ascii="Calibri" w:hAnsi="Calibri" w:cs="Calibri"/>
          <w:sz w:val="24"/>
          <w:szCs w:val="24"/>
        </w:rPr>
      </w:pPr>
      <w:r w:rsidRPr="00D32263">
        <w:rPr>
          <w:rFonts w:ascii="Calibri" w:hAnsi="Calibri" w:cs="Calibri"/>
          <w:sz w:val="24"/>
          <w:szCs w:val="24"/>
        </w:rPr>
        <w:t>Historical studies often rely on cross</w:t>
      </w:r>
      <w:r w:rsidRPr="00D32263">
        <w:rPr>
          <w:rFonts w:ascii="Calibri" w:hAnsi="Calibri" w:cs="Calibri"/>
          <w:sz w:val="24"/>
          <w:szCs w:val="24"/>
        </w:rPr>
        <w:noBreakHyphen/>
        <w:t>sectional designs, making it difficult to track long</w:t>
      </w:r>
      <w:r w:rsidRPr="00D32263">
        <w:rPr>
          <w:rFonts w:ascii="Calibri" w:hAnsi="Calibri" w:cs="Calibri"/>
          <w:sz w:val="24"/>
          <w:szCs w:val="24"/>
        </w:rPr>
        <w:noBreakHyphen/>
        <w:t>term outcomes. Many focus primarily on doctors and nurses, overlooking support staff such as cleaners, porters, and administrative workers. These gaps highlight the need for more inclusive and longitudinal research, particularly in relation to COVID</w:t>
      </w:r>
      <w:r w:rsidRPr="00D32263">
        <w:rPr>
          <w:rFonts w:ascii="Calibri" w:hAnsi="Calibri" w:cs="Calibri"/>
          <w:sz w:val="24"/>
          <w:szCs w:val="24"/>
        </w:rPr>
        <w:noBreakHyphen/>
        <w:t>19.</w:t>
      </w:r>
    </w:p>
    <w:p w14:paraId="15A9C27F" w14:textId="77777777" w:rsidR="0029501F" w:rsidRPr="0029501F" w:rsidRDefault="0029501F" w:rsidP="0029501F">
      <w:pPr>
        <w:spacing w:line="360" w:lineRule="auto"/>
        <w:rPr>
          <w:rFonts w:ascii="Calibri" w:hAnsi="Calibri" w:cs="Calibri"/>
          <w:sz w:val="24"/>
          <w:szCs w:val="24"/>
        </w:rPr>
      </w:pPr>
      <w:r w:rsidRPr="0029501F">
        <w:rPr>
          <w:rFonts w:ascii="Calibri" w:hAnsi="Calibri" w:cs="Calibri"/>
          <w:sz w:val="24"/>
          <w:szCs w:val="24"/>
        </w:rPr>
        <w:t>Pandemics throughout history have consistently exposed healthcare workers to extreme psychological pressures, and COVID</w:t>
      </w:r>
      <w:r w:rsidRPr="0029501F">
        <w:rPr>
          <w:rFonts w:ascii="Calibri" w:hAnsi="Calibri" w:cs="Calibri"/>
          <w:sz w:val="24"/>
          <w:szCs w:val="24"/>
        </w:rPr>
        <w:noBreakHyphen/>
        <w:t>19 amplified many of these long</w:t>
      </w:r>
      <w:r w:rsidRPr="0029501F">
        <w:rPr>
          <w:rFonts w:ascii="Calibri" w:hAnsi="Calibri" w:cs="Calibri"/>
          <w:sz w:val="24"/>
          <w:szCs w:val="24"/>
        </w:rPr>
        <w:noBreakHyphen/>
        <w:t xml:space="preserve">standing patterns. During the </w:t>
      </w:r>
      <w:r w:rsidRPr="0029501F">
        <w:rPr>
          <w:rFonts w:ascii="Calibri" w:hAnsi="Calibri" w:cs="Calibri"/>
          <w:sz w:val="24"/>
          <w:szCs w:val="24"/>
        </w:rPr>
        <w:lastRenderedPageBreak/>
        <w:t>SARS outbreak in 2003, for example, healthcare workers in Toronto and Hong Kong reported intense fear of contagion, social isolation, and stigma from the public. Many described feeling “contaminated” or “dangerous,” which led to avoidance by neighbours and even family members. Maunder et al. (2006) found that these experiences contributed to long</w:t>
      </w:r>
      <w:r w:rsidRPr="0029501F">
        <w:rPr>
          <w:rFonts w:ascii="Calibri" w:hAnsi="Calibri" w:cs="Calibri"/>
          <w:sz w:val="24"/>
          <w:szCs w:val="24"/>
        </w:rPr>
        <w:noBreakHyphen/>
        <w:t>term psychological distress, with some staff continuing to experience hypervigilance and intrusive memories more than a year after the outbreak. This demonstrates that the psychological effects of pandemics can persist long after the immediate crisis has passed.</w:t>
      </w:r>
    </w:p>
    <w:p w14:paraId="2C9740EE" w14:textId="77777777" w:rsidR="0029501F" w:rsidRPr="0029501F" w:rsidRDefault="0029501F" w:rsidP="0029501F">
      <w:pPr>
        <w:spacing w:line="360" w:lineRule="auto"/>
        <w:rPr>
          <w:rFonts w:ascii="Calibri" w:hAnsi="Calibri" w:cs="Calibri"/>
          <w:sz w:val="24"/>
          <w:szCs w:val="24"/>
        </w:rPr>
      </w:pPr>
      <w:r w:rsidRPr="0029501F">
        <w:rPr>
          <w:rFonts w:ascii="Calibri" w:hAnsi="Calibri" w:cs="Calibri"/>
          <w:sz w:val="24"/>
          <w:szCs w:val="24"/>
        </w:rPr>
        <w:t>Similarly, during the H1N1 influenza pandemic in 2009, healthcare workers reported uncertainty, confusion, and frustration due to rapidly changing guidelines and inconsistent communication from leadership. Goulia et al. (2010) found that many staff felt unprepared and unsupported, which increased anxiety levels. The lack of clear information created a sense of helplessness, which is a known risk factor for psychological distress.</w:t>
      </w:r>
    </w:p>
    <w:p w14:paraId="4918A205" w14:textId="77777777" w:rsidR="0029501F" w:rsidRPr="0029501F" w:rsidRDefault="0029501F" w:rsidP="0029501F">
      <w:pPr>
        <w:spacing w:line="360" w:lineRule="auto"/>
        <w:rPr>
          <w:rFonts w:ascii="Calibri" w:hAnsi="Calibri" w:cs="Calibri"/>
          <w:sz w:val="24"/>
          <w:szCs w:val="24"/>
        </w:rPr>
      </w:pPr>
      <w:r w:rsidRPr="0029501F">
        <w:rPr>
          <w:rFonts w:ascii="Calibri" w:hAnsi="Calibri" w:cs="Calibri"/>
          <w:sz w:val="24"/>
          <w:szCs w:val="24"/>
        </w:rPr>
        <w:t>The Ebola outbreak (2014–2016) placed extreme emotional and ethical burdens on healthcare workers, particularly in West Africa. Staff were required to care for patients with a highly lethal virus while facing severe shortages of PPE, limited medical resources, and high mortality rates. Many healthcare workers witnessed traumatic scenes, including the deaths of colleagues, which contributed to moral injury and long</w:t>
      </w:r>
      <w:r w:rsidRPr="0029501F">
        <w:rPr>
          <w:rFonts w:ascii="Calibri" w:hAnsi="Calibri" w:cs="Calibri"/>
          <w:sz w:val="24"/>
          <w:szCs w:val="24"/>
        </w:rPr>
        <w:noBreakHyphen/>
        <w:t>term trauma. These experiences highlight how resource scarcity can intensify psychological strain.</w:t>
      </w:r>
    </w:p>
    <w:p w14:paraId="510C7FB8" w14:textId="77777777" w:rsidR="0029501F" w:rsidRPr="0029501F" w:rsidRDefault="0029501F" w:rsidP="0029501F">
      <w:pPr>
        <w:spacing w:line="360" w:lineRule="auto"/>
        <w:rPr>
          <w:rFonts w:ascii="Calibri" w:hAnsi="Calibri" w:cs="Calibri"/>
          <w:sz w:val="24"/>
          <w:szCs w:val="24"/>
        </w:rPr>
      </w:pPr>
      <w:r w:rsidRPr="0029501F">
        <w:rPr>
          <w:rFonts w:ascii="Calibri" w:hAnsi="Calibri" w:cs="Calibri"/>
          <w:sz w:val="24"/>
          <w:szCs w:val="24"/>
        </w:rPr>
        <w:t>The MERS outbreak in South Korea (2012 onwards) further demonstrated the importance of preparedness. Healthcare workers who had previously experienced SARS reported lower distress levels, suggesting that training, experience, and organisational readiness can mitigate psychological harm. This is particularly relevant to COVID</w:t>
      </w:r>
      <w:r w:rsidRPr="0029501F">
        <w:rPr>
          <w:rFonts w:ascii="Calibri" w:hAnsi="Calibri" w:cs="Calibri"/>
          <w:sz w:val="24"/>
          <w:szCs w:val="24"/>
        </w:rPr>
        <w:noBreakHyphen/>
        <w:t>19, where countries with stronger preparedness (e.g., South Korea) reported better mental health outcomes among staff.</w:t>
      </w:r>
    </w:p>
    <w:p w14:paraId="127ACE1A" w14:textId="6F7261A1" w:rsidR="0029501F" w:rsidRPr="00D32263" w:rsidRDefault="0029501F" w:rsidP="00D32263">
      <w:pPr>
        <w:spacing w:line="360" w:lineRule="auto"/>
        <w:rPr>
          <w:rFonts w:ascii="Calibri" w:hAnsi="Calibri" w:cs="Calibri"/>
          <w:sz w:val="24"/>
          <w:szCs w:val="24"/>
        </w:rPr>
      </w:pPr>
      <w:r w:rsidRPr="0029501F">
        <w:rPr>
          <w:rFonts w:ascii="Calibri" w:hAnsi="Calibri" w:cs="Calibri"/>
          <w:sz w:val="24"/>
          <w:szCs w:val="24"/>
        </w:rPr>
        <w:t>These historical patterns show that pandemics consistently place healthcare workers at risk of psychological harm. COVID</w:t>
      </w:r>
      <w:r w:rsidRPr="0029501F">
        <w:rPr>
          <w:rFonts w:ascii="Calibri" w:hAnsi="Calibri" w:cs="Calibri"/>
          <w:sz w:val="24"/>
          <w:szCs w:val="24"/>
        </w:rPr>
        <w:noBreakHyphen/>
        <w:t xml:space="preserve">19 did not create these </w:t>
      </w:r>
      <w:proofErr w:type="gramStart"/>
      <w:r w:rsidRPr="0029501F">
        <w:rPr>
          <w:rFonts w:ascii="Calibri" w:hAnsi="Calibri" w:cs="Calibri"/>
          <w:sz w:val="24"/>
          <w:szCs w:val="24"/>
        </w:rPr>
        <w:t>issues</w:t>
      </w:r>
      <w:r>
        <w:rPr>
          <w:rFonts w:ascii="Calibri" w:hAnsi="Calibri" w:cs="Calibri"/>
          <w:sz w:val="24"/>
          <w:szCs w:val="24"/>
        </w:rPr>
        <w:t>,</w:t>
      </w:r>
      <w:r w:rsidRPr="0029501F">
        <w:rPr>
          <w:rFonts w:ascii="Calibri" w:hAnsi="Calibri" w:cs="Calibri"/>
          <w:sz w:val="24"/>
          <w:szCs w:val="24"/>
        </w:rPr>
        <w:t xml:space="preserve"> but</w:t>
      </w:r>
      <w:proofErr w:type="gramEnd"/>
      <w:r w:rsidRPr="0029501F">
        <w:rPr>
          <w:rFonts w:ascii="Calibri" w:hAnsi="Calibri" w:cs="Calibri"/>
          <w:sz w:val="24"/>
          <w:szCs w:val="24"/>
        </w:rPr>
        <w:t xml:space="preserve"> magnified them on a global scale.</w:t>
      </w:r>
    </w:p>
    <w:p w14:paraId="71B901F7"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2.3 Theoretical Background</w:t>
      </w:r>
    </w:p>
    <w:p w14:paraId="618D5458"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Several psychological and occupational theories help explain HCWs’ experiences during pandemics. Each theory offers a different lens on stress, coping, and organisational factors.</w:t>
      </w:r>
    </w:p>
    <w:p w14:paraId="05E9984D"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b/>
          <w:bCs/>
          <w:sz w:val="24"/>
          <w:szCs w:val="24"/>
        </w:rPr>
        <w:t>Stress and Coping Theory (Lazarus &amp; Folkman, 1984)</w:t>
      </w:r>
    </w:p>
    <w:p w14:paraId="6D847DC3" w14:textId="0E6AF82C"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lastRenderedPageBreak/>
        <w:t>This theory proposes that stress arises when individuals perceive that environmental demands exceed their coping resources. HCWs during COVID</w:t>
      </w:r>
      <w:r w:rsidRPr="00D32263">
        <w:rPr>
          <w:rFonts w:ascii="Calibri" w:hAnsi="Calibri" w:cs="Calibri"/>
          <w:sz w:val="24"/>
          <w:szCs w:val="24"/>
        </w:rPr>
        <w:noBreakHyphen/>
        <w:t>19 faced intense demands</w:t>
      </w:r>
      <w:r w:rsidR="00F87139">
        <w:rPr>
          <w:rFonts w:ascii="Calibri" w:hAnsi="Calibri" w:cs="Calibri"/>
          <w:sz w:val="24"/>
          <w:szCs w:val="24"/>
        </w:rPr>
        <w:t>,</w:t>
      </w:r>
      <w:r w:rsidR="00B91BAA">
        <w:rPr>
          <w:rFonts w:ascii="Calibri" w:hAnsi="Calibri" w:cs="Calibri"/>
          <w:sz w:val="24"/>
          <w:szCs w:val="24"/>
        </w:rPr>
        <w:t xml:space="preserve"> </w:t>
      </w:r>
      <w:r w:rsidRPr="00D32263">
        <w:rPr>
          <w:rFonts w:ascii="Calibri" w:hAnsi="Calibri" w:cs="Calibri"/>
          <w:sz w:val="24"/>
          <w:szCs w:val="24"/>
        </w:rPr>
        <w:t>high patient loads, rapid clinical decisions, and constant exposure to suffering</w:t>
      </w:r>
      <w:r w:rsidR="00B91BAA">
        <w:rPr>
          <w:rFonts w:ascii="Calibri" w:hAnsi="Calibri" w:cs="Calibri"/>
          <w:sz w:val="24"/>
          <w:szCs w:val="24"/>
        </w:rPr>
        <w:t xml:space="preserve"> </w:t>
      </w:r>
      <w:r w:rsidRPr="00D32263">
        <w:rPr>
          <w:rFonts w:ascii="Calibri" w:hAnsi="Calibri" w:cs="Calibri"/>
          <w:sz w:val="24"/>
          <w:szCs w:val="24"/>
        </w:rPr>
        <w:t>while often feeling that resources such as time, PPE, and emotional support were insufficient.</w:t>
      </w:r>
    </w:p>
    <w:p w14:paraId="0ED9A019" w14:textId="77777777" w:rsidR="00D32263" w:rsidRPr="00D32263" w:rsidRDefault="00D32263" w:rsidP="00D32263">
      <w:pPr>
        <w:spacing w:line="360" w:lineRule="auto"/>
        <w:rPr>
          <w:rFonts w:ascii="Calibri" w:hAnsi="Calibri" w:cs="Calibri"/>
          <w:sz w:val="24"/>
          <w:szCs w:val="24"/>
        </w:rPr>
      </w:pPr>
      <w:r w:rsidRPr="00D32263">
        <w:rPr>
          <w:rFonts w:ascii="Calibri" w:hAnsi="Calibri" w:cs="Calibri"/>
          <w:sz w:val="24"/>
          <w:szCs w:val="24"/>
        </w:rPr>
        <w:t>The theory distinguishes between:</w:t>
      </w:r>
    </w:p>
    <w:p w14:paraId="4DDF951B" w14:textId="77777777" w:rsidR="00D32263" w:rsidRPr="00D32263" w:rsidRDefault="00D32263">
      <w:pPr>
        <w:numPr>
          <w:ilvl w:val="0"/>
          <w:numId w:val="4"/>
        </w:numPr>
        <w:spacing w:line="360" w:lineRule="auto"/>
        <w:rPr>
          <w:rFonts w:ascii="Calibri" w:hAnsi="Calibri" w:cs="Calibri"/>
          <w:sz w:val="24"/>
          <w:szCs w:val="24"/>
        </w:rPr>
      </w:pPr>
      <w:r w:rsidRPr="00D32263">
        <w:rPr>
          <w:rFonts w:ascii="Calibri" w:hAnsi="Calibri" w:cs="Calibri"/>
          <w:b/>
          <w:bCs/>
          <w:sz w:val="24"/>
          <w:szCs w:val="24"/>
        </w:rPr>
        <w:t>Problem</w:t>
      </w:r>
      <w:r w:rsidRPr="00D32263">
        <w:rPr>
          <w:rFonts w:ascii="Calibri" w:hAnsi="Calibri" w:cs="Calibri"/>
          <w:b/>
          <w:bCs/>
          <w:sz w:val="24"/>
          <w:szCs w:val="24"/>
        </w:rPr>
        <w:noBreakHyphen/>
        <w:t>focused coping</w:t>
      </w:r>
      <w:r w:rsidRPr="00D32263">
        <w:rPr>
          <w:rFonts w:ascii="Calibri" w:hAnsi="Calibri" w:cs="Calibri"/>
          <w:sz w:val="24"/>
          <w:szCs w:val="24"/>
        </w:rPr>
        <w:t xml:space="preserve"> — seeking information, improving clinical skills, reorganising tasks.</w:t>
      </w:r>
    </w:p>
    <w:p w14:paraId="1568053A" w14:textId="77777777" w:rsidR="00D32263" w:rsidRPr="00D32263" w:rsidRDefault="00D32263">
      <w:pPr>
        <w:numPr>
          <w:ilvl w:val="0"/>
          <w:numId w:val="4"/>
        </w:numPr>
        <w:spacing w:line="360" w:lineRule="auto"/>
        <w:rPr>
          <w:rFonts w:ascii="Calibri" w:hAnsi="Calibri" w:cs="Calibri"/>
          <w:sz w:val="24"/>
          <w:szCs w:val="24"/>
        </w:rPr>
      </w:pPr>
      <w:r w:rsidRPr="00D32263">
        <w:rPr>
          <w:rFonts w:ascii="Calibri" w:hAnsi="Calibri" w:cs="Calibri"/>
          <w:b/>
          <w:bCs/>
          <w:sz w:val="24"/>
          <w:szCs w:val="24"/>
        </w:rPr>
        <w:t>Emotion</w:t>
      </w:r>
      <w:r w:rsidRPr="00D32263">
        <w:rPr>
          <w:rFonts w:ascii="Calibri" w:hAnsi="Calibri" w:cs="Calibri"/>
          <w:b/>
          <w:bCs/>
          <w:sz w:val="24"/>
          <w:szCs w:val="24"/>
        </w:rPr>
        <w:noBreakHyphen/>
        <w:t>focused coping</w:t>
      </w:r>
      <w:r w:rsidRPr="00D32263">
        <w:rPr>
          <w:rFonts w:ascii="Calibri" w:hAnsi="Calibri" w:cs="Calibri"/>
          <w:sz w:val="24"/>
          <w:szCs w:val="24"/>
        </w:rPr>
        <w:t xml:space="preserve"> — mindfulness, emotional expression, social support.</w:t>
      </w:r>
    </w:p>
    <w:p w14:paraId="13DEBB2B" w14:textId="77777777" w:rsidR="00D32263" w:rsidRDefault="00D32263" w:rsidP="00D32263">
      <w:pPr>
        <w:pStyle w:val="NormalWeb"/>
        <w:ind w:left="360"/>
      </w:pPr>
      <w:r>
        <w:t>Liu et al. (2020) found that HCWs in Wuhan used both types of coping, depending on workload and emotional exhaustion. While the theory is useful for understanding individual differences, it has been criticised for focusing too heavily on personal strategies and not enough on organisational constraints.</w:t>
      </w:r>
    </w:p>
    <w:p w14:paraId="62BF0D6E" w14:textId="77777777" w:rsidR="00D32263" w:rsidRDefault="00D32263" w:rsidP="00D32263">
      <w:pPr>
        <w:pStyle w:val="NormalWeb"/>
        <w:ind w:left="360"/>
      </w:pPr>
      <w:r>
        <w:rPr>
          <w:rStyle w:val="Strong"/>
          <w:rFonts w:eastAsiaTheme="majorEastAsia"/>
        </w:rPr>
        <w:t>Conservation of Resources Theory (</w:t>
      </w:r>
      <w:proofErr w:type="spellStart"/>
      <w:r>
        <w:rPr>
          <w:rStyle w:val="Strong"/>
          <w:rFonts w:eastAsiaTheme="majorEastAsia"/>
        </w:rPr>
        <w:t>Hobfoll</w:t>
      </w:r>
      <w:proofErr w:type="spellEnd"/>
      <w:r>
        <w:rPr>
          <w:rStyle w:val="Strong"/>
          <w:rFonts w:eastAsiaTheme="majorEastAsia"/>
        </w:rPr>
        <w:t>, 1989)</w:t>
      </w:r>
    </w:p>
    <w:p w14:paraId="56731744" w14:textId="77777777" w:rsidR="00D32263" w:rsidRDefault="00D32263" w:rsidP="00D32263">
      <w:pPr>
        <w:pStyle w:val="NormalWeb"/>
        <w:ind w:left="360"/>
      </w:pPr>
      <w:r>
        <w:t>This theory argues that stress occurs when individuals lose, or fear losing, key resources such as time, energy, health, or social support. During COVID</w:t>
      </w:r>
      <w:r>
        <w:noBreakHyphen/>
        <w:t>19, HCWs experienced multiple resource losses simultaneously: reduced rest, disrupted family life, limited social contact, and, in some cases, public hostility.</w:t>
      </w:r>
    </w:p>
    <w:p w14:paraId="18507189" w14:textId="77777777" w:rsidR="00D32263" w:rsidRDefault="00D32263" w:rsidP="00D32263">
      <w:pPr>
        <w:pStyle w:val="NormalWeb"/>
        <w:ind w:left="360"/>
      </w:pPr>
      <w:r>
        <w:t>Chen et al. (2021) found that reduced rest and social contact were strongly associated with burnout among HCWs. The theory helps explain why some HCWs experienced cumulative exhaustion over time, but it is less explicit about how organisations can rebuild resources.</w:t>
      </w:r>
    </w:p>
    <w:p w14:paraId="597F89B5" w14:textId="77777777" w:rsidR="00D32263" w:rsidRPr="00D32263" w:rsidRDefault="00D32263" w:rsidP="00D32263">
      <w:pPr>
        <w:pStyle w:val="NormalWeb"/>
        <w:ind w:left="360"/>
      </w:pPr>
      <w:r w:rsidRPr="00D32263">
        <w:rPr>
          <w:b/>
          <w:bCs/>
        </w:rPr>
        <w:t>Burnout Theory (Maslach &amp; Jackson, 1981)</w:t>
      </w:r>
    </w:p>
    <w:p w14:paraId="0CD2B9BA" w14:textId="77777777" w:rsidR="00D32263" w:rsidRPr="00D32263" w:rsidRDefault="00D32263" w:rsidP="00D32263">
      <w:pPr>
        <w:pStyle w:val="NormalWeb"/>
        <w:ind w:left="360"/>
      </w:pPr>
      <w:r w:rsidRPr="00D32263">
        <w:t>Burnout is characterised by emotional exhaustion, depersonalisation, and reduced personal accomplishment. Morgantini et al. (2020) found widespread burnout among HCWs globally during COVID</w:t>
      </w:r>
      <w:r w:rsidRPr="00D32263">
        <w:noBreakHyphen/>
        <w:t>19, with resource shortages and moral injury as major contributors.</w:t>
      </w:r>
    </w:p>
    <w:p w14:paraId="0B2BC74D" w14:textId="77777777" w:rsidR="00D32263" w:rsidRPr="00D32263" w:rsidRDefault="00D32263" w:rsidP="00D32263">
      <w:pPr>
        <w:pStyle w:val="NormalWeb"/>
        <w:ind w:left="360"/>
      </w:pPr>
      <w:r w:rsidRPr="00D32263">
        <w:t>Critics argue that focusing on burnout at the individual level can imply that HCWs lack resilience, rather than highlighting systemic issues such as understaffing or inadequate leadership.</w:t>
      </w:r>
    </w:p>
    <w:p w14:paraId="29898753" w14:textId="77777777" w:rsidR="00D32263" w:rsidRPr="00D32263" w:rsidRDefault="00D32263" w:rsidP="00D32263">
      <w:pPr>
        <w:pStyle w:val="NormalWeb"/>
        <w:ind w:left="360"/>
      </w:pPr>
      <w:r w:rsidRPr="00D32263">
        <w:rPr>
          <w:b/>
          <w:bCs/>
        </w:rPr>
        <w:t>Job Demand–Control Model (Karasek, 1979)</w:t>
      </w:r>
    </w:p>
    <w:p w14:paraId="1C195764" w14:textId="0D680714" w:rsidR="00D32263" w:rsidRPr="00D32263" w:rsidRDefault="00D32263" w:rsidP="00D32263">
      <w:pPr>
        <w:pStyle w:val="NormalWeb"/>
        <w:ind w:left="360"/>
      </w:pPr>
      <w:r w:rsidRPr="00D32263">
        <w:t>This model suggests that stress is highest when job demands are high</w:t>
      </w:r>
      <w:r w:rsidR="00F87139">
        <w:t>,</w:t>
      </w:r>
      <w:r w:rsidRPr="00D32263">
        <w:t xml:space="preserve"> but workers have little control over how they meet those demands. During COVID</w:t>
      </w:r>
      <w:r w:rsidRPr="00D32263">
        <w:noBreakHyphen/>
        <w:t>19, many HCWs reported high demands combined with low control over staffing levels, PPE allocation, or clinical decisions.</w:t>
      </w:r>
    </w:p>
    <w:p w14:paraId="133A61CF" w14:textId="77777777" w:rsidR="00D32263" w:rsidRPr="00D32263" w:rsidRDefault="00D32263" w:rsidP="00D32263">
      <w:pPr>
        <w:pStyle w:val="NormalWeb"/>
        <w:ind w:left="360"/>
      </w:pPr>
      <w:r w:rsidRPr="00D32263">
        <w:t>Zhang et al. (2020) found that HCWs with limited autonomy experienced greater anxiety and distress.</w:t>
      </w:r>
    </w:p>
    <w:p w14:paraId="5F7DFFA0" w14:textId="77777777" w:rsidR="00D32263" w:rsidRPr="00D32263" w:rsidRDefault="00D32263" w:rsidP="00D32263">
      <w:pPr>
        <w:pStyle w:val="NormalWeb"/>
        <w:ind w:left="360"/>
      </w:pPr>
      <w:r w:rsidRPr="00D32263">
        <w:rPr>
          <w:b/>
          <w:bCs/>
        </w:rPr>
        <w:t>Post</w:t>
      </w:r>
      <w:r w:rsidRPr="00D32263">
        <w:rPr>
          <w:b/>
          <w:bCs/>
        </w:rPr>
        <w:noBreakHyphen/>
        <w:t>Traumatic Growth Theory (Tedeschi &amp; Calhoun, 1996)</w:t>
      </w:r>
    </w:p>
    <w:p w14:paraId="7FC47850" w14:textId="77777777" w:rsidR="00D32263" w:rsidRPr="00D32263" w:rsidRDefault="00D32263" w:rsidP="00D32263">
      <w:pPr>
        <w:pStyle w:val="NormalWeb"/>
        <w:ind w:left="360"/>
      </w:pPr>
      <w:r w:rsidRPr="00D32263">
        <w:lastRenderedPageBreak/>
        <w:t xml:space="preserve">This theory suggests that some individuals experience positive psychological changes following trauma, such as increased empathy or stronger relationships. </w:t>
      </w:r>
      <w:proofErr w:type="spellStart"/>
      <w:r w:rsidRPr="00D32263">
        <w:t>Kalaitzaki</w:t>
      </w:r>
      <w:proofErr w:type="spellEnd"/>
      <w:r w:rsidRPr="00D32263">
        <w:t xml:space="preserve"> et al. (2021) found that some HCWs reported greater appreciation for life and deeper professional commitment during COVID</w:t>
      </w:r>
      <w:r w:rsidRPr="00D32263">
        <w:noBreakHyphen/>
        <w:t>19.</w:t>
      </w:r>
    </w:p>
    <w:p w14:paraId="2F487F76" w14:textId="77777777" w:rsidR="00D32263" w:rsidRPr="00D32263" w:rsidRDefault="00D32263" w:rsidP="00D32263">
      <w:pPr>
        <w:pStyle w:val="NormalWeb"/>
        <w:ind w:left="360"/>
      </w:pPr>
      <w:r w:rsidRPr="00D32263">
        <w:t xml:space="preserve">However, not all HCWs experience growth, and some may feel pressured to appear resilient (Zoellner &amp; </w:t>
      </w:r>
      <w:proofErr w:type="spellStart"/>
      <w:r w:rsidRPr="00D32263">
        <w:t>Maercker</w:t>
      </w:r>
      <w:proofErr w:type="spellEnd"/>
      <w:r w:rsidRPr="00D32263">
        <w:t>, 2006).</w:t>
      </w:r>
    </w:p>
    <w:p w14:paraId="0B4EA903" w14:textId="77777777" w:rsidR="00D32263" w:rsidRPr="00D32263" w:rsidRDefault="00D32263" w:rsidP="00D32263">
      <w:pPr>
        <w:pStyle w:val="NormalWeb"/>
        <w:ind w:left="360"/>
      </w:pPr>
      <w:r w:rsidRPr="00D32263">
        <w:rPr>
          <w:b/>
          <w:bCs/>
        </w:rPr>
        <w:t>Critical comparison of theories</w:t>
      </w:r>
    </w:p>
    <w:p w14:paraId="63B69514" w14:textId="77777777" w:rsidR="00D32263" w:rsidRPr="00D32263" w:rsidRDefault="00D32263" w:rsidP="00D32263">
      <w:pPr>
        <w:pStyle w:val="NormalWeb"/>
        <w:ind w:left="360"/>
      </w:pPr>
      <w:r w:rsidRPr="00D32263">
        <w:t>Each theory illuminates different aspects of HCWs’ experiences:</w:t>
      </w:r>
    </w:p>
    <w:p w14:paraId="6E821AEC" w14:textId="77777777" w:rsidR="00D32263" w:rsidRPr="00D32263" w:rsidRDefault="00D32263">
      <w:pPr>
        <w:pStyle w:val="NormalWeb"/>
        <w:numPr>
          <w:ilvl w:val="0"/>
          <w:numId w:val="5"/>
        </w:numPr>
      </w:pPr>
      <w:r w:rsidRPr="00D32263">
        <w:t>Stress and Coping Theory and COR Theory focus on individual appraisal and resources.</w:t>
      </w:r>
    </w:p>
    <w:p w14:paraId="104FB6D7" w14:textId="77777777" w:rsidR="00D32263" w:rsidRPr="00D32263" w:rsidRDefault="00D32263">
      <w:pPr>
        <w:pStyle w:val="NormalWeb"/>
        <w:numPr>
          <w:ilvl w:val="0"/>
          <w:numId w:val="5"/>
        </w:numPr>
      </w:pPr>
      <w:r w:rsidRPr="00D32263">
        <w:t>Burnout Theory and the Job Demand–Control Model highlight workload and organisational structures.</w:t>
      </w:r>
    </w:p>
    <w:p w14:paraId="5D26072F" w14:textId="77777777" w:rsidR="00D32263" w:rsidRPr="00D32263" w:rsidRDefault="00D32263">
      <w:pPr>
        <w:pStyle w:val="NormalWeb"/>
        <w:numPr>
          <w:ilvl w:val="0"/>
          <w:numId w:val="5"/>
        </w:numPr>
      </w:pPr>
      <w:r w:rsidRPr="00D32263">
        <w:t>PTG Theory introduces the possibility of positive change but risks minimising distress.</w:t>
      </w:r>
    </w:p>
    <w:p w14:paraId="02667496" w14:textId="3F52E0D8" w:rsidR="00D32263" w:rsidRDefault="00D32263" w:rsidP="00D32263">
      <w:pPr>
        <w:pStyle w:val="NormalWeb"/>
        <w:ind w:left="360"/>
      </w:pPr>
      <w:r w:rsidRPr="00D32263">
        <w:t>Recent UK research emphasises organisational responsibility. Kinman and Teoh (2021) argue that workplace culture and leadership have a greater impact on burnout than individual resilience. West and Coia (2022) highlight the importance of psychological safety and compassionate leadership.</w:t>
      </w:r>
    </w:p>
    <w:p w14:paraId="26E4489C" w14:textId="77777777" w:rsidR="00454AEC" w:rsidRPr="00454AEC" w:rsidRDefault="00454AEC" w:rsidP="00454AEC">
      <w:pPr>
        <w:pStyle w:val="NormalWeb"/>
        <w:ind w:left="360"/>
      </w:pPr>
      <w:r w:rsidRPr="00454AEC">
        <w:t>Theoretical frameworks provide valuable insight into why healthcare workers experienced such intense psychological strain during COVID</w:t>
      </w:r>
      <w:r w:rsidRPr="00454AEC">
        <w:noBreakHyphen/>
        <w:t>19. Stress and Coping Theory (Lazarus &amp; Folkman, 1984) is particularly relevant because it emphasises the role of cognitive appraisal. Healthcare workers constantly assessed risks, such as the likelihood of infection, the adequacy of PPE, and the emotional demands of caring for critically ill patients. When these demands were perceived as exceeding available resources, stress increased. This theory helps explain why staff with limited PPE or unclear guidance experienced higher anxiety levels.</w:t>
      </w:r>
    </w:p>
    <w:p w14:paraId="1EC24C42" w14:textId="21368376" w:rsidR="00454AEC" w:rsidRPr="00454AEC" w:rsidRDefault="00454AEC" w:rsidP="00454AEC">
      <w:pPr>
        <w:pStyle w:val="NormalWeb"/>
        <w:ind w:left="360"/>
      </w:pPr>
      <w:r w:rsidRPr="00454AEC">
        <w:t>Conservation of Resources Theory (</w:t>
      </w:r>
      <w:proofErr w:type="spellStart"/>
      <w:r w:rsidRPr="00454AEC">
        <w:t>Hobfoll</w:t>
      </w:r>
      <w:proofErr w:type="spellEnd"/>
      <w:r w:rsidRPr="00454AEC">
        <w:t>, 1989) adds another layer by highlighting how resource loss contributes to stress. During COVID</w:t>
      </w:r>
      <w:r w:rsidRPr="00454AEC">
        <w:noBreakHyphen/>
        <w:t xml:space="preserve">19, healthcare workers lost multiple resources simultaneously: rest, social contact, predictability, and in some cases, physical health. The theory also explains why prolonged exposure to stress </w:t>
      </w:r>
      <w:r w:rsidR="00AE0DC1">
        <w:t>leads</w:t>
      </w:r>
      <w:r w:rsidRPr="00454AEC">
        <w:t xml:space="preserve"> to burnout when resource loss continues without replenishment, individuals become exhausted and disengaged.</w:t>
      </w:r>
    </w:p>
    <w:p w14:paraId="2225C0DD" w14:textId="77777777" w:rsidR="00454AEC" w:rsidRPr="00454AEC" w:rsidRDefault="00454AEC" w:rsidP="00454AEC">
      <w:pPr>
        <w:pStyle w:val="NormalWeb"/>
        <w:ind w:left="360"/>
      </w:pPr>
      <w:r w:rsidRPr="00454AEC">
        <w:t>Burnout Theory (Maslach &amp; Jackson, 1981) is essential for understanding emotional exhaustion among healthcare workers. Burnout is characterised by emotional fatigue, depersonalisation, and reduced personal accomplishment. COVID</w:t>
      </w:r>
      <w:r w:rsidRPr="00454AEC">
        <w:noBreakHyphen/>
        <w:t>19 created ideal conditions for burnout: long shifts, high mortality, and limited opportunities for recovery. However, critics argue that burnout theory can unintentionally place responsibility on individuals rather than organisations. This is why more recent research emphasises systemic factors such as staffing levels, leadership, and organisational culture.</w:t>
      </w:r>
    </w:p>
    <w:p w14:paraId="0FAE3842" w14:textId="17CA287B" w:rsidR="00454AEC" w:rsidRDefault="00454AEC" w:rsidP="00454AEC">
      <w:pPr>
        <w:pStyle w:val="NormalWeb"/>
        <w:ind w:left="360"/>
      </w:pPr>
      <w:r w:rsidRPr="00454AEC">
        <w:t>The Job Demand–Control Model (Karasek, 1979) further explains why healthcare workers experienced distress. COVID</w:t>
      </w:r>
      <w:r w:rsidRPr="00454AEC">
        <w:noBreakHyphen/>
        <w:t>19 created extremely high job demands</w:t>
      </w:r>
      <w:r>
        <w:t xml:space="preserve">, </w:t>
      </w:r>
      <w:r w:rsidRPr="00454AEC">
        <w:t>rapid decision</w:t>
      </w:r>
      <w:r w:rsidRPr="00454AEC">
        <w:noBreakHyphen/>
        <w:t>making, emotional labour, and physical risk</w:t>
      </w:r>
      <w:r>
        <w:t>,</w:t>
      </w:r>
      <w:r w:rsidRPr="00454AEC">
        <w:t xml:space="preserve"> while reducing workers’ control over their environment. Staff often had little influence over shift patterns, PPE allocation, or clinical decisions. This imbalance between demands and control is strongly associated with stress and burnout.</w:t>
      </w:r>
    </w:p>
    <w:p w14:paraId="2DE04680" w14:textId="77777777" w:rsidR="00454AEC" w:rsidRPr="00454AEC" w:rsidRDefault="00454AEC" w:rsidP="00454AEC">
      <w:pPr>
        <w:pStyle w:val="NormalWeb"/>
        <w:ind w:left="360"/>
      </w:pPr>
      <w:r w:rsidRPr="00454AEC">
        <w:t>Post</w:t>
      </w:r>
      <w:r w:rsidRPr="00454AEC">
        <w:noBreakHyphen/>
        <w:t xml:space="preserve">Traumatic Growth Theory (Tedeschi &amp; Calhoun, 1996) offers a contrasting perspective by suggesting that individuals can experience positive psychological changes following trauma. </w:t>
      </w:r>
      <w:r w:rsidRPr="00454AEC">
        <w:lastRenderedPageBreak/>
        <w:t>Some healthcare workers reported increased empathy, stronger relationships, and a renewed sense of purpose. However, this should not overshadow the significant distress experienced by many. Growth is not universal, and some staff may feel pressured to appear resilient even when struggling.</w:t>
      </w:r>
    </w:p>
    <w:p w14:paraId="5FCF1BE8" w14:textId="14AB26E7" w:rsidR="00454AEC" w:rsidRDefault="00454AEC" w:rsidP="00454AEC">
      <w:pPr>
        <w:pStyle w:val="NormalWeb"/>
        <w:ind w:left="360"/>
      </w:pPr>
      <w:r w:rsidRPr="00454AEC">
        <w:t>Together, these theories provide a comprehensive understanding of healthcare workers’ experiences during COVID</w:t>
      </w:r>
      <w:r w:rsidRPr="00454AEC">
        <w:noBreakHyphen/>
        <w:t>19. They highlight the interplay between individual coping, organisational factors, and systemic pressures.</w:t>
      </w:r>
    </w:p>
    <w:p w14:paraId="0DC1AC0A" w14:textId="77777777" w:rsidR="00D32263" w:rsidRPr="00D32263" w:rsidRDefault="00D32263" w:rsidP="00D32263">
      <w:pPr>
        <w:pStyle w:val="NormalWeb"/>
        <w:ind w:left="360"/>
      </w:pPr>
      <w:r w:rsidRPr="00D32263">
        <w:rPr>
          <w:b/>
          <w:bCs/>
        </w:rPr>
        <w:t>2.4 International Context</w:t>
      </w:r>
    </w:p>
    <w:p w14:paraId="59F1C4E9" w14:textId="77777777" w:rsidR="00D32263" w:rsidRPr="00D32263" w:rsidRDefault="00D32263" w:rsidP="00D32263">
      <w:pPr>
        <w:pStyle w:val="NormalWeb"/>
        <w:ind w:left="360"/>
      </w:pPr>
      <w:r w:rsidRPr="00D32263">
        <w:t>International studies reveal similar mental health challenges among HCWs, but outcomes vary depending on national preparedness, health system capacity, and institutional support.</w:t>
      </w:r>
    </w:p>
    <w:p w14:paraId="2B1C1136" w14:textId="77777777" w:rsidR="00D32263" w:rsidRPr="00D32263" w:rsidRDefault="00D32263" w:rsidP="00D32263">
      <w:pPr>
        <w:pStyle w:val="NormalWeb"/>
        <w:ind w:left="360"/>
      </w:pPr>
      <w:r w:rsidRPr="00D32263">
        <w:rPr>
          <w:b/>
          <w:bCs/>
        </w:rPr>
        <w:t>Italy</w:t>
      </w:r>
    </w:p>
    <w:p w14:paraId="6ECD140A" w14:textId="77777777" w:rsidR="00D32263" w:rsidRPr="00D32263" w:rsidRDefault="00D32263" w:rsidP="00D32263">
      <w:pPr>
        <w:pStyle w:val="NormalWeb"/>
        <w:ind w:left="360"/>
      </w:pPr>
      <w:r w:rsidRPr="00D32263">
        <w:t>Italy was one of the first European countries severely affected by COVID</w:t>
      </w:r>
      <w:r w:rsidRPr="00D32263">
        <w:noBreakHyphen/>
        <w:t>19. Rossi et al. (2020) found high rates of PTSD, anxiety, and depression among HCWs, particularly in regions where hospitals were overwhelmed. Staff reported distress linked to high mortality rates, difficult triage decisions, and fears of infecting family members.</w:t>
      </w:r>
    </w:p>
    <w:p w14:paraId="4C86B227" w14:textId="77777777" w:rsidR="00D32263" w:rsidRPr="00D32263" w:rsidRDefault="00D32263" w:rsidP="00D32263">
      <w:pPr>
        <w:pStyle w:val="NormalWeb"/>
        <w:ind w:left="360"/>
      </w:pPr>
      <w:r w:rsidRPr="00D32263">
        <w:rPr>
          <w:b/>
          <w:bCs/>
        </w:rPr>
        <w:t>United States</w:t>
      </w:r>
    </w:p>
    <w:p w14:paraId="666D5902" w14:textId="77777777" w:rsidR="00D32263" w:rsidRPr="00D32263" w:rsidRDefault="00D32263" w:rsidP="00D32263">
      <w:pPr>
        <w:pStyle w:val="NormalWeb"/>
        <w:ind w:left="360"/>
      </w:pPr>
      <w:r w:rsidRPr="00D32263">
        <w:t>Shechter et al. (2020) reported high levels of anxiety, insomnia, and acute stress among US HCWs. Contributing factors included inconsistent PPE availability, politicisation of the pandemic, and public resistance to infection control measures.</w:t>
      </w:r>
    </w:p>
    <w:p w14:paraId="68D06A83" w14:textId="77777777" w:rsidR="00D32263" w:rsidRPr="00D32263" w:rsidRDefault="00D32263" w:rsidP="00D32263">
      <w:pPr>
        <w:pStyle w:val="NormalWeb"/>
        <w:ind w:left="360"/>
      </w:pPr>
      <w:r w:rsidRPr="00D32263">
        <w:rPr>
          <w:b/>
          <w:bCs/>
        </w:rPr>
        <w:t>South Korea</w:t>
      </w:r>
    </w:p>
    <w:p w14:paraId="1E930A18" w14:textId="77777777" w:rsidR="00D32263" w:rsidRPr="00D32263" w:rsidRDefault="00D32263" w:rsidP="00D32263">
      <w:pPr>
        <w:pStyle w:val="NormalWeb"/>
        <w:ind w:left="360"/>
      </w:pPr>
      <w:r w:rsidRPr="00D32263">
        <w:t>South Korea’s experience was shaped by lessons learned from the MERS outbreak. Lee et al. (2021) found lower levels of psychological distress among HCWs compared to some Western countries, partly due to early investment in infection control, clear communication, and established staff support protocols.</w:t>
      </w:r>
    </w:p>
    <w:p w14:paraId="09F700C8" w14:textId="77777777" w:rsidR="00D32263" w:rsidRPr="00D32263" w:rsidRDefault="00D32263" w:rsidP="00D32263">
      <w:pPr>
        <w:pStyle w:val="NormalWeb"/>
        <w:ind w:left="360"/>
      </w:pPr>
      <w:r w:rsidRPr="00D32263">
        <w:rPr>
          <w:b/>
          <w:bCs/>
        </w:rPr>
        <w:t>Low</w:t>
      </w:r>
      <w:r w:rsidRPr="00D32263">
        <w:rPr>
          <w:b/>
          <w:bCs/>
        </w:rPr>
        <w:noBreakHyphen/>
        <w:t xml:space="preserve"> and middle</w:t>
      </w:r>
      <w:r w:rsidRPr="00D32263">
        <w:rPr>
          <w:b/>
          <w:bCs/>
        </w:rPr>
        <w:noBreakHyphen/>
        <w:t>income countries</w:t>
      </w:r>
    </w:p>
    <w:p w14:paraId="63E5A5C3" w14:textId="17D9A5ED" w:rsidR="00D32263" w:rsidRPr="00D32263" w:rsidRDefault="00D32263" w:rsidP="00D32263">
      <w:pPr>
        <w:pStyle w:val="NormalWeb"/>
        <w:ind w:left="360"/>
      </w:pPr>
      <w:r w:rsidRPr="00D32263">
        <w:t>HCWs in countries with fewer resources often faced extreme workloads and limited access to PPE or mental health services. Shaukat, Ali</w:t>
      </w:r>
      <w:r w:rsidR="00F87139">
        <w:t>,</w:t>
      </w:r>
      <w:r w:rsidRPr="00D32263">
        <w:t xml:space="preserve"> and Razzak (2020) reported high levels of anxiety and burnout among HCWs in Pakistan, exacerbated by resource shortages and social stigma.</w:t>
      </w:r>
    </w:p>
    <w:p w14:paraId="07E5DD69" w14:textId="77777777" w:rsidR="00D32263" w:rsidRPr="00D32263" w:rsidRDefault="00D32263" w:rsidP="00D32263">
      <w:pPr>
        <w:pStyle w:val="NormalWeb"/>
        <w:ind w:left="360"/>
      </w:pPr>
      <w:r w:rsidRPr="00D32263">
        <w:rPr>
          <w:b/>
          <w:bCs/>
        </w:rPr>
        <w:t>Comparative analysis</w:t>
      </w:r>
    </w:p>
    <w:p w14:paraId="186BAB49" w14:textId="77777777" w:rsidR="00D32263" w:rsidRPr="00D32263" w:rsidRDefault="00D32263" w:rsidP="00D32263">
      <w:pPr>
        <w:pStyle w:val="NormalWeb"/>
        <w:ind w:left="360"/>
      </w:pPr>
      <w:r w:rsidRPr="00D32263">
        <w:t>Across countries, several common themes emerge:</w:t>
      </w:r>
    </w:p>
    <w:p w14:paraId="7596D473" w14:textId="77777777" w:rsidR="00D32263" w:rsidRPr="00D32263" w:rsidRDefault="00D32263">
      <w:pPr>
        <w:pStyle w:val="NormalWeb"/>
        <w:numPr>
          <w:ilvl w:val="0"/>
          <w:numId w:val="6"/>
        </w:numPr>
      </w:pPr>
      <w:r w:rsidRPr="00D32263">
        <w:t>Fear of infection</w:t>
      </w:r>
    </w:p>
    <w:p w14:paraId="3661442D" w14:textId="77777777" w:rsidR="00D32263" w:rsidRPr="00D32263" w:rsidRDefault="00D32263">
      <w:pPr>
        <w:pStyle w:val="NormalWeb"/>
        <w:numPr>
          <w:ilvl w:val="0"/>
          <w:numId w:val="6"/>
        </w:numPr>
      </w:pPr>
      <w:r w:rsidRPr="00D32263">
        <w:t>Moral distress</w:t>
      </w:r>
    </w:p>
    <w:p w14:paraId="4C814AB0" w14:textId="77777777" w:rsidR="00D32263" w:rsidRPr="00D32263" w:rsidRDefault="00D32263">
      <w:pPr>
        <w:pStyle w:val="NormalWeb"/>
        <w:numPr>
          <w:ilvl w:val="0"/>
          <w:numId w:val="6"/>
        </w:numPr>
      </w:pPr>
      <w:r w:rsidRPr="00D32263">
        <w:t>Workload pressures</w:t>
      </w:r>
    </w:p>
    <w:p w14:paraId="171B21B3" w14:textId="77777777" w:rsidR="00D32263" w:rsidRPr="00D32263" w:rsidRDefault="00D32263">
      <w:pPr>
        <w:pStyle w:val="NormalWeb"/>
        <w:numPr>
          <w:ilvl w:val="0"/>
          <w:numId w:val="6"/>
        </w:numPr>
      </w:pPr>
      <w:r w:rsidRPr="00D32263">
        <w:t>Emotional exhaustion</w:t>
      </w:r>
    </w:p>
    <w:p w14:paraId="06E888C0" w14:textId="77777777" w:rsidR="00D32263" w:rsidRPr="00D32263" w:rsidRDefault="00D32263" w:rsidP="00D32263">
      <w:pPr>
        <w:pStyle w:val="NormalWeb"/>
        <w:ind w:left="360"/>
      </w:pPr>
      <w:r w:rsidRPr="00D32263">
        <w:t>However, the severity of these outcomes appears closely linked to:</w:t>
      </w:r>
    </w:p>
    <w:p w14:paraId="21D2F47C" w14:textId="77777777" w:rsidR="00D32263" w:rsidRPr="00D32263" w:rsidRDefault="00D32263">
      <w:pPr>
        <w:pStyle w:val="NormalWeb"/>
        <w:numPr>
          <w:ilvl w:val="0"/>
          <w:numId w:val="7"/>
        </w:numPr>
      </w:pPr>
      <w:r w:rsidRPr="00D32263">
        <w:t>Preparedness and prior experience</w:t>
      </w:r>
    </w:p>
    <w:p w14:paraId="34F9FE82" w14:textId="77777777" w:rsidR="00D32263" w:rsidRPr="00D32263" w:rsidRDefault="00D32263">
      <w:pPr>
        <w:pStyle w:val="NormalWeb"/>
        <w:numPr>
          <w:ilvl w:val="0"/>
          <w:numId w:val="7"/>
        </w:numPr>
      </w:pPr>
      <w:r w:rsidRPr="00D32263">
        <w:lastRenderedPageBreak/>
        <w:t>Health system capacity</w:t>
      </w:r>
    </w:p>
    <w:p w14:paraId="75A5834F" w14:textId="77777777" w:rsidR="00D32263" w:rsidRPr="00D32263" w:rsidRDefault="00D32263">
      <w:pPr>
        <w:pStyle w:val="NormalWeb"/>
        <w:numPr>
          <w:ilvl w:val="0"/>
          <w:numId w:val="7"/>
        </w:numPr>
      </w:pPr>
      <w:r w:rsidRPr="00D32263">
        <w:t>Clarity of communication</w:t>
      </w:r>
    </w:p>
    <w:p w14:paraId="69AB75D7" w14:textId="77777777" w:rsidR="00D32263" w:rsidRPr="00D32263" w:rsidRDefault="00D32263">
      <w:pPr>
        <w:pStyle w:val="NormalWeb"/>
        <w:numPr>
          <w:ilvl w:val="0"/>
          <w:numId w:val="7"/>
        </w:numPr>
      </w:pPr>
      <w:r w:rsidRPr="00D32263">
        <w:t>Availability of PPE and mental health services</w:t>
      </w:r>
    </w:p>
    <w:p w14:paraId="71D4BAF4" w14:textId="77777777" w:rsidR="00D32263" w:rsidRDefault="00D32263" w:rsidP="00D32263">
      <w:pPr>
        <w:pStyle w:val="NormalWeb"/>
        <w:ind w:left="360"/>
      </w:pPr>
      <w:r w:rsidRPr="00D32263">
        <w:t>These comparisons suggest that strong organisational support significantly reduces psychological harm.</w:t>
      </w:r>
    </w:p>
    <w:p w14:paraId="60703361" w14:textId="77777777" w:rsidR="00454AEC" w:rsidRPr="00454AEC" w:rsidRDefault="00454AEC" w:rsidP="00454AEC">
      <w:pPr>
        <w:pStyle w:val="NormalWeb"/>
        <w:ind w:left="360"/>
      </w:pPr>
      <w:r w:rsidRPr="00454AEC">
        <w:t>International comparisons reveal significant differences in how healthcare workers experienced the pandemic. In Italy, one of the earliest European epicentres, hospitals were overwhelmed within weeks. Healthcare workers faced traumatic scenes, including high mortality rates and difficult triage decisions. Many described feeling helpless as they watched patients deteriorate rapidly. Rossi et al. (2020) found that these conditions contributed to high rates of PTSD, anxiety, and depression.</w:t>
      </w:r>
    </w:p>
    <w:p w14:paraId="4B6FE74E" w14:textId="77777777" w:rsidR="00454AEC" w:rsidRPr="00454AEC" w:rsidRDefault="00454AEC" w:rsidP="00454AEC">
      <w:pPr>
        <w:pStyle w:val="NormalWeb"/>
        <w:ind w:left="360"/>
      </w:pPr>
      <w:r w:rsidRPr="00454AEC">
        <w:t>In contrast, South Korea’s experience was shaped by lessons learned from the MERS outbreak. The country implemented rapid testing, strict infection control protocols, and clear communication strategies. Healthcare workers received regular updates, adequate PPE, and strong organisational support. As a result, Lee et al. (2021) found lower levels of psychological distress among South Korean healthcare workers compared to those in Europe and the United States.</w:t>
      </w:r>
    </w:p>
    <w:p w14:paraId="1F098330" w14:textId="77777777" w:rsidR="00454AEC" w:rsidRPr="00454AEC" w:rsidRDefault="00454AEC" w:rsidP="00454AEC">
      <w:pPr>
        <w:pStyle w:val="NormalWeb"/>
        <w:ind w:left="360"/>
      </w:pPr>
      <w:r w:rsidRPr="00454AEC">
        <w:t>The United States presented a mixed picture. Some hospitals had strong support systems, while others faced severe PPE shortages, political conflict, and public resistance to infection control measures. Shechter et al. (2020) reported high levels of anxiety, insomnia, and substance use among healthcare workers in New York, where the pandemic hit particularly hard.</w:t>
      </w:r>
    </w:p>
    <w:p w14:paraId="6A04C88D" w14:textId="77777777" w:rsidR="00454AEC" w:rsidRPr="00454AEC" w:rsidRDefault="00454AEC" w:rsidP="00454AEC">
      <w:pPr>
        <w:pStyle w:val="NormalWeb"/>
        <w:ind w:left="360"/>
      </w:pPr>
      <w:r w:rsidRPr="00454AEC">
        <w:t>Low</w:t>
      </w:r>
      <w:r w:rsidRPr="00454AEC">
        <w:noBreakHyphen/>
        <w:t xml:space="preserve"> and middle</w:t>
      </w:r>
      <w:r w:rsidRPr="00454AEC">
        <w:noBreakHyphen/>
        <w:t>income countries faced unique challenges. Limited resources, overcrowded hospitals, and social stigma increased psychological strain. Shaukat et al. (2020) found that healthcare workers in Pakistan experienced high levels of anxiety and burnout, exacerbated by inadequate PPE and fear of infecting family members.</w:t>
      </w:r>
    </w:p>
    <w:p w14:paraId="71EF09C8" w14:textId="757F27E7" w:rsidR="00454AEC" w:rsidRPr="00D32263" w:rsidRDefault="00454AEC" w:rsidP="00454AEC">
      <w:pPr>
        <w:pStyle w:val="NormalWeb"/>
        <w:ind w:left="360"/>
      </w:pPr>
      <w:r w:rsidRPr="00454AEC">
        <w:t>These international comparisons highlight the importance of preparedness, communication, and resource availability. Countries with strong public health infrastructure and clear leadership reported better outcomes, demonstrating that organisational and systemic factors play a crucial role in protecting healthcare workers’ mental health.</w:t>
      </w:r>
    </w:p>
    <w:p w14:paraId="14F759E5" w14:textId="77777777" w:rsidR="00D32263" w:rsidRPr="00D32263" w:rsidRDefault="00D32263" w:rsidP="00D32263">
      <w:pPr>
        <w:pStyle w:val="NormalWeb"/>
        <w:ind w:left="360"/>
      </w:pPr>
      <w:r w:rsidRPr="00D32263">
        <w:rPr>
          <w:b/>
          <w:bCs/>
        </w:rPr>
        <w:t>2.5 National/Local UK Context</w:t>
      </w:r>
    </w:p>
    <w:p w14:paraId="7040564B" w14:textId="77777777" w:rsidR="00D32263" w:rsidRPr="00D32263" w:rsidRDefault="00D32263" w:rsidP="00D32263">
      <w:pPr>
        <w:pStyle w:val="NormalWeb"/>
        <w:ind w:left="360"/>
      </w:pPr>
      <w:r w:rsidRPr="00D32263">
        <w:t>The UK experienced significant strain on its healthcare workforce during COVID</w:t>
      </w:r>
      <w:r w:rsidRPr="00D32263">
        <w:noBreakHyphen/>
        <w:t>19. A British Medical Association (BMA, 2021) survey found that over 40% of doctors reported anxiety or depression related to the pandemic. The NHS Staff Survey (2023) reported that nearly half of NHS workers felt unwell due to work</w:t>
      </w:r>
      <w:r w:rsidRPr="00D32263">
        <w:noBreakHyphen/>
        <w:t>related stress.</w:t>
      </w:r>
    </w:p>
    <w:p w14:paraId="6F3B6C9C" w14:textId="77777777" w:rsidR="00D32263" w:rsidRPr="00D32263" w:rsidRDefault="00D32263" w:rsidP="00D32263">
      <w:pPr>
        <w:pStyle w:val="NormalWeb"/>
        <w:ind w:left="360"/>
      </w:pPr>
      <w:r w:rsidRPr="00D32263">
        <w:rPr>
          <w:b/>
          <w:bCs/>
        </w:rPr>
        <w:t>Key UK policies and initiatives</w:t>
      </w:r>
    </w:p>
    <w:p w14:paraId="55C29621" w14:textId="77777777" w:rsidR="00D32263" w:rsidRPr="00D32263" w:rsidRDefault="00D32263" w:rsidP="00D32263">
      <w:pPr>
        <w:pStyle w:val="NormalWeb"/>
        <w:ind w:left="360"/>
      </w:pPr>
      <w:r w:rsidRPr="00D32263">
        <w:rPr>
          <w:b/>
          <w:bCs/>
        </w:rPr>
        <w:t>NHS People Plan (2020)</w:t>
      </w:r>
      <w:r w:rsidRPr="00D32263">
        <w:br/>
        <w:t>Prioritised staff well</w:t>
      </w:r>
      <w:r w:rsidRPr="00D32263">
        <w:noBreakHyphen/>
        <w:t>being, flexible working, and compassionate leadership. Emphasised the need to “look after our people” by providing psychological support and promoting work–life balance.</w:t>
      </w:r>
    </w:p>
    <w:p w14:paraId="25065AC3" w14:textId="77777777" w:rsidR="00D32263" w:rsidRPr="00D32263" w:rsidRDefault="00D32263" w:rsidP="00D32263">
      <w:pPr>
        <w:pStyle w:val="NormalWeb"/>
        <w:ind w:left="360"/>
      </w:pPr>
      <w:r w:rsidRPr="00D32263">
        <w:rPr>
          <w:b/>
          <w:bCs/>
        </w:rPr>
        <w:lastRenderedPageBreak/>
        <w:t>Health and Care Act (2022)</w:t>
      </w:r>
      <w:r w:rsidRPr="00D32263">
        <w:br/>
        <w:t>Made staff welfare a legal duty for NHS organisations, embedding well</w:t>
      </w:r>
      <w:r w:rsidRPr="00D32263">
        <w:noBreakHyphen/>
        <w:t>being into governance structures.</w:t>
      </w:r>
    </w:p>
    <w:p w14:paraId="7FD4BE75" w14:textId="77777777" w:rsidR="00D32263" w:rsidRPr="00D32263" w:rsidRDefault="00D32263" w:rsidP="00D32263">
      <w:pPr>
        <w:pStyle w:val="NormalWeb"/>
        <w:ind w:left="360"/>
      </w:pPr>
      <w:r w:rsidRPr="00D32263">
        <w:rPr>
          <w:b/>
          <w:bCs/>
        </w:rPr>
        <w:t>NHS mental health hubs</w:t>
      </w:r>
      <w:r w:rsidRPr="00D32263">
        <w:br/>
        <w:t>Provided counselling, trauma</w:t>
      </w:r>
      <w:r w:rsidRPr="00D32263">
        <w:noBreakHyphen/>
        <w:t>focused interventions, and peer support. Billings et al. (2022) found that these services improved short</w:t>
      </w:r>
      <w:r w:rsidRPr="00D32263">
        <w:noBreakHyphen/>
        <w:t>term well</w:t>
      </w:r>
      <w:r w:rsidRPr="00D32263">
        <w:noBreakHyphen/>
        <w:t>being but lacked long</w:t>
      </w:r>
      <w:r w:rsidRPr="00D32263">
        <w:noBreakHyphen/>
        <w:t>term funding.</w:t>
      </w:r>
    </w:p>
    <w:p w14:paraId="27E25DBC" w14:textId="77777777" w:rsidR="00D32263" w:rsidRPr="00D32263" w:rsidRDefault="00D32263" w:rsidP="00D32263">
      <w:pPr>
        <w:pStyle w:val="NormalWeb"/>
        <w:ind w:left="360"/>
      </w:pPr>
      <w:r w:rsidRPr="00D32263">
        <w:rPr>
          <w:b/>
          <w:bCs/>
        </w:rPr>
        <w:t>Royal College of Nursing (RCN) initiatives</w:t>
      </w:r>
      <w:r w:rsidRPr="00D32263">
        <w:br/>
        <w:t>Promoted rest breaks, peer support, and safe staffing campaigns.</w:t>
      </w:r>
    </w:p>
    <w:p w14:paraId="66EE0346" w14:textId="54007D41" w:rsidR="00D32263" w:rsidRPr="00D32263" w:rsidRDefault="00D32263" w:rsidP="00D32263">
      <w:pPr>
        <w:pStyle w:val="NormalWeb"/>
        <w:ind w:left="360"/>
      </w:pPr>
      <w:r w:rsidRPr="00D32263">
        <w:rPr>
          <w:b/>
          <w:bCs/>
        </w:rPr>
        <w:t>Third</w:t>
      </w:r>
      <w:r w:rsidRPr="00D32263">
        <w:rPr>
          <w:b/>
          <w:bCs/>
        </w:rPr>
        <w:noBreakHyphen/>
        <w:t>sector support (e.g., Mind’s “Our Frontline”)</w:t>
      </w:r>
      <w:r w:rsidRPr="00D32263">
        <w:br/>
        <w:t>Offered psychological support and helplines for NHS staff.</w:t>
      </w:r>
    </w:p>
    <w:p w14:paraId="5CC9625E" w14:textId="77777777" w:rsidR="00D32263" w:rsidRPr="00D32263" w:rsidRDefault="00D32263" w:rsidP="00D32263">
      <w:pPr>
        <w:pStyle w:val="NormalWeb"/>
        <w:ind w:left="360"/>
      </w:pPr>
      <w:r w:rsidRPr="00D32263">
        <w:rPr>
          <w:b/>
          <w:bCs/>
        </w:rPr>
        <w:t>Critical evaluation of the UK response</w:t>
      </w:r>
    </w:p>
    <w:p w14:paraId="34CF959A" w14:textId="77777777" w:rsidR="00D32263" w:rsidRPr="00D32263" w:rsidRDefault="00D32263" w:rsidP="00D32263">
      <w:pPr>
        <w:pStyle w:val="NormalWeb"/>
        <w:ind w:left="360"/>
      </w:pPr>
      <w:r w:rsidRPr="00D32263">
        <w:t>While these initiatives represent progress, their impact was inconsistent:</w:t>
      </w:r>
    </w:p>
    <w:p w14:paraId="1AAB0C8A" w14:textId="77777777" w:rsidR="00D32263" w:rsidRPr="00D32263" w:rsidRDefault="00D32263">
      <w:pPr>
        <w:pStyle w:val="NormalWeb"/>
        <w:numPr>
          <w:ilvl w:val="0"/>
          <w:numId w:val="8"/>
        </w:numPr>
      </w:pPr>
      <w:r w:rsidRPr="00D32263">
        <w:t>Many staff lacked time to access support due to workload pressures (Kinman et al., 2023).</w:t>
      </w:r>
    </w:p>
    <w:p w14:paraId="2F0CCA93" w14:textId="77777777" w:rsidR="00D32263" w:rsidRPr="00D32263" w:rsidRDefault="00D32263">
      <w:pPr>
        <w:pStyle w:val="NormalWeb"/>
        <w:numPr>
          <w:ilvl w:val="0"/>
          <w:numId w:val="8"/>
        </w:numPr>
      </w:pPr>
      <w:r w:rsidRPr="00D32263">
        <w:t>Mental health hubs lacked long</w:t>
      </w:r>
      <w:r w:rsidRPr="00D32263">
        <w:noBreakHyphen/>
        <w:t>term follow</w:t>
      </w:r>
      <w:r w:rsidRPr="00D32263">
        <w:noBreakHyphen/>
        <w:t>up (Billings et al., 2022).</w:t>
      </w:r>
    </w:p>
    <w:p w14:paraId="18C424F9" w14:textId="77777777" w:rsidR="00D32263" w:rsidRPr="00D32263" w:rsidRDefault="00D32263">
      <w:pPr>
        <w:pStyle w:val="NormalWeb"/>
        <w:numPr>
          <w:ilvl w:val="0"/>
          <w:numId w:val="8"/>
        </w:numPr>
      </w:pPr>
      <w:r w:rsidRPr="00D32263">
        <w:t>Reflective practice groups were not implemented consistently across trusts (West &amp; Coia, 2022).</w:t>
      </w:r>
    </w:p>
    <w:p w14:paraId="452DAAB2" w14:textId="03FA5B50" w:rsidR="00454AEC" w:rsidRPr="00D32263" w:rsidRDefault="00D32263" w:rsidP="00454AEC">
      <w:pPr>
        <w:pStyle w:val="NormalWeb"/>
        <w:ind w:left="360"/>
      </w:pPr>
      <w:r w:rsidRPr="00D32263">
        <w:t>A major limitation in UK research is the lack of data on non</w:t>
      </w:r>
      <w:r w:rsidRPr="00D32263">
        <w:noBreakHyphen/>
        <w:t xml:space="preserve">clinical staff, who also </w:t>
      </w:r>
      <w:r w:rsidR="00F87139">
        <w:t>face</w:t>
      </w:r>
      <w:r w:rsidRPr="00D32263">
        <w:t xml:space="preserve"> significant stress but are often overlooked.</w:t>
      </w:r>
    </w:p>
    <w:p w14:paraId="07B502BB" w14:textId="77777777" w:rsidR="00D32263" w:rsidRPr="00D32263" w:rsidRDefault="00D32263" w:rsidP="00D32263">
      <w:pPr>
        <w:pStyle w:val="NormalWeb"/>
        <w:ind w:left="360"/>
      </w:pPr>
      <w:r w:rsidRPr="00D32263">
        <w:rPr>
          <w:b/>
          <w:bCs/>
        </w:rPr>
        <w:t>2.6 Conclusion</w:t>
      </w:r>
    </w:p>
    <w:p w14:paraId="463669E5" w14:textId="77777777" w:rsidR="00D32263" w:rsidRDefault="00D32263" w:rsidP="00D32263">
      <w:pPr>
        <w:pStyle w:val="NormalWeb"/>
        <w:ind w:left="360"/>
      </w:pPr>
      <w:r w:rsidRPr="00D32263">
        <w:t>Pandemics place extreme psychological pressure on HCWs, and COVID</w:t>
      </w:r>
      <w:r w:rsidRPr="00D32263">
        <w:noBreakHyphen/>
        <w:t>19 produced widespread anxiety, depression, burnout, and PTSD. Historical evidence from SARS, H1N1, Ebola, and MERS shows that HCWs have long faced fear of infection, moral distress, and stigma. Theoretical frameworks help explain these experiences, but recent research emphasises organisational responsibility. International comparisons demonstrate that countries with strong preparedness and robust staff support reported lower distress. In the UK, policies such as the NHS People Plan represent progress, but challenges remain due to staff shortages, funding constraints, and persistent stigma.</w:t>
      </w:r>
    </w:p>
    <w:p w14:paraId="18CF356E" w14:textId="4BFBF7FD" w:rsidR="00D32263" w:rsidRDefault="00D32263" w:rsidP="00D32263">
      <w:pPr>
        <w:pStyle w:val="NormalWeb"/>
        <w:ind w:left="360"/>
        <w:rPr>
          <w:b/>
          <w:bCs/>
        </w:rPr>
      </w:pPr>
      <w:r w:rsidRPr="00D32263">
        <w:rPr>
          <w:b/>
          <w:bCs/>
        </w:rPr>
        <w:t>Chapter 3: Research Methodology</w:t>
      </w:r>
    </w:p>
    <w:p w14:paraId="792789B6" w14:textId="15DBA55D" w:rsidR="00454AEC" w:rsidRPr="00D32263" w:rsidRDefault="00454AEC" w:rsidP="00D32263">
      <w:pPr>
        <w:pStyle w:val="NormalWeb"/>
        <w:ind w:left="360"/>
      </w:pPr>
      <w:r w:rsidRPr="00454AEC">
        <w:t>Secondary research was chosen because it allows for the synthesis of a wide range of international evidence, which would not be feasible through primary data collection within the constraints of an undergraduate dissertation. Conducting interviews or surveys with healthcare workers during or after a pandemic raises ethical challenges, including the risk of traumatisation and the difficulty of accessing already overburdened staff. Secondary research avoids these issues while still providing rich insights into healthcare workers’ experiences. It also enables comparison across countries, healthcare systems, and professional groups, offering a broader understanding of the pandemic’s impact. By drawing on peer</w:t>
      </w:r>
      <w:r w:rsidRPr="00454AEC">
        <w:noBreakHyphen/>
        <w:t>reviewed studies, systematic reviews, and official reports, secondary research provides a robust and ethically sound foundation for analysis.</w:t>
      </w:r>
    </w:p>
    <w:p w14:paraId="60417455" w14:textId="77777777" w:rsidR="00D32263" w:rsidRPr="00D32263" w:rsidRDefault="00D32263" w:rsidP="00D32263">
      <w:pPr>
        <w:pStyle w:val="NormalWeb"/>
        <w:ind w:left="360"/>
        <w:rPr>
          <w:b/>
          <w:bCs/>
        </w:rPr>
      </w:pPr>
      <w:r w:rsidRPr="00D32263">
        <w:rPr>
          <w:b/>
          <w:bCs/>
        </w:rPr>
        <w:t>3.1 Search Strategy</w:t>
      </w:r>
    </w:p>
    <w:p w14:paraId="4A18C3A2" w14:textId="77777777" w:rsidR="00D32263" w:rsidRPr="00D32263" w:rsidRDefault="00D32263" w:rsidP="00D32263">
      <w:pPr>
        <w:pStyle w:val="NormalWeb"/>
        <w:ind w:left="360"/>
      </w:pPr>
      <w:r w:rsidRPr="00D32263">
        <w:lastRenderedPageBreak/>
        <w:t>This dissertation adopted a secondary research design, drawing on existing academic literature to explore the mental health impact of the COVID‑19 pandemic on healthcare workers (HCWs). Secondary research is appropriate for this topic because it enables the synthesis of a wide range of international evidence, including studies that would be impractical to replicate within the scope of an undergraduate dissertation.</w:t>
      </w:r>
    </w:p>
    <w:p w14:paraId="5D2923F9" w14:textId="33160720" w:rsidR="00D32263" w:rsidRDefault="00D32263" w:rsidP="00D32263">
      <w:pPr>
        <w:pStyle w:val="NormalWeb"/>
        <w:ind w:left="360"/>
      </w:pPr>
      <w:r w:rsidRPr="00D32263">
        <w:t>A structured search strategy was used to identify relevant literature across multiple academic databases, including:</w:t>
      </w:r>
    </w:p>
    <w:p w14:paraId="04EBBC97" w14:textId="77777777" w:rsidR="000837B3" w:rsidRDefault="000837B3">
      <w:pPr>
        <w:pStyle w:val="NormalWeb"/>
        <w:numPr>
          <w:ilvl w:val="0"/>
          <w:numId w:val="9"/>
        </w:numPr>
      </w:pPr>
      <w:r w:rsidRPr="000837B3">
        <w:t>Google Scholar</w:t>
      </w:r>
    </w:p>
    <w:p w14:paraId="5674CD02" w14:textId="22D5F383" w:rsidR="000837B3" w:rsidRPr="000837B3" w:rsidRDefault="000837B3">
      <w:pPr>
        <w:pStyle w:val="NormalWeb"/>
        <w:numPr>
          <w:ilvl w:val="0"/>
          <w:numId w:val="9"/>
        </w:numPr>
      </w:pPr>
      <w:r w:rsidRPr="000837B3">
        <w:t>PubMed</w:t>
      </w:r>
    </w:p>
    <w:p w14:paraId="59E9AC74" w14:textId="77777777" w:rsidR="000837B3" w:rsidRPr="000837B3" w:rsidRDefault="000837B3">
      <w:pPr>
        <w:pStyle w:val="NormalWeb"/>
        <w:numPr>
          <w:ilvl w:val="0"/>
          <w:numId w:val="9"/>
        </w:numPr>
      </w:pPr>
      <w:r w:rsidRPr="000837B3">
        <w:t>CINAHL</w:t>
      </w:r>
    </w:p>
    <w:p w14:paraId="7489B91A" w14:textId="77777777" w:rsidR="000837B3" w:rsidRPr="000837B3" w:rsidRDefault="000837B3">
      <w:pPr>
        <w:pStyle w:val="NormalWeb"/>
        <w:numPr>
          <w:ilvl w:val="0"/>
          <w:numId w:val="9"/>
        </w:numPr>
      </w:pPr>
      <w:r w:rsidRPr="000837B3">
        <w:t>PsycINFO</w:t>
      </w:r>
    </w:p>
    <w:p w14:paraId="628F07EA" w14:textId="77777777" w:rsidR="000837B3" w:rsidRPr="000837B3" w:rsidRDefault="000837B3">
      <w:pPr>
        <w:pStyle w:val="NormalWeb"/>
        <w:numPr>
          <w:ilvl w:val="0"/>
          <w:numId w:val="9"/>
        </w:numPr>
      </w:pPr>
      <w:r w:rsidRPr="000837B3">
        <w:t>ScienceDirect</w:t>
      </w:r>
    </w:p>
    <w:p w14:paraId="242F8463" w14:textId="77777777" w:rsidR="000837B3" w:rsidRPr="000837B3" w:rsidRDefault="000837B3">
      <w:pPr>
        <w:pStyle w:val="NormalWeb"/>
        <w:numPr>
          <w:ilvl w:val="0"/>
          <w:numId w:val="9"/>
        </w:numPr>
      </w:pPr>
      <w:r w:rsidRPr="000837B3">
        <w:t>UWTSD Library Discovery System</w:t>
      </w:r>
    </w:p>
    <w:p w14:paraId="4DF67E6A" w14:textId="77777777" w:rsidR="000837B3" w:rsidRPr="000837B3" w:rsidRDefault="000837B3" w:rsidP="000837B3">
      <w:pPr>
        <w:pStyle w:val="NormalWeb"/>
        <w:ind w:left="360"/>
      </w:pPr>
      <w:r w:rsidRPr="000837B3">
        <w:t>Searches were conducted between January 2024 and January 2025. To ensure comprehensive coverage, a combination of keywords and Boolean operators was used. Examples of search terms included:</w:t>
      </w:r>
    </w:p>
    <w:p w14:paraId="12DC8A69" w14:textId="186DE0C0" w:rsidR="000837B3" w:rsidRPr="000837B3" w:rsidRDefault="000837B3">
      <w:pPr>
        <w:pStyle w:val="NormalWeb"/>
        <w:numPr>
          <w:ilvl w:val="0"/>
          <w:numId w:val="10"/>
        </w:numPr>
      </w:pPr>
      <w:r w:rsidRPr="000837B3">
        <w:t>“</w:t>
      </w:r>
      <w:proofErr w:type="gramStart"/>
      <w:r w:rsidRPr="000837B3">
        <w:t>healthcare</w:t>
      </w:r>
      <w:proofErr w:type="gramEnd"/>
      <w:r w:rsidRPr="000837B3">
        <w:t xml:space="preserve"> workers” OR “HCWs</w:t>
      </w:r>
      <w:r w:rsidR="00F87139">
        <w:t>.</w:t>
      </w:r>
      <w:r w:rsidRPr="000837B3">
        <w:t>”</w:t>
      </w:r>
    </w:p>
    <w:p w14:paraId="31B68FF9" w14:textId="6AB1834D" w:rsidR="000837B3" w:rsidRPr="000837B3" w:rsidRDefault="000837B3">
      <w:pPr>
        <w:pStyle w:val="NormalWeb"/>
        <w:numPr>
          <w:ilvl w:val="0"/>
          <w:numId w:val="10"/>
        </w:numPr>
      </w:pPr>
      <w:r w:rsidRPr="000837B3">
        <w:t>“COVID</w:t>
      </w:r>
      <w:r w:rsidRPr="000837B3">
        <w:noBreakHyphen/>
        <w:t>19” OR “coronavirus” OR “SARS</w:t>
      </w:r>
      <w:r w:rsidRPr="000837B3">
        <w:noBreakHyphen/>
        <w:t>CoV</w:t>
      </w:r>
      <w:r w:rsidRPr="000837B3">
        <w:noBreakHyphen/>
        <w:t>2</w:t>
      </w:r>
      <w:r w:rsidR="00F87139">
        <w:t>.</w:t>
      </w:r>
      <w:r w:rsidRPr="000837B3">
        <w:t>”</w:t>
      </w:r>
    </w:p>
    <w:p w14:paraId="43BE1547" w14:textId="645B1183" w:rsidR="000837B3" w:rsidRPr="000837B3" w:rsidRDefault="000837B3">
      <w:pPr>
        <w:pStyle w:val="NormalWeb"/>
        <w:numPr>
          <w:ilvl w:val="0"/>
          <w:numId w:val="10"/>
        </w:numPr>
      </w:pPr>
      <w:r w:rsidRPr="000837B3">
        <w:t>“</w:t>
      </w:r>
      <w:proofErr w:type="gramStart"/>
      <w:r w:rsidRPr="000837B3">
        <w:t>mental</w:t>
      </w:r>
      <w:proofErr w:type="gramEnd"/>
      <w:r w:rsidRPr="000837B3">
        <w:t xml:space="preserve"> health” OR “anxiety” OR “depression” OR “burnout” OR “PTSD</w:t>
      </w:r>
      <w:r w:rsidR="00F87139">
        <w:t>.</w:t>
      </w:r>
      <w:r w:rsidRPr="000837B3">
        <w:t>”</w:t>
      </w:r>
    </w:p>
    <w:p w14:paraId="6E432C1E" w14:textId="5056BD53" w:rsidR="000837B3" w:rsidRPr="000837B3" w:rsidRDefault="000837B3">
      <w:pPr>
        <w:pStyle w:val="NormalWeb"/>
        <w:numPr>
          <w:ilvl w:val="0"/>
          <w:numId w:val="10"/>
        </w:numPr>
      </w:pPr>
      <w:r w:rsidRPr="000837B3">
        <w:t>“</w:t>
      </w:r>
      <w:proofErr w:type="gramStart"/>
      <w:r w:rsidRPr="000837B3">
        <w:t>coping</w:t>
      </w:r>
      <w:proofErr w:type="gramEnd"/>
      <w:r w:rsidRPr="000837B3">
        <w:t xml:space="preserve"> mechanisms” OR “coping strategies” OR “resilience</w:t>
      </w:r>
      <w:r w:rsidR="00F87139">
        <w:t>.</w:t>
      </w:r>
      <w:r w:rsidRPr="000837B3">
        <w:t>”</w:t>
      </w:r>
    </w:p>
    <w:p w14:paraId="2200673F" w14:textId="18B6D896" w:rsidR="000837B3" w:rsidRPr="000837B3" w:rsidRDefault="000837B3">
      <w:pPr>
        <w:pStyle w:val="NormalWeb"/>
        <w:numPr>
          <w:ilvl w:val="0"/>
          <w:numId w:val="10"/>
        </w:numPr>
      </w:pPr>
      <w:r w:rsidRPr="000837B3">
        <w:t>“</w:t>
      </w:r>
      <w:proofErr w:type="gramStart"/>
      <w:r w:rsidRPr="000837B3">
        <w:t>institutional</w:t>
      </w:r>
      <w:proofErr w:type="gramEnd"/>
      <w:r w:rsidRPr="000837B3">
        <w:t xml:space="preserve"> support” OR “organisational support</w:t>
      </w:r>
      <w:r w:rsidR="00F87139">
        <w:t>.</w:t>
      </w:r>
      <w:r w:rsidRPr="000837B3">
        <w:t>”</w:t>
      </w:r>
    </w:p>
    <w:p w14:paraId="0485A88B" w14:textId="16B0145F" w:rsidR="000837B3" w:rsidRPr="000837B3" w:rsidRDefault="000837B3">
      <w:pPr>
        <w:pStyle w:val="NormalWeb"/>
        <w:numPr>
          <w:ilvl w:val="0"/>
          <w:numId w:val="10"/>
        </w:numPr>
      </w:pPr>
      <w:r w:rsidRPr="000837B3">
        <w:t>“PPE shortages” OR “frontline staff</w:t>
      </w:r>
      <w:r>
        <w:t>.</w:t>
      </w:r>
      <w:r w:rsidRPr="000837B3">
        <w:t>”</w:t>
      </w:r>
    </w:p>
    <w:p w14:paraId="169F8902" w14:textId="77777777" w:rsidR="000837B3" w:rsidRPr="000837B3" w:rsidRDefault="000837B3" w:rsidP="000837B3">
      <w:pPr>
        <w:pStyle w:val="NormalWeb"/>
        <w:ind w:left="360"/>
      </w:pPr>
      <w:r w:rsidRPr="000837B3">
        <w:t>An example of a full search string used in PubMed was:</w:t>
      </w:r>
    </w:p>
    <w:p w14:paraId="0157C129" w14:textId="77777777" w:rsidR="000837B3" w:rsidRPr="000837B3" w:rsidRDefault="000837B3" w:rsidP="000837B3">
      <w:pPr>
        <w:pStyle w:val="NormalWeb"/>
        <w:ind w:left="360"/>
      </w:pPr>
      <w:r w:rsidRPr="000837B3">
        <w:t>(“healthcare workers” OR “nurses” OR “doctors”) AND (“COVID</w:t>
      </w:r>
      <w:r w:rsidRPr="000837B3">
        <w:noBreakHyphen/>
        <w:t>19” OR “coronavirus”) AND (“mental health” OR “burnout” OR “PTSD”) AND (“coping” OR “resilience” OR “institutional support”).</w:t>
      </w:r>
    </w:p>
    <w:p w14:paraId="5422FC62" w14:textId="77777777" w:rsidR="000837B3" w:rsidRPr="000837B3" w:rsidRDefault="000837B3" w:rsidP="000837B3">
      <w:pPr>
        <w:pStyle w:val="NormalWeb"/>
        <w:ind w:left="360"/>
      </w:pPr>
      <w:r w:rsidRPr="000837B3">
        <w:t>Search results overview</w:t>
      </w:r>
    </w:p>
    <w:p w14:paraId="5D392B51" w14:textId="77777777" w:rsidR="000837B3" w:rsidRPr="000837B3" w:rsidRDefault="000837B3">
      <w:pPr>
        <w:pStyle w:val="NormalWeb"/>
        <w:numPr>
          <w:ilvl w:val="0"/>
          <w:numId w:val="11"/>
        </w:numPr>
      </w:pPr>
      <w:r w:rsidRPr="000837B3">
        <w:t>Initial records identified: approximately 450–500</w:t>
      </w:r>
    </w:p>
    <w:p w14:paraId="753FBBF5" w14:textId="77777777" w:rsidR="000837B3" w:rsidRPr="000837B3" w:rsidRDefault="000837B3">
      <w:pPr>
        <w:pStyle w:val="NormalWeb"/>
        <w:numPr>
          <w:ilvl w:val="0"/>
          <w:numId w:val="11"/>
        </w:numPr>
      </w:pPr>
      <w:r w:rsidRPr="000837B3">
        <w:t>After removing duplicates: around 320</w:t>
      </w:r>
    </w:p>
    <w:p w14:paraId="291A97AC" w14:textId="77777777" w:rsidR="000837B3" w:rsidRPr="000837B3" w:rsidRDefault="000837B3">
      <w:pPr>
        <w:pStyle w:val="NormalWeb"/>
        <w:numPr>
          <w:ilvl w:val="0"/>
          <w:numId w:val="11"/>
        </w:numPr>
      </w:pPr>
      <w:r w:rsidRPr="000837B3">
        <w:t>Titles and abstracts screened: 320</w:t>
      </w:r>
    </w:p>
    <w:p w14:paraId="7C396A16" w14:textId="77777777" w:rsidR="000837B3" w:rsidRPr="000837B3" w:rsidRDefault="000837B3">
      <w:pPr>
        <w:pStyle w:val="NormalWeb"/>
        <w:numPr>
          <w:ilvl w:val="0"/>
          <w:numId w:val="11"/>
        </w:numPr>
      </w:pPr>
      <w:r w:rsidRPr="000837B3">
        <w:t>Full</w:t>
      </w:r>
      <w:r w:rsidRPr="000837B3">
        <w:noBreakHyphen/>
        <w:t>text articles assessed: approximately 120</w:t>
      </w:r>
    </w:p>
    <w:p w14:paraId="41A7CE92" w14:textId="77777777" w:rsidR="000837B3" w:rsidRPr="000837B3" w:rsidRDefault="000837B3">
      <w:pPr>
        <w:pStyle w:val="NormalWeb"/>
        <w:numPr>
          <w:ilvl w:val="0"/>
          <w:numId w:val="11"/>
        </w:numPr>
      </w:pPr>
      <w:r w:rsidRPr="000837B3">
        <w:t>Final studies included in thematic analysis: 45–55</w:t>
      </w:r>
    </w:p>
    <w:p w14:paraId="5DAC8530" w14:textId="77777777" w:rsidR="000837B3" w:rsidRDefault="000837B3" w:rsidP="000837B3">
      <w:pPr>
        <w:pStyle w:val="NormalWeb"/>
        <w:ind w:left="360"/>
      </w:pPr>
      <w:r w:rsidRPr="000837B3">
        <w:t>This multi</w:t>
      </w:r>
      <w:r w:rsidRPr="000837B3">
        <w:noBreakHyphen/>
        <w:t>stage process ensured that the final selection of studies was both relevant and academically robust.</w:t>
      </w:r>
    </w:p>
    <w:p w14:paraId="6610B403" w14:textId="77777777" w:rsidR="000837B3" w:rsidRPr="000837B3" w:rsidRDefault="000837B3" w:rsidP="000837B3">
      <w:pPr>
        <w:pStyle w:val="NormalWeb"/>
        <w:ind w:left="360"/>
      </w:pPr>
      <w:r w:rsidRPr="000837B3">
        <w:rPr>
          <w:b/>
          <w:bCs/>
        </w:rPr>
        <w:t>3.2 Inclusion and Exclusion Criteria</w:t>
      </w:r>
    </w:p>
    <w:p w14:paraId="29D6C5E9" w14:textId="77777777" w:rsidR="000837B3" w:rsidRPr="000837B3" w:rsidRDefault="000837B3" w:rsidP="000837B3">
      <w:pPr>
        <w:pStyle w:val="NormalWeb"/>
        <w:ind w:left="360"/>
      </w:pPr>
      <w:r w:rsidRPr="000837B3">
        <w:t>Clear inclusion and exclusion criteria were applied to ensure that only high</w:t>
      </w:r>
      <w:r w:rsidRPr="000837B3">
        <w:noBreakHyphen/>
        <w:t>quality, relevant studies were included in the review.</w:t>
      </w:r>
    </w:p>
    <w:p w14:paraId="2F7347EC" w14:textId="77777777" w:rsidR="000837B3" w:rsidRPr="000837B3" w:rsidRDefault="000837B3" w:rsidP="000837B3">
      <w:pPr>
        <w:pStyle w:val="NormalWeb"/>
        <w:ind w:left="360"/>
      </w:pPr>
      <w:r w:rsidRPr="000837B3">
        <w:rPr>
          <w:b/>
          <w:bCs/>
        </w:rPr>
        <w:t>Inclusion Criteria</w:t>
      </w:r>
    </w:p>
    <w:p w14:paraId="749AFF20" w14:textId="77777777" w:rsidR="000837B3" w:rsidRPr="000837B3" w:rsidRDefault="000837B3">
      <w:pPr>
        <w:pStyle w:val="NormalWeb"/>
        <w:numPr>
          <w:ilvl w:val="0"/>
          <w:numId w:val="12"/>
        </w:numPr>
      </w:pPr>
      <w:r w:rsidRPr="000837B3">
        <w:lastRenderedPageBreak/>
        <w:t>Published between 2020 and 2025 (with earlier studies included only for historical comparison, e.g., SARS, H1N1).</w:t>
      </w:r>
    </w:p>
    <w:p w14:paraId="793A5905" w14:textId="77777777" w:rsidR="000837B3" w:rsidRPr="000837B3" w:rsidRDefault="000837B3">
      <w:pPr>
        <w:pStyle w:val="NormalWeb"/>
        <w:numPr>
          <w:ilvl w:val="0"/>
          <w:numId w:val="12"/>
        </w:numPr>
      </w:pPr>
      <w:r w:rsidRPr="000837B3">
        <w:t>Peer</w:t>
      </w:r>
      <w:r w:rsidRPr="000837B3">
        <w:noBreakHyphen/>
        <w:t>reviewed journal articles, systematic reviews, meta</w:t>
      </w:r>
      <w:r w:rsidRPr="000837B3">
        <w:noBreakHyphen/>
        <w:t>analyses, or official reports (e.g., WHO, NHS, BMA).</w:t>
      </w:r>
    </w:p>
    <w:p w14:paraId="4E761252" w14:textId="77777777" w:rsidR="000837B3" w:rsidRPr="000837B3" w:rsidRDefault="000837B3">
      <w:pPr>
        <w:pStyle w:val="NormalWeb"/>
        <w:numPr>
          <w:ilvl w:val="0"/>
          <w:numId w:val="12"/>
        </w:numPr>
      </w:pPr>
      <w:r w:rsidRPr="000837B3">
        <w:t>Studies focusing on healthcare workers, including doctors, nurses, allied health professionals, and support staff.</w:t>
      </w:r>
    </w:p>
    <w:p w14:paraId="22A9B739" w14:textId="77777777" w:rsidR="000837B3" w:rsidRPr="000837B3" w:rsidRDefault="000837B3">
      <w:pPr>
        <w:pStyle w:val="NormalWeb"/>
        <w:numPr>
          <w:ilvl w:val="0"/>
          <w:numId w:val="12"/>
        </w:numPr>
      </w:pPr>
      <w:r w:rsidRPr="000837B3">
        <w:t>Research examining mental health outcomes, coping mechanisms, or organisational support.</w:t>
      </w:r>
    </w:p>
    <w:p w14:paraId="63E6BA9B" w14:textId="77777777" w:rsidR="000837B3" w:rsidRPr="000837B3" w:rsidRDefault="000837B3">
      <w:pPr>
        <w:pStyle w:val="NormalWeb"/>
        <w:numPr>
          <w:ilvl w:val="0"/>
          <w:numId w:val="12"/>
        </w:numPr>
      </w:pPr>
      <w:r w:rsidRPr="000837B3">
        <w:t>Full</w:t>
      </w:r>
      <w:r w:rsidRPr="000837B3">
        <w:noBreakHyphen/>
        <w:t>text availability.</w:t>
      </w:r>
    </w:p>
    <w:p w14:paraId="2591AF4A" w14:textId="77777777" w:rsidR="000837B3" w:rsidRPr="000837B3" w:rsidRDefault="000837B3">
      <w:pPr>
        <w:pStyle w:val="NormalWeb"/>
        <w:numPr>
          <w:ilvl w:val="0"/>
          <w:numId w:val="12"/>
        </w:numPr>
      </w:pPr>
      <w:r w:rsidRPr="000837B3">
        <w:t>English</w:t>
      </w:r>
      <w:r w:rsidRPr="000837B3">
        <w:noBreakHyphen/>
        <w:t>language publications.</w:t>
      </w:r>
    </w:p>
    <w:p w14:paraId="32D0D316" w14:textId="77777777" w:rsidR="000837B3" w:rsidRPr="000837B3" w:rsidRDefault="000837B3" w:rsidP="000837B3">
      <w:pPr>
        <w:pStyle w:val="NormalWeb"/>
        <w:ind w:left="360"/>
      </w:pPr>
      <w:r w:rsidRPr="000837B3">
        <w:rPr>
          <w:b/>
          <w:bCs/>
        </w:rPr>
        <w:t>Exclusion Criteria</w:t>
      </w:r>
    </w:p>
    <w:p w14:paraId="103EB17C" w14:textId="38FB88EB" w:rsidR="000837B3" w:rsidRPr="000837B3" w:rsidRDefault="000837B3">
      <w:pPr>
        <w:pStyle w:val="NormalWeb"/>
        <w:numPr>
          <w:ilvl w:val="0"/>
          <w:numId w:val="13"/>
        </w:numPr>
      </w:pPr>
      <w:r w:rsidRPr="000837B3">
        <w:t xml:space="preserve">Studies published before 2020 that were not relevant to </w:t>
      </w:r>
      <w:r w:rsidR="00780D58">
        <w:t xml:space="preserve">the </w:t>
      </w:r>
      <w:r w:rsidRPr="000837B3">
        <w:t>historical pandemic comparison.</w:t>
      </w:r>
    </w:p>
    <w:p w14:paraId="502BA841" w14:textId="77777777" w:rsidR="000837B3" w:rsidRPr="000837B3" w:rsidRDefault="000837B3">
      <w:pPr>
        <w:pStyle w:val="NormalWeb"/>
        <w:numPr>
          <w:ilvl w:val="0"/>
          <w:numId w:val="13"/>
        </w:numPr>
      </w:pPr>
      <w:r w:rsidRPr="000837B3">
        <w:t>Non</w:t>
      </w:r>
      <w:r w:rsidRPr="000837B3">
        <w:noBreakHyphen/>
        <w:t>peer</w:t>
      </w:r>
      <w:r w:rsidRPr="000837B3">
        <w:noBreakHyphen/>
        <w:t>reviewed sources such as blogs, opinion pieces, or media articles.</w:t>
      </w:r>
    </w:p>
    <w:p w14:paraId="35E2A705" w14:textId="77777777" w:rsidR="000837B3" w:rsidRPr="000837B3" w:rsidRDefault="000837B3">
      <w:pPr>
        <w:pStyle w:val="NormalWeb"/>
        <w:numPr>
          <w:ilvl w:val="0"/>
          <w:numId w:val="13"/>
        </w:numPr>
      </w:pPr>
      <w:r w:rsidRPr="000837B3">
        <w:t>Studies focusing on the general population rather than HCWs.</w:t>
      </w:r>
    </w:p>
    <w:p w14:paraId="532E49C0" w14:textId="6DCEB9C7" w:rsidR="000837B3" w:rsidRPr="000837B3" w:rsidRDefault="000837B3">
      <w:pPr>
        <w:pStyle w:val="NormalWeb"/>
        <w:numPr>
          <w:ilvl w:val="0"/>
          <w:numId w:val="13"/>
        </w:numPr>
      </w:pPr>
      <w:r w:rsidRPr="000837B3">
        <w:t xml:space="preserve">Articles without </w:t>
      </w:r>
      <w:r w:rsidR="00780D58">
        <w:t xml:space="preserve">an </w:t>
      </w:r>
      <w:r w:rsidRPr="000837B3">
        <w:t>accessible full text.</w:t>
      </w:r>
    </w:p>
    <w:p w14:paraId="31D029E9" w14:textId="77777777" w:rsidR="000837B3" w:rsidRPr="000837B3" w:rsidRDefault="000837B3">
      <w:pPr>
        <w:pStyle w:val="NormalWeb"/>
        <w:numPr>
          <w:ilvl w:val="0"/>
          <w:numId w:val="13"/>
        </w:numPr>
      </w:pPr>
      <w:r w:rsidRPr="000837B3">
        <w:t>Research unrelated to mental health, coping, or organisational support.</w:t>
      </w:r>
    </w:p>
    <w:p w14:paraId="19E49D59" w14:textId="77777777" w:rsidR="000837B3" w:rsidRPr="000837B3" w:rsidRDefault="000837B3" w:rsidP="000837B3">
      <w:pPr>
        <w:pStyle w:val="NormalWeb"/>
        <w:ind w:left="360"/>
      </w:pPr>
      <w:r w:rsidRPr="000837B3">
        <w:rPr>
          <w:b/>
          <w:bCs/>
        </w:rPr>
        <w:t>Screening process</w:t>
      </w:r>
    </w:p>
    <w:p w14:paraId="63EBA370" w14:textId="77777777" w:rsidR="000837B3" w:rsidRPr="000837B3" w:rsidRDefault="000837B3" w:rsidP="000837B3">
      <w:pPr>
        <w:pStyle w:val="NormalWeb"/>
        <w:ind w:left="360"/>
      </w:pPr>
      <w:r w:rsidRPr="000837B3">
        <w:t>The screening process followed three stages:</w:t>
      </w:r>
    </w:p>
    <w:p w14:paraId="61E9EBA8" w14:textId="77777777" w:rsidR="000837B3" w:rsidRPr="000837B3" w:rsidRDefault="000837B3">
      <w:pPr>
        <w:pStyle w:val="NormalWeb"/>
        <w:numPr>
          <w:ilvl w:val="0"/>
          <w:numId w:val="14"/>
        </w:numPr>
      </w:pPr>
      <w:r w:rsidRPr="000837B3">
        <w:rPr>
          <w:b/>
          <w:bCs/>
        </w:rPr>
        <w:t>Title screening:</w:t>
      </w:r>
      <w:r w:rsidRPr="000837B3">
        <w:t xml:space="preserve"> Articles clearly unrelated to HCWs or mental health were excluded.</w:t>
      </w:r>
    </w:p>
    <w:p w14:paraId="6602826A" w14:textId="77777777" w:rsidR="000837B3" w:rsidRPr="000837B3" w:rsidRDefault="000837B3">
      <w:pPr>
        <w:pStyle w:val="NormalWeb"/>
        <w:numPr>
          <w:ilvl w:val="0"/>
          <w:numId w:val="14"/>
        </w:numPr>
      </w:pPr>
      <w:r w:rsidRPr="000837B3">
        <w:rPr>
          <w:b/>
          <w:bCs/>
        </w:rPr>
        <w:t>Abstract screening:</w:t>
      </w:r>
      <w:r w:rsidRPr="000837B3">
        <w:t xml:space="preserve"> Studies that did not address COVID</w:t>
      </w:r>
      <w:r w:rsidRPr="000837B3">
        <w:noBreakHyphen/>
        <w:t>19, pandemics, or psychological outcomes were removed.</w:t>
      </w:r>
    </w:p>
    <w:p w14:paraId="09521C6A" w14:textId="77777777" w:rsidR="000837B3" w:rsidRPr="000837B3" w:rsidRDefault="000837B3">
      <w:pPr>
        <w:pStyle w:val="NormalWeb"/>
        <w:numPr>
          <w:ilvl w:val="0"/>
          <w:numId w:val="14"/>
        </w:numPr>
      </w:pPr>
      <w:r w:rsidRPr="000837B3">
        <w:rPr>
          <w:b/>
          <w:bCs/>
        </w:rPr>
        <w:t>Full</w:t>
      </w:r>
      <w:r w:rsidRPr="000837B3">
        <w:rPr>
          <w:b/>
          <w:bCs/>
        </w:rPr>
        <w:noBreakHyphen/>
        <w:t>text review:</w:t>
      </w:r>
      <w:r w:rsidRPr="000837B3">
        <w:t xml:space="preserve"> Remaining articles were assessed against inclusion and exclusion criteria, with reasons for exclusion recorded (e.g., wrong population, insufficient focus on mental health, weak methodology).</w:t>
      </w:r>
    </w:p>
    <w:p w14:paraId="2E18C44F" w14:textId="77777777" w:rsidR="000837B3" w:rsidRPr="000837B3" w:rsidRDefault="000837B3" w:rsidP="000837B3">
      <w:pPr>
        <w:pStyle w:val="NormalWeb"/>
        <w:ind w:left="360"/>
      </w:pPr>
      <w:r w:rsidRPr="000837B3">
        <w:t>This systematic approach ensured transparency and academic rigour.</w:t>
      </w:r>
    </w:p>
    <w:p w14:paraId="2C91AEE6" w14:textId="77777777" w:rsidR="000837B3" w:rsidRPr="000837B3" w:rsidRDefault="000837B3" w:rsidP="000837B3">
      <w:pPr>
        <w:pStyle w:val="NormalWeb"/>
        <w:ind w:left="360"/>
      </w:pPr>
      <w:r w:rsidRPr="000837B3">
        <w:rPr>
          <w:b/>
          <w:bCs/>
        </w:rPr>
        <w:t>3.3 Validation of Sources</w:t>
      </w:r>
    </w:p>
    <w:p w14:paraId="6BEF67D9" w14:textId="77777777" w:rsidR="000837B3" w:rsidRPr="000837B3" w:rsidRDefault="000837B3" w:rsidP="000837B3">
      <w:pPr>
        <w:pStyle w:val="NormalWeb"/>
        <w:ind w:left="360"/>
      </w:pPr>
      <w:r w:rsidRPr="000837B3">
        <w:t xml:space="preserve">To ensure reliability, each source was evaluated using the </w:t>
      </w:r>
      <w:r w:rsidRPr="000837B3">
        <w:rPr>
          <w:b/>
          <w:bCs/>
        </w:rPr>
        <w:t>CRAAP test</w:t>
      </w:r>
      <w:r w:rsidRPr="000837B3">
        <w:t>, which assesses:</w:t>
      </w:r>
    </w:p>
    <w:p w14:paraId="5A6FD5CF" w14:textId="77777777" w:rsidR="000837B3" w:rsidRPr="000837B3" w:rsidRDefault="000837B3" w:rsidP="000837B3">
      <w:pPr>
        <w:pStyle w:val="NormalWeb"/>
        <w:ind w:left="360"/>
      </w:pPr>
      <w:r w:rsidRPr="000837B3">
        <w:rPr>
          <w:b/>
          <w:bCs/>
        </w:rPr>
        <w:t>Currency</w:t>
      </w:r>
    </w:p>
    <w:p w14:paraId="0F6A4849" w14:textId="77777777" w:rsidR="000837B3" w:rsidRPr="000837B3" w:rsidRDefault="000837B3" w:rsidP="000837B3">
      <w:pPr>
        <w:pStyle w:val="NormalWeb"/>
        <w:ind w:left="360"/>
      </w:pPr>
      <w:r w:rsidRPr="000837B3">
        <w:t>Most sources were published between 2020 and 2024, ensuring relevance to the COVID</w:t>
      </w:r>
      <w:r w:rsidRPr="000837B3">
        <w:noBreakHyphen/>
        <w:t>19 context. Earlier studies (e.g., Maunder et al., 2006; Wu et al., 2009) were included only to provide historical context.</w:t>
      </w:r>
    </w:p>
    <w:p w14:paraId="7B63C313" w14:textId="77777777" w:rsidR="000837B3" w:rsidRPr="000837B3" w:rsidRDefault="000837B3" w:rsidP="000837B3">
      <w:pPr>
        <w:pStyle w:val="NormalWeb"/>
        <w:ind w:left="360"/>
      </w:pPr>
      <w:r w:rsidRPr="000837B3">
        <w:rPr>
          <w:b/>
          <w:bCs/>
        </w:rPr>
        <w:t>Relevance</w:t>
      </w:r>
    </w:p>
    <w:p w14:paraId="3D3FB6B3" w14:textId="77777777" w:rsidR="000837B3" w:rsidRPr="000837B3" w:rsidRDefault="000837B3" w:rsidP="000837B3">
      <w:pPr>
        <w:pStyle w:val="NormalWeb"/>
        <w:ind w:left="360"/>
      </w:pPr>
      <w:r w:rsidRPr="000837B3">
        <w:t>Only studies directly addressing HCWs’ mental health, coping mechanisms, or organisational support were included. Articles focusing solely on virology or clinical outcomes were excluded.</w:t>
      </w:r>
    </w:p>
    <w:p w14:paraId="5050C22D" w14:textId="77777777" w:rsidR="000837B3" w:rsidRPr="000837B3" w:rsidRDefault="000837B3" w:rsidP="000837B3">
      <w:pPr>
        <w:pStyle w:val="NormalWeb"/>
        <w:ind w:left="360"/>
      </w:pPr>
      <w:r w:rsidRPr="000837B3">
        <w:rPr>
          <w:b/>
          <w:bCs/>
        </w:rPr>
        <w:t>Authority</w:t>
      </w:r>
    </w:p>
    <w:p w14:paraId="45360752" w14:textId="77777777" w:rsidR="000837B3" w:rsidRPr="000837B3" w:rsidRDefault="000837B3" w:rsidP="000837B3">
      <w:pPr>
        <w:pStyle w:val="NormalWeb"/>
        <w:ind w:left="360"/>
      </w:pPr>
      <w:r w:rsidRPr="000837B3">
        <w:t>Priority was given to peer</w:t>
      </w:r>
      <w:r w:rsidRPr="000837B3">
        <w:noBreakHyphen/>
        <w:t>reviewed journals, government publications, and reputable organisations such as the WHO, NHS, BMA, and Royal Colleges.</w:t>
      </w:r>
    </w:p>
    <w:p w14:paraId="44C3BFDD" w14:textId="77777777" w:rsidR="000837B3" w:rsidRPr="000837B3" w:rsidRDefault="000837B3" w:rsidP="000837B3">
      <w:pPr>
        <w:pStyle w:val="NormalWeb"/>
        <w:ind w:left="360"/>
      </w:pPr>
      <w:r w:rsidRPr="000837B3">
        <w:rPr>
          <w:b/>
          <w:bCs/>
        </w:rPr>
        <w:t>Accuracy</w:t>
      </w:r>
    </w:p>
    <w:p w14:paraId="1F04AC55" w14:textId="77777777" w:rsidR="000837B3" w:rsidRPr="000837B3" w:rsidRDefault="000837B3" w:rsidP="000837B3">
      <w:pPr>
        <w:pStyle w:val="NormalWeb"/>
        <w:ind w:left="360"/>
      </w:pPr>
      <w:r w:rsidRPr="000837B3">
        <w:lastRenderedPageBreak/>
        <w:t>Studies with clear methodology, transparent data reporting, and credible analysis were selected. Systematic reviews and large</w:t>
      </w:r>
      <w:r w:rsidRPr="000837B3">
        <w:noBreakHyphen/>
        <w:t>scale surveys were prioritised where available.</w:t>
      </w:r>
    </w:p>
    <w:p w14:paraId="11540B3A" w14:textId="77777777" w:rsidR="000837B3" w:rsidRPr="000837B3" w:rsidRDefault="000837B3" w:rsidP="000837B3">
      <w:pPr>
        <w:pStyle w:val="NormalWeb"/>
        <w:ind w:left="360"/>
      </w:pPr>
      <w:r w:rsidRPr="000837B3">
        <w:rPr>
          <w:b/>
          <w:bCs/>
        </w:rPr>
        <w:t>Purpose</w:t>
      </w:r>
    </w:p>
    <w:p w14:paraId="603F7B72" w14:textId="77777777" w:rsidR="000837B3" w:rsidRPr="000837B3" w:rsidRDefault="000837B3" w:rsidP="000837B3">
      <w:pPr>
        <w:pStyle w:val="NormalWeb"/>
        <w:ind w:left="360"/>
      </w:pPr>
      <w:r w:rsidRPr="000837B3">
        <w:t>Sources were assessed for objectivity, avoiding those with commercial or political bias. Editorials were used only to contextualise debates, not as primary evidence.</w:t>
      </w:r>
    </w:p>
    <w:p w14:paraId="7E6FBA46" w14:textId="77777777" w:rsidR="000837B3" w:rsidRPr="000837B3" w:rsidRDefault="000837B3" w:rsidP="000837B3">
      <w:pPr>
        <w:pStyle w:val="NormalWeb"/>
        <w:ind w:left="360"/>
      </w:pPr>
      <w:r w:rsidRPr="000837B3">
        <w:t>Applying the CRAAP test strengthened the academic integrity of the dissertation and ensured that conclusions were based on trustworthy evidence.</w:t>
      </w:r>
    </w:p>
    <w:p w14:paraId="03927EEA" w14:textId="77777777" w:rsidR="000837B3" w:rsidRPr="000837B3" w:rsidRDefault="000837B3" w:rsidP="000837B3">
      <w:pPr>
        <w:pStyle w:val="NormalWeb"/>
        <w:ind w:left="360"/>
      </w:pPr>
      <w:r w:rsidRPr="000837B3">
        <w:rPr>
          <w:b/>
          <w:bCs/>
        </w:rPr>
        <w:t>3.4 Thematic Coding</w:t>
      </w:r>
    </w:p>
    <w:p w14:paraId="261B9BD4" w14:textId="77777777" w:rsidR="000837B3" w:rsidRPr="000837B3" w:rsidRDefault="000837B3" w:rsidP="000837B3">
      <w:pPr>
        <w:pStyle w:val="NormalWeb"/>
        <w:ind w:left="360"/>
      </w:pPr>
      <w:r w:rsidRPr="000837B3">
        <w:t xml:space="preserve">A </w:t>
      </w:r>
      <w:r w:rsidRPr="000837B3">
        <w:rPr>
          <w:b/>
          <w:bCs/>
        </w:rPr>
        <w:t>thematic analysis</w:t>
      </w:r>
      <w:r w:rsidRPr="000837B3">
        <w:t xml:space="preserve"> approach was used to identify patterns across the selected literature. Thematic analysis is defined by Braun and Clarke (2006) as “a method for identifying, analysing, and reporting patterns (themes) within data.” It was appropriate for this dissertation because it allowed the synthesis of diverse quantitative and qualitative studies.</w:t>
      </w:r>
    </w:p>
    <w:p w14:paraId="0C35E3CA" w14:textId="77777777" w:rsidR="000837B3" w:rsidRPr="000837B3" w:rsidRDefault="000837B3" w:rsidP="000837B3">
      <w:pPr>
        <w:pStyle w:val="NormalWeb"/>
        <w:ind w:left="360"/>
      </w:pPr>
      <w:r w:rsidRPr="000837B3">
        <w:rPr>
          <w:b/>
          <w:bCs/>
        </w:rPr>
        <w:t>Stages of thematic analysis</w:t>
      </w:r>
    </w:p>
    <w:p w14:paraId="0A70799A" w14:textId="77777777" w:rsidR="000837B3" w:rsidRPr="000837B3" w:rsidRDefault="000837B3">
      <w:pPr>
        <w:pStyle w:val="NormalWeb"/>
        <w:numPr>
          <w:ilvl w:val="0"/>
          <w:numId w:val="15"/>
        </w:numPr>
      </w:pPr>
      <w:r w:rsidRPr="000837B3">
        <w:rPr>
          <w:b/>
          <w:bCs/>
        </w:rPr>
        <w:t>Familiarisation:</w:t>
      </w:r>
      <w:r w:rsidRPr="000837B3">
        <w:br/>
        <w:t>Each article was read multiple times to understand its key findings, context, and methodological strengths or limitations.</w:t>
      </w:r>
    </w:p>
    <w:p w14:paraId="17F5CBC9" w14:textId="77777777" w:rsidR="000837B3" w:rsidRPr="000837B3" w:rsidRDefault="000837B3">
      <w:pPr>
        <w:pStyle w:val="NormalWeb"/>
        <w:numPr>
          <w:ilvl w:val="0"/>
          <w:numId w:val="15"/>
        </w:numPr>
      </w:pPr>
      <w:r w:rsidRPr="000837B3">
        <w:rPr>
          <w:b/>
          <w:bCs/>
        </w:rPr>
        <w:t>Initial coding:</w:t>
      </w:r>
      <w:r w:rsidRPr="000837B3">
        <w:br/>
        <w:t>Relevant data related to mental health challenges, coping mechanisms, and institutional support were highlighted and coded. Codes included terms such as “anxiety,” “burnout,” “PPE shortages,” “peer support,” and “leadership.”</w:t>
      </w:r>
    </w:p>
    <w:p w14:paraId="19F438B0" w14:textId="62C48E24" w:rsidR="000837B3" w:rsidRPr="000837B3" w:rsidRDefault="000837B3" w:rsidP="000837B3">
      <w:pPr>
        <w:pStyle w:val="NormalWeb"/>
        <w:ind w:left="360"/>
      </w:pPr>
      <w:r>
        <w:t>3.</w:t>
      </w:r>
      <w:r w:rsidRPr="000837B3">
        <w:t xml:space="preserve"> Theme</w:t>
      </w:r>
      <w:r w:rsidRPr="000837B3">
        <w:rPr>
          <w:b/>
          <w:bCs/>
        </w:rPr>
        <w:t xml:space="preserve"> development:</w:t>
      </w:r>
      <w:r w:rsidRPr="000837B3">
        <w:br/>
        <w:t>Similar codes were grouped into broader themes. Three major themes emerged:</w:t>
      </w:r>
    </w:p>
    <w:p w14:paraId="492F7AC6" w14:textId="77777777" w:rsidR="000837B3" w:rsidRPr="000837B3" w:rsidRDefault="000837B3">
      <w:pPr>
        <w:pStyle w:val="NormalWeb"/>
        <w:numPr>
          <w:ilvl w:val="1"/>
          <w:numId w:val="16"/>
        </w:numPr>
      </w:pPr>
      <w:r w:rsidRPr="000837B3">
        <w:t>Mental health challenges</w:t>
      </w:r>
    </w:p>
    <w:p w14:paraId="3D85D8AB" w14:textId="77777777" w:rsidR="000837B3" w:rsidRPr="000837B3" w:rsidRDefault="000837B3">
      <w:pPr>
        <w:pStyle w:val="NormalWeb"/>
        <w:numPr>
          <w:ilvl w:val="1"/>
          <w:numId w:val="16"/>
        </w:numPr>
      </w:pPr>
      <w:r w:rsidRPr="000837B3">
        <w:t>Coping mechanisms</w:t>
      </w:r>
    </w:p>
    <w:p w14:paraId="52D5F0AF" w14:textId="77777777" w:rsidR="000837B3" w:rsidRPr="000837B3" w:rsidRDefault="000837B3">
      <w:pPr>
        <w:pStyle w:val="NormalWeb"/>
        <w:numPr>
          <w:ilvl w:val="1"/>
          <w:numId w:val="16"/>
        </w:numPr>
      </w:pPr>
      <w:r w:rsidRPr="000837B3">
        <w:t>Institutional support</w:t>
      </w:r>
    </w:p>
    <w:p w14:paraId="747F5E3C" w14:textId="2E1AE916" w:rsidR="000837B3" w:rsidRPr="000837B3" w:rsidRDefault="000837B3">
      <w:pPr>
        <w:pStyle w:val="NormalWeb"/>
        <w:numPr>
          <w:ilvl w:val="0"/>
          <w:numId w:val="14"/>
        </w:numPr>
      </w:pPr>
      <w:r w:rsidRPr="000837B3">
        <w:rPr>
          <w:b/>
          <w:bCs/>
        </w:rPr>
        <w:t>Reviewing themes:</w:t>
      </w:r>
      <w:r w:rsidRPr="000837B3">
        <w:br/>
        <w:t>Themes were checked against the coded extracts and the full data set to ensure they accurately reflected the literature.</w:t>
      </w:r>
    </w:p>
    <w:p w14:paraId="554F1CE1" w14:textId="77777777" w:rsidR="000837B3" w:rsidRPr="000837B3" w:rsidRDefault="000837B3">
      <w:pPr>
        <w:pStyle w:val="NormalWeb"/>
        <w:numPr>
          <w:ilvl w:val="0"/>
          <w:numId w:val="14"/>
        </w:numPr>
      </w:pPr>
      <w:r w:rsidRPr="000837B3">
        <w:rPr>
          <w:b/>
          <w:bCs/>
        </w:rPr>
        <w:t>Defining and naming themes:</w:t>
      </w:r>
      <w:r w:rsidRPr="000837B3">
        <w:br/>
        <w:t>Each theme was clearly defined, with attention to how it contributed to answering the research questions.</w:t>
      </w:r>
    </w:p>
    <w:p w14:paraId="5713D1F5" w14:textId="77777777" w:rsidR="000837B3" w:rsidRPr="000837B3" w:rsidRDefault="000837B3">
      <w:pPr>
        <w:pStyle w:val="NormalWeb"/>
        <w:numPr>
          <w:ilvl w:val="0"/>
          <w:numId w:val="14"/>
        </w:numPr>
      </w:pPr>
      <w:r w:rsidRPr="000837B3">
        <w:rPr>
          <w:b/>
          <w:bCs/>
        </w:rPr>
        <w:t>Producing the narrative:</w:t>
      </w:r>
      <w:r w:rsidRPr="000837B3">
        <w:br/>
        <w:t>The final step involved integrating the themes into a coherent narrative, linking them to theoretical frameworks and policy contexts.</w:t>
      </w:r>
    </w:p>
    <w:p w14:paraId="2E6A8543" w14:textId="77777777" w:rsidR="000837B3" w:rsidRDefault="000837B3" w:rsidP="000837B3">
      <w:pPr>
        <w:pStyle w:val="NormalWeb"/>
        <w:ind w:left="360"/>
      </w:pPr>
      <w:r w:rsidRPr="000837B3">
        <w:t>This structured approach ensured that the findings presented in Chapter 4 were grounded in systematic and transparent analysis.</w:t>
      </w:r>
    </w:p>
    <w:p w14:paraId="0BB685DF" w14:textId="00F0391A" w:rsidR="00454AEC" w:rsidRPr="000837B3" w:rsidRDefault="00454AEC" w:rsidP="000837B3">
      <w:pPr>
        <w:pStyle w:val="NormalWeb"/>
        <w:ind w:left="360"/>
      </w:pPr>
      <w:r w:rsidRPr="00454AEC">
        <w:t>Thematic analysis was selected because it is flexible and well</w:t>
      </w:r>
      <w:r w:rsidRPr="00454AEC">
        <w:noBreakHyphen/>
        <w:t xml:space="preserve">suited to synthesising diverse qualitative and quantitative findings. One strength of thematic analysis is its ability to identify patterns across studies while allowing for nuanced interpretation. It also supports the integration of different types of data, such as survey results, interviews, and policy documents. However, </w:t>
      </w:r>
      <w:r w:rsidRPr="00454AEC">
        <w:lastRenderedPageBreak/>
        <w:t>thematic analysis has limitations. It relies on the researcher’s judgement, which introduces the potential for bias. To minimise this, themes were developed through repeated reading, cross</w:t>
      </w:r>
      <w:r w:rsidRPr="00454AEC">
        <w:noBreakHyphen/>
        <w:t>checking, and comparison with existing literature. Another limitation is that thematic analysis cannot establish causation. Instead, it identifies associations and recurring patterns. Despite these limitations, thematic analysis provides a clear and systematic approach for organising complex data and answering the research questions.</w:t>
      </w:r>
    </w:p>
    <w:p w14:paraId="14B6F66D" w14:textId="77777777" w:rsidR="000837B3" w:rsidRPr="000837B3" w:rsidRDefault="000837B3" w:rsidP="000837B3">
      <w:pPr>
        <w:pStyle w:val="NormalWeb"/>
        <w:ind w:left="360"/>
      </w:pPr>
      <w:r w:rsidRPr="000837B3">
        <w:rPr>
          <w:b/>
          <w:bCs/>
        </w:rPr>
        <w:t>3.5 Ethical Considerations</w:t>
      </w:r>
    </w:p>
    <w:p w14:paraId="4A187FB9" w14:textId="77777777" w:rsidR="000837B3" w:rsidRPr="000837B3" w:rsidRDefault="000837B3" w:rsidP="000837B3">
      <w:pPr>
        <w:pStyle w:val="NormalWeb"/>
        <w:ind w:left="360"/>
      </w:pPr>
      <w:r w:rsidRPr="000837B3">
        <w:t>Although this study used secondary data, ethical principles were followed throughout. The research respected the intellectual property of original authors by providing accurate citations and avoiding misrepresentation of findings. No personal or confidential data were collected, and all sources were used in accordance with academic integrity guidelines.</w:t>
      </w:r>
    </w:p>
    <w:p w14:paraId="28E8CB07" w14:textId="2DB1AE90" w:rsidR="000837B3" w:rsidRDefault="000837B3" w:rsidP="000837B3">
      <w:pPr>
        <w:pStyle w:val="NormalWeb"/>
        <w:ind w:left="360"/>
      </w:pPr>
      <w:r w:rsidRPr="000837B3">
        <w:t>Transparency was maintained by clearly explaining the search process, inclusion and exclusion criteria, and analytical approach. This ensures that the research is replicable and ethically sound. The dissertation also acknowledges the limitations of secondary research, including reliance on existing data and potential publication bias.</w:t>
      </w:r>
    </w:p>
    <w:p w14:paraId="64DD9A2F" w14:textId="355089C1" w:rsidR="00780D58" w:rsidRDefault="00780D58" w:rsidP="000837B3">
      <w:pPr>
        <w:pStyle w:val="NormalWeb"/>
        <w:ind w:left="360"/>
      </w:pPr>
    </w:p>
    <w:p w14:paraId="183F3D31" w14:textId="2B8458FD" w:rsidR="00780D58" w:rsidRDefault="00780D58" w:rsidP="000837B3">
      <w:pPr>
        <w:pStyle w:val="NormalWeb"/>
        <w:ind w:left="360"/>
      </w:pPr>
    </w:p>
    <w:p w14:paraId="60E0AFE1" w14:textId="6DC17871" w:rsidR="00780D58" w:rsidRDefault="00454AEC" w:rsidP="000837B3">
      <w:pPr>
        <w:pStyle w:val="NormalWeb"/>
        <w:ind w:left="360"/>
      </w:pPr>
      <w:r w:rsidRPr="00041004">
        <w:rPr>
          <w:rFonts w:ascii="Calibri" w:hAnsi="Calibri" w:cs="Calibri"/>
          <w:b/>
          <w:bCs/>
          <w:noProof/>
          <w:sz w:val="28"/>
          <w:szCs w:val="28"/>
        </w:rPr>
        <w:drawing>
          <wp:anchor distT="0" distB="0" distL="114300" distR="114300" simplePos="0" relativeHeight="251659264" behindDoc="0" locked="0" layoutInCell="1" allowOverlap="1" wp14:anchorId="20FFFECF" wp14:editId="736E64E0">
            <wp:simplePos x="0" y="0"/>
            <wp:positionH relativeFrom="margin">
              <wp:posOffset>572190</wp:posOffset>
            </wp:positionH>
            <wp:positionV relativeFrom="paragraph">
              <wp:posOffset>97404</wp:posOffset>
            </wp:positionV>
            <wp:extent cx="2870421" cy="1630945"/>
            <wp:effectExtent l="0" t="0" r="6350" b="7620"/>
            <wp:wrapNone/>
            <wp:docPr id="1683741570"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41570" name="Picture 1" descr="A screenshot of a compute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0421" cy="1630945"/>
                    </a:xfrm>
                    <a:prstGeom prst="rect">
                      <a:avLst/>
                    </a:prstGeom>
                  </pic:spPr>
                </pic:pic>
              </a:graphicData>
            </a:graphic>
            <wp14:sizeRelH relativeFrom="margin">
              <wp14:pctWidth>0</wp14:pctWidth>
            </wp14:sizeRelH>
            <wp14:sizeRelV relativeFrom="margin">
              <wp14:pctHeight>0</wp14:pctHeight>
            </wp14:sizeRelV>
          </wp:anchor>
        </w:drawing>
      </w:r>
    </w:p>
    <w:p w14:paraId="2832B3A6" w14:textId="4A8699BA" w:rsidR="00780D58" w:rsidRDefault="00780D58" w:rsidP="000837B3">
      <w:pPr>
        <w:pStyle w:val="NormalWeb"/>
        <w:ind w:left="360"/>
      </w:pPr>
    </w:p>
    <w:p w14:paraId="177BD21D" w14:textId="77777777" w:rsidR="00780D58" w:rsidRDefault="00780D58" w:rsidP="000837B3">
      <w:pPr>
        <w:pStyle w:val="NormalWeb"/>
        <w:ind w:left="360"/>
      </w:pPr>
    </w:p>
    <w:p w14:paraId="032B4187" w14:textId="77777777" w:rsidR="00780D58" w:rsidRDefault="00780D58" w:rsidP="000837B3">
      <w:pPr>
        <w:pStyle w:val="NormalWeb"/>
        <w:ind w:left="360"/>
      </w:pPr>
    </w:p>
    <w:p w14:paraId="468EC5C6" w14:textId="77777777" w:rsidR="00780D58" w:rsidRDefault="00780D58" w:rsidP="000837B3">
      <w:pPr>
        <w:pStyle w:val="NormalWeb"/>
        <w:ind w:left="360"/>
      </w:pPr>
    </w:p>
    <w:p w14:paraId="0FD36D0A" w14:textId="77777777" w:rsidR="00780D58" w:rsidRDefault="00780D58" w:rsidP="000837B3">
      <w:pPr>
        <w:pStyle w:val="NormalWeb"/>
        <w:ind w:left="360"/>
      </w:pPr>
    </w:p>
    <w:p w14:paraId="0C45B23C" w14:textId="77777777" w:rsidR="000837B3" w:rsidRPr="000837B3" w:rsidRDefault="000837B3" w:rsidP="000837B3">
      <w:pPr>
        <w:pStyle w:val="NormalWeb"/>
        <w:ind w:left="360"/>
      </w:pPr>
      <w:r w:rsidRPr="000837B3">
        <w:rPr>
          <w:b/>
          <w:bCs/>
        </w:rPr>
        <w:t>3.6 Summary</w:t>
      </w:r>
    </w:p>
    <w:p w14:paraId="68D35F3E" w14:textId="77777777" w:rsidR="000837B3" w:rsidRDefault="000837B3" w:rsidP="000837B3">
      <w:pPr>
        <w:pStyle w:val="NormalWeb"/>
        <w:ind w:left="360"/>
      </w:pPr>
      <w:r w:rsidRPr="000837B3">
        <w:t>This chapter outlined the methodological approach used to investigate the mental health impact of COVID</w:t>
      </w:r>
      <w:r w:rsidRPr="000837B3">
        <w:noBreakHyphen/>
        <w:t>19 on healthcare workers. A structured search strategy, clear inclusion and exclusion criteria, rigorous source validation, and systematic thematic coding ensured that the findings presented in Chapter 4 are grounded in high</w:t>
      </w:r>
      <w:r w:rsidRPr="000837B3">
        <w:noBreakHyphen/>
        <w:t>quality evidence. Together, these methods provide a strong foundation for analysing the psychological challenges, coping mechanisms, and institutional support systems explored in the next chapter.</w:t>
      </w:r>
    </w:p>
    <w:p w14:paraId="5E1842E1" w14:textId="77777777" w:rsidR="0040428C" w:rsidRPr="0040428C" w:rsidRDefault="0040428C" w:rsidP="0040428C">
      <w:pPr>
        <w:pStyle w:val="NormalWeb"/>
        <w:ind w:left="360"/>
      </w:pPr>
      <w:r w:rsidRPr="0040428C">
        <w:rPr>
          <w:b/>
          <w:bCs/>
        </w:rPr>
        <w:t>3.7 Limitations of the Methodology</w:t>
      </w:r>
    </w:p>
    <w:p w14:paraId="26005369" w14:textId="3DFB9494" w:rsidR="0040428C" w:rsidRPr="000837B3" w:rsidRDefault="0040428C" w:rsidP="0040428C">
      <w:pPr>
        <w:pStyle w:val="NormalWeb"/>
        <w:ind w:left="360"/>
      </w:pPr>
      <w:r w:rsidRPr="0040428C">
        <w:t xml:space="preserve">Although secondary research provides a broad and ethically sound foundation for analysis, it has several limitations. The dissertation relies on existing studies, meaning the quality of findings is dependent on the methodological rigour of the original research. </w:t>
      </w:r>
      <w:proofErr w:type="gramStart"/>
      <w:r w:rsidRPr="0040428C">
        <w:t>Many</w:t>
      </w:r>
      <w:proofErr w:type="gramEnd"/>
      <w:r w:rsidRPr="0040428C">
        <w:t xml:space="preserve"> COVID</w:t>
      </w:r>
      <w:r w:rsidRPr="0040428C">
        <w:noBreakHyphen/>
        <w:t>19 studies used cross</w:t>
      </w:r>
      <w:r w:rsidRPr="0040428C">
        <w:noBreakHyphen/>
        <w:t xml:space="preserve">sectional designs, which </w:t>
      </w:r>
      <w:r>
        <w:t>limit</w:t>
      </w:r>
      <w:r w:rsidRPr="0040428C">
        <w:t xml:space="preserve"> the ability to assess long</w:t>
      </w:r>
      <w:r w:rsidRPr="0040428C">
        <w:noBreakHyphen/>
        <w:t xml:space="preserve">term psychological outcomes. Publication bias may also be present, as studies reporting severe mental health impacts are more likely to be published. International comparisons are constrained by </w:t>
      </w:r>
      <w:r w:rsidRPr="0040428C">
        <w:lastRenderedPageBreak/>
        <w:t>differences in healthcare systems, cultural contexts, and data collection methods, making it difficult to generalise findings across countries. Despite these limitations, the systematic search strategy, clear inclusion and exclusion criteria, and critical evaluation of sources strengthen the reliability and validity of the conclusions.</w:t>
      </w:r>
    </w:p>
    <w:p w14:paraId="418868AF" w14:textId="090792CF" w:rsidR="000837B3" w:rsidRPr="000837B3" w:rsidRDefault="000837B3" w:rsidP="000837B3">
      <w:pPr>
        <w:pStyle w:val="NormalWeb"/>
        <w:ind w:left="360"/>
      </w:pPr>
      <w:r>
        <w:rPr>
          <w:b/>
          <w:bCs/>
        </w:rPr>
        <w:t xml:space="preserve">Chapter </w:t>
      </w:r>
      <w:r w:rsidRPr="000837B3">
        <w:rPr>
          <w:b/>
          <w:bCs/>
        </w:rPr>
        <w:t>4: Findings and Discussion</w:t>
      </w:r>
    </w:p>
    <w:p w14:paraId="2924E60E" w14:textId="77777777" w:rsidR="000837B3" w:rsidRPr="000837B3" w:rsidRDefault="000837B3" w:rsidP="000837B3">
      <w:pPr>
        <w:pStyle w:val="NormalWeb"/>
        <w:ind w:left="360"/>
      </w:pPr>
      <w:r w:rsidRPr="000837B3">
        <w:rPr>
          <w:b/>
          <w:bCs/>
        </w:rPr>
        <w:t>4.1 Introduction</w:t>
      </w:r>
    </w:p>
    <w:p w14:paraId="079A70D2" w14:textId="77777777" w:rsidR="000837B3" w:rsidRDefault="000837B3" w:rsidP="000837B3">
      <w:pPr>
        <w:pStyle w:val="NormalWeb"/>
        <w:ind w:left="360"/>
      </w:pPr>
      <w:r w:rsidRPr="000837B3">
        <w:t xml:space="preserve">This chapter presents the key findings from the secondary research and discusses them in relation to existing literature, theoretical frameworks, and international and UK policy contexts. The thematic analysis identified three major themes across the reviewed studies: </w:t>
      </w:r>
      <w:r w:rsidRPr="000837B3">
        <w:rPr>
          <w:b/>
          <w:bCs/>
        </w:rPr>
        <w:t>mental health challenges</w:t>
      </w:r>
      <w:r w:rsidRPr="000837B3">
        <w:t xml:space="preserve">, </w:t>
      </w:r>
      <w:r w:rsidRPr="000837B3">
        <w:rPr>
          <w:b/>
          <w:bCs/>
        </w:rPr>
        <w:t>coping mechanisms</w:t>
      </w:r>
      <w:r w:rsidRPr="000837B3">
        <w:t xml:space="preserve">, and </w:t>
      </w:r>
      <w:r w:rsidRPr="000837B3">
        <w:rPr>
          <w:b/>
          <w:bCs/>
        </w:rPr>
        <w:t>institutional support</w:t>
      </w:r>
      <w:r w:rsidRPr="000837B3">
        <w:t>. Each theme is explored in depth, with critical comparisons between authors, evaluation of methodological strengths and limitations, and discussion of the implications for healthcare systems. The chapter demonstrates how the pandemic affected HCWs psychologically, how they attempted to cope, and how organisational responses shaped their experiences.</w:t>
      </w:r>
    </w:p>
    <w:p w14:paraId="1B817BF5" w14:textId="77777777" w:rsidR="000837B3" w:rsidRPr="000837B3" w:rsidRDefault="000837B3" w:rsidP="000837B3">
      <w:pPr>
        <w:pStyle w:val="NormalWeb"/>
        <w:ind w:left="360"/>
      </w:pPr>
      <w:r w:rsidRPr="000837B3">
        <w:rPr>
          <w:b/>
          <w:bCs/>
        </w:rPr>
        <w:t>4.2 Thematic Analysis</w:t>
      </w:r>
    </w:p>
    <w:p w14:paraId="517D1DC0" w14:textId="77777777" w:rsidR="000837B3" w:rsidRPr="000837B3" w:rsidRDefault="000837B3" w:rsidP="000837B3">
      <w:pPr>
        <w:pStyle w:val="NormalWeb"/>
        <w:ind w:left="360"/>
      </w:pPr>
      <w:r w:rsidRPr="000837B3">
        <w:t>The thematic analysis followed Braun and Clarke’s (2006) six</w:t>
      </w:r>
      <w:r w:rsidRPr="000837B3">
        <w:noBreakHyphen/>
        <w:t>stage framework and identified three overarching themes:</w:t>
      </w:r>
    </w:p>
    <w:p w14:paraId="47EB2DFC" w14:textId="77777777" w:rsidR="000837B3" w:rsidRPr="000837B3" w:rsidRDefault="000837B3">
      <w:pPr>
        <w:pStyle w:val="NormalWeb"/>
        <w:numPr>
          <w:ilvl w:val="0"/>
          <w:numId w:val="17"/>
        </w:numPr>
      </w:pPr>
      <w:r w:rsidRPr="000837B3">
        <w:rPr>
          <w:b/>
          <w:bCs/>
        </w:rPr>
        <w:t>Mental health challenges</w:t>
      </w:r>
    </w:p>
    <w:p w14:paraId="244FF138" w14:textId="77777777" w:rsidR="000837B3" w:rsidRPr="000837B3" w:rsidRDefault="000837B3">
      <w:pPr>
        <w:pStyle w:val="NormalWeb"/>
        <w:numPr>
          <w:ilvl w:val="0"/>
          <w:numId w:val="17"/>
        </w:numPr>
      </w:pPr>
      <w:r w:rsidRPr="000837B3">
        <w:rPr>
          <w:b/>
          <w:bCs/>
        </w:rPr>
        <w:t>Coping mechanisms</w:t>
      </w:r>
    </w:p>
    <w:p w14:paraId="29E5AE90" w14:textId="77777777" w:rsidR="000837B3" w:rsidRPr="000837B3" w:rsidRDefault="000837B3">
      <w:pPr>
        <w:pStyle w:val="NormalWeb"/>
        <w:numPr>
          <w:ilvl w:val="0"/>
          <w:numId w:val="17"/>
        </w:numPr>
      </w:pPr>
      <w:r w:rsidRPr="000837B3">
        <w:rPr>
          <w:b/>
          <w:bCs/>
        </w:rPr>
        <w:t>Institutional support</w:t>
      </w:r>
    </w:p>
    <w:p w14:paraId="6B668D25" w14:textId="77777777" w:rsidR="000837B3" w:rsidRPr="000837B3" w:rsidRDefault="000837B3" w:rsidP="000837B3">
      <w:pPr>
        <w:pStyle w:val="NormalWeb"/>
        <w:ind w:left="360"/>
      </w:pPr>
      <w:r w:rsidRPr="000837B3">
        <w:t>These themes were consistently present across international studies, although their severity and expression varied depending on context, resources, and organisational culture. The themes are discussed in detail below.</w:t>
      </w:r>
    </w:p>
    <w:p w14:paraId="27613839" w14:textId="77777777" w:rsidR="000837B3" w:rsidRPr="000837B3" w:rsidRDefault="000837B3" w:rsidP="000837B3">
      <w:pPr>
        <w:pStyle w:val="NormalWeb"/>
        <w:ind w:left="360"/>
      </w:pPr>
      <w:r w:rsidRPr="000837B3">
        <w:rPr>
          <w:b/>
          <w:bCs/>
        </w:rPr>
        <w:t>4.3 Mental Health Challenges</w:t>
      </w:r>
    </w:p>
    <w:p w14:paraId="57B6B31B" w14:textId="77777777" w:rsidR="000837B3" w:rsidRPr="000837B3" w:rsidRDefault="000837B3" w:rsidP="000837B3">
      <w:pPr>
        <w:pStyle w:val="NormalWeb"/>
        <w:ind w:left="360"/>
      </w:pPr>
      <w:r w:rsidRPr="000837B3">
        <w:t>Across the literature, HCWs experienced significant psychological distress during the COVID</w:t>
      </w:r>
      <w:r w:rsidRPr="000837B3">
        <w:noBreakHyphen/>
        <w:t xml:space="preserve">19 pandemic. The most frequently reported mental health challenges included </w:t>
      </w:r>
      <w:r w:rsidRPr="000837B3">
        <w:rPr>
          <w:b/>
          <w:bCs/>
        </w:rPr>
        <w:t>anxiety</w:t>
      </w:r>
      <w:r w:rsidRPr="000837B3">
        <w:t xml:space="preserve">, </w:t>
      </w:r>
      <w:r w:rsidRPr="000837B3">
        <w:rPr>
          <w:b/>
          <w:bCs/>
        </w:rPr>
        <w:t>depression</w:t>
      </w:r>
      <w:r w:rsidRPr="000837B3">
        <w:t xml:space="preserve">, </w:t>
      </w:r>
      <w:r w:rsidRPr="000837B3">
        <w:rPr>
          <w:b/>
          <w:bCs/>
        </w:rPr>
        <w:t>burnout</w:t>
      </w:r>
      <w:r w:rsidRPr="000837B3">
        <w:t xml:space="preserve">, </w:t>
      </w:r>
      <w:r w:rsidRPr="000837B3">
        <w:rPr>
          <w:b/>
          <w:bCs/>
        </w:rPr>
        <w:t>moral injury</w:t>
      </w:r>
      <w:r w:rsidRPr="000837B3">
        <w:t xml:space="preserve">, and </w:t>
      </w:r>
      <w:r w:rsidRPr="000837B3">
        <w:rPr>
          <w:b/>
          <w:bCs/>
        </w:rPr>
        <w:t>post</w:t>
      </w:r>
      <w:r w:rsidRPr="000837B3">
        <w:rPr>
          <w:b/>
          <w:bCs/>
        </w:rPr>
        <w:noBreakHyphen/>
        <w:t>traumatic stress disorder (PTSD)</w:t>
      </w:r>
      <w:r w:rsidRPr="000837B3">
        <w:t>. These challenges were shaped by workload pressures, fear of infection, exposure to trauma, and limited organisational support.</w:t>
      </w:r>
    </w:p>
    <w:p w14:paraId="1701E8D4" w14:textId="77777777" w:rsidR="000837B3" w:rsidRPr="000837B3" w:rsidRDefault="000837B3" w:rsidP="000837B3">
      <w:pPr>
        <w:pStyle w:val="NormalWeb"/>
        <w:ind w:left="360"/>
      </w:pPr>
      <w:r w:rsidRPr="000837B3">
        <w:rPr>
          <w:b/>
          <w:bCs/>
        </w:rPr>
        <w:t>Anxiety and Depression</w:t>
      </w:r>
    </w:p>
    <w:p w14:paraId="3F4DD493" w14:textId="77777777" w:rsidR="000837B3" w:rsidRPr="000837B3" w:rsidRDefault="000837B3" w:rsidP="000837B3">
      <w:pPr>
        <w:pStyle w:val="NormalWeb"/>
        <w:ind w:left="360"/>
      </w:pPr>
      <w:r w:rsidRPr="000837B3">
        <w:t>Anxiety and depression were among the most widely reported mental health outcomes. Lai et al. (2020) found that more than half of HCWs in China experienced symptoms of depression and anxiety, with nurses, women, and frontline staff particularly affected. Similar findings were reported in Italy, where Rossi et al. (2020) identified high levels of anxiety and depressive symptoms among HCWs working in COVID</w:t>
      </w:r>
      <w:r w:rsidRPr="000837B3">
        <w:noBreakHyphen/>
        <w:t>19 wards.</w:t>
      </w:r>
    </w:p>
    <w:p w14:paraId="27E0D0CA" w14:textId="77777777" w:rsidR="000837B3" w:rsidRDefault="000837B3" w:rsidP="000837B3">
      <w:pPr>
        <w:pStyle w:val="NormalWeb"/>
        <w:ind w:left="360"/>
      </w:pPr>
      <w:r w:rsidRPr="000837B3">
        <w:t>In the UK, the British Medical Association (2021) reported that over 40% of doctors experienced anxiety or depression related to workload pressures, fear of infecting family members, and moral distress. The NHS Staff Survey (2023) found that nearly half of NHS workers felt unwell due to work</w:t>
      </w:r>
      <w:r w:rsidRPr="000837B3">
        <w:noBreakHyphen/>
        <w:t>related stress, indicating widespread psychological strain.</w:t>
      </w:r>
    </w:p>
    <w:p w14:paraId="23BBCF2C" w14:textId="77777777" w:rsidR="000837B3" w:rsidRPr="000837B3" w:rsidRDefault="000837B3" w:rsidP="000837B3">
      <w:pPr>
        <w:pStyle w:val="NormalWeb"/>
        <w:ind w:left="360"/>
      </w:pPr>
      <w:r w:rsidRPr="000837B3">
        <w:rPr>
          <w:b/>
          <w:bCs/>
        </w:rPr>
        <w:lastRenderedPageBreak/>
        <w:t>Burnout and Emotional Exhaustion</w:t>
      </w:r>
    </w:p>
    <w:p w14:paraId="77078AF8" w14:textId="77777777" w:rsidR="000837B3" w:rsidRPr="000837B3" w:rsidRDefault="000837B3" w:rsidP="000837B3">
      <w:pPr>
        <w:pStyle w:val="NormalWeb"/>
        <w:ind w:left="360"/>
      </w:pPr>
      <w:r w:rsidRPr="000837B3">
        <w:t>Burnout emerged as a central concern across studies. Morgantini et al. (2020) conducted an international survey and found widespread burnout among HCWs, linked to resource shortages, long working hours, and moral injury. Emotional exhaustion was frequently reported, with staff describing feeling “drained,” “numb,” or “unable to switch off” after shifts.</w:t>
      </w:r>
    </w:p>
    <w:p w14:paraId="776B50F0" w14:textId="77777777" w:rsidR="000837B3" w:rsidRDefault="000837B3" w:rsidP="000837B3">
      <w:pPr>
        <w:pStyle w:val="NormalWeb"/>
        <w:ind w:left="360"/>
      </w:pPr>
      <w:r w:rsidRPr="000837B3">
        <w:t>Burnout Theory (Maslach &amp; Jackson, 1981) helps explain these findings, highlighting the role of emotional exhaustion, depersonalisation, and reduced personal accomplishment. However, critics argue that burnout is often a symptom of organisational failure rather than individual weakness (Kinman &amp; Teoh, 2021).</w:t>
      </w:r>
    </w:p>
    <w:p w14:paraId="0D7ADE38" w14:textId="1B4188E1" w:rsidR="00454AEC" w:rsidRDefault="00AF4C97" w:rsidP="000837B3">
      <w:pPr>
        <w:pStyle w:val="NormalWeb"/>
        <w:ind w:left="360"/>
      </w:pPr>
      <w:r w:rsidRPr="00AF4C97">
        <w:t xml:space="preserve">Healthcare workers in intensive care units (ICUs) experienced particularly high levels of psychological distress. ICU staff were frequently exposed to traumatic scenes, including patients deteriorating rapidly and dying without family present. This contributed to moral injury, as staff felt unable to provide the compassionate </w:t>
      </w:r>
      <w:proofErr w:type="gramStart"/>
      <w:r w:rsidRPr="00AF4C97">
        <w:t>care</w:t>
      </w:r>
      <w:proofErr w:type="gramEnd"/>
      <w:r w:rsidRPr="00AF4C97">
        <w:t xml:space="preserve"> they believed patients deserved. Studies also found gender differences in mental health outcomes. Women, who make up a large proportion of the nursing workforce, reported higher levels of anxiety and depression. This may be due to additional caregiving responsibilities at home, societal expectations, or greater emotional labour in clinical roles.</w:t>
      </w:r>
    </w:p>
    <w:p w14:paraId="3DD0ED7C" w14:textId="16EC4060" w:rsidR="00AF4C97" w:rsidRDefault="00AF4C97" w:rsidP="000837B3">
      <w:pPr>
        <w:pStyle w:val="NormalWeb"/>
        <w:ind w:left="360"/>
      </w:pPr>
      <w:r w:rsidRPr="00AF4C97">
        <w:t>Another important factor was the fear of infecting family members. Many healthcare workers isolated themselves from their families, slept in separate rooms, or lived in temporary accommodation. While these measures reduced infection risk, they increased loneliness and emotional strain. Some healthcare workers reported feeling guilty for potentially exposing loved ones to the virus, which contributed to anxiety and distress.</w:t>
      </w:r>
    </w:p>
    <w:p w14:paraId="426CA126" w14:textId="472B19D2" w:rsidR="00AF4C97" w:rsidRPr="000837B3" w:rsidRDefault="00AF4C97" w:rsidP="000837B3">
      <w:pPr>
        <w:pStyle w:val="NormalWeb"/>
        <w:ind w:left="360"/>
      </w:pPr>
      <w:r w:rsidRPr="00AF4C97">
        <w:t>Long working hours and staff shortages further intensified psychological strain. Many healthcare workers worked extended shifts with limited rest, leading to physical exhaustion and reduced cognitive functioning. This increased the risk of errors, which in turn heightened stress and self</w:t>
      </w:r>
      <w:r w:rsidRPr="00AF4C97">
        <w:noBreakHyphen/>
        <w:t>blame. The combination of physical fatigue and emotional burden created a cycle of distress that was difficult to break</w:t>
      </w:r>
      <w:r>
        <w:t>.</w:t>
      </w:r>
    </w:p>
    <w:p w14:paraId="6B0D0956" w14:textId="77777777" w:rsidR="000837B3" w:rsidRPr="000837B3" w:rsidRDefault="000837B3" w:rsidP="000837B3">
      <w:pPr>
        <w:pStyle w:val="NormalWeb"/>
        <w:ind w:left="360"/>
      </w:pPr>
      <w:r w:rsidRPr="000837B3">
        <w:rPr>
          <w:b/>
          <w:bCs/>
        </w:rPr>
        <w:t>Post</w:t>
      </w:r>
      <w:r w:rsidRPr="000837B3">
        <w:rPr>
          <w:b/>
          <w:bCs/>
        </w:rPr>
        <w:noBreakHyphen/>
        <w:t>Traumatic Stress and Moral Injury</w:t>
      </w:r>
    </w:p>
    <w:p w14:paraId="6E2C15B6" w14:textId="77777777" w:rsidR="000837B3" w:rsidRPr="000837B3" w:rsidRDefault="000837B3" w:rsidP="000837B3">
      <w:pPr>
        <w:pStyle w:val="NormalWeb"/>
        <w:ind w:left="360"/>
      </w:pPr>
      <w:r w:rsidRPr="000837B3">
        <w:t>Several studies reported PTSD symptoms among HCWs, particularly those working in intensive care units or high</w:t>
      </w:r>
      <w:r w:rsidRPr="000837B3">
        <w:noBreakHyphen/>
        <w:t>mortality settings. Maunder et al. (2006) and Wu et al. (2009) had already shown that pandemic</w:t>
      </w:r>
      <w:r w:rsidRPr="000837B3">
        <w:noBreakHyphen/>
        <w:t>related stress can lead to long</w:t>
      </w:r>
      <w:r w:rsidRPr="000837B3">
        <w:noBreakHyphen/>
        <w:t>term PTSD, and COVID</w:t>
      </w:r>
      <w:r w:rsidRPr="000837B3">
        <w:noBreakHyphen/>
        <w:t>19 research confirms similar patterns.</w:t>
      </w:r>
    </w:p>
    <w:p w14:paraId="2C49CF7E" w14:textId="1DCDAEBA" w:rsidR="000837B3" w:rsidRPr="000837B3" w:rsidRDefault="000837B3" w:rsidP="000837B3">
      <w:pPr>
        <w:pStyle w:val="NormalWeb"/>
        <w:ind w:left="360"/>
      </w:pPr>
      <w:r w:rsidRPr="000837B3">
        <w:t>Moral injury</w:t>
      </w:r>
      <w:r w:rsidR="00B91BAA">
        <w:t xml:space="preserve"> </w:t>
      </w:r>
      <w:r w:rsidRPr="000837B3">
        <w:t>distress arising from actions that conflict with one’s moral or professional values</w:t>
      </w:r>
      <w:r w:rsidR="00B91BAA">
        <w:t xml:space="preserve"> </w:t>
      </w:r>
      <w:r w:rsidRPr="000837B3">
        <w:t>was also widely reported. HCWs described distress related to triage decisions, visitor restrictions, and feeling unable to provide the level of care they considered ethically acceptable. Greenberg et al. (2020) argue that moral injury is a major contributor to long</w:t>
      </w:r>
      <w:r w:rsidRPr="000837B3">
        <w:noBreakHyphen/>
        <w:t>term psychological harm among HCWs.</w:t>
      </w:r>
    </w:p>
    <w:p w14:paraId="26A9EFAA" w14:textId="77777777" w:rsidR="000837B3" w:rsidRPr="000837B3" w:rsidRDefault="000837B3" w:rsidP="000837B3">
      <w:pPr>
        <w:pStyle w:val="NormalWeb"/>
        <w:ind w:left="360"/>
      </w:pPr>
      <w:r w:rsidRPr="000837B3">
        <w:rPr>
          <w:b/>
          <w:bCs/>
        </w:rPr>
        <w:t>Comparing Authors’ Explanations</w:t>
      </w:r>
    </w:p>
    <w:p w14:paraId="605C0CE5" w14:textId="77777777" w:rsidR="000837B3" w:rsidRPr="000837B3" w:rsidRDefault="000837B3" w:rsidP="000837B3">
      <w:pPr>
        <w:pStyle w:val="NormalWeb"/>
        <w:ind w:left="360"/>
      </w:pPr>
      <w:r w:rsidRPr="000837B3">
        <w:t>Different authors emphasise different aspects of these mental health challenges:</w:t>
      </w:r>
    </w:p>
    <w:p w14:paraId="4667999D" w14:textId="77777777" w:rsidR="000837B3" w:rsidRPr="000837B3" w:rsidRDefault="000837B3">
      <w:pPr>
        <w:pStyle w:val="NormalWeb"/>
        <w:numPr>
          <w:ilvl w:val="0"/>
          <w:numId w:val="18"/>
        </w:numPr>
      </w:pPr>
      <w:r w:rsidRPr="000837B3">
        <w:rPr>
          <w:b/>
          <w:bCs/>
        </w:rPr>
        <w:t>Lai et al. (2020)</w:t>
      </w:r>
      <w:r w:rsidRPr="000837B3">
        <w:t xml:space="preserve"> focus on individual symptoms and demographic risk factors.</w:t>
      </w:r>
    </w:p>
    <w:p w14:paraId="0F7CEF82" w14:textId="77777777" w:rsidR="000837B3" w:rsidRPr="000837B3" w:rsidRDefault="000837B3">
      <w:pPr>
        <w:pStyle w:val="NormalWeb"/>
        <w:numPr>
          <w:ilvl w:val="0"/>
          <w:numId w:val="18"/>
        </w:numPr>
      </w:pPr>
      <w:r w:rsidRPr="000837B3">
        <w:rPr>
          <w:b/>
          <w:bCs/>
        </w:rPr>
        <w:t>Wu et al. (2020)</w:t>
      </w:r>
      <w:r w:rsidRPr="000837B3">
        <w:t xml:space="preserve"> emphasise workplace pressures such as long shifts and exposure to trauma.</w:t>
      </w:r>
    </w:p>
    <w:p w14:paraId="46FD0F0A" w14:textId="77777777" w:rsidR="000837B3" w:rsidRPr="000837B3" w:rsidRDefault="000837B3">
      <w:pPr>
        <w:pStyle w:val="NormalWeb"/>
        <w:numPr>
          <w:ilvl w:val="0"/>
          <w:numId w:val="18"/>
        </w:numPr>
      </w:pPr>
      <w:r w:rsidRPr="000837B3">
        <w:rPr>
          <w:b/>
          <w:bCs/>
        </w:rPr>
        <w:lastRenderedPageBreak/>
        <w:t>Rossi et al. (2020)</w:t>
      </w:r>
      <w:r w:rsidRPr="000837B3">
        <w:t xml:space="preserve"> highlight the emotional toll of witnessing high patient mortality.</w:t>
      </w:r>
    </w:p>
    <w:p w14:paraId="7536D10A" w14:textId="77777777" w:rsidR="000837B3" w:rsidRPr="000837B3" w:rsidRDefault="000837B3">
      <w:pPr>
        <w:pStyle w:val="NormalWeb"/>
        <w:numPr>
          <w:ilvl w:val="0"/>
          <w:numId w:val="18"/>
        </w:numPr>
      </w:pPr>
      <w:r w:rsidRPr="000837B3">
        <w:rPr>
          <w:b/>
          <w:bCs/>
        </w:rPr>
        <w:t>Kinman and Teoh (2021)</w:t>
      </w:r>
      <w:r w:rsidRPr="000837B3">
        <w:t xml:space="preserve"> stress the role of organisational culture and leadership.</w:t>
      </w:r>
    </w:p>
    <w:p w14:paraId="52FE67BD" w14:textId="77777777" w:rsidR="000837B3" w:rsidRPr="000837B3" w:rsidRDefault="000837B3" w:rsidP="000837B3">
      <w:pPr>
        <w:pStyle w:val="NormalWeb"/>
        <w:ind w:left="360"/>
      </w:pPr>
      <w:r w:rsidRPr="000837B3">
        <w:t>These perspectives are complementary rather than contradictory. Together, they suggest that HCWs’ mental health is shaped by a combination of individual vulnerability, workplace conditions, and broader organisational and policy contexts.</w:t>
      </w:r>
    </w:p>
    <w:p w14:paraId="04DEA849" w14:textId="77777777" w:rsidR="000837B3" w:rsidRPr="000837B3" w:rsidRDefault="000837B3" w:rsidP="000837B3">
      <w:pPr>
        <w:pStyle w:val="NormalWeb"/>
        <w:ind w:left="360"/>
      </w:pPr>
      <w:r w:rsidRPr="000837B3">
        <w:rPr>
          <w:b/>
          <w:bCs/>
        </w:rPr>
        <w:t>Why These Findings Matter for Healthcare Systems</w:t>
      </w:r>
    </w:p>
    <w:p w14:paraId="6CEABE33" w14:textId="77777777" w:rsidR="000837B3" w:rsidRPr="000837B3" w:rsidRDefault="000837B3" w:rsidP="000837B3">
      <w:pPr>
        <w:pStyle w:val="NormalWeb"/>
        <w:ind w:left="360"/>
      </w:pPr>
      <w:r w:rsidRPr="000837B3">
        <w:t>The mental health challenges experienced by HCWs have significant implications for healthcare systems:</w:t>
      </w:r>
    </w:p>
    <w:p w14:paraId="048FA7E3" w14:textId="77777777" w:rsidR="000837B3" w:rsidRPr="000837B3" w:rsidRDefault="000837B3">
      <w:pPr>
        <w:pStyle w:val="NormalWeb"/>
        <w:numPr>
          <w:ilvl w:val="0"/>
          <w:numId w:val="19"/>
        </w:numPr>
      </w:pPr>
      <w:r w:rsidRPr="000837B3">
        <w:t>Increased sickness absence</w:t>
      </w:r>
    </w:p>
    <w:p w14:paraId="16285E99" w14:textId="77777777" w:rsidR="000837B3" w:rsidRPr="000837B3" w:rsidRDefault="000837B3">
      <w:pPr>
        <w:pStyle w:val="NormalWeb"/>
        <w:numPr>
          <w:ilvl w:val="0"/>
          <w:numId w:val="19"/>
        </w:numPr>
      </w:pPr>
      <w:r w:rsidRPr="000837B3">
        <w:t>Reduced job satisfaction</w:t>
      </w:r>
    </w:p>
    <w:p w14:paraId="25C1D0BA" w14:textId="77777777" w:rsidR="000837B3" w:rsidRPr="000837B3" w:rsidRDefault="000837B3">
      <w:pPr>
        <w:pStyle w:val="NormalWeb"/>
        <w:numPr>
          <w:ilvl w:val="0"/>
          <w:numId w:val="19"/>
        </w:numPr>
      </w:pPr>
      <w:r w:rsidRPr="000837B3">
        <w:t>Higher turnover intentions</w:t>
      </w:r>
    </w:p>
    <w:p w14:paraId="17712B71" w14:textId="77777777" w:rsidR="000837B3" w:rsidRPr="000837B3" w:rsidRDefault="000837B3">
      <w:pPr>
        <w:pStyle w:val="NormalWeb"/>
        <w:numPr>
          <w:ilvl w:val="0"/>
          <w:numId w:val="19"/>
        </w:numPr>
      </w:pPr>
      <w:r w:rsidRPr="000837B3">
        <w:t>Lower quality of patient care</w:t>
      </w:r>
    </w:p>
    <w:p w14:paraId="6B9C468B" w14:textId="77777777" w:rsidR="000837B3" w:rsidRPr="000837B3" w:rsidRDefault="000837B3">
      <w:pPr>
        <w:pStyle w:val="NormalWeb"/>
        <w:numPr>
          <w:ilvl w:val="0"/>
          <w:numId w:val="19"/>
        </w:numPr>
      </w:pPr>
      <w:r w:rsidRPr="000837B3">
        <w:t>Greater risk of clinical errors</w:t>
      </w:r>
    </w:p>
    <w:p w14:paraId="654B410C" w14:textId="77777777" w:rsidR="000837B3" w:rsidRPr="000837B3" w:rsidRDefault="000837B3" w:rsidP="000837B3">
      <w:pPr>
        <w:pStyle w:val="NormalWeb"/>
        <w:ind w:left="360"/>
      </w:pPr>
      <w:r w:rsidRPr="000837B3">
        <w:t>Research consistently shows that staff well</w:t>
      </w:r>
      <w:r w:rsidRPr="000837B3">
        <w:noBreakHyphen/>
        <w:t>being is linked to patient safety and service quality. Protecting HCWs’ mental health is therefore essential for maintaining safe and effective healthcare services.</w:t>
      </w:r>
    </w:p>
    <w:p w14:paraId="130B619F" w14:textId="77777777" w:rsidR="000837B3" w:rsidRPr="000837B3" w:rsidRDefault="000837B3" w:rsidP="000837B3">
      <w:pPr>
        <w:pStyle w:val="NormalWeb"/>
        <w:ind w:left="360"/>
      </w:pPr>
      <w:r w:rsidRPr="000837B3">
        <w:rPr>
          <w:b/>
          <w:bCs/>
        </w:rPr>
        <w:t>4.4 Coping Mechanisms</w:t>
      </w:r>
    </w:p>
    <w:p w14:paraId="36ACD8B2" w14:textId="77777777" w:rsidR="000837B3" w:rsidRPr="000837B3" w:rsidRDefault="000837B3" w:rsidP="000837B3">
      <w:pPr>
        <w:pStyle w:val="NormalWeb"/>
        <w:ind w:left="360"/>
      </w:pPr>
      <w:r w:rsidRPr="000837B3">
        <w:t xml:space="preserve">Coping strategies played a crucial role in how HCWs managed stress during the pandemic. The literature distinguishes between </w:t>
      </w:r>
      <w:r w:rsidRPr="000837B3">
        <w:rPr>
          <w:b/>
          <w:bCs/>
        </w:rPr>
        <w:t>adaptive</w:t>
      </w:r>
      <w:r w:rsidRPr="000837B3">
        <w:t xml:space="preserve"> and </w:t>
      </w:r>
      <w:r w:rsidRPr="000837B3">
        <w:rPr>
          <w:b/>
          <w:bCs/>
        </w:rPr>
        <w:t>maladaptive</w:t>
      </w:r>
      <w:r w:rsidRPr="000837B3">
        <w:t xml:space="preserve"> coping strategies, with important implications for mental health outcomes.</w:t>
      </w:r>
    </w:p>
    <w:p w14:paraId="2001E687" w14:textId="77777777" w:rsidR="000837B3" w:rsidRPr="000837B3" w:rsidRDefault="000837B3" w:rsidP="000837B3">
      <w:pPr>
        <w:pStyle w:val="NormalWeb"/>
        <w:ind w:left="360"/>
      </w:pPr>
      <w:r w:rsidRPr="000837B3">
        <w:rPr>
          <w:b/>
          <w:bCs/>
        </w:rPr>
        <w:t>Adaptive Coping Strategies</w:t>
      </w:r>
    </w:p>
    <w:p w14:paraId="03F595EC" w14:textId="77777777" w:rsidR="000837B3" w:rsidRPr="000837B3" w:rsidRDefault="000837B3" w:rsidP="000837B3">
      <w:pPr>
        <w:pStyle w:val="NormalWeb"/>
        <w:ind w:left="360"/>
      </w:pPr>
      <w:r w:rsidRPr="000837B3">
        <w:t>Several studies identified resilience, social support, and structured routines as key protective factors:</w:t>
      </w:r>
    </w:p>
    <w:p w14:paraId="7F854025" w14:textId="77777777" w:rsidR="000837B3" w:rsidRPr="000837B3" w:rsidRDefault="000837B3">
      <w:pPr>
        <w:pStyle w:val="NormalWeb"/>
        <w:numPr>
          <w:ilvl w:val="0"/>
          <w:numId w:val="20"/>
        </w:numPr>
      </w:pPr>
      <w:r w:rsidRPr="000837B3">
        <w:rPr>
          <w:b/>
          <w:bCs/>
        </w:rPr>
        <w:t>Social support:</w:t>
      </w:r>
      <w:r w:rsidRPr="000837B3">
        <w:t xml:space="preserve"> Cabarkapa et al. (2020) found that support from colleagues, family, and friends was strongly associated with better mental health outcomes. Teamwork and a sense of shared purpose helped HCWs feel less isolated.</w:t>
      </w:r>
    </w:p>
    <w:p w14:paraId="35FABB3C" w14:textId="77777777" w:rsidR="000837B3" w:rsidRPr="000837B3" w:rsidRDefault="000837B3">
      <w:pPr>
        <w:pStyle w:val="NormalWeb"/>
        <w:numPr>
          <w:ilvl w:val="0"/>
          <w:numId w:val="20"/>
        </w:numPr>
      </w:pPr>
      <w:r w:rsidRPr="000837B3">
        <w:rPr>
          <w:b/>
          <w:bCs/>
        </w:rPr>
        <w:t>Mindfulness and grounding techniques:</w:t>
      </w:r>
      <w:r w:rsidRPr="000837B3">
        <w:t xml:space="preserve"> Frewen et al. (2020) reported that mindfulness, breathing exercises, and grounding techniques reduced anxiety and improved emotional regulation.</w:t>
      </w:r>
    </w:p>
    <w:p w14:paraId="6EEDC6EF" w14:textId="77777777" w:rsidR="000837B3" w:rsidRPr="000837B3" w:rsidRDefault="000837B3">
      <w:pPr>
        <w:pStyle w:val="NormalWeb"/>
        <w:numPr>
          <w:ilvl w:val="0"/>
          <w:numId w:val="20"/>
        </w:numPr>
      </w:pPr>
      <w:r w:rsidRPr="000837B3">
        <w:rPr>
          <w:b/>
          <w:bCs/>
        </w:rPr>
        <w:t>Physical activity:</w:t>
      </w:r>
      <w:r w:rsidRPr="000837B3">
        <w:t xml:space="preserve"> Chekroud et al. (2018) highlighted physical activity as a strong predictor of improved mental health, suggesting that exercise can be an effective coping strategy when time and resources allow.</w:t>
      </w:r>
    </w:p>
    <w:p w14:paraId="32F5AC5F" w14:textId="77777777" w:rsidR="000837B3" w:rsidRPr="000837B3" w:rsidRDefault="000837B3">
      <w:pPr>
        <w:pStyle w:val="NormalWeb"/>
        <w:numPr>
          <w:ilvl w:val="0"/>
          <w:numId w:val="20"/>
        </w:numPr>
      </w:pPr>
      <w:r w:rsidRPr="000837B3">
        <w:rPr>
          <w:b/>
          <w:bCs/>
        </w:rPr>
        <w:t>Meaning</w:t>
      </w:r>
      <w:r w:rsidRPr="000837B3">
        <w:rPr>
          <w:b/>
          <w:bCs/>
        </w:rPr>
        <w:noBreakHyphen/>
        <w:t>focused coping:</w:t>
      </w:r>
      <w:r w:rsidRPr="000837B3">
        <w:t xml:space="preserve"> Some HCWs drew on professional identity, spirituality, or a sense of duty to sustain motivation. Post</w:t>
      </w:r>
      <w:r w:rsidRPr="000837B3">
        <w:noBreakHyphen/>
        <w:t>Traumatic Growth Theory helps explain why some staff reported increased empathy or stronger relationships despite significant distress.</w:t>
      </w:r>
    </w:p>
    <w:p w14:paraId="15E28192" w14:textId="77777777" w:rsidR="000837B3" w:rsidRPr="000837B3" w:rsidRDefault="000837B3" w:rsidP="000837B3">
      <w:pPr>
        <w:pStyle w:val="NormalWeb"/>
        <w:ind w:left="360"/>
      </w:pPr>
      <w:r w:rsidRPr="000837B3">
        <w:rPr>
          <w:b/>
          <w:bCs/>
        </w:rPr>
        <w:t>Maladaptive Coping Strategies</w:t>
      </w:r>
    </w:p>
    <w:p w14:paraId="2D917556" w14:textId="77777777" w:rsidR="000837B3" w:rsidRPr="000837B3" w:rsidRDefault="000837B3" w:rsidP="000837B3">
      <w:pPr>
        <w:pStyle w:val="NormalWeb"/>
        <w:ind w:left="360"/>
      </w:pPr>
      <w:r w:rsidRPr="000837B3">
        <w:t>Not all coping strategies were beneficial:</w:t>
      </w:r>
    </w:p>
    <w:p w14:paraId="404F4008" w14:textId="77777777" w:rsidR="000837B3" w:rsidRPr="000837B3" w:rsidRDefault="000837B3">
      <w:pPr>
        <w:pStyle w:val="NormalWeb"/>
        <w:numPr>
          <w:ilvl w:val="0"/>
          <w:numId w:val="21"/>
        </w:numPr>
      </w:pPr>
      <w:r w:rsidRPr="000837B3">
        <w:rPr>
          <w:b/>
          <w:bCs/>
        </w:rPr>
        <w:t>Substance use:</w:t>
      </w:r>
      <w:r w:rsidRPr="000837B3">
        <w:t xml:space="preserve"> Shechter et al. (2020) reported increased alcohol use among some HCWs, particularly those with limited organisational support.</w:t>
      </w:r>
    </w:p>
    <w:p w14:paraId="3B5839F0" w14:textId="42A4767C" w:rsidR="000837B3" w:rsidRPr="000837B3" w:rsidRDefault="000837B3">
      <w:pPr>
        <w:pStyle w:val="NormalWeb"/>
        <w:numPr>
          <w:ilvl w:val="0"/>
          <w:numId w:val="21"/>
        </w:numPr>
      </w:pPr>
      <w:r w:rsidRPr="000837B3">
        <w:rPr>
          <w:b/>
          <w:bCs/>
        </w:rPr>
        <w:lastRenderedPageBreak/>
        <w:t>Avoidance behaviours:</w:t>
      </w:r>
      <w:r w:rsidRPr="000837B3">
        <w:t xml:space="preserve"> Spoorthy et al. (2020) found that avoidance</w:t>
      </w:r>
      <w:r w:rsidR="00AE4331">
        <w:t>,</w:t>
      </w:r>
      <w:r w:rsidR="00454AEC">
        <w:t xml:space="preserve"> </w:t>
      </w:r>
      <w:r w:rsidRPr="000837B3">
        <w:t>such as suppressing emotions or disengaging from colleagues</w:t>
      </w:r>
      <w:r w:rsidR="00AE4331">
        <w:t>,</w:t>
      </w:r>
      <w:r w:rsidR="00454AEC">
        <w:t xml:space="preserve"> </w:t>
      </w:r>
      <w:r w:rsidRPr="000837B3">
        <w:t>was common and associated with poorer mental health outcomes.</w:t>
      </w:r>
    </w:p>
    <w:p w14:paraId="42B38D85" w14:textId="77777777" w:rsidR="000837B3" w:rsidRPr="000837B3" w:rsidRDefault="000837B3">
      <w:pPr>
        <w:pStyle w:val="NormalWeb"/>
        <w:numPr>
          <w:ilvl w:val="0"/>
          <w:numId w:val="21"/>
        </w:numPr>
      </w:pPr>
      <w:r w:rsidRPr="000837B3">
        <w:rPr>
          <w:b/>
          <w:bCs/>
        </w:rPr>
        <w:t>Emotional withdrawal:</w:t>
      </w:r>
      <w:r w:rsidRPr="000837B3">
        <w:t xml:space="preserve"> Some HCWs reported distancing themselves emotionally from patients or colleagues as a way of coping with overwhelming demands.</w:t>
      </w:r>
    </w:p>
    <w:p w14:paraId="7D48FF47" w14:textId="77777777" w:rsidR="000837B3" w:rsidRPr="000837B3" w:rsidRDefault="000837B3" w:rsidP="000837B3">
      <w:pPr>
        <w:pStyle w:val="NormalWeb"/>
        <w:ind w:left="360"/>
      </w:pPr>
      <w:r w:rsidRPr="000837B3">
        <w:t>These maladaptive strategies may provide short</w:t>
      </w:r>
      <w:r w:rsidRPr="000837B3">
        <w:noBreakHyphen/>
        <w:t>term relief but can worsen distress over time, especially when combined with ongoing exposure to trauma and high workloads.</w:t>
      </w:r>
    </w:p>
    <w:p w14:paraId="7476506F" w14:textId="77777777" w:rsidR="000837B3" w:rsidRPr="000837B3" w:rsidRDefault="000837B3" w:rsidP="000837B3">
      <w:pPr>
        <w:pStyle w:val="NormalWeb"/>
        <w:ind w:left="360"/>
      </w:pPr>
      <w:r w:rsidRPr="000837B3">
        <w:rPr>
          <w:b/>
          <w:bCs/>
        </w:rPr>
        <w:t>Comparing Coping Perspectives</w:t>
      </w:r>
    </w:p>
    <w:p w14:paraId="79F8A616" w14:textId="77777777" w:rsidR="000837B3" w:rsidRPr="000837B3" w:rsidRDefault="000837B3" w:rsidP="000837B3">
      <w:pPr>
        <w:pStyle w:val="NormalWeb"/>
        <w:ind w:left="360"/>
      </w:pPr>
      <w:r w:rsidRPr="000837B3">
        <w:t>Authors differ in the strategies they emphasise:</w:t>
      </w:r>
    </w:p>
    <w:p w14:paraId="53088C42" w14:textId="77777777" w:rsidR="000837B3" w:rsidRPr="000837B3" w:rsidRDefault="000837B3">
      <w:pPr>
        <w:pStyle w:val="NormalWeb"/>
        <w:numPr>
          <w:ilvl w:val="0"/>
          <w:numId w:val="22"/>
        </w:numPr>
      </w:pPr>
      <w:r w:rsidRPr="000837B3">
        <w:rPr>
          <w:b/>
          <w:bCs/>
        </w:rPr>
        <w:t>Frewen et al.</w:t>
      </w:r>
      <w:r w:rsidRPr="000837B3">
        <w:t xml:space="preserve"> focus on psychological techniques such as mindfulness.</w:t>
      </w:r>
    </w:p>
    <w:p w14:paraId="09F999F8" w14:textId="77777777" w:rsidR="000837B3" w:rsidRPr="000837B3" w:rsidRDefault="000837B3">
      <w:pPr>
        <w:pStyle w:val="NormalWeb"/>
        <w:numPr>
          <w:ilvl w:val="0"/>
          <w:numId w:val="22"/>
        </w:numPr>
      </w:pPr>
      <w:r w:rsidRPr="000837B3">
        <w:rPr>
          <w:b/>
          <w:bCs/>
        </w:rPr>
        <w:t>Chekroud et al.</w:t>
      </w:r>
      <w:r w:rsidRPr="000837B3">
        <w:t xml:space="preserve"> emphasise physical activity and lifestyle factors.</w:t>
      </w:r>
    </w:p>
    <w:p w14:paraId="47947857" w14:textId="77777777" w:rsidR="000837B3" w:rsidRPr="000837B3" w:rsidRDefault="000837B3">
      <w:pPr>
        <w:pStyle w:val="NormalWeb"/>
        <w:numPr>
          <w:ilvl w:val="0"/>
          <w:numId w:val="22"/>
        </w:numPr>
      </w:pPr>
      <w:r w:rsidRPr="000837B3">
        <w:rPr>
          <w:b/>
          <w:bCs/>
        </w:rPr>
        <w:t>Cabarkapa et al.</w:t>
      </w:r>
      <w:r w:rsidRPr="000837B3">
        <w:t xml:space="preserve"> highlight social and relational coping.</w:t>
      </w:r>
    </w:p>
    <w:p w14:paraId="25D972C1" w14:textId="77777777" w:rsidR="000837B3" w:rsidRDefault="000837B3" w:rsidP="000837B3">
      <w:pPr>
        <w:pStyle w:val="NormalWeb"/>
        <w:ind w:left="360"/>
      </w:pPr>
      <w:r w:rsidRPr="000837B3">
        <w:t>This variation suggests that coping is highly individual, influenced by personal preferences, cultural norms, and workplace conditions. It also reinforces the need for organisations to offer a range of support options rather than relying on a single intervention.</w:t>
      </w:r>
    </w:p>
    <w:p w14:paraId="08388EB2" w14:textId="77777777" w:rsidR="00716940" w:rsidRPr="00716940" w:rsidRDefault="00716940" w:rsidP="00716940">
      <w:pPr>
        <w:pStyle w:val="NormalWeb"/>
        <w:ind w:left="360"/>
      </w:pPr>
      <w:r w:rsidRPr="00716940">
        <w:t>A comparison of authors reveals important differences in how coping is conceptualised and supported across the literature. Frewen et al. emphasise psychological techniques such as mindfulness and grounding, arguing that these strategies enhance emotional regulation and reduce acute anxiety. In contrast, Chekroud et al. highlight physical activity as a key determinant of improved mental health, suggesting that lifestyle</w:t>
      </w:r>
      <w:r w:rsidRPr="00716940">
        <w:noBreakHyphen/>
        <w:t>based coping may be more sustainable over time. Cabarkapa et al. place greater emphasis on relational coping, showing that social support from colleagues and family is strongly associated with reduced distress. These differing emphases reflect the multidimensional nature of coping and suggest that no single strategy is universally effective. Instead, coping is shaped by personal preference, cultural norms, and workplace conditions. Theoretical perspectives reinforce this variation: Stress and Coping Theory explains why some healthcare workers rely on emotion</w:t>
      </w:r>
      <w:r w:rsidRPr="00716940">
        <w:noBreakHyphen/>
        <w:t>focused strategies such as mindfulness, while others adopt problem</w:t>
      </w:r>
      <w:r w:rsidRPr="00716940">
        <w:noBreakHyphen/>
        <w:t>focused approaches such as reorganising tasks. Conservation of Resources Theory further clarifies why maladaptive coping, including avoidance and substance use, becomes more common when workers experience prolonged resource loss, such as fatigue, isolation, or lack of organisational support. Together, these perspectives indicate that coping is not merely an individual responsibility but is heavily influenced by organisational structures and the availability of supportive resources.</w:t>
      </w:r>
    </w:p>
    <w:p w14:paraId="2BEC3E09" w14:textId="1C324FAB" w:rsidR="00AF4C97" w:rsidRDefault="000837B3" w:rsidP="00AF4C97">
      <w:pPr>
        <w:pStyle w:val="NormalWeb"/>
        <w:ind w:left="360"/>
      </w:pPr>
      <w:r w:rsidRPr="000837B3">
        <w:t>Promoting adaptive coping requires both individual and organisational action. While HCWs can be encouraged to use strategies such as mindfulness, exercise, and social support, these are difficult to sustain without adequate rest, reasonable workloads, and supportive leadership. Organisational interventions</w:t>
      </w:r>
      <w:r w:rsidR="00716940">
        <w:t xml:space="preserve"> </w:t>
      </w:r>
      <w:r w:rsidRPr="000837B3">
        <w:t>such as protected breaks, peer support groups, and access to counselling</w:t>
      </w:r>
      <w:r w:rsidR="00AF4C97">
        <w:t xml:space="preserve"> </w:t>
      </w:r>
      <w:r w:rsidRPr="000837B3">
        <w:t>can create conditions in which adaptive coping is more feasible.</w:t>
      </w:r>
    </w:p>
    <w:p w14:paraId="702208E7" w14:textId="467DE599" w:rsidR="00AF4C97" w:rsidRDefault="00AF4C97" w:rsidP="000837B3">
      <w:pPr>
        <w:pStyle w:val="NormalWeb"/>
        <w:ind w:left="360"/>
      </w:pPr>
      <w:r w:rsidRPr="00AF4C97">
        <w:t>Coping strategies evolved over the course of the pandemic. In the early stages, many healthcare workers relied on adrenaline, teamwork, and a sense of duty to manage stress. As the pandemic continued, however, these initial coping mechanisms became less effective, and staff sought more sustainable strategies. Resilience training programmes, where available, helped some healthcare workers develop skills in emotional regulation, mindfulness, and stress management. These programmes were particularly effective when integrated into organisational culture rather than offered as optional extras.</w:t>
      </w:r>
    </w:p>
    <w:p w14:paraId="6B8D6381" w14:textId="77777777" w:rsidR="00AF4C97" w:rsidRPr="00AF4C97" w:rsidRDefault="00AF4C97" w:rsidP="00AF4C97">
      <w:pPr>
        <w:pStyle w:val="NormalWeb"/>
        <w:ind w:left="360"/>
      </w:pPr>
      <w:r w:rsidRPr="00AF4C97">
        <w:lastRenderedPageBreak/>
        <w:t>Cultural differences also influenced coping. In some countries, healthcare workers relied heavily on community support, religious practices, or collective coping strategies. In others, individual coping strategies such as exercise or mindfulness were more common. These differences highlight the importance of culturally sensitive support interventions.</w:t>
      </w:r>
    </w:p>
    <w:p w14:paraId="148CD10C" w14:textId="6B1F8C2B" w:rsidR="00AF4C97" w:rsidRPr="000837B3" w:rsidRDefault="00AF4C97" w:rsidP="00AF4C97">
      <w:pPr>
        <w:pStyle w:val="NormalWeb"/>
        <w:ind w:left="360"/>
      </w:pPr>
      <w:r w:rsidRPr="00AF4C97">
        <w:t xml:space="preserve">Maladaptive coping strategies also became more prevalent as the pandemic continued. Some healthcare workers reported increased alcohol consumption </w:t>
      </w:r>
      <w:proofErr w:type="gramStart"/>
      <w:r w:rsidRPr="00AF4C97">
        <w:t>as a way to</w:t>
      </w:r>
      <w:proofErr w:type="gramEnd"/>
      <w:r w:rsidRPr="00AF4C97">
        <w:t xml:space="preserve"> unwind after stressful shifts. Others withdrew emotionally from colleagues or patients to protect themselves from further distress. While these strategies may provide short</w:t>
      </w:r>
      <w:r w:rsidRPr="00AF4C97">
        <w:noBreakHyphen/>
        <w:t>term relief, they can worsen mental health over time. Organisations must therefore provide accessible support to help staff develop healthier coping mechanisms.</w:t>
      </w:r>
    </w:p>
    <w:p w14:paraId="143F5D4F" w14:textId="77777777" w:rsidR="000837B3" w:rsidRPr="000837B3" w:rsidRDefault="000837B3" w:rsidP="000837B3">
      <w:pPr>
        <w:pStyle w:val="NormalWeb"/>
        <w:ind w:left="360"/>
      </w:pPr>
      <w:r w:rsidRPr="000837B3">
        <w:rPr>
          <w:b/>
          <w:bCs/>
        </w:rPr>
        <w:t>4.5 Institutional Support</w:t>
      </w:r>
    </w:p>
    <w:p w14:paraId="5DEB5DF7" w14:textId="77777777" w:rsidR="000837B3" w:rsidRDefault="000837B3" w:rsidP="000837B3">
      <w:pPr>
        <w:pStyle w:val="NormalWeb"/>
        <w:ind w:left="360"/>
      </w:pPr>
      <w:r w:rsidRPr="000837B3">
        <w:t>Institutional support emerged as one of the most influential factors affecting HCWs’ mental health. The role of organisational support, such as well</w:t>
      </w:r>
      <w:r w:rsidRPr="000837B3">
        <w:noBreakHyphen/>
        <w:t>being initiatives and clear communication, is widely recognised across the literature.</w:t>
      </w:r>
    </w:p>
    <w:p w14:paraId="4B11926D" w14:textId="77777777" w:rsidR="00AF4C97" w:rsidRPr="00AF4C97" w:rsidRDefault="00AF4C97" w:rsidP="00AF4C97">
      <w:pPr>
        <w:pStyle w:val="NormalWeb"/>
        <w:ind w:left="360"/>
      </w:pPr>
      <w:r w:rsidRPr="00AF4C97">
        <w:t>Leadership played a crucial role in shaping healthcare workers’ experiences. Compassionate leadership, characterised by empathy, transparency, and active listening, was associated with lower levels of distress. Leaders who communicated clearly, acknowledged staff concerns, and provided regular updates helped create a sense of stability during uncertainty. In contrast, inconsistent communication, lack of visibility, and dismissive attitudes contributed to frustration and burnout.</w:t>
      </w:r>
    </w:p>
    <w:p w14:paraId="7C2B32FD" w14:textId="77777777" w:rsidR="00AF4C97" w:rsidRPr="00AF4C97" w:rsidRDefault="00AF4C97" w:rsidP="00AF4C97">
      <w:pPr>
        <w:pStyle w:val="NormalWeb"/>
        <w:ind w:left="360"/>
      </w:pPr>
      <w:r w:rsidRPr="00AF4C97">
        <w:t>Successful organisational interventions included peer support programmes, reflective practice groups, and mental health hubs. These initiatives provided safe spaces for staff to share experiences, process emotions, and access professional support. However, their effectiveness depended on accessibility. Many healthcare workers reported that they lacked time to attend sessions due to workload pressures. This highlights the need for protected time for well</w:t>
      </w:r>
      <w:r w:rsidRPr="00AF4C97">
        <w:noBreakHyphen/>
        <w:t>being activities.</w:t>
      </w:r>
    </w:p>
    <w:p w14:paraId="77716324" w14:textId="77777777" w:rsidR="00AF4C97" w:rsidRPr="00AF4C97" w:rsidRDefault="00AF4C97" w:rsidP="00AF4C97">
      <w:pPr>
        <w:pStyle w:val="NormalWeb"/>
        <w:ind w:left="360"/>
      </w:pPr>
      <w:r w:rsidRPr="00AF4C97">
        <w:t>Some NHS trusts implemented innovative support measures, such as “wobble rooms” where staff could take short breaks, and wellbeing champions who provided informal support. These initiatives were well</w:t>
      </w:r>
      <w:r w:rsidRPr="00AF4C97">
        <w:noBreakHyphen/>
        <w:t>received but not consistently available across the UK. The lack of standardisation meant that some healthcare workers received excellent support while others received very little.</w:t>
      </w:r>
    </w:p>
    <w:p w14:paraId="088909F4" w14:textId="0C4F81ED" w:rsidR="005C2ECC" w:rsidRDefault="00AF4C97" w:rsidP="005C2ECC">
      <w:pPr>
        <w:pStyle w:val="NormalWeb"/>
        <w:ind w:left="360"/>
      </w:pPr>
      <w:r w:rsidRPr="00AF4C97">
        <w:t>Organisational culture also influenced mental health outcomes. Trusts with a culture of openness, psychological safety, and teamwork reported better staff morale. In contrast, organisations with hierarchical structures, blame cultures, or poor communication experienced higher levels of burnout. This demonstrates that mental health support must be embedded into organisational culture rather than offered as a temporary response to crises.</w:t>
      </w:r>
    </w:p>
    <w:p w14:paraId="417CA5ED" w14:textId="514299AE" w:rsidR="005C2ECC" w:rsidRPr="000837B3" w:rsidRDefault="005C2ECC" w:rsidP="005C2ECC">
      <w:pPr>
        <w:pStyle w:val="NormalWeb"/>
        <w:ind w:left="360"/>
      </w:pPr>
      <w:r w:rsidRPr="005C2ECC">
        <w:t>Authors differ in the organisational factors they identify as most influential in shaping healthcare workers’ mental health. Morgantini et al. emphasise the importance of adequate PPE, demonstrating that resource security significantly reduces anxiety and burnout. Shaukat et al. highlight the role of clear and consistent communication, arguing that transparent leadership reduces uncertainty and enhances trust. Greenberg et al. focus on psychological preparedness, suggesting that proactive support for moral dilemmas and access to confidential mental health services are essential during crises. Meanwhile, Kinman et al. stress the impact of workload pressures and limited time to access support, showing that even well</w:t>
      </w:r>
      <w:r w:rsidRPr="005C2ECC">
        <w:noBreakHyphen/>
        <w:t xml:space="preserve">designed interventions fail </w:t>
      </w:r>
      <w:r w:rsidRPr="005C2ECC">
        <w:lastRenderedPageBreak/>
        <w:t>when staff are overstretched. These differing perspectives illustrate that institutional support is multifaceted and cannot be reduced to a single intervention. Theoretical frameworks help explain these findings: the Job Demand–Control Model shows how high demands combined with limited autonomy intensify distress, while Burnout Theory highlights how inadequate organisational support accelerates emotional exhaustion and depersonalisation. International comparisons further reinforce these insights. Countries with strong preparedness and coordinated leadership, such as South Korea, reported lower distress, whereas nations with inconsistent communication or politicised responses, such as the United States, saw higher levels of burnout. Collectively, the literature suggests that institutional support is most effective when it is consistent, well</w:t>
      </w:r>
      <w:r w:rsidRPr="005C2ECC">
        <w:noBreakHyphen/>
        <w:t>resourced, and embedded within a compassionate organisational culture.</w:t>
      </w:r>
    </w:p>
    <w:p w14:paraId="2980A466" w14:textId="77777777" w:rsidR="000837B3" w:rsidRPr="000837B3" w:rsidRDefault="000837B3" w:rsidP="000837B3">
      <w:pPr>
        <w:pStyle w:val="NormalWeb"/>
        <w:ind w:left="360"/>
      </w:pPr>
      <w:r w:rsidRPr="000837B3">
        <w:rPr>
          <w:b/>
          <w:bCs/>
        </w:rPr>
        <w:t>Positive Organisational Responses</w:t>
      </w:r>
    </w:p>
    <w:p w14:paraId="472FA476" w14:textId="77777777" w:rsidR="000837B3" w:rsidRPr="000837B3" w:rsidRDefault="000837B3" w:rsidP="000837B3">
      <w:pPr>
        <w:pStyle w:val="NormalWeb"/>
        <w:ind w:left="360"/>
      </w:pPr>
      <w:r w:rsidRPr="000837B3">
        <w:t>Several studies found that strong institutional support mitigated psychological distress:</w:t>
      </w:r>
    </w:p>
    <w:p w14:paraId="09C520AE" w14:textId="77777777" w:rsidR="000837B3" w:rsidRPr="000837B3" w:rsidRDefault="000837B3">
      <w:pPr>
        <w:pStyle w:val="NormalWeb"/>
        <w:numPr>
          <w:ilvl w:val="0"/>
          <w:numId w:val="23"/>
        </w:numPr>
      </w:pPr>
      <w:r w:rsidRPr="000837B3">
        <w:rPr>
          <w:b/>
          <w:bCs/>
        </w:rPr>
        <w:t>Access to PPE:</w:t>
      </w:r>
      <w:r w:rsidRPr="000837B3">
        <w:t xml:space="preserve"> Morgantini et al. (2020) found that adequate PPE significantly reduced anxiety and burnout.</w:t>
      </w:r>
    </w:p>
    <w:p w14:paraId="6A837692" w14:textId="77777777" w:rsidR="000837B3" w:rsidRPr="000837B3" w:rsidRDefault="000837B3">
      <w:pPr>
        <w:pStyle w:val="NormalWeb"/>
        <w:numPr>
          <w:ilvl w:val="0"/>
          <w:numId w:val="23"/>
        </w:numPr>
      </w:pPr>
      <w:r w:rsidRPr="000837B3">
        <w:rPr>
          <w:b/>
          <w:bCs/>
        </w:rPr>
        <w:t>Clear communication:</w:t>
      </w:r>
      <w:r w:rsidRPr="000837B3">
        <w:t xml:space="preserve"> Shaukat et al. (2020) emphasised the importance of consistent, transparent communication from leadership.</w:t>
      </w:r>
    </w:p>
    <w:p w14:paraId="5068A431" w14:textId="64AA2E15" w:rsidR="000837B3" w:rsidRPr="000837B3" w:rsidRDefault="000837B3">
      <w:pPr>
        <w:pStyle w:val="NormalWeb"/>
        <w:numPr>
          <w:ilvl w:val="0"/>
          <w:numId w:val="23"/>
        </w:numPr>
      </w:pPr>
      <w:r w:rsidRPr="000837B3">
        <w:rPr>
          <w:b/>
          <w:bCs/>
        </w:rPr>
        <w:t>Psychological services:</w:t>
      </w:r>
      <w:r w:rsidRPr="000837B3">
        <w:t xml:space="preserve"> Greenberg et al. (2020) argued that proactive mental health planning</w:t>
      </w:r>
      <w:r w:rsidR="00D63092">
        <w:t>,</w:t>
      </w:r>
      <w:r w:rsidR="00454AEC">
        <w:t xml:space="preserve"> </w:t>
      </w:r>
      <w:r w:rsidRPr="000837B3">
        <w:t>such as preparing staff for moral dilemmas and offering confidential support</w:t>
      </w:r>
      <w:r w:rsidR="00D63092">
        <w:t xml:space="preserve">, </w:t>
      </w:r>
      <w:r w:rsidRPr="000837B3">
        <w:t>was essential during crises.</w:t>
      </w:r>
    </w:p>
    <w:p w14:paraId="596FCDE1" w14:textId="77777777" w:rsidR="000837B3" w:rsidRPr="000837B3" w:rsidRDefault="000837B3">
      <w:pPr>
        <w:pStyle w:val="NormalWeb"/>
        <w:numPr>
          <w:ilvl w:val="0"/>
          <w:numId w:val="23"/>
        </w:numPr>
      </w:pPr>
      <w:r w:rsidRPr="000837B3">
        <w:rPr>
          <w:b/>
          <w:bCs/>
        </w:rPr>
        <w:t>Peer support programmes:</w:t>
      </w:r>
      <w:r w:rsidRPr="000837B3">
        <w:t xml:space="preserve"> Reflective practice groups and Schwartz Rounds improved team morale and psychological safety.</w:t>
      </w:r>
    </w:p>
    <w:p w14:paraId="313A2806" w14:textId="77777777" w:rsidR="000837B3" w:rsidRPr="000837B3" w:rsidRDefault="000837B3" w:rsidP="000837B3">
      <w:pPr>
        <w:pStyle w:val="NormalWeb"/>
        <w:ind w:left="360"/>
      </w:pPr>
      <w:r w:rsidRPr="000837B3">
        <w:rPr>
          <w:b/>
          <w:bCs/>
        </w:rPr>
        <w:t>Limitations and Inconsistencies in Support</w:t>
      </w:r>
    </w:p>
    <w:p w14:paraId="1F1E4E9D" w14:textId="77777777" w:rsidR="000837B3" w:rsidRPr="000837B3" w:rsidRDefault="000837B3" w:rsidP="000837B3">
      <w:pPr>
        <w:pStyle w:val="NormalWeb"/>
        <w:ind w:left="360"/>
      </w:pPr>
      <w:r w:rsidRPr="000837B3">
        <w:t>Despite positive examples, many studies highlight gaps and inconsistencies:</w:t>
      </w:r>
    </w:p>
    <w:p w14:paraId="68BAAE1B" w14:textId="77777777" w:rsidR="000837B3" w:rsidRPr="000837B3" w:rsidRDefault="000837B3">
      <w:pPr>
        <w:pStyle w:val="NormalWeb"/>
        <w:numPr>
          <w:ilvl w:val="0"/>
          <w:numId w:val="24"/>
        </w:numPr>
      </w:pPr>
      <w:r w:rsidRPr="000837B3">
        <w:rPr>
          <w:b/>
          <w:bCs/>
        </w:rPr>
        <w:t>Workload pressures:</w:t>
      </w:r>
      <w:r w:rsidRPr="000837B3">
        <w:t xml:space="preserve"> Many HCWs lacked time to access support services (Kinman et al., 2023).</w:t>
      </w:r>
    </w:p>
    <w:p w14:paraId="5CB6302D" w14:textId="77777777" w:rsidR="000837B3" w:rsidRPr="000837B3" w:rsidRDefault="000837B3">
      <w:pPr>
        <w:pStyle w:val="NormalWeb"/>
        <w:numPr>
          <w:ilvl w:val="0"/>
          <w:numId w:val="24"/>
        </w:numPr>
      </w:pPr>
      <w:r w:rsidRPr="000837B3">
        <w:rPr>
          <w:b/>
          <w:bCs/>
        </w:rPr>
        <w:t>Inconsistent implementation:</w:t>
      </w:r>
      <w:r w:rsidRPr="000837B3">
        <w:t xml:space="preserve"> Mental health hubs were not uniformly available across NHS trusts (Billings et al., 2022).</w:t>
      </w:r>
    </w:p>
    <w:p w14:paraId="54631D8A" w14:textId="77777777" w:rsidR="000837B3" w:rsidRPr="000837B3" w:rsidRDefault="000837B3">
      <w:pPr>
        <w:pStyle w:val="NormalWeb"/>
        <w:numPr>
          <w:ilvl w:val="0"/>
          <w:numId w:val="24"/>
        </w:numPr>
      </w:pPr>
      <w:r w:rsidRPr="000837B3">
        <w:rPr>
          <w:b/>
          <w:bCs/>
        </w:rPr>
        <w:t>Stigma:</w:t>
      </w:r>
      <w:r w:rsidRPr="000837B3">
        <w:t xml:space="preserve"> Some HCWs feared that seeking psychological help might be seen as a sign of weakness or affect their career progression.</w:t>
      </w:r>
    </w:p>
    <w:p w14:paraId="79712640" w14:textId="77777777" w:rsidR="000837B3" w:rsidRPr="000837B3" w:rsidRDefault="000837B3">
      <w:pPr>
        <w:pStyle w:val="NormalWeb"/>
        <w:numPr>
          <w:ilvl w:val="0"/>
          <w:numId w:val="24"/>
        </w:numPr>
      </w:pPr>
      <w:r w:rsidRPr="000837B3">
        <w:rPr>
          <w:b/>
          <w:bCs/>
        </w:rPr>
        <w:t>Leadership variability:</w:t>
      </w:r>
      <w:r w:rsidRPr="000837B3">
        <w:t xml:space="preserve"> Supportive leadership was not consistent across organisations, contributing to unequal experiences.</w:t>
      </w:r>
    </w:p>
    <w:p w14:paraId="04D54D67" w14:textId="77777777" w:rsidR="000837B3" w:rsidRPr="000837B3" w:rsidRDefault="000837B3" w:rsidP="000837B3">
      <w:pPr>
        <w:pStyle w:val="NormalWeb"/>
        <w:ind w:left="360"/>
      </w:pPr>
      <w:r w:rsidRPr="000837B3">
        <w:rPr>
          <w:b/>
          <w:bCs/>
        </w:rPr>
        <w:t>Leadership, Communication, and Psychological Safety</w:t>
      </w:r>
    </w:p>
    <w:p w14:paraId="06072E7B" w14:textId="77777777" w:rsidR="000837B3" w:rsidRPr="000837B3" w:rsidRDefault="000837B3" w:rsidP="000837B3">
      <w:pPr>
        <w:pStyle w:val="NormalWeb"/>
        <w:ind w:left="360"/>
      </w:pPr>
      <w:r w:rsidRPr="000837B3">
        <w:t>Leadership style and communication quality were repeatedly identified as critical factors. Compassionate, transparent, and responsive leadership was associated with better staff morale and lower distress. West and Coia (2022) emphasise the importance of psychological safety—an environment where staff feel able to speak up about mistakes, concerns, or emotional difficulties without fear of blame.</w:t>
      </w:r>
    </w:p>
    <w:p w14:paraId="5C8ED1CA" w14:textId="77777777" w:rsidR="000837B3" w:rsidRPr="000837B3" w:rsidRDefault="000837B3" w:rsidP="000837B3">
      <w:pPr>
        <w:pStyle w:val="NormalWeb"/>
        <w:ind w:left="360"/>
      </w:pPr>
      <w:r w:rsidRPr="000837B3">
        <w:t>In contrast, authoritarian or dismissive leadership, poor communication, and lack of involvement in decision</w:t>
      </w:r>
      <w:r w:rsidRPr="000837B3">
        <w:noBreakHyphen/>
        <w:t>making were linked to higher stress and burnout.</w:t>
      </w:r>
    </w:p>
    <w:p w14:paraId="6E13198E" w14:textId="77777777" w:rsidR="000837B3" w:rsidRPr="000837B3" w:rsidRDefault="000837B3" w:rsidP="000837B3">
      <w:pPr>
        <w:pStyle w:val="NormalWeb"/>
        <w:ind w:left="360"/>
      </w:pPr>
      <w:r w:rsidRPr="000837B3">
        <w:rPr>
          <w:b/>
          <w:bCs/>
        </w:rPr>
        <w:t>Why Institutional Support Matters</w:t>
      </w:r>
    </w:p>
    <w:p w14:paraId="6DC8615B" w14:textId="77777777" w:rsidR="000837B3" w:rsidRPr="000837B3" w:rsidRDefault="000837B3" w:rsidP="000837B3">
      <w:pPr>
        <w:pStyle w:val="NormalWeb"/>
        <w:ind w:left="360"/>
      </w:pPr>
      <w:r w:rsidRPr="000837B3">
        <w:lastRenderedPageBreak/>
        <w:t>Institutional support is not optional; it is a determining factor in HCWs’ mental health outcomes. Organisations that invest in staff well</w:t>
      </w:r>
      <w:r w:rsidRPr="000837B3">
        <w:noBreakHyphen/>
        <w:t>being, provide adequate resources, and foster compassionate leadership are more likely to retain staff, reduce sickness absence, and maintain high</w:t>
      </w:r>
      <w:r w:rsidRPr="000837B3">
        <w:noBreakHyphen/>
        <w:t>quality care. Conversely, failure to support HCWs can lead to long</w:t>
      </w:r>
      <w:r w:rsidRPr="000837B3">
        <w:noBreakHyphen/>
        <w:t>term workforce damage, including burnout, early retirement, and difficulties recruiting and retaining staff.</w:t>
      </w:r>
    </w:p>
    <w:p w14:paraId="3B4BDB2B" w14:textId="77777777" w:rsidR="000837B3" w:rsidRPr="000837B3" w:rsidRDefault="000837B3" w:rsidP="000837B3">
      <w:pPr>
        <w:pStyle w:val="NormalWeb"/>
        <w:ind w:left="360"/>
      </w:pPr>
      <w:r w:rsidRPr="000837B3">
        <w:rPr>
          <w:b/>
          <w:bCs/>
        </w:rPr>
        <w:t>4.6 Conclusion</w:t>
      </w:r>
    </w:p>
    <w:p w14:paraId="6823C4E1" w14:textId="77777777" w:rsidR="000837B3" w:rsidRPr="000837B3" w:rsidRDefault="000837B3" w:rsidP="000837B3">
      <w:pPr>
        <w:pStyle w:val="NormalWeb"/>
        <w:ind w:left="360"/>
      </w:pPr>
      <w:r w:rsidRPr="000837B3">
        <w:t>This chapter has shown that healthcare workers faced multiple, overlapping mental health challenges during the COVID</w:t>
      </w:r>
      <w:r w:rsidRPr="000837B3">
        <w:noBreakHyphen/>
        <w:t>19 pandemic, including anxiety, depression, burnout, PTSD, and moral injury. Coping strategies and institutional support played vital roles in shaping their experiences, but their effectiveness varied across contexts. Adaptive coping strategies such as social support, mindfulness, and physical activity were associated with better outcomes, while maladaptive strategies such as avoidance and substance use were linked to poorer mental health.</w:t>
      </w:r>
    </w:p>
    <w:p w14:paraId="3F44D7C9" w14:textId="77777777" w:rsidR="000837B3" w:rsidRPr="000837B3" w:rsidRDefault="000837B3" w:rsidP="000837B3">
      <w:pPr>
        <w:pStyle w:val="NormalWeb"/>
        <w:ind w:left="360"/>
      </w:pPr>
      <w:r w:rsidRPr="000837B3">
        <w:t>Institutional support emerged as a critical determinant of HCWs’ well</w:t>
      </w:r>
      <w:r w:rsidRPr="000837B3">
        <w:noBreakHyphen/>
        <w:t>being. Organisations that provided clear communication, adequate PPE, accessible psychological services, and compassionate leadership saw better staff outcomes, whereas those with inconsistent or limited support reported higher levels of distress and burnout. These findings highlight the need for stronger organisational structures, accessible mental health services, and proactive crisis planning.</w:t>
      </w:r>
    </w:p>
    <w:p w14:paraId="4F171103" w14:textId="77777777" w:rsidR="000837B3" w:rsidRPr="000837B3" w:rsidRDefault="000837B3" w:rsidP="000837B3">
      <w:pPr>
        <w:pStyle w:val="NormalWeb"/>
        <w:ind w:left="360"/>
      </w:pPr>
      <w:r w:rsidRPr="000837B3">
        <w:t>The evidence presented in this chapter directly informs the recommendations and final reflections in Chapter 5.</w:t>
      </w:r>
    </w:p>
    <w:p w14:paraId="65275DEB" w14:textId="4F94CA54" w:rsidR="006F7741" w:rsidRPr="006F7741" w:rsidRDefault="006F7741" w:rsidP="006F7741">
      <w:pPr>
        <w:pStyle w:val="NormalWeb"/>
        <w:ind w:left="360"/>
      </w:pPr>
      <w:r>
        <w:rPr>
          <w:b/>
          <w:bCs/>
        </w:rPr>
        <w:t>Chapter</w:t>
      </w:r>
      <w:r w:rsidRPr="006F7741">
        <w:rPr>
          <w:b/>
          <w:bCs/>
        </w:rPr>
        <w:t xml:space="preserve"> 5: Recommendations and Conclusion</w:t>
      </w:r>
    </w:p>
    <w:p w14:paraId="324AF676" w14:textId="77777777" w:rsidR="006F7741" w:rsidRPr="006F7741" w:rsidRDefault="006F7741" w:rsidP="006F7741">
      <w:pPr>
        <w:pStyle w:val="NormalWeb"/>
        <w:ind w:left="360"/>
      </w:pPr>
      <w:r w:rsidRPr="006F7741">
        <w:rPr>
          <w:b/>
          <w:bCs/>
        </w:rPr>
        <w:t>5.1 Overall Conclusion</w:t>
      </w:r>
    </w:p>
    <w:p w14:paraId="00DDCA8A" w14:textId="77777777" w:rsidR="006F7741" w:rsidRDefault="006F7741" w:rsidP="006F7741">
      <w:pPr>
        <w:pStyle w:val="NormalWeb"/>
        <w:ind w:left="360"/>
      </w:pPr>
      <w:r w:rsidRPr="006F7741">
        <w:t>This dissertation examined the mental health impact of the COVID</w:t>
      </w:r>
      <w:r w:rsidRPr="006F7741">
        <w:noBreakHyphen/>
        <w:t>19 pandemic on healthcare workers (HCWs), explored the coping mechanisms they employed, and evaluated the effectiveness of institutional support systems. The findings demonstrate that HCWs experienced significant psychological strain, including anxiety, depression, burnout, moral injury, and post</w:t>
      </w:r>
      <w:r w:rsidRPr="006F7741">
        <w:noBreakHyphen/>
        <w:t>traumatic stress disorder (PTSD). These challenges were driven by multiple factors, including fear of infection, inadequate personal protective equipment (PPE), exposure to high patient mortality, rapidly changing clinical guidelines, and long working hours.</w:t>
      </w:r>
    </w:p>
    <w:p w14:paraId="590A895B" w14:textId="5047D7A3" w:rsidR="006F7741" w:rsidRPr="006F7741" w:rsidRDefault="006F7741" w:rsidP="006F7741">
      <w:pPr>
        <w:pStyle w:val="NormalWeb"/>
        <w:ind w:left="360"/>
      </w:pPr>
      <w:r w:rsidRPr="006F7741">
        <w:t>The literature also showed that HCWs used a range of coping mechanisms. Adaptive strategies</w:t>
      </w:r>
      <w:r>
        <w:t xml:space="preserve"> </w:t>
      </w:r>
      <w:r w:rsidRPr="006F7741">
        <w:t>such as social support, mindfulness, physical activity, and resilience</w:t>
      </w:r>
      <w:r w:rsidR="00780D58">
        <w:t xml:space="preserve"> </w:t>
      </w:r>
      <w:r w:rsidRPr="006F7741">
        <w:t>were associated with better mental health outcomes. In contrast, maladaptive strategies—such as avoidance, emotional withdrawal, and increased substance use—were linked to poorer outcomes. Coping was highly individual, shaped by personal preferences, cultural norms, and workplace conditions.</w:t>
      </w:r>
    </w:p>
    <w:p w14:paraId="04444247" w14:textId="77777777" w:rsidR="006F7741" w:rsidRPr="006F7741" w:rsidRDefault="006F7741" w:rsidP="006F7741">
      <w:pPr>
        <w:pStyle w:val="NormalWeb"/>
        <w:ind w:left="360"/>
      </w:pPr>
      <w:r w:rsidRPr="006F7741">
        <w:t>Institutional support emerged as a critical determinant of HCWs’ well</w:t>
      </w:r>
      <w:r w:rsidRPr="006F7741">
        <w:noBreakHyphen/>
        <w:t>being. Organisations that provided clear communication, adequate PPE, accessible psychological services, and compassionate leadership reported better staff outcomes. However, support was inconsistent across settings, and many HCWs reported barriers such as stigma, workload pressures, and limited awareness of available services. The findings highlight the need for stronger organisational structures, proactive mental health planning, and long</w:t>
      </w:r>
      <w:r w:rsidRPr="006F7741">
        <w:noBreakHyphen/>
        <w:t>term investment in staff well</w:t>
      </w:r>
      <w:r w:rsidRPr="006F7741">
        <w:noBreakHyphen/>
        <w:t>being.</w:t>
      </w:r>
    </w:p>
    <w:p w14:paraId="49AF4594" w14:textId="77777777" w:rsidR="006F7741" w:rsidRDefault="006F7741" w:rsidP="006F7741">
      <w:pPr>
        <w:pStyle w:val="NormalWeb"/>
        <w:ind w:left="360"/>
      </w:pPr>
      <w:r w:rsidRPr="006F7741">
        <w:lastRenderedPageBreak/>
        <w:t>Overall, the evidence demonstrates that protecting HCWs’ mental health is essential for workforce sustainability, patient safety, and the resilience of healthcare systems. The recommendations below outline practical steps that healthcare organisations and policymakers can take to strengthen mental health support during future crises.</w:t>
      </w:r>
    </w:p>
    <w:p w14:paraId="16FE07DE" w14:textId="497F73CC" w:rsidR="00AF4C97" w:rsidRPr="006F7741" w:rsidRDefault="006F7741" w:rsidP="00AF4C97">
      <w:pPr>
        <w:pStyle w:val="NormalWeb"/>
        <w:ind w:left="360"/>
        <w:rPr>
          <w:b/>
          <w:bCs/>
        </w:rPr>
      </w:pPr>
      <w:r w:rsidRPr="006F7741">
        <w:rPr>
          <w:b/>
          <w:bCs/>
        </w:rPr>
        <w:t>5.2 Recommendations</w:t>
      </w:r>
    </w:p>
    <w:p w14:paraId="65F252B0" w14:textId="77777777" w:rsidR="006F7741" w:rsidRPr="006F7741" w:rsidRDefault="006F7741" w:rsidP="006F7741">
      <w:pPr>
        <w:pStyle w:val="NormalWeb"/>
        <w:ind w:left="360"/>
      </w:pPr>
      <w:r w:rsidRPr="006F7741">
        <w:rPr>
          <w:b/>
          <w:bCs/>
        </w:rPr>
        <w:t>1. Strengthen Institutional Mental Health Support</w:t>
      </w:r>
    </w:p>
    <w:p w14:paraId="1C5B2619" w14:textId="77777777" w:rsidR="006F7741" w:rsidRPr="006F7741" w:rsidRDefault="006F7741" w:rsidP="006F7741">
      <w:pPr>
        <w:pStyle w:val="NormalWeb"/>
        <w:ind w:left="360"/>
      </w:pPr>
      <w:r w:rsidRPr="006F7741">
        <w:t>Healthcare organisations should provide confidential counselling, trauma</w:t>
      </w:r>
      <w:r w:rsidRPr="006F7741">
        <w:noBreakHyphen/>
        <w:t>informed psychological services, and 24</w:t>
      </w:r>
      <w:r w:rsidRPr="006F7741">
        <w:noBreakHyphen/>
        <w:t>hour mental health helplines for HCWs. Support should be accessible, well</w:t>
      </w:r>
      <w:r w:rsidRPr="006F7741">
        <w:noBreakHyphen/>
        <w:t>publicised, and integrated into routine practice rather than offered only during crises.</w:t>
      </w:r>
    </w:p>
    <w:p w14:paraId="6FD13FBB" w14:textId="77777777" w:rsidR="006F7741" w:rsidRPr="006F7741" w:rsidRDefault="006F7741" w:rsidP="006F7741">
      <w:pPr>
        <w:pStyle w:val="NormalWeb"/>
        <w:ind w:left="360"/>
      </w:pPr>
      <w:r w:rsidRPr="006F7741">
        <w:rPr>
          <w:b/>
          <w:bCs/>
        </w:rPr>
        <w:t>Justification:</w:t>
      </w:r>
      <w:r w:rsidRPr="006F7741">
        <w:br/>
        <w:t>Studies show that proactive psychological support reduces distress and improves resilience among HCWs (Shanafelt et al., 2020; Greenberg et al., 2020).</w:t>
      </w:r>
    </w:p>
    <w:p w14:paraId="31DCA964" w14:textId="77777777" w:rsidR="006F7741" w:rsidRPr="006F7741" w:rsidRDefault="006F7741" w:rsidP="006F7741">
      <w:pPr>
        <w:pStyle w:val="NormalWeb"/>
        <w:ind w:left="360"/>
      </w:pPr>
      <w:r w:rsidRPr="006F7741">
        <w:rPr>
          <w:b/>
          <w:bCs/>
        </w:rPr>
        <w:t>2. Ensure Adequate PPE and Resources</w:t>
      </w:r>
    </w:p>
    <w:p w14:paraId="795B27C2" w14:textId="77777777" w:rsidR="006F7741" w:rsidRPr="006F7741" w:rsidRDefault="006F7741" w:rsidP="006F7741">
      <w:pPr>
        <w:pStyle w:val="NormalWeb"/>
        <w:ind w:left="360"/>
      </w:pPr>
      <w:r w:rsidRPr="006F7741">
        <w:t>Healthcare organisations must ensure consistent access to PPE, infection control training, and safe staffing levels. Resource shortages significantly increase anxiety, burnout, and moral injury.</w:t>
      </w:r>
    </w:p>
    <w:p w14:paraId="391133CA" w14:textId="77777777" w:rsidR="006F7741" w:rsidRPr="006F7741" w:rsidRDefault="006F7741" w:rsidP="006F7741">
      <w:pPr>
        <w:pStyle w:val="NormalWeb"/>
        <w:ind w:left="360"/>
      </w:pPr>
      <w:r w:rsidRPr="006F7741">
        <w:rPr>
          <w:b/>
          <w:bCs/>
        </w:rPr>
        <w:t>Justification:</w:t>
      </w:r>
      <w:r w:rsidRPr="006F7741">
        <w:br/>
        <w:t>Morgantini et al. (2020) found that adequate PPE was strongly associated with lower burnout and anxiety.</w:t>
      </w:r>
    </w:p>
    <w:p w14:paraId="0AC0C03D" w14:textId="77777777" w:rsidR="006F7741" w:rsidRPr="006F7741" w:rsidRDefault="006F7741" w:rsidP="006F7741">
      <w:pPr>
        <w:pStyle w:val="NormalWeb"/>
        <w:ind w:left="360"/>
      </w:pPr>
      <w:r w:rsidRPr="006F7741">
        <w:rPr>
          <w:b/>
          <w:bCs/>
        </w:rPr>
        <w:t>3. Improve Leadership and Communication</w:t>
      </w:r>
    </w:p>
    <w:p w14:paraId="1F9B891A" w14:textId="77777777" w:rsidR="006F7741" w:rsidRPr="006F7741" w:rsidRDefault="006F7741" w:rsidP="006F7741">
      <w:pPr>
        <w:pStyle w:val="NormalWeb"/>
        <w:ind w:left="360"/>
      </w:pPr>
      <w:r w:rsidRPr="006F7741">
        <w:t>Leaders should adopt compassionate, transparent, and responsive communication styles. Regular briefings, opportunities for staff to raise concerns, and visible leadership presence can improve morale and psychological safety.</w:t>
      </w:r>
    </w:p>
    <w:p w14:paraId="2CE772FA" w14:textId="77777777" w:rsidR="006F7741" w:rsidRPr="006F7741" w:rsidRDefault="006F7741" w:rsidP="006F7741">
      <w:pPr>
        <w:pStyle w:val="NormalWeb"/>
        <w:ind w:left="360"/>
      </w:pPr>
      <w:r w:rsidRPr="006F7741">
        <w:rPr>
          <w:b/>
          <w:bCs/>
        </w:rPr>
        <w:t>Justification:</w:t>
      </w:r>
      <w:r w:rsidRPr="006F7741">
        <w:br/>
        <w:t>West and Coia (2022) emphasise that compassionate leadership reduces burnout and improves team cohesion.</w:t>
      </w:r>
    </w:p>
    <w:p w14:paraId="7767E687" w14:textId="77777777" w:rsidR="006F7741" w:rsidRPr="006F7741" w:rsidRDefault="006F7741" w:rsidP="006F7741">
      <w:pPr>
        <w:pStyle w:val="NormalWeb"/>
        <w:ind w:left="360"/>
      </w:pPr>
      <w:r w:rsidRPr="006F7741">
        <w:rPr>
          <w:b/>
          <w:bCs/>
        </w:rPr>
        <w:t>4. Promote Peer Support and Team</w:t>
      </w:r>
      <w:r w:rsidRPr="006F7741">
        <w:rPr>
          <w:b/>
          <w:bCs/>
        </w:rPr>
        <w:noBreakHyphen/>
        <w:t>Based Interventions</w:t>
      </w:r>
    </w:p>
    <w:p w14:paraId="6803B457" w14:textId="77777777" w:rsidR="006F7741" w:rsidRPr="006F7741" w:rsidRDefault="006F7741" w:rsidP="006F7741">
      <w:pPr>
        <w:pStyle w:val="NormalWeb"/>
        <w:ind w:left="360"/>
      </w:pPr>
      <w:r w:rsidRPr="006F7741">
        <w:t>Peer support programmes, reflective practice groups, and Schwartz Rounds should be embedded into organisational culture. These interventions provide safe spaces for staff to share experiences and process emotions.</w:t>
      </w:r>
    </w:p>
    <w:p w14:paraId="712A4BA3" w14:textId="77777777" w:rsidR="006F7741" w:rsidRPr="006F7741" w:rsidRDefault="006F7741" w:rsidP="006F7741">
      <w:pPr>
        <w:pStyle w:val="NormalWeb"/>
        <w:ind w:left="360"/>
      </w:pPr>
      <w:r w:rsidRPr="006F7741">
        <w:rPr>
          <w:b/>
          <w:bCs/>
        </w:rPr>
        <w:t>Justification:</w:t>
      </w:r>
      <w:r w:rsidRPr="006F7741">
        <w:br/>
        <w:t>Billings et al. (2022) found that reflective practice groups improved team morale and reduced feelings of isolation.</w:t>
      </w:r>
    </w:p>
    <w:p w14:paraId="488AE440" w14:textId="77777777" w:rsidR="006F7741" w:rsidRPr="006F7741" w:rsidRDefault="006F7741" w:rsidP="006F7741">
      <w:pPr>
        <w:pStyle w:val="NormalWeb"/>
        <w:ind w:left="360"/>
      </w:pPr>
      <w:r w:rsidRPr="006F7741">
        <w:rPr>
          <w:b/>
          <w:bCs/>
        </w:rPr>
        <w:t>5. Provide Training in Coping and Resilience</w:t>
      </w:r>
    </w:p>
    <w:p w14:paraId="13635859" w14:textId="77777777" w:rsidR="006F7741" w:rsidRPr="006F7741" w:rsidRDefault="006F7741" w:rsidP="006F7741">
      <w:pPr>
        <w:pStyle w:val="NormalWeb"/>
        <w:ind w:left="360"/>
      </w:pPr>
      <w:r w:rsidRPr="006F7741">
        <w:lastRenderedPageBreak/>
        <w:t>Training programmes should focus on mindfulness, emotional regulation, stress management, and resilience</w:t>
      </w:r>
      <w:r w:rsidRPr="006F7741">
        <w:noBreakHyphen/>
        <w:t>building. These skills can help HCWs manage acute stress and prevent long</w:t>
      </w:r>
      <w:r w:rsidRPr="006F7741">
        <w:noBreakHyphen/>
        <w:t>term psychological harm.</w:t>
      </w:r>
    </w:p>
    <w:p w14:paraId="654113CA" w14:textId="77777777" w:rsidR="006F7741" w:rsidRDefault="006F7741" w:rsidP="006F7741">
      <w:pPr>
        <w:pStyle w:val="NormalWeb"/>
        <w:ind w:left="360"/>
      </w:pPr>
      <w:r w:rsidRPr="006F7741">
        <w:rPr>
          <w:b/>
          <w:bCs/>
        </w:rPr>
        <w:t>Justification:</w:t>
      </w:r>
      <w:r w:rsidRPr="006F7741">
        <w:br/>
        <w:t>Frewen et al. (2020) found that mindfulness</w:t>
      </w:r>
      <w:r w:rsidRPr="006F7741">
        <w:noBreakHyphen/>
        <w:t>based interventions reduced anxiety and improved emotional regulation among HCWs.</w:t>
      </w:r>
    </w:p>
    <w:p w14:paraId="76046C25" w14:textId="77777777" w:rsidR="006F7741" w:rsidRPr="006F7741" w:rsidRDefault="006F7741" w:rsidP="006F7741">
      <w:pPr>
        <w:pStyle w:val="NormalWeb"/>
        <w:ind w:left="360"/>
      </w:pPr>
      <w:r w:rsidRPr="006F7741">
        <w:rPr>
          <w:b/>
          <w:bCs/>
        </w:rPr>
        <w:t>6. Address Stigma Around Mental Health</w:t>
      </w:r>
    </w:p>
    <w:p w14:paraId="22B5B271" w14:textId="77777777" w:rsidR="006F7741" w:rsidRPr="006F7741" w:rsidRDefault="006F7741" w:rsidP="006F7741">
      <w:pPr>
        <w:pStyle w:val="NormalWeb"/>
        <w:ind w:left="360"/>
      </w:pPr>
      <w:r w:rsidRPr="006F7741">
        <w:t>Organisations should promote open conversations about mental health, challenge stigma, and encourage help</w:t>
      </w:r>
      <w:r w:rsidRPr="006F7741">
        <w:noBreakHyphen/>
        <w:t>seeking behaviours. Senior staff should model positive attitudes towards mental health support.</w:t>
      </w:r>
    </w:p>
    <w:p w14:paraId="2F8B5B37" w14:textId="77777777" w:rsidR="006F7741" w:rsidRPr="006F7741" w:rsidRDefault="006F7741" w:rsidP="006F7741">
      <w:pPr>
        <w:pStyle w:val="NormalWeb"/>
        <w:ind w:left="360"/>
      </w:pPr>
      <w:r w:rsidRPr="006F7741">
        <w:rPr>
          <w:b/>
          <w:bCs/>
        </w:rPr>
        <w:t>Justification:</w:t>
      </w:r>
      <w:r w:rsidRPr="006F7741">
        <w:br/>
        <w:t>Stigma is a major barrier to accessing support (Kinman et al., 2023).</w:t>
      </w:r>
    </w:p>
    <w:p w14:paraId="2DA87E52" w14:textId="77777777" w:rsidR="006F7741" w:rsidRPr="006F7741" w:rsidRDefault="006F7741" w:rsidP="006F7741">
      <w:pPr>
        <w:pStyle w:val="NormalWeb"/>
        <w:ind w:left="360"/>
      </w:pPr>
      <w:r w:rsidRPr="006F7741">
        <w:rPr>
          <w:b/>
          <w:bCs/>
        </w:rPr>
        <w:t>7. Protect Rest Breaks and Work–Life Balance</w:t>
      </w:r>
    </w:p>
    <w:p w14:paraId="3402DF4A" w14:textId="77777777" w:rsidR="006F7741" w:rsidRPr="006F7741" w:rsidRDefault="006F7741" w:rsidP="006F7741">
      <w:pPr>
        <w:pStyle w:val="NormalWeb"/>
        <w:ind w:left="360"/>
      </w:pPr>
      <w:r w:rsidRPr="006F7741">
        <w:t>Healthcare organisations should ensure protected rest breaks, flexible working arrangements, and adequate time off. Chronic fatigue contributes to burnout, errors, and reduced quality of care.</w:t>
      </w:r>
    </w:p>
    <w:p w14:paraId="6D3CE901" w14:textId="77777777" w:rsidR="006F7741" w:rsidRPr="006F7741" w:rsidRDefault="006F7741" w:rsidP="006F7741">
      <w:pPr>
        <w:pStyle w:val="NormalWeb"/>
        <w:ind w:left="360"/>
      </w:pPr>
      <w:r w:rsidRPr="006F7741">
        <w:rPr>
          <w:b/>
          <w:bCs/>
        </w:rPr>
        <w:t>Justification:</w:t>
      </w:r>
      <w:r w:rsidRPr="006F7741">
        <w:br/>
        <w:t>Conservation of Resources Theory highlights the importance of rest and recovery in preventing resource depletion (</w:t>
      </w:r>
      <w:proofErr w:type="spellStart"/>
      <w:r w:rsidRPr="006F7741">
        <w:t>Hobfoll</w:t>
      </w:r>
      <w:proofErr w:type="spellEnd"/>
      <w:r w:rsidRPr="006F7741">
        <w:t>, 1989).</w:t>
      </w:r>
    </w:p>
    <w:p w14:paraId="77FC318B" w14:textId="77777777" w:rsidR="006F7741" w:rsidRPr="006F7741" w:rsidRDefault="006F7741" w:rsidP="006F7741">
      <w:pPr>
        <w:pStyle w:val="NormalWeb"/>
        <w:ind w:left="360"/>
      </w:pPr>
      <w:r w:rsidRPr="006F7741">
        <w:rPr>
          <w:b/>
          <w:bCs/>
        </w:rPr>
        <w:t>8. Invest in Long</w:t>
      </w:r>
      <w:r w:rsidRPr="006F7741">
        <w:rPr>
          <w:b/>
          <w:bCs/>
        </w:rPr>
        <w:noBreakHyphen/>
        <w:t>Term Workforce Planning</w:t>
      </w:r>
    </w:p>
    <w:p w14:paraId="21058B39" w14:textId="77777777" w:rsidR="006F7741" w:rsidRPr="006F7741" w:rsidRDefault="006F7741" w:rsidP="006F7741">
      <w:pPr>
        <w:pStyle w:val="NormalWeb"/>
        <w:ind w:left="360"/>
      </w:pPr>
      <w:r w:rsidRPr="006F7741">
        <w:t>Governments and healthcare organisations should address staff shortages, improve retention, and invest in long</w:t>
      </w:r>
      <w:r w:rsidRPr="006F7741">
        <w:noBreakHyphen/>
        <w:t>term workforce planning. Sustainable staffing levels are essential for reducing workload pressures and preventing burnout.</w:t>
      </w:r>
    </w:p>
    <w:p w14:paraId="6CBAC892" w14:textId="77777777" w:rsidR="006F7741" w:rsidRDefault="006F7741" w:rsidP="006F7741">
      <w:pPr>
        <w:pStyle w:val="NormalWeb"/>
        <w:ind w:left="360"/>
      </w:pPr>
      <w:r w:rsidRPr="006F7741">
        <w:rPr>
          <w:b/>
          <w:bCs/>
        </w:rPr>
        <w:t>Justification:</w:t>
      </w:r>
      <w:r w:rsidRPr="006F7741">
        <w:br/>
        <w:t>High workloads and staff shortages were consistently linked to burnout and emotional exhaustion (Rossi et al., 2020; BMA, 2021).</w:t>
      </w:r>
    </w:p>
    <w:p w14:paraId="03BD9DE1" w14:textId="370DBD44" w:rsidR="00AF4C97" w:rsidRPr="006F7741" w:rsidRDefault="00AF4C97" w:rsidP="006F7741">
      <w:pPr>
        <w:pStyle w:val="NormalWeb"/>
        <w:ind w:left="360"/>
      </w:pPr>
      <w:r w:rsidRPr="00AF4C97">
        <w:t>Implementing these recommendations requires long</w:t>
      </w:r>
      <w:r w:rsidRPr="00AF4C97">
        <w:noBreakHyphen/>
        <w:t>term commitment from healthcare organisations and policymakers. Mental health support should not be viewed as an optional extra but as an essential component of workforce sustainability. Organisations should invest in ongoing training for leaders to develop compassionate leadership skills, as leadership style has a significant impact on staff well</w:t>
      </w:r>
      <w:r w:rsidRPr="00AF4C97">
        <w:noBreakHyphen/>
        <w:t>being. Additionally, mental health services should be integrated into routine practice, with clear referral pathways and protected time for staff to access support. Policymakers should ensure adequate funding for mental health hubs, staffing levels, and PPE supplies. Without sustained investment, healthcare workers will continue to face preventable psychological harm during future crises.</w:t>
      </w:r>
    </w:p>
    <w:p w14:paraId="4FC40103" w14:textId="77777777" w:rsidR="00116E99" w:rsidRPr="00116E99" w:rsidRDefault="00116E99" w:rsidP="00116E99">
      <w:pPr>
        <w:pStyle w:val="NormalWeb"/>
        <w:ind w:left="360"/>
        <w:rPr>
          <w:b/>
          <w:bCs/>
        </w:rPr>
      </w:pPr>
      <w:r w:rsidRPr="00116E99">
        <w:rPr>
          <w:b/>
          <w:bCs/>
        </w:rPr>
        <w:t>5.3 Limitations</w:t>
      </w:r>
    </w:p>
    <w:p w14:paraId="625D54AF" w14:textId="54C606FB" w:rsidR="00116E99" w:rsidRDefault="00116E99" w:rsidP="006F7741">
      <w:pPr>
        <w:pStyle w:val="NormalWeb"/>
        <w:ind w:left="360"/>
      </w:pPr>
      <w:r w:rsidRPr="00116E99">
        <w:t xml:space="preserve">This dissertation has several limitations that should be considered when interpreting the findings. The study relied on secondary data, which may reflect publication bias, as research reporting severe psychological outcomes is more likely to be published than studies with neutral </w:t>
      </w:r>
      <w:r w:rsidRPr="00116E99">
        <w:lastRenderedPageBreak/>
        <w:t>or positive results. The included studies varied in methodological quality, sample size, and measurement tools, with many relying on self</w:t>
      </w:r>
      <w:r w:rsidRPr="00116E99">
        <w:noBreakHyphen/>
        <w:t>reported surveys that may overestimate or underestimate symptoms. A further limitation is the predominance of cross</w:t>
      </w:r>
      <w:r w:rsidRPr="00116E99">
        <w:noBreakHyphen/>
        <w:t>sectional designs, which restricts the ability to assess long</w:t>
      </w:r>
      <w:r w:rsidRPr="00116E99">
        <w:noBreakHyphen/>
        <w:t>term psychological outcomes or establish causal relationships. Additionally, most studies focused on doctors and nurses, with limited attention to non</w:t>
      </w:r>
      <w:r w:rsidRPr="00116E99">
        <w:noBreakHyphen/>
        <w:t>clinical staff such as cleaners, porters, and administrative workers, reducing the generalisability of the findings. International comparisons were also challenging due to differences in healthcare systems, cultural norms, and pandemic responses. Finally, the rapidly evolving nature of COVID</w:t>
      </w:r>
      <w:r w:rsidRPr="00116E99">
        <w:noBreakHyphen/>
        <w:t>19 means that new research continues to emerge, and some early studies may not fully reflect long</w:t>
      </w:r>
      <w:r w:rsidRPr="00116E99">
        <w:noBreakHyphen/>
        <w:t>term impacts. Despite these limitations, the dissertation provides a comprehensive and evidence</w:t>
      </w:r>
      <w:r w:rsidRPr="00116E99">
        <w:noBreakHyphen/>
        <w:t>based analysis of healthcare workers’ mental health during the pandemic.</w:t>
      </w:r>
    </w:p>
    <w:p w14:paraId="2DCA163B" w14:textId="77777777" w:rsidR="005A7084" w:rsidRPr="005A7084" w:rsidRDefault="005A7084" w:rsidP="005A7084">
      <w:pPr>
        <w:pStyle w:val="NormalWeb"/>
        <w:ind w:left="360"/>
        <w:rPr>
          <w:b/>
          <w:bCs/>
        </w:rPr>
      </w:pPr>
      <w:r w:rsidRPr="005A7084">
        <w:rPr>
          <w:b/>
          <w:bCs/>
        </w:rPr>
        <w:t>5.4 Future Research</w:t>
      </w:r>
    </w:p>
    <w:p w14:paraId="3CC39AF8" w14:textId="4CDB2526" w:rsidR="005A7084" w:rsidRPr="005A7084" w:rsidRDefault="005A7084" w:rsidP="005A7084">
      <w:pPr>
        <w:pStyle w:val="NormalWeb"/>
        <w:ind w:left="360"/>
      </w:pPr>
      <w:r w:rsidRPr="005A7084">
        <w:t>Future research should explore the long</w:t>
      </w:r>
      <w:r w:rsidRPr="005A7084">
        <w:noBreakHyphen/>
        <w:t>term psychological effects of COVID</w:t>
      </w:r>
      <w:r w:rsidRPr="005A7084">
        <w:noBreakHyphen/>
        <w:t>19 on healthcare workers, including the development of chronic PTSD, burnout, and moral injury. Longitudinal studies are needed to examine recovery trajectories and identify risk factors for persistent distress. More research should also include non</w:t>
      </w:r>
      <w:r w:rsidRPr="005A7084">
        <w:noBreakHyphen/>
        <w:t>clinical staff, who play essential roles in healthcare settings but are often overlooked in academic studies. Evaluating the effectiveness of organisational interventions</w:t>
      </w:r>
      <w:r>
        <w:t xml:space="preserve"> </w:t>
      </w:r>
      <w:r w:rsidRPr="005A7084">
        <w:t>such as mental health hubs, peer support programmes, and leadership training</w:t>
      </w:r>
      <w:r>
        <w:t xml:space="preserve"> </w:t>
      </w:r>
      <w:r w:rsidRPr="005A7084">
        <w:t>would help identify best practices for supporting staff. Cross</w:t>
      </w:r>
      <w:r w:rsidRPr="005A7084">
        <w:noBreakHyphen/>
        <w:t>cultural comparisons could provide insight into how different healthcare systems and cultural norms influence mental health outcomes. Finally, research should examine the potential of digital mental health interventions, such as online counselling and mobile apps, to provide accessible and flexible support for healthcare workers.</w:t>
      </w:r>
    </w:p>
    <w:p w14:paraId="38A4A9F2" w14:textId="77777777" w:rsidR="005A7084" w:rsidRDefault="005A7084" w:rsidP="006F7741">
      <w:pPr>
        <w:pStyle w:val="NormalWeb"/>
        <w:ind w:left="360"/>
        <w:rPr>
          <w:b/>
          <w:bCs/>
        </w:rPr>
      </w:pPr>
    </w:p>
    <w:p w14:paraId="26D60EE9" w14:textId="77777777" w:rsidR="00454AEC" w:rsidRDefault="00454AEC" w:rsidP="00780D58">
      <w:pPr>
        <w:pStyle w:val="NormalWeb"/>
      </w:pPr>
    </w:p>
    <w:p w14:paraId="092CAD6A" w14:textId="77777777" w:rsidR="00454AEC" w:rsidRDefault="00454AEC" w:rsidP="00780D58">
      <w:pPr>
        <w:pStyle w:val="NormalWeb"/>
      </w:pPr>
    </w:p>
    <w:p w14:paraId="7687FF51" w14:textId="77777777" w:rsidR="00454AEC" w:rsidRDefault="00454AEC" w:rsidP="00780D58">
      <w:pPr>
        <w:pStyle w:val="NormalWeb"/>
      </w:pPr>
    </w:p>
    <w:p w14:paraId="681E1940" w14:textId="77777777" w:rsidR="00454AEC" w:rsidRDefault="00454AEC" w:rsidP="00780D58">
      <w:pPr>
        <w:pStyle w:val="NormalWeb"/>
      </w:pPr>
    </w:p>
    <w:p w14:paraId="68333995" w14:textId="77777777" w:rsidR="00454AEC" w:rsidRDefault="00454AEC" w:rsidP="00780D58">
      <w:pPr>
        <w:pStyle w:val="NormalWeb"/>
      </w:pPr>
    </w:p>
    <w:p w14:paraId="5BE5085F" w14:textId="77777777" w:rsidR="00454AEC" w:rsidRDefault="00454AEC" w:rsidP="00780D58">
      <w:pPr>
        <w:pStyle w:val="NormalWeb"/>
      </w:pPr>
    </w:p>
    <w:p w14:paraId="3091619E" w14:textId="77777777" w:rsidR="00454AEC" w:rsidRDefault="00454AEC" w:rsidP="00780D58">
      <w:pPr>
        <w:pStyle w:val="NormalWeb"/>
      </w:pPr>
    </w:p>
    <w:p w14:paraId="68054790" w14:textId="77777777" w:rsidR="003E4775" w:rsidRDefault="003E4775" w:rsidP="00780D58">
      <w:pPr>
        <w:pStyle w:val="NormalWeb"/>
      </w:pPr>
    </w:p>
    <w:p w14:paraId="5666197D" w14:textId="77777777" w:rsidR="003E4775" w:rsidRDefault="003E4775" w:rsidP="00780D58">
      <w:pPr>
        <w:pStyle w:val="NormalWeb"/>
      </w:pPr>
    </w:p>
    <w:p w14:paraId="1ECE6F74" w14:textId="77777777" w:rsidR="003E4775" w:rsidRDefault="003E4775" w:rsidP="00780D58">
      <w:pPr>
        <w:pStyle w:val="NormalWeb"/>
      </w:pPr>
    </w:p>
    <w:p w14:paraId="51973249" w14:textId="77777777" w:rsidR="00CC6F6F" w:rsidRDefault="00CC6F6F" w:rsidP="00780D58">
      <w:pPr>
        <w:pStyle w:val="NormalWeb"/>
      </w:pPr>
    </w:p>
    <w:p w14:paraId="7A078BD2" w14:textId="77777777" w:rsidR="00CC6F6F" w:rsidRDefault="00CC6F6F" w:rsidP="00780D58">
      <w:pPr>
        <w:pStyle w:val="NormalWeb"/>
      </w:pPr>
    </w:p>
    <w:p w14:paraId="32738B3D" w14:textId="06D1FE5B" w:rsidR="006F7741" w:rsidRPr="006F7741" w:rsidRDefault="006F7741" w:rsidP="006F7741">
      <w:pPr>
        <w:spacing w:line="360" w:lineRule="auto"/>
        <w:rPr>
          <w:rFonts w:ascii="Calibri" w:hAnsi="Calibri" w:cs="Calibri"/>
          <w:b/>
          <w:bCs/>
          <w:sz w:val="24"/>
          <w:szCs w:val="24"/>
        </w:rPr>
      </w:pPr>
      <w:r w:rsidRPr="006F7741">
        <w:rPr>
          <w:rFonts w:ascii="Calibri" w:hAnsi="Calibri" w:cs="Calibri"/>
          <w:b/>
          <w:bCs/>
          <w:sz w:val="24"/>
          <w:szCs w:val="24"/>
        </w:rPr>
        <w:lastRenderedPageBreak/>
        <w:t>References</w:t>
      </w:r>
    </w:p>
    <w:p w14:paraId="39BD15A3" w14:textId="77777777" w:rsidR="00FA7595" w:rsidRPr="00FA7595" w:rsidRDefault="00FA7595" w:rsidP="00FA7595">
      <w:r w:rsidRPr="00FA7595">
        <w:t>Adams, J.G. and Walls, R.M. (2020) ‘Supporting the health care workforce during the COVID</w:t>
      </w:r>
      <w:r w:rsidRPr="00FA7595">
        <w:noBreakHyphen/>
        <w:t xml:space="preserve">19 global epidemic’, </w:t>
      </w:r>
      <w:r w:rsidRPr="00FA7595">
        <w:rPr>
          <w:i/>
          <w:iCs/>
        </w:rPr>
        <w:t>JAMA</w:t>
      </w:r>
      <w:r w:rsidRPr="00FA7595">
        <w:t>, 323(15), pp. 1439–1440.</w:t>
      </w:r>
    </w:p>
    <w:p w14:paraId="25F3CF7B" w14:textId="5B96078B" w:rsidR="00FA7595" w:rsidRPr="00FA7595" w:rsidRDefault="00FA7595" w:rsidP="00FA7595">
      <w:r w:rsidRPr="00FA7595">
        <w:t xml:space="preserve">Billings, J., Seif, N.A., Hegarty, S., </w:t>
      </w:r>
      <w:proofErr w:type="spellStart"/>
      <w:r w:rsidRPr="00FA7595">
        <w:t>Ondruskova</w:t>
      </w:r>
      <w:proofErr w:type="spellEnd"/>
      <w:r w:rsidRPr="00FA7595">
        <w:t xml:space="preserve">, T., </w:t>
      </w:r>
      <w:proofErr w:type="spellStart"/>
      <w:r w:rsidRPr="00FA7595">
        <w:t>Soulios</w:t>
      </w:r>
      <w:proofErr w:type="spellEnd"/>
      <w:r w:rsidRPr="00FA7595">
        <w:t>, E., Bloomfield, M.</w:t>
      </w:r>
      <w:r w:rsidR="00787004">
        <w:t>,</w:t>
      </w:r>
      <w:r w:rsidRPr="00FA7595">
        <w:t xml:space="preserve"> and Greene, T. (2022)</w:t>
      </w:r>
      <w:r>
        <w:t>.</w:t>
      </w:r>
      <w:r w:rsidRPr="00FA7595">
        <w:t xml:space="preserve"> ‘What support do frontline workers want? A qualitative study of health and social care workers’ experiences and views of psychosocial support during the COVID</w:t>
      </w:r>
      <w:r w:rsidRPr="00FA7595">
        <w:noBreakHyphen/>
        <w:t xml:space="preserve">19 pandemic, </w:t>
      </w:r>
      <w:r w:rsidRPr="00FA7595">
        <w:rPr>
          <w:i/>
          <w:iCs/>
        </w:rPr>
        <w:t>PLOS ONE</w:t>
      </w:r>
      <w:r w:rsidRPr="00FA7595">
        <w:t>, 17(3), pp. 1–18.</w:t>
      </w:r>
    </w:p>
    <w:p w14:paraId="156B5D2E" w14:textId="77777777" w:rsidR="00FA7595" w:rsidRDefault="00FA7595" w:rsidP="00FA7595">
      <w:r w:rsidRPr="00FA7595">
        <w:t>Blake, H., Bermingham, F., Johnson, G. and Tabner, A. (2020) ‘Mitigating the psychological impact of COVID</w:t>
      </w:r>
      <w:r w:rsidRPr="00FA7595">
        <w:noBreakHyphen/>
        <w:t xml:space="preserve">19 on healthcare workers: A digital learning package’, </w:t>
      </w:r>
      <w:r w:rsidRPr="00FA7595">
        <w:rPr>
          <w:i/>
          <w:iCs/>
        </w:rPr>
        <w:t>International Journal of Environmental Research and Public Health</w:t>
      </w:r>
      <w:r w:rsidRPr="00FA7595">
        <w:t>, 17(9), pp. 1–15.</w:t>
      </w:r>
    </w:p>
    <w:p w14:paraId="07774448" w14:textId="104B90C4" w:rsidR="00787004" w:rsidRPr="00FA7595" w:rsidRDefault="00787004" w:rsidP="00FA7595">
      <w:r w:rsidRPr="00787004">
        <w:t>Bozdağ, F. and Ergün, N. (2021) ‘Psychological resilience of healthcare professionals during COVID</w:t>
      </w:r>
      <w:r w:rsidRPr="00787004">
        <w:noBreakHyphen/>
        <w:t xml:space="preserve">19 pandemic’, </w:t>
      </w:r>
      <w:r w:rsidRPr="00787004">
        <w:rPr>
          <w:i/>
          <w:iCs/>
        </w:rPr>
        <w:t>Psychology, Health &amp; Medicine</w:t>
      </w:r>
      <w:r w:rsidRPr="00787004">
        <w:t>, 26(1), pp. 85–97.</w:t>
      </w:r>
    </w:p>
    <w:p w14:paraId="52E269BA" w14:textId="77777777" w:rsidR="00FA7595" w:rsidRPr="00FA7595" w:rsidRDefault="00FA7595" w:rsidP="00FA7595">
      <w:r w:rsidRPr="00FA7595">
        <w:t xml:space="preserve">Braun, V. and Clarke, V. (2006) ‘Using thematic analysis in psychology’, </w:t>
      </w:r>
      <w:r w:rsidRPr="00FA7595">
        <w:rPr>
          <w:i/>
          <w:iCs/>
        </w:rPr>
        <w:t>Qualitative Research in Psychology</w:t>
      </w:r>
      <w:r w:rsidRPr="00FA7595">
        <w:t>, 3(2), pp. 77–101.</w:t>
      </w:r>
    </w:p>
    <w:p w14:paraId="52FEF15E" w14:textId="77777777" w:rsidR="00FA7595" w:rsidRPr="00FA7595" w:rsidRDefault="00FA7595" w:rsidP="00FA7595">
      <w:r w:rsidRPr="00FA7595">
        <w:t xml:space="preserve">British Medical Association (BMA). (2021) </w:t>
      </w:r>
      <w:r w:rsidRPr="00FA7595">
        <w:rPr>
          <w:i/>
          <w:iCs/>
        </w:rPr>
        <w:t>COVID</w:t>
      </w:r>
      <w:r w:rsidRPr="00FA7595">
        <w:rPr>
          <w:i/>
          <w:iCs/>
        </w:rPr>
        <w:noBreakHyphen/>
        <w:t>19: Analysing the impact on doctors</w:t>
      </w:r>
      <w:r w:rsidRPr="00FA7595">
        <w:t>. London: BMA.</w:t>
      </w:r>
    </w:p>
    <w:p w14:paraId="197E7319" w14:textId="77777777" w:rsidR="00FA7595" w:rsidRPr="00FA7595" w:rsidRDefault="00FA7595" w:rsidP="00FA7595">
      <w:r w:rsidRPr="00FA7595">
        <w:t xml:space="preserve">Brooks, S.K. et al. (2020) ‘The psychological impact of quarantine and how to reduce it: Rapid review of the evidence’, </w:t>
      </w:r>
      <w:r w:rsidRPr="00FA7595">
        <w:rPr>
          <w:i/>
          <w:iCs/>
        </w:rPr>
        <w:t>The Lancet</w:t>
      </w:r>
      <w:r w:rsidRPr="00FA7595">
        <w:t>, 395(10227), pp. 912–920.</w:t>
      </w:r>
    </w:p>
    <w:p w14:paraId="231258A8" w14:textId="77777777" w:rsidR="00FA7595" w:rsidRPr="00FA7595" w:rsidRDefault="00FA7595" w:rsidP="00FA7595">
      <w:r w:rsidRPr="00FA7595">
        <w:t xml:space="preserve">Cabarkapa, S., </w:t>
      </w:r>
      <w:proofErr w:type="spellStart"/>
      <w:r w:rsidRPr="00FA7595">
        <w:t>Nadjidai</w:t>
      </w:r>
      <w:proofErr w:type="spellEnd"/>
      <w:r w:rsidRPr="00FA7595">
        <w:t>, S.E., Murgier, J. and Ng, C.H. (2020) ‘The psychological impact of COVID</w:t>
      </w:r>
      <w:r w:rsidRPr="00FA7595">
        <w:noBreakHyphen/>
        <w:t xml:space="preserve">19 and other viral epidemics on frontline healthcare workers and ways to address it: A rapid systematic review’, </w:t>
      </w:r>
      <w:r w:rsidRPr="00FA7595">
        <w:rPr>
          <w:i/>
          <w:iCs/>
        </w:rPr>
        <w:t>Brain, Behavior, &amp; Immunity – Health</w:t>
      </w:r>
      <w:r w:rsidRPr="00FA7595">
        <w:t>, 8, pp. 1–9.</w:t>
      </w:r>
    </w:p>
    <w:p w14:paraId="11DFDEF4" w14:textId="77777777" w:rsidR="00FA7595" w:rsidRPr="00FA7595" w:rsidRDefault="00FA7595" w:rsidP="00FA7595">
      <w:r w:rsidRPr="00FA7595">
        <w:t>Chen, R. et al. (2021) ‘A large-scale survey on trauma, burnout, and posttraumatic growth among nurses during the COVID</w:t>
      </w:r>
      <w:r w:rsidRPr="00FA7595">
        <w:noBreakHyphen/>
        <w:t xml:space="preserve">19 pandemic’, </w:t>
      </w:r>
      <w:r w:rsidRPr="00FA7595">
        <w:rPr>
          <w:i/>
          <w:iCs/>
        </w:rPr>
        <w:t>International Journal of Mental Health Nursing</w:t>
      </w:r>
      <w:r w:rsidRPr="00FA7595">
        <w:t>, 30(1), pp. 102–116.</w:t>
      </w:r>
    </w:p>
    <w:p w14:paraId="5478F9C7" w14:textId="77777777" w:rsidR="00FA7595" w:rsidRPr="00FA7595" w:rsidRDefault="00FA7595" w:rsidP="00FA7595">
      <w:r w:rsidRPr="00FA7595">
        <w:t xml:space="preserve">Chekroud, S.R. et al. (2018) ‘Association between physical exercise and mental health in 1.2 million individuals in the USA’, </w:t>
      </w:r>
      <w:r w:rsidRPr="00FA7595">
        <w:rPr>
          <w:i/>
          <w:iCs/>
        </w:rPr>
        <w:t>The Lancet Psychiatry</w:t>
      </w:r>
      <w:r w:rsidRPr="00FA7595">
        <w:t>, 5(9), pp. 739–746.</w:t>
      </w:r>
    </w:p>
    <w:p w14:paraId="4013178B" w14:textId="77777777" w:rsidR="00FA7595" w:rsidRPr="00FA7595" w:rsidRDefault="00FA7595" w:rsidP="00FA7595">
      <w:r w:rsidRPr="00FA7595">
        <w:t>De Kock, J.H. et al. (2021) ‘A rapid review of the impact of COVID</w:t>
      </w:r>
      <w:r w:rsidRPr="00FA7595">
        <w:noBreakHyphen/>
        <w:t xml:space="preserve">19 on the mental health of healthcare workers’, </w:t>
      </w:r>
      <w:r w:rsidRPr="00FA7595">
        <w:rPr>
          <w:i/>
          <w:iCs/>
        </w:rPr>
        <w:t>International Journal of Nursing Studies</w:t>
      </w:r>
      <w:r w:rsidRPr="00FA7595">
        <w:t>, 121, pp. 1–15.</w:t>
      </w:r>
    </w:p>
    <w:p w14:paraId="377AF794" w14:textId="77777777" w:rsidR="00FA7595" w:rsidRPr="00FA7595" w:rsidRDefault="00FA7595" w:rsidP="00FA7595">
      <w:r w:rsidRPr="00FA7595">
        <w:t>Frewen, P., Schmittmann, V., Bringmann, L. and Borsboom, D. (2020) ‘Mindfulness</w:t>
      </w:r>
      <w:r w:rsidRPr="00FA7595">
        <w:noBreakHyphen/>
        <w:t>based interventions for healthcare workers during COVID</w:t>
      </w:r>
      <w:r w:rsidRPr="00FA7595">
        <w:noBreakHyphen/>
        <w:t xml:space="preserve">19: A review’, </w:t>
      </w:r>
      <w:r w:rsidRPr="00FA7595">
        <w:rPr>
          <w:i/>
          <w:iCs/>
        </w:rPr>
        <w:t>Clinical Psychology Review</w:t>
      </w:r>
      <w:r w:rsidRPr="00FA7595">
        <w:t>, 82, pp. 1–12.</w:t>
      </w:r>
    </w:p>
    <w:p w14:paraId="0378B891" w14:textId="77777777" w:rsidR="00FA7595" w:rsidRPr="00FA7595" w:rsidRDefault="00FA7595" w:rsidP="00FA7595">
      <w:r w:rsidRPr="00FA7595">
        <w:t xml:space="preserve">Goulia, P. et al. (2010) ‘General hospital staff worries, perceived sufficiency of information and associated psychological distress during the A/H1N1 influenza pandemic’, </w:t>
      </w:r>
      <w:r w:rsidRPr="00FA7595">
        <w:rPr>
          <w:i/>
          <w:iCs/>
        </w:rPr>
        <w:t>BMC Infectious Diseases</w:t>
      </w:r>
      <w:r w:rsidRPr="00FA7595">
        <w:t>, 10(322), pp. 1–11.</w:t>
      </w:r>
    </w:p>
    <w:p w14:paraId="494D574F" w14:textId="77777777" w:rsidR="00FA7595" w:rsidRPr="00FA7595" w:rsidRDefault="00FA7595" w:rsidP="00FA7595">
      <w:r w:rsidRPr="00FA7595">
        <w:t>Greenberg, N. (2020) ‘Mental health of health</w:t>
      </w:r>
      <w:r w:rsidRPr="00FA7595">
        <w:noBreakHyphen/>
        <w:t>care workers in the COVID</w:t>
      </w:r>
      <w:r w:rsidRPr="00FA7595">
        <w:noBreakHyphen/>
        <w:t xml:space="preserve">19 era’, </w:t>
      </w:r>
      <w:r w:rsidRPr="00FA7595">
        <w:rPr>
          <w:i/>
          <w:iCs/>
        </w:rPr>
        <w:t>Nature Reviews Nephrology</w:t>
      </w:r>
      <w:r w:rsidRPr="00FA7595">
        <w:t>, 16(8), pp. 425–426.</w:t>
      </w:r>
    </w:p>
    <w:p w14:paraId="371B5A3A" w14:textId="77777777" w:rsidR="00FA7595" w:rsidRPr="00FA7595" w:rsidRDefault="00FA7595" w:rsidP="00FA7595">
      <w:r w:rsidRPr="00FA7595">
        <w:t xml:space="preserve">Greenberg, N., Docherty, M., </w:t>
      </w:r>
      <w:proofErr w:type="spellStart"/>
      <w:r w:rsidRPr="00FA7595">
        <w:t>Gnanapragasam</w:t>
      </w:r>
      <w:proofErr w:type="spellEnd"/>
      <w:r w:rsidRPr="00FA7595">
        <w:t>, S. and Wessely, S. (2020) ‘Managing mental health challenges faced by healthcare workers during the COVID</w:t>
      </w:r>
      <w:r w:rsidRPr="00FA7595">
        <w:noBreakHyphen/>
        <w:t xml:space="preserve">19 pandemic’, </w:t>
      </w:r>
      <w:r w:rsidRPr="00FA7595">
        <w:rPr>
          <w:i/>
          <w:iCs/>
        </w:rPr>
        <w:t>BMJ</w:t>
      </w:r>
      <w:r w:rsidRPr="00FA7595">
        <w:t>, 368, pp. 1–4.</w:t>
      </w:r>
    </w:p>
    <w:p w14:paraId="2F612575" w14:textId="77777777" w:rsidR="00FA7595" w:rsidRPr="00FA7595" w:rsidRDefault="00FA7595" w:rsidP="00FA7595">
      <w:proofErr w:type="spellStart"/>
      <w:r w:rsidRPr="00FA7595">
        <w:t>Hobfoll</w:t>
      </w:r>
      <w:proofErr w:type="spellEnd"/>
      <w:r w:rsidRPr="00FA7595">
        <w:t xml:space="preserve">, S.E. (1989) ‘Conservation of resources: A new attempt at conceptualising stress’, </w:t>
      </w:r>
      <w:r w:rsidRPr="00FA7595">
        <w:rPr>
          <w:i/>
          <w:iCs/>
        </w:rPr>
        <w:t>American Psychologist</w:t>
      </w:r>
      <w:r w:rsidRPr="00FA7595">
        <w:t>, 44(3), pp. 513–524.</w:t>
      </w:r>
    </w:p>
    <w:p w14:paraId="3CE6D0CC" w14:textId="77777777" w:rsidR="00FA7595" w:rsidRPr="00FA7595" w:rsidRDefault="00FA7595" w:rsidP="00FA7595">
      <w:proofErr w:type="spellStart"/>
      <w:r w:rsidRPr="00FA7595">
        <w:lastRenderedPageBreak/>
        <w:t>Kalaitzaki</w:t>
      </w:r>
      <w:proofErr w:type="spellEnd"/>
      <w:r w:rsidRPr="00FA7595">
        <w:t xml:space="preserve">, A., </w:t>
      </w:r>
      <w:proofErr w:type="spellStart"/>
      <w:r w:rsidRPr="00FA7595">
        <w:t>Tamiolaki</w:t>
      </w:r>
      <w:proofErr w:type="spellEnd"/>
      <w:r w:rsidRPr="00FA7595">
        <w:t xml:space="preserve">, A. and </w:t>
      </w:r>
      <w:proofErr w:type="spellStart"/>
      <w:r w:rsidRPr="00FA7595">
        <w:t>Rovithis</w:t>
      </w:r>
      <w:proofErr w:type="spellEnd"/>
      <w:r w:rsidRPr="00FA7595">
        <w:t>, M. (2021) ‘Posttraumatic growth during the COVID</w:t>
      </w:r>
      <w:r w:rsidRPr="00FA7595">
        <w:noBreakHyphen/>
        <w:t>19 lockdown: A cross</w:t>
      </w:r>
      <w:r w:rsidRPr="00FA7595">
        <w:noBreakHyphen/>
        <w:t xml:space="preserve">cultural comparison’, </w:t>
      </w:r>
      <w:r w:rsidRPr="00FA7595">
        <w:rPr>
          <w:i/>
          <w:iCs/>
        </w:rPr>
        <w:t>Journal of Loss and Trauma</w:t>
      </w:r>
      <w:r w:rsidRPr="00FA7595">
        <w:t>, 26(7), pp. 1–15.</w:t>
      </w:r>
    </w:p>
    <w:p w14:paraId="7DE4ED09" w14:textId="77777777" w:rsidR="00FA7595" w:rsidRPr="00FA7595" w:rsidRDefault="00FA7595" w:rsidP="00FA7595">
      <w:r w:rsidRPr="00FA7595">
        <w:t xml:space="preserve">Karasek, R. (1979) ‘Job demands, job decision latitude, and mental strain: Implications for job redesign’, </w:t>
      </w:r>
      <w:r w:rsidRPr="00FA7595">
        <w:rPr>
          <w:i/>
          <w:iCs/>
        </w:rPr>
        <w:t>Administrative Science Quarterly</w:t>
      </w:r>
      <w:r w:rsidRPr="00FA7595">
        <w:t>, 24(2), pp. 285–308.</w:t>
      </w:r>
    </w:p>
    <w:p w14:paraId="526664AF" w14:textId="07C5B9DA" w:rsidR="00FA7595" w:rsidRPr="00FA7595" w:rsidRDefault="00FA7595" w:rsidP="00FA7595">
      <w:r w:rsidRPr="00FA7595">
        <w:t>Kinman, G. and Teoh, K. (2021)</w:t>
      </w:r>
      <w:r w:rsidR="00914876">
        <w:t>.</w:t>
      </w:r>
      <w:r w:rsidRPr="00FA7595">
        <w:t xml:space="preserve"> </w:t>
      </w:r>
      <w:r w:rsidRPr="00FA7595">
        <w:rPr>
          <w:i/>
          <w:iCs/>
        </w:rPr>
        <w:t>What could make a difference to the mental health of UK doctors? A review of the research evidence</w:t>
      </w:r>
      <w:r w:rsidRPr="00FA7595">
        <w:t>. London: Society of Occupational Medicine.</w:t>
      </w:r>
    </w:p>
    <w:p w14:paraId="3D317580" w14:textId="77777777" w:rsidR="00FA7595" w:rsidRPr="00FA7595" w:rsidRDefault="00FA7595" w:rsidP="00FA7595">
      <w:r w:rsidRPr="00FA7595">
        <w:t>Kinman, G., Teoh, K. and Harriss, A. (2023) ‘Supporting the wellbeing of healthcare workers during and after COVID</w:t>
      </w:r>
      <w:r w:rsidRPr="00FA7595">
        <w:noBreakHyphen/>
        <w:t xml:space="preserve">19’, </w:t>
      </w:r>
      <w:r w:rsidRPr="00FA7595">
        <w:rPr>
          <w:i/>
          <w:iCs/>
        </w:rPr>
        <w:t>Occupational Medicine</w:t>
      </w:r>
      <w:r w:rsidRPr="00FA7595">
        <w:t>, 73(1), pp. 1–8.</w:t>
      </w:r>
    </w:p>
    <w:p w14:paraId="2D7586DE" w14:textId="77777777" w:rsidR="00FA7595" w:rsidRPr="00FA7595" w:rsidRDefault="00FA7595" w:rsidP="00FA7595">
      <w:proofErr w:type="spellStart"/>
      <w:r w:rsidRPr="00FA7595">
        <w:t>Kisely</w:t>
      </w:r>
      <w:proofErr w:type="spellEnd"/>
      <w:r w:rsidRPr="00FA7595">
        <w:t>, S. (2021) ‘The psychological impact of COVID</w:t>
      </w:r>
      <w:r w:rsidRPr="00FA7595">
        <w:noBreakHyphen/>
        <w:t xml:space="preserve">19 on healthcare workers’, </w:t>
      </w:r>
      <w:r w:rsidRPr="00FA7595">
        <w:rPr>
          <w:i/>
          <w:iCs/>
        </w:rPr>
        <w:t>Australian Psychiatry</w:t>
      </w:r>
      <w:r w:rsidRPr="00FA7595">
        <w:t>, 29(1), pp. 1–3.</w:t>
      </w:r>
    </w:p>
    <w:p w14:paraId="10C3C48C" w14:textId="77777777" w:rsidR="00FA7595" w:rsidRPr="00FA7595" w:rsidRDefault="00FA7595" w:rsidP="00FA7595">
      <w:proofErr w:type="spellStart"/>
      <w:r w:rsidRPr="00FA7595">
        <w:t>Kisely</w:t>
      </w:r>
      <w:proofErr w:type="spellEnd"/>
      <w:r w:rsidRPr="00FA7595">
        <w:t xml:space="preserve">, S. et al. (2020) ‘Occurrence, prevention, and management of the psychological effects of emerging virus outbreaks on healthcare workers’, </w:t>
      </w:r>
      <w:r w:rsidRPr="00FA7595">
        <w:rPr>
          <w:i/>
          <w:iCs/>
        </w:rPr>
        <w:t>BMJ</w:t>
      </w:r>
      <w:r w:rsidRPr="00FA7595">
        <w:t>, 369, pp. 1–10.</w:t>
      </w:r>
    </w:p>
    <w:p w14:paraId="4157F6CA" w14:textId="77777777" w:rsidR="00FA7595" w:rsidRPr="00FA7595" w:rsidRDefault="00FA7595" w:rsidP="00FA7595">
      <w:r w:rsidRPr="00FA7595">
        <w:t xml:space="preserve">Lai, J. et al. (2020) ‘Factors associated with mental health outcomes among healthcare workers exposed to coronavirus disease 2019’, </w:t>
      </w:r>
      <w:r w:rsidRPr="00FA7595">
        <w:rPr>
          <w:i/>
          <w:iCs/>
        </w:rPr>
        <w:t>JAMA Network Open</w:t>
      </w:r>
      <w:r w:rsidRPr="00FA7595">
        <w:t>, 3(3), pp. 1–12.</w:t>
      </w:r>
    </w:p>
    <w:p w14:paraId="66A38B9B" w14:textId="77777777" w:rsidR="00FA7595" w:rsidRPr="00FA7595" w:rsidRDefault="00FA7595" w:rsidP="00FA7595">
      <w:r w:rsidRPr="00FA7595">
        <w:t>Lee, S.M. et al. (2021) ‘Psychological impact of the COVID</w:t>
      </w:r>
      <w:r w:rsidRPr="00FA7595">
        <w:noBreakHyphen/>
        <w:t>19 pandemic on healthcare workers in South Korea: A cross</w:t>
      </w:r>
      <w:r w:rsidRPr="00FA7595">
        <w:noBreakHyphen/>
        <w:t xml:space="preserve">sectional study’, </w:t>
      </w:r>
      <w:r w:rsidRPr="00FA7595">
        <w:rPr>
          <w:i/>
          <w:iCs/>
        </w:rPr>
        <w:t>BMC Public Health</w:t>
      </w:r>
      <w:r w:rsidRPr="00FA7595">
        <w:t>, 21(1), pp. 1–10.</w:t>
      </w:r>
    </w:p>
    <w:p w14:paraId="2B2FAC8D" w14:textId="77777777" w:rsidR="00FA7595" w:rsidRPr="00FA7595" w:rsidRDefault="00FA7595" w:rsidP="00FA7595">
      <w:r w:rsidRPr="00FA7595">
        <w:t>Liu, Q. et al. (2020) ‘The experiences of healthcare providers during the COVID</w:t>
      </w:r>
      <w:r w:rsidRPr="00FA7595">
        <w:noBreakHyphen/>
        <w:t xml:space="preserve">19 crisis in China: A qualitative study’, </w:t>
      </w:r>
      <w:r w:rsidRPr="00FA7595">
        <w:rPr>
          <w:i/>
          <w:iCs/>
        </w:rPr>
        <w:t>The Lancet Global Health</w:t>
      </w:r>
      <w:r w:rsidRPr="00FA7595">
        <w:t>, 8(6), pp. e790–e798.</w:t>
      </w:r>
    </w:p>
    <w:p w14:paraId="5EFB5EA2" w14:textId="77777777" w:rsidR="00FA7595" w:rsidRPr="00FA7595" w:rsidRDefault="00FA7595" w:rsidP="00FA7595">
      <w:r w:rsidRPr="00FA7595">
        <w:t xml:space="preserve">Maslach, C. and Jackson, S.E. (1981) ‘The measurement of experienced burnout’, </w:t>
      </w:r>
      <w:r w:rsidRPr="00FA7595">
        <w:rPr>
          <w:i/>
          <w:iCs/>
        </w:rPr>
        <w:t>Journal of Occupational Behaviour</w:t>
      </w:r>
      <w:r w:rsidRPr="00FA7595">
        <w:t>, 2(2), pp. 99–113.</w:t>
      </w:r>
    </w:p>
    <w:p w14:paraId="6C6A5CA4" w14:textId="77777777" w:rsidR="00FA7595" w:rsidRPr="00FA7595" w:rsidRDefault="00FA7595" w:rsidP="00FA7595">
      <w:r w:rsidRPr="00FA7595">
        <w:t>Maunder, R. et al. (2006) ‘Long</w:t>
      </w:r>
      <w:r w:rsidRPr="00FA7595">
        <w:noBreakHyphen/>
        <w:t xml:space="preserve">term psychological and occupational effects of providing hospital healthcare during SARS outbreak’, </w:t>
      </w:r>
      <w:r w:rsidRPr="00FA7595">
        <w:rPr>
          <w:i/>
          <w:iCs/>
        </w:rPr>
        <w:t>Emerging Infectious Diseases</w:t>
      </w:r>
      <w:r w:rsidRPr="00FA7595">
        <w:t>, 12(12), pp. 1924–1932.</w:t>
      </w:r>
    </w:p>
    <w:p w14:paraId="47710014" w14:textId="77777777" w:rsidR="00FA7595" w:rsidRPr="00FA7595" w:rsidRDefault="00FA7595" w:rsidP="00FA7595">
      <w:r w:rsidRPr="00FA7595">
        <w:t xml:space="preserve">Mind. (2020) </w:t>
      </w:r>
      <w:r w:rsidRPr="00FA7595">
        <w:rPr>
          <w:i/>
          <w:iCs/>
        </w:rPr>
        <w:t>Our Frontline: Mental health support for key workers</w:t>
      </w:r>
      <w:r w:rsidRPr="00FA7595">
        <w:t>. London: Mind.</w:t>
      </w:r>
    </w:p>
    <w:p w14:paraId="551CECE2" w14:textId="77777777" w:rsidR="00FA7595" w:rsidRPr="00FA7595" w:rsidRDefault="00FA7595" w:rsidP="00FA7595">
      <w:r w:rsidRPr="00FA7595">
        <w:t>Morgantini, L.A. et al. (2020) ‘Factors contributing to healthcare professional burnout during the COVID</w:t>
      </w:r>
      <w:r w:rsidRPr="00FA7595">
        <w:noBreakHyphen/>
        <w:t xml:space="preserve">19 pandemic: A rapid turnaround global survey’, </w:t>
      </w:r>
      <w:r w:rsidRPr="00FA7595">
        <w:rPr>
          <w:i/>
          <w:iCs/>
        </w:rPr>
        <w:t>PLOS ONE</w:t>
      </w:r>
      <w:r w:rsidRPr="00FA7595">
        <w:t>, 15(9), pp. 1–11.</w:t>
      </w:r>
    </w:p>
    <w:p w14:paraId="51B89056" w14:textId="77777777" w:rsidR="00FA7595" w:rsidRPr="00FA7595" w:rsidRDefault="00FA7595" w:rsidP="00FA7595">
      <w:r w:rsidRPr="00FA7595">
        <w:t xml:space="preserve">NHS England. (2020) </w:t>
      </w:r>
      <w:r w:rsidRPr="00FA7595">
        <w:rPr>
          <w:i/>
          <w:iCs/>
        </w:rPr>
        <w:t>NHS People Plan 2020/21: We are the NHS</w:t>
      </w:r>
      <w:r w:rsidRPr="00FA7595">
        <w:t>. London: NHS England.</w:t>
      </w:r>
    </w:p>
    <w:p w14:paraId="30862536" w14:textId="77777777" w:rsidR="00FA7595" w:rsidRPr="00FA7595" w:rsidRDefault="00FA7595" w:rsidP="00FA7595">
      <w:r w:rsidRPr="00FA7595">
        <w:t xml:space="preserve">NHS England. (2023) </w:t>
      </w:r>
      <w:r w:rsidRPr="00FA7595">
        <w:rPr>
          <w:i/>
          <w:iCs/>
        </w:rPr>
        <w:t>NHS Staff Survey Results</w:t>
      </w:r>
      <w:r w:rsidRPr="00FA7595">
        <w:t>. London: NHS England.</w:t>
      </w:r>
    </w:p>
    <w:p w14:paraId="254E46A9" w14:textId="77777777" w:rsidR="00FA7595" w:rsidRPr="00FA7595" w:rsidRDefault="00FA7595" w:rsidP="00FA7595">
      <w:r w:rsidRPr="00FA7595">
        <w:t>Pappa, S. et al. (2020) ‘Prevalence of depression, anxiety, and insomnia among healthcare workers during the COVID</w:t>
      </w:r>
      <w:r w:rsidRPr="00FA7595">
        <w:noBreakHyphen/>
        <w:t>19 pandemic: A systematic review and meta</w:t>
      </w:r>
      <w:r w:rsidRPr="00FA7595">
        <w:noBreakHyphen/>
        <w:t xml:space="preserve">analysis’, </w:t>
      </w:r>
      <w:r w:rsidRPr="00FA7595">
        <w:rPr>
          <w:i/>
          <w:iCs/>
        </w:rPr>
        <w:t>Brain, Behavior, and Immunity</w:t>
      </w:r>
      <w:r w:rsidRPr="00FA7595">
        <w:t>, 88, pp. 901–907.</w:t>
      </w:r>
    </w:p>
    <w:p w14:paraId="46F98428" w14:textId="77777777" w:rsidR="00FA7595" w:rsidRPr="00FA7595" w:rsidRDefault="00FA7595" w:rsidP="00FA7595">
      <w:r w:rsidRPr="00FA7595">
        <w:t xml:space="preserve">Pollock, A. et al. (2020) ‘Interventions to support the resilience and mental health of frontline workers during pandemics’, </w:t>
      </w:r>
      <w:r w:rsidRPr="00FA7595">
        <w:rPr>
          <w:i/>
          <w:iCs/>
        </w:rPr>
        <w:t>Cochrane Database of Systematic Reviews</w:t>
      </w:r>
      <w:r w:rsidRPr="00FA7595">
        <w:t>, 11, pp. 1–45.</w:t>
      </w:r>
    </w:p>
    <w:p w14:paraId="6D4FC64C" w14:textId="77777777" w:rsidR="00FA7595" w:rsidRPr="00FA7595" w:rsidRDefault="00FA7595" w:rsidP="00FA7595">
      <w:r w:rsidRPr="00FA7595">
        <w:t>Rossi, R. et al. (2020) ‘Mental health outcomes among frontline and second</w:t>
      </w:r>
      <w:r w:rsidRPr="00FA7595">
        <w:noBreakHyphen/>
        <w:t>line healthcare workers during the COVID</w:t>
      </w:r>
      <w:r w:rsidRPr="00FA7595">
        <w:noBreakHyphen/>
        <w:t xml:space="preserve">19 pandemic in Italy’, </w:t>
      </w:r>
      <w:r w:rsidRPr="00FA7595">
        <w:rPr>
          <w:i/>
          <w:iCs/>
        </w:rPr>
        <w:t>Frontiers in Psychology</w:t>
      </w:r>
      <w:r w:rsidRPr="00FA7595">
        <w:t>, 11, pp. 1–7.</w:t>
      </w:r>
    </w:p>
    <w:p w14:paraId="287754A9" w14:textId="77777777" w:rsidR="00FA7595" w:rsidRPr="00FA7595" w:rsidRDefault="00FA7595" w:rsidP="00FA7595">
      <w:r w:rsidRPr="00FA7595">
        <w:t>Salari, N. et al. (2020) ‘Prevalence of stress, anxiety, depression among the general population during the COVID</w:t>
      </w:r>
      <w:r w:rsidRPr="00FA7595">
        <w:noBreakHyphen/>
        <w:t>19 pandemic: A systematic review and meta</w:t>
      </w:r>
      <w:r w:rsidRPr="00FA7595">
        <w:noBreakHyphen/>
        <w:t xml:space="preserve">analysis’, </w:t>
      </w:r>
      <w:r w:rsidRPr="00FA7595">
        <w:rPr>
          <w:i/>
          <w:iCs/>
        </w:rPr>
        <w:t>Globalization and Health</w:t>
      </w:r>
      <w:r w:rsidRPr="00FA7595">
        <w:t>, 16(1), pp. 1–11.</w:t>
      </w:r>
    </w:p>
    <w:p w14:paraId="04F7A566" w14:textId="77777777" w:rsidR="00FA7595" w:rsidRPr="00FA7595" w:rsidRDefault="00FA7595" w:rsidP="00FA7595">
      <w:r w:rsidRPr="00FA7595">
        <w:t xml:space="preserve">Shanafelt, T., Ripp, J. and </w:t>
      </w:r>
      <w:proofErr w:type="spellStart"/>
      <w:r w:rsidRPr="00FA7595">
        <w:t>Trockel</w:t>
      </w:r>
      <w:proofErr w:type="spellEnd"/>
      <w:r w:rsidRPr="00FA7595">
        <w:t>, M. (2020) ‘Understanding and addressing sources of anxiety among healthcare professionals during the COVID</w:t>
      </w:r>
      <w:r w:rsidRPr="00FA7595">
        <w:noBreakHyphen/>
        <w:t xml:space="preserve">19 pandemic’, </w:t>
      </w:r>
      <w:r w:rsidRPr="00FA7595">
        <w:rPr>
          <w:i/>
          <w:iCs/>
        </w:rPr>
        <w:t>JAMA</w:t>
      </w:r>
      <w:r w:rsidRPr="00FA7595">
        <w:t>, 323(21), pp. 2133–2134.</w:t>
      </w:r>
    </w:p>
    <w:p w14:paraId="2B90F0E7" w14:textId="77777777" w:rsidR="00FA7595" w:rsidRPr="00FA7595" w:rsidRDefault="00FA7595" w:rsidP="00FA7595">
      <w:r w:rsidRPr="00FA7595">
        <w:lastRenderedPageBreak/>
        <w:t>Shaukat, N., Ali, D.M. and Razzak, J. (2020) ‘Physical and mental health impacts of COVID</w:t>
      </w:r>
      <w:r w:rsidRPr="00FA7595">
        <w:noBreakHyphen/>
        <w:t xml:space="preserve">19 on healthcare workers: A scoping review’, </w:t>
      </w:r>
      <w:r w:rsidRPr="00FA7595">
        <w:rPr>
          <w:i/>
          <w:iCs/>
        </w:rPr>
        <w:t>International Journal of Emergency Medicine</w:t>
      </w:r>
      <w:r w:rsidRPr="00FA7595">
        <w:t>, 13(40), pp. 1–8.</w:t>
      </w:r>
    </w:p>
    <w:p w14:paraId="7276A641" w14:textId="77777777" w:rsidR="00FA7595" w:rsidRPr="00FA7595" w:rsidRDefault="00FA7595" w:rsidP="00FA7595">
      <w:r w:rsidRPr="00FA7595">
        <w:t>Shechter, A. et al. (2020) ‘Psychological distress, coping behaviours, and preferences for support among New York healthcare workers during the COVID</w:t>
      </w:r>
      <w:r w:rsidRPr="00FA7595">
        <w:noBreakHyphen/>
        <w:t xml:space="preserve">19 pandemic’, </w:t>
      </w:r>
      <w:r w:rsidRPr="00FA7595">
        <w:rPr>
          <w:i/>
          <w:iCs/>
        </w:rPr>
        <w:t>General Hospital Psychiatry</w:t>
      </w:r>
      <w:r w:rsidRPr="00FA7595">
        <w:t>, 66, pp. 1–8.</w:t>
      </w:r>
    </w:p>
    <w:p w14:paraId="4CD511BC" w14:textId="77777777" w:rsidR="00FA7595" w:rsidRPr="00FA7595" w:rsidRDefault="00FA7595" w:rsidP="00FA7595">
      <w:r w:rsidRPr="00FA7595">
        <w:t xml:space="preserve">Skinner, E.A., Edge, K., Altman, J. and Sherwood, H. (2003) ‘Searching for the structure of coping: A review and critique of category systems for classifying ways of coping’, </w:t>
      </w:r>
      <w:r w:rsidRPr="00FA7595">
        <w:rPr>
          <w:i/>
          <w:iCs/>
        </w:rPr>
        <w:t>Psychological Bulletin</w:t>
      </w:r>
      <w:r w:rsidRPr="00FA7595">
        <w:t>, 129(2), pp. 216–269.</w:t>
      </w:r>
    </w:p>
    <w:p w14:paraId="25163888" w14:textId="77777777" w:rsidR="00FA7595" w:rsidRPr="00FA7595" w:rsidRDefault="00FA7595" w:rsidP="00FA7595">
      <w:r w:rsidRPr="00FA7595">
        <w:t>Spoorthy, M.S. (2021) ‘Workplace interventions for healthcare worker wellbeing during COVID</w:t>
      </w:r>
      <w:r w:rsidRPr="00FA7595">
        <w:noBreakHyphen/>
        <w:t xml:space="preserve">19’, </w:t>
      </w:r>
      <w:r w:rsidRPr="00FA7595">
        <w:rPr>
          <w:i/>
          <w:iCs/>
        </w:rPr>
        <w:t>Asian Journal of Psychiatry</w:t>
      </w:r>
      <w:r w:rsidRPr="00FA7595">
        <w:t>, 56, pp. 1–6.</w:t>
      </w:r>
    </w:p>
    <w:p w14:paraId="60838E13" w14:textId="77777777" w:rsidR="00FA7595" w:rsidRPr="00FA7595" w:rsidRDefault="00FA7595" w:rsidP="00FA7595">
      <w:r w:rsidRPr="00FA7595">
        <w:t>Spoorthy, M.S., Pratapa, S.K. and Mahant, S. (2020) ‘Mental health problems faced by healthcare workers due to the COVID</w:t>
      </w:r>
      <w:r w:rsidRPr="00FA7595">
        <w:noBreakHyphen/>
        <w:t xml:space="preserve">19 pandemic: A review’, </w:t>
      </w:r>
      <w:r w:rsidRPr="00FA7595">
        <w:rPr>
          <w:i/>
          <w:iCs/>
        </w:rPr>
        <w:t>Asian Journal of Psychiatry</w:t>
      </w:r>
      <w:r w:rsidRPr="00FA7595">
        <w:t>, 51, pp. 1–8.</w:t>
      </w:r>
    </w:p>
    <w:p w14:paraId="31EE527C" w14:textId="77777777" w:rsidR="00FA7595" w:rsidRPr="00FA7595" w:rsidRDefault="00FA7595" w:rsidP="00FA7595">
      <w:r w:rsidRPr="00FA7595">
        <w:t xml:space="preserve">Tedeschi, R.G. and Calhoun, L.G. (1996) ‘The posttraumatic growth inventory: Measuring the positive legacy of trauma’, </w:t>
      </w:r>
      <w:r w:rsidRPr="00FA7595">
        <w:rPr>
          <w:i/>
          <w:iCs/>
        </w:rPr>
        <w:t>Journal of Traumatic Stress</w:t>
      </w:r>
      <w:r w:rsidRPr="00FA7595">
        <w:t>, 9(3), pp. 455–471.</w:t>
      </w:r>
    </w:p>
    <w:p w14:paraId="1EDF21E3" w14:textId="77777777" w:rsidR="00FA7595" w:rsidRPr="00FA7595" w:rsidRDefault="00FA7595" w:rsidP="00FA7595">
      <w:r w:rsidRPr="00FA7595">
        <w:t>Walton, M. (2021) ‘Resilience in healthcare workers during COVID</w:t>
      </w:r>
      <w:r w:rsidRPr="00FA7595">
        <w:noBreakHyphen/>
        <w:t xml:space="preserve">19’, </w:t>
      </w:r>
      <w:r w:rsidRPr="00FA7595">
        <w:rPr>
          <w:i/>
          <w:iCs/>
        </w:rPr>
        <w:t>BMJ Leader</w:t>
      </w:r>
      <w:r w:rsidRPr="00FA7595">
        <w:t>, 5(3), pp. 1–3.</w:t>
      </w:r>
    </w:p>
    <w:p w14:paraId="7123B5D6" w14:textId="77777777" w:rsidR="00FA7595" w:rsidRPr="00FA7595" w:rsidRDefault="00FA7595" w:rsidP="00FA7595">
      <w:r w:rsidRPr="00FA7595">
        <w:t>Walton, M. and Murray, E. (2022) ‘Organisational responses to healthcare worker stress during COVID</w:t>
      </w:r>
      <w:r w:rsidRPr="00FA7595">
        <w:noBreakHyphen/>
        <w:t xml:space="preserve">19’, </w:t>
      </w:r>
      <w:r w:rsidRPr="00FA7595">
        <w:rPr>
          <w:i/>
          <w:iCs/>
        </w:rPr>
        <w:t>BMJ Leader</w:t>
      </w:r>
      <w:r w:rsidRPr="00FA7595">
        <w:t>, 6(2), pp. 1–4.</w:t>
      </w:r>
    </w:p>
    <w:p w14:paraId="0203D1AD" w14:textId="77777777" w:rsidR="00FA7595" w:rsidRPr="00FA7595" w:rsidRDefault="00FA7595" w:rsidP="00FA7595">
      <w:r w:rsidRPr="00FA7595">
        <w:t>Walton, M., Murray, E. and Christian, M.D. (2020) ‘Mental health care for medical staff and affiliated healthcare workers during the COVID</w:t>
      </w:r>
      <w:r w:rsidRPr="00FA7595">
        <w:noBreakHyphen/>
        <w:t xml:space="preserve">19 pandemic’, </w:t>
      </w:r>
      <w:r w:rsidRPr="00FA7595">
        <w:rPr>
          <w:i/>
          <w:iCs/>
        </w:rPr>
        <w:t>European Heart Journal: Acute Cardiovascular Care</w:t>
      </w:r>
      <w:r w:rsidRPr="00FA7595">
        <w:t>, 9(3), pp. 241–247.</w:t>
      </w:r>
    </w:p>
    <w:p w14:paraId="678F81EF" w14:textId="4531A7E3" w:rsidR="00FA7595" w:rsidRPr="00FA7595" w:rsidRDefault="00FA7595" w:rsidP="00FA7595">
      <w:r w:rsidRPr="00FA7595">
        <w:t>West, M. and Coia, D. (2022)</w:t>
      </w:r>
      <w:r w:rsidR="00787004">
        <w:t>.</w:t>
      </w:r>
      <w:r w:rsidRPr="00FA7595">
        <w:t xml:space="preserve"> </w:t>
      </w:r>
      <w:r w:rsidRPr="00FA7595">
        <w:rPr>
          <w:i/>
          <w:iCs/>
        </w:rPr>
        <w:t>Caring for doctors, caring for patients: How to transform UK healthcare environments</w:t>
      </w:r>
      <w:r w:rsidRPr="00FA7595">
        <w:t>. London: General Medical Council.</w:t>
      </w:r>
    </w:p>
    <w:p w14:paraId="07788E7D" w14:textId="756FA49E" w:rsidR="00FA7595" w:rsidRPr="00FA7595" w:rsidRDefault="00FA7595" w:rsidP="00FA7595">
      <w:r w:rsidRPr="00FA7595">
        <w:t xml:space="preserve">World Health Organization (WHO). (2020) </w:t>
      </w:r>
      <w:r w:rsidRPr="00FA7595">
        <w:rPr>
          <w:i/>
          <w:iCs/>
        </w:rPr>
        <w:t xml:space="preserve">Coronavirus disease </w:t>
      </w:r>
      <w:r w:rsidR="00787004">
        <w:rPr>
          <w:i/>
          <w:iCs/>
        </w:rPr>
        <w:t>(COVID-19)</w:t>
      </w:r>
      <w:r w:rsidRPr="00FA7595">
        <w:rPr>
          <w:i/>
          <w:iCs/>
        </w:rPr>
        <w:t xml:space="preserve"> pandemic</w:t>
      </w:r>
      <w:r w:rsidRPr="00FA7595">
        <w:t>. Geneva: WHO.</w:t>
      </w:r>
    </w:p>
    <w:p w14:paraId="36FF01AA" w14:textId="77777777" w:rsidR="00FA7595" w:rsidRPr="00FA7595" w:rsidRDefault="00FA7595" w:rsidP="00FA7595">
      <w:r w:rsidRPr="00FA7595">
        <w:t xml:space="preserve">World Health Organization (WHO). (2022) </w:t>
      </w:r>
      <w:r w:rsidRPr="00FA7595">
        <w:rPr>
          <w:i/>
          <w:iCs/>
        </w:rPr>
        <w:t>Mental health: Strengthening our response</w:t>
      </w:r>
      <w:r w:rsidRPr="00FA7595">
        <w:t>. Geneva: WHO.</w:t>
      </w:r>
    </w:p>
    <w:p w14:paraId="6FEFAFB2" w14:textId="77777777" w:rsidR="00FA7595" w:rsidRPr="00FA7595" w:rsidRDefault="00FA7595" w:rsidP="00FA7595">
      <w:r w:rsidRPr="00FA7595">
        <w:t>Zhang, S.X. et al. (2020) ‘At the height of the COVID</w:t>
      </w:r>
      <w:r w:rsidRPr="00FA7595">
        <w:noBreakHyphen/>
        <w:t>19 pandemic: A cross</w:t>
      </w:r>
      <w:r w:rsidRPr="00FA7595">
        <w:noBreakHyphen/>
        <w:t xml:space="preserve">sectional study of mental health among frontline healthcare workers in China’, </w:t>
      </w:r>
      <w:r w:rsidRPr="00FA7595">
        <w:rPr>
          <w:i/>
          <w:iCs/>
        </w:rPr>
        <w:t>Journal of Affective Disorders</w:t>
      </w:r>
      <w:r w:rsidRPr="00FA7595">
        <w:t>, 277, pp. 237–245.</w:t>
      </w:r>
    </w:p>
    <w:p w14:paraId="593430CE" w14:textId="77777777" w:rsidR="00FA7595" w:rsidRPr="00FA7595" w:rsidRDefault="00FA7595" w:rsidP="00FA7595">
      <w:r w:rsidRPr="00FA7595">
        <w:t>Zhang, W.R. et al. (2020) ‘Mental health and psychosocial problems of medical health workers during the COVID</w:t>
      </w:r>
      <w:r w:rsidRPr="00FA7595">
        <w:noBreakHyphen/>
        <w:t xml:space="preserve">19 epidemic in China’, </w:t>
      </w:r>
      <w:r w:rsidRPr="00FA7595">
        <w:rPr>
          <w:i/>
          <w:iCs/>
        </w:rPr>
        <w:t>Psychotherapy and Psychosomatics</w:t>
      </w:r>
      <w:r w:rsidRPr="00FA7595">
        <w:t>, 89(4), pp. 242–250.</w:t>
      </w:r>
    </w:p>
    <w:p w14:paraId="73882BB5" w14:textId="77777777" w:rsidR="00B75A0D" w:rsidRDefault="00B75A0D" w:rsidP="00B75A0D"/>
    <w:sectPr w:rsidR="00B75A0D" w:rsidSect="0035016D">
      <w:footerReference w:type="default" r:id="rId9"/>
      <w:pgSz w:w="11906" w:h="16838" w:code="9"/>
      <w:pgMar w:top="851" w:right="1440" w:bottom="1440" w:left="851" w:header="709" w:footer="709"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218C2" w14:textId="77777777" w:rsidR="002816EA" w:rsidRDefault="002816EA" w:rsidP="0035016D">
      <w:pPr>
        <w:spacing w:after="0" w:line="240" w:lineRule="auto"/>
      </w:pPr>
      <w:r>
        <w:separator/>
      </w:r>
    </w:p>
  </w:endnote>
  <w:endnote w:type="continuationSeparator" w:id="0">
    <w:p w14:paraId="0D05D4BE" w14:textId="77777777" w:rsidR="002816EA" w:rsidRDefault="002816EA" w:rsidP="0035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1341F" w14:textId="367D7AC3" w:rsidR="0035016D" w:rsidRDefault="0035016D" w:rsidP="0035016D">
    <w:pPr>
      <w:pStyle w:val="Footer"/>
    </w:pPr>
  </w:p>
  <w:p w14:paraId="5CBFCEB9" w14:textId="6E24B06D" w:rsidR="0035016D" w:rsidRDefault="00350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F07C7" w14:textId="77777777" w:rsidR="002816EA" w:rsidRDefault="002816EA" w:rsidP="0035016D">
      <w:pPr>
        <w:spacing w:after="0" w:line="240" w:lineRule="auto"/>
      </w:pPr>
      <w:r>
        <w:separator/>
      </w:r>
    </w:p>
  </w:footnote>
  <w:footnote w:type="continuationSeparator" w:id="0">
    <w:p w14:paraId="4DA2D361" w14:textId="77777777" w:rsidR="002816EA" w:rsidRDefault="002816EA" w:rsidP="00350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A7BCC"/>
    <w:multiLevelType w:val="multilevel"/>
    <w:tmpl w:val="1A127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7E6A6E"/>
    <w:multiLevelType w:val="multilevel"/>
    <w:tmpl w:val="AB7AE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E606BA"/>
    <w:multiLevelType w:val="multilevel"/>
    <w:tmpl w:val="6634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75810"/>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335492"/>
    <w:multiLevelType w:val="multilevel"/>
    <w:tmpl w:val="3CB8AF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6552E3"/>
    <w:multiLevelType w:val="multilevel"/>
    <w:tmpl w:val="2614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CC7314"/>
    <w:multiLevelType w:val="hybridMultilevel"/>
    <w:tmpl w:val="3702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B25316"/>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851455"/>
    <w:multiLevelType w:val="multilevel"/>
    <w:tmpl w:val="808C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80239"/>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D05AB3"/>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C74F5D"/>
    <w:multiLevelType w:val="multilevel"/>
    <w:tmpl w:val="DD00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977BC1"/>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FE68F6"/>
    <w:multiLevelType w:val="multilevel"/>
    <w:tmpl w:val="C470A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EC7066"/>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F837DD"/>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661A5C"/>
    <w:multiLevelType w:val="multilevel"/>
    <w:tmpl w:val="EDC8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6828AE"/>
    <w:multiLevelType w:val="multilevel"/>
    <w:tmpl w:val="C8C0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EC1366"/>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4D41F9"/>
    <w:multiLevelType w:val="multilevel"/>
    <w:tmpl w:val="41CC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BE2D6A"/>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276AA0"/>
    <w:multiLevelType w:val="multilevel"/>
    <w:tmpl w:val="A138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011C70"/>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CC7389"/>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F15396"/>
    <w:multiLevelType w:val="multilevel"/>
    <w:tmpl w:val="EF0A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D50830"/>
    <w:multiLevelType w:val="multilevel"/>
    <w:tmpl w:val="8EC4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8485975">
    <w:abstractNumId w:val="19"/>
  </w:num>
  <w:num w:numId="2" w16cid:durableId="2121994000">
    <w:abstractNumId w:val="5"/>
  </w:num>
  <w:num w:numId="3" w16cid:durableId="2144301786">
    <w:abstractNumId w:val="0"/>
  </w:num>
  <w:num w:numId="4" w16cid:durableId="515466980">
    <w:abstractNumId w:val="21"/>
  </w:num>
  <w:num w:numId="5" w16cid:durableId="2137143304">
    <w:abstractNumId w:val="24"/>
  </w:num>
  <w:num w:numId="6" w16cid:durableId="755707411">
    <w:abstractNumId w:val="16"/>
  </w:num>
  <w:num w:numId="7" w16cid:durableId="1902011166">
    <w:abstractNumId w:val="11"/>
  </w:num>
  <w:num w:numId="8" w16cid:durableId="1925410103">
    <w:abstractNumId w:val="17"/>
  </w:num>
  <w:num w:numId="9" w16cid:durableId="974985932">
    <w:abstractNumId w:val="6"/>
  </w:num>
  <w:num w:numId="10" w16cid:durableId="1073743625">
    <w:abstractNumId w:val="14"/>
  </w:num>
  <w:num w:numId="11" w16cid:durableId="2128306114">
    <w:abstractNumId w:val="20"/>
  </w:num>
  <w:num w:numId="12" w16cid:durableId="1444881289">
    <w:abstractNumId w:val="15"/>
  </w:num>
  <w:num w:numId="13" w16cid:durableId="2107722686">
    <w:abstractNumId w:val="9"/>
  </w:num>
  <w:num w:numId="14" w16cid:durableId="1181243015">
    <w:abstractNumId w:val="13"/>
  </w:num>
  <w:num w:numId="15" w16cid:durableId="1317026681">
    <w:abstractNumId w:val="1"/>
  </w:num>
  <w:num w:numId="16" w16cid:durableId="1463424701">
    <w:abstractNumId w:val="4"/>
  </w:num>
  <w:num w:numId="17" w16cid:durableId="1602487333">
    <w:abstractNumId w:val="12"/>
  </w:num>
  <w:num w:numId="18" w16cid:durableId="970089451">
    <w:abstractNumId w:val="7"/>
  </w:num>
  <w:num w:numId="19" w16cid:durableId="1131752443">
    <w:abstractNumId w:val="25"/>
  </w:num>
  <w:num w:numId="20" w16cid:durableId="287246410">
    <w:abstractNumId w:val="23"/>
  </w:num>
  <w:num w:numId="21" w16cid:durableId="942110514">
    <w:abstractNumId w:val="3"/>
  </w:num>
  <w:num w:numId="22" w16cid:durableId="684861705">
    <w:abstractNumId w:val="22"/>
  </w:num>
  <w:num w:numId="23" w16cid:durableId="1549757438">
    <w:abstractNumId w:val="18"/>
  </w:num>
  <w:num w:numId="24" w16cid:durableId="1568370492">
    <w:abstractNumId w:val="10"/>
  </w:num>
  <w:num w:numId="25" w16cid:durableId="440758709">
    <w:abstractNumId w:val="8"/>
  </w:num>
  <w:num w:numId="26" w16cid:durableId="75247481">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A0D"/>
    <w:rsid w:val="00041004"/>
    <w:rsid w:val="0006046B"/>
    <w:rsid w:val="000837B3"/>
    <w:rsid w:val="000D5762"/>
    <w:rsid w:val="000F0056"/>
    <w:rsid w:val="00116E99"/>
    <w:rsid w:val="001259DB"/>
    <w:rsid w:val="001B4E5E"/>
    <w:rsid w:val="00244BE9"/>
    <w:rsid w:val="00254B6A"/>
    <w:rsid w:val="002816EA"/>
    <w:rsid w:val="0029501F"/>
    <w:rsid w:val="0035016D"/>
    <w:rsid w:val="0036699D"/>
    <w:rsid w:val="00366C08"/>
    <w:rsid w:val="003933F5"/>
    <w:rsid w:val="003E4775"/>
    <w:rsid w:val="0040428C"/>
    <w:rsid w:val="00405163"/>
    <w:rsid w:val="004169EB"/>
    <w:rsid w:val="00426DE4"/>
    <w:rsid w:val="00454AEC"/>
    <w:rsid w:val="004647D2"/>
    <w:rsid w:val="00471ACB"/>
    <w:rsid w:val="004B149F"/>
    <w:rsid w:val="00522B19"/>
    <w:rsid w:val="005A7084"/>
    <w:rsid w:val="005B555B"/>
    <w:rsid w:val="005C2ECC"/>
    <w:rsid w:val="00615D5A"/>
    <w:rsid w:val="00640CAD"/>
    <w:rsid w:val="006A16A1"/>
    <w:rsid w:val="006A26AC"/>
    <w:rsid w:val="006B19BD"/>
    <w:rsid w:val="006C4A65"/>
    <w:rsid w:val="006F7741"/>
    <w:rsid w:val="00716940"/>
    <w:rsid w:val="00741EC9"/>
    <w:rsid w:val="0077218A"/>
    <w:rsid w:val="00780D58"/>
    <w:rsid w:val="00787004"/>
    <w:rsid w:val="0079713C"/>
    <w:rsid w:val="007C7760"/>
    <w:rsid w:val="007E3C93"/>
    <w:rsid w:val="008651E6"/>
    <w:rsid w:val="00882DA2"/>
    <w:rsid w:val="00884A3A"/>
    <w:rsid w:val="00887325"/>
    <w:rsid w:val="008C6ECD"/>
    <w:rsid w:val="008D1087"/>
    <w:rsid w:val="008E2F90"/>
    <w:rsid w:val="0090505E"/>
    <w:rsid w:val="00914876"/>
    <w:rsid w:val="00991328"/>
    <w:rsid w:val="00A77DAE"/>
    <w:rsid w:val="00AE0DC1"/>
    <w:rsid w:val="00AE4331"/>
    <w:rsid w:val="00AF4C97"/>
    <w:rsid w:val="00B328FA"/>
    <w:rsid w:val="00B75A0D"/>
    <w:rsid w:val="00B91BAA"/>
    <w:rsid w:val="00BA4AD9"/>
    <w:rsid w:val="00C12C3A"/>
    <w:rsid w:val="00C47250"/>
    <w:rsid w:val="00C672D4"/>
    <w:rsid w:val="00C7436C"/>
    <w:rsid w:val="00C92AD9"/>
    <w:rsid w:val="00CA706B"/>
    <w:rsid w:val="00CB0510"/>
    <w:rsid w:val="00CC6F6F"/>
    <w:rsid w:val="00D02F56"/>
    <w:rsid w:val="00D112AC"/>
    <w:rsid w:val="00D32263"/>
    <w:rsid w:val="00D63092"/>
    <w:rsid w:val="00DD3704"/>
    <w:rsid w:val="00DD72D7"/>
    <w:rsid w:val="00E50159"/>
    <w:rsid w:val="00E50A3D"/>
    <w:rsid w:val="00E5564C"/>
    <w:rsid w:val="00E8178A"/>
    <w:rsid w:val="00EE31E6"/>
    <w:rsid w:val="00F40681"/>
    <w:rsid w:val="00F87139"/>
    <w:rsid w:val="00FA7595"/>
    <w:rsid w:val="00FE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270F9"/>
  <w15:chartTrackingRefBased/>
  <w15:docId w15:val="{3FC89EED-2434-45BF-877A-143DCE256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5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5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5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A0D"/>
    <w:rPr>
      <w:rFonts w:eastAsiaTheme="majorEastAsia" w:cstheme="majorBidi"/>
      <w:color w:val="272727" w:themeColor="text1" w:themeTint="D8"/>
    </w:rPr>
  </w:style>
  <w:style w:type="paragraph" w:styleId="Title">
    <w:name w:val="Title"/>
    <w:basedOn w:val="Normal"/>
    <w:next w:val="Normal"/>
    <w:link w:val="TitleChar"/>
    <w:uiPriority w:val="10"/>
    <w:qFormat/>
    <w:rsid w:val="00B75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A0D"/>
    <w:pPr>
      <w:spacing w:before="160"/>
      <w:jc w:val="center"/>
    </w:pPr>
    <w:rPr>
      <w:i/>
      <w:iCs/>
      <w:color w:val="404040" w:themeColor="text1" w:themeTint="BF"/>
    </w:rPr>
  </w:style>
  <w:style w:type="character" w:customStyle="1" w:styleId="QuoteChar">
    <w:name w:val="Quote Char"/>
    <w:basedOn w:val="DefaultParagraphFont"/>
    <w:link w:val="Quote"/>
    <w:uiPriority w:val="29"/>
    <w:rsid w:val="00B75A0D"/>
    <w:rPr>
      <w:i/>
      <w:iCs/>
      <w:color w:val="404040" w:themeColor="text1" w:themeTint="BF"/>
    </w:rPr>
  </w:style>
  <w:style w:type="paragraph" w:styleId="ListParagraph">
    <w:name w:val="List Paragraph"/>
    <w:basedOn w:val="Normal"/>
    <w:uiPriority w:val="34"/>
    <w:qFormat/>
    <w:rsid w:val="00B75A0D"/>
    <w:pPr>
      <w:ind w:left="720"/>
      <w:contextualSpacing/>
    </w:pPr>
  </w:style>
  <w:style w:type="character" w:styleId="IntenseEmphasis">
    <w:name w:val="Intense Emphasis"/>
    <w:basedOn w:val="DefaultParagraphFont"/>
    <w:uiPriority w:val="21"/>
    <w:qFormat/>
    <w:rsid w:val="00B75A0D"/>
    <w:rPr>
      <w:i/>
      <w:iCs/>
      <w:color w:val="0F4761" w:themeColor="accent1" w:themeShade="BF"/>
    </w:rPr>
  </w:style>
  <w:style w:type="paragraph" w:styleId="IntenseQuote">
    <w:name w:val="Intense Quote"/>
    <w:basedOn w:val="Normal"/>
    <w:next w:val="Normal"/>
    <w:link w:val="IntenseQuoteChar"/>
    <w:uiPriority w:val="30"/>
    <w:qFormat/>
    <w:rsid w:val="00B75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A0D"/>
    <w:rPr>
      <w:i/>
      <w:iCs/>
      <w:color w:val="0F4761" w:themeColor="accent1" w:themeShade="BF"/>
    </w:rPr>
  </w:style>
  <w:style w:type="character" w:styleId="IntenseReference">
    <w:name w:val="Intense Reference"/>
    <w:basedOn w:val="DefaultParagraphFont"/>
    <w:uiPriority w:val="32"/>
    <w:qFormat/>
    <w:rsid w:val="00B75A0D"/>
    <w:rPr>
      <w:b/>
      <w:bCs/>
      <w:smallCaps/>
      <w:color w:val="0F4761" w:themeColor="accent1" w:themeShade="BF"/>
      <w:spacing w:val="5"/>
    </w:rPr>
  </w:style>
  <w:style w:type="paragraph" w:styleId="NormalWeb">
    <w:name w:val="Normal (Web)"/>
    <w:basedOn w:val="Normal"/>
    <w:uiPriority w:val="99"/>
    <w:unhideWhenUsed/>
    <w:rsid w:val="00125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259DB"/>
    <w:rPr>
      <w:i/>
      <w:iCs/>
    </w:rPr>
  </w:style>
  <w:style w:type="character" w:styleId="Hyperlink">
    <w:name w:val="Hyperlink"/>
    <w:basedOn w:val="DefaultParagraphFont"/>
    <w:uiPriority w:val="99"/>
    <w:unhideWhenUsed/>
    <w:rsid w:val="00254B6A"/>
    <w:rPr>
      <w:color w:val="0000FF"/>
      <w:u w:val="single"/>
    </w:rPr>
  </w:style>
  <w:style w:type="paragraph" w:styleId="Header">
    <w:name w:val="header"/>
    <w:basedOn w:val="Normal"/>
    <w:link w:val="HeaderChar"/>
    <w:uiPriority w:val="99"/>
    <w:unhideWhenUsed/>
    <w:rsid w:val="0035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16D"/>
  </w:style>
  <w:style w:type="paragraph" w:styleId="Footer">
    <w:name w:val="footer"/>
    <w:basedOn w:val="Normal"/>
    <w:link w:val="FooterChar"/>
    <w:uiPriority w:val="99"/>
    <w:unhideWhenUsed/>
    <w:rsid w:val="0035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16D"/>
  </w:style>
  <w:style w:type="character" w:styleId="UnresolvedMention">
    <w:name w:val="Unresolved Mention"/>
    <w:basedOn w:val="DefaultParagraphFont"/>
    <w:uiPriority w:val="99"/>
    <w:semiHidden/>
    <w:unhideWhenUsed/>
    <w:rsid w:val="00522B19"/>
    <w:rPr>
      <w:color w:val="605E5C"/>
      <w:shd w:val="clear" w:color="auto" w:fill="E1DFDD"/>
    </w:rPr>
  </w:style>
  <w:style w:type="character" w:styleId="Strong">
    <w:name w:val="Strong"/>
    <w:basedOn w:val="DefaultParagraphFont"/>
    <w:uiPriority w:val="22"/>
    <w:qFormat/>
    <w:rsid w:val="00D322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B494F-0FA3-44E8-9A8A-B7A6B4FD1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10982</Words>
  <Characters>62604</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Sabha Akhtar</dc:creator>
  <cp:keywords/>
  <dc:description/>
  <cp:lastModifiedBy>haleema younis</cp:lastModifiedBy>
  <cp:revision>37</cp:revision>
  <dcterms:created xsi:type="dcterms:W3CDTF">2026-02-20T23:28:00Z</dcterms:created>
  <dcterms:modified xsi:type="dcterms:W3CDTF">2026-04-07T15:44:00Z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71e00c0d-5536-4c0e-b992-d6fbc5b94518</vt:lpwstr>
  </property>
</Properties>
</file>