
<file path=[Content_Types].xml><?xml version="1.0" encoding="utf-8"?>
<Types xmlns="http://schemas.openxmlformats.org/package/2006/content-types">
  <Override PartName="/_rels/.rels" ContentType="application/vnd.openxmlformats-package.relationships+xml"/>
  <Override PartName="/word/fontTable.xml" ContentType="application/vnd.openxmlformats-officedocument.wordprocessingml.fontTable+xml"/>
  <Override PartName="/word/document.xml" ContentType="application/vnd.openxmlformats-officedocument.wordprocessingml.document.main+xml"/>
  <Override PartName="/word/numbering.xml" ContentType="application/vnd.openxmlformats-officedocument.wordprocessingml.numbering+xml"/>
  <Override PartName="/word/_rels/document.xml.rels" ContentType="application/vnd.openxmlformats-package.relationships+xml"/>
  <Override PartName="/word/settings.xml" ContentType="application/vnd.openxmlformats-officedocument.wordprocessingml.settings+xml"/>
  <Override PartName="/word/styles.xml" ContentType="application/vnd.openxmlformats-officedocument.wordprocessingml.styles+xml"/>
  <Override PartName="/docProps/app.xml" ContentType="application/vnd.openxmlformats-officedocument.extended-properties+xml"/>
  <Override PartName="/docProps/core.xml" ContentType="application/vnd.openxmlformats-package.core-propertie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Heading1"/>
        <w:numPr>
          <w:ilvl w:val="0"/>
          <w:numId w:val="1"/>
        </w:numPr>
        <w:spacing w:before="240" w:after="120"/>
        <w:rPr/>
      </w:pPr>
      <w:r>
        <w:rPr/>
        <w:t>Learning through pictures – lecture notes</w:t>
      </w:r>
    </w:p>
    <w:p>
      <w:pPr>
        <w:pStyle w:val="Normal"/>
        <w:rPr>
          <w:sz w:val="26"/>
          <w:szCs w:val="26"/>
        </w:rPr>
      </w:pPr>
      <w:r>
        <w:rPr>
          <w:sz w:val="26"/>
          <w:szCs w:val="26"/>
        </w:rPr>
        <w:t>1) title slide</w:t>
      </w:r>
    </w:p>
    <w:p>
      <w:pPr>
        <w:pStyle w:val="Normal"/>
        <w:rPr>
          <w:sz w:val="26"/>
          <w:szCs w:val="26"/>
        </w:rPr>
      </w:pPr>
      <w:r>
        <w:rPr>
          <w:sz w:val="26"/>
          <w:szCs w:val="26"/>
        </w:rPr>
      </w:r>
    </w:p>
    <w:p>
      <w:pPr>
        <w:pStyle w:val="Normal"/>
        <w:rPr>
          <w:sz w:val="26"/>
          <w:szCs w:val="26"/>
        </w:rPr>
      </w:pPr>
      <w:r>
        <w:rPr>
          <w:sz w:val="26"/>
          <w:szCs w:val="26"/>
        </w:rPr>
        <w:t>2) Exodus: one of the 10 Commandments – no images.</w:t>
      </w:r>
    </w:p>
    <w:p>
      <w:pPr>
        <w:pStyle w:val="Normal"/>
        <w:rPr>
          <w:sz w:val="26"/>
          <w:szCs w:val="26"/>
        </w:rPr>
      </w:pPr>
      <w:r>
        <w:rPr>
          <w:sz w:val="26"/>
          <w:szCs w:val="26"/>
        </w:rPr>
      </w:r>
    </w:p>
    <w:p>
      <w:pPr>
        <w:pStyle w:val="Normal"/>
        <w:rPr>
          <w:sz w:val="26"/>
          <w:szCs w:val="26"/>
        </w:rPr>
      </w:pPr>
      <w:r>
        <w:rPr>
          <w:sz w:val="26"/>
          <w:szCs w:val="26"/>
        </w:rPr>
        <w:t xml:space="preserve">Early Christianity seems to have been </w:t>
      </w:r>
      <w:r>
        <w:rPr>
          <w:i/>
          <w:iCs/>
          <w:sz w:val="26"/>
          <w:szCs w:val="26"/>
        </w:rPr>
        <w:t>aniconic</w:t>
      </w:r>
      <w:r>
        <w:rPr>
          <w:i w:val="false"/>
          <w:iCs w:val="false"/>
          <w:sz w:val="26"/>
          <w:szCs w:val="26"/>
        </w:rPr>
        <w:t>. There were symbols (the ichthys and cross), but they were badges of belonging to a secret sect.</w:t>
      </w:r>
    </w:p>
    <w:p>
      <w:pPr>
        <w:pStyle w:val="Normal"/>
        <w:rPr>
          <w:i w:val="false"/>
          <w:i w:val="false"/>
          <w:iCs w:val="false"/>
        </w:rPr>
      </w:pPr>
      <w:r>
        <w:rPr>
          <w:sz w:val="26"/>
          <w:szCs w:val="26"/>
        </w:rPr>
      </w:r>
    </w:p>
    <w:p>
      <w:pPr>
        <w:pStyle w:val="Normal"/>
        <w:rPr>
          <w:sz w:val="26"/>
          <w:szCs w:val="26"/>
        </w:rPr>
      </w:pPr>
      <w:r>
        <w:rPr>
          <w:i w:val="false"/>
          <w:iCs w:val="false"/>
          <w:sz w:val="26"/>
          <w:szCs w:val="26"/>
        </w:rPr>
        <w:t>3) Glossary of terms</w:t>
      </w:r>
    </w:p>
    <w:p>
      <w:pPr>
        <w:pStyle w:val="Normal"/>
        <w:rPr>
          <w:i w:val="false"/>
          <w:i w:val="false"/>
          <w:iCs w:val="false"/>
        </w:rPr>
      </w:pPr>
      <w:r>
        <w:rPr>
          <w:sz w:val="26"/>
          <w:szCs w:val="26"/>
        </w:rPr>
      </w:r>
    </w:p>
    <w:p>
      <w:pPr>
        <w:pStyle w:val="Normal"/>
        <w:rPr>
          <w:sz w:val="26"/>
          <w:szCs w:val="26"/>
        </w:rPr>
      </w:pPr>
      <w:r>
        <w:rPr>
          <w:i w:val="false"/>
          <w:iCs w:val="false"/>
          <w:sz w:val="26"/>
          <w:szCs w:val="26"/>
        </w:rPr>
        <w:t>4 &amp; 5) Christianity divided in opinions – and perhaps over time.</w:t>
      </w:r>
    </w:p>
    <w:p>
      <w:pPr>
        <w:pStyle w:val="Normal"/>
        <w:rPr>
          <w:sz w:val="26"/>
          <w:szCs w:val="26"/>
        </w:rPr>
      </w:pPr>
      <w:r>
        <w:rPr>
          <w:i w:val="false"/>
          <w:iCs w:val="false"/>
          <w:sz w:val="26"/>
          <w:szCs w:val="26"/>
        </w:rPr>
        <w:t xml:space="preserve">With Constantine (d.337), Christianity became the Roman state religion. Roman (pagan) religion before that was </w:t>
      </w:r>
      <w:r>
        <w:rPr>
          <w:b/>
          <w:bCs/>
          <w:i w:val="false"/>
          <w:iCs w:val="false"/>
          <w:sz w:val="26"/>
          <w:szCs w:val="26"/>
        </w:rPr>
        <w:t>full</w:t>
      </w:r>
      <w:r>
        <w:rPr>
          <w:b w:val="false"/>
          <w:bCs w:val="false"/>
          <w:i w:val="false"/>
          <w:iCs w:val="false"/>
          <w:sz w:val="26"/>
          <w:szCs w:val="26"/>
        </w:rPr>
        <w:t xml:space="preserve"> of images of deities. It therefore makes sense to see a rise in Christian images from this point.</w:t>
      </w:r>
    </w:p>
    <w:p>
      <w:pPr>
        <w:pStyle w:val="Normal"/>
        <w:rPr>
          <w:b w:val="false"/>
          <w:b w:val="false"/>
          <w:bCs w:val="false"/>
          <w:i w:val="false"/>
          <w:i w:val="false"/>
          <w:iCs w:val="false"/>
        </w:rPr>
      </w:pPr>
      <w:r>
        <w:rPr>
          <w:sz w:val="26"/>
          <w:szCs w:val="26"/>
        </w:rPr>
      </w:r>
    </w:p>
    <w:p>
      <w:pPr>
        <w:pStyle w:val="Normal"/>
        <w:rPr>
          <w:sz w:val="26"/>
          <w:szCs w:val="26"/>
        </w:rPr>
      </w:pPr>
      <w:r>
        <w:rPr>
          <w:b w:val="false"/>
          <w:bCs w:val="false"/>
          <w:i w:val="false"/>
          <w:iCs w:val="false"/>
          <w:sz w:val="26"/>
          <w:szCs w:val="26"/>
        </w:rPr>
        <w:t>Pope Gregory saw images as useful tools in Christian mission. John of Damascus saw them as encouraging piety. These are later figures than Tertullian and Eusebius, so perhaps we have a change over time. There were periods of iconoclasm, for example in the 8</w:t>
      </w:r>
      <w:r>
        <w:rPr>
          <w:b w:val="false"/>
          <w:bCs w:val="false"/>
          <w:i w:val="false"/>
          <w:iCs w:val="false"/>
          <w:sz w:val="26"/>
          <w:szCs w:val="26"/>
          <w:vertAlign w:val="superscript"/>
        </w:rPr>
        <w:t>th</w:t>
      </w:r>
      <w:r>
        <w:rPr>
          <w:b w:val="false"/>
          <w:bCs w:val="false"/>
          <w:i w:val="false"/>
          <w:iCs w:val="false"/>
          <w:sz w:val="26"/>
          <w:szCs w:val="26"/>
        </w:rPr>
        <w:t xml:space="preserve"> and 9</w:t>
      </w:r>
      <w:r>
        <w:rPr>
          <w:b w:val="false"/>
          <w:bCs w:val="false"/>
          <w:i w:val="false"/>
          <w:iCs w:val="false"/>
          <w:sz w:val="26"/>
          <w:szCs w:val="26"/>
          <w:vertAlign w:val="superscript"/>
        </w:rPr>
        <w:t>th</w:t>
      </w:r>
      <w:r>
        <w:rPr>
          <w:b w:val="false"/>
          <w:bCs w:val="false"/>
          <w:i w:val="false"/>
          <w:iCs w:val="false"/>
          <w:sz w:val="26"/>
          <w:szCs w:val="26"/>
        </w:rPr>
        <w:t xml:space="preserve"> centuries, but these were in the eastern empire (Byzantium), and were possibly influenced by the neighbouring Arabs!</w:t>
      </w:r>
    </w:p>
    <w:p>
      <w:pPr>
        <w:pStyle w:val="Normal"/>
        <w:rPr>
          <w:i w:val="false"/>
          <w:i w:val="false"/>
          <w:iCs w:val="false"/>
        </w:rPr>
      </w:pPr>
      <w:r>
        <w:rPr>
          <w:sz w:val="26"/>
          <w:szCs w:val="26"/>
        </w:rPr>
      </w:r>
    </w:p>
    <w:p>
      <w:pPr>
        <w:pStyle w:val="Normal"/>
        <w:rPr>
          <w:sz w:val="26"/>
          <w:szCs w:val="26"/>
        </w:rPr>
      </w:pPr>
      <w:r>
        <w:rPr>
          <w:sz w:val="26"/>
          <w:szCs w:val="26"/>
        </w:rPr>
        <w:t>6) the Book of Kells (c.800) shows the ability of Christianity to blend with ‘native’ cultures – here, with the Celtic love of intricate patterns. Here’s a page (left) which is more akin to Islamic religious art, based on patterns and letters, but another page (right) is a picture of Christ, with portraits of the 4 Evangelists. The MS tradition is located in decorative arts more generally, as illustrated by the Bewcastle Cross (as saw in 1</w:t>
      </w:r>
      <w:r>
        <w:rPr>
          <w:sz w:val="26"/>
          <w:szCs w:val="26"/>
          <w:vertAlign w:val="superscript"/>
        </w:rPr>
        <w:t>st</w:t>
      </w:r>
      <w:r>
        <w:rPr>
          <w:sz w:val="26"/>
          <w:szCs w:val="26"/>
        </w:rPr>
        <w:t xml:space="preserve"> session).</w:t>
      </w:r>
    </w:p>
    <w:p>
      <w:pPr>
        <w:pStyle w:val="Normal"/>
        <w:rPr>
          <w:sz w:val="26"/>
          <w:szCs w:val="26"/>
        </w:rPr>
      </w:pPr>
      <w:r>
        <w:rPr>
          <w:sz w:val="26"/>
          <w:szCs w:val="26"/>
        </w:rPr>
      </w:r>
    </w:p>
    <w:p>
      <w:pPr>
        <w:pStyle w:val="Normal"/>
        <w:rPr>
          <w:sz w:val="26"/>
          <w:szCs w:val="26"/>
        </w:rPr>
      </w:pPr>
      <w:r>
        <w:rPr>
          <w:sz w:val="26"/>
          <w:szCs w:val="26"/>
        </w:rPr>
        <w:t>This session focuses on MSS.</w:t>
      </w:r>
    </w:p>
    <w:p>
      <w:pPr>
        <w:pStyle w:val="Normal"/>
        <w:rPr>
          <w:sz w:val="26"/>
          <w:szCs w:val="26"/>
        </w:rPr>
      </w:pPr>
      <w:r>
        <w:rPr>
          <w:sz w:val="26"/>
          <w:szCs w:val="26"/>
        </w:rPr>
      </w:r>
    </w:p>
    <w:p>
      <w:pPr>
        <w:pStyle w:val="Normal"/>
        <w:rPr>
          <w:sz w:val="26"/>
          <w:szCs w:val="26"/>
        </w:rPr>
      </w:pPr>
      <w:r>
        <w:rPr>
          <w:sz w:val="26"/>
          <w:szCs w:val="26"/>
        </w:rPr>
        <w:t xml:space="preserve">7) In the ‘High’ Middle Ages, there was a fashion for ‘affective piety’ – an emotional engagement with Christ and the BVM. We can sympathise with her, fainting at seeing her son die. In this illumination, from the Queen Mary Psalter, we see Christ crucified, with a would on his right breast where the centurion Longinus prodded him (Longinus is kneeling in a spear-holding pose, although apparently without the spear). The stigmata or wounds of Christ were particularly popular after crusading started. Mary is being caught by another woman, possibly Mary Magdalene. She’s wearing red, but usually the BVM is pictured in blue (partly because blue was terrifically expensive). On the right, John holds a book – John the Apostle was popularly thought to be the same as John the Evangelist. The pointing man next to him is probably the chief (Jewish) priest Caiaphas. Two soldiers play dice at Christ’s feet – in John’s Gospel, they play to see who’ll get Christ’s clothes. The picture is framed by an architectural canopy with trifoliate arches and niched columns – a bit like Wells Cathedral (right). </w:t>
      </w:r>
    </w:p>
    <w:p>
      <w:pPr>
        <w:pStyle w:val="Normal"/>
        <w:rPr>
          <w:sz w:val="26"/>
          <w:szCs w:val="26"/>
        </w:rPr>
      </w:pPr>
      <w:r>
        <w:rPr>
          <w:sz w:val="26"/>
          <w:szCs w:val="26"/>
        </w:rPr>
      </w:r>
    </w:p>
    <w:p>
      <w:pPr>
        <w:pStyle w:val="Normal"/>
        <w:rPr>
          <w:sz w:val="26"/>
          <w:szCs w:val="26"/>
        </w:rPr>
      </w:pPr>
      <w:r>
        <w:rPr>
          <w:sz w:val="26"/>
          <w:szCs w:val="26"/>
        </w:rPr>
        <w:t>Our analysis of the QM Psalter will work for the Amiens Psalter that is the subject of assessment 2! In addition, think about gold and blue, there, and the shields – significance? Note Moses’ horns – why has he got horns? And the Jewish hat…</w:t>
      </w:r>
    </w:p>
    <w:p>
      <w:pPr>
        <w:pStyle w:val="Normal"/>
        <w:rPr>
          <w:sz w:val="26"/>
          <w:szCs w:val="26"/>
        </w:rPr>
      </w:pPr>
      <w:r>
        <w:rPr>
          <w:sz w:val="26"/>
          <w:szCs w:val="26"/>
        </w:rPr>
      </w:r>
    </w:p>
    <w:p>
      <w:pPr>
        <w:pStyle w:val="Normal"/>
        <w:rPr>
          <w:sz w:val="26"/>
          <w:szCs w:val="26"/>
        </w:rPr>
      </w:pPr>
      <w:r>
        <w:rPr>
          <w:sz w:val="26"/>
          <w:szCs w:val="26"/>
        </w:rPr>
        <w:t>We’ll ignore the bottom of the QM page for the moment.</w:t>
      </w:r>
    </w:p>
    <w:p>
      <w:pPr>
        <w:pStyle w:val="Normal"/>
        <w:rPr>
          <w:sz w:val="26"/>
          <w:szCs w:val="26"/>
        </w:rPr>
      </w:pPr>
      <w:r>
        <w:rPr>
          <w:sz w:val="26"/>
          <w:szCs w:val="26"/>
        </w:rPr>
      </w:r>
    </w:p>
    <w:p>
      <w:pPr>
        <w:pStyle w:val="Normal"/>
        <w:rPr>
          <w:sz w:val="26"/>
          <w:szCs w:val="26"/>
        </w:rPr>
      </w:pPr>
      <w:r>
        <w:rPr>
          <w:sz w:val="26"/>
          <w:szCs w:val="26"/>
        </w:rPr>
        <w:t>8) Making a MS</w:t>
      </w:r>
    </w:p>
    <w:p>
      <w:pPr>
        <w:pStyle w:val="Normal"/>
        <w:rPr>
          <w:sz w:val="26"/>
          <w:szCs w:val="26"/>
        </w:rPr>
      </w:pPr>
      <w:r>
        <w:rPr>
          <w:sz w:val="26"/>
          <w:szCs w:val="26"/>
        </w:rPr>
        <w:t>A few MSS were paper, but the main material was parchment. This was animal skin. It had to be dried, stretched and scraped and then cut to size. (Parchment as opposed to vellum.) In the early period, monks would make their own parchment, but by the ‘High’ Middle Ages, monks and secular clerics tended to buy parchment from professional parchment makers.</w:t>
      </w:r>
    </w:p>
    <w:p>
      <w:pPr>
        <w:pStyle w:val="Normal"/>
        <w:rPr>
          <w:sz w:val="26"/>
          <w:szCs w:val="26"/>
        </w:rPr>
      </w:pPr>
      <w:r>
        <w:rPr>
          <w:sz w:val="26"/>
          <w:szCs w:val="26"/>
        </w:rPr>
      </w:r>
    </w:p>
    <w:p>
      <w:pPr>
        <w:pStyle w:val="Normal"/>
        <w:rPr>
          <w:sz w:val="26"/>
          <w:szCs w:val="26"/>
        </w:rPr>
      </w:pPr>
      <w:r>
        <w:rPr>
          <w:sz w:val="26"/>
          <w:szCs w:val="26"/>
        </w:rPr>
        <w:t>9) Parchment was very dear, so things were re-used. This 11</w:t>
      </w:r>
      <w:r>
        <w:rPr>
          <w:sz w:val="26"/>
          <w:szCs w:val="26"/>
          <w:vertAlign w:val="superscript"/>
        </w:rPr>
        <w:t xml:space="preserve">th </w:t>
      </w:r>
      <w:r>
        <w:rPr>
          <w:sz w:val="26"/>
          <w:szCs w:val="26"/>
        </w:rPr>
        <w:t xml:space="preserve"> century MS, with some music notes on, was re-used as end leaves in a 13</w:t>
      </w:r>
      <w:r>
        <w:rPr>
          <w:sz w:val="26"/>
          <w:szCs w:val="26"/>
          <w:vertAlign w:val="superscript"/>
        </w:rPr>
        <w:t>th</w:t>
      </w:r>
      <w:r>
        <w:rPr>
          <w:sz w:val="26"/>
          <w:szCs w:val="26"/>
        </w:rPr>
        <w:t xml:space="preserve"> century MS.</w:t>
      </w:r>
    </w:p>
    <w:p>
      <w:pPr>
        <w:pStyle w:val="Normal"/>
        <w:rPr>
          <w:sz w:val="26"/>
          <w:szCs w:val="26"/>
        </w:rPr>
      </w:pPr>
      <w:r>
        <w:rPr>
          <w:sz w:val="26"/>
          <w:szCs w:val="26"/>
        </w:rPr>
      </w:r>
    </w:p>
    <w:p>
      <w:pPr>
        <w:pStyle w:val="Normal"/>
        <w:rPr>
          <w:sz w:val="26"/>
          <w:szCs w:val="26"/>
        </w:rPr>
      </w:pPr>
      <w:r>
        <w:rPr>
          <w:sz w:val="26"/>
          <w:szCs w:val="26"/>
        </w:rPr>
        <w:t>10) Preparing the parchment for writing meant ruling lines in lead. Lines could be pricked out first as a guide for ruling (you could do more than one page this way). Margins varied, but lots were left wide so that glosses or notes could be written by readers.</w:t>
      </w:r>
    </w:p>
    <w:p>
      <w:pPr>
        <w:pStyle w:val="Normal"/>
        <w:rPr>
          <w:sz w:val="26"/>
          <w:szCs w:val="26"/>
        </w:rPr>
      </w:pPr>
      <w:r>
        <w:rPr>
          <w:sz w:val="26"/>
          <w:szCs w:val="26"/>
        </w:rPr>
      </w:r>
    </w:p>
    <w:p>
      <w:pPr>
        <w:pStyle w:val="Normal"/>
        <w:rPr>
          <w:sz w:val="26"/>
          <w:szCs w:val="26"/>
        </w:rPr>
      </w:pPr>
      <w:r>
        <w:rPr>
          <w:sz w:val="26"/>
          <w:szCs w:val="26"/>
        </w:rPr>
        <w:t>11) Rubric</w:t>
      </w:r>
    </w:p>
    <w:p>
      <w:pPr>
        <w:pStyle w:val="Normal"/>
        <w:rPr>
          <w:sz w:val="26"/>
          <w:szCs w:val="26"/>
        </w:rPr>
      </w:pPr>
      <w:r>
        <w:rPr>
          <w:sz w:val="26"/>
          <w:szCs w:val="26"/>
        </w:rPr>
      </w:r>
    </w:p>
    <w:p>
      <w:pPr>
        <w:pStyle w:val="Normal"/>
        <w:rPr>
          <w:sz w:val="26"/>
          <w:szCs w:val="26"/>
        </w:rPr>
      </w:pPr>
      <w:r>
        <w:rPr>
          <w:sz w:val="26"/>
          <w:szCs w:val="26"/>
        </w:rPr>
        <w:t>12) Illuminations – space was left for these, and they were the last things to be done. Sometimes they were left unfinished, like this one.</w:t>
      </w:r>
    </w:p>
    <w:p>
      <w:pPr>
        <w:pStyle w:val="Normal"/>
        <w:rPr>
          <w:sz w:val="26"/>
          <w:szCs w:val="26"/>
        </w:rPr>
      </w:pPr>
      <w:r>
        <w:rPr>
          <w:sz w:val="26"/>
          <w:szCs w:val="26"/>
        </w:rPr>
      </w:r>
    </w:p>
    <w:p>
      <w:pPr>
        <w:pStyle w:val="Normal"/>
        <w:rPr>
          <w:sz w:val="26"/>
          <w:szCs w:val="26"/>
        </w:rPr>
      </w:pPr>
      <w:r>
        <w:rPr>
          <w:sz w:val="26"/>
          <w:szCs w:val="26"/>
        </w:rPr>
        <w:t>13) Binding. The complete pages were folded into bifolia and sewn together in quires.</w:t>
      </w:r>
    </w:p>
    <w:p>
      <w:pPr>
        <w:pStyle w:val="Normal"/>
        <w:rPr>
          <w:sz w:val="26"/>
          <w:szCs w:val="26"/>
        </w:rPr>
      </w:pPr>
      <w:r>
        <w:rPr>
          <w:sz w:val="26"/>
          <w:szCs w:val="26"/>
        </w:rPr>
      </w:r>
    </w:p>
    <w:p>
      <w:pPr>
        <w:pStyle w:val="Normal"/>
        <w:rPr>
          <w:sz w:val="26"/>
          <w:szCs w:val="26"/>
        </w:rPr>
      </w:pPr>
      <w:r>
        <w:rPr>
          <w:sz w:val="26"/>
          <w:szCs w:val="26"/>
        </w:rPr>
        <w:t>14) Scripts – some e.g.s showing change from rounded uncial to pointy gothic (which happened 12</w:t>
      </w:r>
      <w:r>
        <w:rPr>
          <w:sz w:val="26"/>
          <w:szCs w:val="26"/>
          <w:vertAlign w:val="superscript"/>
        </w:rPr>
        <w:t>th</w:t>
      </w:r>
      <w:r>
        <w:rPr>
          <w:sz w:val="26"/>
          <w:szCs w:val="26"/>
        </w:rPr>
        <w:t xml:space="preserve"> - 13</w:t>
      </w:r>
      <w:r>
        <w:rPr>
          <w:sz w:val="26"/>
          <w:szCs w:val="26"/>
          <w:vertAlign w:val="superscript"/>
        </w:rPr>
        <w:t>th</w:t>
      </w:r>
      <w:r>
        <w:rPr>
          <w:sz w:val="26"/>
          <w:szCs w:val="26"/>
        </w:rPr>
        <w:t xml:space="preserve"> centuries).</w:t>
      </w:r>
    </w:p>
    <w:p>
      <w:pPr>
        <w:pStyle w:val="Normal"/>
        <w:rPr>
          <w:sz w:val="26"/>
          <w:szCs w:val="26"/>
        </w:rPr>
      </w:pPr>
      <w:r>
        <w:rPr>
          <w:sz w:val="26"/>
          <w:szCs w:val="26"/>
        </w:rPr>
      </w:r>
    </w:p>
    <w:p>
      <w:pPr>
        <w:pStyle w:val="Normal"/>
        <w:rPr>
          <w:sz w:val="26"/>
          <w:szCs w:val="26"/>
        </w:rPr>
      </w:pPr>
      <w:r>
        <w:rPr>
          <w:sz w:val="26"/>
          <w:szCs w:val="26"/>
        </w:rPr>
        <w:t>15) Scripts</w:t>
      </w:r>
    </w:p>
    <w:p>
      <w:pPr>
        <w:pStyle w:val="Normal"/>
        <w:rPr>
          <w:sz w:val="26"/>
          <w:szCs w:val="26"/>
        </w:rPr>
      </w:pPr>
      <w:r>
        <w:rPr>
          <w:sz w:val="26"/>
          <w:szCs w:val="26"/>
        </w:rPr>
      </w:r>
    </w:p>
    <w:p>
      <w:pPr>
        <w:pStyle w:val="Normal"/>
        <w:rPr>
          <w:sz w:val="26"/>
          <w:szCs w:val="26"/>
        </w:rPr>
      </w:pPr>
      <w:r>
        <w:rPr>
          <w:sz w:val="26"/>
          <w:szCs w:val="26"/>
        </w:rPr>
        <w:t>16) Reading a MS. Pages – terminology.</w:t>
      </w:r>
    </w:p>
    <w:p>
      <w:pPr>
        <w:pStyle w:val="Normal"/>
        <w:rPr>
          <w:sz w:val="26"/>
          <w:szCs w:val="26"/>
        </w:rPr>
      </w:pPr>
      <w:r>
        <w:rPr>
          <w:sz w:val="26"/>
          <w:szCs w:val="26"/>
        </w:rPr>
      </w:r>
    </w:p>
    <w:p>
      <w:pPr>
        <w:pStyle w:val="Normal"/>
        <w:rPr>
          <w:sz w:val="26"/>
          <w:szCs w:val="26"/>
        </w:rPr>
      </w:pPr>
      <w:r>
        <w:rPr>
          <w:sz w:val="26"/>
          <w:szCs w:val="26"/>
        </w:rPr>
        <w:t>17) Reading a MS – abbreviations, the bane of mediævalists…</w:t>
      </w:r>
    </w:p>
    <w:p>
      <w:pPr>
        <w:pStyle w:val="Normal"/>
        <w:rPr>
          <w:sz w:val="26"/>
          <w:szCs w:val="26"/>
        </w:rPr>
      </w:pPr>
      <w:r>
        <w:rPr>
          <w:sz w:val="26"/>
          <w:szCs w:val="26"/>
        </w:rPr>
      </w:r>
    </w:p>
    <w:p>
      <w:pPr>
        <w:pStyle w:val="Normal"/>
        <w:rPr>
          <w:sz w:val="26"/>
          <w:szCs w:val="26"/>
        </w:rPr>
      </w:pPr>
      <w:r>
        <w:rPr>
          <w:sz w:val="26"/>
          <w:szCs w:val="26"/>
        </w:rPr>
        <w:t>18) Reading a MS – colophon (the end bit); owner’s marks (ex libris, in this case)</w:t>
      </w:r>
    </w:p>
    <w:p>
      <w:pPr>
        <w:pStyle w:val="Normal"/>
        <w:rPr>
          <w:sz w:val="26"/>
          <w:szCs w:val="26"/>
        </w:rPr>
      </w:pPr>
      <w:r>
        <w:rPr>
          <w:sz w:val="26"/>
          <w:szCs w:val="26"/>
        </w:rPr>
      </w:r>
    </w:p>
    <w:p>
      <w:pPr>
        <w:pStyle w:val="Normal"/>
        <w:rPr>
          <w:sz w:val="26"/>
          <w:szCs w:val="26"/>
        </w:rPr>
      </w:pPr>
      <w:r>
        <w:rPr>
          <w:sz w:val="26"/>
          <w:szCs w:val="26"/>
        </w:rPr>
        <w:t>19) Reading a MS – gloss</w:t>
      </w:r>
    </w:p>
    <w:p>
      <w:pPr>
        <w:pStyle w:val="Normal"/>
        <w:rPr>
          <w:sz w:val="26"/>
          <w:szCs w:val="26"/>
        </w:rPr>
      </w:pPr>
      <w:r>
        <w:rPr>
          <w:sz w:val="26"/>
          <w:szCs w:val="26"/>
        </w:rPr>
      </w:r>
    </w:p>
    <w:p>
      <w:pPr>
        <w:pStyle w:val="Normal"/>
        <w:rPr>
          <w:sz w:val="26"/>
          <w:szCs w:val="26"/>
        </w:rPr>
      </w:pPr>
      <w:r>
        <w:rPr>
          <w:sz w:val="26"/>
          <w:szCs w:val="26"/>
        </w:rPr>
        <w:t>20) Reading a MS – saints and symbols (we met symbols when we looked at pilgrimage)</w:t>
      </w:r>
    </w:p>
    <w:p>
      <w:pPr>
        <w:pStyle w:val="Normal"/>
        <w:rPr>
          <w:sz w:val="26"/>
          <w:szCs w:val="26"/>
        </w:rPr>
      </w:pPr>
      <w:r>
        <w:rPr>
          <w:sz w:val="26"/>
          <w:szCs w:val="26"/>
        </w:rPr>
      </w:r>
    </w:p>
    <w:p>
      <w:pPr>
        <w:pStyle w:val="Normal"/>
        <w:rPr>
          <w:sz w:val="26"/>
          <w:szCs w:val="26"/>
        </w:rPr>
      </w:pPr>
      <w:r>
        <w:rPr>
          <w:sz w:val="26"/>
          <w:szCs w:val="26"/>
        </w:rPr>
        <w:t>21) QM Psalter – the bottom bit. Below, in the historiated ‘A’, a pope, bishop, king and a couple of others kneel in prayer. One or more of them might have been patrons of the MS. Underneath that, Christina of Tyre (early Christian martyr) is thrown into the sea by her Roman governor father, only to be rescued by angles. Bas-de-page scenes don’t usually have anything to do with the page’s illuminations, and can be hilarious (two b-d-p figures from th eMacclesfield Psalter…).</w:t>
      </w:r>
    </w:p>
    <w:p>
      <w:pPr>
        <w:pStyle w:val="Normal"/>
        <w:rPr>
          <w:sz w:val="26"/>
          <w:szCs w:val="26"/>
        </w:rPr>
      </w:pPr>
      <w:r>
        <w:rPr>
          <w:sz w:val="26"/>
          <w:szCs w:val="26"/>
        </w:rPr>
      </w:r>
    </w:p>
    <w:p>
      <w:pPr>
        <w:pStyle w:val="Normal"/>
        <w:rPr>
          <w:sz w:val="26"/>
          <w:szCs w:val="26"/>
        </w:rPr>
      </w:pPr>
      <w:r>
        <w:rPr>
          <w:sz w:val="26"/>
          <w:szCs w:val="26"/>
        </w:rPr>
        <w:t>22) Different bits of the page</w:t>
      </w:r>
    </w:p>
    <w:p>
      <w:pPr>
        <w:pStyle w:val="Normal"/>
        <w:rPr>
          <w:sz w:val="26"/>
          <w:szCs w:val="26"/>
        </w:rPr>
      </w:pPr>
      <w:r>
        <w:rPr>
          <w:sz w:val="26"/>
          <w:szCs w:val="26"/>
        </w:rPr>
      </w:r>
    </w:p>
    <w:p>
      <w:pPr>
        <w:pStyle w:val="Normal"/>
        <w:rPr>
          <w:sz w:val="26"/>
          <w:szCs w:val="26"/>
        </w:rPr>
      </w:pPr>
      <w:r>
        <w:rPr>
          <w:sz w:val="26"/>
          <w:szCs w:val="26"/>
        </w:rPr>
        <w:t>23) painters and patrons – de Brailes hours</w:t>
      </w:r>
    </w:p>
    <w:p>
      <w:pPr>
        <w:pStyle w:val="Normal"/>
        <w:rPr>
          <w:sz w:val="26"/>
          <w:szCs w:val="26"/>
        </w:rPr>
      </w:pPr>
      <w:r>
        <w:rPr>
          <w:sz w:val="26"/>
          <w:szCs w:val="26"/>
        </w:rPr>
      </w:r>
    </w:p>
    <w:p>
      <w:pPr>
        <w:pStyle w:val="Normal"/>
        <w:rPr>
          <w:sz w:val="26"/>
          <w:szCs w:val="26"/>
        </w:rPr>
      </w:pPr>
      <w:r>
        <w:rPr>
          <w:sz w:val="26"/>
          <w:szCs w:val="26"/>
        </w:rPr>
        <w:t>24) monk’s blood (or is it wine?)!</w:t>
      </w:r>
    </w:p>
    <w:p>
      <w:pPr>
        <w:pStyle w:val="Normal"/>
        <w:rPr>
          <w:sz w:val="26"/>
          <w:szCs w:val="26"/>
        </w:rPr>
      </w:pPr>
      <w:r>
        <w:rPr>
          <w:sz w:val="26"/>
          <w:szCs w:val="26"/>
        </w:rPr>
      </w:r>
    </w:p>
    <w:p>
      <w:pPr>
        <w:pStyle w:val="Normal"/>
        <w:rPr>
          <w:sz w:val="26"/>
          <w:szCs w:val="26"/>
        </w:rPr>
      </w:pPr>
      <w:r>
        <w:rPr>
          <w:sz w:val="26"/>
          <w:szCs w:val="26"/>
        </w:rPr>
        <w:t>25) some types of religious MSS.</w:t>
      </w:r>
    </w:p>
    <w:p>
      <w:pPr>
        <w:pStyle w:val="Normal"/>
        <w:rPr>
          <w:sz w:val="26"/>
          <w:szCs w:val="26"/>
        </w:rPr>
      </w:pPr>
      <w:r>
        <w:rPr>
          <w:sz w:val="26"/>
          <w:szCs w:val="26"/>
        </w:rPr>
        <w:t>Part 2 is a romp through some nice MSS.</w:t>
      </w:r>
    </w:p>
    <w:sectPr>
      <w:type w:val="nextPage"/>
      <w:pgSz w:w="11906" w:h="16838"/>
      <w:pgMar w:left="1134" w:right="1134" w:header="0" w:top="1134" w:footer="0" w:bottom="1134" w:gutter="0"/>
      <w:pgNumType w:fmt="decimal"/>
      <w:formProt w:val="false"/>
      <w:textDirection w:val="lrTb"/>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1"/>
    <w:family w:val="roman"/>
    <w:pitch w:val="variable"/>
  </w:font>
  <w:font w:name="Garamond">
    <w:charset w:val="01"/>
    <w:family w:val="roman"/>
    <w:pitch w:val="default"/>
  </w:font>
</w:fonts>
</file>

<file path=word/numbering.xml><?xml version="1.0" encoding="utf-8"?>
<w:numbering xmlns:w="http://schemas.openxmlformats.org/wordprocessingml/2006/main" xmlns:o="urn:schemas-microsoft-com:office:office" xmlns:r="http://schemas.openxmlformats.org/officeDocument/2006/relationships" xmlns:v="urn:schemas-microsoft-com:vml">
  <w:abstractNum w:abstractNumId="1">
    <w:lvl w:ilvl="0">
      <w:start w:val="1"/>
      <w:pStyle w:val="Heading1"/>
      <w:numFmt w:val="none"/>
      <w:suff w:val="nothing"/>
      <w:lvlText w:val=""/>
      <w:lvlJc w:val="left"/>
      <w:pPr>
        <w:ind w:left="0" w:hanging="0"/>
      </w:pPr>
    </w:lvl>
    <w:lvl w:ilvl="1">
      <w:start w:val="1"/>
      <w:numFmt w:val="none"/>
      <w:suff w:val="nothing"/>
      <w:lvlText w:val=""/>
      <w:lvlJc w:val="left"/>
      <w:pPr>
        <w:ind w:left="0" w:hanging="0"/>
      </w:pPr>
    </w:lvl>
    <w:lvl w:ilvl="2">
      <w:start w:val="1"/>
      <w:numFmt w:val="none"/>
      <w:suff w:val="nothing"/>
      <w:lvlText w:val=""/>
      <w:lvlJc w:val="left"/>
      <w:pPr>
        <w:ind w:left="0" w:hanging="0"/>
      </w:pPr>
    </w:lvl>
    <w:lvl w:ilvl="3">
      <w:start w:val="1"/>
      <w:numFmt w:val="none"/>
      <w:suff w:val="nothing"/>
      <w:lvlText w:val=""/>
      <w:lvlJc w:val="left"/>
      <w:pPr>
        <w:ind w:left="0" w:hanging="0"/>
      </w:pPr>
    </w:lvl>
    <w:lvl w:ilvl="4">
      <w:start w:val="1"/>
      <w:numFmt w:val="none"/>
      <w:suff w:val="nothing"/>
      <w:lvlText w:val=""/>
      <w:lvlJc w:val="left"/>
      <w:pPr>
        <w:ind w:left="0" w:hanging="0"/>
      </w:pPr>
    </w:lvl>
    <w:lvl w:ilvl="5">
      <w:start w:val="1"/>
      <w:numFmt w:val="none"/>
      <w:suff w:val="nothing"/>
      <w:lvlText w:val=""/>
      <w:lvlJc w:val="left"/>
      <w:pPr>
        <w:ind w:left="0" w:hanging="0"/>
      </w:pPr>
    </w:lvl>
    <w:lvl w:ilvl="6">
      <w:start w:val="1"/>
      <w:numFmt w:val="none"/>
      <w:suff w:val="nothing"/>
      <w:lvlText w:val=""/>
      <w:lvlJc w:val="left"/>
      <w:pPr>
        <w:ind w:left="0" w:hanging="0"/>
      </w:pPr>
    </w:lvl>
    <w:lvl w:ilvl="7">
      <w:start w:val="1"/>
      <w:numFmt w:val="none"/>
      <w:suff w:val="nothing"/>
      <w:lvlText w:val=""/>
      <w:lvlJc w:val="left"/>
      <w:pPr>
        <w:ind w:left="0" w:hanging="0"/>
      </w:pPr>
    </w:lvl>
    <w:lvl w:ilvl="8">
      <w:start w:val="1"/>
      <w:numFmt w:val="none"/>
      <w:suff w:val="nothing"/>
      <w:lvlText w:val=""/>
      <w:lvlJc w:val="left"/>
      <w:pPr>
        <w:ind w:left="0" w:hanging="0"/>
      </w:pPr>
    </w:lvl>
  </w:abstractNum>
  <w:num w:numId="1">
    <w:abstractNumId w:val="1"/>
  </w:num>
</w:numbering>
</file>

<file path=word/settings.xml><?xml version="1.0" encoding="utf-8"?>
<w:settings xmlns:w="http://schemas.openxmlformats.org/wordprocessingml/2006/main">
  <w:zoom w:percent="95"/>
  <w:defaultTabStop w:val="720"/>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Garamond" w:hAnsi="Garamond" w:eastAsia="SimSun" w:cs="Lucida Sans"/>
        <w:kern w:val="2"/>
        <w:sz w:val="24"/>
        <w:szCs w:val="24"/>
        <w:lang w:val="en-GB" w:eastAsia="zh-CN" w:bidi="hi-IN"/>
      </w:rPr>
    </w:rPrDefault>
    <w:pPrDefault>
      <w:pPr>
        <w:widowControl/>
      </w:pPr>
    </w:pPrDefault>
  </w:docDefaults>
  <w:style w:type="paragraph" w:styleId="Normal">
    <w:name w:val="Normal"/>
    <w:qFormat/>
    <w:pPr>
      <w:widowControl/>
    </w:pPr>
    <w:rPr>
      <w:rFonts w:ascii="Garamond" w:hAnsi="Garamond" w:eastAsia="SimSun" w:cs="Lucida Sans"/>
      <w:color w:val="auto"/>
      <w:kern w:val="2"/>
      <w:sz w:val="24"/>
      <w:szCs w:val="24"/>
      <w:lang w:val="en-GB" w:eastAsia="zh-CN" w:bidi="hi-IN"/>
    </w:rPr>
  </w:style>
  <w:style w:type="paragraph" w:styleId="Heading1">
    <w:name w:val="Heading 1"/>
    <w:basedOn w:val="Heading"/>
    <w:next w:val="TextBody"/>
    <w:qFormat/>
    <w:pPr>
      <w:numPr>
        <w:ilvl w:val="0"/>
        <w:numId w:val="1"/>
      </w:numPr>
      <w:spacing w:before="240" w:after="120"/>
      <w:outlineLvl w:val="0"/>
    </w:pPr>
    <w:rPr>
      <w:b/>
      <w:bCs/>
      <w:sz w:val="36"/>
      <w:szCs w:val="36"/>
    </w:rPr>
  </w:style>
  <w:style w:type="character" w:styleId="NumberingSymbols">
    <w:name w:val="Numbering Symbols"/>
    <w:qFormat/>
    <w:rPr/>
  </w:style>
  <w:style w:type="paragraph" w:styleId="Heading">
    <w:name w:val="Heading"/>
    <w:basedOn w:val="Normal"/>
    <w:next w:val="TextBody"/>
    <w:qFormat/>
    <w:pPr>
      <w:keepNext w:val="true"/>
      <w:spacing w:before="240" w:after="120"/>
    </w:pPr>
    <w:rPr>
      <w:rFonts w:ascii="Garamond" w:hAnsi="Garamond" w:eastAsia="SimSun" w:cs="Lucida Sans"/>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ascii="Garamond" w:hAnsi="Garamond" w:cs="Lucida Sans"/>
    </w:rPr>
  </w:style>
  <w:style w:type="paragraph" w:styleId="Caption">
    <w:name w:val="Caption"/>
    <w:basedOn w:val="Normal"/>
    <w:qFormat/>
    <w:pPr>
      <w:suppressLineNumbers/>
      <w:spacing w:before="120" w:after="120"/>
    </w:pPr>
    <w:rPr>
      <w:rFonts w:ascii="Garamond" w:hAnsi="Garamond" w:cs="Lucida Sans"/>
      <w:i/>
      <w:iCs/>
      <w:sz w:val="21"/>
      <w:szCs w:val="24"/>
    </w:rPr>
  </w:style>
  <w:style w:type="paragraph" w:styleId="Index">
    <w:name w:val="Index"/>
    <w:basedOn w:val="Normal"/>
    <w:qFormat/>
    <w:pPr>
      <w:suppressLineNumbers/>
    </w:pPr>
    <w:rPr>
      <w:rFonts w:ascii="Garamond" w:hAnsi="Garamond" w:cs="Lucida Sans"/>
    </w:r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fontTable" Target="fontTable.xml"/><Relationship Id="rId4" Type="http://schemas.openxmlformats.org/officeDocument/2006/relationships/settings" Target="settings.xml"/>
</Relationships>
</file>

<file path=docProps/app.xml><?xml version="1.0" encoding="utf-8"?>
<Properties xmlns="http://schemas.openxmlformats.org/officeDocument/2006/extended-properties" xmlns:vt="http://schemas.openxmlformats.org/officeDocument/2006/docPropsVTypes">
  <Template/>
  <TotalTime>171</TotalTime>
  <Application>LibreOffice/6.0.7.3$MacOSX_X86_64 LibreOffice_project/dc89aa7a9eabfd848af146d5086077aeed2ae4a5</Application>
  <Pages>3</Pages>
  <Words>837</Words>
  <Characters>4063</Characters>
  <CharactersWithSpaces>4888</CharactersWithSpaces>
  <Paragraphs>33</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2023-10-01T07:05:18Z</dcterms:created>
  <dc:creator>KRH </dc:creator>
  <dc:description/>
  <dc:language>en-GB</dc:language>
  <cp:lastModifiedBy>KRH </cp:lastModifiedBy>
  <dcterms:modified xsi:type="dcterms:W3CDTF">2023-10-01T09:56:18Z</dcterms:modified>
  <cp:revision>2</cp:revision>
  <dc:subject/>
  <dc:title/>
</cp:coreProperties>
</file>