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627008" w14:textId="77777777" w:rsidR="007202EB" w:rsidRDefault="007202EB">
      <w:bookmarkStart w:id="0" w:name="_GoBack"/>
      <w:bookmarkEnd w:id="0"/>
    </w:p>
    <w:p w14:paraId="3970E189" w14:textId="77777777" w:rsidR="007202EB" w:rsidRDefault="007202EB" w:rsidP="007202EB">
      <w:pPr>
        <w:jc w:val="center"/>
        <w:rPr>
          <w:b/>
          <w:sz w:val="24"/>
          <w:u w:val="single"/>
        </w:rPr>
      </w:pPr>
      <w:r>
        <w:rPr>
          <w:b/>
          <w:sz w:val="24"/>
          <w:u w:val="single"/>
        </w:rPr>
        <w:t>Discussion of plans:</w:t>
      </w:r>
    </w:p>
    <w:p w14:paraId="3A891DB6" w14:textId="77777777" w:rsidR="007202EB" w:rsidRDefault="007202EB" w:rsidP="007202EB">
      <w:pPr>
        <w:jc w:val="center"/>
        <w:rPr>
          <w:b/>
          <w:sz w:val="24"/>
          <w:u w:val="single"/>
        </w:rPr>
      </w:pPr>
    </w:p>
    <w:p w14:paraId="394599E5" w14:textId="77777777" w:rsidR="007202EB" w:rsidRDefault="007202EB" w:rsidP="007202EB">
      <w:pPr>
        <w:rPr>
          <w:sz w:val="22"/>
        </w:rPr>
      </w:pPr>
    </w:p>
    <w:p w14:paraId="3E2DCAAC" w14:textId="77777777" w:rsidR="007202EB" w:rsidRDefault="007202EB" w:rsidP="007202EB">
      <w:pPr>
        <w:rPr>
          <w:sz w:val="22"/>
        </w:rPr>
      </w:pPr>
      <w:r>
        <w:rPr>
          <w:sz w:val="22"/>
        </w:rPr>
        <w:t xml:space="preserve">My plans </w:t>
      </w:r>
      <w:r w:rsidR="00A31AF2">
        <w:rPr>
          <w:sz w:val="22"/>
        </w:rPr>
        <w:t>overall</w:t>
      </w:r>
      <w:r>
        <w:rPr>
          <w:sz w:val="22"/>
        </w:rPr>
        <w:t xml:space="preserve"> were a failure (death of Antigonus</w:t>
      </w:r>
      <w:r w:rsidR="00A31AF2">
        <w:rPr>
          <w:sz w:val="22"/>
        </w:rPr>
        <w:t xml:space="preserve"> 19 years early</w:t>
      </w:r>
      <w:r w:rsidR="00A31AF2">
        <w:rPr>
          <w:rStyle w:val="FootnoteReference"/>
          <w:sz w:val="22"/>
        </w:rPr>
        <w:footnoteReference w:id="1"/>
      </w:r>
      <w:r>
        <w:rPr>
          <w:sz w:val="22"/>
        </w:rPr>
        <w:t>), however there were many successes within the module</w:t>
      </w:r>
      <w:r w:rsidR="008765FE">
        <w:rPr>
          <w:sz w:val="22"/>
        </w:rPr>
        <w:t>: the conquering of land in Asia Minor</w:t>
      </w:r>
      <w:r w:rsidR="00D96E63">
        <w:rPr>
          <w:sz w:val="22"/>
        </w:rPr>
        <w:t>, other than the land given at the treaty of Babylon</w:t>
      </w:r>
      <w:r w:rsidR="00D96E63">
        <w:rPr>
          <w:rStyle w:val="FootnoteReference"/>
          <w:sz w:val="22"/>
        </w:rPr>
        <w:footnoteReference w:id="2"/>
      </w:r>
      <w:r w:rsidR="00D96E63">
        <w:rPr>
          <w:sz w:val="22"/>
        </w:rPr>
        <w:t>,</w:t>
      </w:r>
      <w:r w:rsidR="008765FE">
        <w:rPr>
          <w:sz w:val="22"/>
        </w:rPr>
        <w:t xml:space="preserve"> and re-consolidation of the army and doubling of the treasury under Demetrius.</w:t>
      </w:r>
      <w:r w:rsidR="00864A4A">
        <w:rPr>
          <w:sz w:val="22"/>
        </w:rPr>
        <w:t xml:space="preserve"> </w:t>
      </w:r>
      <w:r w:rsidR="00722A75">
        <w:rPr>
          <w:sz w:val="22"/>
        </w:rPr>
        <w:t>In reflection, attempting to continuously expand Antigonus’ land was a short-sighted plan as it resulted in the underestimation of the Macedonian army and eventual death of Antigonus and Eumenes</w:t>
      </w:r>
      <w:r w:rsidR="008E77E6">
        <w:rPr>
          <w:sz w:val="22"/>
        </w:rPr>
        <w:t xml:space="preserve">. The plans I had as Demetrius reflect the ignorance of my plans as Antigonus </w:t>
      </w:r>
      <w:r w:rsidR="00471EA6">
        <w:rPr>
          <w:sz w:val="22"/>
        </w:rPr>
        <w:t>as I was very conservative on the expansion of Demetrius’ land and with waging wars with foreign powers.</w:t>
      </w:r>
      <w:r w:rsidR="002A7069">
        <w:rPr>
          <w:sz w:val="22"/>
        </w:rPr>
        <w:t xml:space="preserve"> Instead I took the route of attempting to assassinate my enemies with poison that worked with varying results</w:t>
      </w:r>
      <w:r w:rsidR="00BA44BF">
        <w:rPr>
          <w:sz w:val="22"/>
        </w:rPr>
        <w:t xml:space="preserve">, whilst fortifying my cities to the same </w:t>
      </w:r>
      <w:r w:rsidR="004619CD">
        <w:rPr>
          <w:sz w:val="22"/>
        </w:rPr>
        <w:t>standard of Pergamon so to withstand any siege for a long period of time.</w:t>
      </w:r>
      <w:r w:rsidR="006728D6">
        <w:rPr>
          <w:sz w:val="22"/>
        </w:rPr>
        <w:t xml:space="preserve"> </w:t>
      </w:r>
    </w:p>
    <w:p w14:paraId="7DC4F236" w14:textId="77777777" w:rsidR="00B401A4" w:rsidRDefault="00B401A4" w:rsidP="007202EB">
      <w:pPr>
        <w:rPr>
          <w:sz w:val="22"/>
        </w:rPr>
      </w:pPr>
    </w:p>
    <w:p w14:paraId="4865E590" w14:textId="4CF97B8A" w:rsidR="003555F8" w:rsidRDefault="003664C1" w:rsidP="007202EB">
      <w:pPr>
        <w:rPr>
          <w:sz w:val="22"/>
        </w:rPr>
      </w:pPr>
      <w:r>
        <w:rPr>
          <w:sz w:val="22"/>
        </w:rPr>
        <w:t>This module has helped me learn a lot about the Hellenistic world, specifically about Antigonus and Demetrius through the biography and role playing of the characters. The</w:t>
      </w:r>
      <w:r w:rsidR="00B401A4">
        <w:rPr>
          <w:sz w:val="22"/>
        </w:rPr>
        <w:t xml:space="preserve"> module has </w:t>
      </w:r>
      <w:r>
        <w:rPr>
          <w:sz w:val="22"/>
        </w:rPr>
        <w:t xml:space="preserve">also </w:t>
      </w:r>
      <w:r w:rsidR="00B401A4">
        <w:rPr>
          <w:sz w:val="22"/>
        </w:rPr>
        <w:t>helped me understand how chaotic an empire can be after the death of its current king/leader and having not chosen a successor, or not have one fit to rule. This is clear after Alexander’s death</w:t>
      </w:r>
      <w:r w:rsidR="00920400">
        <w:rPr>
          <w:rStyle w:val="FootnoteReference"/>
          <w:sz w:val="22"/>
        </w:rPr>
        <w:footnoteReference w:id="3"/>
      </w:r>
      <w:r w:rsidR="00B401A4">
        <w:rPr>
          <w:sz w:val="22"/>
        </w:rPr>
        <w:t xml:space="preserve"> when every </w:t>
      </w:r>
      <w:r>
        <w:rPr>
          <w:sz w:val="22"/>
        </w:rPr>
        <w:t>general and satrap tried to fight for</w:t>
      </w:r>
      <w:r w:rsidR="00B401A4">
        <w:rPr>
          <w:sz w:val="22"/>
        </w:rPr>
        <w:t xml:space="preserve"> as much power as possible in a</w:t>
      </w:r>
      <w:r w:rsidR="00725662">
        <w:rPr>
          <w:sz w:val="22"/>
        </w:rPr>
        <w:t>nd after the treaty of Babylon.</w:t>
      </w:r>
      <w:r w:rsidR="00920400">
        <w:rPr>
          <w:sz w:val="22"/>
        </w:rPr>
        <w:t xml:space="preserve"> It is clear that </w:t>
      </w:r>
      <w:r w:rsidR="004C7C8B">
        <w:rPr>
          <w:sz w:val="22"/>
        </w:rPr>
        <w:t>after the death of Alexander alliances</w:t>
      </w:r>
      <w:r w:rsidR="006542D8">
        <w:rPr>
          <w:rStyle w:val="FootnoteReference"/>
          <w:sz w:val="22"/>
        </w:rPr>
        <w:footnoteReference w:id="4"/>
      </w:r>
      <w:r w:rsidR="004C7C8B">
        <w:rPr>
          <w:sz w:val="22"/>
        </w:rPr>
        <w:t xml:space="preserve"> were imperative in able to survive and to gain more power.</w:t>
      </w:r>
      <w:r w:rsidR="00725662">
        <w:rPr>
          <w:sz w:val="22"/>
        </w:rPr>
        <w:t xml:space="preserve"> </w:t>
      </w:r>
      <w:r w:rsidR="006542D8">
        <w:rPr>
          <w:sz w:val="22"/>
        </w:rPr>
        <w:t>These were important mainly for military purposes, this was more evident whilst role-playing this period as more battles occurred between the successors. To me, I found the loss of men during a battle in this period was a lot less than I had originally had thought</w:t>
      </w:r>
      <w:r w:rsidR="006542D8">
        <w:rPr>
          <w:rStyle w:val="FootnoteReference"/>
          <w:sz w:val="22"/>
        </w:rPr>
        <w:footnoteReference w:id="5"/>
      </w:r>
      <w:r w:rsidR="006542D8">
        <w:rPr>
          <w:sz w:val="22"/>
        </w:rPr>
        <w:t xml:space="preserve">, </w:t>
      </w:r>
      <w:r w:rsidR="001300F0">
        <w:rPr>
          <w:sz w:val="22"/>
        </w:rPr>
        <w:t>I would have believed the number of losses to be a lot greater, similar to those during the Roman republic or empire.</w:t>
      </w:r>
      <w:r w:rsidR="009974DC">
        <w:rPr>
          <w:sz w:val="22"/>
        </w:rPr>
        <w:t xml:space="preserve"> </w:t>
      </w:r>
      <w:r w:rsidR="003555F8">
        <w:rPr>
          <w:sz w:val="22"/>
        </w:rPr>
        <w:t>Furthermore, this module has helped me learn about the politics and how court systems worked in the Hellenistic world and earlier, with some similar to an absolute or constitutional monarchy.</w:t>
      </w:r>
      <w:r w:rsidR="003C3CE7">
        <w:rPr>
          <w:sz w:val="22"/>
        </w:rPr>
        <w:t xml:space="preserve"> I learned more about bias in sources as, whilst writing about the argyraspides, in reference to a battle that their fighting prestige may have been exaggerated because of Macedonian sources</w:t>
      </w:r>
      <w:r w:rsidR="003C3CE7">
        <w:rPr>
          <w:rStyle w:val="FootnoteReference"/>
          <w:sz w:val="22"/>
        </w:rPr>
        <w:footnoteReference w:id="6"/>
      </w:r>
      <w:r w:rsidR="003C3CE7">
        <w:rPr>
          <w:sz w:val="22"/>
        </w:rPr>
        <w:t>.</w:t>
      </w:r>
      <w:r w:rsidR="00167873">
        <w:rPr>
          <w:sz w:val="22"/>
        </w:rPr>
        <w:t xml:space="preserve"> </w:t>
      </w:r>
      <w:r w:rsidR="003555F8">
        <w:rPr>
          <w:sz w:val="22"/>
        </w:rPr>
        <w:t>Finally, it was surprising to learn how many things were, or could have been poisonous in the ancient world, and how well documented they were, this would have most likely been due to Mithradates VI however</w:t>
      </w:r>
      <w:r w:rsidR="003555F8">
        <w:rPr>
          <w:rStyle w:val="FootnoteReference"/>
          <w:sz w:val="22"/>
        </w:rPr>
        <w:footnoteReference w:id="7"/>
      </w:r>
      <w:r w:rsidR="003555F8">
        <w:rPr>
          <w:sz w:val="22"/>
        </w:rPr>
        <w:t>.</w:t>
      </w:r>
      <w:r w:rsidR="008E6DA7">
        <w:rPr>
          <w:sz w:val="22"/>
        </w:rPr>
        <w:t xml:space="preserve"> </w:t>
      </w:r>
    </w:p>
    <w:p w14:paraId="4604B8A0" w14:textId="28CFB177" w:rsidR="004619CD" w:rsidRDefault="004619CD" w:rsidP="007202EB">
      <w:pPr>
        <w:rPr>
          <w:sz w:val="22"/>
        </w:rPr>
      </w:pPr>
    </w:p>
    <w:p w14:paraId="42D7FCD2" w14:textId="04EE9C21" w:rsidR="00EF1BBC" w:rsidRDefault="00EF1BBC" w:rsidP="007202EB">
      <w:pPr>
        <w:rPr>
          <w:sz w:val="22"/>
        </w:rPr>
      </w:pPr>
    </w:p>
    <w:p w14:paraId="50E853E6" w14:textId="47B9FE1B" w:rsidR="00EF1BBC" w:rsidRDefault="00EF1BBC" w:rsidP="007202EB">
      <w:pPr>
        <w:rPr>
          <w:sz w:val="22"/>
        </w:rPr>
      </w:pPr>
    </w:p>
    <w:p w14:paraId="45561E63" w14:textId="1852E331" w:rsidR="00EF1BBC" w:rsidRDefault="00EF1BBC" w:rsidP="007202EB">
      <w:pPr>
        <w:rPr>
          <w:sz w:val="22"/>
        </w:rPr>
      </w:pPr>
    </w:p>
    <w:p w14:paraId="3EE299E1" w14:textId="15D10844" w:rsidR="00EF1BBC" w:rsidRDefault="00EF1BBC" w:rsidP="007202EB">
      <w:pPr>
        <w:rPr>
          <w:sz w:val="22"/>
        </w:rPr>
      </w:pPr>
    </w:p>
    <w:p w14:paraId="0F36E1D6" w14:textId="61C12B6C" w:rsidR="00EF1BBC" w:rsidRDefault="00EF1BBC" w:rsidP="007202EB">
      <w:pPr>
        <w:rPr>
          <w:sz w:val="22"/>
        </w:rPr>
      </w:pPr>
    </w:p>
    <w:p w14:paraId="4AABAF44" w14:textId="3A185112" w:rsidR="00EF1BBC" w:rsidRDefault="00EF1BBC" w:rsidP="007202EB">
      <w:pPr>
        <w:rPr>
          <w:sz w:val="22"/>
        </w:rPr>
      </w:pPr>
    </w:p>
    <w:p w14:paraId="51EAEDB0" w14:textId="45A54A67" w:rsidR="00EF1BBC" w:rsidRDefault="00EF1BBC" w:rsidP="007202EB">
      <w:pPr>
        <w:rPr>
          <w:sz w:val="22"/>
        </w:rPr>
      </w:pPr>
    </w:p>
    <w:p w14:paraId="71241AC5" w14:textId="232F9A19" w:rsidR="00EF1BBC" w:rsidRDefault="00EF1BBC" w:rsidP="007202EB">
      <w:pPr>
        <w:rPr>
          <w:sz w:val="22"/>
        </w:rPr>
      </w:pPr>
    </w:p>
    <w:p w14:paraId="74376E72" w14:textId="26023173" w:rsidR="00EF1BBC" w:rsidRDefault="00EF1BBC" w:rsidP="007202EB">
      <w:pPr>
        <w:rPr>
          <w:sz w:val="22"/>
        </w:rPr>
      </w:pPr>
    </w:p>
    <w:p w14:paraId="3D2FCD56" w14:textId="6F54F9BD" w:rsidR="00EF1BBC" w:rsidRDefault="00EF1BBC" w:rsidP="007202EB">
      <w:pPr>
        <w:rPr>
          <w:sz w:val="22"/>
        </w:rPr>
      </w:pPr>
    </w:p>
    <w:p w14:paraId="29FDAE17" w14:textId="4E841807" w:rsidR="00EF1BBC" w:rsidRDefault="00EF1BBC" w:rsidP="007202EB">
      <w:pPr>
        <w:rPr>
          <w:sz w:val="22"/>
        </w:rPr>
      </w:pPr>
    </w:p>
    <w:p w14:paraId="3C9AAB7F" w14:textId="0B544A5D" w:rsidR="00EF1BBC" w:rsidRDefault="00EF1BBC" w:rsidP="007202EB">
      <w:pPr>
        <w:rPr>
          <w:sz w:val="22"/>
        </w:rPr>
      </w:pPr>
    </w:p>
    <w:p w14:paraId="3BB57AD9" w14:textId="3949340A" w:rsidR="00EF1BBC" w:rsidRDefault="00EF1BBC" w:rsidP="007202EB">
      <w:pPr>
        <w:rPr>
          <w:sz w:val="22"/>
        </w:rPr>
      </w:pPr>
    </w:p>
    <w:p w14:paraId="485E31C8" w14:textId="74ACF49E" w:rsidR="00EF1BBC" w:rsidRDefault="00EF1BBC" w:rsidP="007202EB">
      <w:pPr>
        <w:rPr>
          <w:sz w:val="22"/>
        </w:rPr>
      </w:pPr>
    </w:p>
    <w:p w14:paraId="2A3140F8" w14:textId="73906AB6" w:rsidR="00EF1BBC" w:rsidRDefault="00EF1BBC" w:rsidP="007202EB">
      <w:pPr>
        <w:rPr>
          <w:sz w:val="22"/>
        </w:rPr>
      </w:pPr>
    </w:p>
    <w:p w14:paraId="065AC0E8" w14:textId="6ED38C87" w:rsidR="00EF1BBC" w:rsidRDefault="00EF1BBC" w:rsidP="007202EB">
      <w:pPr>
        <w:rPr>
          <w:b/>
          <w:sz w:val="24"/>
          <w:u w:val="single"/>
        </w:rPr>
      </w:pPr>
      <w:r w:rsidRPr="00EF1BBC">
        <w:rPr>
          <w:b/>
          <w:sz w:val="24"/>
          <w:u w:val="single"/>
        </w:rPr>
        <w:lastRenderedPageBreak/>
        <w:t>Bibliography:</w:t>
      </w:r>
    </w:p>
    <w:p w14:paraId="44C31BAB" w14:textId="1C134C54" w:rsidR="00EF1BBC" w:rsidRDefault="00EF1BBC" w:rsidP="007202EB">
      <w:pPr>
        <w:rPr>
          <w:b/>
          <w:sz w:val="24"/>
          <w:u w:val="single"/>
        </w:rPr>
      </w:pPr>
    </w:p>
    <w:p w14:paraId="2B63E159" w14:textId="0046B991" w:rsidR="00EF1BBC" w:rsidRDefault="00EF1BBC" w:rsidP="007202EB">
      <w:pPr>
        <w:rPr>
          <w:b/>
          <w:sz w:val="24"/>
          <w:u w:val="single"/>
        </w:rPr>
      </w:pPr>
      <w:r>
        <w:rPr>
          <w:b/>
          <w:sz w:val="24"/>
          <w:u w:val="single"/>
        </w:rPr>
        <w:t>Ancient sources:</w:t>
      </w:r>
    </w:p>
    <w:p w14:paraId="3449A9C0" w14:textId="16938658" w:rsidR="00EF1BBC" w:rsidRPr="00EF1BBC" w:rsidRDefault="00EF1BBC" w:rsidP="007202EB">
      <w:pPr>
        <w:rPr>
          <w:b/>
          <w:sz w:val="28"/>
          <w:u w:val="single"/>
        </w:rPr>
      </w:pPr>
    </w:p>
    <w:p w14:paraId="5DF80C0A" w14:textId="77777777" w:rsidR="00EF1BBC" w:rsidRPr="00EF1BBC" w:rsidRDefault="00EF1BBC" w:rsidP="00EF1BBC">
      <w:pPr>
        <w:spacing w:line="480" w:lineRule="auto"/>
        <w:rPr>
          <w:sz w:val="22"/>
        </w:rPr>
      </w:pPr>
      <w:r w:rsidRPr="00EF1BBC">
        <w:rPr>
          <w:sz w:val="22"/>
        </w:rPr>
        <w:t xml:space="preserve">Aulus Gellius. </w:t>
      </w:r>
      <w:r w:rsidRPr="00EF1BBC">
        <w:rPr>
          <w:i/>
          <w:sz w:val="22"/>
        </w:rPr>
        <w:t xml:space="preserve">Attic Nights, Volume III. </w:t>
      </w:r>
      <w:r w:rsidRPr="00EF1BBC">
        <w:rPr>
          <w:sz w:val="22"/>
        </w:rPr>
        <w:t>J.C. Rolfe (</w:t>
      </w:r>
      <w:proofErr w:type="gramStart"/>
      <w:r w:rsidRPr="00EF1BBC">
        <w:rPr>
          <w:sz w:val="22"/>
        </w:rPr>
        <w:t>trans</w:t>
      </w:r>
      <w:proofErr w:type="gramEnd"/>
      <w:r w:rsidRPr="00EF1BBC">
        <w:rPr>
          <w:sz w:val="22"/>
        </w:rPr>
        <w:t>.). 1927. Loeb Classical Library 212. Cambridge: Harvard University Press.</w:t>
      </w:r>
    </w:p>
    <w:p w14:paraId="0FA3C123" w14:textId="0FF2D4CC" w:rsidR="00EF1BBC" w:rsidRPr="00EF1BBC" w:rsidRDefault="00EF1BBC" w:rsidP="00EF1BBC">
      <w:pPr>
        <w:spacing w:line="480" w:lineRule="auto"/>
        <w:rPr>
          <w:sz w:val="22"/>
        </w:rPr>
      </w:pPr>
      <w:r w:rsidRPr="00EF1BBC">
        <w:rPr>
          <w:sz w:val="22"/>
        </w:rPr>
        <w:t xml:space="preserve">Diodorus Siculus. </w:t>
      </w:r>
      <w:r w:rsidRPr="00EF1BBC">
        <w:rPr>
          <w:i/>
          <w:sz w:val="22"/>
        </w:rPr>
        <w:t xml:space="preserve">Diodorus of Sicily in twelve volumes. </w:t>
      </w:r>
      <w:r w:rsidRPr="00EF1BBC">
        <w:rPr>
          <w:sz w:val="22"/>
        </w:rPr>
        <w:t>C.H. Oldfather (</w:t>
      </w:r>
      <w:proofErr w:type="gramStart"/>
      <w:r w:rsidRPr="00EF1BBC">
        <w:rPr>
          <w:sz w:val="22"/>
        </w:rPr>
        <w:t>trans</w:t>
      </w:r>
      <w:proofErr w:type="gramEnd"/>
      <w:r w:rsidRPr="00EF1BBC">
        <w:rPr>
          <w:sz w:val="22"/>
        </w:rPr>
        <w:t>.). 1989. London: William Heinemann, Ltd.</w:t>
      </w:r>
    </w:p>
    <w:p w14:paraId="5075AB1D" w14:textId="71DA3E91" w:rsidR="00EF1BBC" w:rsidRPr="00EF1BBC" w:rsidRDefault="00EF1BBC" w:rsidP="00EF1BBC">
      <w:pPr>
        <w:spacing w:line="480" w:lineRule="auto"/>
        <w:rPr>
          <w:sz w:val="22"/>
        </w:rPr>
      </w:pPr>
      <w:r w:rsidRPr="00EF1BBC">
        <w:rPr>
          <w:sz w:val="22"/>
        </w:rPr>
        <w:t xml:space="preserve">Pliny the Elder. </w:t>
      </w:r>
      <w:r w:rsidRPr="00EF1BBC">
        <w:rPr>
          <w:i/>
          <w:sz w:val="22"/>
        </w:rPr>
        <w:t>Natural history</w:t>
      </w:r>
      <w:r w:rsidRPr="00EF1BBC">
        <w:rPr>
          <w:sz w:val="22"/>
        </w:rPr>
        <w:t>. J. Healey (</w:t>
      </w:r>
      <w:proofErr w:type="gramStart"/>
      <w:r w:rsidRPr="00EF1BBC">
        <w:rPr>
          <w:sz w:val="22"/>
        </w:rPr>
        <w:t>trans</w:t>
      </w:r>
      <w:proofErr w:type="gramEnd"/>
      <w:r w:rsidRPr="00EF1BBC">
        <w:rPr>
          <w:sz w:val="22"/>
        </w:rPr>
        <w:t>.). 1991. London: Penguin Classics.</w:t>
      </w:r>
    </w:p>
    <w:p w14:paraId="5C9F442C" w14:textId="650743CB" w:rsidR="00EF1BBC" w:rsidRDefault="00EF1BBC" w:rsidP="00EF1BBC">
      <w:pPr>
        <w:spacing w:line="480" w:lineRule="auto"/>
      </w:pPr>
    </w:p>
    <w:p w14:paraId="62C0AD98" w14:textId="42FEA52B" w:rsidR="00EF1BBC" w:rsidRDefault="00EF1BBC" w:rsidP="00EF1BBC">
      <w:pPr>
        <w:spacing w:line="480" w:lineRule="auto"/>
        <w:rPr>
          <w:b/>
          <w:sz w:val="24"/>
          <w:u w:val="single"/>
        </w:rPr>
      </w:pPr>
      <w:r w:rsidRPr="00EF1BBC">
        <w:rPr>
          <w:b/>
          <w:sz w:val="24"/>
          <w:u w:val="single"/>
        </w:rPr>
        <w:t>Modern sources:</w:t>
      </w:r>
    </w:p>
    <w:p w14:paraId="095B2F2E" w14:textId="15215833" w:rsidR="00EF1BBC" w:rsidRDefault="00EF1BBC" w:rsidP="00EF1BBC">
      <w:pPr>
        <w:spacing w:line="480" w:lineRule="auto"/>
        <w:rPr>
          <w:sz w:val="22"/>
        </w:rPr>
      </w:pPr>
      <w:r w:rsidRPr="00EF1BBC">
        <w:rPr>
          <w:sz w:val="22"/>
        </w:rPr>
        <w:t xml:space="preserve">Billows, R.A.  1997. </w:t>
      </w:r>
      <w:proofErr w:type="spellStart"/>
      <w:r w:rsidRPr="00EF1BBC">
        <w:rPr>
          <w:i/>
          <w:sz w:val="22"/>
        </w:rPr>
        <w:t>Antigonos</w:t>
      </w:r>
      <w:proofErr w:type="spellEnd"/>
      <w:r w:rsidRPr="00EF1BBC">
        <w:rPr>
          <w:i/>
          <w:sz w:val="22"/>
        </w:rPr>
        <w:t xml:space="preserve"> the One-Eyed and the creation of the Hellenistic State. </w:t>
      </w:r>
      <w:r w:rsidRPr="00EF1BBC">
        <w:rPr>
          <w:sz w:val="22"/>
        </w:rPr>
        <w:t>London: University of California Press, Ltd.</w:t>
      </w:r>
    </w:p>
    <w:p w14:paraId="571D742A" w14:textId="77777777" w:rsidR="00EF1BBC" w:rsidRPr="00EF1BBC" w:rsidRDefault="00EF1BBC" w:rsidP="00EF1BBC">
      <w:pPr>
        <w:spacing w:line="480" w:lineRule="auto"/>
        <w:rPr>
          <w:sz w:val="22"/>
        </w:rPr>
      </w:pPr>
      <w:r w:rsidRPr="00EF1BBC">
        <w:rPr>
          <w:sz w:val="22"/>
        </w:rPr>
        <w:t xml:space="preserve">Roisman, J. 2013. </w:t>
      </w:r>
      <w:r w:rsidRPr="00EF1BBC">
        <w:rPr>
          <w:i/>
          <w:sz w:val="22"/>
        </w:rPr>
        <w:t xml:space="preserve">Alexander’s veterans and the early wars of the successors. </w:t>
      </w:r>
      <w:r w:rsidRPr="00EF1BBC">
        <w:rPr>
          <w:sz w:val="22"/>
        </w:rPr>
        <w:t>Texas: University of Texas Press.</w:t>
      </w:r>
    </w:p>
    <w:p w14:paraId="3B41671C" w14:textId="77777777" w:rsidR="00EF1BBC" w:rsidRPr="00EF1BBC" w:rsidRDefault="00EF1BBC" w:rsidP="00EF1BBC">
      <w:pPr>
        <w:spacing w:line="480" w:lineRule="auto"/>
        <w:rPr>
          <w:sz w:val="22"/>
        </w:rPr>
      </w:pPr>
    </w:p>
    <w:p w14:paraId="3E133737" w14:textId="77777777" w:rsidR="00EF1BBC" w:rsidRPr="00EF1BBC" w:rsidRDefault="00EF1BBC" w:rsidP="00EF1BBC">
      <w:pPr>
        <w:spacing w:line="480" w:lineRule="auto"/>
        <w:rPr>
          <w:sz w:val="22"/>
        </w:rPr>
      </w:pPr>
    </w:p>
    <w:p w14:paraId="5BF13B1D" w14:textId="77777777" w:rsidR="00EF1BBC" w:rsidRDefault="00EF1BBC" w:rsidP="00EF1BBC">
      <w:pPr>
        <w:spacing w:line="480" w:lineRule="auto"/>
      </w:pPr>
    </w:p>
    <w:p w14:paraId="3495A4ED" w14:textId="77777777" w:rsidR="00EF1BBC" w:rsidRPr="00EF1BBC" w:rsidRDefault="00EF1BBC" w:rsidP="007202EB">
      <w:pPr>
        <w:rPr>
          <w:b/>
          <w:sz w:val="24"/>
          <w:u w:val="single"/>
        </w:rPr>
      </w:pPr>
    </w:p>
    <w:p w14:paraId="3E2BA37F" w14:textId="77777777" w:rsidR="002A7069" w:rsidRDefault="002A7069" w:rsidP="007202EB">
      <w:pPr>
        <w:rPr>
          <w:sz w:val="22"/>
        </w:rPr>
      </w:pPr>
    </w:p>
    <w:p w14:paraId="2B2C2305" w14:textId="77777777" w:rsidR="008E77E6" w:rsidRPr="007202EB" w:rsidRDefault="008E77E6" w:rsidP="007202EB">
      <w:pPr>
        <w:rPr>
          <w:sz w:val="22"/>
        </w:rPr>
      </w:pPr>
    </w:p>
    <w:p w14:paraId="57482F29" w14:textId="77777777" w:rsidR="007202EB" w:rsidRDefault="007202EB"/>
    <w:p w14:paraId="07462884" w14:textId="77777777" w:rsidR="007202EB" w:rsidRDefault="007202EB"/>
    <w:sectPr w:rsidR="007202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BF6E32" w14:textId="77777777" w:rsidR="005C2AD3" w:rsidRDefault="005C2AD3" w:rsidP="00A31AF2">
      <w:r>
        <w:separator/>
      </w:r>
    </w:p>
  </w:endnote>
  <w:endnote w:type="continuationSeparator" w:id="0">
    <w:p w14:paraId="53CFB6F6" w14:textId="77777777" w:rsidR="005C2AD3" w:rsidRDefault="005C2AD3" w:rsidP="00A31A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2B2D5B" w14:textId="77777777" w:rsidR="005C2AD3" w:rsidRDefault="005C2AD3" w:rsidP="00A31AF2">
      <w:r>
        <w:separator/>
      </w:r>
    </w:p>
  </w:footnote>
  <w:footnote w:type="continuationSeparator" w:id="0">
    <w:p w14:paraId="7F63B28E" w14:textId="77777777" w:rsidR="005C2AD3" w:rsidRDefault="005C2AD3" w:rsidP="00A31AF2">
      <w:r>
        <w:continuationSeparator/>
      </w:r>
    </w:p>
  </w:footnote>
  <w:footnote w:id="1">
    <w:p w14:paraId="6ED93F7A" w14:textId="77777777" w:rsidR="00A31AF2" w:rsidRDefault="00A31AF2">
      <w:pPr>
        <w:pStyle w:val="FootnoteText"/>
      </w:pPr>
      <w:r>
        <w:rPr>
          <w:rStyle w:val="FootnoteReference"/>
        </w:rPr>
        <w:footnoteRef/>
      </w:r>
      <w:r>
        <w:t xml:space="preserve"> </w:t>
      </w:r>
      <w:r w:rsidR="008765FE">
        <w:t>Billows, R.A. 1997:1.</w:t>
      </w:r>
    </w:p>
  </w:footnote>
  <w:footnote w:id="2">
    <w:p w14:paraId="1F652FB9" w14:textId="77777777" w:rsidR="00D96E63" w:rsidRDefault="00D96E63">
      <w:pPr>
        <w:pStyle w:val="FootnoteText"/>
      </w:pPr>
      <w:r>
        <w:rPr>
          <w:rStyle w:val="FootnoteReference"/>
        </w:rPr>
        <w:footnoteRef/>
      </w:r>
      <w:r>
        <w:t xml:space="preserve"> Diod. 18.3.1.</w:t>
      </w:r>
    </w:p>
  </w:footnote>
  <w:footnote w:id="3">
    <w:p w14:paraId="05D13473" w14:textId="7C4F50E8" w:rsidR="00920400" w:rsidRDefault="00920400">
      <w:pPr>
        <w:pStyle w:val="FootnoteText"/>
      </w:pPr>
      <w:r>
        <w:rPr>
          <w:rStyle w:val="FootnoteReference"/>
        </w:rPr>
        <w:footnoteRef/>
      </w:r>
      <w:r>
        <w:t xml:space="preserve"> Diod. 17.117.1.</w:t>
      </w:r>
    </w:p>
  </w:footnote>
  <w:footnote w:id="4">
    <w:p w14:paraId="2098DDD7" w14:textId="17D3A90F" w:rsidR="006542D8" w:rsidRDefault="006542D8">
      <w:pPr>
        <w:pStyle w:val="FootnoteText"/>
      </w:pPr>
      <w:r>
        <w:rPr>
          <w:rStyle w:val="FootnoteReference"/>
        </w:rPr>
        <w:footnoteRef/>
      </w:r>
      <w:r>
        <w:t xml:space="preserve"> Diod. 18.29.4.</w:t>
      </w:r>
    </w:p>
  </w:footnote>
  <w:footnote w:id="5">
    <w:p w14:paraId="515935A7" w14:textId="552B78F0" w:rsidR="006542D8" w:rsidRDefault="006542D8">
      <w:pPr>
        <w:pStyle w:val="FootnoteText"/>
      </w:pPr>
      <w:r>
        <w:rPr>
          <w:rStyle w:val="FootnoteReference"/>
        </w:rPr>
        <w:footnoteRef/>
      </w:r>
      <w:r>
        <w:t xml:space="preserve"> Diod. 17.</w:t>
      </w:r>
      <w:r w:rsidR="001300F0">
        <w:t>14.1.</w:t>
      </w:r>
    </w:p>
  </w:footnote>
  <w:footnote w:id="6">
    <w:p w14:paraId="1AF1B24D" w14:textId="67BD9E07" w:rsidR="003C3CE7" w:rsidRDefault="003C3CE7">
      <w:pPr>
        <w:pStyle w:val="FootnoteText"/>
      </w:pPr>
      <w:r>
        <w:rPr>
          <w:rStyle w:val="FootnoteReference"/>
        </w:rPr>
        <w:footnoteRef/>
      </w:r>
      <w:r>
        <w:t xml:space="preserve"> Roisman, J. 2013:220.</w:t>
      </w:r>
    </w:p>
  </w:footnote>
  <w:footnote w:id="7">
    <w:p w14:paraId="0704C0D8" w14:textId="60694771" w:rsidR="003555F8" w:rsidRDefault="003555F8">
      <w:pPr>
        <w:pStyle w:val="FootnoteText"/>
      </w:pPr>
      <w:r>
        <w:rPr>
          <w:rStyle w:val="FootnoteReference"/>
        </w:rPr>
        <w:footnoteRef/>
      </w:r>
      <w:r>
        <w:t xml:space="preserve"> Pliny. </w:t>
      </w:r>
      <w:r>
        <w:rPr>
          <w:i/>
        </w:rPr>
        <w:t>Natural history.</w:t>
      </w:r>
      <w:r>
        <w:t xml:space="preserve"> XXIX.25; Aulus Gellius. </w:t>
      </w:r>
      <w:r>
        <w:rPr>
          <w:i/>
        </w:rPr>
        <w:t>Attic nights</w:t>
      </w:r>
      <w:r>
        <w:t xml:space="preserve">. XVII.16; Pliny. </w:t>
      </w:r>
      <w:r>
        <w:rPr>
          <w:i/>
        </w:rPr>
        <w:t xml:space="preserve">Natural history. </w:t>
      </w:r>
      <w:r>
        <w:t>XXV. 6-7.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02EB"/>
    <w:rsid w:val="000D5965"/>
    <w:rsid w:val="001300F0"/>
    <w:rsid w:val="00167873"/>
    <w:rsid w:val="002A7069"/>
    <w:rsid w:val="003555F8"/>
    <w:rsid w:val="003664C1"/>
    <w:rsid w:val="003C3CE7"/>
    <w:rsid w:val="004619CD"/>
    <w:rsid w:val="00471EA6"/>
    <w:rsid w:val="004C7C8B"/>
    <w:rsid w:val="005C2AD3"/>
    <w:rsid w:val="006542D8"/>
    <w:rsid w:val="006728D6"/>
    <w:rsid w:val="007202EB"/>
    <w:rsid w:val="00722A75"/>
    <w:rsid w:val="00725662"/>
    <w:rsid w:val="00864A4A"/>
    <w:rsid w:val="008765FE"/>
    <w:rsid w:val="008E6DA7"/>
    <w:rsid w:val="008E77E6"/>
    <w:rsid w:val="00920400"/>
    <w:rsid w:val="009974DC"/>
    <w:rsid w:val="009C7D7A"/>
    <w:rsid w:val="00A31AF2"/>
    <w:rsid w:val="00A45E6F"/>
    <w:rsid w:val="00B401A4"/>
    <w:rsid w:val="00B806FD"/>
    <w:rsid w:val="00BA44BF"/>
    <w:rsid w:val="00BF19EE"/>
    <w:rsid w:val="00D96E63"/>
    <w:rsid w:val="00EF1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1BA76"/>
  <w15:chartTrackingRefBased/>
  <w15:docId w15:val="{9C1084E1-FF67-4682-9802-1DE548E2D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02E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31AF2"/>
  </w:style>
  <w:style w:type="character" w:customStyle="1" w:styleId="FootnoteTextChar">
    <w:name w:val="Footnote Text Char"/>
    <w:basedOn w:val="DefaultParagraphFont"/>
    <w:link w:val="FootnoteText"/>
    <w:uiPriority w:val="99"/>
    <w:semiHidden/>
    <w:rsid w:val="00A31AF2"/>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31AF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01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020CF-9C66-4C1F-BD5F-1472233C0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472</Words>
  <Characters>2694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dc:creator>
  <cp:keywords/>
  <dc:description/>
  <cp:lastModifiedBy>James Mills (1500425)</cp:lastModifiedBy>
  <cp:revision>2</cp:revision>
  <dcterms:created xsi:type="dcterms:W3CDTF">2018-11-16T19:06:00Z</dcterms:created>
  <dcterms:modified xsi:type="dcterms:W3CDTF">2018-11-16T19:06:00Z</dcterms:modified>
</cp:coreProperties>
</file>