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horzAnchor="margin" w:tblpXSpec="center" w:tblpY="430"/>
        <w:tblW w:w="99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6"/>
        <w:gridCol w:w="3294"/>
        <w:gridCol w:w="2268"/>
        <w:gridCol w:w="2269"/>
      </w:tblGrid>
      <w:tr w:rsidR="009A4BB3" w14:paraId="6B9BC1F1" w14:textId="77777777" w:rsidTr="009A4BB3">
        <w:trPr>
          <w:trHeight w:val="530"/>
        </w:trPr>
        <w:tc>
          <w:tcPr>
            <w:tcW w:w="2096" w:type="dxa"/>
            <w:shd w:val="clear" w:color="auto" w:fill="D9D9D9"/>
          </w:tcPr>
          <w:p w14:paraId="05708DDC" w14:textId="77777777" w:rsidR="009A4BB3" w:rsidRDefault="009A4BB3" w:rsidP="009A4BB3">
            <w:pPr>
              <w:pStyle w:val="TableParagraph"/>
              <w:spacing w:before="120"/>
              <w:ind w:left="107"/>
              <w:rPr>
                <w:rFonts w:ascii="Arial"/>
                <w:b/>
              </w:rPr>
            </w:pPr>
            <w:r>
              <w:rPr>
                <w:rFonts w:ascii="Arial"/>
                <w:b/>
              </w:rPr>
              <w:t>Student</w:t>
            </w:r>
            <w:r>
              <w:rPr>
                <w:rFonts w:ascii="Arial"/>
                <w:b/>
                <w:spacing w:val="-3"/>
              </w:rPr>
              <w:t xml:space="preserve"> </w:t>
            </w:r>
            <w:r>
              <w:rPr>
                <w:rFonts w:ascii="Arial"/>
                <w:b/>
                <w:spacing w:val="-2"/>
              </w:rPr>
              <w:t>name:</w:t>
            </w:r>
          </w:p>
        </w:tc>
        <w:tc>
          <w:tcPr>
            <w:tcW w:w="3294" w:type="dxa"/>
          </w:tcPr>
          <w:p w14:paraId="49FED2CA" w14:textId="5EAA7AB7" w:rsidR="009A4BB3" w:rsidRDefault="00625BEB" w:rsidP="00625BEB">
            <w:pPr>
              <w:pStyle w:val="TableParagraph"/>
              <w:spacing w:line="276" w:lineRule="auto"/>
              <w:jc w:val="center"/>
              <w:rPr>
                <w:rFonts w:ascii="Times New Roman"/>
              </w:rPr>
            </w:pPr>
            <w:r>
              <w:rPr>
                <w:rFonts w:ascii="Times New Roman"/>
              </w:rPr>
              <w:t xml:space="preserve">Sorin </w:t>
            </w:r>
            <w:proofErr w:type="spellStart"/>
            <w:r>
              <w:rPr>
                <w:rFonts w:ascii="Times New Roman"/>
              </w:rPr>
              <w:t>Ciprian</w:t>
            </w:r>
            <w:proofErr w:type="spellEnd"/>
            <w:r>
              <w:rPr>
                <w:rFonts w:ascii="Times New Roman"/>
              </w:rPr>
              <w:t xml:space="preserve"> </w:t>
            </w:r>
            <w:proofErr w:type="spellStart"/>
            <w:r>
              <w:rPr>
                <w:rFonts w:ascii="Times New Roman"/>
              </w:rPr>
              <w:t>Chelm</w:t>
            </w:r>
            <w:proofErr w:type="spellEnd"/>
          </w:p>
        </w:tc>
        <w:tc>
          <w:tcPr>
            <w:tcW w:w="2268" w:type="dxa"/>
            <w:shd w:val="clear" w:color="auto" w:fill="D9D9D9"/>
          </w:tcPr>
          <w:p w14:paraId="4FE96D1E" w14:textId="77777777" w:rsidR="009A4BB3" w:rsidRDefault="009A4BB3" w:rsidP="009A4BB3">
            <w:pPr>
              <w:pStyle w:val="TableParagraph"/>
              <w:spacing w:before="120"/>
              <w:ind w:left="107"/>
              <w:rPr>
                <w:rFonts w:ascii="Arial"/>
                <w:b/>
              </w:rPr>
            </w:pPr>
            <w:r>
              <w:rPr>
                <w:rFonts w:ascii="Arial"/>
                <w:b/>
              </w:rPr>
              <w:t>Student</w:t>
            </w:r>
            <w:r>
              <w:rPr>
                <w:rFonts w:ascii="Arial"/>
                <w:b/>
                <w:spacing w:val="-3"/>
              </w:rPr>
              <w:t xml:space="preserve"> </w:t>
            </w:r>
            <w:r>
              <w:rPr>
                <w:rFonts w:ascii="Arial"/>
                <w:b/>
              </w:rPr>
              <w:t>ID</w:t>
            </w:r>
            <w:r>
              <w:rPr>
                <w:rFonts w:ascii="Arial"/>
                <w:b/>
                <w:spacing w:val="-2"/>
              </w:rPr>
              <w:t xml:space="preserve"> number:</w:t>
            </w:r>
          </w:p>
        </w:tc>
        <w:tc>
          <w:tcPr>
            <w:tcW w:w="2269" w:type="dxa"/>
          </w:tcPr>
          <w:p w14:paraId="490BFAA7" w14:textId="16F6EE9C" w:rsidR="009A4BB3" w:rsidRDefault="00625BEB" w:rsidP="00625BEB">
            <w:pPr>
              <w:pStyle w:val="TableParagraph"/>
              <w:jc w:val="center"/>
              <w:rPr>
                <w:rFonts w:ascii="Times New Roman"/>
              </w:rPr>
            </w:pPr>
            <w:r>
              <w:rPr>
                <w:rFonts w:ascii="Times New Roman"/>
              </w:rPr>
              <w:t>2125245</w:t>
            </w:r>
          </w:p>
        </w:tc>
      </w:tr>
      <w:tr w:rsidR="009A4BB3" w14:paraId="743BD1E8" w14:textId="77777777" w:rsidTr="009A4BB3">
        <w:trPr>
          <w:trHeight w:val="530"/>
        </w:trPr>
        <w:tc>
          <w:tcPr>
            <w:tcW w:w="2096" w:type="dxa"/>
            <w:shd w:val="clear" w:color="auto" w:fill="D9D9D9"/>
          </w:tcPr>
          <w:p w14:paraId="516C1C42" w14:textId="77777777" w:rsidR="009A4BB3" w:rsidRDefault="009A4BB3" w:rsidP="009A4BB3">
            <w:pPr>
              <w:pStyle w:val="TableParagraph"/>
              <w:spacing w:before="120"/>
              <w:ind w:left="107"/>
              <w:rPr>
                <w:rFonts w:ascii="Arial"/>
                <w:b/>
              </w:rPr>
            </w:pPr>
            <w:proofErr w:type="spellStart"/>
            <w:r>
              <w:rPr>
                <w:rFonts w:ascii="Arial"/>
                <w:b/>
                <w:spacing w:val="-2"/>
              </w:rPr>
              <w:t>Programme</w:t>
            </w:r>
            <w:proofErr w:type="spellEnd"/>
            <w:r>
              <w:rPr>
                <w:rFonts w:ascii="Arial"/>
                <w:b/>
                <w:spacing w:val="-2"/>
              </w:rPr>
              <w:t>:</w:t>
            </w:r>
          </w:p>
        </w:tc>
        <w:tc>
          <w:tcPr>
            <w:tcW w:w="7831" w:type="dxa"/>
            <w:gridSpan w:val="3"/>
          </w:tcPr>
          <w:p w14:paraId="3B84E46C" w14:textId="77777777" w:rsidR="009A4BB3" w:rsidRDefault="009A4BB3" w:rsidP="009A4BB3">
            <w:pPr>
              <w:pStyle w:val="TableParagraph"/>
              <w:spacing w:before="120"/>
              <w:ind w:left="105"/>
              <w:rPr>
                <w:rFonts w:ascii="Arial"/>
                <w:b/>
              </w:rPr>
            </w:pPr>
            <w:r>
              <w:rPr>
                <w:rFonts w:ascii="Arial"/>
                <w:b/>
              </w:rPr>
              <w:t>BA</w:t>
            </w:r>
            <w:r>
              <w:rPr>
                <w:rFonts w:ascii="Arial"/>
                <w:b/>
                <w:spacing w:val="-7"/>
              </w:rPr>
              <w:t xml:space="preserve"> </w:t>
            </w:r>
            <w:r>
              <w:rPr>
                <w:rFonts w:ascii="Arial"/>
                <w:b/>
              </w:rPr>
              <w:t>(Hons)</w:t>
            </w:r>
            <w:r>
              <w:rPr>
                <w:rFonts w:ascii="Arial"/>
                <w:b/>
                <w:spacing w:val="-6"/>
              </w:rPr>
              <w:t xml:space="preserve"> </w:t>
            </w:r>
            <w:r>
              <w:rPr>
                <w:rFonts w:ascii="Arial"/>
                <w:b/>
              </w:rPr>
              <w:t>International</w:t>
            </w:r>
            <w:r>
              <w:rPr>
                <w:rFonts w:ascii="Arial"/>
                <w:b/>
                <w:spacing w:val="-4"/>
              </w:rPr>
              <w:t xml:space="preserve"> </w:t>
            </w:r>
            <w:r>
              <w:rPr>
                <w:rFonts w:ascii="Arial"/>
                <w:b/>
              </w:rPr>
              <w:t>Hotel</w:t>
            </w:r>
            <w:r>
              <w:rPr>
                <w:rFonts w:ascii="Arial"/>
                <w:b/>
                <w:spacing w:val="-7"/>
              </w:rPr>
              <w:t xml:space="preserve"> </w:t>
            </w:r>
            <w:r>
              <w:rPr>
                <w:rFonts w:ascii="Arial"/>
                <w:b/>
                <w:spacing w:val="-2"/>
              </w:rPr>
              <w:t>Management</w:t>
            </w:r>
          </w:p>
        </w:tc>
      </w:tr>
      <w:tr w:rsidR="009A4BB3" w14:paraId="0F5096A2" w14:textId="77777777" w:rsidTr="009A4BB3">
        <w:trPr>
          <w:trHeight w:val="532"/>
        </w:trPr>
        <w:tc>
          <w:tcPr>
            <w:tcW w:w="2096" w:type="dxa"/>
            <w:shd w:val="clear" w:color="auto" w:fill="D9D9D9"/>
          </w:tcPr>
          <w:p w14:paraId="35F0A6D8" w14:textId="77777777" w:rsidR="009A4BB3" w:rsidRDefault="009A4BB3" w:rsidP="009A4BB3">
            <w:pPr>
              <w:pStyle w:val="TableParagraph"/>
              <w:spacing w:before="122"/>
              <w:ind w:left="107"/>
              <w:rPr>
                <w:rFonts w:ascii="Arial"/>
                <w:b/>
              </w:rPr>
            </w:pPr>
            <w:r>
              <w:rPr>
                <w:rFonts w:ascii="Arial"/>
                <w:b/>
                <w:spacing w:val="-2"/>
              </w:rPr>
              <w:t>Module:</w:t>
            </w:r>
          </w:p>
        </w:tc>
        <w:tc>
          <w:tcPr>
            <w:tcW w:w="7831" w:type="dxa"/>
            <w:gridSpan w:val="3"/>
          </w:tcPr>
          <w:p w14:paraId="6C3D8628" w14:textId="15BF90BF" w:rsidR="009A4BB3" w:rsidRDefault="00625BEB" w:rsidP="009A4BB3">
            <w:pPr>
              <w:pStyle w:val="TableParagraph"/>
              <w:rPr>
                <w:rFonts w:ascii="Times New Roman"/>
              </w:rPr>
            </w:pPr>
            <w:r>
              <w:rPr>
                <w:rFonts w:ascii="Times New Roman"/>
              </w:rPr>
              <w:t>Sustainable Hospitality &amp; Tourism Management</w:t>
            </w:r>
          </w:p>
        </w:tc>
      </w:tr>
      <w:tr w:rsidR="009A4BB3" w14:paraId="7FD6D5A6" w14:textId="77777777" w:rsidTr="009A4BB3">
        <w:trPr>
          <w:trHeight w:val="1173"/>
        </w:trPr>
        <w:tc>
          <w:tcPr>
            <w:tcW w:w="2096" w:type="dxa"/>
            <w:shd w:val="clear" w:color="auto" w:fill="D9D9D9"/>
          </w:tcPr>
          <w:p w14:paraId="21AF801F" w14:textId="77777777" w:rsidR="009A4BB3" w:rsidRDefault="009A4BB3" w:rsidP="009A4BB3">
            <w:pPr>
              <w:pStyle w:val="TableParagraph"/>
              <w:spacing w:before="120"/>
              <w:ind w:left="107"/>
              <w:rPr>
                <w:rFonts w:ascii="Arial"/>
                <w:b/>
              </w:rPr>
            </w:pPr>
            <w:r>
              <w:rPr>
                <w:rFonts w:ascii="Arial"/>
                <w:b/>
              </w:rPr>
              <w:t>Module</w:t>
            </w:r>
            <w:r>
              <w:rPr>
                <w:rFonts w:ascii="Arial"/>
                <w:b/>
                <w:spacing w:val="-8"/>
              </w:rPr>
              <w:t xml:space="preserve"> </w:t>
            </w:r>
            <w:r>
              <w:rPr>
                <w:rFonts w:ascii="Arial"/>
                <w:b/>
                <w:spacing w:val="-2"/>
              </w:rPr>
              <w:t>code:</w:t>
            </w:r>
          </w:p>
        </w:tc>
        <w:tc>
          <w:tcPr>
            <w:tcW w:w="3294" w:type="dxa"/>
          </w:tcPr>
          <w:p w14:paraId="64D2F2BC" w14:textId="77777777" w:rsidR="009A4BB3" w:rsidRDefault="009A4BB3" w:rsidP="009A4BB3">
            <w:pPr>
              <w:pStyle w:val="TableParagraph"/>
              <w:spacing w:before="120"/>
              <w:ind w:left="105"/>
              <w:rPr>
                <w:rFonts w:ascii="Arial"/>
                <w:b/>
              </w:rPr>
            </w:pPr>
            <w:r>
              <w:rPr>
                <w:rFonts w:ascii="Arial"/>
                <w:b/>
                <w:spacing w:val="-2"/>
              </w:rPr>
              <w:t>BMIH5006</w:t>
            </w:r>
          </w:p>
        </w:tc>
        <w:tc>
          <w:tcPr>
            <w:tcW w:w="2268" w:type="dxa"/>
            <w:shd w:val="clear" w:color="auto" w:fill="D9D9D9"/>
          </w:tcPr>
          <w:p w14:paraId="0BB70F76" w14:textId="77777777" w:rsidR="009A4BB3" w:rsidRDefault="009A4BB3" w:rsidP="009A4BB3">
            <w:pPr>
              <w:pStyle w:val="TableParagraph"/>
              <w:spacing w:before="240" w:line="276" w:lineRule="auto"/>
              <w:ind w:left="107"/>
              <w:rPr>
                <w:rFonts w:ascii="Arial"/>
                <w:b/>
                <w:i/>
              </w:rPr>
            </w:pPr>
            <w:r>
              <w:rPr>
                <w:rFonts w:ascii="Arial"/>
                <w:b/>
                <w:i/>
              </w:rPr>
              <w:t>Contribution to Overall Module Assessment</w:t>
            </w:r>
            <w:r>
              <w:rPr>
                <w:rFonts w:ascii="Arial"/>
                <w:b/>
                <w:i/>
                <w:spacing w:val="-16"/>
              </w:rPr>
              <w:t xml:space="preserve"> </w:t>
            </w:r>
            <w:r>
              <w:rPr>
                <w:rFonts w:ascii="Arial"/>
                <w:b/>
                <w:i/>
              </w:rPr>
              <w:t>(%):</w:t>
            </w:r>
          </w:p>
        </w:tc>
        <w:tc>
          <w:tcPr>
            <w:tcW w:w="2269" w:type="dxa"/>
          </w:tcPr>
          <w:p w14:paraId="08D8CA55" w14:textId="77777777" w:rsidR="009A4BB3" w:rsidRDefault="009A4BB3" w:rsidP="009A4BB3">
            <w:pPr>
              <w:pStyle w:val="TableParagraph"/>
              <w:spacing w:before="120"/>
              <w:ind w:left="107"/>
              <w:rPr>
                <w:rFonts w:ascii="Arial"/>
                <w:b/>
              </w:rPr>
            </w:pPr>
            <w:r>
              <w:rPr>
                <w:rFonts w:ascii="Arial"/>
                <w:b/>
                <w:spacing w:val="-5"/>
              </w:rPr>
              <w:t>50%</w:t>
            </w:r>
          </w:p>
        </w:tc>
      </w:tr>
      <w:tr w:rsidR="009A4BB3" w14:paraId="2663F2E9" w14:textId="77777777" w:rsidTr="009A4BB3">
        <w:trPr>
          <w:trHeight w:val="940"/>
        </w:trPr>
        <w:tc>
          <w:tcPr>
            <w:tcW w:w="2096" w:type="dxa"/>
            <w:shd w:val="clear" w:color="auto" w:fill="D9D9D9"/>
          </w:tcPr>
          <w:p w14:paraId="6FCF390A" w14:textId="77777777" w:rsidR="009A4BB3" w:rsidRDefault="009A4BB3" w:rsidP="009A4BB3">
            <w:pPr>
              <w:pStyle w:val="TableParagraph"/>
              <w:spacing w:before="120"/>
              <w:ind w:left="107"/>
              <w:rPr>
                <w:rFonts w:ascii="Arial"/>
                <w:b/>
              </w:rPr>
            </w:pPr>
            <w:r>
              <w:rPr>
                <w:rFonts w:ascii="Arial"/>
                <w:b/>
                <w:spacing w:val="-2"/>
              </w:rPr>
              <w:t>Lecturer:</w:t>
            </w:r>
          </w:p>
        </w:tc>
        <w:tc>
          <w:tcPr>
            <w:tcW w:w="3294" w:type="dxa"/>
          </w:tcPr>
          <w:p w14:paraId="7BCC18A9" w14:textId="77777777" w:rsidR="009A4BB3" w:rsidRDefault="009A4BB3" w:rsidP="009A4BB3">
            <w:pPr>
              <w:pStyle w:val="TableParagraph"/>
              <w:spacing w:before="120"/>
              <w:ind w:left="105"/>
              <w:rPr>
                <w:rFonts w:ascii="Arial"/>
                <w:b/>
              </w:rPr>
            </w:pPr>
            <w:r>
              <w:rPr>
                <w:rFonts w:ascii="Arial"/>
                <w:b/>
              </w:rPr>
              <w:t>Kathryn</w:t>
            </w:r>
            <w:r>
              <w:rPr>
                <w:rFonts w:ascii="Arial"/>
                <w:b/>
                <w:spacing w:val="-2"/>
              </w:rPr>
              <w:t xml:space="preserve"> Roberts</w:t>
            </w:r>
          </w:p>
          <w:p w14:paraId="5FDAF81D" w14:textId="77777777" w:rsidR="009A4BB3" w:rsidRDefault="009A4BB3" w:rsidP="009A4BB3">
            <w:pPr>
              <w:pStyle w:val="TableParagraph"/>
              <w:spacing w:before="157"/>
              <w:ind w:left="105"/>
              <w:rPr>
                <w:rFonts w:ascii="Arial"/>
                <w:b/>
              </w:rPr>
            </w:pPr>
            <w:r>
              <w:rPr>
                <w:rFonts w:ascii="Arial"/>
                <w:b/>
              </w:rPr>
              <w:t>Dr</w:t>
            </w:r>
            <w:r>
              <w:rPr>
                <w:rFonts w:ascii="Arial"/>
                <w:b/>
                <w:spacing w:val="-2"/>
              </w:rPr>
              <w:t xml:space="preserve"> </w:t>
            </w:r>
            <w:r>
              <w:rPr>
                <w:rFonts w:ascii="Arial"/>
                <w:b/>
              </w:rPr>
              <w:t>Huw</w:t>
            </w:r>
            <w:r>
              <w:rPr>
                <w:rFonts w:ascii="Arial"/>
                <w:b/>
                <w:spacing w:val="-5"/>
              </w:rPr>
              <w:t xml:space="preserve"> </w:t>
            </w:r>
            <w:r>
              <w:rPr>
                <w:rFonts w:ascii="Arial"/>
                <w:b/>
                <w:spacing w:val="-2"/>
              </w:rPr>
              <w:t>Thomas</w:t>
            </w:r>
          </w:p>
        </w:tc>
        <w:tc>
          <w:tcPr>
            <w:tcW w:w="2268" w:type="dxa"/>
            <w:shd w:val="clear" w:color="auto" w:fill="D9D9D9"/>
          </w:tcPr>
          <w:p w14:paraId="6E6D5FF3" w14:textId="77777777" w:rsidR="009A4BB3" w:rsidRDefault="009A4BB3" w:rsidP="009A4BB3">
            <w:pPr>
              <w:pStyle w:val="TableParagraph"/>
              <w:spacing w:before="120"/>
              <w:ind w:left="107"/>
              <w:rPr>
                <w:rFonts w:ascii="Arial"/>
                <w:b/>
              </w:rPr>
            </w:pPr>
            <w:r>
              <w:rPr>
                <w:rFonts w:ascii="Arial"/>
                <w:b/>
              </w:rPr>
              <w:t>Internal</w:t>
            </w:r>
            <w:r>
              <w:rPr>
                <w:rFonts w:ascii="Arial"/>
                <w:b/>
                <w:spacing w:val="-6"/>
              </w:rPr>
              <w:t xml:space="preserve"> </w:t>
            </w:r>
            <w:r>
              <w:rPr>
                <w:rFonts w:ascii="Arial"/>
                <w:b/>
                <w:spacing w:val="-2"/>
              </w:rPr>
              <w:t>Verifier:</w:t>
            </w:r>
          </w:p>
        </w:tc>
        <w:tc>
          <w:tcPr>
            <w:tcW w:w="2269" w:type="dxa"/>
          </w:tcPr>
          <w:p w14:paraId="7506F14C" w14:textId="77777777" w:rsidR="009A4BB3" w:rsidRDefault="009A4BB3" w:rsidP="009A4BB3">
            <w:pPr>
              <w:pStyle w:val="TableParagraph"/>
              <w:spacing w:before="120"/>
              <w:ind w:left="107"/>
              <w:rPr>
                <w:rFonts w:ascii="Arial"/>
                <w:b/>
              </w:rPr>
            </w:pPr>
            <w:r>
              <w:rPr>
                <w:rFonts w:ascii="Arial"/>
                <w:b/>
              </w:rPr>
              <w:t>Daniel</w:t>
            </w:r>
            <w:r>
              <w:rPr>
                <w:rFonts w:ascii="Arial"/>
                <w:b/>
                <w:spacing w:val="-2"/>
              </w:rPr>
              <w:t xml:space="preserve"> </w:t>
            </w:r>
            <w:r>
              <w:rPr>
                <w:rFonts w:ascii="Arial"/>
                <w:b/>
                <w:spacing w:val="-4"/>
              </w:rPr>
              <w:t>Payne</w:t>
            </w:r>
          </w:p>
        </w:tc>
      </w:tr>
      <w:tr w:rsidR="009A4BB3" w14:paraId="3BEACE51" w14:textId="77777777" w:rsidTr="009A4BB3">
        <w:trPr>
          <w:trHeight w:val="822"/>
        </w:trPr>
        <w:tc>
          <w:tcPr>
            <w:tcW w:w="2096" w:type="dxa"/>
            <w:shd w:val="clear" w:color="auto" w:fill="D9D9D9"/>
          </w:tcPr>
          <w:p w14:paraId="636AA9B0" w14:textId="77777777" w:rsidR="009A4BB3" w:rsidRDefault="009A4BB3" w:rsidP="009A4BB3">
            <w:pPr>
              <w:pStyle w:val="TableParagraph"/>
              <w:spacing w:before="120"/>
              <w:ind w:left="107"/>
              <w:rPr>
                <w:rFonts w:ascii="Arial"/>
                <w:b/>
              </w:rPr>
            </w:pPr>
            <w:r>
              <w:rPr>
                <w:rFonts w:ascii="Arial"/>
                <w:b/>
              </w:rPr>
              <w:t>Assignment</w:t>
            </w:r>
            <w:r>
              <w:rPr>
                <w:rFonts w:ascii="Arial"/>
                <w:b/>
                <w:spacing w:val="-9"/>
              </w:rPr>
              <w:t xml:space="preserve"> </w:t>
            </w:r>
            <w:r>
              <w:rPr>
                <w:rFonts w:ascii="Arial"/>
                <w:b/>
                <w:spacing w:val="-2"/>
              </w:rPr>
              <w:t>Title:</w:t>
            </w:r>
          </w:p>
        </w:tc>
        <w:tc>
          <w:tcPr>
            <w:tcW w:w="3294" w:type="dxa"/>
          </w:tcPr>
          <w:p w14:paraId="0DFCA500" w14:textId="77777777" w:rsidR="009A4BB3" w:rsidRDefault="009A4BB3" w:rsidP="009A4BB3">
            <w:pPr>
              <w:pStyle w:val="TableParagraph"/>
              <w:spacing w:before="120"/>
              <w:ind w:left="105"/>
              <w:rPr>
                <w:rFonts w:ascii="Arial"/>
                <w:b/>
              </w:rPr>
            </w:pPr>
            <w:r>
              <w:rPr>
                <w:rFonts w:ascii="Arial"/>
                <w:b/>
                <w:spacing w:val="-2"/>
              </w:rPr>
              <w:t>Report</w:t>
            </w:r>
          </w:p>
        </w:tc>
        <w:tc>
          <w:tcPr>
            <w:tcW w:w="2268" w:type="dxa"/>
            <w:shd w:val="clear" w:color="auto" w:fill="D9D9D9"/>
          </w:tcPr>
          <w:p w14:paraId="30529F3B" w14:textId="77777777" w:rsidR="009A4BB3" w:rsidRDefault="009A4BB3" w:rsidP="009A4BB3">
            <w:pPr>
              <w:pStyle w:val="TableParagraph"/>
              <w:tabs>
                <w:tab w:val="left" w:pos="970"/>
                <w:tab w:val="left" w:pos="1865"/>
              </w:tabs>
              <w:spacing w:before="120" w:line="278" w:lineRule="auto"/>
              <w:ind w:left="107" w:right="95"/>
              <w:rPr>
                <w:rFonts w:ascii="Arial"/>
                <w:b/>
              </w:rPr>
            </w:pPr>
            <w:r>
              <w:rPr>
                <w:rFonts w:ascii="Arial"/>
                <w:b/>
                <w:spacing w:val="-4"/>
              </w:rPr>
              <w:t>Word</w:t>
            </w:r>
            <w:r>
              <w:rPr>
                <w:rFonts w:ascii="Arial"/>
                <w:b/>
              </w:rPr>
              <w:tab/>
            </w:r>
            <w:r>
              <w:rPr>
                <w:rFonts w:ascii="Arial"/>
                <w:b/>
                <w:spacing w:val="-2"/>
              </w:rPr>
              <w:t>count</w:t>
            </w:r>
            <w:r>
              <w:rPr>
                <w:rFonts w:ascii="Arial"/>
                <w:b/>
              </w:rPr>
              <w:tab/>
            </w:r>
            <w:r>
              <w:rPr>
                <w:rFonts w:ascii="Arial"/>
                <w:b/>
                <w:spacing w:val="-4"/>
              </w:rPr>
              <w:t xml:space="preserve">(or </w:t>
            </w:r>
            <w:r>
              <w:rPr>
                <w:rFonts w:ascii="Arial"/>
                <w:b/>
                <w:spacing w:val="-2"/>
              </w:rPr>
              <w:t>equivalent):</w:t>
            </w:r>
          </w:p>
        </w:tc>
        <w:tc>
          <w:tcPr>
            <w:tcW w:w="2269" w:type="dxa"/>
          </w:tcPr>
          <w:p w14:paraId="6CB3770B" w14:textId="77777777" w:rsidR="009A4BB3" w:rsidRDefault="009A4BB3" w:rsidP="009A4BB3">
            <w:pPr>
              <w:pStyle w:val="TableParagraph"/>
              <w:spacing w:before="120"/>
              <w:ind w:left="107"/>
              <w:rPr>
                <w:rFonts w:ascii="Arial"/>
                <w:b/>
              </w:rPr>
            </w:pPr>
            <w:r>
              <w:rPr>
                <w:rFonts w:ascii="Arial"/>
                <w:b/>
              </w:rPr>
              <w:t>2000</w:t>
            </w:r>
            <w:r>
              <w:rPr>
                <w:rFonts w:ascii="Arial"/>
                <w:b/>
                <w:spacing w:val="-6"/>
              </w:rPr>
              <w:t xml:space="preserve"> </w:t>
            </w:r>
            <w:r>
              <w:rPr>
                <w:rFonts w:ascii="Arial"/>
                <w:b/>
              </w:rPr>
              <w:t>(+/-</w:t>
            </w:r>
            <w:r>
              <w:rPr>
                <w:rFonts w:ascii="Arial"/>
                <w:b/>
                <w:spacing w:val="-4"/>
              </w:rPr>
              <w:t>10%)</w:t>
            </w:r>
          </w:p>
        </w:tc>
      </w:tr>
      <w:tr w:rsidR="009A4BB3" w14:paraId="18D0E02B" w14:textId="77777777" w:rsidTr="009A4BB3">
        <w:trPr>
          <w:trHeight w:val="1113"/>
        </w:trPr>
        <w:tc>
          <w:tcPr>
            <w:tcW w:w="2096" w:type="dxa"/>
            <w:shd w:val="clear" w:color="auto" w:fill="D9D9D9"/>
          </w:tcPr>
          <w:p w14:paraId="39F9D3DD" w14:textId="77777777" w:rsidR="009A4BB3" w:rsidRDefault="009A4BB3" w:rsidP="009A4BB3">
            <w:pPr>
              <w:pStyle w:val="TableParagraph"/>
              <w:spacing w:before="120" w:line="276" w:lineRule="auto"/>
              <w:ind w:left="107"/>
              <w:rPr>
                <w:rFonts w:ascii="Arial"/>
                <w:b/>
              </w:rPr>
            </w:pPr>
            <w:r>
              <w:rPr>
                <w:rFonts w:ascii="Arial"/>
                <w:b/>
                <w:spacing w:val="-2"/>
              </w:rPr>
              <w:t>Submission deadline:</w:t>
            </w:r>
          </w:p>
        </w:tc>
        <w:tc>
          <w:tcPr>
            <w:tcW w:w="3294" w:type="dxa"/>
          </w:tcPr>
          <w:p w14:paraId="4041A857" w14:textId="77777777" w:rsidR="009A4BB3" w:rsidRDefault="009A4BB3" w:rsidP="009A4BB3">
            <w:pPr>
              <w:pStyle w:val="TableParagraph"/>
              <w:ind w:left="105"/>
              <w:rPr>
                <w:rFonts w:ascii="Arial"/>
                <w:b/>
              </w:rPr>
            </w:pPr>
            <w:r>
              <w:rPr>
                <w:rFonts w:ascii="Arial"/>
                <w:b/>
              </w:rPr>
              <w:t>11.55 pm Friday 1</w:t>
            </w:r>
            <w:r>
              <w:rPr>
                <w:rFonts w:ascii="Arial"/>
                <w:b/>
                <w:vertAlign w:val="superscript"/>
              </w:rPr>
              <w:t>st</w:t>
            </w:r>
            <w:r>
              <w:rPr>
                <w:rFonts w:ascii="Arial"/>
                <w:b/>
              </w:rPr>
              <w:t xml:space="preserve"> of March </w:t>
            </w:r>
            <w:r>
              <w:rPr>
                <w:rFonts w:ascii="Arial"/>
                <w:b/>
                <w:spacing w:val="-4"/>
              </w:rPr>
              <w:t>2024</w:t>
            </w:r>
          </w:p>
        </w:tc>
        <w:tc>
          <w:tcPr>
            <w:tcW w:w="2268" w:type="dxa"/>
            <w:shd w:val="clear" w:color="auto" w:fill="D9D9D9"/>
          </w:tcPr>
          <w:p w14:paraId="31E3F064" w14:textId="77777777" w:rsidR="009A4BB3" w:rsidRDefault="009A4BB3" w:rsidP="009A4BB3">
            <w:pPr>
              <w:pStyle w:val="TableParagraph"/>
              <w:spacing w:before="120" w:line="276" w:lineRule="auto"/>
              <w:ind w:left="107" w:right="95"/>
              <w:jc w:val="both"/>
              <w:rPr>
                <w:rFonts w:ascii="Arial"/>
                <w:b/>
              </w:rPr>
            </w:pPr>
            <w:r>
              <w:rPr>
                <w:rFonts w:ascii="Arial"/>
                <w:b/>
              </w:rPr>
              <w:t>Return date of provisional marks &amp;</w:t>
            </w:r>
            <w:r>
              <w:rPr>
                <w:rFonts w:ascii="Arial"/>
                <w:b/>
                <w:spacing w:val="-3"/>
              </w:rPr>
              <w:t xml:space="preserve"> </w:t>
            </w:r>
            <w:r>
              <w:rPr>
                <w:rFonts w:ascii="Arial"/>
                <w:b/>
              </w:rPr>
              <w:t>written</w:t>
            </w:r>
            <w:r>
              <w:rPr>
                <w:rFonts w:ascii="Arial"/>
                <w:b/>
                <w:spacing w:val="-4"/>
              </w:rPr>
              <w:t xml:space="preserve"> </w:t>
            </w:r>
            <w:r>
              <w:rPr>
                <w:rFonts w:ascii="Arial"/>
                <w:b/>
                <w:spacing w:val="-2"/>
              </w:rPr>
              <w:t>feedback:</w:t>
            </w:r>
          </w:p>
        </w:tc>
        <w:tc>
          <w:tcPr>
            <w:tcW w:w="2269" w:type="dxa"/>
          </w:tcPr>
          <w:p w14:paraId="1089FD8E" w14:textId="77777777" w:rsidR="009A4BB3" w:rsidRDefault="009A4BB3" w:rsidP="009A4BB3">
            <w:pPr>
              <w:pStyle w:val="TableParagraph"/>
              <w:tabs>
                <w:tab w:val="left" w:pos="1785"/>
              </w:tabs>
              <w:ind w:left="107" w:right="96"/>
              <w:rPr>
                <w:rFonts w:ascii="Arial"/>
                <w:b/>
              </w:rPr>
            </w:pPr>
            <w:r>
              <w:rPr>
                <w:rFonts w:ascii="Arial"/>
                <w:b/>
                <w:spacing w:val="-2"/>
              </w:rPr>
              <w:t>Provisionally</w:t>
            </w:r>
            <w:r>
              <w:rPr>
                <w:rFonts w:ascii="Arial"/>
                <w:b/>
              </w:rPr>
              <w:tab/>
            </w:r>
            <w:r>
              <w:rPr>
                <w:rFonts w:ascii="Arial"/>
                <w:b/>
                <w:spacing w:val="-4"/>
              </w:rPr>
              <w:t>29</w:t>
            </w:r>
            <w:r>
              <w:rPr>
                <w:rFonts w:ascii="Arial"/>
                <w:b/>
                <w:spacing w:val="-4"/>
                <w:vertAlign w:val="superscript"/>
              </w:rPr>
              <w:t>th</w:t>
            </w:r>
            <w:r>
              <w:rPr>
                <w:rFonts w:ascii="Arial"/>
                <w:b/>
                <w:spacing w:val="-4"/>
              </w:rPr>
              <w:t xml:space="preserve"> </w:t>
            </w:r>
            <w:r>
              <w:rPr>
                <w:rFonts w:ascii="Arial"/>
                <w:b/>
              </w:rPr>
              <w:t>March 2024</w:t>
            </w:r>
          </w:p>
        </w:tc>
      </w:tr>
    </w:tbl>
    <w:p w14:paraId="64BF373A" w14:textId="27DD973A" w:rsidR="006B32F0" w:rsidRPr="00451753" w:rsidRDefault="006B32F0" w:rsidP="009A4BB3">
      <w:pPr>
        <w:rPr>
          <w:b/>
          <w:bCs/>
          <w:sz w:val="32"/>
          <w:szCs w:val="32"/>
        </w:rPr>
      </w:pPr>
      <w:r w:rsidRPr="00451753">
        <w:rPr>
          <w:b/>
          <w:bCs/>
          <w:sz w:val="32"/>
          <w:szCs w:val="32"/>
        </w:rPr>
        <w:br w:type="page"/>
      </w:r>
    </w:p>
    <w:sdt>
      <w:sdtPr>
        <w:rPr>
          <w:rFonts w:ascii="Times New Roman" w:eastAsia="Times New Roman" w:hAnsi="Times New Roman" w:cs="Times New Roman"/>
          <w:color w:val="auto"/>
          <w:sz w:val="24"/>
          <w:szCs w:val="20"/>
          <w:lang w:val="en-GB"/>
        </w:rPr>
        <w:id w:val="571867317"/>
        <w:docPartObj>
          <w:docPartGallery w:val="Table of Contents"/>
          <w:docPartUnique/>
        </w:docPartObj>
      </w:sdtPr>
      <w:sdtEndPr>
        <w:rPr>
          <w:rFonts w:ascii="Arial" w:hAnsi="Arial"/>
          <w:b/>
          <w:bCs/>
          <w:noProof/>
        </w:rPr>
      </w:sdtEndPr>
      <w:sdtContent>
        <w:p w14:paraId="5339F24A" w14:textId="43C74BE2" w:rsidR="008C1FB0" w:rsidRPr="00BD31F3" w:rsidRDefault="008C1FB0">
          <w:pPr>
            <w:pStyle w:val="TOCHeading"/>
            <w:rPr>
              <w:rFonts w:ascii="Arial" w:hAnsi="Arial" w:cs="Arial"/>
              <w:b/>
              <w:bCs/>
              <w:color w:val="auto"/>
              <w:sz w:val="28"/>
              <w:szCs w:val="28"/>
            </w:rPr>
          </w:pPr>
          <w:r w:rsidRPr="00BD31F3">
            <w:rPr>
              <w:rFonts w:ascii="Arial" w:hAnsi="Arial" w:cs="Arial"/>
              <w:b/>
              <w:bCs/>
              <w:color w:val="auto"/>
              <w:sz w:val="28"/>
              <w:szCs w:val="28"/>
            </w:rPr>
            <w:t>Table of Contents</w:t>
          </w:r>
        </w:p>
        <w:p w14:paraId="1B859F78" w14:textId="33379543" w:rsidR="00BD31F3" w:rsidRDefault="008C1FB0" w:rsidP="00BD31F3">
          <w:pPr>
            <w:pStyle w:val="TOC1"/>
            <w:tabs>
              <w:tab w:val="right" w:leader="dot" w:pos="9350"/>
            </w:tabs>
            <w:spacing w:after="0"/>
            <w:rPr>
              <w:rFonts w:asciiTheme="minorHAnsi" w:eastAsiaTheme="minorEastAsia" w:hAnsiTheme="minorHAnsi" w:cstheme="minorBidi"/>
              <w:noProof/>
              <w:kern w:val="2"/>
              <w:sz w:val="22"/>
              <w:szCs w:val="22"/>
              <w:lang w:val="en-US"/>
              <w14:ligatures w14:val="standardContextual"/>
            </w:rPr>
          </w:pPr>
          <w:r>
            <w:fldChar w:fldCharType="begin"/>
          </w:r>
          <w:r>
            <w:instrText xml:space="preserve"> TOC \o "1-3" \h \z \u </w:instrText>
          </w:r>
          <w:r>
            <w:fldChar w:fldCharType="separate"/>
          </w:r>
          <w:hyperlink w:anchor="_Toc157772536" w:history="1">
            <w:r w:rsidR="00BD31F3" w:rsidRPr="006139F8">
              <w:rPr>
                <w:rStyle w:val="Hyperlink"/>
                <w:noProof/>
              </w:rPr>
              <w:t>Introduction</w:t>
            </w:r>
            <w:r w:rsidR="00BD31F3">
              <w:rPr>
                <w:noProof/>
                <w:webHidden/>
              </w:rPr>
              <w:tab/>
            </w:r>
            <w:r w:rsidR="00BD31F3">
              <w:rPr>
                <w:noProof/>
                <w:webHidden/>
              </w:rPr>
              <w:fldChar w:fldCharType="begin"/>
            </w:r>
            <w:r w:rsidR="00BD31F3">
              <w:rPr>
                <w:noProof/>
                <w:webHidden/>
              </w:rPr>
              <w:instrText xml:space="preserve"> PAGEREF _Toc157772536 \h </w:instrText>
            </w:r>
            <w:r w:rsidR="00BD31F3">
              <w:rPr>
                <w:noProof/>
                <w:webHidden/>
              </w:rPr>
            </w:r>
            <w:r w:rsidR="00BD31F3">
              <w:rPr>
                <w:noProof/>
                <w:webHidden/>
              </w:rPr>
              <w:fldChar w:fldCharType="separate"/>
            </w:r>
            <w:r w:rsidR="00BD31F3">
              <w:rPr>
                <w:noProof/>
                <w:webHidden/>
              </w:rPr>
              <w:t>3</w:t>
            </w:r>
            <w:r w:rsidR="00BD31F3">
              <w:rPr>
                <w:noProof/>
                <w:webHidden/>
              </w:rPr>
              <w:fldChar w:fldCharType="end"/>
            </w:r>
          </w:hyperlink>
        </w:p>
        <w:p w14:paraId="70438F37" w14:textId="18081D47" w:rsidR="00BD31F3" w:rsidRDefault="00000000" w:rsidP="00BD31F3">
          <w:pPr>
            <w:pStyle w:val="TOC2"/>
            <w:tabs>
              <w:tab w:val="right" w:leader="dot" w:pos="9350"/>
            </w:tabs>
            <w:spacing w:after="0"/>
            <w:rPr>
              <w:noProof/>
            </w:rPr>
          </w:pPr>
          <w:hyperlink w:anchor="_Toc157772537" w:history="1">
            <w:r w:rsidR="00BD31F3" w:rsidRPr="006139F8">
              <w:rPr>
                <w:rStyle w:val="Hyperlink"/>
                <w:noProof/>
              </w:rPr>
              <w:t>Identifying the greenwashing accusation of Marriott</w:t>
            </w:r>
            <w:r w:rsidR="00BD31F3">
              <w:rPr>
                <w:noProof/>
                <w:webHidden/>
              </w:rPr>
              <w:tab/>
            </w:r>
            <w:r w:rsidR="00BD31F3">
              <w:rPr>
                <w:noProof/>
                <w:webHidden/>
              </w:rPr>
              <w:fldChar w:fldCharType="begin"/>
            </w:r>
            <w:r w:rsidR="00BD31F3">
              <w:rPr>
                <w:noProof/>
                <w:webHidden/>
              </w:rPr>
              <w:instrText xml:space="preserve"> PAGEREF _Toc157772537 \h </w:instrText>
            </w:r>
            <w:r w:rsidR="00BD31F3">
              <w:rPr>
                <w:noProof/>
                <w:webHidden/>
              </w:rPr>
            </w:r>
            <w:r w:rsidR="00BD31F3">
              <w:rPr>
                <w:noProof/>
                <w:webHidden/>
              </w:rPr>
              <w:fldChar w:fldCharType="separate"/>
            </w:r>
            <w:r w:rsidR="00BD31F3">
              <w:rPr>
                <w:noProof/>
                <w:webHidden/>
              </w:rPr>
              <w:t>4</w:t>
            </w:r>
            <w:r w:rsidR="00BD31F3">
              <w:rPr>
                <w:noProof/>
                <w:webHidden/>
              </w:rPr>
              <w:fldChar w:fldCharType="end"/>
            </w:r>
          </w:hyperlink>
        </w:p>
        <w:p w14:paraId="6ADA1BE7" w14:textId="5006256C" w:rsidR="00BD31F3" w:rsidRDefault="00000000" w:rsidP="00BD31F3">
          <w:pPr>
            <w:pStyle w:val="TOC2"/>
            <w:tabs>
              <w:tab w:val="right" w:leader="dot" w:pos="9350"/>
            </w:tabs>
            <w:spacing w:after="0"/>
            <w:rPr>
              <w:noProof/>
            </w:rPr>
          </w:pPr>
          <w:hyperlink w:anchor="_Toc157772538" w:history="1">
            <w:r w:rsidR="00BD31F3" w:rsidRPr="006139F8">
              <w:rPr>
                <w:rStyle w:val="Hyperlink"/>
                <w:noProof/>
              </w:rPr>
              <w:t>Areas where it could be construed that Marriott is greenwashing</w:t>
            </w:r>
            <w:r w:rsidR="00BD31F3">
              <w:rPr>
                <w:noProof/>
                <w:webHidden/>
              </w:rPr>
              <w:tab/>
            </w:r>
            <w:r w:rsidR="00BD31F3">
              <w:rPr>
                <w:noProof/>
                <w:webHidden/>
              </w:rPr>
              <w:fldChar w:fldCharType="begin"/>
            </w:r>
            <w:r w:rsidR="00BD31F3">
              <w:rPr>
                <w:noProof/>
                <w:webHidden/>
              </w:rPr>
              <w:instrText xml:space="preserve"> PAGEREF _Toc157772538 \h </w:instrText>
            </w:r>
            <w:r w:rsidR="00BD31F3">
              <w:rPr>
                <w:noProof/>
                <w:webHidden/>
              </w:rPr>
            </w:r>
            <w:r w:rsidR="00BD31F3">
              <w:rPr>
                <w:noProof/>
                <w:webHidden/>
              </w:rPr>
              <w:fldChar w:fldCharType="separate"/>
            </w:r>
            <w:r w:rsidR="00BD31F3">
              <w:rPr>
                <w:noProof/>
                <w:webHidden/>
              </w:rPr>
              <w:t>5</w:t>
            </w:r>
            <w:r w:rsidR="00BD31F3">
              <w:rPr>
                <w:noProof/>
                <w:webHidden/>
              </w:rPr>
              <w:fldChar w:fldCharType="end"/>
            </w:r>
          </w:hyperlink>
        </w:p>
        <w:p w14:paraId="4C6D4E8D" w14:textId="2B20CE8B" w:rsidR="00BD31F3" w:rsidRDefault="00000000" w:rsidP="00BD31F3">
          <w:pPr>
            <w:pStyle w:val="TOC2"/>
            <w:tabs>
              <w:tab w:val="right" w:leader="dot" w:pos="9350"/>
            </w:tabs>
            <w:spacing w:after="0"/>
            <w:rPr>
              <w:noProof/>
            </w:rPr>
          </w:pPr>
          <w:hyperlink w:anchor="_Toc157772539" w:history="1">
            <w:r w:rsidR="00BD31F3" w:rsidRPr="006139F8">
              <w:rPr>
                <w:rStyle w:val="Hyperlink"/>
                <w:noProof/>
              </w:rPr>
              <w:t>Identifying whether Marriott self-evaluates about greenwashing or not</w:t>
            </w:r>
            <w:r w:rsidR="00BD31F3">
              <w:rPr>
                <w:noProof/>
                <w:webHidden/>
              </w:rPr>
              <w:tab/>
            </w:r>
            <w:r w:rsidR="00BD31F3">
              <w:rPr>
                <w:noProof/>
                <w:webHidden/>
              </w:rPr>
              <w:fldChar w:fldCharType="begin"/>
            </w:r>
            <w:r w:rsidR="00BD31F3">
              <w:rPr>
                <w:noProof/>
                <w:webHidden/>
              </w:rPr>
              <w:instrText xml:space="preserve"> PAGEREF _Toc157772539 \h </w:instrText>
            </w:r>
            <w:r w:rsidR="00BD31F3">
              <w:rPr>
                <w:noProof/>
                <w:webHidden/>
              </w:rPr>
            </w:r>
            <w:r w:rsidR="00BD31F3">
              <w:rPr>
                <w:noProof/>
                <w:webHidden/>
              </w:rPr>
              <w:fldChar w:fldCharType="separate"/>
            </w:r>
            <w:r w:rsidR="00BD31F3">
              <w:rPr>
                <w:noProof/>
                <w:webHidden/>
              </w:rPr>
              <w:t>6</w:t>
            </w:r>
            <w:r w:rsidR="00BD31F3">
              <w:rPr>
                <w:noProof/>
                <w:webHidden/>
              </w:rPr>
              <w:fldChar w:fldCharType="end"/>
            </w:r>
          </w:hyperlink>
        </w:p>
        <w:p w14:paraId="186B44C7" w14:textId="4916BE17" w:rsidR="00BD31F3" w:rsidRDefault="00000000" w:rsidP="00BD31F3">
          <w:pPr>
            <w:pStyle w:val="TOC2"/>
            <w:tabs>
              <w:tab w:val="right" w:leader="dot" w:pos="9350"/>
            </w:tabs>
            <w:spacing w:after="0"/>
            <w:rPr>
              <w:noProof/>
            </w:rPr>
          </w:pPr>
          <w:hyperlink w:anchor="_Toc157772540" w:history="1">
            <w:r w:rsidR="00BD31F3" w:rsidRPr="006139F8">
              <w:rPr>
                <w:rStyle w:val="Hyperlink"/>
                <w:noProof/>
              </w:rPr>
              <w:t>Reasons for doing self-evaluate by companies</w:t>
            </w:r>
            <w:r w:rsidR="00BD31F3">
              <w:rPr>
                <w:noProof/>
                <w:webHidden/>
              </w:rPr>
              <w:tab/>
            </w:r>
            <w:r w:rsidR="00BD31F3">
              <w:rPr>
                <w:noProof/>
                <w:webHidden/>
              </w:rPr>
              <w:fldChar w:fldCharType="begin"/>
            </w:r>
            <w:r w:rsidR="00BD31F3">
              <w:rPr>
                <w:noProof/>
                <w:webHidden/>
              </w:rPr>
              <w:instrText xml:space="preserve"> PAGEREF _Toc157772540 \h </w:instrText>
            </w:r>
            <w:r w:rsidR="00BD31F3">
              <w:rPr>
                <w:noProof/>
                <w:webHidden/>
              </w:rPr>
            </w:r>
            <w:r w:rsidR="00BD31F3">
              <w:rPr>
                <w:noProof/>
                <w:webHidden/>
              </w:rPr>
              <w:fldChar w:fldCharType="separate"/>
            </w:r>
            <w:r w:rsidR="00BD31F3">
              <w:rPr>
                <w:noProof/>
                <w:webHidden/>
              </w:rPr>
              <w:t>6</w:t>
            </w:r>
            <w:r w:rsidR="00BD31F3">
              <w:rPr>
                <w:noProof/>
                <w:webHidden/>
              </w:rPr>
              <w:fldChar w:fldCharType="end"/>
            </w:r>
          </w:hyperlink>
        </w:p>
        <w:p w14:paraId="663A39B1" w14:textId="79BA359B" w:rsidR="00BD31F3" w:rsidRDefault="00000000" w:rsidP="00BD31F3">
          <w:pPr>
            <w:pStyle w:val="TOC2"/>
            <w:tabs>
              <w:tab w:val="right" w:leader="dot" w:pos="9350"/>
            </w:tabs>
            <w:spacing w:after="0"/>
            <w:rPr>
              <w:noProof/>
            </w:rPr>
          </w:pPr>
          <w:hyperlink w:anchor="_Toc157772541" w:history="1">
            <w:r w:rsidR="00BD31F3" w:rsidRPr="006139F8">
              <w:rPr>
                <w:rStyle w:val="Hyperlink"/>
                <w:noProof/>
              </w:rPr>
              <w:t>The use of ‘Green’ technology and identifying its suitability</w:t>
            </w:r>
            <w:r w:rsidR="00BD31F3">
              <w:rPr>
                <w:noProof/>
                <w:webHidden/>
              </w:rPr>
              <w:tab/>
            </w:r>
            <w:r w:rsidR="00BD31F3">
              <w:rPr>
                <w:noProof/>
                <w:webHidden/>
              </w:rPr>
              <w:fldChar w:fldCharType="begin"/>
            </w:r>
            <w:r w:rsidR="00BD31F3">
              <w:rPr>
                <w:noProof/>
                <w:webHidden/>
              </w:rPr>
              <w:instrText xml:space="preserve"> PAGEREF _Toc157772541 \h </w:instrText>
            </w:r>
            <w:r w:rsidR="00BD31F3">
              <w:rPr>
                <w:noProof/>
                <w:webHidden/>
              </w:rPr>
            </w:r>
            <w:r w:rsidR="00BD31F3">
              <w:rPr>
                <w:noProof/>
                <w:webHidden/>
              </w:rPr>
              <w:fldChar w:fldCharType="separate"/>
            </w:r>
            <w:r w:rsidR="00BD31F3">
              <w:rPr>
                <w:noProof/>
                <w:webHidden/>
              </w:rPr>
              <w:t>7</w:t>
            </w:r>
            <w:r w:rsidR="00BD31F3">
              <w:rPr>
                <w:noProof/>
                <w:webHidden/>
              </w:rPr>
              <w:fldChar w:fldCharType="end"/>
            </w:r>
          </w:hyperlink>
        </w:p>
        <w:p w14:paraId="62C42C5E" w14:textId="754B5BD5" w:rsidR="00BD31F3" w:rsidRDefault="00000000" w:rsidP="00BD31F3">
          <w:pPr>
            <w:pStyle w:val="TOC2"/>
            <w:tabs>
              <w:tab w:val="right" w:leader="dot" w:pos="9350"/>
            </w:tabs>
            <w:spacing w:after="0"/>
            <w:rPr>
              <w:noProof/>
            </w:rPr>
          </w:pPr>
          <w:hyperlink w:anchor="_Toc157772542" w:history="1">
            <w:r w:rsidR="00BD31F3" w:rsidRPr="006139F8">
              <w:rPr>
                <w:rStyle w:val="Hyperlink"/>
                <w:noProof/>
              </w:rPr>
              <w:t>The alternative of doing self-evaluation by companies</w:t>
            </w:r>
            <w:r w:rsidR="00BD31F3">
              <w:rPr>
                <w:noProof/>
                <w:webHidden/>
              </w:rPr>
              <w:tab/>
            </w:r>
            <w:r w:rsidR="00BD31F3">
              <w:rPr>
                <w:noProof/>
                <w:webHidden/>
              </w:rPr>
              <w:fldChar w:fldCharType="begin"/>
            </w:r>
            <w:r w:rsidR="00BD31F3">
              <w:rPr>
                <w:noProof/>
                <w:webHidden/>
              </w:rPr>
              <w:instrText xml:space="preserve"> PAGEREF _Toc157772542 \h </w:instrText>
            </w:r>
            <w:r w:rsidR="00BD31F3">
              <w:rPr>
                <w:noProof/>
                <w:webHidden/>
              </w:rPr>
            </w:r>
            <w:r w:rsidR="00BD31F3">
              <w:rPr>
                <w:noProof/>
                <w:webHidden/>
              </w:rPr>
              <w:fldChar w:fldCharType="separate"/>
            </w:r>
            <w:r w:rsidR="00BD31F3">
              <w:rPr>
                <w:noProof/>
                <w:webHidden/>
              </w:rPr>
              <w:t>8</w:t>
            </w:r>
            <w:r w:rsidR="00BD31F3">
              <w:rPr>
                <w:noProof/>
                <w:webHidden/>
              </w:rPr>
              <w:fldChar w:fldCharType="end"/>
            </w:r>
          </w:hyperlink>
        </w:p>
        <w:p w14:paraId="1AE6EFA9" w14:textId="3379D8ED" w:rsidR="00BD31F3" w:rsidRDefault="00000000" w:rsidP="00BD31F3">
          <w:pPr>
            <w:pStyle w:val="TOC1"/>
            <w:tabs>
              <w:tab w:val="right" w:leader="dot" w:pos="9350"/>
            </w:tabs>
            <w:spacing w:after="0"/>
            <w:rPr>
              <w:rFonts w:asciiTheme="minorHAnsi" w:eastAsiaTheme="minorEastAsia" w:hAnsiTheme="minorHAnsi" w:cstheme="minorBidi"/>
              <w:noProof/>
              <w:kern w:val="2"/>
              <w:sz w:val="22"/>
              <w:szCs w:val="22"/>
              <w:lang w:val="en-US"/>
              <w14:ligatures w14:val="standardContextual"/>
            </w:rPr>
          </w:pPr>
          <w:hyperlink w:anchor="_Toc157772543" w:history="1">
            <w:r w:rsidR="00BD31F3" w:rsidRPr="006139F8">
              <w:rPr>
                <w:rStyle w:val="Hyperlink"/>
                <w:noProof/>
              </w:rPr>
              <w:t>Conclusion</w:t>
            </w:r>
            <w:r w:rsidR="00BD31F3">
              <w:rPr>
                <w:noProof/>
                <w:webHidden/>
              </w:rPr>
              <w:tab/>
            </w:r>
            <w:r w:rsidR="00BD31F3">
              <w:rPr>
                <w:noProof/>
                <w:webHidden/>
              </w:rPr>
              <w:fldChar w:fldCharType="begin"/>
            </w:r>
            <w:r w:rsidR="00BD31F3">
              <w:rPr>
                <w:noProof/>
                <w:webHidden/>
              </w:rPr>
              <w:instrText xml:space="preserve"> PAGEREF _Toc157772543 \h </w:instrText>
            </w:r>
            <w:r w:rsidR="00BD31F3">
              <w:rPr>
                <w:noProof/>
                <w:webHidden/>
              </w:rPr>
            </w:r>
            <w:r w:rsidR="00BD31F3">
              <w:rPr>
                <w:noProof/>
                <w:webHidden/>
              </w:rPr>
              <w:fldChar w:fldCharType="separate"/>
            </w:r>
            <w:r w:rsidR="00BD31F3">
              <w:rPr>
                <w:noProof/>
                <w:webHidden/>
              </w:rPr>
              <w:t>10</w:t>
            </w:r>
            <w:r w:rsidR="00BD31F3">
              <w:rPr>
                <w:noProof/>
                <w:webHidden/>
              </w:rPr>
              <w:fldChar w:fldCharType="end"/>
            </w:r>
          </w:hyperlink>
        </w:p>
        <w:p w14:paraId="2884F43F" w14:textId="7E4A6E35" w:rsidR="00BD31F3" w:rsidRDefault="00000000" w:rsidP="00BD31F3">
          <w:pPr>
            <w:pStyle w:val="TOC1"/>
            <w:tabs>
              <w:tab w:val="right" w:leader="dot" w:pos="9350"/>
            </w:tabs>
            <w:spacing w:after="0"/>
            <w:rPr>
              <w:rFonts w:asciiTheme="minorHAnsi" w:eastAsiaTheme="minorEastAsia" w:hAnsiTheme="minorHAnsi" w:cstheme="minorBidi"/>
              <w:noProof/>
              <w:kern w:val="2"/>
              <w:sz w:val="22"/>
              <w:szCs w:val="22"/>
              <w:lang w:val="en-US"/>
              <w14:ligatures w14:val="standardContextual"/>
            </w:rPr>
          </w:pPr>
          <w:hyperlink w:anchor="_Toc157772544" w:history="1">
            <w:r w:rsidR="00BD31F3" w:rsidRPr="006139F8">
              <w:rPr>
                <w:rStyle w:val="Hyperlink"/>
                <w:noProof/>
              </w:rPr>
              <w:t>References</w:t>
            </w:r>
            <w:r w:rsidR="00BD31F3">
              <w:rPr>
                <w:noProof/>
                <w:webHidden/>
              </w:rPr>
              <w:tab/>
            </w:r>
            <w:r w:rsidR="00BD31F3">
              <w:rPr>
                <w:noProof/>
                <w:webHidden/>
              </w:rPr>
              <w:fldChar w:fldCharType="begin"/>
            </w:r>
            <w:r w:rsidR="00BD31F3">
              <w:rPr>
                <w:noProof/>
                <w:webHidden/>
              </w:rPr>
              <w:instrText xml:space="preserve"> PAGEREF _Toc157772544 \h </w:instrText>
            </w:r>
            <w:r w:rsidR="00BD31F3">
              <w:rPr>
                <w:noProof/>
                <w:webHidden/>
              </w:rPr>
            </w:r>
            <w:r w:rsidR="00BD31F3">
              <w:rPr>
                <w:noProof/>
                <w:webHidden/>
              </w:rPr>
              <w:fldChar w:fldCharType="separate"/>
            </w:r>
            <w:r w:rsidR="00BD31F3">
              <w:rPr>
                <w:noProof/>
                <w:webHidden/>
              </w:rPr>
              <w:t>11</w:t>
            </w:r>
            <w:r w:rsidR="00BD31F3">
              <w:rPr>
                <w:noProof/>
                <w:webHidden/>
              </w:rPr>
              <w:fldChar w:fldCharType="end"/>
            </w:r>
          </w:hyperlink>
        </w:p>
        <w:p w14:paraId="7110EA61" w14:textId="0F9AE42A" w:rsidR="008C1FB0" w:rsidRDefault="008C1FB0">
          <w:r>
            <w:rPr>
              <w:b/>
              <w:bCs/>
              <w:noProof/>
            </w:rPr>
            <w:fldChar w:fldCharType="end"/>
          </w:r>
        </w:p>
      </w:sdtContent>
    </w:sdt>
    <w:p w14:paraId="6D1C4DCD" w14:textId="63E0EC44" w:rsidR="00C80086" w:rsidRPr="008C1FB0" w:rsidRDefault="008C1FB0">
      <w:pPr>
        <w:rPr>
          <w:b/>
          <w:bCs/>
        </w:rPr>
      </w:pPr>
      <w:r w:rsidRPr="008C1FB0">
        <w:rPr>
          <w:b/>
          <w:bCs/>
        </w:rPr>
        <w:t>List of Figures</w:t>
      </w:r>
    </w:p>
    <w:p w14:paraId="725CFB9E" w14:textId="499FAA2C" w:rsidR="00BD31F3" w:rsidRDefault="008C1FB0">
      <w:pPr>
        <w:pStyle w:val="TableofFigures"/>
        <w:tabs>
          <w:tab w:val="right" w:leader="dot" w:pos="9350"/>
        </w:tabs>
        <w:rPr>
          <w:rFonts w:asciiTheme="minorHAnsi" w:eastAsiaTheme="minorEastAsia" w:hAnsiTheme="minorHAnsi" w:cstheme="minorBidi"/>
          <w:noProof/>
          <w:kern w:val="2"/>
          <w:sz w:val="22"/>
          <w:szCs w:val="22"/>
          <w:lang w:val="en-US"/>
          <w14:ligatures w14:val="standardContextual"/>
        </w:rPr>
      </w:pPr>
      <w:r>
        <w:fldChar w:fldCharType="begin"/>
      </w:r>
      <w:r>
        <w:instrText xml:space="preserve"> TOC \h \z \c "Figure" </w:instrText>
      </w:r>
      <w:r>
        <w:fldChar w:fldCharType="separate"/>
      </w:r>
      <w:hyperlink w:anchor="_Toc157772553" w:history="1">
        <w:r w:rsidR="00BD31F3" w:rsidRPr="004E4F69">
          <w:rPr>
            <w:rStyle w:val="Hyperlink"/>
            <w:noProof/>
          </w:rPr>
          <w:t>Figure 1: Increasing number of greenwashing</w:t>
        </w:r>
        <w:r w:rsidR="00BD31F3">
          <w:rPr>
            <w:noProof/>
            <w:webHidden/>
          </w:rPr>
          <w:tab/>
        </w:r>
        <w:r w:rsidR="00BD31F3">
          <w:rPr>
            <w:noProof/>
            <w:webHidden/>
          </w:rPr>
          <w:fldChar w:fldCharType="begin"/>
        </w:r>
        <w:r w:rsidR="00BD31F3">
          <w:rPr>
            <w:noProof/>
            <w:webHidden/>
          </w:rPr>
          <w:instrText xml:space="preserve"> PAGEREF _Toc157772553 \h </w:instrText>
        </w:r>
        <w:r w:rsidR="00BD31F3">
          <w:rPr>
            <w:noProof/>
            <w:webHidden/>
          </w:rPr>
        </w:r>
        <w:r w:rsidR="00BD31F3">
          <w:rPr>
            <w:noProof/>
            <w:webHidden/>
          </w:rPr>
          <w:fldChar w:fldCharType="separate"/>
        </w:r>
        <w:r w:rsidR="00BD31F3">
          <w:rPr>
            <w:noProof/>
            <w:webHidden/>
          </w:rPr>
          <w:t>4</w:t>
        </w:r>
        <w:r w:rsidR="00BD31F3">
          <w:rPr>
            <w:noProof/>
            <w:webHidden/>
          </w:rPr>
          <w:fldChar w:fldCharType="end"/>
        </w:r>
      </w:hyperlink>
    </w:p>
    <w:p w14:paraId="742DD5B4" w14:textId="430DA9B5" w:rsidR="00BD31F3" w:rsidRDefault="00000000">
      <w:pPr>
        <w:pStyle w:val="TableofFigures"/>
        <w:tabs>
          <w:tab w:val="right" w:leader="dot" w:pos="9350"/>
        </w:tabs>
        <w:rPr>
          <w:rFonts w:asciiTheme="minorHAnsi" w:eastAsiaTheme="minorEastAsia" w:hAnsiTheme="minorHAnsi" w:cstheme="minorBidi"/>
          <w:noProof/>
          <w:kern w:val="2"/>
          <w:sz w:val="22"/>
          <w:szCs w:val="22"/>
          <w:lang w:val="en-US"/>
          <w14:ligatures w14:val="standardContextual"/>
        </w:rPr>
      </w:pPr>
      <w:hyperlink w:anchor="_Toc157772554" w:history="1">
        <w:r w:rsidR="00BD31F3" w:rsidRPr="004E4F69">
          <w:rPr>
            <w:rStyle w:val="Hyperlink"/>
            <w:noProof/>
          </w:rPr>
          <w:t>Figure 2: Rising questions on increasing sustainable brands</w:t>
        </w:r>
        <w:r w:rsidR="00BD31F3">
          <w:rPr>
            <w:noProof/>
            <w:webHidden/>
          </w:rPr>
          <w:tab/>
        </w:r>
        <w:r w:rsidR="00BD31F3">
          <w:rPr>
            <w:noProof/>
            <w:webHidden/>
          </w:rPr>
          <w:fldChar w:fldCharType="begin"/>
        </w:r>
        <w:r w:rsidR="00BD31F3">
          <w:rPr>
            <w:noProof/>
            <w:webHidden/>
          </w:rPr>
          <w:instrText xml:space="preserve"> PAGEREF _Toc157772554 \h </w:instrText>
        </w:r>
        <w:r w:rsidR="00BD31F3">
          <w:rPr>
            <w:noProof/>
            <w:webHidden/>
          </w:rPr>
        </w:r>
        <w:r w:rsidR="00BD31F3">
          <w:rPr>
            <w:noProof/>
            <w:webHidden/>
          </w:rPr>
          <w:fldChar w:fldCharType="separate"/>
        </w:r>
        <w:r w:rsidR="00BD31F3">
          <w:rPr>
            <w:noProof/>
            <w:webHidden/>
          </w:rPr>
          <w:t>5</w:t>
        </w:r>
        <w:r w:rsidR="00BD31F3">
          <w:rPr>
            <w:noProof/>
            <w:webHidden/>
          </w:rPr>
          <w:fldChar w:fldCharType="end"/>
        </w:r>
      </w:hyperlink>
    </w:p>
    <w:p w14:paraId="1D6C5D98" w14:textId="23BA970A" w:rsidR="00BD31F3" w:rsidRDefault="00000000">
      <w:pPr>
        <w:pStyle w:val="TableofFigures"/>
        <w:tabs>
          <w:tab w:val="right" w:leader="dot" w:pos="9350"/>
        </w:tabs>
        <w:rPr>
          <w:rFonts w:asciiTheme="minorHAnsi" w:eastAsiaTheme="minorEastAsia" w:hAnsiTheme="minorHAnsi" w:cstheme="minorBidi"/>
          <w:noProof/>
          <w:kern w:val="2"/>
          <w:sz w:val="22"/>
          <w:szCs w:val="22"/>
          <w:lang w:val="en-US"/>
          <w14:ligatures w14:val="standardContextual"/>
        </w:rPr>
      </w:pPr>
      <w:hyperlink w:anchor="_Toc157772555" w:history="1">
        <w:r w:rsidR="00BD31F3" w:rsidRPr="004E4F69">
          <w:rPr>
            <w:rStyle w:val="Hyperlink"/>
            <w:noProof/>
          </w:rPr>
          <w:t>Figure 3: Increasing green economy</w:t>
        </w:r>
        <w:r w:rsidR="00BD31F3">
          <w:rPr>
            <w:noProof/>
            <w:webHidden/>
          </w:rPr>
          <w:tab/>
        </w:r>
        <w:r w:rsidR="00BD31F3">
          <w:rPr>
            <w:noProof/>
            <w:webHidden/>
          </w:rPr>
          <w:fldChar w:fldCharType="begin"/>
        </w:r>
        <w:r w:rsidR="00BD31F3">
          <w:rPr>
            <w:noProof/>
            <w:webHidden/>
          </w:rPr>
          <w:instrText xml:space="preserve"> PAGEREF _Toc157772555 \h </w:instrText>
        </w:r>
        <w:r w:rsidR="00BD31F3">
          <w:rPr>
            <w:noProof/>
            <w:webHidden/>
          </w:rPr>
        </w:r>
        <w:r w:rsidR="00BD31F3">
          <w:rPr>
            <w:noProof/>
            <w:webHidden/>
          </w:rPr>
          <w:fldChar w:fldCharType="separate"/>
        </w:r>
        <w:r w:rsidR="00BD31F3">
          <w:rPr>
            <w:noProof/>
            <w:webHidden/>
          </w:rPr>
          <w:t>8</w:t>
        </w:r>
        <w:r w:rsidR="00BD31F3">
          <w:rPr>
            <w:noProof/>
            <w:webHidden/>
          </w:rPr>
          <w:fldChar w:fldCharType="end"/>
        </w:r>
      </w:hyperlink>
    </w:p>
    <w:p w14:paraId="6F0A8F0D" w14:textId="614F45CA" w:rsidR="008C1FB0" w:rsidRDefault="008C1FB0">
      <w:r>
        <w:fldChar w:fldCharType="end"/>
      </w:r>
    </w:p>
    <w:p w14:paraId="78D66CC8" w14:textId="77777777" w:rsidR="006B32F0" w:rsidRDefault="006B32F0" w:rsidP="006B32F0"/>
    <w:p w14:paraId="14631BDC" w14:textId="39308E08" w:rsidR="00103E4C" w:rsidRDefault="00103E4C">
      <w:pPr>
        <w:spacing w:after="160" w:line="259" w:lineRule="auto"/>
        <w:jc w:val="left"/>
      </w:pPr>
      <w:r>
        <w:br w:type="page"/>
      </w:r>
    </w:p>
    <w:p w14:paraId="16C58AD9" w14:textId="7FE48269" w:rsidR="00103E4C" w:rsidRDefault="00103E4C" w:rsidP="00103E4C">
      <w:pPr>
        <w:pStyle w:val="Heading1"/>
      </w:pPr>
      <w:bookmarkStart w:id="0" w:name="_Toc101999040"/>
      <w:bookmarkStart w:id="1" w:name="_Toc157772536"/>
      <w:r>
        <w:lastRenderedPageBreak/>
        <w:t>Introduction</w:t>
      </w:r>
      <w:bookmarkEnd w:id="0"/>
      <w:bookmarkEnd w:id="1"/>
      <w:r>
        <w:t xml:space="preserve"> </w:t>
      </w:r>
    </w:p>
    <w:p w14:paraId="23C0C557" w14:textId="0CAC5CE1" w:rsidR="00CB455F" w:rsidRPr="00CB455F" w:rsidRDefault="00266A36" w:rsidP="00DD54C7">
      <w:r>
        <w:t xml:space="preserve">To gain customer attention and to obtain market preference, organisations within hospitality firms can go for </w:t>
      </w:r>
      <w:r w:rsidR="00755195">
        <w:t xml:space="preserve">a </w:t>
      </w:r>
      <w:r>
        <w:t xml:space="preserve">deceptive marketing approach that can be greenwashing. In this case, organisations offer fake reports in front of </w:t>
      </w:r>
      <w:r w:rsidR="00755195">
        <w:t xml:space="preserve">an </w:t>
      </w:r>
      <w:r>
        <w:t xml:space="preserve">audience so that the trust of the audience can be gained. The firms set large targets to achieve within </w:t>
      </w:r>
      <w:r w:rsidR="00755195">
        <w:t xml:space="preserve">a </w:t>
      </w:r>
      <w:r>
        <w:t xml:space="preserve">short period which may seem impossible to achieve but positive feedback on the public reports generated by the firms can be pound. Most of the greenwashing activities are done when the firms go for self-evaluation as the firms do not have to speak in front of others regarding </w:t>
      </w:r>
      <w:r w:rsidR="00D17193">
        <w:t xml:space="preserve">issues </w:t>
      </w:r>
      <w:r w:rsidR="00755195">
        <w:t xml:space="preserve">that </w:t>
      </w:r>
      <w:r w:rsidR="00D17193">
        <w:t>arise during operation</w:t>
      </w:r>
      <w:r w:rsidR="005055DD">
        <w:t xml:space="preserve"> (Quester &amp; Pettigrew, 2021)</w:t>
      </w:r>
      <w:r w:rsidR="00D17193">
        <w:t>. This paper will contain information about the accusation of greenwashing to Marriott, the areas of potential greenwashing, self-evaluation of green report</w:t>
      </w:r>
      <w:r w:rsidR="00755195">
        <w:t>s</w:t>
      </w:r>
      <w:r w:rsidR="00D17193">
        <w:t xml:space="preserve">, reasons </w:t>
      </w:r>
      <w:r w:rsidR="00755195">
        <w:t>for</w:t>
      </w:r>
      <w:r w:rsidR="00D17193">
        <w:t xml:space="preserve"> using self-evaluation by companies and the alternatives of self-evaluation. </w:t>
      </w:r>
      <w:r w:rsidR="00103E4C">
        <w:br w:type="page"/>
      </w:r>
    </w:p>
    <w:p w14:paraId="1CEBDD64" w14:textId="77777777" w:rsidR="00E30DDC" w:rsidRDefault="00E30DDC" w:rsidP="009A4BB3">
      <w:pPr>
        <w:pStyle w:val="Heading2"/>
      </w:pPr>
      <w:bookmarkStart w:id="2" w:name="_Toc157772537"/>
      <w:r>
        <w:lastRenderedPageBreak/>
        <w:t>Identifying the greenwashing accusation of Marriott</w:t>
      </w:r>
      <w:bookmarkEnd w:id="2"/>
    </w:p>
    <w:p w14:paraId="19F4404B" w14:textId="3EDD6F99" w:rsidR="00755195" w:rsidRDefault="00023C48" w:rsidP="00455940">
      <w:r>
        <w:t xml:space="preserve">Marriott has been always recognised for its contribution to different CSR initiatives. This organisation contributes to the welfare of society and </w:t>
      </w:r>
      <w:r w:rsidR="00755195">
        <w:t xml:space="preserve">the </w:t>
      </w:r>
      <w:r>
        <w:t>environment continuously. However, th</w:t>
      </w:r>
      <w:r w:rsidR="00755195">
        <w:t>ese</w:t>
      </w:r>
      <w:r>
        <w:t xml:space="preserve"> people have raised concerns regarding the environmental practice</w:t>
      </w:r>
      <w:r w:rsidR="00755195">
        <w:t>s</w:t>
      </w:r>
      <w:r>
        <w:t xml:space="preserve"> of this organisation several times. </w:t>
      </w:r>
    </w:p>
    <w:p w14:paraId="420F69FD" w14:textId="77777777" w:rsidR="00755195" w:rsidRPr="005055DD" w:rsidRDefault="00755195" w:rsidP="005055DD">
      <w:pPr>
        <w:keepNext/>
        <w:jc w:val="center"/>
        <w:rPr>
          <w:sz w:val="18"/>
          <w:szCs w:val="18"/>
        </w:rPr>
      </w:pPr>
      <w:r w:rsidRPr="005055DD">
        <w:rPr>
          <w:noProof/>
          <w:sz w:val="18"/>
          <w:szCs w:val="18"/>
        </w:rPr>
        <w:drawing>
          <wp:inline distT="0" distB="0" distL="0" distR="0" wp14:anchorId="2404F036" wp14:editId="5C1D5D6F">
            <wp:extent cx="1469383" cy="1325889"/>
            <wp:effectExtent l="0" t="0" r="0" b="7620"/>
            <wp:docPr id="3980734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073456" name="Picture 398073456"/>
                    <pic:cNvPicPr/>
                  </pic:nvPicPr>
                  <pic:blipFill>
                    <a:blip r:embed="rId8">
                      <a:extLst>
                        <a:ext uri="{28A0092B-C50C-407E-A947-70E740481C1C}">
                          <a14:useLocalDpi xmlns:a14="http://schemas.microsoft.com/office/drawing/2010/main" val="0"/>
                        </a:ext>
                      </a:extLst>
                    </a:blip>
                    <a:stretch>
                      <a:fillRect/>
                    </a:stretch>
                  </pic:blipFill>
                  <pic:spPr>
                    <a:xfrm>
                      <a:off x="0" y="0"/>
                      <a:ext cx="1480593" cy="1336004"/>
                    </a:xfrm>
                    <a:prstGeom prst="rect">
                      <a:avLst/>
                    </a:prstGeom>
                  </pic:spPr>
                </pic:pic>
              </a:graphicData>
            </a:graphic>
          </wp:inline>
        </w:drawing>
      </w:r>
    </w:p>
    <w:p w14:paraId="7791B792" w14:textId="2272B654" w:rsidR="00755195" w:rsidRPr="009A4BB3" w:rsidRDefault="00755195" w:rsidP="009A4BB3">
      <w:pPr>
        <w:pStyle w:val="Caption"/>
        <w:spacing w:after="0"/>
      </w:pPr>
      <w:bookmarkStart w:id="3" w:name="_Toc157772553"/>
      <w:r w:rsidRPr="009A4BB3">
        <w:t xml:space="preserve">Figure </w:t>
      </w:r>
      <w:fldSimple w:instr=" SEQ Figure \* ARABIC ">
        <w:r w:rsidRPr="009A4BB3">
          <w:rPr>
            <w:noProof/>
          </w:rPr>
          <w:t>1</w:t>
        </w:r>
      </w:fldSimple>
      <w:r w:rsidRPr="009A4BB3">
        <w:t>: Increasing number of greenwashing</w:t>
      </w:r>
      <w:bookmarkEnd w:id="3"/>
    </w:p>
    <w:p w14:paraId="53C8C81B" w14:textId="02BC7FF5" w:rsidR="00755195" w:rsidRPr="009A4BB3" w:rsidRDefault="00755195" w:rsidP="009A4BB3">
      <w:pPr>
        <w:jc w:val="center"/>
        <w:rPr>
          <w:b/>
          <w:sz w:val="18"/>
          <w:szCs w:val="18"/>
          <w:lang w:val="en-US"/>
        </w:rPr>
      </w:pPr>
      <w:r w:rsidRPr="009A4BB3">
        <w:rPr>
          <w:b/>
          <w:sz w:val="18"/>
          <w:szCs w:val="18"/>
          <w:lang w:val="en-US"/>
        </w:rPr>
        <w:t xml:space="preserve">Source: </w:t>
      </w:r>
      <w:r w:rsidR="005055DD" w:rsidRPr="009A4BB3">
        <w:rPr>
          <w:b/>
          <w:sz w:val="18"/>
          <w:szCs w:val="18"/>
        </w:rPr>
        <w:t>(Thompson, 2023)</w:t>
      </w:r>
    </w:p>
    <w:p w14:paraId="4AF263FB" w14:textId="44CAC2C3" w:rsidR="00E30DDC" w:rsidRDefault="00023C48" w:rsidP="00455940">
      <w:r>
        <w:t xml:space="preserve">Certain factors can indicate the accusation of greenwashing of Marriot but those do not directly indicate the presence of greenwashing in this case. </w:t>
      </w:r>
      <w:r w:rsidR="00A21144">
        <w:t xml:space="preserve">One of the major areas which created concern for Marriott regarding greenwashing is the </w:t>
      </w:r>
      <w:r w:rsidR="00A21144" w:rsidRPr="00A21144">
        <w:rPr>
          <w:b/>
          <w:bCs/>
        </w:rPr>
        <w:t>sustainability commitment</w:t>
      </w:r>
      <w:r w:rsidR="00A21144">
        <w:t xml:space="preserve"> of the firm. Marriot is committed to reduc</w:t>
      </w:r>
      <w:r w:rsidR="00755195">
        <w:t>ing</w:t>
      </w:r>
      <w:r w:rsidR="00A21144">
        <w:t xml:space="preserve"> the carbon impact by 30%. This timeline for this target has been set to 2030. Some environmentalists have made some negative comment</w:t>
      </w:r>
      <w:r w:rsidR="00755195">
        <w:t>s</w:t>
      </w:r>
      <w:r w:rsidR="00A21144">
        <w:t xml:space="preserve"> on this commitment as reducing carbon impact by this large number can be difficult within </w:t>
      </w:r>
      <w:r w:rsidR="00755195">
        <w:t>a</w:t>
      </w:r>
      <w:r w:rsidR="00A21144">
        <w:t xml:space="preserve"> short period</w:t>
      </w:r>
      <w:r w:rsidR="005055DD">
        <w:t xml:space="preserve"> (Donleavy &amp; Noronha, 2023)</w:t>
      </w:r>
      <w:r w:rsidR="00A21144">
        <w:t xml:space="preserve">. Further, obtaining zero waste is also difficult which is another major commitment made by Marriott to achieve within 2050. Environmentalists believe that reducing waste is possible but achieving zero waste by a hospitality firm which has </w:t>
      </w:r>
      <w:r w:rsidR="00755195">
        <w:t xml:space="preserve">a </w:t>
      </w:r>
      <w:r w:rsidR="00A21144">
        <w:t xml:space="preserve">large number of rooms and has global presence is difficult. </w:t>
      </w:r>
      <w:r>
        <w:t xml:space="preserve"> </w:t>
      </w:r>
    </w:p>
    <w:p w14:paraId="341C54BD" w14:textId="3203BD56" w:rsidR="00A21144" w:rsidRDefault="00A21144" w:rsidP="00455940">
      <w:r>
        <w:t xml:space="preserve">Again, a </w:t>
      </w:r>
      <w:r w:rsidRPr="0097696A">
        <w:rPr>
          <w:b/>
          <w:bCs/>
        </w:rPr>
        <w:t>lawsuit</w:t>
      </w:r>
      <w:r>
        <w:t xml:space="preserve"> has been filed by Sierra Club regarding misleading customers by Marriot in 2019. This lawsuit has been filed in 2019. </w:t>
      </w:r>
      <w:r w:rsidR="00755195">
        <w:t>T</w:t>
      </w:r>
      <w:r>
        <w:t xml:space="preserve">his year, Sierra Club has filed this case because Marriott has misled customers about the use of plastic. According to Marriott, the firm uses single-use plastic. However, those plastics were </w:t>
      </w:r>
      <w:r w:rsidR="005055DD">
        <w:t>no</w:t>
      </w:r>
      <w:r>
        <w:t xml:space="preserve"> single used that year. Therefore, that club has filed a case against Marriott. Though that case was settled after some time, it created a concern among people all over the world </w:t>
      </w:r>
      <w:r w:rsidR="00D746BD">
        <w:t>regarding the commitment of Marriott</w:t>
      </w:r>
      <w:r w:rsidR="005055DD">
        <w:t xml:space="preserve"> (Mehta &amp; Chari, 2023)</w:t>
      </w:r>
      <w:r w:rsidR="00D746BD">
        <w:t xml:space="preserve">. In 2020, different reports were published containing misleading information </w:t>
      </w:r>
      <w:r w:rsidR="00755195">
        <w:t>about</w:t>
      </w:r>
      <w:r w:rsidR="00D746BD">
        <w:t xml:space="preserve"> hotels undertaking corporat</w:t>
      </w:r>
      <w:r w:rsidR="00755195">
        <w:t>e</w:t>
      </w:r>
      <w:r w:rsidR="00D746BD">
        <w:t xml:space="preserve"> social </w:t>
      </w:r>
      <w:r w:rsidR="00D746BD">
        <w:lastRenderedPageBreak/>
        <w:t>responsibility. In this case, those reports did not directly mention Marriott but those reports have also raised questions a</w:t>
      </w:r>
      <w:r w:rsidR="00755195">
        <w:t>bou</w:t>
      </w:r>
      <w:r w:rsidR="00D746BD">
        <w:t xml:space="preserve">t this hotel. Therefore, some people have accused Marriot </w:t>
      </w:r>
      <w:r w:rsidR="00755195">
        <w:t>of</w:t>
      </w:r>
      <w:r w:rsidR="00D746BD">
        <w:t xml:space="preserve"> greenwashing even though </w:t>
      </w:r>
      <w:r w:rsidR="00755195">
        <w:t xml:space="preserve">a </w:t>
      </w:r>
      <w:r w:rsidR="00D746BD">
        <w:t xml:space="preserve">direct connection </w:t>
      </w:r>
      <w:r w:rsidR="00755195">
        <w:t>between</w:t>
      </w:r>
      <w:r w:rsidR="00D746BD">
        <w:t xml:space="preserve"> this firm with greenwashing has not been found. </w:t>
      </w:r>
    </w:p>
    <w:p w14:paraId="54D34EA1" w14:textId="77777777" w:rsidR="00E30DDC" w:rsidRDefault="00E30DDC" w:rsidP="009A4BB3">
      <w:pPr>
        <w:pStyle w:val="Heading2"/>
      </w:pPr>
      <w:bookmarkStart w:id="4" w:name="_Toc157772538"/>
      <w:r>
        <w:t>Areas where it could be construed that Marriott is greenwashing</w:t>
      </w:r>
      <w:bookmarkEnd w:id="4"/>
    </w:p>
    <w:p w14:paraId="6BDC1DAB" w14:textId="0826184D" w:rsidR="00755195" w:rsidRDefault="00D746BD" w:rsidP="00455940">
      <w:r>
        <w:t>Some points can indicate that there is a potentiality of greenwashing by Marriot. Among these points</w:t>
      </w:r>
      <w:r w:rsidR="00755195">
        <w:t>,</w:t>
      </w:r>
      <w:r>
        <w:t xml:space="preserve"> the </w:t>
      </w:r>
      <w:r w:rsidRPr="0097696A">
        <w:rPr>
          <w:b/>
          <w:bCs/>
        </w:rPr>
        <w:t>lack of transparency</w:t>
      </w:r>
      <w:r>
        <w:t xml:space="preserve"> is one of the major ones. Here, Marriott does not show enough evidence regarding the sustainability efforts of this firm</w:t>
      </w:r>
      <w:r w:rsidR="005055DD">
        <w:t xml:space="preserve"> (Frost, 2022)</w:t>
      </w:r>
      <w:r>
        <w:t xml:space="preserve">. Moreover, this organisation does show evidence of different environmental impacts of the programs taken by this firm. For example, whether the programs are working or not cannot be identified from the presented information by this hotel. </w:t>
      </w:r>
    </w:p>
    <w:p w14:paraId="1A33385B" w14:textId="77777777" w:rsidR="00755195" w:rsidRPr="005055DD" w:rsidRDefault="00755195" w:rsidP="005055DD">
      <w:pPr>
        <w:keepNext/>
        <w:jc w:val="center"/>
        <w:rPr>
          <w:sz w:val="18"/>
          <w:szCs w:val="18"/>
        </w:rPr>
      </w:pPr>
      <w:r w:rsidRPr="005055DD">
        <w:rPr>
          <w:noProof/>
          <w:sz w:val="18"/>
          <w:szCs w:val="18"/>
        </w:rPr>
        <w:drawing>
          <wp:inline distT="0" distB="0" distL="0" distR="0" wp14:anchorId="4088E870" wp14:editId="409F2FAA">
            <wp:extent cx="1765373" cy="1369353"/>
            <wp:effectExtent l="0" t="0" r="6350" b="2540"/>
            <wp:docPr id="7985316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853169" name="Picture 79853169"/>
                    <pic:cNvPicPr/>
                  </pic:nvPicPr>
                  <pic:blipFill>
                    <a:blip r:embed="rId9">
                      <a:extLst>
                        <a:ext uri="{28A0092B-C50C-407E-A947-70E740481C1C}">
                          <a14:useLocalDpi xmlns:a14="http://schemas.microsoft.com/office/drawing/2010/main" val="0"/>
                        </a:ext>
                      </a:extLst>
                    </a:blip>
                    <a:stretch>
                      <a:fillRect/>
                    </a:stretch>
                  </pic:blipFill>
                  <pic:spPr>
                    <a:xfrm>
                      <a:off x="0" y="0"/>
                      <a:ext cx="1783559" cy="1383459"/>
                    </a:xfrm>
                    <a:prstGeom prst="rect">
                      <a:avLst/>
                    </a:prstGeom>
                  </pic:spPr>
                </pic:pic>
              </a:graphicData>
            </a:graphic>
          </wp:inline>
        </w:drawing>
      </w:r>
    </w:p>
    <w:p w14:paraId="08034824" w14:textId="6EE68975" w:rsidR="00755195" w:rsidRPr="009A4BB3" w:rsidRDefault="00755195" w:rsidP="009A4BB3">
      <w:pPr>
        <w:pStyle w:val="Caption"/>
        <w:spacing w:after="0"/>
      </w:pPr>
      <w:bookmarkStart w:id="5" w:name="_Toc157772554"/>
      <w:r w:rsidRPr="009A4BB3">
        <w:t xml:space="preserve">Figure </w:t>
      </w:r>
      <w:fldSimple w:instr=" SEQ Figure \* ARABIC ">
        <w:r w:rsidRPr="009A4BB3">
          <w:rPr>
            <w:noProof/>
          </w:rPr>
          <w:t>2</w:t>
        </w:r>
      </w:fldSimple>
      <w:r w:rsidRPr="009A4BB3">
        <w:t>: Rising questions on increasing sustainable brands</w:t>
      </w:r>
      <w:bookmarkEnd w:id="5"/>
    </w:p>
    <w:p w14:paraId="703C93EC" w14:textId="6EA65924" w:rsidR="00755195" w:rsidRPr="009A4BB3" w:rsidRDefault="00755195" w:rsidP="009A4BB3">
      <w:pPr>
        <w:jc w:val="center"/>
        <w:rPr>
          <w:b/>
          <w:sz w:val="18"/>
          <w:szCs w:val="18"/>
          <w:lang w:val="en-US"/>
        </w:rPr>
      </w:pPr>
      <w:r w:rsidRPr="009A4BB3">
        <w:rPr>
          <w:b/>
          <w:sz w:val="18"/>
          <w:szCs w:val="18"/>
          <w:lang w:val="en-US"/>
        </w:rPr>
        <w:t xml:space="preserve">Source: </w:t>
      </w:r>
      <w:r w:rsidR="005055DD" w:rsidRPr="009A4BB3">
        <w:rPr>
          <w:b/>
          <w:sz w:val="18"/>
          <w:szCs w:val="18"/>
        </w:rPr>
        <w:t>(Pabon, 2023)</w:t>
      </w:r>
    </w:p>
    <w:p w14:paraId="400BA4BB" w14:textId="0984C08B" w:rsidR="00E30DDC" w:rsidRDefault="00D746BD" w:rsidP="00455940">
      <w:r>
        <w:t xml:space="preserve">People can also raise questions about energy saving by this firm. Some people also said that Marriot might overstated the sustainable presence of this firm regarding energy saving. </w:t>
      </w:r>
      <w:r w:rsidR="0097696A">
        <w:t xml:space="preserve">Again, concern related to </w:t>
      </w:r>
      <w:r w:rsidR="0097696A" w:rsidRPr="0097696A">
        <w:rPr>
          <w:b/>
          <w:bCs/>
        </w:rPr>
        <w:t>employee impact</w:t>
      </w:r>
      <w:r w:rsidR="0097696A">
        <w:t xml:space="preserve"> can also raise question</w:t>
      </w:r>
      <w:r w:rsidR="00755195">
        <w:t>s</w:t>
      </w:r>
      <w:r w:rsidR="0097696A">
        <w:t xml:space="preserve"> towards greenwashing practice</w:t>
      </w:r>
      <w:r w:rsidR="00755195">
        <w:t>s</w:t>
      </w:r>
      <w:r w:rsidR="0097696A">
        <w:t xml:space="preserve"> by this firm. Marriott has taken </w:t>
      </w:r>
      <w:r w:rsidR="00755195">
        <w:t>the</w:t>
      </w:r>
      <w:r w:rsidR="0097696A">
        <w:t xml:space="preserve"> initiative </w:t>
      </w:r>
      <w:r w:rsidR="00755195">
        <w:t>to opt</w:t>
      </w:r>
      <w:r w:rsidR="0097696A">
        <w:t xml:space="preserve"> out of housekeeping</w:t>
      </w:r>
      <w:r w:rsidR="005055DD">
        <w:t xml:space="preserve"> (Thompson, 2023)</w:t>
      </w:r>
      <w:r w:rsidR="0097696A">
        <w:t xml:space="preserve">. This particular practice by this firm can negatively influence the wages of </w:t>
      </w:r>
      <w:r w:rsidR="00755195">
        <w:t xml:space="preserve">the </w:t>
      </w:r>
      <w:r w:rsidR="0097696A">
        <w:t>housekeeper of this hotel. This can also reduce the workload of the housekeepers which can directly reduce their wages obtained from this hotel. In this case, the sustainable practice of Marriott is becoming a reason for worker dissatisfaction which is raising questions a</w:t>
      </w:r>
      <w:r w:rsidR="00755195">
        <w:t>bou</w:t>
      </w:r>
      <w:r w:rsidR="0097696A">
        <w:t xml:space="preserve">t the sustainability efforts of this firm. </w:t>
      </w:r>
    </w:p>
    <w:p w14:paraId="734DFF03" w14:textId="364BA2C3" w:rsidR="0097696A" w:rsidRDefault="0097696A" w:rsidP="00455940">
      <w:r>
        <w:t xml:space="preserve">Concern about </w:t>
      </w:r>
      <w:r w:rsidRPr="000B7B9F">
        <w:rPr>
          <w:b/>
          <w:bCs/>
        </w:rPr>
        <w:t>shifting the burden</w:t>
      </w:r>
      <w:r>
        <w:t xml:space="preserve"> is another major issue regarding the greenwashing practice. Marriot always motivates the customers to ensure sustainable energy use but the customers have shown concern regarding the practice of this hotel</w:t>
      </w:r>
      <w:r w:rsidR="005055DD">
        <w:t xml:space="preserve"> (</w:t>
      </w:r>
      <w:proofErr w:type="spellStart"/>
      <w:r w:rsidR="005055DD">
        <w:t>Blowfield</w:t>
      </w:r>
      <w:proofErr w:type="spellEnd"/>
      <w:r w:rsidR="005055DD">
        <w:t xml:space="preserve"> &amp; Murray, 2022)</w:t>
      </w:r>
      <w:r>
        <w:t>. Some of the customers have complain</w:t>
      </w:r>
      <w:r w:rsidR="00755195">
        <w:t>ed</w:t>
      </w:r>
      <w:r>
        <w:t xml:space="preserve"> that Marriott tries to shift the </w:t>
      </w:r>
      <w:r>
        <w:lastRenderedPageBreak/>
        <w:t>burden of sustainable business practice</w:t>
      </w:r>
      <w:r w:rsidR="00755195">
        <w:t>s</w:t>
      </w:r>
      <w:r>
        <w:t xml:space="preserve"> to the customers rather than ensuring </w:t>
      </w:r>
      <w:r w:rsidR="00755195">
        <w:t xml:space="preserve">a </w:t>
      </w:r>
      <w:r>
        <w:t xml:space="preserve">firm approach. In this case, the contribution of the firm is very low which indicates the potentiality of greenwashing. </w:t>
      </w:r>
      <w:r w:rsidR="00E65659">
        <w:t xml:space="preserve">Further </w:t>
      </w:r>
      <w:r w:rsidR="00E65659" w:rsidRPr="00E65659">
        <w:rPr>
          <w:b/>
          <w:bCs/>
        </w:rPr>
        <w:t>focusing on small changes</w:t>
      </w:r>
      <w:r w:rsidR="00E65659">
        <w:t xml:space="preserve"> is also a major factor that indicates the potentiality of greenwashing. Marriott showed a high concern regarding the reuse of towels within the hotel which is a good approach towards sustainable resource management. However, this organisation is ignoring the large perspective. In this case, Marriott is focusing on the achievement of small targets rather than achieving large targets like </w:t>
      </w:r>
      <w:r w:rsidR="000B7B9F">
        <w:t>energy use reduction and carbon footprint reduction</w:t>
      </w:r>
      <w:r w:rsidR="005055DD">
        <w:t xml:space="preserve"> (Quester &amp; Pettigrew, 2021)</w:t>
      </w:r>
      <w:r w:rsidR="000B7B9F">
        <w:t xml:space="preserve">. Therefore, focusing on small changes can also raise questions regarding the potentiality of greenwashing. </w:t>
      </w:r>
    </w:p>
    <w:p w14:paraId="47437612" w14:textId="0B939995" w:rsidR="00E30DDC" w:rsidRDefault="00E30DDC" w:rsidP="009A4BB3">
      <w:pPr>
        <w:pStyle w:val="Heading2"/>
      </w:pPr>
      <w:bookmarkStart w:id="6" w:name="_Toc157772539"/>
      <w:r>
        <w:t>Identifying whether Marriott self-evaluate</w:t>
      </w:r>
      <w:r w:rsidR="00755195">
        <w:t>s</w:t>
      </w:r>
      <w:r>
        <w:t xml:space="preserve"> about greenwashing or not</w:t>
      </w:r>
      <w:bookmarkEnd w:id="6"/>
    </w:p>
    <w:p w14:paraId="0CFA81C1" w14:textId="0DF079B1" w:rsidR="00E30DDC" w:rsidRDefault="000B7B9F" w:rsidP="00455940">
      <w:r>
        <w:t xml:space="preserve">Going on self-evaluation regarding greenwashing can lead to several questions for an organisation. This can raise questions on </w:t>
      </w:r>
      <w:r w:rsidR="00755195">
        <w:t xml:space="preserve">the </w:t>
      </w:r>
      <w:r>
        <w:t xml:space="preserve">transparency of reports of the organisation. Further, it can also limit third-party involvement which can also ensure the accuracy of green hospitality participation. Here, Marriott goes for self-evaluation for its sustainable business performance and green presence. Among </w:t>
      </w:r>
      <w:r w:rsidR="00755195">
        <w:t xml:space="preserve">the </w:t>
      </w:r>
      <w:r>
        <w:t xml:space="preserve">different self-evaluation efforts of Marriott, </w:t>
      </w:r>
      <w:r w:rsidR="00755195">
        <w:t xml:space="preserve">the </w:t>
      </w:r>
      <w:r w:rsidRPr="00B82A57">
        <w:rPr>
          <w:b/>
          <w:bCs/>
        </w:rPr>
        <w:t>sustainability report</w:t>
      </w:r>
      <w:r>
        <w:t xml:space="preserve"> is one of the major ones. Marriot ensures an annual sustainability report that shows the previous activities of the firm regarding different sustainability efforts. Further, these reports also publish future goals regarding sustainability for this firm. The self-evaluation can mislead this information. </w:t>
      </w:r>
    </w:p>
    <w:p w14:paraId="14CE5755" w14:textId="777C9117" w:rsidR="000B7B9F" w:rsidRDefault="000B7B9F" w:rsidP="00455940">
      <w:r>
        <w:t xml:space="preserve">Further, Marriott uses </w:t>
      </w:r>
      <w:r w:rsidRPr="00B82A57">
        <w:rPr>
          <w:b/>
          <w:bCs/>
        </w:rPr>
        <w:t>internal audits</w:t>
      </w:r>
      <w:r>
        <w:t xml:space="preserve"> to assess </w:t>
      </w:r>
      <w:r w:rsidR="00755195">
        <w:t xml:space="preserve">the </w:t>
      </w:r>
      <w:r>
        <w:t>progress of the firm regarding sustainability business performance</w:t>
      </w:r>
      <w:r w:rsidR="005055DD">
        <w:t xml:space="preserve"> (Frost, 2022)</w:t>
      </w:r>
      <w:r>
        <w:t xml:space="preserve">. Here, the firm </w:t>
      </w:r>
      <w:r w:rsidR="00B82A57">
        <w:t>use</w:t>
      </w:r>
      <w:r w:rsidR="00755195">
        <w:t>s</w:t>
      </w:r>
      <w:r w:rsidR="00B82A57">
        <w:t xml:space="preserve"> the internal audit department to maintain the progress report of </w:t>
      </w:r>
      <w:r w:rsidR="00755195">
        <w:t xml:space="preserve">the </w:t>
      </w:r>
      <w:r w:rsidR="00B82A57">
        <w:t xml:space="preserve">whole sustainability approach undertaken by this firm. This lacks the credibility of </w:t>
      </w:r>
      <w:r w:rsidR="00755195">
        <w:t xml:space="preserve">the </w:t>
      </w:r>
      <w:r w:rsidR="00B82A57">
        <w:t>information generated by this department. However, Marriott takes third-party certification. In this case, the firm uses different certifications and among th</w:t>
      </w:r>
      <w:r w:rsidR="00755195">
        <w:t>ose</w:t>
      </w:r>
      <w:r w:rsidR="00B82A57">
        <w:t xml:space="preserve"> certification</w:t>
      </w:r>
      <w:r w:rsidR="00755195">
        <w:t>s,</w:t>
      </w:r>
      <w:r w:rsidR="00B82A57">
        <w:t xml:space="preserve"> LEED and Energy Star are some of the major ones. These programs always involve independent observer</w:t>
      </w:r>
      <w:r w:rsidR="00755195">
        <w:t>s</w:t>
      </w:r>
      <w:r w:rsidR="00B82A57">
        <w:t xml:space="preserve"> regarding the presence of this firm in sustainable practice.  </w:t>
      </w:r>
    </w:p>
    <w:p w14:paraId="0DB14B8B" w14:textId="3163C4A2" w:rsidR="00E30DDC" w:rsidRDefault="00E30DDC" w:rsidP="009A4BB3">
      <w:pPr>
        <w:pStyle w:val="Heading2"/>
      </w:pPr>
      <w:bookmarkStart w:id="7" w:name="_Toc157772540"/>
      <w:r>
        <w:t xml:space="preserve">Reasons </w:t>
      </w:r>
      <w:r w:rsidR="00755195">
        <w:t>for</w:t>
      </w:r>
      <w:r>
        <w:t xml:space="preserve"> doing </w:t>
      </w:r>
      <w:r w:rsidR="001052D9">
        <w:t>self-evaluate</w:t>
      </w:r>
      <w:r>
        <w:t xml:space="preserve"> by companies</w:t>
      </w:r>
      <w:bookmarkEnd w:id="7"/>
    </w:p>
    <w:p w14:paraId="0BBD7BF5" w14:textId="6E89326D" w:rsidR="00E30DDC" w:rsidRDefault="00B82A57" w:rsidP="00455940">
      <w:r>
        <w:t xml:space="preserve">Certain reasons are associated </w:t>
      </w:r>
      <w:r w:rsidR="00755195">
        <w:t>with</w:t>
      </w:r>
      <w:r>
        <w:t xml:space="preserve"> which companies go for self-evaluation. One of the major reasons in this case is </w:t>
      </w:r>
      <w:r w:rsidRPr="00B82A57">
        <w:rPr>
          <w:b/>
          <w:bCs/>
        </w:rPr>
        <w:t>identifying internal strengths and weaknesses</w:t>
      </w:r>
      <w:r>
        <w:t xml:space="preserve">. When </w:t>
      </w:r>
      <w:r>
        <w:lastRenderedPageBreak/>
        <w:t xml:space="preserve">companies go for self-evaluation, it becomes easy for the firms to identify their internal strengths and weaknesses. Further, the companies can </w:t>
      </w:r>
      <w:r w:rsidRPr="00B82A57">
        <w:rPr>
          <w:b/>
          <w:bCs/>
        </w:rPr>
        <w:t>track progress</w:t>
      </w:r>
      <w:r>
        <w:t>. When companies set different sustainability goals, these companies need to track progress</w:t>
      </w:r>
      <w:r w:rsidR="005055DD">
        <w:t xml:space="preserve"> (Rimmer, 2022)</w:t>
      </w:r>
      <w:r>
        <w:t>. In this case, using self-evaluation to track th</w:t>
      </w:r>
      <w:r w:rsidR="00755195">
        <w:t>is progres</w:t>
      </w:r>
      <w:r>
        <w:t xml:space="preserve">s can support the firms in identifying the areas for improvement. Further, this can also suggest necessary steps to be taken during sustainable business practice. </w:t>
      </w:r>
    </w:p>
    <w:p w14:paraId="62E64E52" w14:textId="5F1B7C31" w:rsidR="00B82A57" w:rsidRDefault="00B82A57" w:rsidP="00455940">
      <w:r>
        <w:t xml:space="preserve">Again, using self-evaluation also </w:t>
      </w:r>
      <w:r w:rsidRPr="00D0345C">
        <w:rPr>
          <w:b/>
          <w:bCs/>
        </w:rPr>
        <w:t>publish</w:t>
      </w:r>
      <w:r w:rsidR="00755195">
        <w:rPr>
          <w:b/>
          <w:bCs/>
        </w:rPr>
        <w:t>es</w:t>
      </w:r>
      <w:r w:rsidRPr="00D0345C">
        <w:rPr>
          <w:b/>
          <w:bCs/>
        </w:rPr>
        <w:t xml:space="preserve"> accountability</w:t>
      </w:r>
      <w:r>
        <w:t xml:space="preserve"> of the firms regarding sustainable business practice</w:t>
      </w:r>
      <w:r w:rsidR="00755195">
        <w:t>s</w:t>
      </w:r>
      <w:r>
        <w:t>. When hotels show a positive result of sustainability efforts of those hotels, consumers start trusting those hotels and become read</w:t>
      </w:r>
      <w:r w:rsidR="00D0345C">
        <w:t>y</w:t>
      </w:r>
      <w:r>
        <w:t xml:space="preserve"> to pay </w:t>
      </w:r>
      <w:r w:rsidR="00D0345C">
        <w:t xml:space="preserve">more </w:t>
      </w:r>
      <w:r>
        <w:t>for such place</w:t>
      </w:r>
      <w:r w:rsidR="00755195">
        <w:t>s</w:t>
      </w:r>
      <w:r>
        <w:t>.</w:t>
      </w:r>
      <w:r w:rsidR="00D0345C">
        <w:t xml:space="preserve"> Further, self-evaluation also </w:t>
      </w:r>
      <w:r w:rsidR="00D0345C" w:rsidRPr="00D0345C">
        <w:rPr>
          <w:b/>
          <w:bCs/>
        </w:rPr>
        <w:t>differentiates themselves</w:t>
      </w:r>
      <w:r w:rsidR="00D0345C">
        <w:t>. Companies that go for self-evaluation, will not publish negative efforts of the firms</w:t>
      </w:r>
      <w:r w:rsidR="005055DD">
        <w:t xml:space="preserve"> (Moon, 2023)</w:t>
      </w:r>
      <w:r w:rsidR="00D0345C">
        <w:t xml:space="preserve">. In this case, the companies will be able to publish better reports on their green practice than the companies that go for third-party evaluation. Furthermore, positive self-evaluation also </w:t>
      </w:r>
      <w:r w:rsidR="00D0345C" w:rsidRPr="00D0345C">
        <w:rPr>
          <w:b/>
          <w:bCs/>
        </w:rPr>
        <w:t>boosts employee</w:t>
      </w:r>
      <w:r w:rsidR="00D0345C">
        <w:t xml:space="preserve"> </w:t>
      </w:r>
      <w:r w:rsidR="00D0345C" w:rsidRPr="00D0345C">
        <w:rPr>
          <w:b/>
          <w:bCs/>
        </w:rPr>
        <w:t>morale</w:t>
      </w:r>
      <w:r w:rsidR="00D0345C">
        <w:t xml:space="preserve"> is another motivation for firms to go for self-evaluation. </w:t>
      </w:r>
      <w:r>
        <w:t xml:space="preserve"> </w:t>
      </w:r>
    </w:p>
    <w:p w14:paraId="65C1B056" w14:textId="77777777" w:rsidR="001052D9" w:rsidRDefault="001052D9" w:rsidP="009A4BB3">
      <w:pPr>
        <w:pStyle w:val="Heading2"/>
      </w:pPr>
      <w:bookmarkStart w:id="8" w:name="_Toc157772541"/>
      <w:r>
        <w:t>The use of ‘Green’ technology and identifying its suitability</w:t>
      </w:r>
      <w:bookmarkEnd w:id="8"/>
    </w:p>
    <w:p w14:paraId="7DE30D80" w14:textId="7BB7CD92" w:rsidR="001052D9" w:rsidRDefault="00D0345C" w:rsidP="00455940">
      <w:r>
        <w:t xml:space="preserve">The use of green technology has been working </w:t>
      </w:r>
      <w:r w:rsidR="00755195">
        <w:t>to ensure</w:t>
      </w:r>
      <w:r>
        <w:t xml:space="preserve"> </w:t>
      </w:r>
      <w:r w:rsidR="00755195">
        <w:t xml:space="preserve">a </w:t>
      </w:r>
      <w:r>
        <w:t xml:space="preserve">sustainable future. In this case, using green technology can benefit hospitality firms in </w:t>
      </w:r>
      <w:r w:rsidR="00755195">
        <w:t xml:space="preserve">the </w:t>
      </w:r>
      <w:r>
        <w:t>long</w:t>
      </w:r>
      <w:r w:rsidR="00755195">
        <w:t xml:space="preserve"> </w:t>
      </w:r>
      <w:r>
        <w:t xml:space="preserve">run. Green technology has a </w:t>
      </w:r>
      <w:r w:rsidRPr="00D0345C">
        <w:rPr>
          <w:b/>
          <w:bCs/>
        </w:rPr>
        <w:t>growing market</w:t>
      </w:r>
      <w:r>
        <w:t xml:space="preserve">. This market is expected to expand by more than £4.39 trillion </w:t>
      </w:r>
      <w:r w:rsidR="00755195">
        <w:t>by</w:t>
      </w:r>
      <w:r>
        <w:t xml:space="preserve"> 2025. This means green technology has a huge prospect in the upcoming days. This can include green transportation, green energy and other activities</w:t>
      </w:r>
      <w:r w:rsidR="005055DD">
        <w:t xml:space="preserve"> (Villiers, 2021)</w:t>
      </w:r>
      <w:r>
        <w:t xml:space="preserve">. Further, green technology can also ensure </w:t>
      </w:r>
      <w:r w:rsidRPr="005241C3">
        <w:rPr>
          <w:b/>
          <w:bCs/>
        </w:rPr>
        <w:t>reduced emission</w:t>
      </w:r>
      <w:r w:rsidR="00755195">
        <w:rPr>
          <w:b/>
          <w:bCs/>
        </w:rPr>
        <w:t>s</w:t>
      </w:r>
      <w:r>
        <w:t>. Companies that are dedicated to ensur</w:t>
      </w:r>
      <w:r w:rsidR="00755195">
        <w:t>ing</w:t>
      </w:r>
      <w:r>
        <w:t xml:space="preserve"> green and sustainable business performance, </w:t>
      </w:r>
      <w:r w:rsidR="005241C3">
        <w:t>are ready to reduce carbon emission</w:t>
      </w:r>
      <w:r w:rsidR="00755195">
        <w:t>s</w:t>
      </w:r>
      <w:r w:rsidR="005241C3">
        <w:t xml:space="preserve">. In this case, the use of green technology can directly support environmental development. </w:t>
      </w:r>
    </w:p>
    <w:p w14:paraId="248AD142" w14:textId="77777777" w:rsidR="00755195" w:rsidRPr="005055DD" w:rsidRDefault="00755195" w:rsidP="005055DD">
      <w:pPr>
        <w:keepNext/>
        <w:jc w:val="center"/>
        <w:rPr>
          <w:sz w:val="18"/>
          <w:szCs w:val="18"/>
        </w:rPr>
      </w:pPr>
      <w:r w:rsidRPr="005055DD">
        <w:rPr>
          <w:noProof/>
          <w:sz w:val="18"/>
          <w:szCs w:val="18"/>
        </w:rPr>
        <w:lastRenderedPageBreak/>
        <w:drawing>
          <wp:inline distT="0" distB="0" distL="0" distR="0" wp14:anchorId="4BE7792B" wp14:editId="46FBB17E">
            <wp:extent cx="3192472" cy="1969946"/>
            <wp:effectExtent l="0" t="0" r="8255" b="0"/>
            <wp:docPr id="178302235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3022354" name="Picture 1783022354"/>
                    <pic:cNvPicPr/>
                  </pic:nvPicPr>
                  <pic:blipFill>
                    <a:blip r:embed="rId10">
                      <a:extLst>
                        <a:ext uri="{28A0092B-C50C-407E-A947-70E740481C1C}">
                          <a14:useLocalDpi xmlns:a14="http://schemas.microsoft.com/office/drawing/2010/main" val="0"/>
                        </a:ext>
                      </a:extLst>
                    </a:blip>
                    <a:stretch>
                      <a:fillRect/>
                    </a:stretch>
                  </pic:blipFill>
                  <pic:spPr>
                    <a:xfrm>
                      <a:off x="0" y="0"/>
                      <a:ext cx="3210345" cy="1980975"/>
                    </a:xfrm>
                    <a:prstGeom prst="rect">
                      <a:avLst/>
                    </a:prstGeom>
                  </pic:spPr>
                </pic:pic>
              </a:graphicData>
            </a:graphic>
          </wp:inline>
        </w:drawing>
      </w:r>
    </w:p>
    <w:p w14:paraId="6BF5B6CA" w14:textId="607074FA" w:rsidR="00755195" w:rsidRPr="009A4BB3" w:rsidRDefault="00755195" w:rsidP="009A4BB3">
      <w:pPr>
        <w:pStyle w:val="Caption"/>
        <w:spacing w:after="0"/>
      </w:pPr>
      <w:bookmarkStart w:id="9" w:name="_Toc157772555"/>
      <w:r w:rsidRPr="009A4BB3">
        <w:t xml:space="preserve">Figure </w:t>
      </w:r>
      <w:fldSimple w:instr=" SEQ Figure \* ARABIC ">
        <w:r w:rsidRPr="009A4BB3">
          <w:rPr>
            <w:noProof/>
          </w:rPr>
          <w:t>3</w:t>
        </w:r>
      </w:fldSimple>
      <w:r w:rsidRPr="009A4BB3">
        <w:t>: Increasing green economy</w:t>
      </w:r>
      <w:bookmarkEnd w:id="9"/>
    </w:p>
    <w:p w14:paraId="3F86DA32" w14:textId="0CF5C78F" w:rsidR="00755195" w:rsidRPr="009A4BB3" w:rsidRDefault="00755195" w:rsidP="009A4BB3">
      <w:pPr>
        <w:jc w:val="center"/>
        <w:rPr>
          <w:b/>
          <w:sz w:val="18"/>
          <w:szCs w:val="18"/>
          <w:lang w:val="en-US"/>
        </w:rPr>
      </w:pPr>
      <w:r w:rsidRPr="009A4BB3">
        <w:rPr>
          <w:b/>
          <w:sz w:val="18"/>
          <w:szCs w:val="18"/>
          <w:lang w:val="en-US"/>
        </w:rPr>
        <w:t xml:space="preserve">Source: </w:t>
      </w:r>
      <w:r w:rsidR="005055DD" w:rsidRPr="009A4BB3">
        <w:rPr>
          <w:b/>
          <w:sz w:val="18"/>
          <w:szCs w:val="18"/>
        </w:rPr>
        <w:t>(Mehta &amp; Chari, 2023)</w:t>
      </w:r>
    </w:p>
    <w:p w14:paraId="7641B10F" w14:textId="59DD476F" w:rsidR="005241C3" w:rsidRDefault="005241C3" w:rsidP="00455940">
      <w:r>
        <w:t xml:space="preserve">Green technology also supports </w:t>
      </w:r>
      <w:r w:rsidRPr="005241C3">
        <w:rPr>
          <w:b/>
          <w:bCs/>
        </w:rPr>
        <w:t>waste reduction</w:t>
      </w:r>
      <w:r>
        <w:t xml:space="preserve">. In this case, the concept of recycling, </w:t>
      </w:r>
      <w:r w:rsidR="00755195">
        <w:t xml:space="preserve">and </w:t>
      </w:r>
      <w:r>
        <w:t xml:space="preserve">minimised waste generation </w:t>
      </w:r>
      <w:r w:rsidR="005055DD">
        <w:t>is</w:t>
      </w:r>
      <w:r>
        <w:t xml:space="preserve"> connected with green technology. Here, green technology directly support</w:t>
      </w:r>
      <w:r w:rsidR="00755195">
        <w:t>s</w:t>
      </w:r>
      <w:r>
        <w:t xml:space="preserve"> organisations to reduce waste generation and ensure sustainable business performance. Further, green technology also supports firms in obtaining </w:t>
      </w:r>
      <w:r w:rsidRPr="005241C3">
        <w:rPr>
          <w:b/>
          <w:bCs/>
        </w:rPr>
        <w:t>conservation benefits</w:t>
      </w:r>
      <w:r>
        <w:t xml:space="preserve">. Here, green infrastructure can ensure a positive ecosystem that is necessary for </w:t>
      </w:r>
      <w:r w:rsidR="00755195">
        <w:t xml:space="preserve">the </w:t>
      </w:r>
      <w:r>
        <w:t>hospitality business. It can support in restoration of natural habitat</w:t>
      </w:r>
      <w:r w:rsidR="005055DD">
        <w:t xml:space="preserve"> (</w:t>
      </w:r>
      <w:proofErr w:type="spellStart"/>
      <w:r w:rsidR="005055DD">
        <w:t>Blowfield</w:t>
      </w:r>
      <w:proofErr w:type="spellEnd"/>
      <w:r w:rsidR="005055DD">
        <w:t xml:space="preserve"> &amp; Murray, 2022)</w:t>
      </w:r>
      <w:r>
        <w:t xml:space="preserve">. Therefore, green technology can </w:t>
      </w:r>
      <w:r w:rsidRPr="005241C3">
        <w:rPr>
          <w:b/>
          <w:bCs/>
        </w:rPr>
        <w:t>ensure efficiency</w:t>
      </w:r>
      <w:r>
        <w:t xml:space="preserve">. It can promote the efficient use of resources within the hospitality firm which is necessary for the firm.   </w:t>
      </w:r>
    </w:p>
    <w:p w14:paraId="49710C8E" w14:textId="653057D2" w:rsidR="001052D9" w:rsidRDefault="00755195" w:rsidP="009A4BB3">
      <w:pPr>
        <w:pStyle w:val="Heading2"/>
      </w:pPr>
      <w:bookmarkStart w:id="10" w:name="_Toc157772542"/>
      <w:r>
        <w:t>The a</w:t>
      </w:r>
      <w:r w:rsidR="001052D9">
        <w:t>lternative of doing self-evaluation by companies</w:t>
      </w:r>
      <w:bookmarkEnd w:id="10"/>
    </w:p>
    <w:p w14:paraId="2D136E7C" w14:textId="4B251239" w:rsidR="003D7D42" w:rsidRDefault="005241C3" w:rsidP="00455940">
      <w:r>
        <w:t xml:space="preserve">One of the major initiatives that can be taken as an alternative </w:t>
      </w:r>
      <w:r w:rsidR="00755195">
        <w:t>to</w:t>
      </w:r>
      <w:r>
        <w:t xml:space="preserve"> self-evaluation is independent verification. In this case, firms can go for </w:t>
      </w:r>
      <w:r w:rsidRPr="003D7D42">
        <w:rPr>
          <w:b/>
          <w:bCs/>
        </w:rPr>
        <w:t>third-party evaluation</w:t>
      </w:r>
      <w:r>
        <w:t xml:space="preserve">. Different programs are available that can ensure third-party clearance regarding sustainable business performance. Here, firms can use LEED and Energy Star </w:t>
      </w:r>
      <w:r w:rsidR="00755195">
        <w:t>to obtain</w:t>
      </w:r>
      <w:r>
        <w:t xml:space="preserve"> external certification</w:t>
      </w:r>
      <w:r w:rsidR="005055DD">
        <w:t xml:space="preserve"> (Thompson, 2023)</w:t>
      </w:r>
      <w:r>
        <w:t xml:space="preserve">. Firms can also go for </w:t>
      </w:r>
      <w:r w:rsidRPr="003D7D42">
        <w:rPr>
          <w:b/>
          <w:bCs/>
        </w:rPr>
        <w:t>external audit</w:t>
      </w:r>
      <w:r w:rsidR="00755195">
        <w:rPr>
          <w:b/>
          <w:bCs/>
        </w:rPr>
        <w:t>s</w:t>
      </w:r>
      <w:r>
        <w:t xml:space="preserve"> regarding the investment in sustainable business practice</w:t>
      </w:r>
      <w:r w:rsidR="00755195">
        <w:t>s</w:t>
      </w:r>
      <w:r>
        <w:t xml:space="preserve"> and eco-friendly business efforts. Here, the </w:t>
      </w:r>
      <w:r w:rsidRPr="003D7D42">
        <w:t>external auditors</w:t>
      </w:r>
      <w:r>
        <w:t xml:space="preserve"> will measure </w:t>
      </w:r>
      <w:r w:rsidR="00755195">
        <w:t xml:space="preserve">the </w:t>
      </w:r>
      <w:r>
        <w:t xml:space="preserve">carbon footprint and other environmental impacts of the activities undertaken by the firms and will provide necessary certification regarding </w:t>
      </w:r>
      <w:r w:rsidR="00755195">
        <w:t xml:space="preserve">the </w:t>
      </w:r>
      <w:r w:rsidR="003D7D42">
        <w:t xml:space="preserve">sustainability of </w:t>
      </w:r>
      <w:r w:rsidR="00755195">
        <w:t xml:space="preserve">the </w:t>
      </w:r>
      <w:r w:rsidR="003D7D42">
        <w:t xml:space="preserve">organisational practice. </w:t>
      </w:r>
    </w:p>
    <w:p w14:paraId="7E07021D" w14:textId="1E02342A" w:rsidR="00DD453D" w:rsidRDefault="003D7D42" w:rsidP="00455940">
      <w:r>
        <w:t xml:space="preserve">Another major initiative that the firm can undertake is </w:t>
      </w:r>
      <w:r w:rsidRPr="003D7D42">
        <w:rPr>
          <w:b/>
          <w:bCs/>
        </w:rPr>
        <w:t>stakeholder engagement</w:t>
      </w:r>
      <w:r>
        <w:t xml:space="preserve">. In this case, firms can take support from stakeholder consultation. Different stakeholders can work in this case. They can be consumers, community, employees or other environmental </w:t>
      </w:r>
      <w:r>
        <w:lastRenderedPageBreak/>
        <w:t xml:space="preserve">agencies. These stakeholders can provide necessary consultation to the firm. </w:t>
      </w:r>
      <w:r w:rsidRPr="00266A36">
        <w:rPr>
          <w:b/>
          <w:bCs/>
        </w:rPr>
        <w:t>Public reporting</w:t>
      </w:r>
      <w:r>
        <w:t xml:space="preserve"> can also support ensuring green practice</w:t>
      </w:r>
      <w:r w:rsidR="00755195">
        <w:t>s</w:t>
      </w:r>
      <w:r>
        <w:t xml:space="preserve"> within the organisation</w:t>
      </w:r>
      <w:r w:rsidR="005055DD">
        <w:t xml:space="preserve"> (Donleavy &amp; Noronha, 2023)</w:t>
      </w:r>
      <w:r>
        <w:t>. If the firms are dedicated to offer</w:t>
      </w:r>
      <w:r w:rsidR="00755195">
        <w:t>ing</w:t>
      </w:r>
      <w:r>
        <w:t xml:space="preserve"> transparent reports on green practice</w:t>
      </w:r>
      <w:r w:rsidR="00755195">
        <w:t>s</w:t>
      </w:r>
      <w:r>
        <w:t xml:space="preserve">, it will be easy for the firms to keep the standard practice. In this case, the firm will show the yearly goals and targets within the public reports. These goals and targets will encourage the firms to go for betterment every year. </w:t>
      </w:r>
      <w:r w:rsidR="00DD453D">
        <w:br w:type="page"/>
      </w:r>
    </w:p>
    <w:p w14:paraId="23E13A7C" w14:textId="7827B429" w:rsidR="00CB455F" w:rsidRDefault="00DD453D" w:rsidP="00DD453D">
      <w:pPr>
        <w:pStyle w:val="Heading1"/>
      </w:pPr>
      <w:bookmarkStart w:id="11" w:name="_Toc101999047"/>
      <w:bookmarkStart w:id="12" w:name="_Toc157772543"/>
      <w:r>
        <w:lastRenderedPageBreak/>
        <w:t>Conclusion</w:t>
      </w:r>
      <w:bookmarkEnd w:id="11"/>
      <w:bookmarkEnd w:id="12"/>
      <w:r>
        <w:t xml:space="preserve"> </w:t>
      </w:r>
    </w:p>
    <w:p w14:paraId="2637752B" w14:textId="2E4D2398" w:rsidR="00DD453D" w:rsidRDefault="00E07A77" w:rsidP="00F15F08">
      <w:pPr>
        <w:rPr>
          <w:lang w:eastAsia="en-GB"/>
        </w:rPr>
      </w:pPr>
      <w:r>
        <w:rPr>
          <w:lang w:eastAsia="en-GB"/>
        </w:rPr>
        <w:t>Greenwashing is a major concern in hospitality firms. Since hospitality firms cause environmental damage, it is the responsibility of hospitality firms to ensure environmental protection by ensuring standing against greenwashing. Different reasons are associated with greenwashing and to reduce greenwashing business organisations should not depend on self-evaluation of sustainability reporting. Inviting third parties can support the firms to show the best output in this case</w:t>
      </w:r>
      <w:r w:rsidR="005055DD">
        <w:rPr>
          <w:lang w:eastAsia="en-GB"/>
        </w:rPr>
        <w:t xml:space="preserve"> </w:t>
      </w:r>
      <w:r w:rsidR="005055DD">
        <w:t>(Sun &amp; Shi, 2022)</w:t>
      </w:r>
      <w:r>
        <w:rPr>
          <w:lang w:eastAsia="en-GB"/>
        </w:rPr>
        <w:t>. They can identify the necessary areas for improvement and the highest consumer preference can be achieved if the firms can ensure sustainable green practice</w:t>
      </w:r>
      <w:r w:rsidR="00755195">
        <w:rPr>
          <w:lang w:eastAsia="en-GB"/>
        </w:rPr>
        <w:t>s</w:t>
      </w:r>
      <w:r>
        <w:rPr>
          <w:lang w:eastAsia="en-GB"/>
        </w:rPr>
        <w:t xml:space="preserve">. Therefore, avoidance of self-evaluation is mandatory to avoid greenwashing and different third parties should be included to prepare green reports. </w:t>
      </w:r>
      <w:r w:rsidR="00DD453D">
        <w:rPr>
          <w:lang w:eastAsia="en-GB"/>
        </w:rPr>
        <w:br w:type="page"/>
      </w:r>
    </w:p>
    <w:p w14:paraId="09267F76" w14:textId="021F8799" w:rsidR="00DD453D" w:rsidRPr="00DD453D" w:rsidRDefault="00DD453D" w:rsidP="00DD453D">
      <w:pPr>
        <w:pStyle w:val="Heading1"/>
      </w:pPr>
      <w:bookmarkStart w:id="13" w:name="_Toc101999048"/>
      <w:bookmarkStart w:id="14" w:name="_Toc157772544"/>
      <w:r>
        <w:lastRenderedPageBreak/>
        <w:t>References</w:t>
      </w:r>
      <w:bookmarkEnd w:id="13"/>
      <w:bookmarkEnd w:id="14"/>
      <w:r>
        <w:t xml:space="preserve"> </w:t>
      </w:r>
    </w:p>
    <w:p w14:paraId="5D341FE0" w14:textId="77777777" w:rsidR="009A4BB3" w:rsidRDefault="009A4BB3" w:rsidP="00AD5393">
      <w:pPr>
        <w:rPr>
          <w:lang w:val="en-US"/>
        </w:rPr>
      </w:pPr>
      <w:proofErr w:type="spellStart"/>
      <w:r>
        <w:t>Blowfield</w:t>
      </w:r>
      <w:proofErr w:type="spellEnd"/>
      <w:r>
        <w:t xml:space="preserve">, M. and Murray, A. (2022) ‘Corporate Social Responsibility Reporting’, </w:t>
      </w:r>
      <w:r>
        <w:rPr>
          <w:i/>
          <w:iCs/>
        </w:rPr>
        <w:t>Corporate Social Responsibility</w:t>
      </w:r>
      <w:r>
        <w:t xml:space="preserve"> [Preprint]. doi:10.1093/</w:t>
      </w:r>
      <w:proofErr w:type="spellStart"/>
      <w:r>
        <w:t>hebz</w:t>
      </w:r>
      <w:proofErr w:type="spellEnd"/>
      <w:r>
        <w:t xml:space="preserve">/9780198797753.003.0010. </w:t>
      </w:r>
    </w:p>
    <w:p w14:paraId="33B7B003" w14:textId="77777777" w:rsidR="009A4BB3" w:rsidRDefault="009A4BB3" w:rsidP="00AD5393">
      <w:r>
        <w:t xml:space="preserve">Donleavy, G.D. and Noronha, C. (2023) </w:t>
      </w:r>
      <w:r>
        <w:rPr>
          <w:i/>
          <w:iCs/>
        </w:rPr>
        <w:t>Comparative CSR and Sustainability: New Accounting for Social Consequences</w:t>
      </w:r>
      <w:r>
        <w:t xml:space="preserve">. Abingdon, Oxon: Routledge, Taylor &amp; Francis Group. </w:t>
      </w:r>
    </w:p>
    <w:p w14:paraId="28E8428D" w14:textId="77777777" w:rsidR="009A4BB3" w:rsidRDefault="009A4BB3" w:rsidP="00AD5393">
      <w:r>
        <w:t xml:space="preserve">Frost, S. (2022) </w:t>
      </w:r>
      <w:r>
        <w:rPr>
          <w:i/>
          <w:iCs/>
        </w:rPr>
        <w:t>The key to inclusion: A practical guide to diversity, equity and belonging for you, your team and your organization</w:t>
      </w:r>
      <w:r>
        <w:t xml:space="preserve">. London, United Kingdom: </w:t>
      </w:r>
      <w:proofErr w:type="spellStart"/>
      <w:r>
        <w:t>KoganPage</w:t>
      </w:r>
      <w:proofErr w:type="spellEnd"/>
      <w:r>
        <w:t xml:space="preserve">. </w:t>
      </w:r>
    </w:p>
    <w:p w14:paraId="714DDE6E" w14:textId="77777777" w:rsidR="009A4BB3" w:rsidRDefault="009A4BB3" w:rsidP="00AD5393">
      <w:r>
        <w:t xml:space="preserve">Mehta, C. and Chari, A. (2023) ‘Commentary: Emerging markets harmed by greenwashing’, </w:t>
      </w:r>
      <w:r>
        <w:rPr>
          <w:i/>
          <w:iCs/>
        </w:rPr>
        <w:t>The Journal of Impact and ESG Investing</w:t>
      </w:r>
      <w:r>
        <w:t xml:space="preserve">, 3(4), pp. 97–103. doi:10.3905/jesg.2023.1.069. </w:t>
      </w:r>
    </w:p>
    <w:p w14:paraId="535B1F8A" w14:textId="77777777" w:rsidR="009A4BB3" w:rsidRDefault="009A4BB3" w:rsidP="00AD5393">
      <w:r>
        <w:t xml:space="preserve">Moon, D.C. (2023) ‘Sustainable tourism labelling – greenwashing or sustainable impact?’, </w:t>
      </w:r>
      <w:r>
        <w:rPr>
          <w:i/>
          <w:iCs/>
        </w:rPr>
        <w:t>International Conference on Tourism Research</w:t>
      </w:r>
      <w:r>
        <w:t xml:space="preserve">, 6(1), pp. 474–478. doi:10.34190/ictr.6.1.1296. </w:t>
      </w:r>
    </w:p>
    <w:p w14:paraId="69D5DB74" w14:textId="77777777" w:rsidR="009A4BB3" w:rsidRDefault="009A4BB3" w:rsidP="00AD5393">
      <w:r>
        <w:t xml:space="preserve">Orosz, A. (2021) ‘SDGs: </w:t>
      </w:r>
      <w:proofErr w:type="spellStart"/>
      <w:r>
        <w:t>Zwischen</w:t>
      </w:r>
      <w:proofErr w:type="spellEnd"/>
      <w:r>
        <w:t xml:space="preserve"> </w:t>
      </w:r>
      <w:proofErr w:type="spellStart"/>
      <w:r>
        <w:t>Investmentchancen</w:t>
      </w:r>
      <w:proofErr w:type="spellEnd"/>
      <w:r>
        <w:t xml:space="preserve"> und ›greenwashing‹’, </w:t>
      </w:r>
      <w:proofErr w:type="spellStart"/>
      <w:r>
        <w:rPr>
          <w:i/>
          <w:iCs/>
        </w:rPr>
        <w:t>Vereinte</w:t>
      </w:r>
      <w:proofErr w:type="spellEnd"/>
      <w:r>
        <w:rPr>
          <w:i/>
          <w:iCs/>
        </w:rPr>
        <w:t xml:space="preserve"> </w:t>
      </w:r>
      <w:proofErr w:type="spellStart"/>
      <w:r>
        <w:rPr>
          <w:i/>
          <w:iCs/>
        </w:rPr>
        <w:t>Nationen</w:t>
      </w:r>
      <w:proofErr w:type="spellEnd"/>
      <w:r>
        <w:t xml:space="preserve">, 67(4), pp. 165–170. doi:10.35998/vn-2019-0049. </w:t>
      </w:r>
    </w:p>
    <w:p w14:paraId="4C50E7AD" w14:textId="77777777" w:rsidR="009A4BB3" w:rsidRDefault="009A4BB3" w:rsidP="00AD5393">
      <w:r>
        <w:t xml:space="preserve">Pabon, J. (2023) </w:t>
      </w:r>
      <w:r>
        <w:rPr>
          <w:i/>
          <w:iCs/>
        </w:rPr>
        <w:t>The great greenwashing: How brands, governments and Influencers are lying to you</w:t>
      </w:r>
      <w:r>
        <w:t xml:space="preserve">. Melbourne: Melbourne Books. </w:t>
      </w:r>
    </w:p>
    <w:p w14:paraId="56D4BF53" w14:textId="77777777" w:rsidR="009A4BB3" w:rsidRDefault="009A4BB3" w:rsidP="00AD5393">
      <w:r>
        <w:t xml:space="preserve">Quester, P. and Pettigrew, S. (2021) </w:t>
      </w:r>
      <w:r>
        <w:rPr>
          <w:i/>
          <w:iCs/>
        </w:rPr>
        <w:t>Consumer behaviour implications for marketing strategy</w:t>
      </w:r>
      <w:r>
        <w:t xml:space="preserve">. New York: McGraw-Hill. </w:t>
      </w:r>
    </w:p>
    <w:p w14:paraId="3ABCA713" w14:textId="77777777" w:rsidR="009A4BB3" w:rsidRDefault="009A4BB3" w:rsidP="00AD5393">
      <w:r>
        <w:t xml:space="preserve">Rimmer, M. (2022) </w:t>
      </w:r>
      <w:r>
        <w:rPr>
          <w:i/>
          <w:iCs/>
        </w:rPr>
        <w:t xml:space="preserve">Intellectual property and clean energy: The </w:t>
      </w:r>
      <w:proofErr w:type="spellStart"/>
      <w:r>
        <w:rPr>
          <w:i/>
          <w:iCs/>
        </w:rPr>
        <w:t>paris</w:t>
      </w:r>
      <w:proofErr w:type="spellEnd"/>
      <w:r>
        <w:rPr>
          <w:i/>
          <w:iCs/>
        </w:rPr>
        <w:t xml:space="preserve"> agreement and climate justice</w:t>
      </w:r>
      <w:r>
        <w:t xml:space="preserve">. Singapore: Springer. </w:t>
      </w:r>
    </w:p>
    <w:p w14:paraId="72624829" w14:textId="77777777" w:rsidR="009A4BB3" w:rsidRDefault="009A4BB3" w:rsidP="00AD5393">
      <w:r>
        <w:t xml:space="preserve">Sun, Y. and Shi, B. (2022) ‘Impact of greenwashing perception on consumers’ green purchasing intentions: A moderated mediation model’, </w:t>
      </w:r>
      <w:r>
        <w:rPr>
          <w:i/>
          <w:iCs/>
        </w:rPr>
        <w:t>Sustainability</w:t>
      </w:r>
      <w:r>
        <w:t xml:space="preserve">, 14(19), p. 12119. doi:10.3390/su141912119. </w:t>
      </w:r>
    </w:p>
    <w:p w14:paraId="3F7738F1" w14:textId="77777777" w:rsidR="009A4BB3" w:rsidRDefault="009A4BB3" w:rsidP="00AD5393">
      <w:r>
        <w:t xml:space="preserve">Thompson, T. (2023) </w:t>
      </w:r>
      <w:r>
        <w:rPr>
          <w:i/>
          <w:iCs/>
        </w:rPr>
        <w:t>What is the impact of green practices?</w:t>
      </w:r>
      <w:r>
        <w:t xml:space="preserve"> Farmington Hills, Mich: Greenhaven Press, a part of Gale, Cengage Learning. </w:t>
      </w:r>
    </w:p>
    <w:p w14:paraId="5BD04CB1" w14:textId="77777777" w:rsidR="009A4BB3" w:rsidRDefault="009A4BB3" w:rsidP="00AD5393">
      <w:r>
        <w:t xml:space="preserve">Villiers, C. (2021) ‘Corporate law, Corporate Power and Corporate Social Responsibility’, </w:t>
      </w:r>
      <w:r>
        <w:rPr>
          <w:i/>
          <w:iCs/>
        </w:rPr>
        <w:t>Perspectives on Corporate Social Responsibility</w:t>
      </w:r>
      <w:r>
        <w:t xml:space="preserve"> [Preprint]. doi:10.4337/9781848443792.00008. </w:t>
      </w:r>
    </w:p>
    <w:p w14:paraId="77E2C654" w14:textId="77777777" w:rsidR="00DD453D" w:rsidRPr="00CB455F" w:rsidRDefault="00DD453D" w:rsidP="00CB455F">
      <w:pPr>
        <w:rPr>
          <w:lang w:eastAsia="en-GB"/>
        </w:rPr>
      </w:pPr>
    </w:p>
    <w:sectPr w:rsidR="00DD453D" w:rsidRPr="00CB455F" w:rsidSect="00AD6ECC">
      <w:footerReference w:type="default" r:id="rId1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C6F640" w14:textId="77777777" w:rsidR="00F832FF" w:rsidRDefault="00F832FF" w:rsidP="000960DA">
      <w:pPr>
        <w:spacing w:line="240" w:lineRule="auto"/>
      </w:pPr>
      <w:r>
        <w:separator/>
      </w:r>
    </w:p>
  </w:endnote>
  <w:endnote w:type="continuationSeparator" w:id="0">
    <w:p w14:paraId="25FD9517" w14:textId="77777777" w:rsidR="00F832FF" w:rsidRDefault="00F832FF" w:rsidP="000960D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MT">
    <w:altName w:val="Arial"/>
    <w:panose1 w:val="020B0604020202020204"/>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89847988"/>
      <w:docPartObj>
        <w:docPartGallery w:val="Page Numbers (Bottom of Page)"/>
        <w:docPartUnique/>
      </w:docPartObj>
    </w:sdtPr>
    <w:sdtEndPr>
      <w:rPr>
        <w:noProof/>
      </w:rPr>
    </w:sdtEndPr>
    <w:sdtContent>
      <w:p w14:paraId="361671A8" w14:textId="732DB7DB" w:rsidR="000960DA" w:rsidRDefault="000960DA">
        <w:pPr>
          <w:pStyle w:val="Footer"/>
          <w:jc w:val="right"/>
        </w:pPr>
        <w:r>
          <w:fldChar w:fldCharType="begin"/>
        </w:r>
        <w:r>
          <w:instrText xml:space="preserve"> PAGE   \* MERGEFORMAT </w:instrText>
        </w:r>
        <w:r>
          <w:fldChar w:fldCharType="separate"/>
        </w:r>
        <w:r w:rsidR="006B32F0">
          <w:rPr>
            <w:noProof/>
          </w:rPr>
          <w:t>4</w:t>
        </w:r>
        <w:r>
          <w:rPr>
            <w:noProof/>
          </w:rPr>
          <w:fldChar w:fldCharType="end"/>
        </w:r>
      </w:p>
    </w:sdtContent>
  </w:sdt>
  <w:p w14:paraId="2C17ACEA" w14:textId="77777777" w:rsidR="000960DA" w:rsidRDefault="000960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01FAB4" w14:textId="77777777" w:rsidR="00F832FF" w:rsidRDefault="00F832FF" w:rsidP="000960DA">
      <w:pPr>
        <w:spacing w:line="240" w:lineRule="auto"/>
      </w:pPr>
      <w:r>
        <w:separator/>
      </w:r>
    </w:p>
  </w:footnote>
  <w:footnote w:type="continuationSeparator" w:id="0">
    <w:p w14:paraId="10943EE5" w14:textId="77777777" w:rsidR="00F832FF" w:rsidRDefault="00F832FF" w:rsidP="000960D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4F6109"/>
    <w:multiLevelType w:val="hybridMultilevel"/>
    <w:tmpl w:val="BD82C9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10530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TQxMTQ0NjM0NTe1NDJT0lEKTi0uzszPAymwqAUA3vEjmCwAAAA="/>
  </w:docVars>
  <w:rsids>
    <w:rsidRoot w:val="00A27A2D"/>
    <w:rsid w:val="00023C48"/>
    <w:rsid w:val="00056E69"/>
    <w:rsid w:val="00070058"/>
    <w:rsid w:val="000960DA"/>
    <w:rsid w:val="000A6B49"/>
    <w:rsid w:val="000B7B9F"/>
    <w:rsid w:val="000E785E"/>
    <w:rsid w:val="000F591B"/>
    <w:rsid w:val="001015FC"/>
    <w:rsid w:val="00103E4C"/>
    <w:rsid w:val="001052D9"/>
    <w:rsid w:val="00151BF9"/>
    <w:rsid w:val="001526D2"/>
    <w:rsid w:val="00185FBE"/>
    <w:rsid w:val="00197CB4"/>
    <w:rsid w:val="001B0B88"/>
    <w:rsid w:val="001D5DA1"/>
    <w:rsid w:val="00266A36"/>
    <w:rsid w:val="002770C0"/>
    <w:rsid w:val="00293BA3"/>
    <w:rsid w:val="002B54DE"/>
    <w:rsid w:val="002B5911"/>
    <w:rsid w:val="002D1B40"/>
    <w:rsid w:val="002D20AF"/>
    <w:rsid w:val="003364EC"/>
    <w:rsid w:val="0038452C"/>
    <w:rsid w:val="003D7D42"/>
    <w:rsid w:val="00407041"/>
    <w:rsid w:val="00420DE2"/>
    <w:rsid w:val="00451753"/>
    <w:rsid w:val="00455940"/>
    <w:rsid w:val="00456AEB"/>
    <w:rsid w:val="004612E4"/>
    <w:rsid w:val="004706A9"/>
    <w:rsid w:val="00474E04"/>
    <w:rsid w:val="004B0105"/>
    <w:rsid w:val="00503D3E"/>
    <w:rsid w:val="005055DD"/>
    <w:rsid w:val="00523957"/>
    <w:rsid w:val="005241C3"/>
    <w:rsid w:val="00567155"/>
    <w:rsid w:val="00573E63"/>
    <w:rsid w:val="00595298"/>
    <w:rsid w:val="005A11D8"/>
    <w:rsid w:val="005A20AB"/>
    <w:rsid w:val="00612F30"/>
    <w:rsid w:val="00625BEB"/>
    <w:rsid w:val="00634C9D"/>
    <w:rsid w:val="006443C7"/>
    <w:rsid w:val="00656FEE"/>
    <w:rsid w:val="00661230"/>
    <w:rsid w:val="00664FFF"/>
    <w:rsid w:val="0069714C"/>
    <w:rsid w:val="006A5391"/>
    <w:rsid w:val="006B32F0"/>
    <w:rsid w:val="006E0EC0"/>
    <w:rsid w:val="00716FE0"/>
    <w:rsid w:val="0072541F"/>
    <w:rsid w:val="00755195"/>
    <w:rsid w:val="00773AC1"/>
    <w:rsid w:val="00791EAF"/>
    <w:rsid w:val="007B11E1"/>
    <w:rsid w:val="007E22AA"/>
    <w:rsid w:val="007F79C3"/>
    <w:rsid w:val="00815B5F"/>
    <w:rsid w:val="00836D3E"/>
    <w:rsid w:val="00853350"/>
    <w:rsid w:val="008C00A7"/>
    <w:rsid w:val="008C1FB0"/>
    <w:rsid w:val="008D1D7B"/>
    <w:rsid w:val="008F425E"/>
    <w:rsid w:val="00955356"/>
    <w:rsid w:val="0097518C"/>
    <w:rsid w:val="0097696A"/>
    <w:rsid w:val="00994F4E"/>
    <w:rsid w:val="009A1B47"/>
    <w:rsid w:val="009A4BB3"/>
    <w:rsid w:val="00A15A3B"/>
    <w:rsid w:val="00A202AA"/>
    <w:rsid w:val="00A21144"/>
    <w:rsid w:val="00A269EA"/>
    <w:rsid w:val="00A27A2D"/>
    <w:rsid w:val="00A367DA"/>
    <w:rsid w:val="00A432CA"/>
    <w:rsid w:val="00A814E1"/>
    <w:rsid w:val="00AA3CF9"/>
    <w:rsid w:val="00AA5941"/>
    <w:rsid w:val="00AA6E7B"/>
    <w:rsid w:val="00AC090B"/>
    <w:rsid w:val="00AD5393"/>
    <w:rsid w:val="00AD6A3E"/>
    <w:rsid w:val="00AD6ECC"/>
    <w:rsid w:val="00B40435"/>
    <w:rsid w:val="00B5445F"/>
    <w:rsid w:val="00B70C98"/>
    <w:rsid w:val="00B77685"/>
    <w:rsid w:val="00B82A57"/>
    <w:rsid w:val="00BB3FBA"/>
    <w:rsid w:val="00BC5B95"/>
    <w:rsid w:val="00BD31F3"/>
    <w:rsid w:val="00BF6E89"/>
    <w:rsid w:val="00C27815"/>
    <w:rsid w:val="00C30E81"/>
    <w:rsid w:val="00C3229C"/>
    <w:rsid w:val="00C34BFE"/>
    <w:rsid w:val="00C5699D"/>
    <w:rsid w:val="00C6709A"/>
    <w:rsid w:val="00C73D09"/>
    <w:rsid w:val="00C80086"/>
    <w:rsid w:val="00CB2C21"/>
    <w:rsid w:val="00CB455F"/>
    <w:rsid w:val="00D0345C"/>
    <w:rsid w:val="00D17193"/>
    <w:rsid w:val="00D35EB5"/>
    <w:rsid w:val="00D53988"/>
    <w:rsid w:val="00D73DAE"/>
    <w:rsid w:val="00D74442"/>
    <w:rsid w:val="00D746BD"/>
    <w:rsid w:val="00DB6311"/>
    <w:rsid w:val="00DD453D"/>
    <w:rsid w:val="00DD54C7"/>
    <w:rsid w:val="00DF38B7"/>
    <w:rsid w:val="00E07A77"/>
    <w:rsid w:val="00E176D7"/>
    <w:rsid w:val="00E25218"/>
    <w:rsid w:val="00E30DDC"/>
    <w:rsid w:val="00E47186"/>
    <w:rsid w:val="00E65659"/>
    <w:rsid w:val="00E96588"/>
    <w:rsid w:val="00ED25D1"/>
    <w:rsid w:val="00F0563F"/>
    <w:rsid w:val="00F15F08"/>
    <w:rsid w:val="00F21F49"/>
    <w:rsid w:val="00F64574"/>
    <w:rsid w:val="00F832FF"/>
    <w:rsid w:val="00FC5CE0"/>
    <w:rsid w:val="00FC6D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4B2FE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4BB3"/>
    <w:pPr>
      <w:spacing w:after="0" w:line="360" w:lineRule="auto"/>
      <w:jc w:val="both"/>
    </w:pPr>
    <w:rPr>
      <w:rFonts w:ascii="Arial" w:hAnsi="Arial" w:cs="Times New Roman"/>
      <w:sz w:val="24"/>
      <w:szCs w:val="20"/>
      <w:lang w:val="en-GB"/>
    </w:rPr>
  </w:style>
  <w:style w:type="paragraph" w:styleId="Heading1">
    <w:name w:val="heading 1"/>
    <w:basedOn w:val="Normal"/>
    <w:next w:val="Normal"/>
    <w:link w:val="Heading1Char"/>
    <w:autoRedefine/>
    <w:uiPriority w:val="9"/>
    <w:qFormat/>
    <w:rsid w:val="00CB455F"/>
    <w:pPr>
      <w:keepNext/>
      <w:keepLines/>
      <w:spacing w:before="240"/>
      <w:outlineLvl w:val="0"/>
    </w:pPr>
    <w:rPr>
      <w:b/>
      <w:sz w:val="28"/>
      <w:szCs w:val="32"/>
      <w:lang w:eastAsia="en-GB"/>
    </w:rPr>
  </w:style>
  <w:style w:type="paragraph" w:styleId="Heading2">
    <w:name w:val="heading 2"/>
    <w:basedOn w:val="Normal"/>
    <w:next w:val="Normal"/>
    <w:link w:val="Heading2Char"/>
    <w:autoRedefine/>
    <w:uiPriority w:val="9"/>
    <w:unhideWhenUsed/>
    <w:qFormat/>
    <w:rsid w:val="002D20AF"/>
    <w:pPr>
      <w:keepNext/>
      <w:keepLines/>
      <w:outlineLvl w:val="1"/>
    </w:pPr>
    <w:rPr>
      <w:rFonts w:eastAsiaTheme="majorEastAsia" w:cstheme="majorBidi"/>
      <w:b/>
      <w:sz w:val="26"/>
      <w:szCs w:val="26"/>
    </w:rPr>
  </w:style>
  <w:style w:type="paragraph" w:styleId="Heading3">
    <w:name w:val="heading 3"/>
    <w:basedOn w:val="Normal"/>
    <w:next w:val="Normal"/>
    <w:link w:val="Heading3Char"/>
    <w:autoRedefine/>
    <w:uiPriority w:val="9"/>
    <w:semiHidden/>
    <w:unhideWhenUsed/>
    <w:qFormat/>
    <w:rsid w:val="007B11E1"/>
    <w:pPr>
      <w:keepNext/>
      <w:keepLines/>
      <w:spacing w:before="4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D20AF"/>
    <w:rPr>
      <w:rFonts w:ascii="Times New Roman" w:eastAsiaTheme="majorEastAsia" w:hAnsi="Times New Roman" w:cstheme="majorBidi"/>
      <w:b/>
      <w:sz w:val="26"/>
      <w:szCs w:val="26"/>
      <w:lang w:val="en-GB"/>
    </w:rPr>
  </w:style>
  <w:style w:type="paragraph" w:styleId="Caption">
    <w:name w:val="caption"/>
    <w:basedOn w:val="Normal"/>
    <w:next w:val="Normal"/>
    <w:autoRedefine/>
    <w:uiPriority w:val="35"/>
    <w:unhideWhenUsed/>
    <w:qFormat/>
    <w:rsid w:val="00474E04"/>
    <w:pPr>
      <w:spacing w:after="200"/>
      <w:jc w:val="center"/>
    </w:pPr>
    <w:rPr>
      <w:rFonts w:eastAsiaTheme="minorHAnsi" w:cstheme="minorBidi"/>
      <w:b/>
      <w:iCs/>
      <w:sz w:val="18"/>
      <w:szCs w:val="18"/>
      <w:lang w:val="en-US"/>
    </w:rPr>
  </w:style>
  <w:style w:type="character" w:customStyle="1" w:styleId="Heading1Char">
    <w:name w:val="Heading 1 Char"/>
    <w:basedOn w:val="DefaultParagraphFont"/>
    <w:link w:val="Heading1"/>
    <w:uiPriority w:val="9"/>
    <w:rsid w:val="00CB455F"/>
    <w:rPr>
      <w:rFonts w:ascii="Times New Roman" w:hAnsi="Times New Roman" w:cs="Times New Roman"/>
      <w:b/>
      <w:sz w:val="28"/>
      <w:szCs w:val="32"/>
      <w:lang w:val="en-GB" w:eastAsia="en-GB"/>
    </w:rPr>
  </w:style>
  <w:style w:type="table" w:styleId="TableGrid">
    <w:name w:val="Table Grid"/>
    <w:basedOn w:val="TableNormal"/>
    <w:uiPriority w:val="39"/>
    <w:rsid w:val="00C278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C2781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eading3Char">
    <w:name w:val="Heading 3 Char"/>
    <w:basedOn w:val="DefaultParagraphFont"/>
    <w:link w:val="Heading3"/>
    <w:uiPriority w:val="9"/>
    <w:semiHidden/>
    <w:rsid w:val="007B11E1"/>
    <w:rPr>
      <w:rFonts w:ascii="Times New Roman" w:eastAsiaTheme="majorEastAsia" w:hAnsi="Times New Roman" w:cstheme="majorBidi"/>
      <w:b/>
      <w:sz w:val="24"/>
      <w:szCs w:val="24"/>
      <w:lang w:val="en-GB"/>
    </w:rPr>
  </w:style>
  <w:style w:type="paragraph" w:styleId="Header">
    <w:name w:val="header"/>
    <w:basedOn w:val="Normal"/>
    <w:link w:val="HeaderChar"/>
    <w:uiPriority w:val="99"/>
    <w:unhideWhenUsed/>
    <w:rsid w:val="000960DA"/>
    <w:pPr>
      <w:tabs>
        <w:tab w:val="center" w:pos="4680"/>
        <w:tab w:val="right" w:pos="9360"/>
      </w:tabs>
      <w:spacing w:line="240" w:lineRule="auto"/>
    </w:pPr>
  </w:style>
  <w:style w:type="character" w:customStyle="1" w:styleId="HeaderChar">
    <w:name w:val="Header Char"/>
    <w:basedOn w:val="DefaultParagraphFont"/>
    <w:link w:val="Header"/>
    <w:uiPriority w:val="99"/>
    <w:rsid w:val="000960DA"/>
    <w:rPr>
      <w:rFonts w:ascii="Times New Roman" w:hAnsi="Times New Roman" w:cs="Times New Roman"/>
      <w:sz w:val="24"/>
      <w:szCs w:val="20"/>
      <w:lang w:val="en-GB"/>
    </w:rPr>
  </w:style>
  <w:style w:type="paragraph" w:styleId="Footer">
    <w:name w:val="footer"/>
    <w:basedOn w:val="Normal"/>
    <w:link w:val="FooterChar"/>
    <w:uiPriority w:val="99"/>
    <w:unhideWhenUsed/>
    <w:rsid w:val="000960DA"/>
    <w:pPr>
      <w:tabs>
        <w:tab w:val="center" w:pos="4680"/>
        <w:tab w:val="right" w:pos="9360"/>
      </w:tabs>
      <w:spacing w:line="240" w:lineRule="auto"/>
    </w:pPr>
  </w:style>
  <w:style w:type="character" w:customStyle="1" w:styleId="FooterChar">
    <w:name w:val="Footer Char"/>
    <w:basedOn w:val="DefaultParagraphFont"/>
    <w:link w:val="Footer"/>
    <w:uiPriority w:val="99"/>
    <w:rsid w:val="000960DA"/>
    <w:rPr>
      <w:rFonts w:ascii="Times New Roman" w:hAnsi="Times New Roman" w:cs="Times New Roman"/>
      <w:sz w:val="24"/>
      <w:szCs w:val="20"/>
      <w:lang w:val="en-GB"/>
    </w:rPr>
  </w:style>
  <w:style w:type="paragraph" w:styleId="TOCHeading">
    <w:name w:val="TOC Heading"/>
    <w:basedOn w:val="Heading1"/>
    <w:next w:val="Normal"/>
    <w:uiPriority w:val="39"/>
    <w:unhideWhenUsed/>
    <w:qFormat/>
    <w:rsid w:val="00C80086"/>
    <w:pPr>
      <w:spacing w:line="259" w:lineRule="auto"/>
      <w:jc w:val="left"/>
      <w:outlineLvl w:val="9"/>
    </w:pPr>
    <w:rPr>
      <w:rFonts w:asciiTheme="majorHAnsi" w:eastAsiaTheme="majorEastAsia" w:hAnsiTheme="majorHAnsi" w:cstheme="majorBidi"/>
      <w:b w:val="0"/>
      <w:color w:val="2F5496" w:themeColor="accent1" w:themeShade="BF"/>
      <w:sz w:val="32"/>
      <w:lang w:val="en-US" w:eastAsia="en-US"/>
    </w:rPr>
  </w:style>
  <w:style w:type="paragraph" w:styleId="TOC1">
    <w:name w:val="toc 1"/>
    <w:basedOn w:val="Normal"/>
    <w:next w:val="Normal"/>
    <w:autoRedefine/>
    <w:uiPriority w:val="39"/>
    <w:unhideWhenUsed/>
    <w:rsid w:val="00C80086"/>
    <w:pPr>
      <w:spacing w:after="100"/>
    </w:pPr>
  </w:style>
  <w:style w:type="character" w:styleId="Hyperlink">
    <w:name w:val="Hyperlink"/>
    <w:basedOn w:val="DefaultParagraphFont"/>
    <w:uiPriority w:val="99"/>
    <w:unhideWhenUsed/>
    <w:rsid w:val="00C80086"/>
    <w:rPr>
      <w:color w:val="0563C1" w:themeColor="hyperlink"/>
      <w:u w:val="single"/>
    </w:rPr>
  </w:style>
  <w:style w:type="paragraph" w:styleId="NormalWeb">
    <w:name w:val="Normal (Web)"/>
    <w:basedOn w:val="Normal"/>
    <w:uiPriority w:val="99"/>
    <w:semiHidden/>
    <w:unhideWhenUsed/>
    <w:rsid w:val="00661230"/>
    <w:pPr>
      <w:spacing w:before="100" w:beforeAutospacing="1" w:after="100" w:afterAutospacing="1" w:line="240" w:lineRule="auto"/>
      <w:jc w:val="left"/>
    </w:pPr>
    <w:rPr>
      <w:szCs w:val="24"/>
      <w:lang w:val="en-US"/>
    </w:rPr>
  </w:style>
  <w:style w:type="paragraph" w:styleId="TableofFigures">
    <w:name w:val="table of figures"/>
    <w:basedOn w:val="Normal"/>
    <w:next w:val="Normal"/>
    <w:uiPriority w:val="99"/>
    <w:unhideWhenUsed/>
    <w:rsid w:val="008C1FB0"/>
  </w:style>
  <w:style w:type="paragraph" w:customStyle="1" w:styleId="TableParagraph">
    <w:name w:val="Table Paragraph"/>
    <w:basedOn w:val="Normal"/>
    <w:uiPriority w:val="1"/>
    <w:qFormat/>
    <w:rsid w:val="009A4BB3"/>
    <w:pPr>
      <w:widowControl w:val="0"/>
      <w:autoSpaceDE w:val="0"/>
      <w:autoSpaceDN w:val="0"/>
      <w:spacing w:line="240" w:lineRule="auto"/>
      <w:jc w:val="left"/>
    </w:pPr>
    <w:rPr>
      <w:rFonts w:ascii="Arial MT" w:eastAsia="Arial MT" w:hAnsi="Arial MT" w:cs="Arial MT"/>
      <w:sz w:val="22"/>
      <w:szCs w:val="22"/>
      <w:lang w:val="en-US"/>
    </w:rPr>
  </w:style>
  <w:style w:type="paragraph" w:styleId="TOC2">
    <w:name w:val="toc 2"/>
    <w:basedOn w:val="Normal"/>
    <w:next w:val="Normal"/>
    <w:autoRedefine/>
    <w:uiPriority w:val="39"/>
    <w:unhideWhenUsed/>
    <w:rsid w:val="00BD31F3"/>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4441613">
      <w:bodyDiv w:val="1"/>
      <w:marLeft w:val="0"/>
      <w:marRight w:val="0"/>
      <w:marTop w:val="0"/>
      <w:marBottom w:val="0"/>
      <w:divBdr>
        <w:top w:val="none" w:sz="0" w:space="0" w:color="auto"/>
        <w:left w:val="none" w:sz="0" w:space="0" w:color="auto"/>
        <w:bottom w:val="none" w:sz="0" w:space="0" w:color="auto"/>
        <w:right w:val="none" w:sz="0" w:space="0" w:color="auto"/>
      </w:divBdr>
    </w:div>
    <w:div w:id="1325430412">
      <w:bodyDiv w:val="1"/>
      <w:marLeft w:val="0"/>
      <w:marRight w:val="0"/>
      <w:marTop w:val="0"/>
      <w:marBottom w:val="0"/>
      <w:divBdr>
        <w:top w:val="none" w:sz="0" w:space="0" w:color="auto"/>
        <w:left w:val="none" w:sz="0" w:space="0" w:color="auto"/>
        <w:bottom w:val="none" w:sz="0" w:space="0" w:color="auto"/>
        <w:right w:val="none" w:sz="0" w:space="0" w:color="auto"/>
      </w:divBdr>
    </w:div>
    <w:div w:id="1641423811">
      <w:bodyDiv w:val="1"/>
      <w:marLeft w:val="0"/>
      <w:marRight w:val="0"/>
      <w:marTop w:val="0"/>
      <w:marBottom w:val="0"/>
      <w:divBdr>
        <w:top w:val="none" w:sz="0" w:space="0" w:color="auto"/>
        <w:left w:val="none" w:sz="0" w:space="0" w:color="auto"/>
        <w:bottom w:val="none" w:sz="0" w:space="0" w:color="auto"/>
        <w:right w:val="none" w:sz="0" w:space="0" w:color="auto"/>
      </w:divBdr>
    </w:div>
    <w:div w:id="1933782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DDCA52-62AE-43AE-BB73-726557D20A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2463</Words>
  <Characters>14043</Characters>
  <Application>Microsoft Office Word</Application>
  <DocSecurity>0</DocSecurity>
  <Lines>117</Lines>
  <Paragraphs>32</Paragraphs>
  <ScaleCrop>false</ScaleCrop>
  <Company/>
  <LinksUpToDate>false</LinksUpToDate>
  <CharactersWithSpaces>16474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2024-03-01T23:45:00Z</dcterms:created>
  <dcterms:modified xsi:type="dcterms:W3CDTF">2024-03-01T23:46:00Z</dcterms:modified>
</cp:coreProperties>
</file>