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A4FFB" w14:textId="769BD506" w:rsidR="00FB00EC" w:rsidRDefault="00FB00EC" w:rsidP="00FB00EC">
      <w:pPr>
        <w:jc w:val="center"/>
        <w:rPr>
          <w:i/>
          <w:iCs/>
          <w:color w:val="000000"/>
          <w:sz w:val="24"/>
          <w:szCs w:val="24"/>
        </w:rPr>
      </w:pPr>
      <w:r w:rsidRPr="00FB00EC">
        <w:rPr>
          <w:b/>
          <w:bCs/>
          <w:color w:val="000000"/>
          <w:sz w:val="36"/>
          <w:szCs w:val="36"/>
          <w:u w:val="single"/>
        </w:rPr>
        <w:t xml:space="preserve">With at least three countries in mind, </w:t>
      </w:r>
      <w:proofErr w:type="gramStart"/>
      <w:r w:rsidRPr="00FB00EC">
        <w:rPr>
          <w:b/>
          <w:bCs/>
          <w:color w:val="000000"/>
          <w:sz w:val="36"/>
          <w:szCs w:val="36"/>
          <w:u w:val="single"/>
        </w:rPr>
        <w:t>compare and contrast</w:t>
      </w:r>
      <w:proofErr w:type="gramEnd"/>
      <w:r w:rsidRPr="00FB00EC">
        <w:rPr>
          <w:b/>
          <w:bCs/>
          <w:color w:val="000000"/>
          <w:sz w:val="36"/>
          <w:szCs w:val="36"/>
          <w:u w:val="single"/>
        </w:rPr>
        <w:t xml:space="preserve"> the decision-making process in 1939-1941 that chose conflict over peace.</w:t>
      </w:r>
      <w:r>
        <w:rPr>
          <w:b/>
          <w:bCs/>
          <w:color w:val="000000"/>
          <w:sz w:val="36"/>
          <w:szCs w:val="36"/>
          <w:u w:val="single"/>
        </w:rPr>
        <w:br/>
      </w:r>
      <w:r>
        <w:rPr>
          <w:i/>
          <w:iCs/>
          <w:color w:val="000000"/>
          <w:sz w:val="24"/>
          <w:szCs w:val="24"/>
        </w:rPr>
        <w:t>by Bradley Sloanes</w:t>
      </w:r>
    </w:p>
    <w:p w14:paraId="53484FD9" w14:textId="1169A5D6" w:rsidR="00FB00EC" w:rsidRDefault="00CF6D4D" w:rsidP="00FB00EC">
      <w:pPr>
        <w:rPr>
          <w:color w:val="000000"/>
          <w:sz w:val="24"/>
          <w:szCs w:val="24"/>
        </w:rPr>
      </w:pPr>
      <w:r>
        <w:rPr>
          <w:color w:val="000000"/>
          <w:sz w:val="24"/>
          <w:szCs w:val="24"/>
        </w:rPr>
        <w:t xml:space="preserve">World War Two was a global war that involved a large portion of the </w:t>
      </w:r>
      <w:proofErr w:type="gramStart"/>
      <w:r>
        <w:rPr>
          <w:color w:val="000000"/>
          <w:sz w:val="24"/>
          <w:szCs w:val="24"/>
        </w:rPr>
        <w:t>worlds</w:t>
      </w:r>
      <w:proofErr w:type="gramEnd"/>
      <w:r>
        <w:rPr>
          <w:color w:val="000000"/>
          <w:sz w:val="24"/>
          <w:szCs w:val="24"/>
        </w:rPr>
        <w:t xml:space="preserve"> countries, but especially all of the major powers, who segregated into two factions: the Axis powers and the Allies. It resulted in total war on a scale that is still the most destructive in history and participants used their entire economic, </w:t>
      </w:r>
      <w:proofErr w:type="gramStart"/>
      <w:r>
        <w:rPr>
          <w:color w:val="000000"/>
          <w:sz w:val="24"/>
          <w:szCs w:val="24"/>
        </w:rPr>
        <w:t>scientific</w:t>
      </w:r>
      <w:proofErr w:type="gramEnd"/>
      <w:r>
        <w:rPr>
          <w:color w:val="000000"/>
          <w:sz w:val="24"/>
          <w:szCs w:val="24"/>
        </w:rPr>
        <w:t xml:space="preserve"> and industrial abilities in order to win the war.</w:t>
      </w:r>
      <w:r w:rsidR="00455809">
        <w:rPr>
          <w:color w:val="000000"/>
          <w:sz w:val="24"/>
          <w:szCs w:val="24"/>
        </w:rPr>
        <w:t xml:space="preserve"> In order to prevent future wars occurring on such a scale it is important to understand the </w:t>
      </w:r>
      <w:proofErr w:type="gramStart"/>
      <w:r w:rsidR="00455809">
        <w:rPr>
          <w:color w:val="000000"/>
          <w:sz w:val="24"/>
          <w:szCs w:val="24"/>
        </w:rPr>
        <w:t>decision making</w:t>
      </w:r>
      <w:proofErr w:type="gramEnd"/>
      <w:r w:rsidR="00455809">
        <w:rPr>
          <w:color w:val="000000"/>
          <w:sz w:val="24"/>
          <w:szCs w:val="24"/>
        </w:rPr>
        <w:t xml:space="preserve"> processes of nations that can lead to such events. </w:t>
      </w:r>
      <w:r w:rsidR="004B2550">
        <w:rPr>
          <w:color w:val="000000"/>
          <w:sz w:val="24"/>
          <w:szCs w:val="24"/>
        </w:rPr>
        <w:t>There were numerous contributing factors to the war from the Spanish civil war, rising tensions in Europe, the second Sino-Japanese war but it is generally considered to have begun on September 1</w:t>
      </w:r>
      <w:r w:rsidR="004B2550" w:rsidRPr="004B2550">
        <w:rPr>
          <w:color w:val="000000"/>
          <w:sz w:val="24"/>
          <w:szCs w:val="24"/>
          <w:vertAlign w:val="superscript"/>
        </w:rPr>
        <w:t>st</w:t>
      </w:r>
      <w:r w:rsidR="004B2550">
        <w:rPr>
          <w:color w:val="000000"/>
          <w:sz w:val="24"/>
          <w:szCs w:val="24"/>
        </w:rPr>
        <w:t xml:space="preserve"> 1939 when Germany declared war on Poland resulting in subsequent declarations of war from the UK and France.</w:t>
      </w:r>
      <w:r w:rsidR="00915CCF">
        <w:rPr>
          <w:rStyle w:val="FootnoteReference"/>
          <w:color w:val="000000"/>
          <w:sz w:val="24"/>
          <w:szCs w:val="24"/>
        </w:rPr>
        <w:footnoteReference w:id="1"/>
      </w:r>
      <w:r w:rsidR="000E0BB0">
        <w:rPr>
          <w:color w:val="000000"/>
          <w:sz w:val="24"/>
          <w:szCs w:val="24"/>
        </w:rPr>
        <w:t xml:space="preserve"> This essay will focus on the decision making processes and events that led Germany, the United Kingdom and eventually the USA to war. </w:t>
      </w:r>
    </w:p>
    <w:p w14:paraId="6B2CEE82" w14:textId="77777777" w:rsidR="00ED4C9D" w:rsidRDefault="00141EBE" w:rsidP="00FB00EC">
      <w:pPr>
        <w:rPr>
          <w:color w:val="000000"/>
          <w:sz w:val="24"/>
          <w:szCs w:val="24"/>
        </w:rPr>
      </w:pPr>
      <w:r>
        <w:rPr>
          <w:color w:val="000000"/>
          <w:sz w:val="24"/>
          <w:szCs w:val="24"/>
        </w:rPr>
        <w:t>Despite the devastation caused by the first world war, revanchist nationalism began making major gains across Europe. One such nation where this occurred was in Germany, where the territorial, economic and colonial losses caused by the treaty of Versailles carried much resentment. Germany had lost around 13% of its territory, all of its colonies, had to pay back reparations to the victors of WW1 and its armed forces were essentially castrated.</w:t>
      </w:r>
      <w:r>
        <w:rPr>
          <w:rStyle w:val="FootnoteReference"/>
          <w:color w:val="000000"/>
          <w:sz w:val="24"/>
          <w:szCs w:val="24"/>
        </w:rPr>
        <w:footnoteReference w:id="2"/>
      </w:r>
      <w:r w:rsidR="00045F1A">
        <w:rPr>
          <w:color w:val="000000"/>
          <w:sz w:val="24"/>
          <w:szCs w:val="24"/>
        </w:rPr>
        <w:t xml:space="preserve"> The nationalists took power on the </w:t>
      </w:r>
      <w:proofErr w:type="gramStart"/>
      <w:r w:rsidR="00045F1A">
        <w:rPr>
          <w:color w:val="000000"/>
          <w:sz w:val="24"/>
          <w:szCs w:val="24"/>
        </w:rPr>
        <w:t>30</w:t>
      </w:r>
      <w:r w:rsidR="00045F1A" w:rsidRPr="00045F1A">
        <w:rPr>
          <w:color w:val="000000"/>
          <w:sz w:val="24"/>
          <w:szCs w:val="24"/>
          <w:vertAlign w:val="superscript"/>
        </w:rPr>
        <w:t>th</w:t>
      </w:r>
      <w:proofErr w:type="gramEnd"/>
      <w:r w:rsidR="00045F1A">
        <w:rPr>
          <w:color w:val="000000"/>
          <w:sz w:val="24"/>
          <w:szCs w:val="24"/>
        </w:rPr>
        <w:t xml:space="preserve"> January 1933 when Adolf Hitler was appointed as chancellor of Germany. The Nazi party made quick work of eliminating its opposition and finally consolidated its power after the death of President Hindenburg in 1934 when Hitler merged the offices of chancellor and president becoming the Fuhrer.</w:t>
      </w:r>
      <w:r w:rsidR="00A55957">
        <w:rPr>
          <w:rStyle w:val="FootnoteReference"/>
          <w:color w:val="000000"/>
          <w:sz w:val="24"/>
          <w:szCs w:val="24"/>
        </w:rPr>
        <w:footnoteReference w:id="3"/>
      </w:r>
      <w:r w:rsidR="00045F1A">
        <w:rPr>
          <w:color w:val="000000"/>
          <w:sz w:val="24"/>
          <w:szCs w:val="24"/>
        </w:rPr>
        <w:t xml:space="preserve"> </w:t>
      </w:r>
      <w:r w:rsidR="0077281F">
        <w:rPr>
          <w:color w:val="000000"/>
          <w:sz w:val="24"/>
          <w:szCs w:val="24"/>
        </w:rPr>
        <w:t xml:space="preserve">Germany was without allies and a substantially weakened military, so </w:t>
      </w:r>
      <w:r w:rsidR="00F03C2D">
        <w:rPr>
          <w:color w:val="000000"/>
          <w:sz w:val="24"/>
          <w:szCs w:val="24"/>
        </w:rPr>
        <w:t>Hitler’s</w:t>
      </w:r>
      <w:r w:rsidR="0077281F">
        <w:rPr>
          <w:color w:val="000000"/>
          <w:sz w:val="24"/>
          <w:szCs w:val="24"/>
        </w:rPr>
        <w:t xml:space="preserve"> priority was the rearmament of the nation. Publicly Hitler gave a speech stating his ambition for world peace and accepted an offer from the US </w:t>
      </w:r>
      <w:r w:rsidR="0013202D">
        <w:rPr>
          <w:color w:val="000000"/>
          <w:sz w:val="24"/>
          <w:szCs w:val="24"/>
        </w:rPr>
        <w:t xml:space="preserve">president of the time, </w:t>
      </w:r>
      <w:r w:rsidR="0077281F">
        <w:rPr>
          <w:color w:val="000000"/>
          <w:sz w:val="24"/>
          <w:szCs w:val="24"/>
        </w:rPr>
        <w:t>Franklin D Roosevelt</w:t>
      </w:r>
      <w:r w:rsidR="0013202D">
        <w:rPr>
          <w:color w:val="000000"/>
          <w:sz w:val="24"/>
          <w:szCs w:val="24"/>
        </w:rPr>
        <w:t>,</w:t>
      </w:r>
      <w:r w:rsidR="0077281F">
        <w:rPr>
          <w:color w:val="000000"/>
          <w:sz w:val="24"/>
          <w:szCs w:val="24"/>
        </w:rPr>
        <w:t xml:space="preserve"> concerning military disarmament so long as the rest of Europe did the same.</w:t>
      </w:r>
      <w:r w:rsidR="0077281F">
        <w:rPr>
          <w:rStyle w:val="FootnoteReference"/>
          <w:color w:val="000000"/>
          <w:sz w:val="24"/>
          <w:szCs w:val="24"/>
        </w:rPr>
        <w:footnoteReference w:id="4"/>
      </w:r>
      <w:r w:rsidR="0077281F">
        <w:rPr>
          <w:color w:val="000000"/>
          <w:sz w:val="24"/>
          <w:szCs w:val="24"/>
        </w:rPr>
        <w:t xml:space="preserve"> </w:t>
      </w:r>
      <w:r w:rsidR="001F26EC">
        <w:rPr>
          <w:color w:val="000000"/>
          <w:sz w:val="24"/>
          <w:szCs w:val="24"/>
        </w:rPr>
        <w:t>It was expected that the other European powers would fail to accept this offer which gave Hitler justification for removing Germany from the League of Nations and the World Disarmament Conference.</w:t>
      </w:r>
      <w:r w:rsidR="001B2B95">
        <w:rPr>
          <w:rStyle w:val="FootnoteReference"/>
          <w:color w:val="000000"/>
          <w:sz w:val="24"/>
          <w:szCs w:val="24"/>
        </w:rPr>
        <w:footnoteReference w:id="5"/>
      </w:r>
      <w:r w:rsidR="00D23C90">
        <w:rPr>
          <w:color w:val="000000"/>
          <w:sz w:val="24"/>
          <w:szCs w:val="24"/>
        </w:rPr>
        <w:t xml:space="preserve"> In 1935, the Saarland, a highly industrialised region which </w:t>
      </w:r>
      <w:r w:rsidR="00874763">
        <w:rPr>
          <w:color w:val="000000"/>
          <w:sz w:val="24"/>
          <w:szCs w:val="24"/>
        </w:rPr>
        <w:t xml:space="preserve">had been occupied by England and France in </w:t>
      </w:r>
      <w:r w:rsidR="00874763">
        <w:rPr>
          <w:color w:val="000000"/>
          <w:sz w:val="24"/>
          <w:szCs w:val="24"/>
        </w:rPr>
        <w:lastRenderedPageBreak/>
        <w:t>the wake of the treaty of Versailles,</w:t>
      </w:r>
      <w:r w:rsidR="00D23C90">
        <w:rPr>
          <w:color w:val="000000"/>
          <w:sz w:val="24"/>
          <w:szCs w:val="24"/>
        </w:rPr>
        <w:t xml:space="preserve"> voted to become a part of Germany again</w:t>
      </w:r>
      <w:r w:rsidR="00874763">
        <w:rPr>
          <w:color w:val="000000"/>
          <w:sz w:val="24"/>
          <w:szCs w:val="24"/>
        </w:rPr>
        <w:t>.</w:t>
      </w:r>
      <w:r w:rsidR="00874763">
        <w:rPr>
          <w:rStyle w:val="FootnoteReference"/>
          <w:color w:val="000000"/>
          <w:sz w:val="24"/>
          <w:szCs w:val="24"/>
        </w:rPr>
        <w:footnoteReference w:id="6"/>
      </w:r>
      <w:r w:rsidR="00874763">
        <w:rPr>
          <w:color w:val="000000"/>
          <w:sz w:val="24"/>
          <w:szCs w:val="24"/>
        </w:rPr>
        <w:t xml:space="preserve"> The industry and coalfields located here would be very important in powering Hitler’s war machine.</w:t>
      </w:r>
      <w:r w:rsidR="00D23C90">
        <w:rPr>
          <w:color w:val="000000"/>
          <w:sz w:val="24"/>
          <w:szCs w:val="24"/>
        </w:rPr>
        <w:t xml:space="preserve"> </w:t>
      </w:r>
      <w:r w:rsidR="001F6EB6">
        <w:rPr>
          <w:color w:val="000000"/>
          <w:sz w:val="24"/>
          <w:szCs w:val="24"/>
        </w:rPr>
        <w:t>This was then followed by an announcement by Hitler of the creation of a German air force and the expansion of the armed forces to 550,000 men and the subsequent agreement by Britain to allow Germany to build a naval fleet.</w:t>
      </w:r>
      <w:r w:rsidR="00D66059">
        <w:rPr>
          <w:rStyle w:val="FootnoteReference"/>
          <w:color w:val="000000"/>
          <w:sz w:val="24"/>
          <w:szCs w:val="24"/>
        </w:rPr>
        <w:footnoteReference w:id="7"/>
      </w:r>
      <w:r w:rsidR="00651D1C">
        <w:rPr>
          <w:color w:val="000000"/>
          <w:sz w:val="24"/>
          <w:szCs w:val="24"/>
        </w:rPr>
        <w:t xml:space="preserve"> </w:t>
      </w:r>
    </w:p>
    <w:p w14:paraId="1D0BC61B" w14:textId="2890249E" w:rsidR="00141EBE" w:rsidRDefault="00651D1C" w:rsidP="00FB00EC">
      <w:pPr>
        <w:rPr>
          <w:color w:val="000000"/>
          <w:sz w:val="24"/>
          <w:szCs w:val="24"/>
        </w:rPr>
      </w:pPr>
      <w:r>
        <w:rPr>
          <w:color w:val="000000"/>
          <w:sz w:val="24"/>
          <w:szCs w:val="24"/>
        </w:rPr>
        <w:t xml:space="preserve">In October 1935, Italy invaded Ethiopia and Hitler observed the minimal protest that was displayed by the French and British governments so on March 1936 Hitler seized it as an opportunity to </w:t>
      </w:r>
      <w:proofErr w:type="gramStart"/>
      <w:r>
        <w:rPr>
          <w:color w:val="000000"/>
          <w:sz w:val="24"/>
          <w:szCs w:val="24"/>
        </w:rPr>
        <w:t>march</w:t>
      </w:r>
      <w:proofErr w:type="gramEnd"/>
      <w:r>
        <w:rPr>
          <w:color w:val="000000"/>
          <w:sz w:val="24"/>
          <w:szCs w:val="24"/>
        </w:rPr>
        <w:t xml:space="preserve"> 3,000 German soldiers into the Rhineland, re-militarising it. This of course violated the Treaty of Versailles but because the territory was already part of Germany the </w:t>
      </w:r>
      <w:r w:rsidR="00287C9C">
        <w:rPr>
          <w:color w:val="000000"/>
          <w:sz w:val="24"/>
          <w:szCs w:val="24"/>
        </w:rPr>
        <w:t>French/British governments did not want to risk war by enforcing the treaty.</w:t>
      </w:r>
      <w:r w:rsidR="00A05E32">
        <w:rPr>
          <w:rStyle w:val="FootnoteReference"/>
          <w:color w:val="000000"/>
          <w:sz w:val="24"/>
          <w:szCs w:val="24"/>
        </w:rPr>
        <w:footnoteReference w:id="8"/>
      </w:r>
      <w:r w:rsidR="00CE176C">
        <w:rPr>
          <w:color w:val="000000"/>
          <w:sz w:val="24"/>
          <w:szCs w:val="24"/>
        </w:rPr>
        <w:t xml:space="preserve"> </w:t>
      </w:r>
      <w:r w:rsidR="008B1681">
        <w:rPr>
          <w:color w:val="000000"/>
          <w:sz w:val="24"/>
          <w:szCs w:val="24"/>
        </w:rPr>
        <w:t xml:space="preserve">After over a year and a half of build-up Germany was now </w:t>
      </w:r>
      <w:proofErr w:type="gramStart"/>
      <w:r w:rsidR="008B1681">
        <w:rPr>
          <w:color w:val="000000"/>
          <w:sz w:val="24"/>
          <w:szCs w:val="24"/>
        </w:rPr>
        <w:t>in a position</w:t>
      </w:r>
      <w:proofErr w:type="gramEnd"/>
      <w:r w:rsidR="008B1681">
        <w:rPr>
          <w:color w:val="000000"/>
          <w:sz w:val="24"/>
          <w:szCs w:val="24"/>
        </w:rPr>
        <w:t xml:space="preserve"> to start expanding its territory. On the </w:t>
      </w:r>
      <w:proofErr w:type="gramStart"/>
      <w:r w:rsidR="008B1681">
        <w:rPr>
          <w:color w:val="000000"/>
          <w:sz w:val="24"/>
          <w:szCs w:val="24"/>
        </w:rPr>
        <w:t>12</w:t>
      </w:r>
      <w:r w:rsidR="008B1681" w:rsidRPr="008B1681">
        <w:rPr>
          <w:color w:val="000000"/>
          <w:sz w:val="24"/>
          <w:szCs w:val="24"/>
          <w:vertAlign w:val="superscript"/>
        </w:rPr>
        <w:t>th</w:t>
      </w:r>
      <w:proofErr w:type="gramEnd"/>
      <w:r w:rsidR="008B1681">
        <w:rPr>
          <w:color w:val="000000"/>
          <w:sz w:val="24"/>
          <w:szCs w:val="24"/>
        </w:rPr>
        <w:t xml:space="preserve"> March 1938, after issuing an ultimatum to the Austrian chancellor to relinquish all power to the local Nazi party, Hitler sent German troops to occupy the country where they were greeted with enthusiasm by the locals.</w:t>
      </w:r>
      <w:r w:rsidR="0090653D">
        <w:rPr>
          <w:rStyle w:val="FootnoteReference"/>
          <w:color w:val="000000"/>
          <w:sz w:val="24"/>
          <w:szCs w:val="24"/>
        </w:rPr>
        <w:footnoteReference w:id="9"/>
      </w:r>
      <w:r w:rsidR="002D41B1">
        <w:rPr>
          <w:color w:val="000000"/>
          <w:sz w:val="24"/>
          <w:szCs w:val="24"/>
        </w:rPr>
        <w:t xml:space="preserve"> This expansionism continued when Hitler turned his sights to the Sudetenland in Czechoslovakia, an area which was home to a substantial number of ethnic Germans</w:t>
      </w:r>
      <w:r w:rsidR="00266B2A">
        <w:rPr>
          <w:color w:val="000000"/>
          <w:sz w:val="24"/>
          <w:szCs w:val="24"/>
        </w:rPr>
        <w:t>. The Czechoslovakian crisis led to war preparations by the Czech’s, Britain and France which was narrowly avoided by the Munich Agreement signed on September 29</w:t>
      </w:r>
      <w:r w:rsidR="00266B2A" w:rsidRPr="00266B2A">
        <w:rPr>
          <w:color w:val="000000"/>
          <w:sz w:val="24"/>
          <w:szCs w:val="24"/>
          <w:vertAlign w:val="superscript"/>
        </w:rPr>
        <w:t>th</w:t>
      </w:r>
      <w:proofErr w:type="gramStart"/>
      <w:r w:rsidR="00266B2A">
        <w:rPr>
          <w:color w:val="000000"/>
          <w:sz w:val="24"/>
          <w:szCs w:val="24"/>
        </w:rPr>
        <w:t xml:space="preserve"> 1938</w:t>
      </w:r>
      <w:proofErr w:type="gramEnd"/>
      <w:r w:rsidR="00266B2A">
        <w:rPr>
          <w:color w:val="000000"/>
          <w:sz w:val="24"/>
          <w:szCs w:val="24"/>
        </w:rPr>
        <w:t xml:space="preserve"> which resulted in Germany annexing the </w:t>
      </w:r>
      <w:r w:rsidR="004F048D">
        <w:rPr>
          <w:color w:val="000000"/>
          <w:sz w:val="24"/>
          <w:szCs w:val="24"/>
        </w:rPr>
        <w:t>Sudetenland</w:t>
      </w:r>
      <w:r w:rsidR="00334618">
        <w:rPr>
          <w:color w:val="000000"/>
          <w:sz w:val="24"/>
          <w:szCs w:val="24"/>
        </w:rPr>
        <w:t xml:space="preserve">. </w:t>
      </w:r>
      <w:r w:rsidR="00785F47">
        <w:rPr>
          <w:color w:val="000000"/>
          <w:sz w:val="24"/>
          <w:szCs w:val="24"/>
        </w:rPr>
        <w:t>However, the peace was short lived as Hitler was not content with just this region and decided to destroy Czechoslovakia entirely.</w:t>
      </w:r>
      <w:r w:rsidR="00785F47">
        <w:rPr>
          <w:rStyle w:val="FootnoteReference"/>
          <w:color w:val="000000"/>
          <w:sz w:val="24"/>
          <w:szCs w:val="24"/>
        </w:rPr>
        <w:footnoteReference w:id="10"/>
      </w:r>
      <w:r w:rsidR="00CA685D">
        <w:rPr>
          <w:color w:val="000000"/>
          <w:sz w:val="24"/>
          <w:szCs w:val="24"/>
        </w:rPr>
        <w:t xml:space="preserve"> </w:t>
      </w:r>
      <w:r w:rsidR="000F100B">
        <w:rPr>
          <w:color w:val="000000"/>
          <w:sz w:val="24"/>
          <w:szCs w:val="24"/>
        </w:rPr>
        <w:t>The Austrian and Czech foreign exchange reserves were subsequently seized by the Nazis along with numerous natural resources and manufactured goods such as planes and infantry equipment</w:t>
      </w:r>
      <w:r w:rsidR="0081529A">
        <w:rPr>
          <w:color w:val="000000"/>
          <w:sz w:val="24"/>
          <w:szCs w:val="24"/>
        </w:rPr>
        <w:t>. Furthermore, Germany absorbed steel and coal industries in both countries into its own industrial conglomerate.</w:t>
      </w:r>
      <w:r w:rsidR="0081529A">
        <w:rPr>
          <w:rStyle w:val="FootnoteReference"/>
          <w:color w:val="000000"/>
          <w:sz w:val="24"/>
          <w:szCs w:val="24"/>
        </w:rPr>
        <w:footnoteReference w:id="11"/>
      </w:r>
      <w:r w:rsidR="0089557E">
        <w:rPr>
          <w:color w:val="000000"/>
          <w:sz w:val="24"/>
          <w:szCs w:val="24"/>
        </w:rPr>
        <w:t xml:space="preserve"> Emboldened by its easy absorption of both Austria and Czechoslovakia, Hitler demanded the return of Danzig and a strip of land that would connect Germany with its eastern Prussian territory despite having signed a non-aggression pact with Poland in 1934.</w:t>
      </w:r>
      <w:r w:rsidR="0089557E">
        <w:rPr>
          <w:rStyle w:val="FootnoteReference"/>
          <w:color w:val="000000"/>
          <w:sz w:val="24"/>
          <w:szCs w:val="24"/>
        </w:rPr>
        <w:footnoteReference w:id="12"/>
      </w:r>
      <w:r w:rsidR="0089557E">
        <w:rPr>
          <w:color w:val="000000"/>
          <w:sz w:val="24"/>
          <w:szCs w:val="24"/>
        </w:rPr>
        <w:t xml:space="preserve"> </w:t>
      </w:r>
      <w:r w:rsidR="009D5D38">
        <w:rPr>
          <w:color w:val="000000"/>
          <w:sz w:val="24"/>
          <w:szCs w:val="24"/>
        </w:rPr>
        <w:t xml:space="preserve">Hitler did not believe that British would actually come to the aid of Poland despite guarantees from both them and France. In preparation for the invasion, Germany signed non-aggression pacts with Latvia, Estonia and Denmark and simultaneously bolstered trade links with Romania, </w:t>
      </w:r>
      <w:proofErr w:type="gramStart"/>
      <w:r w:rsidR="009D5D38">
        <w:rPr>
          <w:color w:val="000000"/>
          <w:sz w:val="24"/>
          <w:szCs w:val="24"/>
        </w:rPr>
        <w:t>Norway</w:t>
      </w:r>
      <w:proofErr w:type="gramEnd"/>
      <w:r w:rsidR="009D5D38">
        <w:rPr>
          <w:color w:val="000000"/>
          <w:sz w:val="24"/>
          <w:szCs w:val="24"/>
        </w:rPr>
        <w:t xml:space="preserve"> and Sweden. The alliance between Italy and Germany was reaffirmed and in August 1939 the Molotov-Ribbentrop pact with the Soviet Union was signed. It was a non-aggression pact which contained secret measures for the partition of </w:t>
      </w:r>
      <w:r w:rsidR="009D5D38">
        <w:rPr>
          <w:color w:val="000000"/>
          <w:sz w:val="24"/>
          <w:szCs w:val="24"/>
        </w:rPr>
        <w:lastRenderedPageBreak/>
        <w:t>Poland between the two great powers.</w:t>
      </w:r>
      <w:r w:rsidR="001B6F81">
        <w:rPr>
          <w:rStyle w:val="FootnoteReference"/>
          <w:color w:val="000000"/>
          <w:sz w:val="24"/>
          <w:szCs w:val="24"/>
        </w:rPr>
        <w:footnoteReference w:id="13"/>
      </w:r>
      <w:r w:rsidR="0053357F">
        <w:rPr>
          <w:color w:val="000000"/>
          <w:sz w:val="24"/>
          <w:szCs w:val="24"/>
        </w:rPr>
        <w:t xml:space="preserve"> Germany began its invasion of Poland on September 1</w:t>
      </w:r>
      <w:r w:rsidR="0053357F" w:rsidRPr="0053357F">
        <w:rPr>
          <w:color w:val="000000"/>
          <w:sz w:val="24"/>
          <w:szCs w:val="24"/>
          <w:vertAlign w:val="superscript"/>
        </w:rPr>
        <w:t>st</w:t>
      </w:r>
      <w:proofErr w:type="gramStart"/>
      <w:r w:rsidR="0053357F">
        <w:rPr>
          <w:color w:val="000000"/>
          <w:sz w:val="24"/>
          <w:szCs w:val="24"/>
        </w:rPr>
        <w:t xml:space="preserve"> 1939</w:t>
      </w:r>
      <w:proofErr w:type="gramEnd"/>
      <w:r w:rsidR="0053357F">
        <w:rPr>
          <w:color w:val="000000"/>
          <w:sz w:val="24"/>
          <w:szCs w:val="24"/>
        </w:rPr>
        <w:t>, capturing the free city of Danzig which resulted in declarations of war from Britain and France and marked the beginning of the second world war in Europe.</w:t>
      </w:r>
      <w:r w:rsidR="00D575F3">
        <w:rPr>
          <w:rStyle w:val="FootnoteReference"/>
          <w:color w:val="000000"/>
          <w:sz w:val="24"/>
          <w:szCs w:val="24"/>
        </w:rPr>
        <w:footnoteReference w:id="14"/>
      </w:r>
    </w:p>
    <w:p w14:paraId="32471A88" w14:textId="3444B517" w:rsidR="00833C54" w:rsidRDefault="00833C54" w:rsidP="00FB00EC">
      <w:pPr>
        <w:rPr>
          <w:color w:val="000000"/>
          <w:sz w:val="24"/>
          <w:szCs w:val="24"/>
        </w:rPr>
      </w:pPr>
      <w:r>
        <w:rPr>
          <w:color w:val="000000"/>
          <w:sz w:val="24"/>
          <w:szCs w:val="24"/>
        </w:rPr>
        <w:t xml:space="preserve">Britain had begun a process of rearmament after a government white paper, entitled as the </w:t>
      </w:r>
      <w:r>
        <w:rPr>
          <w:i/>
          <w:iCs/>
          <w:color w:val="000000"/>
          <w:sz w:val="24"/>
          <w:szCs w:val="24"/>
        </w:rPr>
        <w:t>statement relating to defence</w:t>
      </w:r>
      <w:r>
        <w:rPr>
          <w:color w:val="000000"/>
          <w:sz w:val="24"/>
          <w:szCs w:val="24"/>
        </w:rPr>
        <w:t>, during the period of the 1930’s. Despite the existence of the league of nations there was a recognition of the need for prepared defences especially in the wake of German withdrawal from the league.</w:t>
      </w:r>
      <w:r w:rsidR="00EB30BB">
        <w:rPr>
          <w:rStyle w:val="FootnoteReference"/>
          <w:color w:val="000000"/>
          <w:sz w:val="24"/>
          <w:szCs w:val="24"/>
        </w:rPr>
        <w:footnoteReference w:id="15"/>
      </w:r>
      <w:r w:rsidR="00DD187D">
        <w:rPr>
          <w:color w:val="000000"/>
          <w:sz w:val="24"/>
          <w:szCs w:val="24"/>
        </w:rPr>
        <w:t xml:space="preserve"> </w:t>
      </w:r>
      <w:r w:rsidR="008A5F7B">
        <w:rPr>
          <w:color w:val="000000"/>
          <w:sz w:val="24"/>
          <w:szCs w:val="24"/>
        </w:rPr>
        <w:t xml:space="preserve">Comparatively, this was a similar policy that was undertaken by the German government. </w:t>
      </w:r>
      <w:r w:rsidR="004055CE">
        <w:rPr>
          <w:color w:val="000000"/>
          <w:sz w:val="24"/>
          <w:szCs w:val="24"/>
        </w:rPr>
        <w:t xml:space="preserve">However, </w:t>
      </w:r>
      <w:proofErr w:type="gramStart"/>
      <w:r w:rsidR="004055CE">
        <w:rPr>
          <w:color w:val="000000"/>
          <w:sz w:val="24"/>
          <w:szCs w:val="24"/>
        </w:rPr>
        <w:t>in spite of</w:t>
      </w:r>
      <w:proofErr w:type="gramEnd"/>
      <w:r w:rsidR="004055CE">
        <w:rPr>
          <w:color w:val="000000"/>
          <w:sz w:val="24"/>
          <w:szCs w:val="24"/>
        </w:rPr>
        <w:t xml:space="preserve"> increased military spending by the British government its forces were still inferior in comparison to the German army.</w:t>
      </w:r>
      <w:r w:rsidR="004055CE">
        <w:rPr>
          <w:rStyle w:val="FootnoteReference"/>
          <w:color w:val="000000"/>
          <w:sz w:val="24"/>
          <w:szCs w:val="24"/>
        </w:rPr>
        <w:footnoteReference w:id="16"/>
      </w:r>
      <w:r w:rsidR="003B5996">
        <w:rPr>
          <w:color w:val="000000"/>
          <w:sz w:val="24"/>
          <w:szCs w:val="24"/>
        </w:rPr>
        <w:t xml:space="preserve"> This would undoubtedly influence the policy of appeasement adopted by the British government when Hitler would come to demand the Sudetenland. France, </w:t>
      </w:r>
      <w:proofErr w:type="gramStart"/>
      <w:r w:rsidR="003B5996">
        <w:rPr>
          <w:color w:val="000000"/>
          <w:sz w:val="24"/>
          <w:szCs w:val="24"/>
        </w:rPr>
        <w:t>Britain</w:t>
      </w:r>
      <w:proofErr w:type="gramEnd"/>
      <w:r w:rsidR="003B5996">
        <w:rPr>
          <w:color w:val="000000"/>
          <w:sz w:val="24"/>
          <w:szCs w:val="24"/>
        </w:rPr>
        <w:t xml:space="preserve"> and Czechoslovakia would avoid war with Germany at any cost, and their tepid reaction to the annexation of Austria had emboldened Hitler. </w:t>
      </w:r>
      <w:r w:rsidR="009940CA">
        <w:rPr>
          <w:color w:val="000000"/>
          <w:sz w:val="24"/>
          <w:szCs w:val="24"/>
        </w:rPr>
        <w:t>Then British Prime Minister Neville Chamberlain thought that the German demands were justified and believed that Hitler had no intention of expanding further into Czechoslovakia or Eastern Europe.</w:t>
      </w:r>
      <w:r w:rsidR="009940CA">
        <w:rPr>
          <w:rStyle w:val="FootnoteReference"/>
          <w:color w:val="000000"/>
          <w:sz w:val="24"/>
          <w:szCs w:val="24"/>
        </w:rPr>
        <w:footnoteReference w:id="17"/>
      </w:r>
      <w:r w:rsidR="00373317">
        <w:rPr>
          <w:color w:val="000000"/>
          <w:sz w:val="24"/>
          <w:szCs w:val="24"/>
        </w:rPr>
        <w:t xml:space="preserve"> In fact, Hitler himself had given a speech in Berlin during which he stated that:</w:t>
      </w:r>
    </w:p>
    <w:p w14:paraId="4AE41450" w14:textId="54A1079D" w:rsidR="00373317" w:rsidRDefault="00373317" w:rsidP="00373317">
      <w:pPr>
        <w:rPr>
          <w:i/>
          <w:iCs/>
          <w:sz w:val="24"/>
          <w:szCs w:val="24"/>
        </w:rPr>
      </w:pPr>
      <w:r>
        <w:rPr>
          <w:i/>
          <w:iCs/>
          <w:sz w:val="24"/>
          <w:szCs w:val="24"/>
        </w:rPr>
        <w:t>“</w:t>
      </w:r>
      <w:r w:rsidRPr="00373317">
        <w:rPr>
          <w:i/>
          <w:iCs/>
          <w:sz w:val="24"/>
          <w:szCs w:val="24"/>
        </w:rPr>
        <w:t xml:space="preserve">The Sudetenland is the last territorial demand I </w:t>
      </w:r>
      <w:proofErr w:type="gramStart"/>
      <w:r w:rsidRPr="00373317">
        <w:rPr>
          <w:i/>
          <w:iCs/>
          <w:sz w:val="24"/>
          <w:szCs w:val="24"/>
        </w:rPr>
        <w:t>have to</w:t>
      </w:r>
      <w:proofErr w:type="gramEnd"/>
      <w:r w:rsidRPr="00373317">
        <w:rPr>
          <w:i/>
          <w:iCs/>
          <w:sz w:val="24"/>
          <w:szCs w:val="24"/>
        </w:rPr>
        <w:t xml:space="preserve"> make in Europe. I have assured him (Chamberlain) further that, and this I repeat here before you, once this issue has been resolved, there will no longer be any further territorial problems for Germany in Europe!</w:t>
      </w:r>
      <w:r>
        <w:rPr>
          <w:i/>
          <w:iCs/>
          <w:sz w:val="24"/>
          <w:szCs w:val="24"/>
        </w:rPr>
        <w:t>”</w:t>
      </w:r>
      <w:r>
        <w:rPr>
          <w:rStyle w:val="FootnoteReference"/>
          <w:i/>
          <w:iCs/>
          <w:sz w:val="24"/>
          <w:szCs w:val="24"/>
        </w:rPr>
        <w:footnoteReference w:id="18"/>
      </w:r>
    </w:p>
    <w:p w14:paraId="40ADF4DE" w14:textId="78ED9062" w:rsidR="00EF67DD" w:rsidRDefault="00984A60" w:rsidP="00373317">
      <w:pPr>
        <w:rPr>
          <w:sz w:val="24"/>
          <w:szCs w:val="24"/>
        </w:rPr>
      </w:pPr>
      <w:r>
        <w:rPr>
          <w:sz w:val="24"/>
          <w:szCs w:val="24"/>
        </w:rPr>
        <w:t>At this point, the British and French governments had no reason to believe that Hitler could not be taken for his word. After issues arose between the Sudeten Germans and the Czechoslovakian government, Hitler demanded the immediate annexation of the Sudetenland to Nazi Germany or promised war in Czechoslovakia</w:t>
      </w:r>
      <w:r w:rsidR="006D425E">
        <w:rPr>
          <w:sz w:val="24"/>
          <w:szCs w:val="24"/>
        </w:rPr>
        <w:t>. Both the French and British governments accepted these demands to the dismay of the Czech government who argued that it would ruin their economy and lead to the collapse and inevitable German occupation of the country</w:t>
      </w:r>
      <w:r w:rsidR="008E24F2">
        <w:rPr>
          <w:sz w:val="24"/>
          <w:szCs w:val="24"/>
        </w:rPr>
        <w:t>, but they were forced to accept</w:t>
      </w:r>
      <w:r w:rsidR="00E042C0">
        <w:rPr>
          <w:sz w:val="24"/>
          <w:szCs w:val="24"/>
        </w:rPr>
        <w:t xml:space="preserve"> as French/British military guarantees were contingent upon their acceptance. </w:t>
      </w:r>
      <w:r w:rsidR="00F21259">
        <w:rPr>
          <w:sz w:val="24"/>
          <w:szCs w:val="24"/>
        </w:rPr>
        <w:t>Finally, on March 15</w:t>
      </w:r>
      <w:r w:rsidR="00F21259" w:rsidRPr="00F21259">
        <w:rPr>
          <w:sz w:val="24"/>
          <w:szCs w:val="24"/>
          <w:vertAlign w:val="superscript"/>
        </w:rPr>
        <w:t>th</w:t>
      </w:r>
      <w:proofErr w:type="gramStart"/>
      <w:r w:rsidR="00F21259">
        <w:rPr>
          <w:sz w:val="24"/>
          <w:szCs w:val="24"/>
        </w:rPr>
        <w:t xml:space="preserve"> 1939</w:t>
      </w:r>
      <w:proofErr w:type="gramEnd"/>
      <w:r w:rsidR="00F21259">
        <w:rPr>
          <w:sz w:val="24"/>
          <w:szCs w:val="24"/>
        </w:rPr>
        <w:t xml:space="preserve"> Hitler would order German troops to invade and seal the fate of Czechoslovakia. </w:t>
      </w:r>
      <w:r w:rsidR="003C5958">
        <w:rPr>
          <w:sz w:val="24"/>
          <w:szCs w:val="24"/>
        </w:rPr>
        <w:t xml:space="preserve">Chamberlain had thought the Munich pact would ensure peace in Europe, instead it became a clever </w:t>
      </w:r>
      <w:r w:rsidR="003C5958">
        <w:rPr>
          <w:sz w:val="24"/>
          <w:szCs w:val="24"/>
        </w:rPr>
        <w:lastRenderedPageBreak/>
        <w:t xml:space="preserve">negotiating ploy by the Nazi regime. </w:t>
      </w:r>
      <w:r w:rsidR="004A623A">
        <w:rPr>
          <w:sz w:val="24"/>
          <w:szCs w:val="24"/>
        </w:rPr>
        <w:t xml:space="preserve">Yet, this betrayal would not end the British policy of appeasement. When Hitler demanded Danzig and the Polish corridor, Chamberlain and his cabinet still believed that the war could be </w:t>
      </w:r>
      <w:r w:rsidR="00685533">
        <w:rPr>
          <w:sz w:val="24"/>
          <w:szCs w:val="24"/>
        </w:rPr>
        <w:t>avoided,</w:t>
      </w:r>
      <w:r w:rsidR="004A623A">
        <w:rPr>
          <w:sz w:val="24"/>
          <w:szCs w:val="24"/>
        </w:rPr>
        <w:t xml:space="preserve"> and that Poland could keep its independence.</w:t>
      </w:r>
      <w:r w:rsidR="004A623A">
        <w:rPr>
          <w:rStyle w:val="FootnoteReference"/>
          <w:sz w:val="24"/>
          <w:szCs w:val="24"/>
        </w:rPr>
        <w:footnoteReference w:id="19"/>
      </w:r>
      <w:r w:rsidR="0059041D">
        <w:rPr>
          <w:sz w:val="24"/>
          <w:szCs w:val="24"/>
        </w:rPr>
        <w:t xml:space="preserve"> On the 29</w:t>
      </w:r>
      <w:r w:rsidR="0059041D" w:rsidRPr="0059041D">
        <w:rPr>
          <w:sz w:val="24"/>
          <w:szCs w:val="24"/>
          <w:vertAlign w:val="superscript"/>
        </w:rPr>
        <w:t>th</w:t>
      </w:r>
      <w:r w:rsidR="0059041D">
        <w:rPr>
          <w:sz w:val="24"/>
          <w:szCs w:val="24"/>
        </w:rPr>
        <w:t xml:space="preserve"> of August 1939, in response to Germany ending negotiations and being poised to invade Poland at any moment, the Polish Minister of foreign affairs ordered the mobilization of the Polish army. However, under pressure from British and French government the mobilization was stopped which only added more confusion when Poland had to mobilise when Germany invaded on 1</w:t>
      </w:r>
      <w:r w:rsidR="0059041D" w:rsidRPr="0059041D">
        <w:rPr>
          <w:sz w:val="24"/>
          <w:szCs w:val="24"/>
          <w:vertAlign w:val="superscript"/>
        </w:rPr>
        <w:t>st</w:t>
      </w:r>
      <w:r w:rsidR="0059041D">
        <w:rPr>
          <w:sz w:val="24"/>
          <w:szCs w:val="24"/>
        </w:rPr>
        <w:t xml:space="preserve"> September 1939.</w:t>
      </w:r>
      <w:r w:rsidR="0059041D">
        <w:rPr>
          <w:rStyle w:val="FootnoteReference"/>
          <w:sz w:val="24"/>
          <w:szCs w:val="24"/>
        </w:rPr>
        <w:footnoteReference w:id="20"/>
      </w:r>
      <w:r w:rsidR="0059041D">
        <w:rPr>
          <w:sz w:val="24"/>
          <w:szCs w:val="24"/>
        </w:rPr>
        <w:t xml:space="preserve"> It is estimated that the delay reduced the Polish army’s effective combat by ability by around 33%.</w:t>
      </w:r>
      <w:r w:rsidR="00D37CC6">
        <w:rPr>
          <w:sz w:val="24"/>
          <w:szCs w:val="24"/>
        </w:rPr>
        <w:t xml:space="preserve"> Whilst the Chamberlain government had made every effort to accommodate Hitlers demands in an attempt for ensuring peace, the result was that this ultimately backfired. Germany was given little indication that Britain or France would </w:t>
      </w:r>
      <w:proofErr w:type="gramStart"/>
      <w:r w:rsidR="00D37CC6">
        <w:rPr>
          <w:sz w:val="24"/>
          <w:szCs w:val="24"/>
        </w:rPr>
        <w:t>actually come</w:t>
      </w:r>
      <w:proofErr w:type="gramEnd"/>
      <w:r w:rsidR="00D37CC6">
        <w:rPr>
          <w:sz w:val="24"/>
          <w:szCs w:val="24"/>
        </w:rPr>
        <w:t xml:space="preserve"> to the support of Poland, especially since they abandoned Czechoslovakia despite their guarantees of its independence. </w:t>
      </w:r>
    </w:p>
    <w:p w14:paraId="4CC8FAA2" w14:textId="0D4B09DB" w:rsidR="00CE293E" w:rsidRDefault="00347761" w:rsidP="00373317">
      <w:pPr>
        <w:rPr>
          <w:sz w:val="24"/>
          <w:szCs w:val="24"/>
        </w:rPr>
      </w:pPr>
      <w:r>
        <w:rPr>
          <w:sz w:val="24"/>
          <w:szCs w:val="24"/>
        </w:rPr>
        <w:t xml:space="preserve">The policy of the United States in eventually choosing war over peace was a considerably different one to Germany, the UK and France. </w:t>
      </w:r>
      <w:r w:rsidR="00D07BD2">
        <w:rPr>
          <w:sz w:val="24"/>
          <w:szCs w:val="24"/>
        </w:rPr>
        <w:t>Congress passed a series of neutrality acts in 1935, 1936 and 1939 in response to the growing militarism and threat of war in Europe. The acts ensured American isolationism and non-interventionist polices in Europe.</w:t>
      </w:r>
      <w:r w:rsidR="00EE140E">
        <w:rPr>
          <w:rStyle w:val="FootnoteReference"/>
          <w:sz w:val="24"/>
          <w:szCs w:val="24"/>
        </w:rPr>
        <w:footnoteReference w:id="21"/>
      </w:r>
      <w:r w:rsidR="00D07BD2">
        <w:rPr>
          <w:sz w:val="24"/>
          <w:szCs w:val="24"/>
        </w:rPr>
        <w:t xml:space="preserve"> </w:t>
      </w:r>
      <w:r w:rsidR="00631861">
        <w:rPr>
          <w:sz w:val="24"/>
          <w:szCs w:val="24"/>
        </w:rPr>
        <w:t xml:space="preserve">However, in late 1939 after the Allies had engaged in war with Germany over its invasion of Poland, President Roosevelt sought to amend the neutrality act </w:t>
      </w:r>
      <w:proofErr w:type="gramStart"/>
      <w:r w:rsidR="00631861">
        <w:rPr>
          <w:sz w:val="24"/>
          <w:szCs w:val="24"/>
        </w:rPr>
        <w:t>in order to</w:t>
      </w:r>
      <w:proofErr w:type="gramEnd"/>
      <w:r w:rsidR="00631861">
        <w:rPr>
          <w:sz w:val="24"/>
          <w:szCs w:val="24"/>
        </w:rPr>
        <w:t xml:space="preserve"> provide arms to Britain and France eventually overcoming the isolationist factions in congress and effectively ending the arms embargo.</w:t>
      </w:r>
      <w:r w:rsidR="00631861">
        <w:rPr>
          <w:rStyle w:val="FootnoteReference"/>
          <w:sz w:val="24"/>
          <w:szCs w:val="24"/>
        </w:rPr>
        <w:footnoteReference w:id="22"/>
      </w:r>
      <w:r w:rsidR="002F05B9">
        <w:rPr>
          <w:sz w:val="24"/>
          <w:szCs w:val="24"/>
        </w:rPr>
        <w:t xml:space="preserve"> The policy of neutrality finally came to an end in 1940 when the US agreed to provide the Royal Navy with 50 destroyers in return for naval bases across Northern America and the British West Indies.</w:t>
      </w:r>
      <w:r w:rsidR="008E3D82">
        <w:rPr>
          <w:rStyle w:val="FootnoteReference"/>
          <w:sz w:val="24"/>
          <w:szCs w:val="24"/>
        </w:rPr>
        <w:footnoteReference w:id="23"/>
      </w:r>
      <w:r w:rsidR="002F05B9">
        <w:rPr>
          <w:sz w:val="24"/>
          <w:szCs w:val="24"/>
        </w:rPr>
        <w:t xml:space="preserve"> </w:t>
      </w:r>
      <w:r w:rsidR="00CC23A9">
        <w:rPr>
          <w:sz w:val="24"/>
          <w:szCs w:val="24"/>
        </w:rPr>
        <w:t>Furthermore, the US was drawn ever closer to the conflict in September 1941 after repeated clashes with German submarines which resulted in Roosevelt ordering the US navy to attack both German and Italian ships in American waters (or waters that the US deemed vital to its defence).</w:t>
      </w:r>
      <w:r w:rsidR="0027454B">
        <w:rPr>
          <w:rStyle w:val="FootnoteReference"/>
          <w:sz w:val="24"/>
          <w:szCs w:val="24"/>
        </w:rPr>
        <w:footnoteReference w:id="24"/>
      </w:r>
      <w:r w:rsidR="00CC23A9">
        <w:rPr>
          <w:sz w:val="24"/>
          <w:szCs w:val="24"/>
        </w:rPr>
        <w:t xml:space="preserve"> </w:t>
      </w:r>
      <w:r w:rsidR="007627CA">
        <w:rPr>
          <w:sz w:val="24"/>
          <w:szCs w:val="24"/>
        </w:rPr>
        <w:t xml:space="preserve">Then, in December 1941 Japan launched a surprise attack on Pearl Harbour in an attempt to cripple the US Pacific Navy and prevent any interference in its military actions against the allies in </w:t>
      </w:r>
      <w:r w:rsidR="007627CA">
        <w:rPr>
          <w:sz w:val="24"/>
          <w:szCs w:val="24"/>
        </w:rPr>
        <w:lastRenderedPageBreak/>
        <w:t>Southeast Asia</w:t>
      </w:r>
      <w:r w:rsidR="001163B4">
        <w:rPr>
          <w:sz w:val="24"/>
          <w:szCs w:val="24"/>
        </w:rPr>
        <w:t>.</w:t>
      </w:r>
      <w:r w:rsidR="001F5344">
        <w:rPr>
          <w:rStyle w:val="FootnoteReference"/>
          <w:sz w:val="24"/>
          <w:szCs w:val="24"/>
        </w:rPr>
        <w:footnoteReference w:id="25"/>
      </w:r>
      <w:r w:rsidR="00C74FF4">
        <w:rPr>
          <w:sz w:val="24"/>
          <w:szCs w:val="24"/>
        </w:rPr>
        <w:t xml:space="preserve"> This resulted in the declaration of war by the US on Japan the following day and on December 11</w:t>
      </w:r>
      <w:r w:rsidR="00C74FF4" w:rsidRPr="00C74FF4">
        <w:rPr>
          <w:sz w:val="24"/>
          <w:szCs w:val="24"/>
          <w:vertAlign w:val="superscript"/>
        </w:rPr>
        <w:t>th</w:t>
      </w:r>
      <w:r w:rsidR="00C74FF4">
        <w:rPr>
          <w:sz w:val="24"/>
          <w:szCs w:val="24"/>
        </w:rPr>
        <w:t xml:space="preserve"> a declaration of war on both Italy and Germany, thus marking the start of the United States’ full military engagement in World War Two.</w:t>
      </w:r>
    </w:p>
    <w:p w14:paraId="12C5CF6F" w14:textId="230D3BCE" w:rsidR="00E10D40" w:rsidRDefault="00E10D40" w:rsidP="00373317">
      <w:pPr>
        <w:rPr>
          <w:sz w:val="24"/>
          <w:szCs w:val="24"/>
        </w:rPr>
      </w:pPr>
      <w:r>
        <w:rPr>
          <w:sz w:val="24"/>
          <w:szCs w:val="24"/>
        </w:rPr>
        <w:t xml:space="preserve">In conclusion, there were many differences in the </w:t>
      </w:r>
      <w:proofErr w:type="gramStart"/>
      <w:r>
        <w:rPr>
          <w:sz w:val="24"/>
          <w:szCs w:val="24"/>
        </w:rPr>
        <w:t>decision making</w:t>
      </w:r>
      <w:proofErr w:type="gramEnd"/>
      <w:r>
        <w:rPr>
          <w:sz w:val="24"/>
          <w:szCs w:val="24"/>
        </w:rPr>
        <w:t xml:space="preserve"> processes that led to countries choosing war over peace from 1939-1941. For Germany, a country run by totalitarianism and nationalism, it would be revanchist expansionist policy that would lead to war for the country. For France and the United Kingdom, their failed policy of appeasement would weaken their position and ultimately drag them into the second world war to attempt to maintain some semblance of power balance in Europe as well as to show their commitment to their pact signed with Poland. </w:t>
      </w:r>
      <w:r w:rsidR="00496E6E">
        <w:rPr>
          <w:sz w:val="24"/>
          <w:szCs w:val="24"/>
        </w:rPr>
        <w:t>For the United States, the</w:t>
      </w:r>
      <w:r w:rsidR="005D6573">
        <w:rPr>
          <w:sz w:val="24"/>
          <w:szCs w:val="24"/>
        </w:rPr>
        <w:t>ir policy of neutrality served them well in the earliest years of the war but their potential to change the direction of the war would always likely have seen them involved and this was demonstrated by Japan’s pre-emptive attack on Pearl Harbour.</w:t>
      </w:r>
      <w:r>
        <w:rPr>
          <w:sz w:val="24"/>
          <w:szCs w:val="24"/>
        </w:rPr>
        <w:t xml:space="preserve"> </w:t>
      </w:r>
      <w:r w:rsidR="001A6487">
        <w:rPr>
          <w:sz w:val="24"/>
          <w:szCs w:val="24"/>
        </w:rPr>
        <w:t>Perhaps if France and Britain had abandoned the policy of appeasement before the annexation of Czechoslovakia the war could’ve been avoided, or perhaps it would have just begun earlier leaving war as the only choice for Europe.</w:t>
      </w:r>
    </w:p>
    <w:p w14:paraId="4DBC0FC6" w14:textId="42B5F2C6" w:rsidR="0072539E" w:rsidRDefault="0072539E" w:rsidP="00373317">
      <w:pPr>
        <w:rPr>
          <w:sz w:val="24"/>
          <w:szCs w:val="24"/>
        </w:rPr>
      </w:pPr>
    </w:p>
    <w:p w14:paraId="592F7995" w14:textId="4DEDB0B4" w:rsidR="0072539E" w:rsidRDefault="0072539E" w:rsidP="00373317">
      <w:pPr>
        <w:rPr>
          <w:b/>
          <w:bCs/>
          <w:sz w:val="24"/>
          <w:szCs w:val="24"/>
          <w:u w:val="single"/>
        </w:rPr>
      </w:pPr>
      <w:r>
        <w:rPr>
          <w:b/>
          <w:bCs/>
          <w:sz w:val="24"/>
          <w:szCs w:val="24"/>
          <w:u w:val="single"/>
        </w:rPr>
        <w:t>References</w:t>
      </w:r>
    </w:p>
    <w:p w14:paraId="7BD5FA75" w14:textId="667208BA" w:rsidR="009D5216" w:rsidRDefault="009D5216" w:rsidP="00957419">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Anne Sharp Wells, </w:t>
      </w:r>
      <w:r>
        <w:rPr>
          <w:rFonts w:ascii="Arial" w:hAnsi="Arial" w:cs="Arial"/>
          <w:i/>
          <w:iCs/>
          <w:color w:val="000000"/>
          <w:sz w:val="19"/>
          <w:szCs w:val="19"/>
          <w:shd w:val="clear" w:color="auto" w:fill="FFFFFF"/>
        </w:rPr>
        <w:t>Historical Dictionary of World War II: The War against Germany and Italy</w:t>
      </w:r>
      <w:r>
        <w:rPr>
          <w:rFonts w:ascii="Arial" w:hAnsi="Arial" w:cs="Arial"/>
          <w:color w:val="000000"/>
          <w:sz w:val="19"/>
          <w:szCs w:val="19"/>
          <w:shd w:val="clear" w:color="auto" w:fill="FFFFFF"/>
        </w:rPr>
        <w:t> (USA: Rowman &amp; Littlefield Publishing, 2014).</w:t>
      </w:r>
    </w:p>
    <w:p w14:paraId="3FC5B99D" w14:textId="77777777" w:rsidR="009D5216" w:rsidRDefault="009D5216" w:rsidP="00957419">
      <w:pPr>
        <w:pStyle w:val="FootnoteText"/>
        <w:rPr>
          <w:rFonts w:ascii="Arial" w:hAnsi="Arial" w:cs="Arial"/>
          <w:color w:val="000000"/>
          <w:sz w:val="19"/>
          <w:szCs w:val="19"/>
          <w:shd w:val="clear" w:color="auto" w:fill="FFFFFF"/>
        </w:rPr>
      </w:pPr>
    </w:p>
    <w:p w14:paraId="5AF644FA" w14:textId="1F6E810C" w:rsidR="009D5216" w:rsidRDefault="009D5216" w:rsidP="009A152A">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Antony </w:t>
      </w:r>
      <w:proofErr w:type="spellStart"/>
      <w:r>
        <w:rPr>
          <w:rFonts w:ascii="Arial" w:hAnsi="Arial" w:cs="Arial"/>
          <w:color w:val="000000"/>
          <w:sz w:val="19"/>
          <w:szCs w:val="19"/>
          <w:shd w:val="clear" w:color="auto" w:fill="FFFFFF"/>
        </w:rPr>
        <w:t>Beevor</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The Second World War</w:t>
      </w:r>
      <w:r>
        <w:rPr>
          <w:rFonts w:ascii="Arial" w:hAnsi="Arial" w:cs="Arial"/>
          <w:color w:val="000000"/>
          <w:sz w:val="19"/>
          <w:szCs w:val="19"/>
          <w:shd w:val="clear" w:color="auto" w:fill="FFFFFF"/>
        </w:rPr>
        <w:t> (New York: Little, Brown, 2012).</w:t>
      </w:r>
    </w:p>
    <w:p w14:paraId="6D5967FF" w14:textId="77777777" w:rsidR="009D5216" w:rsidRDefault="009D5216" w:rsidP="009A152A">
      <w:pPr>
        <w:pStyle w:val="FootnoteText"/>
        <w:rPr>
          <w:rFonts w:ascii="Arial" w:hAnsi="Arial" w:cs="Arial"/>
          <w:color w:val="000000"/>
          <w:sz w:val="19"/>
          <w:szCs w:val="19"/>
          <w:shd w:val="clear" w:color="auto" w:fill="FFFFFF"/>
        </w:rPr>
      </w:pPr>
    </w:p>
    <w:p w14:paraId="34C10902" w14:textId="19F79C26" w:rsidR="009D5216" w:rsidRDefault="009D5216" w:rsidP="000F4A82">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David M Kennedy, </w:t>
      </w:r>
      <w:r>
        <w:rPr>
          <w:rFonts w:ascii="Arial" w:hAnsi="Arial" w:cs="Arial"/>
          <w:i/>
          <w:iCs/>
          <w:color w:val="000000"/>
          <w:sz w:val="19"/>
          <w:szCs w:val="19"/>
          <w:shd w:val="clear" w:color="auto" w:fill="FFFFFF"/>
        </w:rPr>
        <w:t>Freedom from Fear: The American People in Depression and War, 1929–1945</w:t>
      </w:r>
      <w:r>
        <w:rPr>
          <w:rFonts w:ascii="Arial" w:hAnsi="Arial" w:cs="Arial"/>
          <w:color w:val="000000"/>
          <w:sz w:val="19"/>
          <w:szCs w:val="19"/>
          <w:shd w:val="clear" w:color="auto" w:fill="FFFFFF"/>
        </w:rPr>
        <w:t> (Oxford: Oxford University Press, 2001).</w:t>
      </w:r>
    </w:p>
    <w:p w14:paraId="4B2E10AE" w14:textId="77777777" w:rsidR="009D5216" w:rsidRDefault="009D5216" w:rsidP="000F4A82">
      <w:pPr>
        <w:pStyle w:val="FootnoteText"/>
        <w:rPr>
          <w:rFonts w:ascii="Arial" w:hAnsi="Arial" w:cs="Arial"/>
          <w:color w:val="000000"/>
          <w:sz w:val="19"/>
          <w:szCs w:val="19"/>
          <w:shd w:val="clear" w:color="auto" w:fill="FFFFFF"/>
        </w:rPr>
      </w:pPr>
    </w:p>
    <w:p w14:paraId="6C835190" w14:textId="4142C9DD" w:rsidR="009D5216" w:rsidRDefault="009D5216" w:rsidP="009A152A">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David </w:t>
      </w:r>
      <w:proofErr w:type="spellStart"/>
      <w:r>
        <w:rPr>
          <w:rFonts w:ascii="Arial" w:hAnsi="Arial" w:cs="Arial"/>
          <w:color w:val="000000"/>
          <w:sz w:val="19"/>
          <w:szCs w:val="19"/>
          <w:shd w:val="clear" w:color="auto" w:fill="FFFFFF"/>
        </w:rPr>
        <w:t>Zabecki</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Germany at </w:t>
      </w:r>
      <w:proofErr w:type="gramStart"/>
      <w:r>
        <w:rPr>
          <w:rFonts w:ascii="Arial" w:hAnsi="Arial" w:cs="Arial"/>
          <w:i/>
          <w:iCs/>
          <w:color w:val="000000"/>
          <w:sz w:val="19"/>
          <w:szCs w:val="19"/>
          <w:shd w:val="clear" w:color="auto" w:fill="FFFFFF"/>
        </w:rPr>
        <w:t>war :</w:t>
      </w:r>
      <w:proofErr w:type="gramEnd"/>
      <w:r>
        <w:rPr>
          <w:rFonts w:ascii="Arial" w:hAnsi="Arial" w:cs="Arial"/>
          <w:i/>
          <w:iCs/>
          <w:color w:val="000000"/>
          <w:sz w:val="19"/>
          <w:szCs w:val="19"/>
          <w:shd w:val="clear" w:color="auto" w:fill="FFFFFF"/>
        </w:rPr>
        <w:t xml:space="preserve"> 400 years of military history</w:t>
      </w:r>
      <w:r>
        <w:rPr>
          <w:rFonts w:ascii="Arial" w:hAnsi="Arial" w:cs="Arial"/>
          <w:color w:val="000000"/>
          <w:sz w:val="19"/>
          <w:szCs w:val="19"/>
          <w:shd w:val="clear" w:color="auto" w:fill="FFFFFF"/>
        </w:rPr>
        <w:t> (Santa Barbara, California: ABC-CLIO, LLC, 2014).</w:t>
      </w:r>
    </w:p>
    <w:p w14:paraId="3A46F748" w14:textId="77777777" w:rsidR="009D5216" w:rsidRDefault="009D5216" w:rsidP="009A152A">
      <w:pPr>
        <w:pStyle w:val="FootnoteText"/>
        <w:rPr>
          <w:rFonts w:ascii="Arial" w:hAnsi="Arial" w:cs="Arial"/>
          <w:color w:val="000000"/>
          <w:sz w:val="19"/>
          <w:szCs w:val="19"/>
          <w:shd w:val="clear" w:color="auto" w:fill="FFFFFF"/>
        </w:rPr>
      </w:pPr>
    </w:p>
    <w:p w14:paraId="04DCF83A" w14:textId="4F895062" w:rsidR="009D5216" w:rsidRDefault="009D5216" w:rsidP="00957419">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Edward R </w:t>
      </w:r>
      <w:proofErr w:type="spellStart"/>
      <w:r>
        <w:rPr>
          <w:rFonts w:ascii="Arial" w:hAnsi="Arial" w:cs="Arial"/>
          <w:color w:val="000000"/>
          <w:sz w:val="19"/>
          <w:szCs w:val="19"/>
          <w:shd w:val="clear" w:color="auto" w:fill="FFFFFF"/>
        </w:rPr>
        <w:t>Kantowicz</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The Rage of Nations</w:t>
      </w:r>
      <w:r>
        <w:rPr>
          <w:rFonts w:ascii="Arial" w:hAnsi="Arial" w:cs="Arial"/>
          <w:color w:val="000000"/>
          <w:sz w:val="19"/>
          <w:szCs w:val="19"/>
          <w:shd w:val="clear" w:color="auto" w:fill="FFFFFF"/>
        </w:rPr>
        <w:t> (Grand Rapids, MI: William B. Eerdmans Publishing Company, 1999).</w:t>
      </w:r>
    </w:p>
    <w:p w14:paraId="61DDA786" w14:textId="77777777" w:rsidR="009D5216" w:rsidRDefault="009D5216" w:rsidP="00957419">
      <w:pPr>
        <w:pStyle w:val="FootnoteText"/>
        <w:rPr>
          <w:rFonts w:ascii="Arial" w:hAnsi="Arial" w:cs="Arial"/>
          <w:color w:val="000000"/>
          <w:sz w:val="19"/>
          <w:szCs w:val="19"/>
          <w:shd w:val="clear" w:color="auto" w:fill="FFFFFF"/>
        </w:rPr>
      </w:pPr>
    </w:p>
    <w:p w14:paraId="2C2B86BD" w14:textId="0F70BD6A" w:rsidR="009D5216" w:rsidRDefault="009D5216" w:rsidP="009A152A">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Frank McDonough, </w:t>
      </w:r>
      <w:r>
        <w:rPr>
          <w:rFonts w:ascii="Arial" w:hAnsi="Arial" w:cs="Arial"/>
          <w:i/>
          <w:iCs/>
          <w:color w:val="000000"/>
          <w:sz w:val="19"/>
          <w:szCs w:val="19"/>
          <w:shd w:val="clear" w:color="auto" w:fill="FFFFFF"/>
        </w:rPr>
        <w:t>Neville Chamberlain, Appeasement, and the British Road to War</w:t>
      </w:r>
      <w:r>
        <w:rPr>
          <w:rFonts w:ascii="Arial" w:hAnsi="Arial" w:cs="Arial"/>
          <w:color w:val="000000"/>
          <w:sz w:val="19"/>
          <w:szCs w:val="19"/>
          <w:shd w:val="clear" w:color="auto" w:fill="FFFFFF"/>
        </w:rPr>
        <w:t> (Manchester and New York: Manchester University Press, 1998).</w:t>
      </w:r>
    </w:p>
    <w:p w14:paraId="731F370A" w14:textId="77777777" w:rsidR="009D5216" w:rsidRDefault="009D5216" w:rsidP="009A152A">
      <w:pPr>
        <w:pStyle w:val="FootnoteText"/>
        <w:rPr>
          <w:rFonts w:ascii="Arial" w:hAnsi="Arial" w:cs="Arial"/>
          <w:color w:val="000000"/>
          <w:sz w:val="19"/>
          <w:szCs w:val="19"/>
          <w:shd w:val="clear" w:color="auto" w:fill="FFFFFF"/>
        </w:rPr>
      </w:pPr>
    </w:p>
    <w:p w14:paraId="1CDCC6F2" w14:textId="0F8F68EE" w:rsidR="009D5216" w:rsidRDefault="009D5216" w:rsidP="000F4A82">
      <w:pPr>
        <w:pStyle w:val="FootnoteText"/>
        <w:rPr>
          <w:rFonts w:ascii="Arial" w:hAnsi="Arial" w:cs="Arial"/>
          <w:color w:val="000000"/>
          <w:sz w:val="19"/>
          <w:szCs w:val="19"/>
          <w:shd w:val="clear" w:color="auto" w:fill="FFFFFF"/>
        </w:rPr>
      </w:pPr>
      <w:proofErr w:type="spellStart"/>
      <w:r>
        <w:rPr>
          <w:rFonts w:ascii="Arial" w:hAnsi="Arial" w:cs="Arial"/>
          <w:color w:val="000000"/>
          <w:sz w:val="19"/>
          <w:szCs w:val="19"/>
          <w:shd w:val="clear" w:color="auto" w:fill="FFFFFF"/>
        </w:rPr>
        <w:t>Frauke</w:t>
      </w:r>
      <w:proofErr w:type="spellEnd"/>
      <w:r>
        <w:rPr>
          <w:rFonts w:ascii="Arial" w:hAnsi="Arial" w:cs="Arial"/>
          <w:color w:val="000000"/>
          <w:sz w:val="19"/>
          <w:szCs w:val="19"/>
          <w:shd w:val="clear" w:color="auto" w:fill="FFFFFF"/>
        </w:rPr>
        <w:t xml:space="preserve"> </w:t>
      </w:r>
      <w:proofErr w:type="spellStart"/>
      <w:r>
        <w:rPr>
          <w:rFonts w:ascii="Arial" w:hAnsi="Arial" w:cs="Arial"/>
          <w:color w:val="000000"/>
          <w:sz w:val="19"/>
          <w:szCs w:val="19"/>
          <w:shd w:val="clear" w:color="auto" w:fill="FFFFFF"/>
        </w:rPr>
        <w:t>Lachenmann</w:t>
      </w:r>
      <w:proofErr w:type="spellEnd"/>
      <w:r>
        <w:rPr>
          <w:rFonts w:ascii="Arial" w:hAnsi="Arial" w:cs="Arial"/>
          <w:color w:val="000000"/>
          <w:sz w:val="19"/>
          <w:szCs w:val="19"/>
          <w:shd w:val="clear" w:color="auto" w:fill="FFFFFF"/>
        </w:rPr>
        <w:t xml:space="preserve">; </w:t>
      </w:r>
      <w:proofErr w:type="spellStart"/>
      <w:r>
        <w:rPr>
          <w:rFonts w:ascii="Arial" w:hAnsi="Arial" w:cs="Arial"/>
          <w:color w:val="000000"/>
          <w:sz w:val="19"/>
          <w:szCs w:val="19"/>
          <w:shd w:val="clear" w:color="auto" w:fill="FFFFFF"/>
        </w:rPr>
        <w:t>Rüdiger</w:t>
      </w:r>
      <w:proofErr w:type="spellEnd"/>
      <w:r>
        <w:rPr>
          <w:rFonts w:ascii="Arial" w:hAnsi="Arial" w:cs="Arial"/>
          <w:color w:val="000000"/>
          <w:sz w:val="19"/>
          <w:szCs w:val="19"/>
          <w:shd w:val="clear" w:color="auto" w:fill="FFFFFF"/>
        </w:rPr>
        <w:t xml:space="preserve"> </w:t>
      </w:r>
      <w:proofErr w:type="spellStart"/>
      <w:r>
        <w:rPr>
          <w:rFonts w:ascii="Arial" w:hAnsi="Arial" w:cs="Arial"/>
          <w:color w:val="000000"/>
          <w:sz w:val="19"/>
          <w:szCs w:val="19"/>
          <w:shd w:val="clear" w:color="auto" w:fill="FFFFFF"/>
        </w:rPr>
        <w:t>Wolfrum</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The Law of Armed Conflict and the Use of Force: The Max Planck </w:t>
      </w:r>
      <w:proofErr w:type="spellStart"/>
      <w:r>
        <w:rPr>
          <w:rFonts w:ascii="Arial" w:hAnsi="Arial" w:cs="Arial"/>
          <w:i/>
          <w:iCs/>
          <w:color w:val="000000"/>
          <w:sz w:val="19"/>
          <w:szCs w:val="19"/>
          <w:shd w:val="clear" w:color="auto" w:fill="FFFFFF"/>
        </w:rPr>
        <w:t>Encyclopedia</w:t>
      </w:r>
      <w:proofErr w:type="spellEnd"/>
      <w:r>
        <w:rPr>
          <w:rFonts w:ascii="Arial" w:hAnsi="Arial" w:cs="Arial"/>
          <w:i/>
          <w:iCs/>
          <w:color w:val="000000"/>
          <w:sz w:val="19"/>
          <w:szCs w:val="19"/>
          <w:shd w:val="clear" w:color="auto" w:fill="FFFFFF"/>
        </w:rPr>
        <w:t xml:space="preserve"> of Public International Law</w:t>
      </w:r>
      <w:r>
        <w:rPr>
          <w:rFonts w:ascii="Arial" w:hAnsi="Arial" w:cs="Arial"/>
          <w:color w:val="000000"/>
          <w:sz w:val="19"/>
          <w:szCs w:val="19"/>
          <w:shd w:val="clear" w:color="auto" w:fill="FFFFFF"/>
        </w:rPr>
        <w:t> (Oxford: Oxford University Press, 2017).</w:t>
      </w:r>
    </w:p>
    <w:p w14:paraId="0BB93454" w14:textId="77777777" w:rsidR="009D5216" w:rsidRDefault="009D5216" w:rsidP="000F4A82">
      <w:pPr>
        <w:pStyle w:val="FootnoteText"/>
        <w:rPr>
          <w:rFonts w:ascii="Arial" w:hAnsi="Arial" w:cs="Arial"/>
          <w:color w:val="000000"/>
          <w:sz w:val="19"/>
          <w:szCs w:val="19"/>
          <w:shd w:val="clear" w:color="auto" w:fill="FFFFFF"/>
        </w:rPr>
      </w:pPr>
    </w:p>
    <w:p w14:paraId="5CC8F3ED" w14:textId="5B192107" w:rsidR="009D5216" w:rsidRDefault="009D5216" w:rsidP="00884FCB">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Gerhard L Weinberg, </w:t>
      </w:r>
      <w:r>
        <w:rPr>
          <w:rFonts w:ascii="Arial" w:hAnsi="Arial" w:cs="Arial"/>
          <w:i/>
          <w:iCs/>
          <w:color w:val="000000"/>
          <w:sz w:val="19"/>
          <w:szCs w:val="19"/>
          <w:shd w:val="clear" w:color="auto" w:fill="FFFFFF"/>
        </w:rPr>
        <w:t>Hitler's Foreign Policy 1933–1939: The Road to World War II</w:t>
      </w:r>
      <w:r>
        <w:rPr>
          <w:rFonts w:ascii="Arial" w:hAnsi="Arial" w:cs="Arial"/>
          <w:color w:val="000000"/>
          <w:sz w:val="19"/>
          <w:szCs w:val="19"/>
          <w:shd w:val="clear" w:color="auto" w:fill="FFFFFF"/>
        </w:rPr>
        <w:t> (New York: Enigma Books, 2010)</w:t>
      </w:r>
      <w:r>
        <w:rPr>
          <w:rFonts w:ascii="Arial" w:hAnsi="Arial" w:cs="Arial"/>
          <w:color w:val="000000"/>
          <w:sz w:val="19"/>
          <w:szCs w:val="19"/>
          <w:shd w:val="clear" w:color="auto" w:fill="FFFFFF"/>
        </w:rPr>
        <w:t>.</w:t>
      </w:r>
    </w:p>
    <w:p w14:paraId="6E14F151" w14:textId="77777777" w:rsidR="009D5216" w:rsidRDefault="009D5216" w:rsidP="00884FCB">
      <w:pPr>
        <w:pStyle w:val="FootnoteText"/>
        <w:rPr>
          <w:rFonts w:ascii="Arial" w:hAnsi="Arial" w:cs="Arial"/>
          <w:color w:val="000000"/>
          <w:sz w:val="19"/>
          <w:szCs w:val="19"/>
          <w:shd w:val="clear" w:color="auto" w:fill="FFFFFF"/>
        </w:rPr>
      </w:pPr>
    </w:p>
    <w:p w14:paraId="2442A5EA" w14:textId="347AA038" w:rsidR="009D5216" w:rsidRDefault="009D5216" w:rsidP="000F4A82">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Hermon G Gill, </w:t>
      </w:r>
      <w:r>
        <w:rPr>
          <w:rFonts w:ascii="Arial" w:hAnsi="Arial" w:cs="Arial"/>
          <w:i/>
          <w:iCs/>
          <w:color w:val="000000"/>
          <w:sz w:val="19"/>
          <w:szCs w:val="19"/>
          <w:shd w:val="clear" w:color="auto" w:fill="FFFFFF"/>
        </w:rPr>
        <w:t>Volume I – Royal Australian Navy, 1939–1942 (1st edition, 1957)</w:t>
      </w:r>
      <w:r>
        <w:rPr>
          <w:rFonts w:ascii="Arial" w:hAnsi="Arial" w:cs="Arial"/>
          <w:color w:val="000000"/>
          <w:sz w:val="19"/>
          <w:szCs w:val="19"/>
          <w:shd w:val="clear" w:color="auto" w:fill="FFFFFF"/>
        </w:rPr>
        <w:t> (</w:t>
      </w:r>
      <w:proofErr w:type="gramStart"/>
      <w:r>
        <w:rPr>
          <w:rFonts w:ascii="Arial" w:hAnsi="Arial" w:cs="Arial"/>
          <w:color w:val="000000"/>
          <w:sz w:val="19"/>
          <w:szCs w:val="19"/>
          <w:shd w:val="clear" w:color="auto" w:fill="FFFFFF"/>
        </w:rPr>
        <w:t>Australia :</w:t>
      </w:r>
      <w:proofErr w:type="gramEnd"/>
      <w:r>
        <w:rPr>
          <w:rFonts w:ascii="Arial" w:hAnsi="Arial" w:cs="Arial"/>
          <w:color w:val="000000"/>
          <w:sz w:val="19"/>
          <w:szCs w:val="19"/>
          <w:shd w:val="clear" w:color="auto" w:fill="FFFFFF"/>
        </w:rPr>
        <w:t xml:space="preserve"> The Griffin Press, Adelaide, 1957)</w:t>
      </w:r>
      <w:r>
        <w:rPr>
          <w:rFonts w:ascii="Arial" w:hAnsi="Arial" w:cs="Arial"/>
          <w:color w:val="000000"/>
          <w:sz w:val="19"/>
          <w:szCs w:val="19"/>
          <w:shd w:val="clear" w:color="auto" w:fill="FFFFFF"/>
        </w:rPr>
        <w:t>.</w:t>
      </w:r>
    </w:p>
    <w:p w14:paraId="5F615E7B" w14:textId="77777777" w:rsidR="009D5216" w:rsidRDefault="009D5216" w:rsidP="000F4A82">
      <w:pPr>
        <w:pStyle w:val="FootnoteText"/>
      </w:pPr>
    </w:p>
    <w:p w14:paraId="2BE3BB2E" w14:textId="3572823B" w:rsidR="009D5216" w:rsidRDefault="009D5216" w:rsidP="00884FCB">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Ian Kershaw, </w:t>
      </w:r>
      <w:r>
        <w:rPr>
          <w:rFonts w:ascii="Arial" w:hAnsi="Arial" w:cs="Arial"/>
          <w:i/>
          <w:iCs/>
          <w:color w:val="000000"/>
          <w:sz w:val="19"/>
          <w:szCs w:val="19"/>
          <w:shd w:val="clear" w:color="auto" w:fill="FFFFFF"/>
        </w:rPr>
        <w:t>Hitler: A Biography</w:t>
      </w:r>
      <w:r>
        <w:rPr>
          <w:rFonts w:ascii="Arial" w:hAnsi="Arial" w:cs="Arial"/>
          <w:color w:val="000000"/>
          <w:sz w:val="19"/>
          <w:szCs w:val="19"/>
          <w:shd w:val="clear" w:color="auto" w:fill="FFFFFF"/>
        </w:rPr>
        <w:t> (New York: W. W. Norton &amp; Company, 2008).</w:t>
      </w:r>
    </w:p>
    <w:p w14:paraId="04FADA58" w14:textId="77777777" w:rsidR="009D5216" w:rsidRDefault="009D5216" w:rsidP="00884FCB">
      <w:pPr>
        <w:pStyle w:val="FootnoteText"/>
        <w:rPr>
          <w:rFonts w:ascii="Arial" w:hAnsi="Arial" w:cs="Arial"/>
          <w:color w:val="000000"/>
          <w:sz w:val="19"/>
          <w:szCs w:val="19"/>
          <w:shd w:val="clear" w:color="auto" w:fill="FFFFFF"/>
        </w:rPr>
      </w:pPr>
    </w:p>
    <w:p w14:paraId="5A909DE3" w14:textId="26970B55" w:rsidR="009D5216" w:rsidRDefault="009D5216" w:rsidP="000F4A82">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James MacGregor Burns, </w:t>
      </w:r>
      <w:r>
        <w:rPr>
          <w:rFonts w:ascii="Arial" w:hAnsi="Arial" w:cs="Arial"/>
          <w:i/>
          <w:iCs/>
          <w:color w:val="000000"/>
          <w:sz w:val="19"/>
          <w:szCs w:val="19"/>
          <w:shd w:val="clear" w:color="auto" w:fill="FFFFFF"/>
        </w:rPr>
        <w:t>Roosevelt: The Soldier of Freedom</w:t>
      </w:r>
      <w:r>
        <w:rPr>
          <w:rFonts w:ascii="Arial" w:hAnsi="Arial" w:cs="Arial"/>
          <w:color w:val="000000"/>
          <w:sz w:val="19"/>
          <w:szCs w:val="19"/>
          <w:shd w:val="clear" w:color="auto" w:fill="FFFFFF"/>
        </w:rPr>
        <w:t> (US: Harcourt Brace Jovanovich, 1970).</w:t>
      </w:r>
    </w:p>
    <w:p w14:paraId="0B9A798C" w14:textId="77777777" w:rsidR="009D5216" w:rsidRDefault="009D5216" w:rsidP="000F4A82">
      <w:pPr>
        <w:pStyle w:val="FootnoteText"/>
        <w:rPr>
          <w:rFonts w:ascii="Arial" w:hAnsi="Arial" w:cs="Arial"/>
          <w:color w:val="000000"/>
          <w:sz w:val="19"/>
          <w:szCs w:val="19"/>
          <w:shd w:val="clear" w:color="auto" w:fill="FFFFFF"/>
        </w:rPr>
      </w:pPr>
    </w:p>
    <w:p w14:paraId="790606EC" w14:textId="4035B624" w:rsidR="009D5216" w:rsidRDefault="009D5216" w:rsidP="000F4A82">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lastRenderedPageBreak/>
        <w:t>Lynne Olson, Stanley Cloud, </w:t>
      </w:r>
      <w:r>
        <w:rPr>
          <w:rFonts w:ascii="Arial" w:hAnsi="Arial" w:cs="Arial"/>
          <w:i/>
          <w:iCs/>
          <w:color w:val="000000"/>
          <w:sz w:val="19"/>
          <w:szCs w:val="19"/>
          <w:shd w:val="clear" w:color="auto" w:fill="FFFFFF"/>
        </w:rPr>
        <w:t xml:space="preserve">A Question of </w:t>
      </w:r>
      <w:proofErr w:type="spellStart"/>
      <w:r>
        <w:rPr>
          <w:rFonts w:ascii="Arial" w:hAnsi="Arial" w:cs="Arial"/>
          <w:i/>
          <w:iCs/>
          <w:color w:val="000000"/>
          <w:sz w:val="19"/>
          <w:szCs w:val="19"/>
          <w:shd w:val="clear" w:color="auto" w:fill="FFFFFF"/>
        </w:rPr>
        <w:t>Honor</w:t>
      </w:r>
      <w:proofErr w:type="spellEnd"/>
      <w:r>
        <w:rPr>
          <w:rFonts w:ascii="Arial" w:hAnsi="Arial" w:cs="Arial"/>
          <w:i/>
          <w:iCs/>
          <w:color w:val="000000"/>
          <w:sz w:val="19"/>
          <w:szCs w:val="19"/>
          <w:shd w:val="clear" w:color="auto" w:fill="FFFFFF"/>
        </w:rPr>
        <w:t xml:space="preserve"> The </w:t>
      </w:r>
      <w:proofErr w:type="spellStart"/>
      <w:r>
        <w:rPr>
          <w:rFonts w:ascii="Arial" w:hAnsi="Arial" w:cs="Arial"/>
          <w:i/>
          <w:iCs/>
          <w:color w:val="000000"/>
          <w:sz w:val="19"/>
          <w:szCs w:val="19"/>
          <w:shd w:val="clear" w:color="auto" w:fill="FFFFFF"/>
        </w:rPr>
        <w:t>Kościuszko</w:t>
      </w:r>
      <w:proofErr w:type="spellEnd"/>
      <w:r>
        <w:rPr>
          <w:rFonts w:ascii="Arial" w:hAnsi="Arial" w:cs="Arial"/>
          <w:i/>
          <w:iCs/>
          <w:color w:val="000000"/>
          <w:sz w:val="19"/>
          <w:szCs w:val="19"/>
          <w:shd w:val="clear" w:color="auto" w:fill="FFFFFF"/>
        </w:rPr>
        <w:t xml:space="preserve"> </w:t>
      </w:r>
      <w:proofErr w:type="gramStart"/>
      <w:r>
        <w:rPr>
          <w:rFonts w:ascii="Arial" w:hAnsi="Arial" w:cs="Arial"/>
          <w:i/>
          <w:iCs/>
          <w:color w:val="000000"/>
          <w:sz w:val="19"/>
          <w:szCs w:val="19"/>
          <w:shd w:val="clear" w:color="auto" w:fill="FFFFFF"/>
        </w:rPr>
        <w:t>Squadron :</w:t>
      </w:r>
      <w:proofErr w:type="gramEnd"/>
      <w:r>
        <w:rPr>
          <w:rFonts w:ascii="Arial" w:hAnsi="Arial" w:cs="Arial"/>
          <w:i/>
          <w:iCs/>
          <w:color w:val="000000"/>
          <w:sz w:val="19"/>
          <w:szCs w:val="19"/>
          <w:shd w:val="clear" w:color="auto" w:fill="FFFFFF"/>
        </w:rPr>
        <w:t xml:space="preserve"> the Forgotten Heroes of World War II</w:t>
      </w:r>
      <w:r>
        <w:rPr>
          <w:rFonts w:ascii="Arial" w:hAnsi="Arial" w:cs="Arial"/>
          <w:color w:val="000000"/>
          <w:sz w:val="19"/>
          <w:szCs w:val="19"/>
          <w:shd w:val="clear" w:color="auto" w:fill="FFFFFF"/>
        </w:rPr>
        <w:t> (New York: Knopf, 2003).</w:t>
      </w:r>
    </w:p>
    <w:p w14:paraId="67996B73" w14:textId="77777777" w:rsidR="009D5216" w:rsidRDefault="009D5216" w:rsidP="000F4A82">
      <w:pPr>
        <w:pStyle w:val="FootnoteText"/>
        <w:rPr>
          <w:rFonts w:ascii="Arial" w:hAnsi="Arial" w:cs="Arial"/>
          <w:color w:val="000000"/>
          <w:sz w:val="19"/>
          <w:szCs w:val="19"/>
          <w:shd w:val="clear" w:color="auto" w:fill="FFFFFF"/>
        </w:rPr>
      </w:pPr>
    </w:p>
    <w:p w14:paraId="7744766E" w14:textId="03BC1BF5" w:rsidR="009D5216" w:rsidRDefault="009D5216" w:rsidP="00884FCB">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Mark </w:t>
      </w:r>
      <w:proofErr w:type="spellStart"/>
      <w:r>
        <w:rPr>
          <w:rFonts w:ascii="Arial" w:hAnsi="Arial" w:cs="Arial"/>
          <w:color w:val="000000"/>
          <w:sz w:val="19"/>
          <w:szCs w:val="19"/>
          <w:shd w:val="clear" w:color="auto" w:fill="FFFFFF"/>
        </w:rPr>
        <w:t>Mazower</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Hitler's Empire: How the Nazis Ruled Europe</w:t>
      </w:r>
      <w:r>
        <w:rPr>
          <w:rFonts w:ascii="Arial" w:hAnsi="Arial" w:cs="Arial"/>
          <w:color w:val="000000"/>
          <w:sz w:val="19"/>
          <w:szCs w:val="19"/>
          <w:shd w:val="clear" w:color="auto" w:fill="FFFFFF"/>
        </w:rPr>
        <w:t> (New York: Penguin, 2008).</w:t>
      </w:r>
    </w:p>
    <w:p w14:paraId="62893F2C" w14:textId="77777777" w:rsidR="009D5216" w:rsidRDefault="009D5216" w:rsidP="00884FCB">
      <w:pPr>
        <w:pStyle w:val="FootnoteText"/>
        <w:rPr>
          <w:rFonts w:ascii="Arial" w:hAnsi="Arial" w:cs="Arial"/>
          <w:color w:val="000000"/>
          <w:sz w:val="19"/>
          <w:szCs w:val="19"/>
          <w:shd w:val="clear" w:color="auto" w:fill="FFFFFF"/>
        </w:rPr>
      </w:pPr>
    </w:p>
    <w:p w14:paraId="18804CFB" w14:textId="46496B87" w:rsidR="009D5216" w:rsidRDefault="009D5216" w:rsidP="00884FCB">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Martin Kitchen, </w:t>
      </w:r>
      <w:r>
        <w:rPr>
          <w:rFonts w:ascii="Arial" w:hAnsi="Arial" w:cs="Arial"/>
          <w:i/>
          <w:iCs/>
          <w:color w:val="000000"/>
          <w:sz w:val="19"/>
          <w:szCs w:val="19"/>
          <w:shd w:val="clear" w:color="auto" w:fill="FFFFFF"/>
        </w:rPr>
        <w:t>A History of Modern Germany, 1800–2000</w:t>
      </w:r>
      <w:r>
        <w:rPr>
          <w:rFonts w:ascii="Arial" w:hAnsi="Arial" w:cs="Arial"/>
          <w:color w:val="000000"/>
          <w:sz w:val="19"/>
          <w:szCs w:val="19"/>
          <w:shd w:val="clear" w:color="auto" w:fill="FFFFFF"/>
        </w:rPr>
        <w:t> (Malden, MA: Blackwell, 2006).</w:t>
      </w:r>
    </w:p>
    <w:p w14:paraId="09AEED24" w14:textId="77777777" w:rsidR="009D5216" w:rsidRDefault="009D5216" w:rsidP="00884FCB">
      <w:pPr>
        <w:pStyle w:val="FootnoteText"/>
        <w:rPr>
          <w:rFonts w:ascii="Arial" w:hAnsi="Arial" w:cs="Arial"/>
          <w:color w:val="000000"/>
          <w:sz w:val="19"/>
          <w:szCs w:val="19"/>
          <w:shd w:val="clear" w:color="auto" w:fill="FFFFFF"/>
        </w:rPr>
      </w:pPr>
    </w:p>
    <w:p w14:paraId="0D15E5C5" w14:textId="16CC426A" w:rsidR="009D5216" w:rsidRDefault="009D5216" w:rsidP="009A152A">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Max </w:t>
      </w:r>
      <w:proofErr w:type="spellStart"/>
      <w:r>
        <w:rPr>
          <w:rFonts w:ascii="Arial" w:hAnsi="Arial" w:cs="Arial"/>
          <w:color w:val="000000"/>
          <w:sz w:val="19"/>
          <w:szCs w:val="19"/>
          <w:shd w:val="clear" w:color="auto" w:fill="FFFFFF"/>
        </w:rPr>
        <w:t>Domarus</w:t>
      </w:r>
      <w:proofErr w:type="spellEnd"/>
      <w:r>
        <w:rPr>
          <w:rFonts w:ascii="Arial" w:hAnsi="Arial" w:cs="Arial"/>
          <w:color w:val="000000"/>
          <w:sz w:val="19"/>
          <w:szCs w:val="19"/>
          <w:shd w:val="clear" w:color="auto" w:fill="FFFFFF"/>
        </w:rPr>
        <w:t>; Adolf Hitler, </w:t>
      </w:r>
      <w:r>
        <w:rPr>
          <w:rFonts w:ascii="Arial" w:hAnsi="Arial" w:cs="Arial"/>
          <w:i/>
          <w:iCs/>
          <w:color w:val="000000"/>
          <w:sz w:val="19"/>
          <w:szCs w:val="19"/>
          <w:shd w:val="clear" w:color="auto" w:fill="FFFFFF"/>
        </w:rPr>
        <w:t>Hitler: speeches and proclamations, 1932-</w:t>
      </w:r>
      <w:proofErr w:type="gramStart"/>
      <w:r>
        <w:rPr>
          <w:rFonts w:ascii="Arial" w:hAnsi="Arial" w:cs="Arial"/>
          <w:i/>
          <w:iCs/>
          <w:color w:val="000000"/>
          <w:sz w:val="19"/>
          <w:szCs w:val="19"/>
          <w:shd w:val="clear" w:color="auto" w:fill="FFFFFF"/>
        </w:rPr>
        <w:t>1945 :</w:t>
      </w:r>
      <w:proofErr w:type="gramEnd"/>
      <w:r>
        <w:rPr>
          <w:rFonts w:ascii="Arial" w:hAnsi="Arial" w:cs="Arial"/>
          <w:i/>
          <w:iCs/>
          <w:color w:val="000000"/>
          <w:sz w:val="19"/>
          <w:szCs w:val="19"/>
          <w:shd w:val="clear" w:color="auto" w:fill="FFFFFF"/>
        </w:rPr>
        <w:t xml:space="preserve"> the chronicle of a dictatorship</w:t>
      </w:r>
      <w:r>
        <w:rPr>
          <w:rFonts w:ascii="Arial" w:hAnsi="Arial" w:cs="Arial"/>
          <w:color w:val="000000"/>
          <w:sz w:val="19"/>
          <w:szCs w:val="19"/>
          <w:shd w:val="clear" w:color="auto" w:fill="FFFFFF"/>
        </w:rPr>
        <w:t>, trans. by Chris Wilcox (London: Tauris, 1990).</w:t>
      </w:r>
    </w:p>
    <w:p w14:paraId="351CA929" w14:textId="77777777" w:rsidR="009D5216" w:rsidRDefault="009D5216" w:rsidP="009A152A">
      <w:pPr>
        <w:pStyle w:val="FootnoteText"/>
      </w:pPr>
    </w:p>
    <w:p w14:paraId="1C1C6CF8" w14:textId="27925CC4" w:rsidR="009D5216" w:rsidRDefault="009D5216" w:rsidP="009A152A">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N.H. Gibbs, </w:t>
      </w:r>
      <w:r>
        <w:rPr>
          <w:rFonts w:ascii="Arial" w:hAnsi="Arial" w:cs="Arial"/>
          <w:i/>
          <w:iCs/>
          <w:color w:val="000000"/>
          <w:sz w:val="19"/>
          <w:szCs w:val="19"/>
          <w:shd w:val="clear" w:color="auto" w:fill="FFFFFF"/>
        </w:rPr>
        <w:t>Grand Strategy: Volume 1: Rearmament Policy History of the Second World War</w:t>
      </w:r>
      <w:r>
        <w:rPr>
          <w:rFonts w:ascii="Arial" w:hAnsi="Arial" w:cs="Arial"/>
          <w:color w:val="000000"/>
          <w:sz w:val="19"/>
          <w:szCs w:val="19"/>
          <w:shd w:val="clear" w:color="auto" w:fill="FFFFFF"/>
        </w:rPr>
        <w:t> (UK: Her Majesty's Stationery Office, 1976).</w:t>
      </w:r>
    </w:p>
    <w:p w14:paraId="34FDA0FF" w14:textId="77777777" w:rsidR="009D5216" w:rsidRDefault="009D5216" w:rsidP="009A152A">
      <w:pPr>
        <w:pStyle w:val="FootnoteText"/>
        <w:rPr>
          <w:rFonts w:ascii="Arial" w:hAnsi="Arial" w:cs="Arial"/>
          <w:color w:val="000000"/>
          <w:sz w:val="19"/>
          <w:szCs w:val="19"/>
          <w:shd w:val="clear" w:color="auto" w:fill="FFFFFF"/>
        </w:rPr>
      </w:pPr>
    </w:p>
    <w:p w14:paraId="098D14A1" w14:textId="01162FA8" w:rsidR="009D5216" w:rsidRDefault="009D5216" w:rsidP="000F4A82">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Phillip Goodheart, </w:t>
      </w:r>
      <w:r>
        <w:rPr>
          <w:rFonts w:ascii="Arial" w:hAnsi="Arial" w:cs="Arial"/>
          <w:i/>
          <w:iCs/>
          <w:color w:val="000000"/>
          <w:sz w:val="19"/>
          <w:szCs w:val="19"/>
          <w:shd w:val="clear" w:color="auto" w:fill="FFFFFF"/>
        </w:rPr>
        <w:t>50 Ships That Saved the World</w:t>
      </w:r>
      <w:r>
        <w:rPr>
          <w:rFonts w:ascii="Arial" w:hAnsi="Arial" w:cs="Arial"/>
          <w:color w:val="000000"/>
          <w:sz w:val="19"/>
          <w:szCs w:val="19"/>
          <w:shd w:val="clear" w:color="auto" w:fill="FFFFFF"/>
        </w:rPr>
        <w:t> (New York: Doubleday, 1965).</w:t>
      </w:r>
    </w:p>
    <w:p w14:paraId="4B2EEB6A" w14:textId="77777777" w:rsidR="009D5216" w:rsidRDefault="009D5216" w:rsidP="000F4A82">
      <w:pPr>
        <w:pStyle w:val="FootnoteText"/>
        <w:rPr>
          <w:rFonts w:ascii="Arial" w:hAnsi="Arial" w:cs="Arial"/>
          <w:color w:val="000000"/>
          <w:sz w:val="19"/>
          <w:szCs w:val="19"/>
          <w:shd w:val="clear" w:color="auto" w:fill="FFFFFF"/>
        </w:rPr>
      </w:pPr>
    </w:p>
    <w:p w14:paraId="045D1040" w14:textId="620A21DD" w:rsidR="009D5216" w:rsidRDefault="009D5216" w:rsidP="00957419">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Richard J Evans, </w:t>
      </w:r>
      <w:r>
        <w:rPr>
          <w:rFonts w:ascii="Arial" w:hAnsi="Arial" w:cs="Arial"/>
          <w:i/>
          <w:iCs/>
          <w:color w:val="000000"/>
          <w:sz w:val="19"/>
          <w:szCs w:val="19"/>
          <w:shd w:val="clear" w:color="auto" w:fill="FFFFFF"/>
        </w:rPr>
        <w:t>The Third Reich in Power</w:t>
      </w:r>
      <w:r>
        <w:rPr>
          <w:rFonts w:ascii="Arial" w:hAnsi="Arial" w:cs="Arial"/>
          <w:color w:val="000000"/>
          <w:sz w:val="19"/>
          <w:szCs w:val="19"/>
          <w:shd w:val="clear" w:color="auto" w:fill="FFFFFF"/>
        </w:rPr>
        <w:t> (New York: Penguin, 2005).</w:t>
      </w:r>
    </w:p>
    <w:p w14:paraId="39C21738" w14:textId="77777777" w:rsidR="009D5216" w:rsidRDefault="009D5216" w:rsidP="00957419">
      <w:pPr>
        <w:pStyle w:val="FootnoteText"/>
      </w:pPr>
    </w:p>
    <w:p w14:paraId="53921E11" w14:textId="0AFB3B74" w:rsidR="009D5216" w:rsidRDefault="009D5216" w:rsidP="00957419">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Richard </w:t>
      </w:r>
      <w:proofErr w:type="spellStart"/>
      <w:r>
        <w:rPr>
          <w:rFonts w:ascii="Arial" w:hAnsi="Arial" w:cs="Arial"/>
          <w:color w:val="000000"/>
          <w:sz w:val="19"/>
          <w:szCs w:val="19"/>
          <w:shd w:val="clear" w:color="auto" w:fill="FFFFFF"/>
        </w:rPr>
        <w:t>Overy</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The Dictators: Hitler's Germany, Stalin's Russia</w:t>
      </w:r>
      <w:r>
        <w:rPr>
          <w:rFonts w:ascii="Arial" w:hAnsi="Arial" w:cs="Arial"/>
          <w:color w:val="000000"/>
          <w:sz w:val="19"/>
          <w:szCs w:val="19"/>
          <w:shd w:val="clear" w:color="auto" w:fill="FFFFFF"/>
        </w:rPr>
        <w:t> (London: Penguin Books, 2005).</w:t>
      </w:r>
    </w:p>
    <w:p w14:paraId="63247DB9" w14:textId="77777777" w:rsidR="00A51D4B" w:rsidRDefault="00A51D4B" w:rsidP="00957419">
      <w:pPr>
        <w:pStyle w:val="FootnoteText"/>
        <w:rPr>
          <w:rFonts w:ascii="Arial" w:hAnsi="Arial" w:cs="Arial"/>
          <w:color w:val="000000"/>
          <w:sz w:val="19"/>
          <w:szCs w:val="19"/>
          <w:shd w:val="clear" w:color="auto" w:fill="FFFFFF"/>
        </w:rPr>
      </w:pPr>
    </w:p>
    <w:p w14:paraId="2798668B" w14:textId="09F7FEF9" w:rsidR="009D5216" w:rsidRDefault="009D5216" w:rsidP="000F4A82">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Roger Chickering, et al, </w:t>
      </w:r>
      <w:r>
        <w:rPr>
          <w:rFonts w:ascii="Arial" w:hAnsi="Arial" w:cs="Arial"/>
          <w:i/>
          <w:iCs/>
          <w:color w:val="000000"/>
          <w:sz w:val="19"/>
          <w:szCs w:val="19"/>
          <w:shd w:val="clear" w:color="auto" w:fill="FFFFFF"/>
        </w:rPr>
        <w:t>A World at Total War: Global Conflict and the Politics of Destruction, 1937–1945</w:t>
      </w:r>
      <w:r>
        <w:rPr>
          <w:rFonts w:ascii="Arial" w:hAnsi="Arial" w:cs="Arial"/>
          <w:color w:val="000000"/>
          <w:sz w:val="19"/>
          <w:szCs w:val="19"/>
          <w:shd w:val="clear" w:color="auto" w:fill="FFFFFF"/>
        </w:rPr>
        <w:t> (Cambridge: Cambridge University Press, 2005).</w:t>
      </w:r>
    </w:p>
    <w:p w14:paraId="09FD44FE" w14:textId="77777777" w:rsidR="00A51D4B" w:rsidRDefault="00A51D4B" w:rsidP="000F4A82">
      <w:pPr>
        <w:pStyle w:val="FootnoteText"/>
        <w:rPr>
          <w:rFonts w:ascii="Arial" w:hAnsi="Arial" w:cs="Arial"/>
          <w:color w:val="000000"/>
          <w:sz w:val="19"/>
          <w:szCs w:val="19"/>
          <w:shd w:val="clear" w:color="auto" w:fill="FFFFFF"/>
        </w:rPr>
      </w:pPr>
    </w:p>
    <w:p w14:paraId="1CA2A4CF" w14:textId="544C7008" w:rsidR="009D5216" w:rsidRDefault="009D5216" w:rsidP="009A152A">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The National Archives &amp; British Government, </w:t>
      </w:r>
      <w:r>
        <w:rPr>
          <w:rFonts w:ascii="Arial" w:hAnsi="Arial" w:cs="Arial"/>
          <w:i/>
          <w:iCs/>
          <w:color w:val="000000"/>
          <w:sz w:val="19"/>
          <w:szCs w:val="19"/>
          <w:shd w:val="clear" w:color="auto" w:fill="FFFFFF"/>
        </w:rPr>
        <w:t>Consideration of the notes of the British Cabinet meeting, to be held on Monday 19th September 1938</w:t>
      </w:r>
      <w:r>
        <w:rPr>
          <w:rFonts w:ascii="Arial" w:hAnsi="Arial" w:cs="Arial"/>
          <w:color w:val="000000"/>
          <w:sz w:val="19"/>
          <w:szCs w:val="19"/>
          <w:shd w:val="clear" w:color="auto" w:fill="FFFFFF"/>
        </w:rPr>
        <w:t> (1938) &lt;http://filestore.nationalarchives.gov.uk/pdfs/small/cab-23-95-cc-40-38-4.pdf&gt; [accessed 10 June 2022].</w:t>
      </w:r>
    </w:p>
    <w:p w14:paraId="1372BFBF" w14:textId="77777777" w:rsidR="00A51D4B" w:rsidRDefault="00A51D4B" w:rsidP="009A152A">
      <w:pPr>
        <w:pStyle w:val="FootnoteText"/>
        <w:rPr>
          <w:rFonts w:ascii="Arial" w:hAnsi="Arial" w:cs="Arial"/>
          <w:color w:val="000000"/>
          <w:sz w:val="19"/>
          <w:szCs w:val="19"/>
          <w:shd w:val="clear" w:color="auto" w:fill="FFFFFF"/>
        </w:rPr>
      </w:pPr>
    </w:p>
    <w:p w14:paraId="26996986" w14:textId="77777777" w:rsidR="009D5216" w:rsidRDefault="009D5216" w:rsidP="00957419">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William L Shirer, </w:t>
      </w:r>
      <w:r>
        <w:rPr>
          <w:rFonts w:ascii="Arial" w:hAnsi="Arial" w:cs="Arial"/>
          <w:i/>
          <w:iCs/>
          <w:color w:val="000000"/>
          <w:sz w:val="19"/>
          <w:szCs w:val="19"/>
          <w:shd w:val="clear" w:color="auto" w:fill="FFFFFF"/>
        </w:rPr>
        <w:t xml:space="preserve">The </w:t>
      </w:r>
      <w:proofErr w:type="gramStart"/>
      <w:r>
        <w:rPr>
          <w:rFonts w:ascii="Arial" w:hAnsi="Arial" w:cs="Arial"/>
          <w:i/>
          <w:iCs/>
          <w:color w:val="000000"/>
          <w:sz w:val="19"/>
          <w:szCs w:val="19"/>
          <w:shd w:val="clear" w:color="auto" w:fill="FFFFFF"/>
        </w:rPr>
        <w:t>Rise</w:t>
      </w:r>
      <w:proofErr w:type="gramEnd"/>
      <w:r>
        <w:rPr>
          <w:rFonts w:ascii="Arial" w:hAnsi="Arial" w:cs="Arial"/>
          <w:i/>
          <w:iCs/>
          <w:color w:val="000000"/>
          <w:sz w:val="19"/>
          <w:szCs w:val="19"/>
          <w:shd w:val="clear" w:color="auto" w:fill="FFFFFF"/>
        </w:rPr>
        <w:t xml:space="preserve"> and Fall of the Third Reich</w:t>
      </w:r>
      <w:r>
        <w:rPr>
          <w:rFonts w:ascii="Arial" w:hAnsi="Arial" w:cs="Arial"/>
          <w:color w:val="000000"/>
          <w:sz w:val="19"/>
          <w:szCs w:val="19"/>
          <w:shd w:val="clear" w:color="auto" w:fill="FFFFFF"/>
        </w:rPr>
        <w:t> (New York: Simon &amp; Schuster, 1960).</w:t>
      </w:r>
    </w:p>
    <w:p w14:paraId="1D40B3B1" w14:textId="77777777" w:rsidR="000F4A82" w:rsidRDefault="000F4A82" w:rsidP="00884FCB">
      <w:pPr>
        <w:pStyle w:val="FootnoteText"/>
      </w:pPr>
    </w:p>
    <w:p w14:paraId="6A66648A" w14:textId="77777777" w:rsidR="00884FCB" w:rsidRPr="0072539E" w:rsidRDefault="00884FCB" w:rsidP="00373317">
      <w:pPr>
        <w:rPr>
          <w:sz w:val="24"/>
          <w:szCs w:val="24"/>
          <w:u w:val="single"/>
        </w:rPr>
      </w:pPr>
    </w:p>
    <w:sectPr w:rsidR="00884FCB" w:rsidRPr="007253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30CA7" w14:textId="77777777" w:rsidR="00FC49DB" w:rsidRDefault="00FC49DB" w:rsidP="00915CCF">
      <w:pPr>
        <w:spacing w:after="0" w:line="240" w:lineRule="auto"/>
      </w:pPr>
      <w:r>
        <w:separator/>
      </w:r>
    </w:p>
  </w:endnote>
  <w:endnote w:type="continuationSeparator" w:id="0">
    <w:p w14:paraId="3F88F57F" w14:textId="77777777" w:rsidR="00FC49DB" w:rsidRDefault="00FC49DB" w:rsidP="00915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B9F00" w14:textId="77777777" w:rsidR="00FC49DB" w:rsidRDefault="00FC49DB" w:rsidP="00915CCF">
      <w:pPr>
        <w:spacing w:after="0" w:line="240" w:lineRule="auto"/>
      </w:pPr>
      <w:r>
        <w:separator/>
      </w:r>
    </w:p>
  </w:footnote>
  <w:footnote w:type="continuationSeparator" w:id="0">
    <w:p w14:paraId="1A02D8F5" w14:textId="77777777" w:rsidR="00FC49DB" w:rsidRDefault="00FC49DB" w:rsidP="00915CCF">
      <w:pPr>
        <w:spacing w:after="0" w:line="240" w:lineRule="auto"/>
      </w:pPr>
      <w:r>
        <w:continuationSeparator/>
      </w:r>
    </w:p>
  </w:footnote>
  <w:footnote w:id="1">
    <w:p w14:paraId="45FD36A1" w14:textId="43F8CFDB" w:rsidR="00915CCF" w:rsidRDefault="00915CCF">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Anne Sharp Wells, </w:t>
      </w:r>
      <w:r>
        <w:rPr>
          <w:rFonts w:ascii="Arial" w:hAnsi="Arial" w:cs="Arial"/>
          <w:i/>
          <w:iCs/>
          <w:color w:val="000000"/>
          <w:sz w:val="19"/>
          <w:szCs w:val="19"/>
          <w:shd w:val="clear" w:color="auto" w:fill="FFFFFF"/>
        </w:rPr>
        <w:t>Historical Dictionary of World War II: The War against Germany and Italy</w:t>
      </w:r>
      <w:r>
        <w:rPr>
          <w:rFonts w:ascii="Arial" w:hAnsi="Arial" w:cs="Arial"/>
          <w:color w:val="000000"/>
          <w:sz w:val="19"/>
          <w:szCs w:val="19"/>
          <w:shd w:val="clear" w:color="auto" w:fill="FFFFFF"/>
        </w:rPr>
        <w:t> (USA: Rowman &amp; Littlefield Publishing, 2014), p. 7.</w:t>
      </w:r>
    </w:p>
    <w:p w14:paraId="3B4AE897" w14:textId="77777777" w:rsidR="005C17F4" w:rsidRDefault="005C17F4">
      <w:pPr>
        <w:pStyle w:val="FootnoteText"/>
      </w:pPr>
    </w:p>
  </w:footnote>
  <w:footnote w:id="2">
    <w:p w14:paraId="1579A632" w14:textId="032F5DF6" w:rsidR="00141EBE" w:rsidRDefault="00141EBE">
      <w:pPr>
        <w:pStyle w:val="FootnoteText"/>
        <w:rPr>
          <w:rFonts w:ascii="Arial" w:hAnsi="Arial" w:cs="Arial"/>
          <w:color w:val="000000"/>
          <w:sz w:val="19"/>
          <w:szCs w:val="19"/>
          <w:shd w:val="clear" w:color="auto" w:fill="FFFFFF"/>
        </w:rPr>
      </w:pPr>
      <w:r>
        <w:rPr>
          <w:rStyle w:val="FootnoteReference"/>
        </w:rPr>
        <w:footnoteRef/>
      </w:r>
      <w:r>
        <w:t xml:space="preserve"> </w:t>
      </w:r>
      <w:r w:rsidR="005C17F4">
        <w:rPr>
          <w:rFonts w:ascii="Arial" w:hAnsi="Arial" w:cs="Arial"/>
          <w:color w:val="000000"/>
          <w:sz w:val="19"/>
          <w:szCs w:val="19"/>
          <w:shd w:val="clear" w:color="auto" w:fill="FFFFFF"/>
        </w:rPr>
        <w:t xml:space="preserve">Edward R </w:t>
      </w:r>
      <w:proofErr w:type="spellStart"/>
      <w:r w:rsidR="005C17F4">
        <w:rPr>
          <w:rFonts w:ascii="Arial" w:hAnsi="Arial" w:cs="Arial"/>
          <w:color w:val="000000"/>
          <w:sz w:val="19"/>
          <w:szCs w:val="19"/>
          <w:shd w:val="clear" w:color="auto" w:fill="FFFFFF"/>
        </w:rPr>
        <w:t>Kantowicz</w:t>
      </w:r>
      <w:proofErr w:type="spellEnd"/>
      <w:r w:rsidR="005C17F4">
        <w:rPr>
          <w:rFonts w:ascii="Arial" w:hAnsi="Arial" w:cs="Arial"/>
          <w:color w:val="000000"/>
          <w:sz w:val="19"/>
          <w:szCs w:val="19"/>
          <w:shd w:val="clear" w:color="auto" w:fill="FFFFFF"/>
        </w:rPr>
        <w:t>, </w:t>
      </w:r>
      <w:r w:rsidR="005C17F4">
        <w:rPr>
          <w:rFonts w:ascii="Arial" w:hAnsi="Arial" w:cs="Arial"/>
          <w:i/>
          <w:iCs/>
          <w:color w:val="000000"/>
          <w:sz w:val="19"/>
          <w:szCs w:val="19"/>
          <w:shd w:val="clear" w:color="auto" w:fill="FFFFFF"/>
        </w:rPr>
        <w:t>The Rage of Nations</w:t>
      </w:r>
      <w:r w:rsidR="005C17F4">
        <w:rPr>
          <w:rFonts w:ascii="Arial" w:hAnsi="Arial" w:cs="Arial"/>
          <w:color w:val="000000"/>
          <w:sz w:val="19"/>
          <w:szCs w:val="19"/>
          <w:shd w:val="clear" w:color="auto" w:fill="FFFFFF"/>
        </w:rPr>
        <w:t> (Grand Rapids, MI: William B. Eerdmans Publishing Company, 1999), p. 149.</w:t>
      </w:r>
    </w:p>
    <w:p w14:paraId="4B345340" w14:textId="77777777" w:rsidR="00A55957" w:rsidRDefault="00A55957">
      <w:pPr>
        <w:pStyle w:val="FootnoteText"/>
      </w:pPr>
    </w:p>
  </w:footnote>
  <w:footnote w:id="3">
    <w:p w14:paraId="4085188B" w14:textId="0D80EF7A" w:rsidR="00A55957" w:rsidRDefault="00A55957">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 xml:space="preserve">Richard </w:t>
      </w:r>
      <w:proofErr w:type="spellStart"/>
      <w:r>
        <w:rPr>
          <w:rFonts w:ascii="Arial" w:hAnsi="Arial" w:cs="Arial"/>
          <w:color w:val="000000"/>
          <w:sz w:val="19"/>
          <w:szCs w:val="19"/>
          <w:shd w:val="clear" w:color="auto" w:fill="FFFFFF"/>
        </w:rPr>
        <w:t>Overy</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The Dictators: Hitler's Germany, Stalin's Russia</w:t>
      </w:r>
      <w:r>
        <w:rPr>
          <w:rFonts w:ascii="Arial" w:hAnsi="Arial" w:cs="Arial"/>
          <w:color w:val="000000"/>
          <w:sz w:val="19"/>
          <w:szCs w:val="19"/>
          <w:shd w:val="clear" w:color="auto" w:fill="FFFFFF"/>
        </w:rPr>
        <w:t> (London: Penguin Books, 2005), p. 63.</w:t>
      </w:r>
    </w:p>
    <w:p w14:paraId="266FE640" w14:textId="77777777" w:rsidR="0077281F" w:rsidRDefault="0077281F">
      <w:pPr>
        <w:pStyle w:val="FootnoteText"/>
      </w:pPr>
    </w:p>
  </w:footnote>
  <w:footnote w:id="4">
    <w:p w14:paraId="762580B8" w14:textId="0A8EFF6B" w:rsidR="0077281F" w:rsidRDefault="0077281F">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William L Shirer, </w:t>
      </w:r>
      <w:r>
        <w:rPr>
          <w:rFonts w:ascii="Arial" w:hAnsi="Arial" w:cs="Arial"/>
          <w:i/>
          <w:iCs/>
          <w:color w:val="000000"/>
          <w:sz w:val="19"/>
          <w:szCs w:val="19"/>
          <w:shd w:val="clear" w:color="auto" w:fill="FFFFFF"/>
        </w:rPr>
        <w:t xml:space="preserve">The </w:t>
      </w:r>
      <w:proofErr w:type="gramStart"/>
      <w:r>
        <w:rPr>
          <w:rFonts w:ascii="Arial" w:hAnsi="Arial" w:cs="Arial"/>
          <w:i/>
          <w:iCs/>
          <w:color w:val="000000"/>
          <w:sz w:val="19"/>
          <w:szCs w:val="19"/>
          <w:shd w:val="clear" w:color="auto" w:fill="FFFFFF"/>
        </w:rPr>
        <w:t>Rise</w:t>
      </w:r>
      <w:proofErr w:type="gramEnd"/>
      <w:r>
        <w:rPr>
          <w:rFonts w:ascii="Arial" w:hAnsi="Arial" w:cs="Arial"/>
          <w:i/>
          <w:iCs/>
          <w:color w:val="000000"/>
          <w:sz w:val="19"/>
          <w:szCs w:val="19"/>
          <w:shd w:val="clear" w:color="auto" w:fill="FFFFFF"/>
        </w:rPr>
        <w:t xml:space="preserve"> and Fall of the Third Reich</w:t>
      </w:r>
      <w:r>
        <w:rPr>
          <w:rFonts w:ascii="Arial" w:hAnsi="Arial" w:cs="Arial"/>
          <w:color w:val="000000"/>
          <w:sz w:val="19"/>
          <w:szCs w:val="19"/>
          <w:shd w:val="clear" w:color="auto" w:fill="FFFFFF"/>
        </w:rPr>
        <w:t> (New York: Simon &amp; Schuster, 1960), p. 209-210.</w:t>
      </w:r>
    </w:p>
    <w:p w14:paraId="2AE9548F" w14:textId="77777777" w:rsidR="001B2B95" w:rsidRDefault="001B2B95">
      <w:pPr>
        <w:pStyle w:val="FootnoteText"/>
      </w:pPr>
    </w:p>
  </w:footnote>
  <w:footnote w:id="5">
    <w:p w14:paraId="0D59FB22" w14:textId="68F2B479" w:rsidR="001B2B95" w:rsidRDefault="001B2B95">
      <w:pPr>
        <w:pStyle w:val="FootnoteText"/>
      </w:pPr>
      <w:r>
        <w:rPr>
          <w:rStyle w:val="FootnoteReference"/>
        </w:rPr>
        <w:footnoteRef/>
      </w:r>
      <w:r>
        <w:t xml:space="preserve"> </w:t>
      </w:r>
      <w:r>
        <w:rPr>
          <w:rFonts w:ascii="Arial" w:hAnsi="Arial" w:cs="Arial"/>
          <w:color w:val="000000"/>
          <w:sz w:val="19"/>
          <w:szCs w:val="19"/>
          <w:shd w:val="clear" w:color="auto" w:fill="FFFFFF"/>
        </w:rPr>
        <w:t>Richard J Evans, </w:t>
      </w:r>
      <w:r>
        <w:rPr>
          <w:rFonts w:ascii="Arial" w:hAnsi="Arial" w:cs="Arial"/>
          <w:i/>
          <w:iCs/>
          <w:color w:val="000000"/>
          <w:sz w:val="19"/>
          <w:szCs w:val="19"/>
          <w:shd w:val="clear" w:color="auto" w:fill="FFFFFF"/>
        </w:rPr>
        <w:t>The Third Reich in Power</w:t>
      </w:r>
      <w:r>
        <w:rPr>
          <w:rFonts w:ascii="Arial" w:hAnsi="Arial" w:cs="Arial"/>
          <w:color w:val="000000"/>
          <w:sz w:val="19"/>
          <w:szCs w:val="19"/>
          <w:shd w:val="clear" w:color="auto" w:fill="FFFFFF"/>
        </w:rPr>
        <w:t> (New York: Penguin, 2005), p. 618.</w:t>
      </w:r>
    </w:p>
  </w:footnote>
  <w:footnote w:id="6">
    <w:p w14:paraId="7BDD9272" w14:textId="20A808A3" w:rsidR="00874763" w:rsidRDefault="00874763">
      <w:pPr>
        <w:pStyle w:val="FootnoteText"/>
      </w:pPr>
      <w:r>
        <w:rPr>
          <w:rStyle w:val="FootnoteReference"/>
        </w:rPr>
        <w:footnoteRef/>
      </w:r>
      <w:r>
        <w:t xml:space="preserve"> </w:t>
      </w:r>
      <w:r w:rsidR="00856265">
        <w:t>Ibid, p. 623</w:t>
      </w:r>
    </w:p>
    <w:p w14:paraId="696017F9" w14:textId="77777777" w:rsidR="00CC30EB" w:rsidRDefault="00CC30EB">
      <w:pPr>
        <w:pStyle w:val="FootnoteText"/>
      </w:pPr>
    </w:p>
  </w:footnote>
  <w:footnote w:id="7">
    <w:p w14:paraId="3EBB3A3D" w14:textId="3E10F850" w:rsidR="00D66059" w:rsidRDefault="00D66059">
      <w:pPr>
        <w:pStyle w:val="FootnoteText"/>
        <w:rPr>
          <w:rFonts w:ascii="Arial" w:hAnsi="Arial" w:cs="Arial"/>
          <w:color w:val="000000"/>
          <w:sz w:val="19"/>
          <w:szCs w:val="19"/>
          <w:shd w:val="clear" w:color="auto" w:fill="FFFFFF"/>
        </w:rPr>
      </w:pPr>
      <w:r>
        <w:rPr>
          <w:rStyle w:val="FootnoteReference"/>
        </w:rPr>
        <w:footnoteRef/>
      </w:r>
      <w:r>
        <w:t xml:space="preserve"> </w:t>
      </w:r>
      <w:r w:rsidR="00CC30EB">
        <w:rPr>
          <w:rFonts w:ascii="Arial" w:hAnsi="Arial" w:cs="Arial"/>
          <w:color w:val="000000"/>
          <w:sz w:val="19"/>
          <w:szCs w:val="19"/>
          <w:shd w:val="clear" w:color="auto" w:fill="FFFFFF"/>
        </w:rPr>
        <w:t>Martin Kitchen, </w:t>
      </w:r>
      <w:r w:rsidR="00CC30EB">
        <w:rPr>
          <w:rFonts w:ascii="Arial" w:hAnsi="Arial" w:cs="Arial"/>
          <w:i/>
          <w:iCs/>
          <w:color w:val="000000"/>
          <w:sz w:val="19"/>
          <w:szCs w:val="19"/>
          <w:shd w:val="clear" w:color="auto" w:fill="FFFFFF"/>
        </w:rPr>
        <w:t>A History of Modern Germany, 1800–2000</w:t>
      </w:r>
      <w:r w:rsidR="00CC30EB">
        <w:rPr>
          <w:rFonts w:ascii="Arial" w:hAnsi="Arial" w:cs="Arial"/>
          <w:color w:val="000000"/>
          <w:sz w:val="19"/>
          <w:szCs w:val="19"/>
          <w:shd w:val="clear" w:color="auto" w:fill="FFFFFF"/>
        </w:rPr>
        <w:t> (Malden, MA: Blackwell, 2006), p. 271.</w:t>
      </w:r>
    </w:p>
    <w:p w14:paraId="2C12E7C9" w14:textId="77777777" w:rsidR="00A05E32" w:rsidRDefault="00A05E32">
      <w:pPr>
        <w:pStyle w:val="FootnoteText"/>
      </w:pPr>
    </w:p>
  </w:footnote>
  <w:footnote w:id="8">
    <w:p w14:paraId="34B0AB3D" w14:textId="042039C1" w:rsidR="00A05E32" w:rsidRDefault="00A05E32">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Richard J Evans, </w:t>
      </w:r>
      <w:r>
        <w:rPr>
          <w:rFonts w:ascii="Arial" w:hAnsi="Arial" w:cs="Arial"/>
          <w:i/>
          <w:iCs/>
          <w:color w:val="000000"/>
          <w:sz w:val="19"/>
          <w:szCs w:val="19"/>
          <w:shd w:val="clear" w:color="auto" w:fill="FFFFFF"/>
        </w:rPr>
        <w:t>The Third Reich in Power</w:t>
      </w:r>
      <w:r>
        <w:rPr>
          <w:rFonts w:ascii="Arial" w:hAnsi="Arial" w:cs="Arial"/>
          <w:color w:val="000000"/>
          <w:sz w:val="19"/>
          <w:szCs w:val="19"/>
          <w:shd w:val="clear" w:color="auto" w:fill="FFFFFF"/>
        </w:rPr>
        <w:t> (New York: Penguin, 2005), p. 632-637.</w:t>
      </w:r>
    </w:p>
    <w:p w14:paraId="63544680" w14:textId="77777777" w:rsidR="001955FA" w:rsidRDefault="001955FA">
      <w:pPr>
        <w:pStyle w:val="FootnoteText"/>
      </w:pPr>
    </w:p>
  </w:footnote>
  <w:footnote w:id="9">
    <w:p w14:paraId="68DD44BA" w14:textId="7481F5B2" w:rsidR="0090653D" w:rsidRDefault="0090653D">
      <w:pPr>
        <w:pStyle w:val="FootnoteText"/>
      </w:pPr>
      <w:r>
        <w:rPr>
          <w:rStyle w:val="FootnoteReference"/>
        </w:rPr>
        <w:footnoteRef/>
      </w:r>
      <w:r>
        <w:t xml:space="preserve"> Ibid, p. </w:t>
      </w:r>
      <w:r w:rsidR="001955FA">
        <w:t>646-652</w:t>
      </w:r>
      <w:r w:rsidR="00785F47">
        <w:t>.</w:t>
      </w:r>
    </w:p>
    <w:p w14:paraId="5EFB94A2" w14:textId="77777777" w:rsidR="00785F47" w:rsidRDefault="00785F47">
      <w:pPr>
        <w:pStyle w:val="FootnoteText"/>
      </w:pPr>
    </w:p>
  </w:footnote>
  <w:footnote w:id="10">
    <w:p w14:paraId="09BE64C7" w14:textId="5D9F03AA" w:rsidR="00785F47" w:rsidRDefault="00785F47">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Ian Kershaw, </w:t>
      </w:r>
      <w:r>
        <w:rPr>
          <w:rFonts w:ascii="Arial" w:hAnsi="Arial" w:cs="Arial"/>
          <w:i/>
          <w:iCs/>
          <w:color w:val="000000"/>
          <w:sz w:val="19"/>
          <w:szCs w:val="19"/>
          <w:shd w:val="clear" w:color="auto" w:fill="FFFFFF"/>
        </w:rPr>
        <w:t>Hitler: A Biography</w:t>
      </w:r>
      <w:r>
        <w:rPr>
          <w:rFonts w:ascii="Arial" w:hAnsi="Arial" w:cs="Arial"/>
          <w:color w:val="000000"/>
          <w:sz w:val="19"/>
          <w:szCs w:val="19"/>
          <w:shd w:val="clear" w:color="auto" w:fill="FFFFFF"/>
        </w:rPr>
        <w:t> (New York: W. W. Norton &amp; Company, 2008), p. 417.</w:t>
      </w:r>
    </w:p>
    <w:p w14:paraId="385C6EB8" w14:textId="77777777" w:rsidR="000C2CEC" w:rsidRDefault="000C2CEC">
      <w:pPr>
        <w:pStyle w:val="FootnoteText"/>
      </w:pPr>
    </w:p>
  </w:footnote>
  <w:footnote w:id="11">
    <w:p w14:paraId="272B449B" w14:textId="3B77EB34" w:rsidR="0081529A" w:rsidRDefault="0081529A">
      <w:pPr>
        <w:pStyle w:val="FootnoteText"/>
        <w:rPr>
          <w:rFonts w:ascii="Arial" w:hAnsi="Arial" w:cs="Arial"/>
          <w:color w:val="000000"/>
          <w:sz w:val="19"/>
          <w:szCs w:val="19"/>
          <w:shd w:val="clear" w:color="auto" w:fill="FFFFFF"/>
        </w:rPr>
      </w:pPr>
      <w:r>
        <w:rPr>
          <w:rStyle w:val="FootnoteReference"/>
        </w:rPr>
        <w:footnoteRef/>
      </w:r>
      <w:r>
        <w:t xml:space="preserve"> </w:t>
      </w:r>
      <w:r w:rsidR="000C2CEC">
        <w:rPr>
          <w:rFonts w:ascii="Arial" w:hAnsi="Arial" w:cs="Arial"/>
          <w:color w:val="000000"/>
          <w:sz w:val="19"/>
          <w:szCs w:val="19"/>
          <w:shd w:val="clear" w:color="auto" w:fill="FFFFFF"/>
        </w:rPr>
        <w:t xml:space="preserve">Mark </w:t>
      </w:r>
      <w:proofErr w:type="spellStart"/>
      <w:r w:rsidR="000C2CEC">
        <w:rPr>
          <w:rFonts w:ascii="Arial" w:hAnsi="Arial" w:cs="Arial"/>
          <w:color w:val="000000"/>
          <w:sz w:val="19"/>
          <w:szCs w:val="19"/>
          <w:shd w:val="clear" w:color="auto" w:fill="FFFFFF"/>
        </w:rPr>
        <w:t>Mazower</w:t>
      </w:r>
      <w:proofErr w:type="spellEnd"/>
      <w:r w:rsidR="000C2CEC">
        <w:rPr>
          <w:rFonts w:ascii="Arial" w:hAnsi="Arial" w:cs="Arial"/>
          <w:color w:val="000000"/>
          <w:sz w:val="19"/>
          <w:szCs w:val="19"/>
          <w:shd w:val="clear" w:color="auto" w:fill="FFFFFF"/>
        </w:rPr>
        <w:t>, </w:t>
      </w:r>
      <w:r w:rsidR="000C2CEC">
        <w:rPr>
          <w:rFonts w:ascii="Arial" w:hAnsi="Arial" w:cs="Arial"/>
          <w:i/>
          <w:iCs/>
          <w:color w:val="000000"/>
          <w:sz w:val="19"/>
          <w:szCs w:val="19"/>
          <w:shd w:val="clear" w:color="auto" w:fill="FFFFFF"/>
        </w:rPr>
        <w:t>Hitler's Empire: How the Nazis Ruled Europe</w:t>
      </w:r>
      <w:r w:rsidR="000C2CEC">
        <w:rPr>
          <w:rFonts w:ascii="Arial" w:hAnsi="Arial" w:cs="Arial"/>
          <w:color w:val="000000"/>
          <w:sz w:val="19"/>
          <w:szCs w:val="19"/>
          <w:shd w:val="clear" w:color="auto" w:fill="FFFFFF"/>
        </w:rPr>
        <w:t> (New York: Penguin, 2008), p. 264-265.</w:t>
      </w:r>
    </w:p>
    <w:p w14:paraId="0287078E" w14:textId="77777777" w:rsidR="00BC534F" w:rsidRDefault="00BC534F">
      <w:pPr>
        <w:pStyle w:val="FootnoteText"/>
      </w:pPr>
    </w:p>
  </w:footnote>
  <w:footnote w:id="12">
    <w:p w14:paraId="40B0387A" w14:textId="4AAB39AF" w:rsidR="0089557E" w:rsidRDefault="0089557E">
      <w:pPr>
        <w:pStyle w:val="FootnoteText"/>
      </w:pPr>
      <w:r>
        <w:rPr>
          <w:rStyle w:val="FootnoteReference"/>
        </w:rPr>
        <w:footnoteRef/>
      </w:r>
      <w:r>
        <w:t xml:space="preserve"> </w:t>
      </w:r>
      <w:r w:rsidR="00BC534F">
        <w:rPr>
          <w:rFonts w:ascii="Arial" w:hAnsi="Arial" w:cs="Arial"/>
          <w:color w:val="000000"/>
          <w:sz w:val="19"/>
          <w:szCs w:val="19"/>
          <w:shd w:val="clear" w:color="auto" w:fill="FFFFFF"/>
        </w:rPr>
        <w:t>Gerhard L Weinberg, </w:t>
      </w:r>
      <w:r w:rsidR="00BC534F">
        <w:rPr>
          <w:rFonts w:ascii="Arial" w:hAnsi="Arial" w:cs="Arial"/>
          <w:i/>
          <w:iCs/>
          <w:color w:val="000000"/>
          <w:sz w:val="19"/>
          <w:szCs w:val="19"/>
          <w:shd w:val="clear" w:color="auto" w:fill="FFFFFF"/>
        </w:rPr>
        <w:t>Hitler's Foreign Policy 1933–1939: The Road to World War II</w:t>
      </w:r>
      <w:r w:rsidR="00BC534F">
        <w:rPr>
          <w:rFonts w:ascii="Arial" w:hAnsi="Arial" w:cs="Arial"/>
          <w:color w:val="000000"/>
          <w:sz w:val="19"/>
          <w:szCs w:val="19"/>
          <w:shd w:val="clear" w:color="auto" w:fill="FFFFFF"/>
        </w:rPr>
        <w:t> (New York: Enigma Books, 2010), p. 60.</w:t>
      </w:r>
    </w:p>
  </w:footnote>
  <w:footnote w:id="13">
    <w:p w14:paraId="25EFC5FF" w14:textId="10E69BA6" w:rsidR="001B6F81" w:rsidRDefault="001B6F81">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 xml:space="preserve">David </w:t>
      </w:r>
      <w:proofErr w:type="spellStart"/>
      <w:r>
        <w:rPr>
          <w:rFonts w:ascii="Arial" w:hAnsi="Arial" w:cs="Arial"/>
          <w:color w:val="000000"/>
          <w:sz w:val="19"/>
          <w:szCs w:val="19"/>
          <w:shd w:val="clear" w:color="auto" w:fill="FFFFFF"/>
        </w:rPr>
        <w:t>Zabecki</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Germany at </w:t>
      </w:r>
      <w:proofErr w:type="gramStart"/>
      <w:r>
        <w:rPr>
          <w:rFonts w:ascii="Arial" w:hAnsi="Arial" w:cs="Arial"/>
          <w:i/>
          <w:iCs/>
          <w:color w:val="000000"/>
          <w:sz w:val="19"/>
          <w:szCs w:val="19"/>
          <w:shd w:val="clear" w:color="auto" w:fill="FFFFFF"/>
        </w:rPr>
        <w:t>war :</w:t>
      </w:r>
      <w:proofErr w:type="gramEnd"/>
      <w:r>
        <w:rPr>
          <w:rFonts w:ascii="Arial" w:hAnsi="Arial" w:cs="Arial"/>
          <w:i/>
          <w:iCs/>
          <w:color w:val="000000"/>
          <w:sz w:val="19"/>
          <w:szCs w:val="19"/>
          <w:shd w:val="clear" w:color="auto" w:fill="FFFFFF"/>
        </w:rPr>
        <w:t xml:space="preserve"> 400 years of military history</w:t>
      </w:r>
      <w:r>
        <w:rPr>
          <w:rFonts w:ascii="Arial" w:hAnsi="Arial" w:cs="Arial"/>
          <w:color w:val="000000"/>
          <w:sz w:val="19"/>
          <w:szCs w:val="19"/>
          <w:shd w:val="clear" w:color="auto" w:fill="FFFFFF"/>
        </w:rPr>
        <w:t> (Santa Barbara, California: ABC-CLIO, LLC, 2014), p. 536.</w:t>
      </w:r>
    </w:p>
    <w:p w14:paraId="79EDDDC2" w14:textId="77777777" w:rsidR="00D575F3" w:rsidRDefault="00D575F3">
      <w:pPr>
        <w:pStyle w:val="FootnoteText"/>
      </w:pPr>
    </w:p>
  </w:footnote>
  <w:footnote w:id="14">
    <w:p w14:paraId="3EED1B18" w14:textId="3EE27F2B" w:rsidR="00D575F3" w:rsidRDefault="00D575F3">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 xml:space="preserve">Antony </w:t>
      </w:r>
      <w:proofErr w:type="spellStart"/>
      <w:r>
        <w:rPr>
          <w:rFonts w:ascii="Arial" w:hAnsi="Arial" w:cs="Arial"/>
          <w:color w:val="000000"/>
          <w:sz w:val="19"/>
          <w:szCs w:val="19"/>
          <w:shd w:val="clear" w:color="auto" w:fill="FFFFFF"/>
        </w:rPr>
        <w:t>Beevor</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The Second World War</w:t>
      </w:r>
      <w:r>
        <w:rPr>
          <w:rFonts w:ascii="Arial" w:hAnsi="Arial" w:cs="Arial"/>
          <w:color w:val="000000"/>
          <w:sz w:val="19"/>
          <w:szCs w:val="19"/>
          <w:shd w:val="clear" w:color="auto" w:fill="FFFFFF"/>
        </w:rPr>
        <w:t> (New York: Little, Brown, 2012), p. 22-28.</w:t>
      </w:r>
    </w:p>
    <w:p w14:paraId="12356878" w14:textId="77777777" w:rsidR="006260A9" w:rsidRDefault="006260A9">
      <w:pPr>
        <w:pStyle w:val="FootnoteText"/>
      </w:pPr>
    </w:p>
  </w:footnote>
  <w:footnote w:id="15">
    <w:p w14:paraId="30AB99D8" w14:textId="2FA9CCA3" w:rsidR="00EB30BB" w:rsidRDefault="00EB30BB">
      <w:pPr>
        <w:pStyle w:val="FootnoteText"/>
        <w:rPr>
          <w:rFonts w:ascii="Arial" w:hAnsi="Arial" w:cs="Arial"/>
          <w:color w:val="000000"/>
          <w:sz w:val="19"/>
          <w:szCs w:val="19"/>
          <w:shd w:val="clear" w:color="auto" w:fill="FFFFFF"/>
        </w:rPr>
      </w:pPr>
      <w:r>
        <w:rPr>
          <w:rStyle w:val="FootnoteReference"/>
        </w:rPr>
        <w:footnoteRef/>
      </w:r>
      <w:r>
        <w:t xml:space="preserve"> </w:t>
      </w:r>
      <w:r w:rsidR="006260A9">
        <w:rPr>
          <w:rFonts w:ascii="Arial" w:hAnsi="Arial" w:cs="Arial"/>
          <w:color w:val="000000"/>
          <w:sz w:val="19"/>
          <w:szCs w:val="19"/>
          <w:shd w:val="clear" w:color="auto" w:fill="FFFFFF"/>
        </w:rPr>
        <w:t>Frank McDonough, </w:t>
      </w:r>
      <w:r w:rsidR="006260A9">
        <w:rPr>
          <w:rFonts w:ascii="Arial" w:hAnsi="Arial" w:cs="Arial"/>
          <w:i/>
          <w:iCs/>
          <w:color w:val="000000"/>
          <w:sz w:val="19"/>
          <w:szCs w:val="19"/>
          <w:shd w:val="clear" w:color="auto" w:fill="FFFFFF"/>
        </w:rPr>
        <w:t>Neville Chamberlain, Appeasement, and the British Road to War</w:t>
      </w:r>
      <w:r w:rsidR="006260A9">
        <w:rPr>
          <w:rFonts w:ascii="Arial" w:hAnsi="Arial" w:cs="Arial"/>
          <w:color w:val="000000"/>
          <w:sz w:val="19"/>
          <w:szCs w:val="19"/>
          <w:shd w:val="clear" w:color="auto" w:fill="FFFFFF"/>
        </w:rPr>
        <w:t> (Manchester and New York: Manchester University Press, 1998), p. 36.</w:t>
      </w:r>
    </w:p>
    <w:p w14:paraId="201C4CCD" w14:textId="77777777" w:rsidR="004055CE" w:rsidRDefault="004055CE">
      <w:pPr>
        <w:pStyle w:val="FootnoteText"/>
      </w:pPr>
    </w:p>
  </w:footnote>
  <w:footnote w:id="16">
    <w:p w14:paraId="378CF744" w14:textId="1436F7D2" w:rsidR="004055CE" w:rsidRDefault="004055CE">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N.H. Gibbs, </w:t>
      </w:r>
      <w:r>
        <w:rPr>
          <w:rFonts w:ascii="Arial" w:hAnsi="Arial" w:cs="Arial"/>
          <w:i/>
          <w:iCs/>
          <w:color w:val="000000"/>
          <w:sz w:val="19"/>
          <w:szCs w:val="19"/>
          <w:shd w:val="clear" w:color="auto" w:fill="FFFFFF"/>
        </w:rPr>
        <w:t>Grand Strategy: Volume 1: Rearmament Policy History of the Second World War</w:t>
      </w:r>
      <w:r>
        <w:rPr>
          <w:rFonts w:ascii="Arial" w:hAnsi="Arial" w:cs="Arial"/>
          <w:color w:val="000000"/>
          <w:sz w:val="19"/>
          <w:szCs w:val="19"/>
          <w:shd w:val="clear" w:color="auto" w:fill="FFFFFF"/>
        </w:rPr>
        <w:t> (UK: Her Majesty's Stationery Office, 1976).</w:t>
      </w:r>
    </w:p>
    <w:p w14:paraId="1BCDE7E4" w14:textId="77777777" w:rsidR="009940CA" w:rsidRDefault="009940CA">
      <w:pPr>
        <w:pStyle w:val="FootnoteText"/>
      </w:pPr>
    </w:p>
  </w:footnote>
  <w:footnote w:id="17">
    <w:p w14:paraId="79490758" w14:textId="62B6D2D2" w:rsidR="009940CA" w:rsidRDefault="009940CA">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The National Archives &amp; British Government, </w:t>
      </w:r>
      <w:r>
        <w:rPr>
          <w:rFonts w:ascii="Arial" w:hAnsi="Arial" w:cs="Arial"/>
          <w:i/>
          <w:iCs/>
          <w:color w:val="000000"/>
          <w:sz w:val="19"/>
          <w:szCs w:val="19"/>
          <w:shd w:val="clear" w:color="auto" w:fill="FFFFFF"/>
        </w:rPr>
        <w:t>Consideration of the notes of the British Cabinet meeting, to be held on Monday 19th September 1938</w:t>
      </w:r>
      <w:r>
        <w:rPr>
          <w:rFonts w:ascii="Arial" w:hAnsi="Arial" w:cs="Arial"/>
          <w:color w:val="000000"/>
          <w:sz w:val="19"/>
          <w:szCs w:val="19"/>
          <w:shd w:val="clear" w:color="auto" w:fill="FFFFFF"/>
        </w:rPr>
        <w:t> (1938) &lt;http://filestore.nationalarchives.gov.uk/pdfs/small/cab-23-95-cc-40-38-4.pdf&gt; [accessed 10 June 2022].</w:t>
      </w:r>
    </w:p>
    <w:p w14:paraId="1AC2A87E" w14:textId="77777777" w:rsidR="00373317" w:rsidRDefault="00373317">
      <w:pPr>
        <w:pStyle w:val="FootnoteText"/>
      </w:pPr>
    </w:p>
  </w:footnote>
  <w:footnote w:id="18">
    <w:p w14:paraId="13D4B95C" w14:textId="0C885008" w:rsidR="00373317" w:rsidRDefault="00373317">
      <w:pPr>
        <w:pStyle w:val="FootnoteText"/>
      </w:pPr>
      <w:r>
        <w:rPr>
          <w:rStyle w:val="FootnoteReference"/>
        </w:rPr>
        <w:footnoteRef/>
      </w:r>
      <w:r>
        <w:t xml:space="preserve"> </w:t>
      </w:r>
      <w:r>
        <w:rPr>
          <w:rFonts w:ascii="Arial" w:hAnsi="Arial" w:cs="Arial"/>
          <w:color w:val="000000"/>
          <w:sz w:val="19"/>
          <w:szCs w:val="19"/>
          <w:shd w:val="clear" w:color="auto" w:fill="FFFFFF"/>
        </w:rPr>
        <w:t xml:space="preserve">Max </w:t>
      </w:r>
      <w:proofErr w:type="spellStart"/>
      <w:r>
        <w:rPr>
          <w:rFonts w:ascii="Arial" w:hAnsi="Arial" w:cs="Arial"/>
          <w:color w:val="000000"/>
          <w:sz w:val="19"/>
          <w:szCs w:val="19"/>
          <w:shd w:val="clear" w:color="auto" w:fill="FFFFFF"/>
        </w:rPr>
        <w:t>Domarus</w:t>
      </w:r>
      <w:proofErr w:type="spellEnd"/>
      <w:r>
        <w:rPr>
          <w:rFonts w:ascii="Arial" w:hAnsi="Arial" w:cs="Arial"/>
          <w:color w:val="000000"/>
          <w:sz w:val="19"/>
          <w:szCs w:val="19"/>
          <w:shd w:val="clear" w:color="auto" w:fill="FFFFFF"/>
        </w:rPr>
        <w:t>; Adolf Hitler, </w:t>
      </w:r>
      <w:r>
        <w:rPr>
          <w:rFonts w:ascii="Arial" w:hAnsi="Arial" w:cs="Arial"/>
          <w:i/>
          <w:iCs/>
          <w:color w:val="000000"/>
          <w:sz w:val="19"/>
          <w:szCs w:val="19"/>
          <w:shd w:val="clear" w:color="auto" w:fill="FFFFFF"/>
        </w:rPr>
        <w:t>Hitler: speeches and proclamations, 1932-</w:t>
      </w:r>
      <w:proofErr w:type="gramStart"/>
      <w:r>
        <w:rPr>
          <w:rFonts w:ascii="Arial" w:hAnsi="Arial" w:cs="Arial"/>
          <w:i/>
          <w:iCs/>
          <w:color w:val="000000"/>
          <w:sz w:val="19"/>
          <w:szCs w:val="19"/>
          <w:shd w:val="clear" w:color="auto" w:fill="FFFFFF"/>
        </w:rPr>
        <w:t>1945 :</w:t>
      </w:r>
      <w:proofErr w:type="gramEnd"/>
      <w:r>
        <w:rPr>
          <w:rFonts w:ascii="Arial" w:hAnsi="Arial" w:cs="Arial"/>
          <w:i/>
          <w:iCs/>
          <w:color w:val="000000"/>
          <w:sz w:val="19"/>
          <w:szCs w:val="19"/>
          <w:shd w:val="clear" w:color="auto" w:fill="FFFFFF"/>
        </w:rPr>
        <w:t xml:space="preserve"> the chronicle of a dictatorship</w:t>
      </w:r>
      <w:r>
        <w:rPr>
          <w:rFonts w:ascii="Arial" w:hAnsi="Arial" w:cs="Arial"/>
          <w:color w:val="000000"/>
          <w:sz w:val="19"/>
          <w:szCs w:val="19"/>
          <w:shd w:val="clear" w:color="auto" w:fill="FFFFFF"/>
        </w:rPr>
        <w:t>, trans. by Chris Wilcox (London: Tauris, 1990), p. 1393.</w:t>
      </w:r>
    </w:p>
  </w:footnote>
  <w:footnote w:id="19">
    <w:p w14:paraId="451E3D50" w14:textId="331E64F2" w:rsidR="004A623A" w:rsidRDefault="004A623A">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Roger Chickering, et al, </w:t>
      </w:r>
      <w:r>
        <w:rPr>
          <w:rFonts w:ascii="Arial" w:hAnsi="Arial" w:cs="Arial"/>
          <w:i/>
          <w:iCs/>
          <w:color w:val="000000"/>
          <w:sz w:val="19"/>
          <w:szCs w:val="19"/>
          <w:shd w:val="clear" w:color="auto" w:fill="FFFFFF"/>
        </w:rPr>
        <w:t>A World at Total War: Global Conflict and the Politics of Destruction, 1937–1945</w:t>
      </w:r>
      <w:r>
        <w:rPr>
          <w:rFonts w:ascii="Arial" w:hAnsi="Arial" w:cs="Arial"/>
          <w:color w:val="000000"/>
          <w:sz w:val="19"/>
          <w:szCs w:val="19"/>
          <w:shd w:val="clear" w:color="auto" w:fill="FFFFFF"/>
        </w:rPr>
        <w:t> (Cambridge: Cambridge University Press, 2005), p. 97.</w:t>
      </w:r>
    </w:p>
    <w:p w14:paraId="3013682A" w14:textId="77777777" w:rsidR="00974790" w:rsidRDefault="00974790">
      <w:pPr>
        <w:pStyle w:val="FootnoteText"/>
      </w:pPr>
    </w:p>
  </w:footnote>
  <w:footnote w:id="20">
    <w:p w14:paraId="39307EF0" w14:textId="70F72CB6" w:rsidR="0059041D" w:rsidRDefault="0059041D">
      <w:pPr>
        <w:pStyle w:val="FootnoteText"/>
        <w:rPr>
          <w:rFonts w:ascii="Arial" w:hAnsi="Arial" w:cs="Arial"/>
          <w:color w:val="000000"/>
          <w:sz w:val="19"/>
          <w:szCs w:val="19"/>
          <w:shd w:val="clear" w:color="auto" w:fill="FFFFFF"/>
        </w:rPr>
      </w:pPr>
      <w:r>
        <w:rPr>
          <w:rStyle w:val="FootnoteReference"/>
        </w:rPr>
        <w:footnoteRef/>
      </w:r>
      <w:r>
        <w:t xml:space="preserve"> </w:t>
      </w:r>
      <w:r w:rsidR="00974790">
        <w:rPr>
          <w:rFonts w:ascii="Arial" w:hAnsi="Arial" w:cs="Arial"/>
          <w:color w:val="000000"/>
          <w:sz w:val="19"/>
          <w:szCs w:val="19"/>
          <w:shd w:val="clear" w:color="auto" w:fill="FFFFFF"/>
        </w:rPr>
        <w:t>Lynne Olson, Stanley Cloud, </w:t>
      </w:r>
      <w:r w:rsidR="00974790">
        <w:rPr>
          <w:rFonts w:ascii="Arial" w:hAnsi="Arial" w:cs="Arial"/>
          <w:i/>
          <w:iCs/>
          <w:color w:val="000000"/>
          <w:sz w:val="19"/>
          <w:szCs w:val="19"/>
          <w:shd w:val="clear" w:color="auto" w:fill="FFFFFF"/>
        </w:rPr>
        <w:t xml:space="preserve">A Question of </w:t>
      </w:r>
      <w:proofErr w:type="spellStart"/>
      <w:r w:rsidR="00974790">
        <w:rPr>
          <w:rFonts w:ascii="Arial" w:hAnsi="Arial" w:cs="Arial"/>
          <w:i/>
          <w:iCs/>
          <w:color w:val="000000"/>
          <w:sz w:val="19"/>
          <w:szCs w:val="19"/>
          <w:shd w:val="clear" w:color="auto" w:fill="FFFFFF"/>
        </w:rPr>
        <w:t>Honor</w:t>
      </w:r>
      <w:proofErr w:type="spellEnd"/>
      <w:r w:rsidR="00974790">
        <w:rPr>
          <w:rFonts w:ascii="Arial" w:hAnsi="Arial" w:cs="Arial"/>
          <w:i/>
          <w:iCs/>
          <w:color w:val="000000"/>
          <w:sz w:val="19"/>
          <w:szCs w:val="19"/>
          <w:shd w:val="clear" w:color="auto" w:fill="FFFFFF"/>
        </w:rPr>
        <w:t xml:space="preserve"> The </w:t>
      </w:r>
      <w:proofErr w:type="spellStart"/>
      <w:r w:rsidR="00974790">
        <w:rPr>
          <w:rFonts w:ascii="Arial" w:hAnsi="Arial" w:cs="Arial"/>
          <w:i/>
          <w:iCs/>
          <w:color w:val="000000"/>
          <w:sz w:val="19"/>
          <w:szCs w:val="19"/>
          <w:shd w:val="clear" w:color="auto" w:fill="FFFFFF"/>
        </w:rPr>
        <w:t>Kościuszko</w:t>
      </w:r>
      <w:proofErr w:type="spellEnd"/>
      <w:r w:rsidR="00974790">
        <w:rPr>
          <w:rFonts w:ascii="Arial" w:hAnsi="Arial" w:cs="Arial"/>
          <w:i/>
          <w:iCs/>
          <w:color w:val="000000"/>
          <w:sz w:val="19"/>
          <w:szCs w:val="19"/>
          <w:shd w:val="clear" w:color="auto" w:fill="FFFFFF"/>
        </w:rPr>
        <w:t xml:space="preserve"> </w:t>
      </w:r>
      <w:proofErr w:type="gramStart"/>
      <w:r w:rsidR="00974790">
        <w:rPr>
          <w:rFonts w:ascii="Arial" w:hAnsi="Arial" w:cs="Arial"/>
          <w:i/>
          <w:iCs/>
          <w:color w:val="000000"/>
          <w:sz w:val="19"/>
          <w:szCs w:val="19"/>
          <w:shd w:val="clear" w:color="auto" w:fill="FFFFFF"/>
        </w:rPr>
        <w:t>Squadron :</w:t>
      </w:r>
      <w:proofErr w:type="gramEnd"/>
      <w:r w:rsidR="00974790">
        <w:rPr>
          <w:rFonts w:ascii="Arial" w:hAnsi="Arial" w:cs="Arial"/>
          <w:i/>
          <w:iCs/>
          <w:color w:val="000000"/>
          <w:sz w:val="19"/>
          <w:szCs w:val="19"/>
          <w:shd w:val="clear" w:color="auto" w:fill="FFFFFF"/>
        </w:rPr>
        <w:t xml:space="preserve"> the Forgotten Heroes of World War II</w:t>
      </w:r>
      <w:r w:rsidR="00974790">
        <w:rPr>
          <w:rFonts w:ascii="Arial" w:hAnsi="Arial" w:cs="Arial"/>
          <w:color w:val="000000"/>
          <w:sz w:val="19"/>
          <w:szCs w:val="19"/>
          <w:shd w:val="clear" w:color="auto" w:fill="FFFFFF"/>
        </w:rPr>
        <w:t> (New York: Knopf, 2003), p. 50.</w:t>
      </w:r>
    </w:p>
    <w:p w14:paraId="557B2CF7" w14:textId="77777777" w:rsidR="00EE140E" w:rsidRDefault="00EE140E">
      <w:pPr>
        <w:pStyle w:val="FootnoteText"/>
      </w:pPr>
    </w:p>
  </w:footnote>
  <w:footnote w:id="21">
    <w:p w14:paraId="3C7B5C9B" w14:textId="05B17260" w:rsidR="00EE140E" w:rsidRDefault="00EE140E">
      <w:pPr>
        <w:pStyle w:val="FootnoteText"/>
        <w:rPr>
          <w:rFonts w:ascii="Arial" w:hAnsi="Arial" w:cs="Arial"/>
          <w:color w:val="000000"/>
          <w:sz w:val="19"/>
          <w:szCs w:val="19"/>
          <w:shd w:val="clear" w:color="auto" w:fill="FFFFFF"/>
        </w:rPr>
      </w:pPr>
      <w:r>
        <w:rPr>
          <w:rStyle w:val="FootnoteReference"/>
        </w:rPr>
        <w:footnoteRef/>
      </w:r>
      <w:r>
        <w:t xml:space="preserve"> </w:t>
      </w:r>
      <w:proofErr w:type="spellStart"/>
      <w:r>
        <w:rPr>
          <w:rFonts w:ascii="Arial" w:hAnsi="Arial" w:cs="Arial"/>
          <w:color w:val="000000"/>
          <w:sz w:val="19"/>
          <w:szCs w:val="19"/>
          <w:shd w:val="clear" w:color="auto" w:fill="FFFFFF"/>
        </w:rPr>
        <w:t>Frauke</w:t>
      </w:r>
      <w:proofErr w:type="spellEnd"/>
      <w:r>
        <w:rPr>
          <w:rFonts w:ascii="Arial" w:hAnsi="Arial" w:cs="Arial"/>
          <w:color w:val="000000"/>
          <w:sz w:val="19"/>
          <w:szCs w:val="19"/>
          <w:shd w:val="clear" w:color="auto" w:fill="FFFFFF"/>
        </w:rPr>
        <w:t xml:space="preserve"> </w:t>
      </w:r>
      <w:proofErr w:type="spellStart"/>
      <w:r>
        <w:rPr>
          <w:rFonts w:ascii="Arial" w:hAnsi="Arial" w:cs="Arial"/>
          <w:color w:val="000000"/>
          <w:sz w:val="19"/>
          <w:szCs w:val="19"/>
          <w:shd w:val="clear" w:color="auto" w:fill="FFFFFF"/>
        </w:rPr>
        <w:t>Lachenmann</w:t>
      </w:r>
      <w:proofErr w:type="spellEnd"/>
      <w:r>
        <w:rPr>
          <w:rFonts w:ascii="Arial" w:hAnsi="Arial" w:cs="Arial"/>
          <w:color w:val="000000"/>
          <w:sz w:val="19"/>
          <w:szCs w:val="19"/>
          <w:shd w:val="clear" w:color="auto" w:fill="FFFFFF"/>
        </w:rPr>
        <w:t xml:space="preserve">; </w:t>
      </w:r>
      <w:proofErr w:type="spellStart"/>
      <w:r>
        <w:rPr>
          <w:rFonts w:ascii="Arial" w:hAnsi="Arial" w:cs="Arial"/>
          <w:color w:val="000000"/>
          <w:sz w:val="19"/>
          <w:szCs w:val="19"/>
          <w:shd w:val="clear" w:color="auto" w:fill="FFFFFF"/>
        </w:rPr>
        <w:t>Rüdiger</w:t>
      </w:r>
      <w:proofErr w:type="spellEnd"/>
      <w:r>
        <w:rPr>
          <w:rFonts w:ascii="Arial" w:hAnsi="Arial" w:cs="Arial"/>
          <w:color w:val="000000"/>
          <w:sz w:val="19"/>
          <w:szCs w:val="19"/>
          <w:shd w:val="clear" w:color="auto" w:fill="FFFFFF"/>
        </w:rPr>
        <w:t xml:space="preserve"> </w:t>
      </w:r>
      <w:proofErr w:type="spellStart"/>
      <w:r>
        <w:rPr>
          <w:rFonts w:ascii="Arial" w:hAnsi="Arial" w:cs="Arial"/>
          <w:color w:val="000000"/>
          <w:sz w:val="19"/>
          <w:szCs w:val="19"/>
          <w:shd w:val="clear" w:color="auto" w:fill="FFFFFF"/>
        </w:rPr>
        <w:t>Wolfrum</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The Law of Armed Conflict and the Use of Force: The Max Planck </w:t>
      </w:r>
      <w:proofErr w:type="spellStart"/>
      <w:r>
        <w:rPr>
          <w:rFonts w:ascii="Arial" w:hAnsi="Arial" w:cs="Arial"/>
          <w:i/>
          <w:iCs/>
          <w:color w:val="000000"/>
          <w:sz w:val="19"/>
          <w:szCs w:val="19"/>
          <w:shd w:val="clear" w:color="auto" w:fill="FFFFFF"/>
        </w:rPr>
        <w:t>Encyclopedia</w:t>
      </w:r>
      <w:proofErr w:type="spellEnd"/>
      <w:r>
        <w:rPr>
          <w:rFonts w:ascii="Arial" w:hAnsi="Arial" w:cs="Arial"/>
          <w:i/>
          <w:iCs/>
          <w:color w:val="000000"/>
          <w:sz w:val="19"/>
          <w:szCs w:val="19"/>
          <w:shd w:val="clear" w:color="auto" w:fill="FFFFFF"/>
        </w:rPr>
        <w:t xml:space="preserve"> of Public International Law</w:t>
      </w:r>
      <w:r>
        <w:rPr>
          <w:rFonts w:ascii="Arial" w:hAnsi="Arial" w:cs="Arial"/>
          <w:color w:val="000000"/>
          <w:sz w:val="19"/>
          <w:szCs w:val="19"/>
          <w:shd w:val="clear" w:color="auto" w:fill="FFFFFF"/>
        </w:rPr>
        <w:t> (Oxford: Oxford University Press, 2017), p. 176.</w:t>
      </w:r>
    </w:p>
    <w:p w14:paraId="037D750A" w14:textId="77777777" w:rsidR="00631861" w:rsidRDefault="00631861">
      <w:pPr>
        <w:pStyle w:val="FootnoteText"/>
      </w:pPr>
    </w:p>
  </w:footnote>
  <w:footnote w:id="22">
    <w:p w14:paraId="64BF87DA" w14:textId="6CF1071E" w:rsidR="00631861" w:rsidRDefault="00631861">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David M Kennedy, </w:t>
      </w:r>
      <w:r>
        <w:rPr>
          <w:rFonts w:ascii="Arial" w:hAnsi="Arial" w:cs="Arial"/>
          <w:i/>
          <w:iCs/>
          <w:color w:val="000000"/>
          <w:sz w:val="19"/>
          <w:szCs w:val="19"/>
          <w:shd w:val="clear" w:color="auto" w:fill="FFFFFF"/>
        </w:rPr>
        <w:t>Freedom from Fear: The American People in Depression and War, 1929–1945</w:t>
      </w:r>
      <w:r>
        <w:rPr>
          <w:rFonts w:ascii="Arial" w:hAnsi="Arial" w:cs="Arial"/>
          <w:color w:val="000000"/>
          <w:sz w:val="19"/>
          <w:szCs w:val="19"/>
          <w:shd w:val="clear" w:color="auto" w:fill="FFFFFF"/>
        </w:rPr>
        <w:t> (Oxford: Oxford University Press, 2001), p. 433.</w:t>
      </w:r>
    </w:p>
    <w:p w14:paraId="75AB09A6" w14:textId="77777777" w:rsidR="008E3D82" w:rsidRDefault="008E3D82">
      <w:pPr>
        <w:pStyle w:val="FootnoteText"/>
      </w:pPr>
    </w:p>
  </w:footnote>
  <w:footnote w:id="23">
    <w:p w14:paraId="16B3B1EC" w14:textId="5C662F78" w:rsidR="008E3D82" w:rsidRDefault="008E3D82">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Phillip Goodheart, </w:t>
      </w:r>
      <w:r>
        <w:rPr>
          <w:rFonts w:ascii="Arial" w:hAnsi="Arial" w:cs="Arial"/>
          <w:i/>
          <w:iCs/>
          <w:color w:val="000000"/>
          <w:sz w:val="19"/>
          <w:szCs w:val="19"/>
          <w:shd w:val="clear" w:color="auto" w:fill="FFFFFF"/>
        </w:rPr>
        <w:t>50 Ships That Saved the World</w:t>
      </w:r>
      <w:r>
        <w:rPr>
          <w:rFonts w:ascii="Arial" w:hAnsi="Arial" w:cs="Arial"/>
          <w:color w:val="000000"/>
          <w:sz w:val="19"/>
          <w:szCs w:val="19"/>
          <w:shd w:val="clear" w:color="auto" w:fill="FFFFFF"/>
        </w:rPr>
        <w:t> (New York: Doubleday, 1965), p. 175.</w:t>
      </w:r>
    </w:p>
    <w:p w14:paraId="5737EF66" w14:textId="77777777" w:rsidR="0027454B" w:rsidRDefault="0027454B">
      <w:pPr>
        <w:pStyle w:val="FootnoteText"/>
      </w:pPr>
    </w:p>
  </w:footnote>
  <w:footnote w:id="24">
    <w:p w14:paraId="570E9DA5" w14:textId="04115949" w:rsidR="0027454B" w:rsidRDefault="0027454B">
      <w:pPr>
        <w:pStyle w:val="FootnoteText"/>
      </w:pPr>
      <w:r>
        <w:rPr>
          <w:rStyle w:val="FootnoteReference"/>
        </w:rPr>
        <w:footnoteRef/>
      </w:r>
      <w:r>
        <w:t xml:space="preserve"> </w:t>
      </w:r>
      <w:r>
        <w:rPr>
          <w:rFonts w:ascii="Arial" w:hAnsi="Arial" w:cs="Arial"/>
          <w:color w:val="000000"/>
          <w:sz w:val="19"/>
          <w:szCs w:val="19"/>
          <w:shd w:val="clear" w:color="auto" w:fill="FFFFFF"/>
        </w:rPr>
        <w:t>James MacGregor Burns, </w:t>
      </w:r>
      <w:r>
        <w:rPr>
          <w:rFonts w:ascii="Arial" w:hAnsi="Arial" w:cs="Arial"/>
          <w:i/>
          <w:iCs/>
          <w:color w:val="000000"/>
          <w:sz w:val="19"/>
          <w:szCs w:val="19"/>
          <w:shd w:val="clear" w:color="auto" w:fill="FFFFFF"/>
        </w:rPr>
        <w:t>Roosevelt: The Soldier of Freedom</w:t>
      </w:r>
      <w:r>
        <w:rPr>
          <w:rFonts w:ascii="Arial" w:hAnsi="Arial" w:cs="Arial"/>
          <w:color w:val="000000"/>
          <w:sz w:val="19"/>
          <w:szCs w:val="19"/>
          <w:shd w:val="clear" w:color="auto" w:fill="FFFFFF"/>
        </w:rPr>
        <w:t> (US: Harcourt Brace Jovanovich, 1970), p. 141-142.</w:t>
      </w:r>
    </w:p>
  </w:footnote>
  <w:footnote w:id="25">
    <w:p w14:paraId="6E50D172" w14:textId="13B6E5D2" w:rsidR="001F5344" w:rsidRDefault="001F5344">
      <w:pPr>
        <w:pStyle w:val="FootnoteText"/>
      </w:pPr>
      <w:r>
        <w:rPr>
          <w:rStyle w:val="FootnoteReference"/>
        </w:rPr>
        <w:footnoteRef/>
      </w:r>
      <w:r>
        <w:t xml:space="preserve"> </w:t>
      </w:r>
      <w:r>
        <w:rPr>
          <w:rFonts w:ascii="Arial" w:hAnsi="Arial" w:cs="Arial"/>
          <w:color w:val="000000"/>
          <w:sz w:val="19"/>
          <w:szCs w:val="19"/>
          <w:shd w:val="clear" w:color="auto" w:fill="FFFFFF"/>
        </w:rPr>
        <w:t>Hermon G Gill, </w:t>
      </w:r>
      <w:r>
        <w:rPr>
          <w:rFonts w:ascii="Arial" w:hAnsi="Arial" w:cs="Arial"/>
          <w:i/>
          <w:iCs/>
          <w:color w:val="000000"/>
          <w:sz w:val="19"/>
          <w:szCs w:val="19"/>
          <w:shd w:val="clear" w:color="auto" w:fill="FFFFFF"/>
        </w:rPr>
        <w:t>Volume I – Royal Australian Navy, 1939–1942 (1st edition, 1957)</w:t>
      </w:r>
      <w:r>
        <w:rPr>
          <w:rFonts w:ascii="Arial" w:hAnsi="Arial" w:cs="Arial"/>
          <w:color w:val="000000"/>
          <w:sz w:val="19"/>
          <w:szCs w:val="19"/>
          <w:shd w:val="clear" w:color="auto" w:fill="FFFFFF"/>
        </w:rPr>
        <w:t> (</w:t>
      </w:r>
      <w:proofErr w:type="gramStart"/>
      <w:r>
        <w:rPr>
          <w:rFonts w:ascii="Arial" w:hAnsi="Arial" w:cs="Arial"/>
          <w:color w:val="000000"/>
          <w:sz w:val="19"/>
          <w:szCs w:val="19"/>
          <w:shd w:val="clear" w:color="auto" w:fill="FFFFFF"/>
        </w:rPr>
        <w:t>Australia :</w:t>
      </w:r>
      <w:proofErr w:type="gramEnd"/>
      <w:r>
        <w:rPr>
          <w:rFonts w:ascii="Arial" w:hAnsi="Arial" w:cs="Arial"/>
          <w:color w:val="000000"/>
          <w:sz w:val="19"/>
          <w:szCs w:val="19"/>
          <w:shd w:val="clear" w:color="auto" w:fill="FFFFFF"/>
        </w:rPr>
        <w:t xml:space="preserve"> The Griffin Press, Adelaide, 1957), p. 485.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0EC"/>
    <w:rsid w:val="00045F1A"/>
    <w:rsid w:val="000C2CEC"/>
    <w:rsid w:val="000E0BB0"/>
    <w:rsid w:val="000F100B"/>
    <w:rsid w:val="000F4A82"/>
    <w:rsid w:val="001163B4"/>
    <w:rsid w:val="0013202D"/>
    <w:rsid w:val="00141EBE"/>
    <w:rsid w:val="001955FA"/>
    <w:rsid w:val="001A6487"/>
    <w:rsid w:val="001B2B95"/>
    <w:rsid w:val="001B6F81"/>
    <w:rsid w:val="001F26EC"/>
    <w:rsid w:val="001F5344"/>
    <w:rsid w:val="001F6EB6"/>
    <w:rsid w:val="00266B2A"/>
    <w:rsid w:val="0027454B"/>
    <w:rsid w:val="00287C9C"/>
    <w:rsid w:val="002D41B1"/>
    <w:rsid w:val="002F05B9"/>
    <w:rsid w:val="00334618"/>
    <w:rsid w:val="00347761"/>
    <w:rsid w:val="00373317"/>
    <w:rsid w:val="003B5996"/>
    <w:rsid w:val="003C5958"/>
    <w:rsid w:val="004055CE"/>
    <w:rsid w:val="00455809"/>
    <w:rsid w:val="00496E6E"/>
    <w:rsid w:val="004A623A"/>
    <w:rsid w:val="004B2550"/>
    <w:rsid w:val="004E04E2"/>
    <w:rsid w:val="004F048D"/>
    <w:rsid w:val="0053357F"/>
    <w:rsid w:val="0059041D"/>
    <w:rsid w:val="005B5A6E"/>
    <w:rsid w:val="005C17F4"/>
    <w:rsid w:val="005D6573"/>
    <w:rsid w:val="0061192A"/>
    <w:rsid w:val="006260A9"/>
    <w:rsid w:val="00631861"/>
    <w:rsid w:val="00651D1C"/>
    <w:rsid w:val="00685533"/>
    <w:rsid w:val="006D425E"/>
    <w:rsid w:val="0072539E"/>
    <w:rsid w:val="007627CA"/>
    <w:rsid w:val="0077281F"/>
    <w:rsid w:val="00785F47"/>
    <w:rsid w:val="007C1E46"/>
    <w:rsid w:val="0081529A"/>
    <w:rsid w:val="00833C54"/>
    <w:rsid w:val="00856265"/>
    <w:rsid w:val="00874763"/>
    <w:rsid w:val="00884FCB"/>
    <w:rsid w:val="0089557E"/>
    <w:rsid w:val="008A5F7B"/>
    <w:rsid w:val="008B1681"/>
    <w:rsid w:val="008E24F2"/>
    <w:rsid w:val="008E3D82"/>
    <w:rsid w:val="0090653D"/>
    <w:rsid w:val="00915CCF"/>
    <w:rsid w:val="00957419"/>
    <w:rsid w:val="00974790"/>
    <w:rsid w:val="00984A60"/>
    <w:rsid w:val="009940CA"/>
    <w:rsid w:val="009A152A"/>
    <w:rsid w:val="009D5216"/>
    <w:rsid w:val="009D5D38"/>
    <w:rsid w:val="00A05E32"/>
    <w:rsid w:val="00A51D4B"/>
    <w:rsid w:val="00A55957"/>
    <w:rsid w:val="00BC534F"/>
    <w:rsid w:val="00C74FF4"/>
    <w:rsid w:val="00CA0061"/>
    <w:rsid w:val="00CA685D"/>
    <w:rsid w:val="00CC23A9"/>
    <w:rsid w:val="00CC30EB"/>
    <w:rsid w:val="00CE176C"/>
    <w:rsid w:val="00CE293E"/>
    <w:rsid w:val="00CF6D4D"/>
    <w:rsid w:val="00D07BD2"/>
    <w:rsid w:val="00D23C90"/>
    <w:rsid w:val="00D37CC6"/>
    <w:rsid w:val="00D575F3"/>
    <w:rsid w:val="00D66059"/>
    <w:rsid w:val="00DD187D"/>
    <w:rsid w:val="00E042C0"/>
    <w:rsid w:val="00E10D40"/>
    <w:rsid w:val="00EB30BB"/>
    <w:rsid w:val="00ED4C9D"/>
    <w:rsid w:val="00EE140E"/>
    <w:rsid w:val="00EF67DD"/>
    <w:rsid w:val="00F03C2D"/>
    <w:rsid w:val="00F21259"/>
    <w:rsid w:val="00FB00EC"/>
    <w:rsid w:val="00FC4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13D93"/>
  <w15:chartTrackingRefBased/>
  <w15:docId w15:val="{DA28160A-6FE0-4746-A9C9-6DD79EF3C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15C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5CCF"/>
    <w:rPr>
      <w:sz w:val="20"/>
      <w:szCs w:val="20"/>
    </w:rPr>
  </w:style>
  <w:style w:type="character" w:styleId="FootnoteReference">
    <w:name w:val="footnote reference"/>
    <w:basedOn w:val="DefaultParagraphFont"/>
    <w:uiPriority w:val="99"/>
    <w:semiHidden/>
    <w:unhideWhenUsed/>
    <w:rsid w:val="00915CC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99301">
      <w:bodyDiv w:val="1"/>
      <w:marLeft w:val="0"/>
      <w:marRight w:val="0"/>
      <w:marTop w:val="0"/>
      <w:marBottom w:val="0"/>
      <w:divBdr>
        <w:top w:val="none" w:sz="0" w:space="0" w:color="auto"/>
        <w:left w:val="none" w:sz="0" w:space="0" w:color="auto"/>
        <w:bottom w:val="none" w:sz="0" w:space="0" w:color="auto"/>
        <w:right w:val="none" w:sz="0" w:space="0" w:color="auto"/>
      </w:divBdr>
      <w:divsChild>
        <w:div w:id="534774917">
          <w:marLeft w:val="0"/>
          <w:marRight w:val="0"/>
          <w:marTop w:val="0"/>
          <w:marBottom w:val="0"/>
          <w:divBdr>
            <w:top w:val="none" w:sz="0" w:space="0" w:color="auto"/>
            <w:left w:val="none" w:sz="0" w:space="0" w:color="auto"/>
            <w:bottom w:val="none" w:sz="0" w:space="0" w:color="auto"/>
            <w:right w:val="none" w:sz="0" w:space="0" w:color="auto"/>
          </w:divBdr>
        </w:div>
        <w:div w:id="1493794297">
          <w:marLeft w:val="0"/>
          <w:marRight w:val="0"/>
          <w:marTop w:val="0"/>
          <w:marBottom w:val="0"/>
          <w:divBdr>
            <w:top w:val="none" w:sz="0" w:space="0" w:color="auto"/>
            <w:left w:val="none" w:sz="0" w:space="0" w:color="auto"/>
            <w:bottom w:val="none" w:sz="0" w:space="0" w:color="auto"/>
            <w:right w:val="none" w:sz="0" w:space="0" w:color="auto"/>
          </w:divBdr>
        </w:div>
        <w:div w:id="1965621828">
          <w:marLeft w:val="0"/>
          <w:marRight w:val="0"/>
          <w:marTop w:val="0"/>
          <w:marBottom w:val="0"/>
          <w:divBdr>
            <w:top w:val="none" w:sz="0" w:space="0" w:color="auto"/>
            <w:left w:val="none" w:sz="0" w:space="0" w:color="auto"/>
            <w:bottom w:val="none" w:sz="0" w:space="0" w:color="auto"/>
            <w:right w:val="none" w:sz="0" w:space="0" w:color="auto"/>
          </w:divBdr>
        </w:div>
        <w:div w:id="67076005">
          <w:marLeft w:val="0"/>
          <w:marRight w:val="0"/>
          <w:marTop w:val="0"/>
          <w:marBottom w:val="0"/>
          <w:divBdr>
            <w:top w:val="none" w:sz="0" w:space="0" w:color="auto"/>
            <w:left w:val="none" w:sz="0" w:space="0" w:color="auto"/>
            <w:bottom w:val="none" w:sz="0" w:space="0" w:color="auto"/>
            <w:right w:val="none" w:sz="0" w:space="0" w:color="auto"/>
          </w:divBdr>
        </w:div>
        <w:div w:id="366223404">
          <w:marLeft w:val="0"/>
          <w:marRight w:val="0"/>
          <w:marTop w:val="0"/>
          <w:marBottom w:val="0"/>
          <w:divBdr>
            <w:top w:val="none" w:sz="0" w:space="0" w:color="auto"/>
            <w:left w:val="none" w:sz="0" w:space="0" w:color="auto"/>
            <w:bottom w:val="none" w:sz="0" w:space="0" w:color="auto"/>
            <w:right w:val="none" w:sz="0" w:space="0" w:color="auto"/>
          </w:divBdr>
        </w:div>
        <w:div w:id="1121001523">
          <w:marLeft w:val="0"/>
          <w:marRight w:val="0"/>
          <w:marTop w:val="0"/>
          <w:marBottom w:val="0"/>
          <w:divBdr>
            <w:top w:val="none" w:sz="0" w:space="0" w:color="auto"/>
            <w:left w:val="none" w:sz="0" w:space="0" w:color="auto"/>
            <w:bottom w:val="none" w:sz="0" w:space="0" w:color="auto"/>
            <w:right w:val="none" w:sz="0" w:space="0" w:color="auto"/>
          </w:divBdr>
        </w:div>
        <w:div w:id="1761752660">
          <w:marLeft w:val="0"/>
          <w:marRight w:val="0"/>
          <w:marTop w:val="0"/>
          <w:marBottom w:val="0"/>
          <w:divBdr>
            <w:top w:val="none" w:sz="0" w:space="0" w:color="auto"/>
            <w:left w:val="none" w:sz="0" w:space="0" w:color="auto"/>
            <w:bottom w:val="none" w:sz="0" w:space="0" w:color="auto"/>
            <w:right w:val="none" w:sz="0" w:space="0" w:color="auto"/>
          </w:divBdr>
        </w:div>
        <w:div w:id="1216314330">
          <w:marLeft w:val="0"/>
          <w:marRight w:val="0"/>
          <w:marTop w:val="0"/>
          <w:marBottom w:val="0"/>
          <w:divBdr>
            <w:top w:val="none" w:sz="0" w:space="0" w:color="auto"/>
            <w:left w:val="none" w:sz="0" w:space="0" w:color="auto"/>
            <w:bottom w:val="none" w:sz="0" w:space="0" w:color="auto"/>
            <w:right w:val="none" w:sz="0" w:space="0" w:color="auto"/>
          </w:divBdr>
        </w:div>
        <w:div w:id="366561387">
          <w:marLeft w:val="0"/>
          <w:marRight w:val="0"/>
          <w:marTop w:val="0"/>
          <w:marBottom w:val="0"/>
          <w:divBdr>
            <w:top w:val="none" w:sz="0" w:space="0" w:color="auto"/>
            <w:left w:val="none" w:sz="0" w:space="0" w:color="auto"/>
            <w:bottom w:val="none" w:sz="0" w:space="0" w:color="auto"/>
            <w:right w:val="none" w:sz="0" w:space="0" w:color="auto"/>
          </w:divBdr>
        </w:div>
        <w:div w:id="1429808002">
          <w:marLeft w:val="0"/>
          <w:marRight w:val="0"/>
          <w:marTop w:val="0"/>
          <w:marBottom w:val="0"/>
          <w:divBdr>
            <w:top w:val="none" w:sz="0" w:space="0" w:color="auto"/>
            <w:left w:val="none" w:sz="0" w:space="0" w:color="auto"/>
            <w:bottom w:val="none" w:sz="0" w:space="0" w:color="auto"/>
            <w:right w:val="none" w:sz="0" w:space="0" w:color="auto"/>
          </w:divBdr>
        </w:div>
        <w:div w:id="877861811">
          <w:marLeft w:val="0"/>
          <w:marRight w:val="0"/>
          <w:marTop w:val="0"/>
          <w:marBottom w:val="0"/>
          <w:divBdr>
            <w:top w:val="none" w:sz="0" w:space="0" w:color="auto"/>
            <w:left w:val="none" w:sz="0" w:space="0" w:color="auto"/>
            <w:bottom w:val="none" w:sz="0" w:space="0" w:color="auto"/>
            <w:right w:val="none" w:sz="0" w:space="0" w:color="auto"/>
          </w:divBdr>
        </w:div>
        <w:div w:id="795607135">
          <w:marLeft w:val="0"/>
          <w:marRight w:val="0"/>
          <w:marTop w:val="0"/>
          <w:marBottom w:val="0"/>
          <w:divBdr>
            <w:top w:val="none" w:sz="0" w:space="0" w:color="auto"/>
            <w:left w:val="none" w:sz="0" w:space="0" w:color="auto"/>
            <w:bottom w:val="none" w:sz="0" w:space="0" w:color="auto"/>
            <w:right w:val="none" w:sz="0" w:space="0" w:color="auto"/>
          </w:divBdr>
        </w:div>
        <w:div w:id="979268747">
          <w:marLeft w:val="0"/>
          <w:marRight w:val="0"/>
          <w:marTop w:val="0"/>
          <w:marBottom w:val="0"/>
          <w:divBdr>
            <w:top w:val="none" w:sz="0" w:space="0" w:color="auto"/>
            <w:left w:val="none" w:sz="0" w:space="0" w:color="auto"/>
            <w:bottom w:val="none" w:sz="0" w:space="0" w:color="auto"/>
            <w:right w:val="none" w:sz="0" w:space="0" w:color="auto"/>
          </w:divBdr>
        </w:div>
        <w:div w:id="557588635">
          <w:marLeft w:val="0"/>
          <w:marRight w:val="0"/>
          <w:marTop w:val="0"/>
          <w:marBottom w:val="0"/>
          <w:divBdr>
            <w:top w:val="none" w:sz="0" w:space="0" w:color="auto"/>
            <w:left w:val="none" w:sz="0" w:space="0" w:color="auto"/>
            <w:bottom w:val="none" w:sz="0" w:space="0" w:color="auto"/>
            <w:right w:val="none" w:sz="0" w:space="0" w:color="auto"/>
          </w:divBdr>
        </w:div>
        <w:div w:id="1883244238">
          <w:marLeft w:val="0"/>
          <w:marRight w:val="0"/>
          <w:marTop w:val="0"/>
          <w:marBottom w:val="0"/>
          <w:divBdr>
            <w:top w:val="none" w:sz="0" w:space="0" w:color="auto"/>
            <w:left w:val="none" w:sz="0" w:space="0" w:color="auto"/>
            <w:bottom w:val="none" w:sz="0" w:space="0" w:color="auto"/>
            <w:right w:val="none" w:sz="0" w:space="0" w:color="auto"/>
          </w:divBdr>
        </w:div>
        <w:div w:id="474419108">
          <w:marLeft w:val="0"/>
          <w:marRight w:val="0"/>
          <w:marTop w:val="0"/>
          <w:marBottom w:val="0"/>
          <w:divBdr>
            <w:top w:val="none" w:sz="0" w:space="0" w:color="auto"/>
            <w:left w:val="none" w:sz="0" w:space="0" w:color="auto"/>
            <w:bottom w:val="none" w:sz="0" w:space="0" w:color="auto"/>
            <w:right w:val="none" w:sz="0" w:space="0" w:color="auto"/>
          </w:divBdr>
        </w:div>
        <w:div w:id="155877088">
          <w:marLeft w:val="0"/>
          <w:marRight w:val="0"/>
          <w:marTop w:val="0"/>
          <w:marBottom w:val="0"/>
          <w:divBdr>
            <w:top w:val="none" w:sz="0" w:space="0" w:color="auto"/>
            <w:left w:val="none" w:sz="0" w:space="0" w:color="auto"/>
            <w:bottom w:val="none" w:sz="0" w:space="0" w:color="auto"/>
            <w:right w:val="none" w:sz="0" w:space="0" w:color="auto"/>
          </w:divBdr>
        </w:div>
        <w:div w:id="50538188">
          <w:marLeft w:val="0"/>
          <w:marRight w:val="0"/>
          <w:marTop w:val="0"/>
          <w:marBottom w:val="0"/>
          <w:divBdr>
            <w:top w:val="none" w:sz="0" w:space="0" w:color="auto"/>
            <w:left w:val="none" w:sz="0" w:space="0" w:color="auto"/>
            <w:bottom w:val="none" w:sz="0" w:space="0" w:color="auto"/>
            <w:right w:val="none" w:sz="0" w:space="0" w:color="auto"/>
          </w:divBdr>
        </w:div>
        <w:div w:id="55588299">
          <w:marLeft w:val="0"/>
          <w:marRight w:val="0"/>
          <w:marTop w:val="0"/>
          <w:marBottom w:val="0"/>
          <w:divBdr>
            <w:top w:val="none" w:sz="0" w:space="0" w:color="auto"/>
            <w:left w:val="none" w:sz="0" w:space="0" w:color="auto"/>
            <w:bottom w:val="none" w:sz="0" w:space="0" w:color="auto"/>
            <w:right w:val="none" w:sz="0" w:space="0" w:color="auto"/>
          </w:divBdr>
        </w:div>
        <w:div w:id="963194877">
          <w:marLeft w:val="0"/>
          <w:marRight w:val="0"/>
          <w:marTop w:val="0"/>
          <w:marBottom w:val="0"/>
          <w:divBdr>
            <w:top w:val="none" w:sz="0" w:space="0" w:color="auto"/>
            <w:left w:val="none" w:sz="0" w:space="0" w:color="auto"/>
            <w:bottom w:val="none" w:sz="0" w:space="0" w:color="auto"/>
            <w:right w:val="none" w:sz="0" w:space="0" w:color="auto"/>
          </w:divBdr>
        </w:div>
        <w:div w:id="519854040">
          <w:marLeft w:val="0"/>
          <w:marRight w:val="0"/>
          <w:marTop w:val="0"/>
          <w:marBottom w:val="0"/>
          <w:divBdr>
            <w:top w:val="none" w:sz="0" w:space="0" w:color="auto"/>
            <w:left w:val="none" w:sz="0" w:space="0" w:color="auto"/>
            <w:bottom w:val="none" w:sz="0" w:space="0" w:color="auto"/>
            <w:right w:val="none" w:sz="0" w:space="0" w:color="auto"/>
          </w:divBdr>
        </w:div>
        <w:div w:id="686833476">
          <w:marLeft w:val="0"/>
          <w:marRight w:val="0"/>
          <w:marTop w:val="0"/>
          <w:marBottom w:val="0"/>
          <w:divBdr>
            <w:top w:val="none" w:sz="0" w:space="0" w:color="auto"/>
            <w:left w:val="none" w:sz="0" w:space="0" w:color="auto"/>
            <w:bottom w:val="none" w:sz="0" w:space="0" w:color="auto"/>
            <w:right w:val="none" w:sz="0" w:space="0" w:color="auto"/>
          </w:divBdr>
        </w:div>
        <w:div w:id="812987203">
          <w:marLeft w:val="0"/>
          <w:marRight w:val="0"/>
          <w:marTop w:val="0"/>
          <w:marBottom w:val="0"/>
          <w:divBdr>
            <w:top w:val="none" w:sz="0" w:space="0" w:color="auto"/>
            <w:left w:val="none" w:sz="0" w:space="0" w:color="auto"/>
            <w:bottom w:val="none" w:sz="0" w:space="0" w:color="auto"/>
            <w:right w:val="none" w:sz="0" w:space="0" w:color="auto"/>
          </w:divBdr>
        </w:div>
        <w:div w:id="923224114">
          <w:marLeft w:val="0"/>
          <w:marRight w:val="0"/>
          <w:marTop w:val="0"/>
          <w:marBottom w:val="0"/>
          <w:divBdr>
            <w:top w:val="none" w:sz="0" w:space="0" w:color="auto"/>
            <w:left w:val="none" w:sz="0" w:space="0" w:color="auto"/>
            <w:bottom w:val="none" w:sz="0" w:space="0" w:color="auto"/>
            <w:right w:val="none" w:sz="0" w:space="0" w:color="auto"/>
          </w:divBdr>
        </w:div>
        <w:div w:id="1358504149">
          <w:marLeft w:val="0"/>
          <w:marRight w:val="0"/>
          <w:marTop w:val="0"/>
          <w:marBottom w:val="0"/>
          <w:divBdr>
            <w:top w:val="none" w:sz="0" w:space="0" w:color="auto"/>
            <w:left w:val="none" w:sz="0" w:space="0" w:color="auto"/>
            <w:bottom w:val="none" w:sz="0" w:space="0" w:color="auto"/>
            <w:right w:val="none" w:sz="0" w:space="0" w:color="auto"/>
          </w:divBdr>
        </w:div>
        <w:div w:id="254410906">
          <w:marLeft w:val="0"/>
          <w:marRight w:val="0"/>
          <w:marTop w:val="0"/>
          <w:marBottom w:val="0"/>
          <w:divBdr>
            <w:top w:val="none" w:sz="0" w:space="0" w:color="auto"/>
            <w:left w:val="none" w:sz="0" w:space="0" w:color="auto"/>
            <w:bottom w:val="none" w:sz="0" w:space="0" w:color="auto"/>
            <w:right w:val="none" w:sz="0" w:space="0" w:color="auto"/>
          </w:divBdr>
        </w:div>
        <w:div w:id="626358602">
          <w:marLeft w:val="0"/>
          <w:marRight w:val="0"/>
          <w:marTop w:val="0"/>
          <w:marBottom w:val="0"/>
          <w:divBdr>
            <w:top w:val="none" w:sz="0" w:space="0" w:color="auto"/>
            <w:left w:val="none" w:sz="0" w:space="0" w:color="auto"/>
            <w:bottom w:val="none" w:sz="0" w:space="0" w:color="auto"/>
            <w:right w:val="none" w:sz="0" w:space="0" w:color="auto"/>
          </w:divBdr>
        </w:div>
        <w:div w:id="765468533">
          <w:marLeft w:val="0"/>
          <w:marRight w:val="0"/>
          <w:marTop w:val="0"/>
          <w:marBottom w:val="0"/>
          <w:divBdr>
            <w:top w:val="none" w:sz="0" w:space="0" w:color="auto"/>
            <w:left w:val="none" w:sz="0" w:space="0" w:color="auto"/>
            <w:bottom w:val="none" w:sz="0" w:space="0" w:color="auto"/>
            <w:right w:val="none" w:sz="0" w:space="0" w:color="auto"/>
          </w:divBdr>
        </w:div>
        <w:div w:id="1368723933">
          <w:marLeft w:val="0"/>
          <w:marRight w:val="0"/>
          <w:marTop w:val="0"/>
          <w:marBottom w:val="0"/>
          <w:divBdr>
            <w:top w:val="none" w:sz="0" w:space="0" w:color="auto"/>
            <w:left w:val="none" w:sz="0" w:space="0" w:color="auto"/>
            <w:bottom w:val="none" w:sz="0" w:space="0" w:color="auto"/>
            <w:right w:val="none" w:sz="0" w:space="0" w:color="auto"/>
          </w:divBdr>
        </w:div>
        <w:div w:id="1518276693">
          <w:marLeft w:val="0"/>
          <w:marRight w:val="0"/>
          <w:marTop w:val="0"/>
          <w:marBottom w:val="0"/>
          <w:divBdr>
            <w:top w:val="none" w:sz="0" w:space="0" w:color="auto"/>
            <w:left w:val="none" w:sz="0" w:space="0" w:color="auto"/>
            <w:bottom w:val="none" w:sz="0" w:space="0" w:color="auto"/>
            <w:right w:val="none" w:sz="0" w:space="0" w:color="auto"/>
          </w:divBdr>
        </w:div>
        <w:div w:id="553203426">
          <w:marLeft w:val="0"/>
          <w:marRight w:val="0"/>
          <w:marTop w:val="0"/>
          <w:marBottom w:val="0"/>
          <w:divBdr>
            <w:top w:val="none" w:sz="0" w:space="0" w:color="auto"/>
            <w:left w:val="none" w:sz="0" w:space="0" w:color="auto"/>
            <w:bottom w:val="none" w:sz="0" w:space="0" w:color="auto"/>
            <w:right w:val="none" w:sz="0" w:space="0" w:color="auto"/>
          </w:divBdr>
        </w:div>
        <w:div w:id="249435074">
          <w:marLeft w:val="0"/>
          <w:marRight w:val="0"/>
          <w:marTop w:val="0"/>
          <w:marBottom w:val="0"/>
          <w:divBdr>
            <w:top w:val="none" w:sz="0" w:space="0" w:color="auto"/>
            <w:left w:val="none" w:sz="0" w:space="0" w:color="auto"/>
            <w:bottom w:val="none" w:sz="0" w:space="0" w:color="auto"/>
            <w:right w:val="none" w:sz="0" w:space="0" w:color="auto"/>
          </w:divBdr>
        </w:div>
        <w:div w:id="326061989">
          <w:marLeft w:val="0"/>
          <w:marRight w:val="0"/>
          <w:marTop w:val="0"/>
          <w:marBottom w:val="0"/>
          <w:divBdr>
            <w:top w:val="none" w:sz="0" w:space="0" w:color="auto"/>
            <w:left w:val="none" w:sz="0" w:space="0" w:color="auto"/>
            <w:bottom w:val="none" w:sz="0" w:space="0" w:color="auto"/>
            <w:right w:val="none" w:sz="0" w:space="0" w:color="auto"/>
          </w:divBdr>
        </w:div>
        <w:div w:id="500776241">
          <w:marLeft w:val="0"/>
          <w:marRight w:val="0"/>
          <w:marTop w:val="0"/>
          <w:marBottom w:val="0"/>
          <w:divBdr>
            <w:top w:val="none" w:sz="0" w:space="0" w:color="auto"/>
            <w:left w:val="none" w:sz="0" w:space="0" w:color="auto"/>
            <w:bottom w:val="none" w:sz="0" w:space="0" w:color="auto"/>
            <w:right w:val="none" w:sz="0" w:space="0" w:color="auto"/>
          </w:divBdr>
        </w:div>
        <w:div w:id="551188238">
          <w:marLeft w:val="0"/>
          <w:marRight w:val="0"/>
          <w:marTop w:val="0"/>
          <w:marBottom w:val="0"/>
          <w:divBdr>
            <w:top w:val="none" w:sz="0" w:space="0" w:color="auto"/>
            <w:left w:val="none" w:sz="0" w:space="0" w:color="auto"/>
            <w:bottom w:val="none" w:sz="0" w:space="0" w:color="auto"/>
            <w:right w:val="none" w:sz="0" w:space="0" w:color="auto"/>
          </w:divBdr>
        </w:div>
        <w:div w:id="172456724">
          <w:marLeft w:val="0"/>
          <w:marRight w:val="0"/>
          <w:marTop w:val="0"/>
          <w:marBottom w:val="0"/>
          <w:divBdr>
            <w:top w:val="none" w:sz="0" w:space="0" w:color="auto"/>
            <w:left w:val="none" w:sz="0" w:space="0" w:color="auto"/>
            <w:bottom w:val="none" w:sz="0" w:space="0" w:color="auto"/>
            <w:right w:val="none" w:sz="0" w:space="0" w:color="auto"/>
          </w:divBdr>
        </w:div>
        <w:div w:id="1289311632">
          <w:marLeft w:val="0"/>
          <w:marRight w:val="0"/>
          <w:marTop w:val="0"/>
          <w:marBottom w:val="0"/>
          <w:divBdr>
            <w:top w:val="none" w:sz="0" w:space="0" w:color="auto"/>
            <w:left w:val="none" w:sz="0" w:space="0" w:color="auto"/>
            <w:bottom w:val="none" w:sz="0" w:space="0" w:color="auto"/>
            <w:right w:val="none" w:sz="0" w:space="0" w:color="auto"/>
          </w:divBdr>
        </w:div>
        <w:div w:id="135074872">
          <w:marLeft w:val="0"/>
          <w:marRight w:val="0"/>
          <w:marTop w:val="0"/>
          <w:marBottom w:val="0"/>
          <w:divBdr>
            <w:top w:val="none" w:sz="0" w:space="0" w:color="auto"/>
            <w:left w:val="none" w:sz="0" w:space="0" w:color="auto"/>
            <w:bottom w:val="none" w:sz="0" w:space="0" w:color="auto"/>
            <w:right w:val="none" w:sz="0" w:space="0" w:color="auto"/>
          </w:divBdr>
        </w:div>
        <w:div w:id="671297666">
          <w:marLeft w:val="0"/>
          <w:marRight w:val="0"/>
          <w:marTop w:val="0"/>
          <w:marBottom w:val="0"/>
          <w:divBdr>
            <w:top w:val="none" w:sz="0" w:space="0" w:color="auto"/>
            <w:left w:val="none" w:sz="0" w:space="0" w:color="auto"/>
            <w:bottom w:val="none" w:sz="0" w:space="0" w:color="auto"/>
            <w:right w:val="none" w:sz="0" w:space="0" w:color="auto"/>
          </w:divBdr>
        </w:div>
        <w:div w:id="1949501522">
          <w:marLeft w:val="0"/>
          <w:marRight w:val="0"/>
          <w:marTop w:val="0"/>
          <w:marBottom w:val="0"/>
          <w:divBdr>
            <w:top w:val="none" w:sz="0" w:space="0" w:color="auto"/>
            <w:left w:val="none" w:sz="0" w:space="0" w:color="auto"/>
            <w:bottom w:val="none" w:sz="0" w:space="0" w:color="auto"/>
            <w:right w:val="none" w:sz="0" w:space="0" w:color="auto"/>
          </w:divBdr>
        </w:div>
        <w:div w:id="961687078">
          <w:marLeft w:val="0"/>
          <w:marRight w:val="0"/>
          <w:marTop w:val="0"/>
          <w:marBottom w:val="0"/>
          <w:divBdr>
            <w:top w:val="none" w:sz="0" w:space="0" w:color="auto"/>
            <w:left w:val="none" w:sz="0" w:space="0" w:color="auto"/>
            <w:bottom w:val="none" w:sz="0" w:space="0" w:color="auto"/>
            <w:right w:val="none" w:sz="0" w:space="0" w:color="auto"/>
          </w:divBdr>
        </w:div>
        <w:div w:id="2032994030">
          <w:marLeft w:val="0"/>
          <w:marRight w:val="0"/>
          <w:marTop w:val="0"/>
          <w:marBottom w:val="0"/>
          <w:divBdr>
            <w:top w:val="none" w:sz="0" w:space="0" w:color="auto"/>
            <w:left w:val="none" w:sz="0" w:space="0" w:color="auto"/>
            <w:bottom w:val="none" w:sz="0" w:space="0" w:color="auto"/>
            <w:right w:val="none" w:sz="0" w:space="0" w:color="auto"/>
          </w:divBdr>
        </w:div>
        <w:div w:id="13496767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3FDFA-70C7-4005-932E-ED0C1AFF7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6</Pages>
  <Words>2132</Words>
  <Characters>12155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Sloanes</dc:creator>
  <cp:keywords/>
  <dc:description/>
  <cp:lastModifiedBy>Bradley Sloanes</cp:lastModifiedBy>
  <cp:revision>72</cp:revision>
  <dcterms:created xsi:type="dcterms:W3CDTF">2022-06-12T13:17:00Z</dcterms:created>
  <dcterms:modified xsi:type="dcterms:W3CDTF">2022-06-12T21:05:00Z</dcterms:modified>
</cp:coreProperties>
</file>