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B57B3" w14:textId="77777777" w:rsidR="006D121F" w:rsidRDefault="00E51950">
      <w:pPr>
        <w:spacing w:line="360" w:lineRule="auto"/>
        <w:jc w:val="both"/>
      </w:pPr>
      <w:r>
        <w:rPr>
          <w:noProof/>
          <w:lang w:eastAsia="en-US"/>
        </w:rPr>
        <w:drawing>
          <wp:anchor distT="0" distB="0" distL="114300" distR="114300" simplePos="0" relativeHeight="251658240" behindDoc="1" locked="0" layoutInCell="1" allowOverlap="1" wp14:anchorId="5529A160" wp14:editId="3A7F10A5">
            <wp:simplePos x="0" y="0"/>
            <wp:positionH relativeFrom="column">
              <wp:posOffset>1771650</wp:posOffset>
            </wp:positionH>
            <wp:positionV relativeFrom="paragraph">
              <wp:posOffset>66675</wp:posOffset>
            </wp:positionV>
            <wp:extent cx="1809115" cy="599440"/>
            <wp:effectExtent l="0" t="0" r="635" b="0"/>
            <wp:wrapTight wrapText="bothSides">
              <wp:wrapPolygon edited="0">
                <wp:start x="0" y="0"/>
                <wp:lineTo x="0" y="15102"/>
                <wp:lineTo x="1820" y="20593"/>
                <wp:lineTo x="17968" y="20593"/>
                <wp:lineTo x="21380" y="16475"/>
                <wp:lineTo x="21380" y="11669"/>
                <wp:lineTo x="20015" y="10983"/>
                <wp:lineTo x="19788" y="0"/>
                <wp:lineTo x="0" y="0"/>
              </wp:wrapPolygon>
            </wp:wrapTight>
            <wp:docPr id="199810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03072" name="drawin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809115" cy="599440"/>
                    </a:xfrm>
                    <a:prstGeom prst="rect">
                      <a:avLst/>
                    </a:prstGeom>
                  </pic:spPr>
                </pic:pic>
              </a:graphicData>
            </a:graphic>
          </wp:anchor>
        </w:drawing>
      </w:r>
    </w:p>
    <w:p w14:paraId="69A0539A" w14:textId="77777777" w:rsidR="006D121F" w:rsidRDefault="006D121F">
      <w:pPr>
        <w:spacing w:line="360" w:lineRule="auto"/>
        <w:jc w:val="both"/>
      </w:pPr>
    </w:p>
    <w:p w14:paraId="00DFDF33" w14:textId="77777777" w:rsidR="008E42EC" w:rsidRDefault="008E42EC">
      <w:pPr>
        <w:spacing w:line="360" w:lineRule="auto"/>
        <w:jc w:val="both"/>
        <w:rPr>
          <w:b/>
          <w:bCs/>
          <w:i/>
          <w:iCs/>
        </w:rPr>
      </w:pPr>
    </w:p>
    <w:p w14:paraId="4BD0AABB" w14:textId="77777777" w:rsidR="008E42EC" w:rsidRDefault="008E42EC">
      <w:pPr>
        <w:spacing w:line="360" w:lineRule="auto"/>
        <w:jc w:val="both"/>
        <w:rPr>
          <w:b/>
          <w:bCs/>
          <w:i/>
          <w:iCs/>
        </w:rPr>
      </w:pPr>
    </w:p>
    <w:p w14:paraId="35BA2535" w14:textId="77777777" w:rsidR="00502330" w:rsidRPr="00502330" w:rsidRDefault="00502330">
      <w:pPr>
        <w:spacing w:line="360" w:lineRule="auto"/>
        <w:jc w:val="both"/>
        <w:rPr>
          <w:rFonts w:ascii="Arial" w:hAnsi="Arial" w:cs="Arial"/>
          <w:b/>
          <w:bCs/>
          <w:i/>
          <w:iCs/>
          <w:sz w:val="22"/>
          <w:szCs w:val="22"/>
        </w:rPr>
      </w:pPr>
    </w:p>
    <w:p w14:paraId="6959B31B" w14:textId="143EB124" w:rsidR="008E42EC" w:rsidRPr="00502330" w:rsidRDefault="00502330">
      <w:pPr>
        <w:spacing w:line="360" w:lineRule="auto"/>
        <w:jc w:val="both"/>
        <w:rPr>
          <w:rFonts w:ascii="Arial" w:hAnsi="Arial" w:cs="Arial"/>
          <w:sz w:val="22"/>
          <w:szCs w:val="22"/>
        </w:rPr>
      </w:pPr>
      <w:r w:rsidRPr="00502330">
        <w:rPr>
          <w:rFonts w:ascii="Arial" w:hAnsi="Arial" w:cs="Arial"/>
          <w:b/>
          <w:bCs/>
          <w:sz w:val="22"/>
          <w:szCs w:val="22"/>
        </w:rPr>
        <w:t>MODULE</w:t>
      </w:r>
      <w:r w:rsidRPr="00502330">
        <w:rPr>
          <w:rFonts w:ascii="Arial" w:hAnsi="Arial" w:cs="Arial"/>
          <w:sz w:val="22"/>
          <w:szCs w:val="22"/>
        </w:rPr>
        <w:t>: STRATEGIC MANAGEMENT AND SUSTAINABILITY</w:t>
      </w:r>
    </w:p>
    <w:p w14:paraId="4E369FFA" w14:textId="0C880657" w:rsidR="00502330" w:rsidRPr="00502330" w:rsidRDefault="00502330">
      <w:pPr>
        <w:spacing w:line="360" w:lineRule="auto"/>
        <w:jc w:val="both"/>
        <w:rPr>
          <w:rFonts w:ascii="Arial" w:hAnsi="Arial" w:cs="Arial"/>
          <w:sz w:val="22"/>
          <w:szCs w:val="22"/>
        </w:rPr>
      </w:pPr>
      <w:r w:rsidRPr="00502330">
        <w:rPr>
          <w:rFonts w:ascii="Arial" w:hAnsi="Arial" w:cs="Arial"/>
          <w:b/>
          <w:bCs/>
          <w:sz w:val="22"/>
          <w:szCs w:val="22"/>
        </w:rPr>
        <w:t>MODULE CODE</w:t>
      </w:r>
      <w:r w:rsidRPr="00502330">
        <w:rPr>
          <w:rFonts w:ascii="Arial" w:hAnsi="Arial" w:cs="Arial"/>
          <w:sz w:val="22"/>
          <w:szCs w:val="22"/>
        </w:rPr>
        <w:t>: LCBB6015</w:t>
      </w:r>
    </w:p>
    <w:p w14:paraId="6D650815" w14:textId="5F3032FA" w:rsidR="00502330" w:rsidRPr="00502330" w:rsidRDefault="00502330">
      <w:pPr>
        <w:spacing w:line="360" w:lineRule="auto"/>
        <w:jc w:val="both"/>
        <w:rPr>
          <w:rFonts w:ascii="Arial" w:hAnsi="Arial" w:cs="Arial"/>
          <w:sz w:val="22"/>
          <w:szCs w:val="22"/>
        </w:rPr>
      </w:pPr>
      <w:r w:rsidRPr="00502330">
        <w:rPr>
          <w:rFonts w:ascii="Arial" w:hAnsi="Arial" w:cs="Arial"/>
          <w:b/>
          <w:bCs/>
          <w:sz w:val="22"/>
          <w:szCs w:val="22"/>
        </w:rPr>
        <w:t>ASSIGNMENT</w:t>
      </w:r>
      <w:r w:rsidRPr="00502330">
        <w:rPr>
          <w:rFonts w:ascii="Arial" w:hAnsi="Arial" w:cs="Arial"/>
          <w:sz w:val="22"/>
          <w:szCs w:val="22"/>
        </w:rPr>
        <w:t>: COMPONENT 2 -STARTEGIC PLAN- ACADEMIC REPORT</w:t>
      </w:r>
    </w:p>
    <w:p w14:paraId="52681AC0" w14:textId="7AAB6EE9" w:rsidR="00502330" w:rsidRPr="00502330" w:rsidRDefault="00502330">
      <w:pPr>
        <w:spacing w:line="360" w:lineRule="auto"/>
        <w:jc w:val="both"/>
        <w:rPr>
          <w:rFonts w:ascii="Arial" w:hAnsi="Arial" w:cs="Arial"/>
          <w:sz w:val="22"/>
          <w:szCs w:val="22"/>
        </w:rPr>
      </w:pPr>
      <w:r w:rsidRPr="00502330">
        <w:rPr>
          <w:rFonts w:ascii="Arial" w:hAnsi="Arial" w:cs="Arial"/>
          <w:b/>
          <w:bCs/>
          <w:sz w:val="22"/>
          <w:szCs w:val="22"/>
        </w:rPr>
        <w:t>MODULE LEADER</w:t>
      </w:r>
      <w:r w:rsidRPr="00502330">
        <w:rPr>
          <w:rFonts w:ascii="Arial" w:hAnsi="Arial" w:cs="Arial"/>
          <w:sz w:val="22"/>
          <w:szCs w:val="22"/>
        </w:rPr>
        <w:t>: DR SAMPATH RODRIGO</w:t>
      </w:r>
    </w:p>
    <w:p w14:paraId="18BC912C" w14:textId="17CE8BE0" w:rsidR="00502330" w:rsidRPr="00502330" w:rsidRDefault="00502330">
      <w:pPr>
        <w:spacing w:line="360" w:lineRule="auto"/>
        <w:jc w:val="both"/>
        <w:rPr>
          <w:rFonts w:ascii="Arial" w:hAnsi="Arial" w:cs="Arial"/>
          <w:sz w:val="22"/>
          <w:szCs w:val="22"/>
        </w:rPr>
      </w:pPr>
      <w:r w:rsidRPr="00502330">
        <w:rPr>
          <w:rFonts w:ascii="Arial" w:hAnsi="Arial" w:cs="Arial"/>
          <w:b/>
          <w:bCs/>
          <w:sz w:val="22"/>
          <w:szCs w:val="22"/>
        </w:rPr>
        <w:t>STUDENT NAME</w:t>
      </w:r>
      <w:r w:rsidRPr="00502330">
        <w:rPr>
          <w:rFonts w:ascii="Arial" w:hAnsi="Arial" w:cs="Arial"/>
          <w:sz w:val="22"/>
          <w:szCs w:val="22"/>
        </w:rPr>
        <w:t>: CAMELIA CROITORU</w:t>
      </w:r>
    </w:p>
    <w:p w14:paraId="1AD9433D" w14:textId="7F6E0B36" w:rsidR="00502330" w:rsidRPr="00502330" w:rsidRDefault="00502330">
      <w:pPr>
        <w:spacing w:line="360" w:lineRule="auto"/>
        <w:jc w:val="both"/>
        <w:rPr>
          <w:rFonts w:ascii="Arial" w:hAnsi="Arial" w:cs="Arial"/>
          <w:sz w:val="22"/>
          <w:szCs w:val="22"/>
        </w:rPr>
      </w:pPr>
      <w:r w:rsidRPr="00502330">
        <w:rPr>
          <w:rFonts w:ascii="Arial" w:hAnsi="Arial" w:cs="Arial"/>
          <w:b/>
          <w:bCs/>
          <w:sz w:val="22"/>
          <w:szCs w:val="22"/>
        </w:rPr>
        <w:t>STUDENT ID</w:t>
      </w:r>
      <w:r w:rsidRPr="00502330">
        <w:rPr>
          <w:rFonts w:ascii="Arial" w:hAnsi="Arial" w:cs="Arial"/>
          <w:sz w:val="22"/>
          <w:szCs w:val="22"/>
        </w:rPr>
        <w:t>: 2247724</w:t>
      </w:r>
    </w:p>
    <w:p w14:paraId="255A6B7F" w14:textId="77777777" w:rsidR="008E42EC" w:rsidRDefault="008E42EC">
      <w:pPr>
        <w:spacing w:line="360" w:lineRule="auto"/>
        <w:jc w:val="both"/>
        <w:rPr>
          <w:b/>
          <w:bCs/>
          <w:i/>
          <w:iCs/>
        </w:rPr>
      </w:pPr>
    </w:p>
    <w:p w14:paraId="47697886" w14:textId="77777777" w:rsidR="008E42EC" w:rsidRDefault="008E42EC">
      <w:pPr>
        <w:spacing w:line="360" w:lineRule="auto"/>
        <w:jc w:val="both"/>
        <w:rPr>
          <w:b/>
          <w:bCs/>
          <w:i/>
          <w:iCs/>
        </w:rPr>
      </w:pPr>
    </w:p>
    <w:p w14:paraId="0BE35D37" w14:textId="77777777" w:rsidR="008E42EC" w:rsidRDefault="008E42EC">
      <w:pPr>
        <w:spacing w:line="360" w:lineRule="auto"/>
        <w:jc w:val="both"/>
        <w:rPr>
          <w:b/>
          <w:bCs/>
          <w:i/>
          <w:iCs/>
        </w:rPr>
      </w:pPr>
    </w:p>
    <w:p w14:paraId="3192A760" w14:textId="77777777" w:rsidR="008E42EC" w:rsidRDefault="008E42EC">
      <w:pPr>
        <w:spacing w:line="360" w:lineRule="auto"/>
        <w:jc w:val="both"/>
        <w:rPr>
          <w:b/>
          <w:bCs/>
          <w:i/>
          <w:iCs/>
        </w:rPr>
      </w:pPr>
    </w:p>
    <w:p w14:paraId="6CF367CA" w14:textId="77777777" w:rsidR="008E42EC" w:rsidRDefault="008E42EC">
      <w:pPr>
        <w:spacing w:line="360" w:lineRule="auto"/>
        <w:jc w:val="both"/>
        <w:rPr>
          <w:b/>
          <w:bCs/>
          <w:i/>
          <w:iCs/>
        </w:rPr>
      </w:pPr>
    </w:p>
    <w:p w14:paraId="0EE4D360" w14:textId="77777777" w:rsidR="008E42EC" w:rsidRDefault="008E42EC">
      <w:pPr>
        <w:spacing w:line="360" w:lineRule="auto"/>
        <w:jc w:val="both"/>
        <w:rPr>
          <w:b/>
          <w:bCs/>
          <w:i/>
          <w:iCs/>
        </w:rPr>
      </w:pPr>
    </w:p>
    <w:p w14:paraId="18A4E7AB" w14:textId="77777777" w:rsidR="008E42EC" w:rsidRDefault="008E42EC">
      <w:pPr>
        <w:spacing w:line="360" w:lineRule="auto"/>
        <w:jc w:val="both"/>
        <w:rPr>
          <w:b/>
          <w:bCs/>
          <w:i/>
          <w:iCs/>
        </w:rPr>
      </w:pPr>
    </w:p>
    <w:p w14:paraId="0BF9ED1F" w14:textId="77777777" w:rsidR="008E42EC" w:rsidRDefault="008E42EC">
      <w:pPr>
        <w:spacing w:line="360" w:lineRule="auto"/>
        <w:jc w:val="both"/>
        <w:rPr>
          <w:b/>
          <w:bCs/>
          <w:i/>
          <w:iCs/>
        </w:rPr>
      </w:pPr>
    </w:p>
    <w:p w14:paraId="199FCCB5" w14:textId="77777777" w:rsidR="008E42EC" w:rsidRDefault="008E42EC">
      <w:pPr>
        <w:spacing w:line="360" w:lineRule="auto"/>
        <w:jc w:val="both"/>
        <w:rPr>
          <w:b/>
          <w:bCs/>
          <w:i/>
          <w:iCs/>
        </w:rPr>
      </w:pPr>
    </w:p>
    <w:p w14:paraId="52B7B868" w14:textId="77777777" w:rsidR="008E42EC" w:rsidRDefault="008E42EC">
      <w:pPr>
        <w:spacing w:line="360" w:lineRule="auto"/>
        <w:jc w:val="both"/>
        <w:rPr>
          <w:b/>
          <w:bCs/>
          <w:i/>
          <w:iCs/>
        </w:rPr>
      </w:pPr>
    </w:p>
    <w:p w14:paraId="2B2F044E" w14:textId="77777777" w:rsidR="008E42EC" w:rsidRDefault="008E42EC">
      <w:pPr>
        <w:spacing w:line="360" w:lineRule="auto"/>
        <w:jc w:val="both"/>
        <w:rPr>
          <w:b/>
          <w:bCs/>
          <w:i/>
          <w:iCs/>
        </w:rPr>
      </w:pPr>
    </w:p>
    <w:p w14:paraId="69133353" w14:textId="77777777" w:rsidR="008E42EC" w:rsidRDefault="008E42EC">
      <w:pPr>
        <w:spacing w:line="360" w:lineRule="auto"/>
        <w:jc w:val="both"/>
        <w:rPr>
          <w:b/>
          <w:bCs/>
          <w:i/>
          <w:iCs/>
        </w:rPr>
      </w:pPr>
    </w:p>
    <w:p w14:paraId="3BA1357F" w14:textId="77777777" w:rsidR="008E42EC" w:rsidRDefault="008E42EC">
      <w:pPr>
        <w:spacing w:line="360" w:lineRule="auto"/>
        <w:jc w:val="both"/>
        <w:rPr>
          <w:b/>
          <w:bCs/>
          <w:i/>
          <w:iCs/>
        </w:rPr>
      </w:pPr>
    </w:p>
    <w:p w14:paraId="01306509" w14:textId="77777777" w:rsidR="008E42EC" w:rsidRDefault="008E42EC">
      <w:pPr>
        <w:spacing w:line="360" w:lineRule="auto"/>
        <w:jc w:val="both"/>
        <w:rPr>
          <w:b/>
          <w:bCs/>
          <w:i/>
          <w:iCs/>
        </w:rPr>
      </w:pPr>
    </w:p>
    <w:p w14:paraId="149DEE3F" w14:textId="77777777" w:rsidR="008E42EC" w:rsidRDefault="008E42EC">
      <w:pPr>
        <w:spacing w:line="360" w:lineRule="auto"/>
        <w:jc w:val="both"/>
        <w:rPr>
          <w:rStyle w:val="Heading1Char"/>
          <w:rFonts w:ascii="Arial" w:eastAsiaTheme="minorEastAsia" w:hAnsi="Arial" w:cs="Arial"/>
          <w:b/>
          <w:bCs/>
          <w:sz w:val="22"/>
          <w:szCs w:val="22"/>
        </w:rPr>
      </w:pPr>
    </w:p>
    <w:p w14:paraId="16814FF8" w14:textId="77777777" w:rsidR="008E42EC" w:rsidRDefault="008E42EC">
      <w:pPr>
        <w:spacing w:line="360" w:lineRule="auto"/>
        <w:jc w:val="both"/>
        <w:rPr>
          <w:rStyle w:val="Heading1Char"/>
          <w:rFonts w:ascii="Arial" w:eastAsiaTheme="minorEastAsia" w:hAnsi="Arial" w:cs="Arial"/>
          <w:b/>
          <w:bCs/>
          <w:sz w:val="22"/>
          <w:szCs w:val="22"/>
        </w:rPr>
      </w:pPr>
    </w:p>
    <w:p w14:paraId="77695CE3" w14:textId="77777777" w:rsidR="008E42EC" w:rsidRDefault="008E42EC">
      <w:pPr>
        <w:spacing w:line="360" w:lineRule="auto"/>
        <w:jc w:val="both"/>
        <w:rPr>
          <w:rStyle w:val="Heading1Char"/>
          <w:rFonts w:ascii="Arial" w:eastAsiaTheme="minorEastAsia" w:hAnsi="Arial" w:cs="Arial"/>
          <w:b/>
          <w:bCs/>
          <w:sz w:val="22"/>
          <w:szCs w:val="22"/>
        </w:rPr>
      </w:pPr>
    </w:p>
    <w:p w14:paraId="002A60BF" w14:textId="79E593F0" w:rsidR="006D121F" w:rsidRPr="008E42EC" w:rsidRDefault="00E51950">
      <w:pPr>
        <w:spacing w:line="360" w:lineRule="auto"/>
        <w:jc w:val="both"/>
        <w:rPr>
          <w:rFonts w:ascii="Arial" w:hAnsi="Arial" w:cs="Arial"/>
          <w:sz w:val="22"/>
          <w:szCs w:val="22"/>
        </w:rPr>
      </w:pPr>
      <w:bookmarkStart w:id="0" w:name="_Toc225671720"/>
      <w:r w:rsidRPr="008E42EC">
        <w:rPr>
          <w:rStyle w:val="Heading1Char"/>
          <w:rFonts w:ascii="Arial" w:eastAsiaTheme="minorEastAsia" w:hAnsi="Arial" w:cs="Arial"/>
          <w:b/>
          <w:bCs/>
          <w:sz w:val="22"/>
          <w:szCs w:val="22"/>
        </w:rPr>
        <w:t>Executive Summary</w:t>
      </w:r>
      <w:bookmarkEnd w:id="0"/>
      <w:r w:rsidRPr="008E42EC">
        <w:rPr>
          <w:rStyle w:val="Heading1Char"/>
          <w:rFonts w:ascii="Arial" w:eastAsiaTheme="minorEastAsia" w:hAnsi="Arial" w:cs="Arial"/>
          <w:b/>
          <w:bCs/>
          <w:sz w:val="22"/>
          <w:szCs w:val="22"/>
        </w:rPr>
        <w:t xml:space="preserve"> </w:t>
      </w:r>
      <w:r w:rsidRPr="008E42EC">
        <w:rPr>
          <w:rFonts w:ascii="Arial" w:hAnsi="Arial" w:cs="Arial"/>
          <w:sz w:val="22"/>
          <w:szCs w:val="22"/>
        </w:rPr>
        <w:t xml:space="preserve"> </w:t>
      </w:r>
    </w:p>
    <w:p w14:paraId="74CE3AF4" w14:textId="61913923"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report provides a course of action plan of the strategic direction of BMW in a highly dynamic automotive environment with the stresses of electrification, a </w:t>
      </w:r>
      <w:r w:rsidR="008E42EC" w:rsidRPr="008E42EC">
        <w:rPr>
          <w:rFonts w:ascii="Arial" w:hAnsi="Arial" w:cs="Arial"/>
          <w:sz w:val="22"/>
          <w:szCs w:val="22"/>
        </w:rPr>
        <w:t>digitalized</w:t>
      </w:r>
      <w:r w:rsidRPr="008E42EC">
        <w:rPr>
          <w:rFonts w:ascii="Arial" w:hAnsi="Arial" w:cs="Arial"/>
          <w:sz w:val="22"/>
          <w:szCs w:val="22"/>
        </w:rPr>
        <w:t xml:space="preserve"> environment, and sustainability. One can examine that BMW is highly vulnerable to the aggression of agile EVs, regulatory and technological shifts, even with determined brand equities, technical capabilities, and worldwide presence</w:t>
      </w:r>
      <w:r w:rsidR="00182AEA" w:rsidRPr="008E42EC">
        <w:rPr>
          <w:rFonts w:ascii="Arial" w:hAnsi="Arial" w:cs="Arial"/>
          <w:sz w:val="22"/>
          <w:szCs w:val="22"/>
        </w:rPr>
        <w:t xml:space="preserve">. </w:t>
      </w:r>
    </w:p>
    <w:p w14:paraId="26B88BFE" w14:textId="25B93943"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It is a strategic position of one of the most successful companies, BMW, a critical report on the strategy position through external analysis (PESTEL and Porter's five forces) and internal analysis (S.W.O.T, VRIO, and Value Chain). The results indicate that despite the BMW corporation having a bundle of feasible resources and abilities, the corporation will go ahead </w:t>
      </w:r>
      <w:r w:rsidR="008E42EC" w:rsidRPr="008E42EC">
        <w:rPr>
          <w:rFonts w:ascii="Arial" w:hAnsi="Arial" w:cs="Arial"/>
          <w:sz w:val="22"/>
          <w:szCs w:val="22"/>
        </w:rPr>
        <w:t>with</w:t>
      </w:r>
      <w:r w:rsidRPr="008E42EC">
        <w:rPr>
          <w:rFonts w:ascii="Arial" w:hAnsi="Arial" w:cs="Arial"/>
          <w:sz w:val="22"/>
          <w:szCs w:val="22"/>
        </w:rPr>
        <w:t xml:space="preserve"> completely </w:t>
      </w:r>
      <w:r w:rsidR="008E42EC" w:rsidRPr="008E42EC">
        <w:rPr>
          <w:rFonts w:ascii="Arial" w:hAnsi="Arial" w:cs="Arial"/>
          <w:sz w:val="22"/>
          <w:szCs w:val="22"/>
        </w:rPr>
        <w:t>electrifying</w:t>
      </w:r>
      <w:r w:rsidRPr="008E42EC">
        <w:rPr>
          <w:rFonts w:ascii="Arial" w:hAnsi="Arial" w:cs="Arial"/>
          <w:sz w:val="22"/>
          <w:szCs w:val="22"/>
        </w:rPr>
        <w:t xml:space="preserve"> and incorporate software that is better than that of its competitors, like Tesla</w:t>
      </w:r>
      <w:proofErr w:type="gramStart"/>
      <w:r w:rsidRPr="008E42EC">
        <w:rPr>
          <w:rFonts w:ascii="Arial" w:hAnsi="Arial" w:cs="Arial"/>
          <w:sz w:val="22"/>
          <w:szCs w:val="22"/>
        </w:rPr>
        <w:t xml:space="preserve">.  </w:t>
      </w:r>
      <w:proofErr w:type="gramEnd"/>
    </w:p>
    <w:p w14:paraId="10DF5FF9" w14:textId="36706E4A"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This report suggests that it has a long-term agenda where integration of EV platforms would take priority, involving the software ecosystem, battery technology, and AI alliance. It is among the strategies that will render BMW more competitive as it repurposes its resources following the new industry needs. </w:t>
      </w:r>
    </w:p>
    <w:p w14:paraId="64719EFC" w14:textId="1243D651"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These three include digital capabilities, vertical integration of battery supply chains, and customer-focused innovation of service. The report provides a conclusion that the future long-term competitiveness of BMW is the possibility of reshaping and transforming itself into a technology-based mobility company rather than a conventional car maker. </w:t>
      </w:r>
    </w:p>
    <w:p w14:paraId="75ED06FB" w14:textId="77777777" w:rsidR="006D121F" w:rsidRDefault="00E51950">
      <w:pPr>
        <w:spacing w:line="360" w:lineRule="auto"/>
        <w:jc w:val="both"/>
      </w:pPr>
      <w:r>
        <w:t xml:space="preserve"> </w:t>
      </w:r>
    </w:p>
    <w:p w14:paraId="2131B86E" w14:textId="77777777" w:rsidR="006D121F" w:rsidRDefault="00E51950">
      <w:pPr>
        <w:spacing w:line="360" w:lineRule="auto"/>
        <w:jc w:val="both"/>
      </w:pPr>
      <w:r>
        <w:t xml:space="preserve">  </w:t>
      </w:r>
    </w:p>
    <w:p w14:paraId="0B7D2782" w14:textId="77777777" w:rsidR="006D121F" w:rsidRDefault="00E51950">
      <w:pPr>
        <w:spacing w:line="360" w:lineRule="auto"/>
        <w:jc w:val="both"/>
      </w:pPr>
      <w:r>
        <w:t xml:space="preserve"> </w:t>
      </w:r>
    </w:p>
    <w:p w14:paraId="5B616E02" w14:textId="77777777" w:rsidR="006D121F" w:rsidRDefault="006D121F">
      <w:pPr>
        <w:spacing w:line="360" w:lineRule="auto"/>
        <w:jc w:val="both"/>
      </w:pPr>
    </w:p>
    <w:p w14:paraId="43C61D04" w14:textId="4F819533" w:rsidR="006D121F" w:rsidRDefault="006D121F">
      <w:pPr>
        <w:spacing w:line="360" w:lineRule="auto"/>
        <w:jc w:val="both"/>
      </w:pPr>
    </w:p>
    <w:p w14:paraId="2253F793" w14:textId="77777777" w:rsidR="006D121F" w:rsidRPr="00182AEA" w:rsidRDefault="00E51950">
      <w:pPr>
        <w:rPr>
          <w:rFonts w:ascii="Arial" w:hAnsi="Arial" w:cs="Arial"/>
          <w:sz w:val="22"/>
          <w:szCs w:val="22"/>
        </w:rPr>
      </w:pPr>
      <w:r w:rsidRPr="00182AEA">
        <w:rPr>
          <w:rFonts w:ascii="Arial" w:hAnsi="Arial" w:cs="Arial"/>
          <w:sz w:val="22"/>
          <w:szCs w:val="22"/>
        </w:rPr>
        <w:t>Table of Content</w:t>
      </w:r>
    </w:p>
    <w:sdt>
      <w:sdtPr>
        <w:rPr>
          <w:rFonts w:ascii="Arial" w:hAnsi="Arial" w:cs="Arial"/>
          <w:sz w:val="22"/>
          <w:szCs w:val="22"/>
        </w:rPr>
        <w:id w:val="1238002469"/>
        <w:docPartObj>
          <w:docPartGallery w:val="Table of Contents"/>
          <w:docPartUnique/>
        </w:docPartObj>
      </w:sdtPr>
      <w:sdtEndPr>
        <w:rPr>
          <w:rFonts w:asciiTheme="minorHAnsi" w:hAnsiTheme="minorHAnsi" w:cstheme="minorBidi"/>
          <w:sz w:val="24"/>
          <w:szCs w:val="24"/>
        </w:rPr>
      </w:sdtEndPr>
      <w:sdtContent>
        <w:p w14:paraId="4ABB877E" w14:textId="7F9F29C0" w:rsidR="00182AEA" w:rsidRPr="00182AEA" w:rsidRDefault="00E51950">
          <w:pPr>
            <w:pStyle w:val="TOC1"/>
            <w:tabs>
              <w:tab w:val="right" w:leader="dot" w:pos="9350"/>
            </w:tabs>
            <w:rPr>
              <w:rFonts w:ascii="Arial" w:hAnsi="Arial" w:cs="Arial"/>
              <w:noProof/>
              <w:kern w:val="2"/>
              <w:sz w:val="22"/>
              <w:szCs w:val="22"/>
              <w:lang w:val="en-GB" w:eastAsia="en-GB"/>
              <w14:ligatures w14:val="standardContextual"/>
            </w:rPr>
          </w:pPr>
          <w:r w:rsidRPr="00182AEA">
            <w:rPr>
              <w:rFonts w:ascii="Arial" w:hAnsi="Arial" w:cs="Arial"/>
              <w:sz w:val="22"/>
              <w:szCs w:val="22"/>
            </w:rPr>
            <w:fldChar w:fldCharType="begin"/>
          </w:r>
          <w:r w:rsidRPr="00182AEA">
            <w:rPr>
              <w:rFonts w:ascii="Arial" w:hAnsi="Arial" w:cs="Arial"/>
              <w:sz w:val="22"/>
              <w:szCs w:val="22"/>
            </w:rPr>
            <w:instrText>TOC \o \z \u \h</w:instrText>
          </w:r>
          <w:r w:rsidRPr="00182AEA">
            <w:rPr>
              <w:rFonts w:ascii="Arial" w:hAnsi="Arial" w:cs="Arial"/>
              <w:sz w:val="22"/>
              <w:szCs w:val="22"/>
            </w:rPr>
            <w:fldChar w:fldCharType="separate"/>
          </w:r>
          <w:hyperlink w:anchor="_Toc225671720" w:history="1">
            <w:r w:rsidR="00182AEA" w:rsidRPr="00182AEA">
              <w:rPr>
                <w:rStyle w:val="Hyperlink"/>
                <w:rFonts w:ascii="Arial" w:hAnsi="Arial" w:cs="Arial"/>
                <w:noProof/>
                <w:sz w:val="22"/>
                <w:szCs w:val="22"/>
              </w:rPr>
              <w:t>Executive Summary</w:t>
            </w:r>
            <w:r w:rsidR="00182AEA" w:rsidRPr="00182AEA">
              <w:rPr>
                <w:rFonts w:ascii="Arial" w:hAnsi="Arial" w:cs="Arial"/>
                <w:noProof/>
                <w:webHidden/>
                <w:sz w:val="22"/>
                <w:szCs w:val="22"/>
              </w:rPr>
              <w:tab/>
            </w:r>
            <w:r w:rsidR="00182AEA" w:rsidRPr="00182AEA">
              <w:rPr>
                <w:rFonts w:ascii="Arial" w:hAnsi="Arial" w:cs="Arial"/>
                <w:noProof/>
                <w:webHidden/>
                <w:sz w:val="22"/>
                <w:szCs w:val="22"/>
              </w:rPr>
              <w:fldChar w:fldCharType="begin"/>
            </w:r>
            <w:r w:rsidR="00182AEA" w:rsidRPr="00182AEA">
              <w:rPr>
                <w:rFonts w:ascii="Arial" w:hAnsi="Arial" w:cs="Arial"/>
                <w:noProof/>
                <w:webHidden/>
                <w:sz w:val="22"/>
                <w:szCs w:val="22"/>
              </w:rPr>
              <w:instrText xml:space="preserve"> PAGEREF _Toc225671720 \h </w:instrText>
            </w:r>
            <w:r w:rsidR="00182AEA" w:rsidRPr="00182AEA">
              <w:rPr>
                <w:rFonts w:ascii="Arial" w:hAnsi="Arial" w:cs="Arial"/>
                <w:noProof/>
                <w:webHidden/>
                <w:sz w:val="22"/>
                <w:szCs w:val="22"/>
              </w:rPr>
            </w:r>
            <w:r w:rsidR="00182AEA" w:rsidRPr="00182AEA">
              <w:rPr>
                <w:rFonts w:ascii="Arial" w:hAnsi="Arial" w:cs="Arial"/>
                <w:noProof/>
                <w:webHidden/>
                <w:sz w:val="22"/>
                <w:szCs w:val="22"/>
              </w:rPr>
              <w:fldChar w:fldCharType="separate"/>
            </w:r>
            <w:r w:rsidR="00182AEA" w:rsidRPr="00182AEA">
              <w:rPr>
                <w:rFonts w:ascii="Arial" w:hAnsi="Arial" w:cs="Arial"/>
                <w:noProof/>
                <w:webHidden/>
                <w:sz w:val="22"/>
                <w:szCs w:val="22"/>
              </w:rPr>
              <w:t>1</w:t>
            </w:r>
            <w:r w:rsidR="00182AEA" w:rsidRPr="00182AEA">
              <w:rPr>
                <w:rFonts w:ascii="Arial" w:hAnsi="Arial" w:cs="Arial"/>
                <w:noProof/>
                <w:webHidden/>
                <w:sz w:val="22"/>
                <w:szCs w:val="22"/>
              </w:rPr>
              <w:fldChar w:fldCharType="end"/>
            </w:r>
          </w:hyperlink>
        </w:p>
        <w:p w14:paraId="1749C50B" w14:textId="7AEBEC62"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21" w:history="1">
            <w:r w:rsidRPr="00182AEA">
              <w:rPr>
                <w:rStyle w:val="Hyperlink"/>
                <w:rFonts w:ascii="Arial" w:hAnsi="Arial" w:cs="Arial"/>
                <w:noProof/>
                <w:sz w:val="22"/>
                <w:szCs w:val="22"/>
              </w:rPr>
              <w:t>Introduction</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_Toc225671721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3</w:t>
            </w:r>
            <w:r w:rsidRPr="00182AEA">
              <w:rPr>
                <w:rFonts w:ascii="Arial" w:hAnsi="Arial" w:cs="Arial"/>
                <w:noProof/>
                <w:webHidden/>
                <w:sz w:val="22"/>
                <w:szCs w:val="22"/>
              </w:rPr>
              <w:fldChar w:fldCharType="end"/>
            </w:r>
          </w:hyperlink>
        </w:p>
        <w:p w14:paraId="0418E96D" w14:textId="55562807"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22" w:history="1">
            <w:r w:rsidRPr="00182AEA">
              <w:rPr>
                <w:rStyle w:val="Hyperlink"/>
                <w:rFonts w:ascii="Arial" w:hAnsi="Arial" w:cs="Arial"/>
                <w:noProof/>
                <w:sz w:val="22"/>
                <w:szCs w:val="22"/>
              </w:rPr>
              <w:t>Overview / Background of BMW</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_Toc225671722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4</w:t>
            </w:r>
            <w:r w:rsidRPr="00182AEA">
              <w:rPr>
                <w:rFonts w:ascii="Arial" w:hAnsi="Arial" w:cs="Arial"/>
                <w:noProof/>
                <w:webHidden/>
                <w:sz w:val="22"/>
                <w:szCs w:val="22"/>
              </w:rPr>
              <w:fldChar w:fldCharType="end"/>
            </w:r>
          </w:hyperlink>
        </w:p>
        <w:p w14:paraId="4ABFB770" w14:textId="738D965E"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23" w:history="1">
            <w:r w:rsidRPr="00182AEA">
              <w:rPr>
                <w:rStyle w:val="Hyperlink"/>
                <w:rFonts w:ascii="Arial" w:hAnsi="Arial" w:cs="Arial"/>
                <w:noProof/>
                <w:sz w:val="22"/>
                <w:szCs w:val="22"/>
              </w:rPr>
              <w:t>Current Performance</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_Toc225671723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5</w:t>
            </w:r>
            <w:r w:rsidRPr="00182AEA">
              <w:rPr>
                <w:rFonts w:ascii="Arial" w:hAnsi="Arial" w:cs="Arial"/>
                <w:noProof/>
                <w:webHidden/>
                <w:sz w:val="22"/>
                <w:szCs w:val="22"/>
              </w:rPr>
              <w:fldChar w:fldCharType="end"/>
            </w:r>
          </w:hyperlink>
        </w:p>
        <w:p w14:paraId="37ED3069" w14:textId="20BA24F0"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24" w:history="1">
            <w:r w:rsidRPr="00182AEA">
              <w:rPr>
                <w:rStyle w:val="Hyperlink"/>
                <w:rFonts w:ascii="Arial" w:hAnsi="Arial" w:cs="Arial"/>
                <w:noProof/>
                <w:sz w:val="22"/>
                <w:szCs w:val="22"/>
              </w:rPr>
              <w:t>Strategy Analysis</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_Toc225671724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6</w:t>
            </w:r>
            <w:r w:rsidRPr="00182AEA">
              <w:rPr>
                <w:rFonts w:ascii="Arial" w:hAnsi="Arial" w:cs="Arial"/>
                <w:noProof/>
                <w:webHidden/>
                <w:sz w:val="22"/>
                <w:szCs w:val="22"/>
              </w:rPr>
              <w:fldChar w:fldCharType="end"/>
            </w:r>
          </w:hyperlink>
        </w:p>
        <w:p w14:paraId="2166F520" w14:textId="2FBBF214" w:rsidR="00182AEA" w:rsidRPr="00182AEA" w:rsidRDefault="00182AEA">
          <w:pPr>
            <w:pStyle w:val="TOC2"/>
            <w:tabs>
              <w:tab w:val="right" w:leader="dot" w:pos="9350"/>
            </w:tabs>
            <w:rPr>
              <w:rFonts w:ascii="Arial" w:hAnsi="Arial" w:cs="Arial"/>
              <w:noProof/>
              <w:kern w:val="2"/>
              <w:sz w:val="22"/>
              <w:szCs w:val="22"/>
              <w:lang w:val="en-GB" w:eastAsia="en-GB"/>
              <w14:ligatures w14:val="standardContextual"/>
            </w:rPr>
          </w:pPr>
          <w:hyperlink w:anchor="_Toc225671725" w:history="1">
            <w:r w:rsidRPr="00182AEA">
              <w:rPr>
                <w:rStyle w:val="Hyperlink"/>
                <w:rFonts w:ascii="Arial" w:hAnsi="Arial" w:cs="Arial"/>
                <w:noProof/>
                <w:sz w:val="22"/>
                <w:szCs w:val="22"/>
              </w:rPr>
              <w:t>External Environmental Analysis (PESTEL + Porter's Five Forces)</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_Toc225671725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6</w:t>
            </w:r>
            <w:r w:rsidRPr="00182AEA">
              <w:rPr>
                <w:rFonts w:ascii="Arial" w:hAnsi="Arial" w:cs="Arial"/>
                <w:noProof/>
                <w:webHidden/>
                <w:sz w:val="22"/>
                <w:szCs w:val="22"/>
              </w:rPr>
              <w:fldChar w:fldCharType="end"/>
            </w:r>
          </w:hyperlink>
        </w:p>
        <w:p w14:paraId="05D6A352" w14:textId="118933E9" w:rsidR="00182AEA" w:rsidRPr="00182AEA" w:rsidRDefault="00182AEA">
          <w:pPr>
            <w:pStyle w:val="TOC2"/>
            <w:tabs>
              <w:tab w:val="right" w:leader="dot" w:pos="9350"/>
            </w:tabs>
            <w:rPr>
              <w:rFonts w:ascii="Arial" w:hAnsi="Arial" w:cs="Arial"/>
              <w:noProof/>
              <w:kern w:val="2"/>
              <w:sz w:val="22"/>
              <w:szCs w:val="22"/>
              <w:lang w:val="en-GB" w:eastAsia="en-GB"/>
              <w14:ligatures w14:val="standardContextual"/>
            </w:rPr>
          </w:pPr>
          <w:hyperlink w:anchor="_Toc225671726" w:history="1">
            <w:r w:rsidRPr="00182AEA">
              <w:rPr>
                <w:rStyle w:val="Hyperlink"/>
                <w:rFonts w:ascii="Arial" w:hAnsi="Arial" w:cs="Arial"/>
                <w:noProof/>
                <w:sz w:val="22"/>
                <w:szCs w:val="22"/>
              </w:rPr>
              <w:t>Internal Environmental Analysis (SWOT + VRIO + Value Chain)</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_Toc225671726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8</w:t>
            </w:r>
            <w:r w:rsidRPr="00182AEA">
              <w:rPr>
                <w:rFonts w:ascii="Arial" w:hAnsi="Arial" w:cs="Arial"/>
                <w:noProof/>
                <w:webHidden/>
                <w:sz w:val="22"/>
                <w:szCs w:val="22"/>
              </w:rPr>
              <w:fldChar w:fldCharType="end"/>
            </w:r>
          </w:hyperlink>
        </w:p>
        <w:p w14:paraId="16443A56" w14:textId="29B901DB"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27" w:history="1">
            <w:r w:rsidRPr="00182AEA">
              <w:rPr>
                <w:rStyle w:val="Hyperlink"/>
                <w:rFonts w:ascii="Arial" w:hAnsi="Arial" w:cs="Arial"/>
                <w:noProof/>
                <w:sz w:val="22"/>
                <w:szCs w:val="22"/>
              </w:rPr>
              <w:t>Strategy Formulation</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_Toc225671727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8</w:t>
            </w:r>
            <w:r w:rsidRPr="00182AEA">
              <w:rPr>
                <w:rFonts w:ascii="Arial" w:hAnsi="Arial" w:cs="Arial"/>
                <w:noProof/>
                <w:webHidden/>
                <w:sz w:val="22"/>
                <w:szCs w:val="22"/>
              </w:rPr>
              <w:fldChar w:fldCharType="end"/>
            </w:r>
          </w:hyperlink>
        </w:p>
        <w:p w14:paraId="527EBBE6" w14:textId="58BAE6BC" w:rsidR="00182AEA" w:rsidRPr="00182AEA" w:rsidRDefault="00182AEA">
          <w:pPr>
            <w:pStyle w:val="TOC2"/>
            <w:tabs>
              <w:tab w:val="right" w:leader="dot" w:pos="9350"/>
            </w:tabs>
            <w:rPr>
              <w:rFonts w:ascii="Arial" w:hAnsi="Arial" w:cs="Arial"/>
              <w:noProof/>
              <w:kern w:val="2"/>
              <w:sz w:val="22"/>
              <w:szCs w:val="22"/>
              <w:lang w:val="en-GB" w:eastAsia="en-GB"/>
              <w14:ligatures w14:val="standardContextual"/>
            </w:rPr>
          </w:pPr>
          <w:hyperlink w:anchor="_Toc225671728" w:history="1">
            <w:r w:rsidRPr="00182AEA">
              <w:rPr>
                <w:rStyle w:val="Hyperlink"/>
                <w:rFonts w:ascii="Arial" w:hAnsi="Arial" w:cs="Arial"/>
                <w:noProof/>
                <w:sz w:val="22"/>
                <w:szCs w:val="22"/>
              </w:rPr>
              <w:t>Developed strategy: Integrated EV and Digital Ecosystem Strategy</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_Toc225671728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9</w:t>
            </w:r>
            <w:r w:rsidRPr="00182AEA">
              <w:rPr>
                <w:rFonts w:ascii="Arial" w:hAnsi="Arial" w:cs="Arial"/>
                <w:noProof/>
                <w:webHidden/>
                <w:sz w:val="22"/>
                <w:szCs w:val="22"/>
              </w:rPr>
              <w:fldChar w:fldCharType="end"/>
            </w:r>
          </w:hyperlink>
        </w:p>
        <w:p w14:paraId="62FB4B68" w14:textId="523E5F4E" w:rsidR="00182AEA" w:rsidRPr="00182AEA" w:rsidRDefault="00182AEA">
          <w:pPr>
            <w:pStyle w:val="TOC2"/>
            <w:tabs>
              <w:tab w:val="right" w:leader="dot" w:pos="9350"/>
            </w:tabs>
            <w:rPr>
              <w:rFonts w:ascii="Arial" w:hAnsi="Arial" w:cs="Arial"/>
              <w:noProof/>
              <w:kern w:val="2"/>
              <w:sz w:val="22"/>
              <w:szCs w:val="22"/>
              <w:lang w:val="en-GB" w:eastAsia="en-GB"/>
              <w14:ligatures w14:val="standardContextual"/>
            </w:rPr>
          </w:pPr>
          <w:hyperlink w:anchor="_Toc225671729" w:history="1">
            <w:r w:rsidRPr="00182AEA">
              <w:rPr>
                <w:rStyle w:val="Hyperlink"/>
                <w:rFonts w:ascii="Arial" w:hAnsi="Arial" w:cs="Arial"/>
                <w:noProof/>
                <w:sz w:val="22"/>
                <w:szCs w:val="22"/>
              </w:rPr>
              <w:t>Strategic Justification</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_Toc225671729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10</w:t>
            </w:r>
            <w:r w:rsidRPr="00182AEA">
              <w:rPr>
                <w:rFonts w:ascii="Arial" w:hAnsi="Arial" w:cs="Arial"/>
                <w:noProof/>
                <w:webHidden/>
                <w:sz w:val="22"/>
                <w:szCs w:val="22"/>
              </w:rPr>
              <w:fldChar w:fldCharType="end"/>
            </w:r>
          </w:hyperlink>
        </w:p>
        <w:p w14:paraId="5D88C15A" w14:textId="1A558956"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30" w:history="1">
            <w:r w:rsidRPr="00182AEA">
              <w:rPr>
                <w:rStyle w:val="Hyperlink"/>
                <w:rFonts w:ascii="Arial" w:hAnsi="Arial" w:cs="Arial"/>
                <w:noProof/>
                <w:sz w:val="22"/>
                <w:szCs w:val="22"/>
              </w:rPr>
              <w:t>Conclusion and Recommendations</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_Toc225671730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10</w:t>
            </w:r>
            <w:r w:rsidRPr="00182AEA">
              <w:rPr>
                <w:rFonts w:ascii="Arial" w:hAnsi="Arial" w:cs="Arial"/>
                <w:noProof/>
                <w:webHidden/>
                <w:sz w:val="22"/>
                <w:szCs w:val="22"/>
              </w:rPr>
              <w:fldChar w:fldCharType="end"/>
            </w:r>
          </w:hyperlink>
        </w:p>
        <w:p w14:paraId="626E7B1A" w14:textId="4DDF6728" w:rsidR="00182AEA" w:rsidRPr="00182AEA" w:rsidRDefault="00182AEA">
          <w:pPr>
            <w:pStyle w:val="TOC1"/>
            <w:tabs>
              <w:tab w:val="right" w:leader="dot" w:pos="9350"/>
            </w:tabs>
            <w:rPr>
              <w:rFonts w:ascii="Arial" w:hAnsi="Arial" w:cs="Arial"/>
              <w:noProof/>
              <w:kern w:val="2"/>
              <w:sz w:val="22"/>
              <w:szCs w:val="22"/>
              <w:lang w:val="en-GB" w:eastAsia="en-GB"/>
              <w14:ligatures w14:val="standardContextual"/>
            </w:rPr>
          </w:pPr>
          <w:hyperlink w:anchor="_Toc225671731" w:history="1">
            <w:r w:rsidRPr="00182AEA">
              <w:rPr>
                <w:rStyle w:val="Hyperlink"/>
                <w:rFonts w:ascii="Arial" w:hAnsi="Arial" w:cs="Arial"/>
                <w:noProof/>
                <w:sz w:val="22"/>
                <w:szCs w:val="22"/>
              </w:rPr>
              <w:t>References</w:t>
            </w:r>
            <w:r w:rsidRPr="00182AEA">
              <w:rPr>
                <w:rFonts w:ascii="Arial" w:hAnsi="Arial" w:cs="Arial"/>
                <w:noProof/>
                <w:webHidden/>
                <w:sz w:val="22"/>
                <w:szCs w:val="22"/>
              </w:rPr>
              <w:tab/>
            </w:r>
            <w:r w:rsidRPr="00182AEA">
              <w:rPr>
                <w:rFonts w:ascii="Arial" w:hAnsi="Arial" w:cs="Arial"/>
                <w:noProof/>
                <w:webHidden/>
                <w:sz w:val="22"/>
                <w:szCs w:val="22"/>
              </w:rPr>
              <w:fldChar w:fldCharType="begin"/>
            </w:r>
            <w:r w:rsidRPr="00182AEA">
              <w:rPr>
                <w:rFonts w:ascii="Arial" w:hAnsi="Arial" w:cs="Arial"/>
                <w:noProof/>
                <w:webHidden/>
                <w:sz w:val="22"/>
                <w:szCs w:val="22"/>
              </w:rPr>
              <w:instrText xml:space="preserve"> PAGEREF _Toc225671731 \h </w:instrText>
            </w:r>
            <w:r w:rsidRPr="00182AEA">
              <w:rPr>
                <w:rFonts w:ascii="Arial" w:hAnsi="Arial" w:cs="Arial"/>
                <w:noProof/>
                <w:webHidden/>
                <w:sz w:val="22"/>
                <w:szCs w:val="22"/>
              </w:rPr>
            </w:r>
            <w:r w:rsidRPr="00182AEA">
              <w:rPr>
                <w:rFonts w:ascii="Arial" w:hAnsi="Arial" w:cs="Arial"/>
                <w:noProof/>
                <w:webHidden/>
                <w:sz w:val="22"/>
                <w:szCs w:val="22"/>
              </w:rPr>
              <w:fldChar w:fldCharType="separate"/>
            </w:r>
            <w:r w:rsidRPr="00182AEA">
              <w:rPr>
                <w:rFonts w:ascii="Arial" w:hAnsi="Arial" w:cs="Arial"/>
                <w:noProof/>
                <w:webHidden/>
                <w:sz w:val="22"/>
                <w:szCs w:val="22"/>
              </w:rPr>
              <w:t>11</w:t>
            </w:r>
            <w:r w:rsidRPr="00182AEA">
              <w:rPr>
                <w:rFonts w:ascii="Arial" w:hAnsi="Arial" w:cs="Arial"/>
                <w:noProof/>
                <w:webHidden/>
                <w:sz w:val="22"/>
                <w:szCs w:val="22"/>
              </w:rPr>
              <w:fldChar w:fldCharType="end"/>
            </w:r>
          </w:hyperlink>
        </w:p>
        <w:p w14:paraId="0A41ADEB" w14:textId="43757361" w:rsidR="006D121F" w:rsidRDefault="00E51950">
          <w:pPr>
            <w:pStyle w:val="TOC1"/>
            <w:tabs>
              <w:tab w:val="right" w:leader="dot" w:pos="9360"/>
            </w:tabs>
            <w:spacing w:line="360" w:lineRule="auto"/>
            <w:rPr>
              <w:rStyle w:val="Hyperlink"/>
            </w:rPr>
          </w:pPr>
          <w:r w:rsidRPr="00182AEA">
            <w:rPr>
              <w:rFonts w:ascii="Arial" w:hAnsi="Arial" w:cs="Arial"/>
              <w:sz w:val="22"/>
              <w:szCs w:val="22"/>
            </w:rPr>
            <w:fldChar w:fldCharType="end"/>
          </w:r>
        </w:p>
      </w:sdtContent>
    </w:sdt>
    <w:p w14:paraId="14B9C5DF" w14:textId="77777777" w:rsidR="006D121F" w:rsidRDefault="006D121F">
      <w:pPr>
        <w:rPr>
          <w:b/>
          <w:bCs/>
        </w:rPr>
      </w:pPr>
    </w:p>
    <w:p w14:paraId="35E8CA03" w14:textId="77777777" w:rsidR="006D121F" w:rsidRDefault="006D121F">
      <w:pPr>
        <w:pStyle w:val="Heading1"/>
        <w:keepNext w:val="0"/>
        <w:keepLines w:val="0"/>
        <w:spacing w:line="360" w:lineRule="auto"/>
        <w:jc w:val="both"/>
        <w:rPr>
          <w:rFonts w:asciiTheme="minorHAnsi" w:eastAsiaTheme="minorEastAsia" w:hAnsiTheme="minorHAnsi" w:cstheme="minorBidi"/>
          <w:b/>
          <w:bCs/>
          <w:sz w:val="24"/>
          <w:szCs w:val="24"/>
        </w:rPr>
      </w:pPr>
    </w:p>
    <w:p w14:paraId="3E9AB24D" w14:textId="77777777" w:rsidR="006D121F" w:rsidRDefault="00E51950">
      <w:pPr>
        <w:spacing w:line="360" w:lineRule="auto"/>
      </w:pPr>
      <w:r>
        <w:br w:type="page"/>
      </w:r>
    </w:p>
    <w:p w14:paraId="4FB70C50" w14:textId="77777777" w:rsidR="006D121F" w:rsidRPr="008E42EC" w:rsidRDefault="00E51950">
      <w:pPr>
        <w:pStyle w:val="Heading1"/>
        <w:keepNext w:val="0"/>
        <w:keepLines w:val="0"/>
        <w:spacing w:line="360" w:lineRule="auto"/>
        <w:jc w:val="both"/>
        <w:rPr>
          <w:rFonts w:ascii="Arial" w:eastAsiaTheme="minorEastAsia" w:hAnsi="Arial" w:cs="Arial"/>
          <w:b/>
          <w:bCs/>
          <w:sz w:val="22"/>
          <w:szCs w:val="22"/>
        </w:rPr>
      </w:pPr>
      <w:bookmarkStart w:id="1" w:name="_Toc225671721"/>
      <w:r w:rsidRPr="008E42EC">
        <w:rPr>
          <w:rFonts w:ascii="Arial" w:eastAsiaTheme="minorEastAsia" w:hAnsi="Arial" w:cs="Arial"/>
          <w:b/>
          <w:bCs/>
          <w:sz w:val="22"/>
          <w:szCs w:val="22"/>
        </w:rPr>
        <w:lastRenderedPageBreak/>
        <w:t>Introduction</w:t>
      </w:r>
      <w:bookmarkEnd w:id="1"/>
      <w:r w:rsidRPr="008E42EC">
        <w:rPr>
          <w:rFonts w:ascii="Arial" w:eastAsiaTheme="minorEastAsia" w:hAnsi="Arial" w:cs="Arial"/>
          <w:b/>
          <w:bCs/>
          <w:sz w:val="22"/>
          <w:szCs w:val="22"/>
        </w:rPr>
        <w:t xml:space="preserve">   </w:t>
      </w:r>
    </w:p>
    <w:p w14:paraId="3C6038D2" w14:textId="57D4DAEF"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Strategic management has also been defined as the planning and execution of long-term objectives and initiatives that will help </w:t>
      </w:r>
      <w:r w:rsidR="008E42EC" w:rsidRPr="008E42EC">
        <w:rPr>
          <w:rFonts w:ascii="Arial" w:hAnsi="Arial" w:cs="Arial"/>
          <w:sz w:val="22"/>
          <w:szCs w:val="22"/>
        </w:rPr>
        <w:t>organizations</w:t>
      </w:r>
      <w:r w:rsidRPr="008E42EC">
        <w:rPr>
          <w:rFonts w:ascii="Arial" w:hAnsi="Arial" w:cs="Arial"/>
          <w:sz w:val="22"/>
          <w:szCs w:val="22"/>
        </w:rPr>
        <w:t xml:space="preserve"> gain long-term competitive advantage in challenging environments. The latter has been caused by the shift in technology and both growth and contraction of demands of the consumers and the inflexibility of the pre-established laws and regulations governing the environment, which puts </w:t>
      </w:r>
      <w:r w:rsidR="008E42EC" w:rsidRPr="008E42EC">
        <w:rPr>
          <w:rFonts w:ascii="Arial" w:hAnsi="Arial" w:cs="Arial"/>
          <w:sz w:val="22"/>
          <w:szCs w:val="22"/>
        </w:rPr>
        <w:t>strategic</w:t>
      </w:r>
      <w:r w:rsidRPr="008E42EC">
        <w:rPr>
          <w:rFonts w:ascii="Arial" w:hAnsi="Arial" w:cs="Arial"/>
          <w:sz w:val="22"/>
          <w:szCs w:val="22"/>
        </w:rPr>
        <w:t xml:space="preserve"> management in the automotive industry into even greater perspective (Anderson, 2022). </w:t>
      </w:r>
    </w:p>
    <w:p w14:paraId="5270AF5F" w14:textId="0458A594" w:rsidR="006D121F" w:rsidRPr="008E42EC" w:rsidRDefault="00182AEA">
      <w:pPr>
        <w:spacing w:line="360" w:lineRule="auto"/>
        <w:jc w:val="both"/>
        <w:rPr>
          <w:rFonts w:ascii="Arial" w:hAnsi="Arial" w:cs="Arial"/>
          <w:sz w:val="22"/>
          <w:szCs w:val="22"/>
        </w:rPr>
      </w:pPr>
      <w:r w:rsidRPr="008E42EC">
        <w:rPr>
          <w:rFonts w:ascii="Arial" w:hAnsi="Arial" w:cs="Arial"/>
          <w:sz w:val="22"/>
          <w:szCs w:val="22"/>
        </w:rPr>
        <w:t>Strategic</w:t>
      </w:r>
      <w:r w:rsidR="00E51950" w:rsidRPr="008E42EC">
        <w:rPr>
          <w:rFonts w:ascii="Arial" w:hAnsi="Arial" w:cs="Arial"/>
          <w:sz w:val="22"/>
          <w:szCs w:val="22"/>
        </w:rPr>
        <w:t xml:space="preserve"> management contributes to the planning of the firms to tune interior facilities to the exterior </w:t>
      </w:r>
      <w:r w:rsidRPr="008E42EC">
        <w:rPr>
          <w:rFonts w:ascii="Arial" w:hAnsi="Arial" w:cs="Arial"/>
          <w:sz w:val="22"/>
          <w:szCs w:val="22"/>
        </w:rPr>
        <w:t>environmental</w:t>
      </w:r>
      <w:r w:rsidR="00E51950" w:rsidRPr="008E42EC">
        <w:rPr>
          <w:rFonts w:ascii="Arial" w:hAnsi="Arial" w:cs="Arial"/>
          <w:sz w:val="22"/>
          <w:szCs w:val="22"/>
        </w:rPr>
        <w:t xml:space="preserve"> scenario in such a manner that the firms would react to exterior unexplainable factors and competition in the most productive </w:t>
      </w:r>
      <w:r w:rsidRPr="008E42EC">
        <w:rPr>
          <w:rFonts w:ascii="Arial" w:hAnsi="Arial" w:cs="Arial"/>
          <w:sz w:val="22"/>
          <w:szCs w:val="22"/>
        </w:rPr>
        <w:t>manner</w:t>
      </w:r>
      <w:r w:rsidR="00E51950" w:rsidRPr="008E42EC">
        <w:rPr>
          <w:rFonts w:ascii="Arial" w:hAnsi="Arial" w:cs="Arial"/>
          <w:sz w:val="22"/>
          <w:szCs w:val="22"/>
        </w:rPr>
        <w:t xml:space="preserve">. The structure also needs sustainability to enable </w:t>
      </w:r>
      <w:r w:rsidR="008E42EC" w:rsidRPr="008E42EC">
        <w:rPr>
          <w:rFonts w:ascii="Arial" w:hAnsi="Arial" w:cs="Arial"/>
          <w:sz w:val="22"/>
          <w:szCs w:val="22"/>
        </w:rPr>
        <w:t>organizations</w:t>
      </w:r>
      <w:r w:rsidR="00E51950" w:rsidRPr="008E42EC">
        <w:rPr>
          <w:rFonts w:ascii="Arial" w:hAnsi="Arial" w:cs="Arial"/>
          <w:sz w:val="22"/>
          <w:szCs w:val="22"/>
        </w:rPr>
        <w:t xml:space="preserve"> to be viable in the long term through </w:t>
      </w:r>
      <w:r w:rsidR="008E42EC" w:rsidRPr="008E42EC">
        <w:rPr>
          <w:rFonts w:ascii="Arial" w:hAnsi="Arial" w:cs="Arial"/>
          <w:sz w:val="22"/>
          <w:szCs w:val="22"/>
        </w:rPr>
        <w:t>effective</w:t>
      </w:r>
      <w:r w:rsidR="00E51950" w:rsidRPr="008E42EC">
        <w:rPr>
          <w:rFonts w:ascii="Arial" w:hAnsi="Arial" w:cs="Arial"/>
          <w:sz w:val="22"/>
          <w:szCs w:val="22"/>
        </w:rPr>
        <w:t xml:space="preserve"> reactions to the environment and social implications within the </w:t>
      </w:r>
      <w:r w:rsidR="008E42EC" w:rsidRPr="008E42EC">
        <w:rPr>
          <w:rFonts w:ascii="Arial" w:hAnsi="Arial" w:cs="Arial"/>
          <w:sz w:val="22"/>
          <w:szCs w:val="22"/>
        </w:rPr>
        <w:t>organizational</w:t>
      </w:r>
      <w:r w:rsidR="00E51950" w:rsidRPr="008E42EC">
        <w:rPr>
          <w:rFonts w:ascii="Arial" w:hAnsi="Arial" w:cs="Arial"/>
          <w:sz w:val="22"/>
          <w:szCs w:val="22"/>
        </w:rPr>
        <w:t xml:space="preserve"> plans. </w:t>
      </w:r>
    </w:p>
    <w:p w14:paraId="4804BC9B" w14:textId="7D5A1806"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report is aimed at critically </w:t>
      </w:r>
      <w:r w:rsidR="008E42EC" w:rsidRPr="008E42EC">
        <w:rPr>
          <w:rFonts w:ascii="Arial" w:hAnsi="Arial" w:cs="Arial"/>
          <w:sz w:val="22"/>
          <w:szCs w:val="22"/>
        </w:rPr>
        <w:t>analyzing</w:t>
      </w:r>
      <w:r w:rsidRPr="008E42EC">
        <w:rPr>
          <w:rFonts w:ascii="Arial" w:hAnsi="Arial" w:cs="Arial"/>
          <w:sz w:val="22"/>
          <w:szCs w:val="22"/>
        </w:rPr>
        <w:t xml:space="preserve"> the strategic position of BMW and </w:t>
      </w:r>
      <w:r w:rsidR="008E42EC" w:rsidRPr="008E42EC">
        <w:rPr>
          <w:rFonts w:ascii="Arial" w:hAnsi="Arial" w:cs="Arial"/>
          <w:sz w:val="22"/>
          <w:szCs w:val="22"/>
        </w:rPr>
        <w:t>develop</w:t>
      </w:r>
      <w:r w:rsidRPr="008E42EC">
        <w:rPr>
          <w:rFonts w:ascii="Arial" w:hAnsi="Arial" w:cs="Arial"/>
          <w:sz w:val="22"/>
          <w:szCs w:val="22"/>
        </w:rPr>
        <w:t xml:space="preserve"> a progressive strategy that will ensure the company becomes more competitive. The report will be subdivided into </w:t>
      </w:r>
      <w:proofErr w:type="gramStart"/>
      <w:r w:rsidR="008E42EC" w:rsidRPr="008E42EC">
        <w:rPr>
          <w:rFonts w:ascii="Arial" w:hAnsi="Arial" w:cs="Arial"/>
          <w:sz w:val="22"/>
          <w:szCs w:val="22"/>
        </w:rPr>
        <w:t>several</w:t>
      </w:r>
      <w:proofErr w:type="gramEnd"/>
      <w:r w:rsidRPr="008E42EC">
        <w:rPr>
          <w:rFonts w:ascii="Arial" w:hAnsi="Arial" w:cs="Arial"/>
          <w:sz w:val="22"/>
          <w:szCs w:val="22"/>
        </w:rPr>
        <w:t xml:space="preserve"> sections, namely: a BMW overview, a strategic intent analysis, a discussion of its current performance, and a strategic analysis in the framework of external and internal frameworks. Its implications could be used in the report, giving strategic suggestions to close gaps and available opportunities (</w:t>
      </w:r>
      <w:proofErr w:type="spellStart"/>
      <w:r w:rsidRPr="008E42EC">
        <w:rPr>
          <w:rFonts w:ascii="Arial" w:hAnsi="Arial" w:cs="Arial"/>
          <w:sz w:val="22"/>
          <w:szCs w:val="22"/>
        </w:rPr>
        <w:t>Cresti</w:t>
      </w:r>
      <w:proofErr w:type="spellEnd"/>
      <w:r w:rsidRPr="008E42EC">
        <w:rPr>
          <w:rFonts w:ascii="Arial" w:hAnsi="Arial" w:cs="Arial"/>
          <w:sz w:val="22"/>
          <w:szCs w:val="22"/>
        </w:rPr>
        <w:t xml:space="preserve">, 2025). </w:t>
      </w:r>
    </w:p>
    <w:p w14:paraId="78C47221" w14:textId="77777777" w:rsidR="006D121F" w:rsidRDefault="00E51950">
      <w:pPr>
        <w:spacing w:line="360" w:lineRule="auto"/>
        <w:jc w:val="both"/>
      </w:pPr>
      <w:r>
        <w:t xml:space="preserve"> </w:t>
      </w:r>
    </w:p>
    <w:p w14:paraId="235B4471" w14:textId="77777777" w:rsidR="006D121F" w:rsidRDefault="00E51950">
      <w:pPr>
        <w:spacing w:line="360" w:lineRule="auto"/>
        <w:jc w:val="both"/>
      </w:pPr>
      <w:r>
        <w:t xml:space="preserve">  </w:t>
      </w:r>
    </w:p>
    <w:p w14:paraId="7F5D5E9E" w14:textId="77777777" w:rsidR="006D121F" w:rsidRDefault="00E51950">
      <w:pPr>
        <w:spacing w:line="360" w:lineRule="auto"/>
        <w:jc w:val="both"/>
      </w:pPr>
      <w:r>
        <w:t xml:space="preserve"> </w:t>
      </w:r>
    </w:p>
    <w:p w14:paraId="3C03BCC0" w14:textId="77777777" w:rsidR="006D121F" w:rsidRDefault="00E51950">
      <w:pPr>
        <w:spacing w:line="360" w:lineRule="auto"/>
        <w:jc w:val="both"/>
      </w:pPr>
      <w:r>
        <w:t xml:space="preserve"> </w:t>
      </w:r>
    </w:p>
    <w:p w14:paraId="766CD435" w14:textId="77777777" w:rsidR="006D121F" w:rsidRDefault="00E51950">
      <w:pPr>
        <w:spacing w:line="360" w:lineRule="auto"/>
        <w:jc w:val="both"/>
      </w:pPr>
      <w:r>
        <w:t xml:space="preserve"> </w:t>
      </w:r>
    </w:p>
    <w:p w14:paraId="4815F9E0" w14:textId="77777777" w:rsidR="006D121F" w:rsidRDefault="00E51950">
      <w:pPr>
        <w:spacing w:line="360" w:lineRule="auto"/>
        <w:jc w:val="both"/>
      </w:pPr>
      <w:r>
        <w:t xml:space="preserve"> </w:t>
      </w:r>
    </w:p>
    <w:p w14:paraId="0E1FF3B3" w14:textId="77777777" w:rsidR="006D121F" w:rsidRDefault="00E51950">
      <w:pPr>
        <w:spacing w:line="360" w:lineRule="auto"/>
        <w:jc w:val="both"/>
      </w:pPr>
      <w:r>
        <w:t xml:space="preserve"> </w:t>
      </w:r>
    </w:p>
    <w:p w14:paraId="7AD4CE06" w14:textId="77777777" w:rsidR="006D121F" w:rsidRDefault="006D121F">
      <w:pPr>
        <w:spacing w:line="360" w:lineRule="auto"/>
        <w:jc w:val="both"/>
      </w:pPr>
    </w:p>
    <w:p w14:paraId="50F0BEA1" w14:textId="77777777" w:rsidR="006D121F" w:rsidRDefault="00E51950">
      <w:pPr>
        <w:spacing w:line="360" w:lineRule="auto"/>
        <w:jc w:val="both"/>
      </w:pPr>
      <w:r>
        <w:br w:type="page"/>
      </w:r>
    </w:p>
    <w:p w14:paraId="3ECE0978" w14:textId="77777777" w:rsidR="006D121F" w:rsidRPr="008E42EC" w:rsidRDefault="00E51950">
      <w:pPr>
        <w:spacing w:line="360" w:lineRule="auto"/>
        <w:jc w:val="both"/>
        <w:rPr>
          <w:rStyle w:val="Heading1Char"/>
          <w:rFonts w:ascii="Arial" w:eastAsiaTheme="minorEastAsia" w:hAnsi="Arial" w:cs="Arial"/>
          <w:b/>
          <w:bCs/>
          <w:sz w:val="22"/>
          <w:szCs w:val="22"/>
        </w:rPr>
      </w:pPr>
      <w:bookmarkStart w:id="2" w:name="_Toc225671722"/>
      <w:r w:rsidRPr="008E42EC">
        <w:rPr>
          <w:rStyle w:val="Heading1Char"/>
          <w:rFonts w:ascii="Arial" w:eastAsiaTheme="minorEastAsia" w:hAnsi="Arial" w:cs="Arial"/>
          <w:b/>
          <w:bCs/>
          <w:sz w:val="22"/>
          <w:szCs w:val="22"/>
        </w:rPr>
        <w:lastRenderedPageBreak/>
        <w:t>Overview / Background of BMW</w:t>
      </w:r>
      <w:bookmarkEnd w:id="2"/>
      <w:r w:rsidRPr="008E42EC">
        <w:rPr>
          <w:rStyle w:val="Heading1Char"/>
          <w:rFonts w:ascii="Arial" w:eastAsiaTheme="minorEastAsia" w:hAnsi="Arial" w:cs="Arial"/>
          <w:b/>
          <w:bCs/>
          <w:sz w:val="22"/>
          <w:szCs w:val="22"/>
        </w:rPr>
        <w:t xml:space="preserve">  </w:t>
      </w:r>
    </w:p>
    <w:p w14:paraId="014E186A"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The BMW Group is a car manufacturing company based in Germany and is headquartered in Munich, Germany. BMW, Mini, and Rolls-Royce. BMW is an automotive luxury company that was founded in 1916 and engages in the production of luxury cars</w:t>
      </w:r>
      <w:proofErr w:type="gramStart"/>
      <w:r w:rsidRPr="008E42EC">
        <w:rPr>
          <w:rFonts w:ascii="Arial" w:hAnsi="Arial" w:cs="Arial"/>
          <w:sz w:val="22"/>
          <w:szCs w:val="22"/>
        </w:rPr>
        <w:t xml:space="preserve">.  </w:t>
      </w:r>
      <w:proofErr w:type="gramEnd"/>
    </w:p>
    <w:p w14:paraId="2C0B497D" w14:textId="2361E34F"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BMW's product range has internal combustion engine (ICE), hybrid, and a growing percentage of battery electric vehicles (BEV). It is found in all parts of the globe, with its concentrations in Europe, China, and North America. It features a business model in providing high-performance automobiles and </w:t>
      </w:r>
      <w:r w:rsidR="008E42EC" w:rsidRPr="008E42EC">
        <w:rPr>
          <w:rFonts w:ascii="Arial" w:hAnsi="Arial" w:cs="Arial"/>
          <w:sz w:val="22"/>
          <w:szCs w:val="22"/>
        </w:rPr>
        <w:t>end</w:t>
      </w:r>
      <w:r w:rsidRPr="008E42EC">
        <w:rPr>
          <w:rFonts w:ascii="Arial" w:hAnsi="Arial" w:cs="Arial"/>
          <w:sz w:val="22"/>
          <w:szCs w:val="22"/>
        </w:rPr>
        <w:t>-to-end customer experience (</w:t>
      </w:r>
      <w:proofErr w:type="spellStart"/>
      <w:r w:rsidRPr="008E42EC">
        <w:rPr>
          <w:rFonts w:ascii="Arial" w:hAnsi="Arial" w:cs="Arial"/>
          <w:sz w:val="22"/>
          <w:szCs w:val="22"/>
        </w:rPr>
        <w:t>Talikine</w:t>
      </w:r>
      <w:proofErr w:type="spellEnd"/>
      <w:r w:rsidRPr="008E42EC">
        <w:rPr>
          <w:rFonts w:ascii="Arial" w:hAnsi="Arial" w:cs="Arial"/>
          <w:sz w:val="22"/>
          <w:szCs w:val="22"/>
        </w:rPr>
        <w:t xml:space="preserve">, 2025). </w:t>
      </w:r>
    </w:p>
    <w:p w14:paraId="480F15FB" w14:textId="3964F659"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It is a company that operates in a highly competitive automobile industry and is also amidst a massive technological revolution, government oppression, and the transformation of the consumer </w:t>
      </w:r>
      <w:r w:rsidR="00502330" w:rsidRPr="008E42EC">
        <w:rPr>
          <w:rFonts w:ascii="Arial" w:hAnsi="Arial" w:cs="Arial"/>
          <w:sz w:val="22"/>
          <w:szCs w:val="22"/>
        </w:rPr>
        <w:t>into</w:t>
      </w:r>
      <w:r w:rsidRPr="008E42EC">
        <w:rPr>
          <w:rFonts w:ascii="Arial" w:hAnsi="Arial" w:cs="Arial"/>
          <w:sz w:val="22"/>
          <w:szCs w:val="22"/>
        </w:rPr>
        <w:t xml:space="preserve"> one that is more sustainable. BMW has made a market leap in the production of quality and driving dynamics; it has been innovative, and its brand image has been its traditional point of difference. </w:t>
      </w:r>
    </w:p>
    <w:p w14:paraId="05CB0DCC" w14:textId="5DFF616E"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industry is, however, changing with the advent of electrification and </w:t>
      </w:r>
      <w:r w:rsidR="008E42EC" w:rsidRPr="008E42EC">
        <w:rPr>
          <w:rFonts w:ascii="Arial" w:hAnsi="Arial" w:cs="Arial"/>
          <w:sz w:val="22"/>
          <w:szCs w:val="22"/>
        </w:rPr>
        <w:t>digitalization</w:t>
      </w:r>
      <w:r w:rsidRPr="008E42EC">
        <w:rPr>
          <w:rFonts w:ascii="Arial" w:hAnsi="Arial" w:cs="Arial"/>
          <w:sz w:val="22"/>
          <w:szCs w:val="22"/>
        </w:rPr>
        <w:t>. The capacities of software have become critical, with battery technology and system integration in which even mechanical engineering and other conventional capabilities are unnecessary (Hong, 2024)</w:t>
      </w:r>
      <w:proofErr w:type="gramStart"/>
      <w:r w:rsidRPr="008E42EC">
        <w:rPr>
          <w:rFonts w:ascii="Arial" w:hAnsi="Arial" w:cs="Arial"/>
          <w:sz w:val="22"/>
          <w:szCs w:val="22"/>
        </w:rPr>
        <w:t xml:space="preserve">.  </w:t>
      </w:r>
      <w:proofErr w:type="gramEnd"/>
      <w:r w:rsidRPr="008E42EC">
        <w:rPr>
          <w:rFonts w:ascii="Arial" w:hAnsi="Arial" w:cs="Arial"/>
          <w:sz w:val="22"/>
          <w:szCs w:val="22"/>
        </w:rPr>
        <w:t xml:space="preserve"> </w:t>
      </w:r>
    </w:p>
    <w:p w14:paraId="59DD118A"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Strategic Intent   </w:t>
      </w:r>
    </w:p>
    <w:p w14:paraId="10F6D173"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It can be summed up that the BMW strategic intent is to become the leader in offering high-quality, sustainable mobility solutions. It possesses a customer-focused, sustainable, and innovative mission without interfering with its brand identity, which constitutes the ultimate driving experience</w:t>
      </w:r>
      <w:proofErr w:type="gramStart"/>
      <w:r w:rsidRPr="008E42EC">
        <w:rPr>
          <w:rFonts w:ascii="Arial" w:hAnsi="Arial" w:cs="Arial"/>
          <w:sz w:val="22"/>
          <w:szCs w:val="22"/>
        </w:rPr>
        <w:t xml:space="preserve">.  </w:t>
      </w:r>
      <w:proofErr w:type="gramEnd"/>
    </w:p>
    <w:p w14:paraId="67CDD4FC" w14:textId="08F2F8BB"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Phenomenally, the BMW targets are to achieve the electric faster, get carbon-neutral throughout the value chain, and become </w:t>
      </w:r>
      <w:r w:rsidR="008E42EC" w:rsidRPr="008E42EC">
        <w:rPr>
          <w:rFonts w:ascii="Arial" w:hAnsi="Arial" w:cs="Arial"/>
          <w:sz w:val="22"/>
          <w:szCs w:val="22"/>
        </w:rPr>
        <w:t>computerized</w:t>
      </w:r>
      <w:r w:rsidRPr="008E42EC">
        <w:rPr>
          <w:rFonts w:ascii="Arial" w:hAnsi="Arial" w:cs="Arial"/>
          <w:sz w:val="22"/>
          <w:szCs w:val="22"/>
        </w:rPr>
        <w:t xml:space="preserve"> in its cars. There is also the possibility that the proportion of electric cars on the company line will increase more than twice, and the company will continue to make a profit (Cuc and Cilan, 2025). </w:t>
      </w:r>
    </w:p>
    <w:p w14:paraId="5E70A7D4" w14:textId="26F86C5D" w:rsidR="006D121F" w:rsidRDefault="00E51950">
      <w:pPr>
        <w:spacing w:line="360" w:lineRule="auto"/>
        <w:jc w:val="both"/>
      </w:pPr>
      <w:r w:rsidRPr="008E42EC">
        <w:rPr>
          <w:rFonts w:ascii="Arial" w:hAnsi="Arial" w:cs="Arial"/>
          <w:sz w:val="22"/>
          <w:szCs w:val="22"/>
        </w:rPr>
        <w:t xml:space="preserve">The degree of strategic tension is, however, </w:t>
      </w:r>
      <w:r w:rsidR="008E42EC" w:rsidRPr="008E42EC">
        <w:rPr>
          <w:rFonts w:ascii="Arial" w:hAnsi="Arial" w:cs="Arial"/>
          <w:sz w:val="22"/>
          <w:szCs w:val="22"/>
        </w:rPr>
        <w:t>realized</w:t>
      </w:r>
      <w:r w:rsidRPr="008E42EC">
        <w:rPr>
          <w:rFonts w:ascii="Arial" w:hAnsi="Arial" w:cs="Arial"/>
          <w:sz w:val="22"/>
          <w:szCs w:val="22"/>
        </w:rPr>
        <w:t xml:space="preserve"> under the critical analysis form. BMW has also been involved in internal combustion technology, but its sustainability is a real action when it comes to a two-pronged approach, and making the change blurred and delayed. This </w:t>
      </w:r>
      <w:r w:rsidR="008E42EC" w:rsidRPr="008E42EC">
        <w:rPr>
          <w:rFonts w:ascii="Arial" w:hAnsi="Arial" w:cs="Arial"/>
          <w:sz w:val="22"/>
          <w:szCs w:val="22"/>
        </w:rPr>
        <w:t>contrasts with</w:t>
      </w:r>
      <w:r w:rsidRPr="008E42EC">
        <w:rPr>
          <w:rFonts w:ascii="Arial" w:hAnsi="Arial" w:cs="Arial"/>
          <w:sz w:val="22"/>
          <w:szCs w:val="22"/>
        </w:rPr>
        <w:t xml:space="preserve"> other competitors that have since applied a more aggressive electrification strategy.</w:t>
      </w:r>
      <w:r>
        <w:t xml:space="preserve"> </w:t>
      </w:r>
    </w:p>
    <w:p w14:paraId="22E35984" w14:textId="6C5F8183"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lastRenderedPageBreak/>
        <w:t xml:space="preserve">BMW is an </w:t>
      </w:r>
      <w:r w:rsidR="008E42EC" w:rsidRPr="008E42EC">
        <w:rPr>
          <w:rFonts w:ascii="Arial" w:hAnsi="Arial" w:cs="Arial"/>
          <w:sz w:val="22"/>
          <w:szCs w:val="22"/>
        </w:rPr>
        <w:t>organization</w:t>
      </w:r>
      <w:r w:rsidRPr="008E42EC">
        <w:rPr>
          <w:rFonts w:ascii="Arial" w:hAnsi="Arial" w:cs="Arial"/>
          <w:sz w:val="22"/>
          <w:szCs w:val="22"/>
        </w:rPr>
        <w:t xml:space="preserve"> with exciting strategic schemes, but it has been hindered in </w:t>
      </w:r>
      <w:proofErr w:type="gramStart"/>
      <w:r w:rsidRPr="008E42EC">
        <w:rPr>
          <w:rFonts w:ascii="Arial" w:hAnsi="Arial" w:cs="Arial"/>
          <w:sz w:val="22"/>
          <w:szCs w:val="22"/>
        </w:rPr>
        <w:t>some</w:t>
      </w:r>
      <w:proofErr w:type="gramEnd"/>
      <w:r w:rsidRPr="008E42EC">
        <w:rPr>
          <w:rFonts w:ascii="Arial" w:hAnsi="Arial" w:cs="Arial"/>
          <w:sz w:val="22"/>
          <w:szCs w:val="22"/>
        </w:rPr>
        <w:t xml:space="preserve"> ways by its archaic system and corporate culture. This is because it is difficult to strike a balance between profitability in the short term and change in the long term. </w:t>
      </w:r>
    </w:p>
    <w:p w14:paraId="06EDED35" w14:textId="77777777" w:rsidR="006D121F" w:rsidRPr="008E42EC" w:rsidRDefault="00E51950">
      <w:pPr>
        <w:pStyle w:val="Heading1"/>
        <w:keepNext w:val="0"/>
        <w:keepLines w:val="0"/>
        <w:spacing w:line="360" w:lineRule="auto"/>
        <w:jc w:val="both"/>
        <w:rPr>
          <w:rFonts w:ascii="Arial" w:eastAsiaTheme="minorEastAsia" w:hAnsi="Arial" w:cs="Arial"/>
          <w:b/>
          <w:bCs/>
          <w:sz w:val="22"/>
          <w:szCs w:val="22"/>
        </w:rPr>
      </w:pPr>
      <w:bookmarkStart w:id="3" w:name="_Toc225671723"/>
      <w:r w:rsidRPr="008E42EC">
        <w:rPr>
          <w:rFonts w:ascii="Arial" w:eastAsiaTheme="minorEastAsia" w:hAnsi="Arial" w:cs="Arial"/>
          <w:b/>
          <w:bCs/>
          <w:sz w:val="22"/>
          <w:szCs w:val="22"/>
        </w:rPr>
        <w:t>Current Performance</w:t>
      </w:r>
      <w:bookmarkEnd w:id="3"/>
      <w:r w:rsidRPr="008E42EC">
        <w:rPr>
          <w:rFonts w:ascii="Arial" w:eastAsiaTheme="minorEastAsia" w:hAnsi="Arial" w:cs="Arial"/>
          <w:b/>
          <w:bCs/>
          <w:sz w:val="22"/>
          <w:szCs w:val="22"/>
        </w:rPr>
        <w:t xml:space="preserve">  </w:t>
      </w:r>
    </w:p>
    <w:p w14:paraId="70B1ABF8"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BMW is a stable company that is also financially sound, as is evidenced by its luxurious position and global nature. Even the global shocks like supply chain constraints and semiconductor shortages did not negatively affect the company, as it took a step towards maintaining a consistent increase in revenues and profitability. </w:t>
      </w:r>
    </w:p>
    <w:p w14:paraId="6B1F3F41" w14:textId="4AEC86E5"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fact that the transition to the electric car market was gradual is one of the factors that BMW can be proud of in its current performance. The company has also launched a limited number of EV models, such as </w:t>
      </w:r>
      <w:r w:rsidR="008E42EC">
        <w:rPr>
          <w:rFonts w:ascii="Arial" w:hAnsi="Arial" w:cs="Arial"/>
          <w:sz w:val="22"/>
          <w:szCs w:val="22"/>
        </w:rPr>
        <w:t>I</w:t>
      </w:r>
      <w:r w:rsidRPr="008E42EC">
        <w:rPr>
          <w:rFonts w:ascii="Arial" w:hAnsi="Arial" w:cs="Arial"/>
          <w:sz w:val="22"/>
          <w:szCs w:val="22"/>
        </w:rPr>
        <w:t xml:space="preserve">4 and </w:t>
      </w:r>
      <w:r w:rsidR="008E42EC">
        <w:rPr>
          <w:rFonts w:ascii="Arial" w:hAnsi="Arial" w:cs="Arial"/>
          <w:sz w:val="22"/>
          <w:szCs w:val="22"/>
        </w:rPr>
        <w:t>I</w:t>
      </w:r>
      <w:r w:rsidRPr="008E42EC">
        <w:rPr>
          <w:rFonts w:ascii="Arial" w:hAnsi="Arial" w:cs="Arial"/>
          <w:sz w:val="22"/>
          <w:szCs w:val="22"/>
        </w:rPr>
        <w:t xml:space="preserve">X, which have helped boost the sales of electrified cars. Nevertheless, EVs produced by Tesla do not have a high penetration compared to other brands like BMW (Liu </w:t>
      </w:r>
      <w:r w:rsidRPr="008E42EC">
        <w:rPr>
          <w:rFonts w:ascii="Arial" w:hAnsi="Arial" w:cs="Arial"/>
          <w:i/>
          <w:iCs/>
          <w:sz w:val="22"/>
          <w:szCs w:val="22"/>
        </w:rPr>
        <w:t>et al.,</w:t>
      </w:r>
      <w:r w:rsidRPr="008E42EC">
        <w:rPr>
          <w:rFonts w:ascii="Arial" w:hAnsi="Arial" w:cs="Arial"/>
          <w:sz w:val="22"/>
          <w:szCs w:val="22"/>
        </w:rPr>
        <w:t xml:space="preserve"> 2024). </w:t>
      </w:r>
    </w:p>
    <w:p w14:paraId="28CA8BB0"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BMW has been maintaining its status in terms of competition in the luxury automobile market. It enjoys a massive competitive edge in terms of brand loyalty and equity. BMW has demonstrated its operational strength in terms of supply chain management, and they have flexible production systems. This is because the capability of the company to fit various powertrains on a single platform boosts flexibility in selling the variations. But troubles do not fade away. Electrification is a business that involves </w:t>
      </w:r>
      <w:proofErr w:type="gramStart"/>
      <w:r w:rsidRPr="008E42EC">
        <w:rPr>
          <w:rFonts w:ascii="Arial" w:hAnsi="Arial" w:cs="Arial"/>
          <w:sz w:val="22"/>
          <w:szCs w:val="22"/>
        </w:rPr>
        <w:t>a lot of</w:t>
      </w:r>
      <w:proofErr w:type="gramEnd"/>
      <w:r w:rsidRPr="008E42EC">
        <w:rPr>
          <w:rFonts w:ascii="Arial" w:hAnsi="Arial" w:cs="Arial"/>
          <w:sz w:val="22"/>
          <w:szCs w:val="22"/>
        </w:rPr>
        <w:t xml:space="preserve"> investment in battery technology, software, and infrastructure. </w:t>
      </w:r>
    </w:p>
    <w:p w14:paraId="7D5DA824"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In sum, it can be concluded that the BMW performance today could be described as a stable yet transitional period, as the current strengths are still questioned by the new forces in the market. The success of the company in this change will determine the future performance of the company (</w:t>
      </w:r>
      <w:proofErr w:type="spellStart"/>
      <w:r w:rsidRPr="008E42EC">
        <w:rPr>
          <w:rFonts w:ascii="Arial" w:hAnsi="Arial" w:cs="Arial"/>
          <w:sz w:val="22"/>
          <w:szCs w:val="22"/>
        </w:rPr>
        <w:t>Lampón</w:t>
      </w:r>
      <w:proofErr w:type="spellEnd"/>
      <w:r w:rsidRPr="008E42EC">
        <w:rPr>
          <w:rFonts w:ascii="Arial" w:hAnsi="Arial" w:cs="Arial"/>
          <w:sz w:val="22"/>
          <w:szCs w:val="22"/>
        </w:rPr>
        <w:t xml:space="preserve">, Rodríguez De la Fuente, and </w:t>
      </w:r>
      <w:proofErr w:type="spellStart"/>
      <w:r w:rsidRPr="008E42EC">
        <w:rPr>
          <w:rFonts w:ascii="Arial" w:hAnsi="Arial" w:cs="Arial"/>
          <w:sz w:val="22"/>
          <w:szCs w:val="22"/>
        </w:rPr>
        <w:t>Fraiz</w:t>
      </w:r>
      <w:proofErr w:type="spellEnd"/>
      <w:r w:rsidRPr="008E42EC">
        <w:rPr>
          <w:rFonts w:ascii="Arial" w:hAnsi="Arial" w:cs="Arial"/>
          <w:sz w:val="22"/>
          <w:szCs w:val="22"/>
        </w:rPr>
        <w:t xml:space="preserve">-Brea, 2022). </w:t>
      </w:r>
    </w:p>
    <w:p w14:paraId="0D0858AE" w14:textId="77777777" w:rsidR="006D121F" w:rsidRDefault="00E51950">
      <w:pPr>
        <w:rPr>
          <w:b/>
          <w:bCs/>
        </w:rPr>
      </w:pPr>
      <w:r>
        <w:rPr>
          <w:b/>
          <w:bCs/>
        </w:rPr>
        <w:br w:type="page"/>
      </w:r>
    </w:p>
    <w:p w14:paraId="143EB865" w14:textId="77777777" w:rsidR="006D121F" w:rsidRPr="008E42EC" w:rsidRDefault="00E51950">
      <w:pPr>
        <w:pStyle w:val="Heading1"/>
        <w:keepNext w:val="0"/>
        <w:keepLines w:val="0"/>
        <w:spacing w:line="360" w:lineRule="auto"/>
        <w:jc w:val="both"/>
        <w:rPr>
          <w:rFonts w:ascii="Arial" w:eastAsiaTheme="minorEastAsia" w:hAnsi="Arial" w:cs="Arial"/>
          <w:b/>
          <w:bCs/>
          <w:sz w:val="22"/>
          <w:szCs w:val="22"/>
        </w:rPr>
      </w:pPr>
      <w:bookmarkStart w:id="4" w:name="_Toc225671724"/>
      <w:r w:rsidRPr="008E42EC">
        <w:rPr>
          <w:rFonts w:ascii="Arial" w:eastAsiaTheme="minorEastAsia" w:hAnsi="Arial" w:cs="Arial"/>
          <w:b/>
          <w:bCs/>
          <w:sz w:val="22"/>
          <w:szCs w:val="22"/>
        </w:rPr>
        <w:lastRenderedPageBreak/>
        <w:t>Strategy Analysis</w:t>
      </w:r>
      <w:bookmarkEnd w:id="4"/>
      <w:r w:rsidRPr="008E42EC">
        <w:rPr>
          <w:rFonts w:ascii="Arial" w:eastAsiaTheme="minorEastAsia" w:hAnsi="Arial" w:cs="Arial"/>
          <w:b/>
          <w:bCs/>
          <w:sz w:val="22"/>
          <w:szCs w:val="22"/>
        </w:rPr>
        <w:t xml:space="preserve"> </w:t>
      </w:r>
    </w:p>
    <w:p w14:paraId="4534C279" w14:textId="77777777" w:rsidR="006D121F" w:rsidRPr="008E42EC" w:rsidRDefault="00E51950">
      <w:pPr>
        <w:spacing w:line="360" w:lineRule="auto"/>
        <w:jc w:val="both"/>
        <w:rPr>
          <w:rFonts w:ascii="Arial" w:hAnsi="Arial" w:cs="Arial"/>
          <w:sz w:val="22"/>
          <w:szCs w:val="22"/>
        </w:rPr>
      </w:pPr>
      <w:bookmarkStart w:id="5" w:name="_Toc225671725"/>
      <w:r w:rsidRPr="008E42EC">
        <w:rPr>
          <w:rStyle w:val="Heading2Char"/>
          <w:rFonts w:ascii="Arial" w:eastAsiaTheme="minorEastAsia" w:hAnsi="Arial" w:cs="Arial"/>
          <w:b/>
          <w:bCs/>
          <w:sz w:val="22"/>
          <w:szCs w:val="22"/>
        </w:rPr>
        <w:t>External Environmental Analysis (PESTEL + Porter's Five Forces)</w:t>
      </w:r>
      <w:bookmarkEnd w:id="5"/>
    </w:p>
    <w:p w14:paraId="14157640" w14:textId="77777777" w:rsidR="006D121F" w:rsidRPr="008E42EC" w:rsidRDefault="00E51950">
      <w:pPr>
        <w:spacing w:line="360" w:lineRule="auto"/>
        <w:jc w:val="both"/>
        <w:rPr>
          <w:rFonts w:ascii="Arial" w:hAnsi="Arial" w:cs="Arial"/>
          <w:b/>
          <w:bCs/>
          <w:sz w:val="22"/>
          <w:szCs w:val="22"/>
        </w:rPr>
      </w:pPr>
      <w:r w:rsidRPr="008E42EC">
        <w:rPr>
          <w:rFonts w:ascii="Arial" w:hAnsi="Arial" w:cs="Arial"/>
          <w:b/>
          <w:bCs/>
          <w:sz w:val="22"/>
          <w:szCs w:val="22"/>
        </w:rPr>
        <w:t xml:space="preserve">PESTEL Analysis </w:t>
      </w:r>
    </w:p>
    <w:p w14:paraId="16662402"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Political </w:t>
      </w:r>
    </w:p>
    <w:p w14:paraId="67802163" w14:textId="447FD5F9"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introduction of electric vehicles is under </w:t>
      </w:r>
      <w:r w:rsidR="008E42EC" w:rsidRPr="008E42EC">
        <w:rPr>
          <w:rFonts w:ascii="Arial" w:hAnsi="Arial" w:cs="Arial"/>
          <w:sz w:val="22"/>
          <w:szCs w:val="22"/>
        </w:rPr>
        <w:t>government</w:t>
      </w:r>
      <w:r w:rsidRPr="008E42EC">
        <w:rPr>
          <w:rFonts w:ascii="Arial" w:hAnsi="Arial" w:cs="Arial"/>
          <w:sz w:val="22"/>
          <w:szCs w:val="22"/>
        </w:rPr>
        <w:t xml:space="preserve"> policies, and this decisively influences the strategic environment of BMW. Existence of subsidies, tax exemptions, and an increase in prohibitions against emissions provide the space to grow in the EV industry, and at the same time, generate compliance costs (Nettekoven, 2023). </w:t>
      </w:r>
    </w:p>
    <w:p w14:paraId="398DC9CD" w14:textId="17FED6B3" w:rsidR="006D121F" w:rsidRPr="008E42EC" w:rsidRDefault="008E42EC">
      <w:pPr>
        <w:spacing w:line="360" w:lineRule="auto"/>
        <w:jc w:val="both"/>
        <w:rPr>
          <w:rFonts w:ascii="Arial" w:hAnsi="Arial" w:cs="Arial"/>
          <w:sz w:val="22"/>
          <w:szCs w:val="22"/>
        </w:rPr>
      </w:pPr>
      <w:r w:rsidRPr="008E42EC">
        <w:rPr>
          <w:rFonts w:ascii="Arial" w:hAnsi="Arial" w:cs="Arial"/>
          <w:sz w:val="22"/>
          <w:szCs w:val="22"/>
        </w:rPr>
        <w:t>Economics</w:t>
      </w:r>
      <w:r w:rsidR="00E51950" w:rsidRPr="008E42EC">
        <w:rPr>
          <w:rFonts w:ascii="Arial" w:hAnsi="Arial" w:cs="Arial"/>
          <w:sz w:val="22"/>
          <w:szCs w:val="22"/>
        </w:rPr>
        <w:t xml:space="preserve"> </w:t>
      </w:r>
    </w:p>
    <w:p w14:paraId="0F839A76" w14:textId="280CF5D5"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BMW performance is </w:t>
      </w:r>
      <w:r w:rsidR="00182AEA" w:rsidRPr="008E42EC">
        <w:rPr>
          <w:rFonts w:ascii="Arial" w:hAnsi="Arial" w:cs="Arial"/>
          <w:sz w:val="22"/>
          <w:szCs w:val="22"/>
        </w:rPr>
        <w:t>affected</w:t>
      </w:r>
      <w:r w:rsidRPr="008E42EC">
        <w:rPr>
          <w:rFonts w:ascii="Arial" w:hAnsi="Arial" w:cs="Arial"/>
          <w:sz w:val="22"/>
          <w:szCs w:val="22"/>
        </w:rPr>
        <w:t xml:space="preserve"> by the level of global economic uncertainty, given that it is in the luxury car market. The changes in the fluctuations in the inflation rates, interest rates, and consumer confidence have a direct effect on the demand for luxury vehicles. Other than that, the cost of production goes up due to the higher price of the basic materials of production, namely lithium and cobalt, besides the fact that they strain the margins.</w:t>
      </w:r>
    </w:p>
    <w:p w14:paraId="46C9644D"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Social </w:t>
      </w:r>
    </w:p>
    <w:p w14:paraId="3719CA18" w14:textId="420712BA" w:rsidR="006D121F" w:rsidRPr="008E42EC" w:rsidRDefault="008E42EC">
      <w:pPr>
        <w:spacing w:line="360" w:lineRule="auto"/>
        <w:jc w:val="both"/>
        <w:rPr>
          <w:rFonts w:ascii="Arial" w:hAnsi="Arial" w:cs="Arial"/>
          <w:sz w:val="22"/>
          <w:szCs w:val="22"/>
        </w:rPr>
      </w:pPr>
      <w:r w:rsidRPr="008E42EC">
        <w:rPr>
          <w:rFonts w:ascii="Arial" w:hAnsi="Arial" w:cs="Arial"/>
          <w:sz w:val="22"/>
          <w:szCs w:val="22"/>
        </w:rPr>
        <w:t>Consumer</w:t>
      </w:r>
      <w:r w:rsidR="00E51950" w:rsidRPr="008E42EC">
        <w:rPr>
          <w:rFonts w:ascii="Arial" w:hAnsi="Arial" w:cs="Arial"/>
          <w:sz w:val="22"/>
          <w:szCs w:val="22"/>
        </w:rPr>
        <w:t xml:space="preserve"> </w:t>
      </w:r>
      <w:r w:rsidRPr="008E42EC">
        <w:rPr>
          <w:rFonts w:ascii="Arial" w:hAnsi="Arial" w:cs="Arial"/>
          <w:sz w:val="22"/>
          <w:szCs w:val="22"/>
        </w:rPr>
        <w:t>behavior</w:t>
      </w:r>
      <w:r w:rsidR="00E51950" w:rsidRPr="008E42EC">
        <w:rPr>
          <w:rFonts w:ascii="Arial" w:hAnsi="Arial" w:cs="Arial"/>
          <w:sz w:val="22"/>
          <w:szCs w:val="22"/>
        </w:rPr>
        <w:t xml:space="preserve"> towards sustainability is influencing </w:t>
      </w:r>
      <w:r w:rsidRPr="008E42EC">
        <w:rPr>
          <w:rFonts w:ascii="Arial" w:hAnsi="Arial" w:cs="Arial"/>
          <w:sz w:val="22"/>
          <w:szCs w:val="22"/>
        </w:rPr>
        <w:t>demand</w:t>
      </w:r>
      <w:r w:rsidR="00E51950" w:rsidRPr="008E42EC">
        <w:rPr>
          <w:rFonts w:ascii="Arial" w:hAnsi="Arial" w:cs="Arial"/>
          <w:sz w:val="22"/>
          <w:szCs w:val="22"/>
        </w:rPr>
        <w:t xml:space="preserve"> in the automotive industry, as consumers are shifting towards it. The increased trends of environmental awareness have substituted the trendiness with electric cars and low-emission cars, and there is a high demand for an ethical source and transparent supply chain (Pichler </w:t>
      </w:r>
      <w:r w:rsidR="00E51950" w:rsidRPr="008E42EC">
        <w:rPr>
          <w:rFonts w:ascii="Arial" w:hAnsi="Arial" w:cs="Arial"/>
          <w:i/>
          <w:iCs/>
          <w:sz w:val="22"/>
          <w:szCs w:val="22"/>
        </w:rPr>
        <w:t>et al.,</w:t>
      </w:r>
      <w:r w:rsidR="00E51950" w:rsidRPr="008E42EC">
        <w:rPr>
          <w:rFonts w:ascii="Arial" w:hAnsi="Arial" w:cs="Arial"/>
          <w:sz w:val="22"/>
          <w:szCs w:val="22"/>
        </w:rPr>
        <w:t xml:space="preserve"> 2021). </w:t>
      </w:r>
    </w:p>
    <w:p w14:paraId="736AD8AD"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Technological </w:t>
      </w:r>
    </w:p>
    <w:p w14:paraId="65075C82"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One of the best foundations of competitive advantage is technological disruption. The industry is changing under the influence of the rapid rate of technological changes based on autonomous driving, artificial intelligence, and connected cars. The ex-BMW engineering advantage has expired as the company is no longer able to afford relying on its triumph of being digital and using software in its functioning. </w:t>
      </w:r>
    </w:p>
    <w:p w14:paraId="6674C436" w14:textId="77777777" w:rsidR="006D121F" w:rsidRDefault="006D121F">
      <w:pPr>
        <w:spacing w:line="360" w:lineRule="auto"/>
        <w:jc w:val="both"/>
      </w:pPr>
    </w:p>
    <w:p w14:paraId="2898356B" w14:textId="77777777" w:rsidR="006D121F" w:rsidRDefault="006D121F">
      <w:pPr>
        <w:spacing w:line="360" w:lineRule="auto"/>
        <w:jc w:val="both"/>
      </w:pPr>
    </w:p>
    <w:p w14:paraId="72460FA0"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Environmental </w:t>
      </w:r>
    </w:p>
    <w:p w14:paraId="04D27174"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lastRenderedPageBreak/>
        <w:t xml:space="preserve">The pressure exerted by the environment is massive, and this is increasing as the world is dedicated to issues of climatic concern, as well as strict regulations on emissions. The issue that BMW has is the decrease in the carbon footprint of its production and the lifestyles of its products. Failure to do so would lead to fines and reputation, and therefore, sustainability is not a meaningless ethical consideration but a strategic need as well (Pan, Xu, and Skare, 2023). </w:t>
      </w:r>
    </w:p>
    <w:p w14:paraId="18571A3A" w14:textId="77777777"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Legal </w:t>
      </w:r>
    </w:p>
    <w:p w14:paraId="6095E78E" w14:textId="13F1201F" w:rsidR="006D121F" w:rsidRPr="008E42EC" w:rsidRDefault="00E51950">
      <w:pPr>
        <w:spacing w:line="360" w:lineRule="auto"/>
        <w:jc w:val="both"/>
        <w:rPr>
          <w:rFonts w:ascii="Arial" w:hAnsi="Arial" w:cs="Arial"/>
          <w:sz w:val="22"/>
          <w:szCs w:val="22"/>
        </w:rPr>
      </w:pPr>
      <w:r w:rsidRPr="008E42EC">
        <w:rPr>
          <w:rFonts w:ascii="Arial" w:hAnsi="Arial" w:cs="Arial"/>
          <w:sz w:val="22"/>
          <w:szCs w:val="22"/>
        </w:rPr>
        <w:t xml:space="preserve">The legal environment has high requirements for the standards of vehicles, the standards of emissions, and the privacy of </w:t>
      </w:r>
      <w:r w:rsidR="008E42EC" w:rsidRPr="008E42EC">
        <w:rPr>
          <w:rFonts w:ascii="Arial" w:hAnsi="Arial" w:cs="Arial"/>
          <w:sz w:val="22"/>
          <w:szCs w:val="22"/>
        </w:rPr>
        <w:t>data</w:t>
      </w:r>
      <w:r w:rsidRPr="008E42EC">
        <w:rPr>
          <w:rFonts w:ascii="Arial" w:hAnsi="Arial" w:cs="Arial"/>
          <w:sz w:val="22"/>
          <w:szCs w:val="22"/>
        </w:rPr>
        <w:t xml:space="preserve">. The more digitally interconnected vehicles, the more complicated the regulations of data protection, the aspects of which one </w:t>
      </w:r>
      <w:r w:rsidR="008E42EC" w:rsidRPr="008E42EC">
        <w:rPr>
          <w:rFonts w:ascii="Arial" w:hAnsi="Arial" w:cs="Arial"/>
          <w:sz w:val="22"/>
          <w:szCs w:val="22"/>
        </w:rPr>
        <w:t>must</w:t>
      </w:r>
      <w:r w:rsidRPr="008E42EC">
        <w:rPr>
          <w:rFonts w:ascii="Arial" w:hAnsi="Arial" w:cs="Arial"/>
          <w:sz w:val="22"/>
          <w:szCs w:val="22"/>
        </w:rPr>
        <w:t xml:space="preserve"> follow (Young-Jin, </w:t>
      </w:r>
      <w:proofErr w:type="spellStart"/>
      <w:r w:rsidRPr="008E42EC">
        <w:rPr>
          <w:rFonts w:ascii="Arial" w:hAnsi="Arial" w:cs="Arial"/>
          <w:sz w:val="22"/>
          <w:szCs w:val="22"/>
        </w:rPr>
        <w:t>Zuhriddin</w:t>
      </w:r>
      <w:proofErr w:type="spellEnd"/>
      <w:r w:rsidRPr="008E42EC">
        <w:rPr>
          <w:rFonts w:ascii="Arial" w:hAnsi="Arial" w:cs="Arial"/>
          <w:sz w:val="22"/>
          <w:szCs w:val="22"/>
        </w:rPr>
        <w:t xml:space="preserve">, and </w:t>
      </w:r>
      <w:proofErr w:type="spellStart"/>
      <w:r w:rsidRPr="008E42EC">
        <w:rPr>
          <w:rFonts w:ascii="Arial" w:hAnsi="Arial" w:cs="Arial"/>
          <w:sz w:val="22"/>
          <w:szCs w:val="22"/>
        </w:rPr>
        <w:t>Ikhtiyor</w:t>
      </w:r>
      <w:proofErr w:type="spellEnd"/>
      <w:r w:rsidRPr="008E42EC">
        <w:rPr>
          <w:rFonts w:ascii="Arial" w:hAnsi="Arial" w:cs="Arial"/>
          <w:sz w:val="22"/>
          <w:szCs w:val="22"/>
        </w:rPr>
        <w:t xml:space="preserve">, 2023). </w:t>
      </w:r>
    </w:p>
    <w:p w14:paraId="71E10D2C" w14:textId="77777777" w:rsidR="006D121F" w:rsidRPr="008E42EC" w:rsidRDefault="00E51950">
      <w:pPr>
        <w:spacing w:line="360" w:lineRule="auto"/>
        <w:jc w:val="both"/>
        <w:rPr>
          <w:rFonts w:ascii="Arial" w:hAnsi="Arial" w:cs="Arial"/>
          <w:b/>
          <w:bCs/>
          <w:sz w:val="22"/>
          <w:szCs w:val="22"/>
        </w:rPr>
      </w:pPr>
      <w:r w:rsidRPr="008E42EC">
        <w:rPr>
          <w:rFonts w:ascii="Arial" w:hAnsi="Arial" w:cs="Arial"/>
          <w:b/>
          <w:bCs/>
          <w:sz w:val="22"/>
          <w:szCs w:val="22"/>
        </w:rPr>
        <w:t>Porter's Five Forces</w:t>
      </w:r>
    </w:p>
    <w:p w14:paraId="61C341F9" w14:textId="0F2DAB35"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Competitive Rivalry (High): In the current case, the rivalry among the players and new entries is </w:t>
      </w:r>
      <w:r w:rsidR="008E42EC" w:rsidRPr="008E42EC">
        <w:rPr>
          <w:rFonts w:ascii="Arial" w:hAnsi="Arial" w:cs="Arial"/>
          <w:sz w:val="22"/>
          <w:szCs w:val="22"/>
        </w:rPr>
        <w:t>high and</w:t>
      </w:r>
      <w:r w:rsidRPr="008E42EC">
        <w:rPr>
          <w:rFonts w:ascii="Arial" w:hAnsi="Arial" w:cs="Arial"/>
          <w:sz w:val="22"/>
          <w:szCs w:val="22"/>
        </w:rPr>
        <w:t xml:space="preserve"> is therefore the EV-oriented companies.</w:t>
      </w:r>
    </w:p>
    <w:p w14:paraId="1AC6EA5D"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Threat of New Entrants (Moderate): Technological companies entering the mobile industry create new entrants, but the capital requirements would scare new entrants.</w:t>
      </w:r>
    </w:p>
    <w:p w14:paraId="5C19C3C1"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Supplier Power (High): It is founded upon the battery suppliers.</w:t>
      </w:r>
    </w:p>
    <w:p w14:paraId="6377B860"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Buyer Power (High): The buyer power is also high because the buyers have varying levels of substitutes, making them price sensitive.</w:t>
      </w:r>
    </w:p>
    <w:p w14:paraId="02E91EFC"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Threat of Substitutes (Moderate): The mobility-as-a-service/Public transport substitutes reduce any dependency on car ownership (Anderson, 2022).</w:t>
      </w:r>
    </w:p>
    <w:p w14:paraId="4456506F" w14:textId="77777777" w:rsidR="006D121F" w:rsidRDefault="00E51950">
      <w:pPr>
        <w:rPr>
          <w:rStyle w:val="Heading2Char"/>
          <w:rFonts w:asciiTheme="minorHAnsi" w:eastAsiaTheme="minorEastAsia" w:hAnsiTheme="minorHAnsi" w:cstheme="minorBidi"/>
          <w:b/>
          <w:bCs/>
          <w:sz w:val="24"/>
          <w:szCs w:val="24"/>
        </w:rPr>
      </w:pPr>
      <w:r>
        <w:rPr>
          <w:rStyle w:val="Heading2Char"/>
          <w:rFonts w:asciiTheme="minorHAnsi" w:eastAsiaTheme="minorEastAsia" w:hAnsiTheme="minorHAnsi" w:cstheme="minorBidi"/>
          <w:b/>
          <w:bCs/>
          <w:sz w:val="24"/>
          <w:szCs w:val="24"/>
        </w:rPr>
        <w:br w:type="page"/>
      </w:r>
    </w:p>
    <w:p w14:paraId="3E589695" w14:textId="77777777" w:rsidR="006D121F" w:rsidRPr="00182AEA" w:rsidRDefault="00E51950">
      <w:pPr>
        <w:spacing w:before="240" w:after="240" w:line="360" w:lineRule="auto"/>
        <w:jc w:val="both"/>
        <w:rPr>
          <w:rStyle w:val="Heading2Char"/>
          <w:rFonts w:ascii="Arial" w:eastAsiaTheme="minorEastAsia" w:hAnsi="Arial" w:cs="Arial"/>
          <w:b/>
          <w:bCs/>
          <w:sz w:val="22"/>
          <w:szCs w:val="22"/>
        </w:rPr>
      </w:pPr>
      <w:bookmarkStart w:id="6" w:name="_Toc225671726"/>
      <w:r w:rsidRPr="00182AEA">
        <w:rPr>
          <w:rStyle w:val="Heading2Char"/>
          <w:rFonts w:ascii="Arial" w:eastAsiaTheme="minorEastAsia" w:hAnsi="Arial" w:cs="Arial"/>
          <w:b/>
          <w:bCs/>
          <w:sz w:val="22"/>
          <w:szCs w:val="22"/>
        </w:rPr>
        <w:lastRenderedPageBreak/>
        <w:t>Internal Environmental Analysis (SWOT + VRIO + Value Chain)</w:t>
      </w:r>
      <w:bookmarkEnd w:id="6"/>
    </w:p>
    <w:p w14:paraId="67959DF4" w14:textId="77777777" w:rsidR="006D121F" w:rsidRPr="00182AEA" w:rsidRDefault="00E51950">
      <w:pPr>
        <w:spacing w:line="360" w:lineRule="auto"/>
        <w:jc w:val="both"/>
        <w:rPr>
          <w:rFonts w:ascii="Arial" w:hAnsi="Arial" w:cs="Arial"/>
          <w:b/>
          <w:bCs/>
          <w:sz w:val="22"/>
          <w:szCs w:val="22"/>
        </w:rPr>
      </w:pPr>
      <w:r w:rsidRPr="00182AEA">
        <w:rPr>
          <w:rFonts w:ascii="Arial" w:hAnsi="Arial" w:cs="Arial"/>
          <w:b/>
          <w:bCs/>
          <w:sz w:val="22"/>
          <w:szCs w:val="22"/>
        </w:rPr>
        <w:t>SWOT Analysis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246"/>
        <w:gridCol w:w="2799"/>
        <w:gridCol w:w="1782"/>
        <w:gridCol w:w="1926"/>
      </w:tblGrid>
      <w:tr w:rsidR="006D121F" w:rsidRPr="00182AEA" w14:paraId="01A03DE1" w14:textId="77777777">
        <w:trPr>
          <w:trHeight w:val="300"/>
        </w:trPr>
        <w:tc>
          <w:tcPr>
            <w:tcW w:w="2246" w:type="dxa"/>
            <w:shd w:val="clear" w:color="auto" w:fill="D1D1D1" w:themeFill="background2" w:themeFillShade="E6"/>
            <w:vAlign w:val="center"/>
          </w:tcPr>
          <w:p w14:paraId="71D992F2"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Strengths</w:t>
            </w:r>
          </w:p>
        </w:tc>
        <w:tc>
          <w:tcPr>
            <w:tcW w:w="2799" w:type="dxa"/>
            <w:shd w:val="clear" w:color="auto" w:fill="D1D1D1" w:themeFill="background2" w:themeFillShade="E6"/>
            <w:vAlign w:val="center"/>
          </w:tcPr>
          <w:p w14:paraId="42E7510A"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Weaknesses</w:t>
            </w:r>
          </w:p>
        </w:tc>
        <w:tc>
          <w:tcPr>
            <w:tcW w:w="1782" w:type="dxa"/>
            <w:shd w:val="clear" w:color="auto" w:fill="D1D1D1" w:themeFill="background2" w:themeFillShade="E6"/>
            <w:vAlign w:val="center"/>
          </w:tcPr>
          <w:p w14:paraId="3F1CC1AD"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Opportunities</w:t>
            </w:r>
          </w:p>
        </w:tc>
        <w:tc>
          <w:tcPr>
            <w:tcW w:w="1926" w:type="dxa"/>
            <w:shd w:val="clear" w:color="auto" w:fill="D1D1D1" w:themeFill="background2" w:themeFillShade="E6"/>
            <w:vAlign w:val="center"/>
          </w:tcPr>
          <w:p w14:paraId="4D3EE9E8"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Threats</w:t>
            </w:r>
          </w:p>
        </w:tc>
      </w:tr>
      <w:tr w:rsidR="006D121F" w:rsidRPr="00182AEA" w14:paraId="06C58E41" w14:textId="77777777">
        <w:trPr>
          <w:trHeight w:val="300"/>
        </w:trPr>
        <w:tc>
          <w:tcPr>
            <w:tcW w:w="2246" w:type="dxa"/>
            <w:vAlign w:val="center"/>
          </w:tcPr>
          <w:p w14:paraId="7B7296FC"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Strong brand equity</w:t>
            </w:r>
          </w:p>
        </w:tc>
        <w:tc>
          <w:tcPr>
            <w:tcW w:w="2799" w:type="dxa"/>
            <w:vAlign w:val="center"/>
          </w:tcPr>
          <w:p w14:paraId="76172EDE"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Slow EV transition</w:t>
            </w:r>
          </w:p>
        </w:tc>
        <w:tc>
          <w:tcPr>
            <w:tcW w:w="1782" w:type="dxa"/>
            <w:vAlign w:val="center"/>
          </w:tcPr>
          <w:p w14:paraId="726DE0A0"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EV market growth</w:t>
            </w:r>
          </w:p>
        </w:tc>
        <w:tc>
          <w:tcPr>
            <w:tcW w:w="1926" w:type="dxa"/>
            <w:vAlign w:val="center"/>
          </w:tcPr>
          <w:p w14:paraId="7C4F3C34"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Intense competition</w:t>
            </w:r>
          </w:p>
        </w:tc>
      </w:tr>
      <w:tr w:rsidR="006D121F" w:rsidRPr="00182AEA" w14:paraId="2F0C76A2" w14:textId="77777777">
        <w:trPr>
          <w:trHeight w:val="300"/>
        </w:trPr>
        <w:tc>
          <w:tcPr>
            <w:tcW w:w="2246" w:type="dxa"/>
            <w:vAlign w:val="center"/>
          </w:tcPr>
          <w:p w14:paraId="63EF14B9"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Global presence</w:t>
            </w:r>
          </w:p>
        </w:tc>
        <w:tc>
          <w:tcPr>
            <w:tcW w:w="2799" w:type="dxa"/>
            <w:vAlign w:val="center"/>
          </w:tcPr>
          <w:p w14:paraId="65FAF77D"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High production costs</w:t>
            </w:r>
          </w:p>
        </w:tc>
        <w:tc>
          <w:tcPr>
            <w:tcW w:w="1782" w:type="dxa"/>
            <w:vAlign w:val="center"/>
          </w:tcPr>
          <w:p w14:paraId="67F56108"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Digital services</w:t>
            </w:r>
          </w:p>
        </w:tc>
        <w:tc>
          <w:tcPr>
            <w:tcW w:w="1926" w:type="dxa"/>
            <w:vAlign w:val="center"/>
          </w:tcPr>
          <w:p w14:paraId="4B985BF4"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Regulatory pressure</w:t>
            </w:r>
          </w:p>
        </w:tc>
      </w:tr>
      <w:tr w:rsidR="006D121F" w:rsidRPr="00182AEA" w14:paraId="228AD16F" w14:textId="77777777">
        <w:trPr>
          <w:trHeight w:val="300"/>
        </w:trPr>
        <w:tc>
          <w:tcPr>
            <w:tcW w:w="2246" w:type="dxa"/>
            <w:vAlign w:val="center"/>
          </w:tcPr>
          <w:p w14:paraId="0C2FFA46"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Engineering excellence</w:t>
            </w:r>
          </w:p>
        </w:tc>
        <w:tc>
          <w:tcPr>
            <w:tcW w:w="2799" w:type="dxa"/>
            <w:vAlign w:val="center"/>
          </w:tcPr>
          <w:p w14:paraId="27A1059B"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Limited software capabilities</w:t>
            </w:r>
          </w:p>
        </w:tc>
        <w:tc>
          <w:tcPr>
            <w:tcW w:w="1782" w:type="dxa"/>
            <w:vAlign w:val="center"/>
          </w:tcPr>
          <w:p w14:paraId="6760CB4C" w14:textId="77777777" w:rsidR="006D121F" w:rsidRPr="00182AEA" w:rsidRDefault="006D121F">
            <w:pPr>
              <w:spacing w:line="360" w:lineRule="auto"/>
              <w:jc w:val="both"/>
              <w:rPr>
                <w:rFonts w:ascii="Arial" w:hAnsi="Arial" w:cs="Arial"/>
                <w:sz w:val="22"/>
                <w:szCs w:val="22"/>
              </w:rPr>
            </w:pPr>
          </w:p>
        </w:tc>
        <w:tc>
          <w:tcPr>
            <w:tcW w:w="1926" w:type="dxa"/>
            <w:vAlign w:val="center"/>
          </w:tcPr>
          <w:p w14:paraId="07640119" w14:textId="77777777" w:rsidR="006D121F" w:rsidRPr="00182AEA" w:rsidRDefault="006D121F">
            <w:pPr>
              <w:spacing w:line="360" w:lineRule="auto"/>
              <w:jc w:val="both"/>
              <w:rPr>
                <w:rFonts w:ascii="Arial" w:hAnsi="Arial" w:cs="Arial"/>
                <w:sz w:val="22"/>
                <w:szCs w:val="22"/>
              </w:rPr>
            </w:pPr>
          </w:p>
        </w:tc>
      </w:tr>
    </w:tbl>
    <w:p w14:paraId="42914F63" w14:textId="77777777" w:rsidR="006D121F" w:rsidRPr="00182AEA" w:rsidRDefault="006D121F">
      <w:pPr>
        <w:spacing w:line="360" w:lineRule="auto"/>
        <w:jc w:val="both"/>
        <w:rPr>
          <w:rFonts w:ascii="Arial" w:hAnsi="Arial" w:cs="Arial"/>
          <w:sz w:val="22"/>
          <w:szCs w:val="22"/>
        </w:rPr>
      </w:pPr>
    </w:p>
    <w:p w14:paraId="5B9F6E6B" w14:textId="77777777" w:rsidR="006D121F" w:rsidRPr="00182AEA" w:rsidRDefault="00E51950">
      <w:pPr>
        <w:spacing w:line="360" w:lineRule="auto"/>
        <w:jc w:val="both"/>
        <w:rPr>
          <w:rFonts w:ascii="Arial" w:hAnsi="Arial" w:cs="Arial"/>
          <w:b/>
          <w:bCs/>
          <w:sz w:val="22"/>
          <w:szCs w:val="22"/>
        </w:rPr>
      </w:pPr>
      <w:r w:rsidRPr="00182AEA">
        <w:rPr>
          <w:rFonts w:ascii="Arial" w:hAnsi="Arial" w:cs="Arial"/>
          <w:b/>
          <w:bCs/>
          <w:sz w:val="22"/>
          <w:szCs w:val="22"/>
        </w:rPr>
        <w:t>VRIO Analysis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761"/>
        <w:gridCol w:w="1190"/>
        <w:gridCol w:w="800"/>
        <w:gridCol w:w="1243"/>
        <w:gridCol w:w="1509"/>
        <w:gridCol w:w="2827"/>
      </w:tblGrid>
      <w:tr w:rsidR="006D121F" w:rsidRPr="00182AEA" w14:paraId="684ADD96" w14:textId="77777777">
        <w:trPr>
          <w:trHeight w:val="300"/>
        </w:trPr>
        <w:tc>
          <w:tcPr>
            <w:tcW w:w="1800" w:type="dxa"/>
            <w:shd w:val="clear" w:color="auto" w:fill="DAE8F8"/>
            <w:vAlign w:val="center"/>
          </w:tcPr>
          <w:p w14:paraId="0E5BD677"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Resource</w:t>
            </w:r>
          </w:p>
        </w:tc>
        <w:tc>
          <w:tcPr>
            <w:tcW w:w="1197" w:type="dxa"/>
            <w:shd w:val="clear" w:color="auto" w:fill="DAE8F8"/>
            <w:vAlign w:val="center"/>
          </w:tcPr>
          <w:p w14:paraId="743F53AA"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Valuable</w:t>
            </w:r>
          </w:p>
        </w:tc>
        <w:tc>
          <w:tcPr>
            <w:tcW w:w="810" w:type="dxa"/>
            <w:shd w:val="clear" w:color="auto" w:fill="DAE8F8"/>
            <w:vAlign w:val="center"/>
          </w:tcPr>
          <w:p w14:paraId="3C79A90E"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Rare</w:t>
            </w:r>
          </w:p>
        </w:tc>
        <w:tc>
          <w:tcPr>
            <w:tcW w:w="1192" w:type="dxa"/>
            <w:shd w:val="clear" w:color="auto" w:fill="DAE8F8"/>
            <w:vAlign w:val="center"/>
          </w:tcPr>
          <w:p w14:paraId="22574126"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Inimitable</w:t>
            </w:r>
          </w:p>
        </w:tc>
        <w:tc>
          <w:tcPr>
            <w:tcW w:w="1532" w:type="dxa"/>
            <w:shd w:val="clear" w:color="auto" w:fill="DAE8F8"/>
            <w:vAlign w:val="center"/>
          </w:tcPr>
          <w:p w14:paraId="086B1817" w14:textId="71A225AB" w:rsidR="006D121F" w:rsidRPr="00182AEA" w:rsidRDefault="00182AEA">
            <w:pPr>
              <w:spacing w:after="0" w:line="360" w:lineRule="auto"/>
              <w:jc w:val="both"/>
              <w:rPr>
                <w:rFonts w:ascii="Arial" w:hAnsi="Arial" w:cs="Arial"/>
                <w:b/>
                <w:bCs/>
                <w:sz w:val="22"/>
                <w:szCs w:val="22"/>
              </w:rPr>
            </w:pPr>
            <w:r w:rsidRPr="00182AEA">
              <w:rPr>
                <w:rFonts w:ascii="Arial" w:hAnsi="Arial" w:cs="Arial"/>
                <w:b/>
                <w:bCs/>
                <w:sz w:val="22"/>
                <w:szCs w:val="22"/>
              </w:rPr>
              <w:t>Organized</w:t>
            </w:r>
          </w:p>
        </w:tc>
        <w:tc>
          <w:tcPr>
            <w:tcW w:w="2964" w:type="dxa"/>
            <w:shd w:val="clear" w:color="auto" w:fill="DAE8F8"/>
            <w:vAlign w:val="center"/>
          </w:tcPr>
          <w:p w14:paraId="0F87D033" w14:textId="77777777" w:rsidR="006D121F" w:rsidRPr="00182AEA" w:rsidRDefault="00E51950">
            <w:pPr>
              <w:spacing w:after="0" w:line="360" w:lineRule="auto"/>
              <w:jc w:val="both"/>
              <w:rPr>
                <w:rFonts w:ascii="Arial" w:hAnsi="Arial" w:cs="Arial"/>
                <w:b/>
                <w:bCs/>
                <w:sz w:val="22"/>
                <w:szCs w:val="22"/>
              </w:rPr>
            </w:pPr>
            <w:r w:rsidRPr="00182AEA">
              <w:rPr>
                <w:rFonts w:ascii="Arial" w:hAnsi="Arial" w:cs="Arial"/>
                <w:b/>
                <w:bCs/>
                <w:sz w:val="22"/>
                <w:szCs w:val="22"/>
              </w:rPr>
              <w:t>Outcome</w:t>
            </w:r>
          </w:p>
        </w:tc>
      </w:tr>
      <w:tr w:rsidR="006D121F" w:rsidRPr="00182AEA" w14:paraId="6DAAA02D" w14:textId="77777777">
        <w:trPr>
          <w:trHeight w:val="345"/>
        </w:trPr>
        <w:tc>
          <w:tcPr>
            <w:tcW w:w="1800" w:type="dxa"/>
            <w:vAlign w:val="center"/>
          </w:tcPr>
          <w:p w14:paraId="1B23B204"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Brand reputation</w:t>
            </w:r>
          </w:p>
        </w:tc>
        <w:tc>
          <w:tcPr>
            <w:tcW w:w="1197" w:type="dxa"/>
            <w:shd w:val="clear" w:color="auto" w:fill="E8E8E8" w:themeFill="background2"/>
            <w:vAlign w:val="center"/>
          </w:tcPr>
          <w:p w14:paraId="4370F3DB"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810" w:type="dxa"/>
            <w:shd w:val="clear" w:color="auto" w:fill="E8E8E8" w:themeFill="background2"/>
            <w:vAlign w:val="center"/>
          </w:tcPr>
          <w:p w14:paraId="5F47FF6F"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192" w:type="dxa"/>
            <w:shd w:val="clear" w:color="auto" w:fill="E8E8E8" w:themeFill="background2"/>
            <w:vAlign w:val="center"/>
          </w:tcPr>
          <w:p w14:paraId="681F2E39"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532" w:type="dxa"/>
            <w:shd w:val="clear" w:color="auto" w:fill="E8E8E8" w:themeFill="background2"/>
            <w:vAlign w:val="center"/>
          </w:tcPr>
          <w:p w14:paraId="0F3D25F0"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2964" w:type="dxa"/>
            <w:vAlign w:val="center"/>
          </w:tcPr>
          <w:p w14:paraId="37E52AE0"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Sustained advantage</w:t>
            </w:r>
          </w:p>
        </w:tc>
      </w:tr>
      <w:tr w:rsidR="006D121F" w:rsidRPr="00182AEA" w14:paraId="58833D30" w14:textId="77777777">
        <w:trPr>
          <w:trHeight w:val="300"/>
        </w:trPr>
        <w:tc>
          <w:tcPr>
            <w:tcW w:w="1800" w:type="dxa"/>
            <w:vAlign w:val="center"/>
          </w:tcPr>
          <w:p w14:paraId="45CFBF28"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Engineering expertise</w:t>
            </w:r>
          </w:p>
        </w:tc>
        <w:tc>
          <w:tcPr>
            <w:tcW w:w="1197" w:type="dxa"/>
            <w:shd w:val="clear" w:color="auto" w:fill="E8E8E8" w:themeFill="background2"/>
            <w:vAlign w:val="center"/>
          </w:tcPr>
          <w:p w14:paraId="4DE52F15"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810" w:type="dxa"/>
            <w:shd w:val="clear" w:color="auto" w:fill="E8E8E8" w:themeFill="background2"/>
            <w:vAlign w:val="center"/>
          </w:tcPr>
          <w:p w14:paraId="6C4C1264"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192" w:type="dxa"/>
            <w:shd w:val="clear" w:color="auto" w:fill="E8E8E8" w:themeFill="background2"/>
            <w:vAlign w:val="center"/>
          </w:tcPr>
          <w:p w14:paraId="3D6A7765"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532" w:type="dxa"/>
            <w:shd w:val="clear" w:color="auto" w:fill="E8E8E8" w:themeFill="background2"/>
            <w:vAlign w:val="center"/>
          </w:tcPr>
          <w:p w14:paraId="38733B47"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2964" w:type="dxa"/>
            <w:vAlign w:val="center"/>
          </w:tcPr>
          <w:p w14:paraId="37B5E79D"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Temporary advantage</w:t>
            </w:r>
          </w:p>
        </w:tc>
      </w:tr>
      <w:tr w:rsidR="006D121F" w:rsidRPr="00182AEA" w14:paraId="791F21D9" w14:textId="77777777">
        <w:trPr>
          <w:trHeight w:val="300"/>
        </w:trPr>
        <w:tc>
          <w:tcPr>
            <w:tcW w:w="1800" w:type="dxa"/>
            <w:vAlign w:val="center"/>
          </w:tcPr>
          <w:p w14:paraId="3DCF3B65"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Software capability</w:t>
            </w:r>
          </w:p>
        </w:tc>
        <w:tc>
          <w:tcPr>
            <w:tcW w:w="1197" w:type="dxa"/>
            <w:shd w:val="clear" w:color="auto" w:fill="E8E8E8" w:themeFill="background2"/>
            <w:vAlign w:val="center"/>
          </w:tcPr>
          <w:p w14:paraId="52266D2E"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810" w:type="dxa"/>
            <w:shd w:val="clear" w:color="auto" w:fill="E8E8E8" w:themeFill="background2"/>
            <w:vAlign w:val="center"/>
          </w:tcPr>
          <w:p w14:paraId="27374F3C"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192" w:type="dxa"/>
            <w:shd w:val="clear" w:color="auto" w:fill="E8E8E8" w:themeFill="background2"/>
            <w:vAlign w:val="center"/>
          </w:tcPr>
          <w:p w14:paraId="0FE77C41"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1532" w:type="dxa"/>
            <w:shd w:val="clear" w:color="auto" w:fill="E8E8E8" w:themeFill="background2"/>
            <w:vAlign w:val="center"/>
          </w:tcPr>
          <w:p w14:paraId="3E9679B8" w14:textId="77777777" w:rsidR="006D121F" w:rsidRPr="00182AEA" w:rsidRDefault="00E51950">
            <w:pPr>
              <w:spacing w:after="0" w:line="360" w:lineRule="auto"/>
              <w:jc w:val="both"/>
              <w:rPr>
                <w:rFonts w:ascii="Arial" w:hAnsi="Arial" w:cs="Arial"/>
                <w:sz w:val="22"/>
                <w:szCs w:val="22"/>
              </w:rPr>
            </w:pPr>
            <w:r w:rsidRPr="00182AEA">
              <w:rPr>
                <w:rFonts w:ascii="Segoe UI Symbol" w:hAnsi="Segoe UI Symbol" w:cs="Segoe UI Symbol"/>
                <w:sz w:val="22"/>
                <w:szCs w:val="22"/>
              </w:rPr>
              <w:t>✖</w:t>
            </w:r>
          </w:p>
        </w:tc>
        <w:tc>
          <w:tcPr>
            <w:tcW w:w="2964" w:type="dxa"/>
            <w:vAlign w:val="center"/>
          </w:tcPr>
          <w:p w14:paraId="2DC852D9" w14:textId="77777777" w:rsidR="006D121F" w:rsidRPr="00182AEA" w:rsidRDefault="00E51950">
            <w:pPr>
              <w:spacing w:after="0" w:line="360" w:lineRule="auto"/>
              <w:jc w:val="both"/>
              <w:rPr>
                <w:rFonts w:ascii="Arial" w:hAnsi="Arial" w:cs="Arial"/>
                <w:sz w:val="22"/>
                <w:szCs w:val="22"/>
              </w:rPr>
            </w:pPr>
            <w:r w:rsidRPr="00182AEA">
              <w:rPr>
                <w:rFonts w:ascii="Arial" w:hAnsi="Arial" w:cs="Arial"/>
                <w:sz w:val="22"/>
                <w:szCs w:val="22"/>
              </w:rPr>
              <w:t>Competitive disadvantage</w:t>
            </w:r>
          </w:p>
        </w:tc>
      </w:tr>
    </w:tbl>
    <w:p w14:paraId="3A628BED" w14:textId="77777777" w:rsidR="006D121F" w:rsidRPr="00182AEA" w:rsidRDefault="006D121F">
      <w:pPr>
        <w:spacing w:before="240" w:after="240" w:line="360" w:lineRule="auto"/>
        <w:jc w:val="both"/>
        <w:rPr>
          <w:rFonts w:ascii="Arial" w:hAnsi="Arial" w:cs="Arial"/>
          <w:sz w:val="22"/>
          <w:szCs w:val="22"/>
        </w:rPr>
      </w:pPr>
    </w:p>
    <w:p w14:paraId="719ED3F1" w14:textId="77777777" w:rsidR="006D121F" w:rsidRPr="00182AEA" w:rsidRDefault="00E51950">
      <w:pPr>
        <w:spacing w:line="360" w:lineRule="auto"/>
        <w:jc w:val="both"/>
        <w:rPr>
          <w:rFonts w:ascii="Arial" w:hAnsi="Arial" w:cs="Arial"/>
          <w:b/>
          <w:bCs/>
          <w:sz w:val="22"/>
          <w:szCs w:val="22"/>
        </w:rPr>
      </w:pPr>
      <w:r w:rsidRPr="00182AEA">
        <w:rPr>
          <w:rFonts w:ascii="Arial" w:hAnsi="Arial" w:cs="Arial"/>
          <w:b/>
          <w:bCs/>
          <w:sz w:val="22"/>
          <w:szCs w:val="22"/>
        </w:rPr>
        <w:t xml:space="preserve">Value Chain Analysis (Key Insight) </w:t>
      </w:r>
    </w:p>
    <w:p w14:paraId="7535C460" w14:textId="5381D25F" w:rsidR="006D121F" w:rsidRPr="00182AEA" w:rsidRDefault="00E51950">
      <w:pPr>
        <w:spacing w:line="360" w:lineRule="auto"/>
        <w:jc w:val="both"/>
        <w:rPr>
          <w:rFonts w:ascii="Arial" w:hAnsi="Arial" w:cs="Arial"/>
          <w:sz w:val="22"/>
          <w:szCs w:val="22"/>
        </w:rPr>
      </w:pPr>
      <w:r w:rsidRPr="00182AEA">
        <w:rPr>
          <w:rFonts w:ascii="Arial" w:hAnsi="Arial" w:cs="Arial"/>
          <w:sz w:val="22"/>
          <w:szCs w:val="22"/>
        </w:rPr>
        <w:t xml:space="preserve">BMW has good operation, logistics, and marketing capacity that make it a premium brand in an efficient production system. Nonetheless, it has not been </w:t>
      </w:r>
      <w:r w:rsidR="00502330" w:rsidRPr="00182AEA">
        <w:rPr>
          <w:rFonts w:ascii="Arial" w:hAnsi="Arial" w:cs="Arial"/>
          <w:sz w:val="22"/>
          <w:szCs w:val="22"/>
        </w:rPr>
        <w:t>extraordinarily strong</w:t>
      </w:r>
      <w:r w:rsidRPr="00182AEA">
        <w:rPr>
          <w:rFonts w:ascii="Arial" w:hAnsi="Arial" w:cs="Arial"/>
          <w:sz w:val="22"/>
          <w:szCs w:val="22"/>
        </w:rPr>
        <w:t xml:space="preserve"> in </w:t>
      </w:r>
      <w:r w:rsidR="008E42EC" w:rsidRPr="00182AEA">
        <w:rPr>
          <w:rFonts w:ascii="Arial" w:hAnsi="Arial" w:cs="Arial"/>
          <w:sz w:val="22"/>
          <w:szCs w:val="22"/>
        </w:rPr>
        <w:t>technological</w:t>
      </w:r>
      <w:r w:rsidRPr="00182AEA">
        <w:rPr>
          <w:rFonts w:ascii="Arial" w:hAnsi="Arial" w:cs="Arial"/>
          <w:sz w:val="22"/>
          <w:szCs w:val="22"/>
        </w:rPr>
        <w:t xml:space="preserve"> development, especially in software integration and web services. This is a weakness that keeps BMW competing with technologically oriented participants only to a certain extent, and </w:t>
      </w:r>
      <w:r w:rsidR="008E42EC" w:rsidRPr="00182AEA">
        <w:rPr>
          <w:rFonts w:ascii="Arial" w:hAnsi="Arial" w:cs="Arial"/>
          <w:sz w:val="22"/>
          <w:szCs w:val="22"/>
        </w:rPr>
        <w:t>this</w:t>
      </w:r>
      <w:r w:rsidRPr="00182AEA">
        <w:rPr>
          <w:rFonts w:ascii="Arial" w:hAnsi="Arial" w:cs="Arial"/>
          <w:sz w:val="22"/>
          <w:szCs w:val="22"/>
        </w:rPr>
        <w:t xml:space="preserve"> is a need to strategically invest in digital capability (</w:t>
      </w:r>
      <w:proofErr w:type="spellStart"/>
      <w:r w:rsidRPr="00182AEA">
        <w:rPr>
          <w:rFonts w:ascii="Arial" w:hAnsi="Arial" w:cs="Arial"/>
          <w:sz w:val="22"/>
          <w:szCs w:val="22"/>
        </w:rPr>
        <w:t>Cresti</w:t>
      </w:r>
      <w:proofErr w:type="spellEnd"/>
      <w:r w:rsidRPr="00182AEA">
        <w:rPr>
          <w:rFonts w:ascii="Arial" w:hAnsi="Arial" w:cs="Arial"/>
          <w:sz w:val="22"/>
          <w:szCs w:val="22"/>
        </w:rPr>
        <w:t>, 2025).</w:t>
      </w:r>
    </w:p>
    <w:p w14:paraId="2ABB9295" w14:textId="77777777" w:rsidR="006D121F" w:rsidRPr="00182AEA" w:rsidRDefault="00E51950">
      <w:pPr>
        <w:spacing w:before="240" w:after="240" w:line="360" w:lineRule="auto"/>
        <w:jc w:val="both"/>
        <w:rPr>
          <w:rFonts w:ascii="Arial" w:hAnsi="Arial" w:cs="Arial"/>
          <w:sz w:val="22"/>
          <w:szCs w:val="22"/>
        </w:rPr>
      </w:pPr>
      <w:r w:rsidRPr="00182AEA">
        <w:rPr>
          <w:rFonts w:ascii="Arial" w:hAnsi="Arial" w:cs="Arial"/>
          <w:sz w:val="22"/>
          <w:szCs w:val="22"/>
        </w:rPr>
        <w:t xml:space="preserve"> </w:t>
      </w:r>
    </w:p>
    <w:p w14:paraId="78F333C5" w14:textId="77777777" w:rsidR="006D121F" w:rsidRPr="00182AEA" w:rsidRDefault="00E51950">
      <w:pPr>
        <w:pStyle w:val="Heading1"/>
        <w:keepNext w:val="0"/>
        <w:keepLines w:val="0"/>
        <w:spacing w:line="360" w:lineRule="auto"/>
        <w:jc w:val="both"/>
        <w:rPr>
          <w:rFonts w:ascii="Arial" w:eastAsiaTheme="minorEastAsia" w:hAnsi="Arial" w:cs="Arial"/>
          <w:b/>
          <w:bCs/>
          <w:sz w:val="22"/>
          <w:szCs w:val="22"/>
        </w:rPr>
      </w:pPr>
      <w:bookmarkStart w:id="7" w:name="_Toc225671727"/>
      <w:r w:rsidRPr="00182AEA">
        <w:rPr>
          <w:rFonts w:ascii="Arial" w:eastAsiaTheme="minorEastAsia" w:hAnsi="Arial" w:cs="Arial"/>
          <w:b/>
          <w:bCs/>
          <w:sz w:val="22"/>
          <w:szCs w:val="22"/>
        </w:rPr>
        <w:t>Strategy Formulation</w:t>
      </w:r>
      <w:bookmarkEnd w:id="7"/>
      <w:r w:rsidRPr="00182AEA">
        <w:rPr>
          <w:rFonts w:ascii="Arial" w:eastAsiaTheme="minorEastAsia" w:hAnsi="Arial" w:cs="Arial"/>
          <w:b/>
          <w:bCs/>
          <w:sz w:val="22"/>
          <w:szCs w:val="22"/>
        </w:rPr>
        <w:t xml:space="preserve"> </w:t>
      </w:r>
    </w:p>
    <w:p w14:paraId="2515FE03" w14:textId="1603FE0F"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lastRenderedPageBreak/>
        <w:t xml:space="preserve">In the above analysis, BMW will be required to adopt a technology-led change strategy that will transform the company back to a </w:t>
      </w:r>
      <w:r w:rsidR="008E42EC" w:rsidRPr="008E42EC">
        <w:rPr>
          <w:rFonts w:ascii="Arial" w:hAnsi="Arial" w:cs="Arial"/>
          <w:sz w:val="22"/>
          <w:szCs w:val="22"/>
        </w:rPr>
        <w:t>digitalized</w:t>
      </w:r>
      <w:r w:rsidRPr="008E42EC">
        <w:rPr>
          <w:rFonts w:ascii="Arial" w:hAnsi="Arial" w:cs="Arial"/>
          <w:sz w:val="22"/>
          <w:szCs w:val="22"/>
        </w:rPr>
        <w:t xml:space="preserve"> mobility company and not a traditional producer. This </w:t>
      </w:r>
      <w:r w:rsidR="008E42EC" w:rsidRPr="008E42EC">
        <w:rPr>
          <w:rFonts w:ascii="Arial" w:hAnsi="Arial" w:cs="Arial"/>
          <w:sz w:val="22"/>
          <w:szCs w:val="22"/>
        </w:rPr>
        <w:t>must</w:t>
      </w:r>
      <w:r w:rsidRPr="008E42EC">
        <w:rPr>
          <w:rFonts w:ascii="Arial" w:hAnsi="Arial" w:cs="Arial"/>
          <w:sz w:val="22"/>
          <w:szCs w:val="22"/>
        </w:rPr>
        <w:t xml:space="preserve"> allow it to respond to structural weaknesses and emerging competitive forces in the industry. </w:t>
      </w:r>
    </w:p>
    <w:p w14:paraId="57BE6CDD" w14:textId="77777777" w:rsidR="006D121F" w:rsidRPr="008E42EC" w:rsidRDefault="00E51950">
      <w:pPr>
        <w:spacing w:before="240" w:after="240" w:line="360" w:lineRule="auto"/>
        <w:jc w:val="both"/>
        <w:rPr>
          <w:rStyle w:val="Heading2Char"/>
          <w:rFonts w:ascii="Arial" w:eastAsiaTheme="minorEastAsia" w:hAnsi="Arial" w:cs="Arial"/>
          <w:b/>
          <w:bCs/>
          <w:sz w:val="22"/>
          <w:szCs w:val="22"/>
        </w:rPr>
      </w:pPr>
      <w:bookmarkStart w:id="8" w:name="_Toc225671728"/>
      <w:r w:rsidRPr="008E42EC">
        <w:rPr>
          <w:rStyle w:val="Heading2Char"/>
          <w:rFonts w:ascii="Arial" w:eastAsiaTheme="minorEastAsia" w:hAnsi="Arial" w:cs="Arial"/>
          <w:b/>
          <w:bCs/>
          <w:sz w:val="22"/>
          <w:szCs w:val="22"/>
        </w:rPr>
        <w:t>Developed strategy: Integrated EV and Digital Ecosystem Strategy</w:t>
      </w:r>
      <w:bookmarkEnd w:id="8"/>
    </w:p>
    <w:p w14:paraId="3F6347D5"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Accelerated Electrification involves the replacement of multiple powertrain systems with </w:t>
      </w:r>
      <w:proofErr w:type="gramStart"/>
      <w:r w:rsidRPr="008E42EC">
        <w:rPr>
          <w:rFonts w:ascii="Arial" w:hAnsi="Arial" w:cs="Arial"/>
          <w:sz w:val="22"/>
          <w:szCs w:val="22"/>
        </w:rPr>
        <w:t>some</w:t>
      </w:r>
      <w:proofErr w:type="gramEnd"/>
      <w:r w:rsidRPr="008E42EC">
        <w:rPr>
          <w:rFonts w:ascii="Arial" w:hAnsi="Arial" w:cs="Arial"/>
          <w:sz w:val="22"/>
          <w:szCs w:val="22"/>
        </w:rPr>
        <w:t xml:space="preserve"> electric vehicle systems. This will render portions of the economy effective, complicated, and will be a strategic investment. Simultaneously, the reduced reliance on the use of automobiles powered by internal combustion engines will make BMW vulnerable to the existing trends and requirements of the future (Liu </w:t>
      </w:r>
      <w:r w:rsidRPr="008E42EC">
        <w:rPr>
          <w:rFonts w:ascii="Arial" w:hAnsi="Arial" w:cs="Arial"/>
          <w:i/>
          <w:iCs/>
          <w:sz w:val="22"/>
          <w:szCs w:val="22"/>
        </w:rPr>
        <w:t>et al.,</w:t>
      </w:r>
      <w:r w:rsidRPr="008E42EC">
        <w:rPr>
          <w:rFonts w:ascii="Arial" w:hAnsi="Arial" w:cs="Arial"/>
          <w:sz w:val="22"/>
          <w:szCs w:val="22"/>
        </w:rPr>
        <w:t xml:space="preserve"> 2024). </w:t>
      </w:r>
    </w:p>
    <w:p w14:paraId="5EC77F48" w14:textId="662422E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A software ecosystem is needed </w:t>
      </w:r>
      <w:r w:rsidR="008E42EC" w:rsidRPr="008E42EC">
        <w:rPr>
          <w:rFonts w:ascii="Arial" w:hAnsi="Arial" w:cs="Arial"/>
          <w:sz w:val="22"/>
          <w:szCs w:val="22"/>
        </w:rPr>
        <w:t>to</w:t>
      </w:r>
      <w:r w:rsidRPr="008E42EC">
        <w:rPr>
          <w:rFonts w:ascii="Arial" w:hAnsi="Arial" w:cs="Arial"/>
          <w:sz w:val="22"/>
          <w:szCs w:val="22"/>
        </w:rPr>
        <w:t xml:space="preserve"> embrace long-term competitiveness. BMW must also invest in </w:t>
      </w:r>
      <w:proofErr w:type="gramStart"/>
      <w:r w:rsidRPr="008E42EC">
        <w:rPr>
          <w:rFonts w:ascii="Arial" w:hAnsi="Arial" w:cs="Arial"/>
          <w:sz w:val="22"/>
          <w:szCs w:val="22"/>
        </w:rPr>
        <w:t>some</w:t>
      </w:r>
      <w:proofErr w:type="gramEnd"/>
      <w:r w:rsidRPr="008E42EC">
        <w:rPr>
          <w:rFonts w:ascii="Arial" w:hAnsi="Arial" w:cs="Arial"/>
          <w:sz w:val="22"/>
          <w:szCs w:val="22"/>
        </w:rPr>
        <w:t xml:space="preserve"> in-house programming ability to reduce outsourcing and design web services in the form of a subscription that forms recurring revenue and customer interactions. </w:t>
      </w:r>
    </w:p>
    <w:p w14:paraId="266AE33F" w14:textId="4098B963"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BMW will be able to achieve the capability and innovation risk gaps through Strategic Partnerships. The partnership with technology firms will be invested in </w:t>
      </w:r>
      <w:r w:rsidR="008E42EC" w:rsidRPr="008E42EC">
        <w:rPr>
          <w:rFonts w:ascii="Arial" w:hAnsi="Arial" w:cs="Arial"/>
          <w:sz w:val="22"/>
          <w:szCs w:val="22"/>
        </w:rPr>
        <w:t>developing</w:t>
      </w:r>
      <w:r w:rsidRPr="008E42EC">
        <w:rPr>
          <w:rFonts w:ascii="Arial" w:hAnsi="Arial" w:cs="Arial"/>
          <w:sz w:val="22"/>
          <w:szCs w:val="22"/>
        </w:rPr>
        <w:t xml:space="preserve"> faster artificial intelligence and autonomous systems, and a partnership with battery developers will decongest quality chains and </w:t>
      </w:r>
      <w:r w:rsidR="008E42EC" w:rsidRPr="008E42EC">
        <w:rPr>
          <w:rFonts w:ascii="Arial" w:hAnsi="Arial" w:cs="Arial"/>
          <w:sz w:val="22"/>
          <w:szCs w:val="22"/>
        </w:rPr>
        <w:t>minimize</w:t>
      </w:r>
      <w:r w:rsidRPr="008E42EC">
        <w:rPr>
          <w:rFonts w:ascii="Arial" w:hAnsi="Arial" w:cs="Arial"/>
          <w:sz w:val="22"/>
          <w:szCs w:val="22"/>
        </w:rPr>
        <w:t xml:space="preserve"> costs. </w:t>
      </w:r>
    </w:p>
    <w:p w14:paraId="6D9CA58D"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The direction they should be taken is to develop the battery production ability using Vertical Integration which will weaken the suppliers and render them operationally resistant (</w:t>
      </w:r>
      <w:proofErr w:type="spellStart"/>
      <w:r w:rsidRPr="008E42EC">
        <w:rPr>
          <w:rFonts w:ascii="Arial" w:hAnsi="Arial" w:cs="Arial"/>
          <w:sz w:val="22"/>
          <w:szCs w:val="22"/>
        </w:rPr>
        <w:t>Lampón</w:t>
      </w:r>
      <w:proofErr w:type="spellEnd"/>
      <w:r w:rsidRPr="008E42EC">
        <w:rPr>
          <w:rFonts w:ascii="Arial" w:hAnsi="Arial" w:cs="Arial"/>
          <w:sz w:val="22"/>
          <w:szCs w:val="22"/>
        </w:rPr>
        <w:t xml:space="preserve">, Rodríguez De la Fuente and </w:t>
      </w:r>
      <w:proofErr w:type="spellStart"/>
      <w:r w:rsidRPr="008E42EC">
        <w:rPr>
          <w:rFonts w:ascii="Arial" w:hAnsi="Arial" w:cs="Arial"/>
          <w:sz w:val="22"/>
          <w:szCs w:val="22"/>
        </w:rPr>
        <w:t>Fraiz</w:t>
      </w:r>
      <w:proofErr w:type="spellEnd"/>
      <w:r w:rsidRPr="008E42EC">
        <w:rPr>
          <w:rFonts w:ascii="Arial" w:hAnsi="Arial" w:cs="Arial"/>
          <w:sz w:val="22"/>
          <w:szCs w:val="22"/>
        </w:rPr>
        <w:t xml:space="preserve">-Brea, 2022). </w:t>
      </w:r>
    </w:p>
    <w:p w14:paraId="2D87FEDF" w14:textId="017ACF90"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Customer Centric Innovation refers to the </w:t>
      </w:r>
      <w:r w:rsidR="008E42EC" w:rsidRPr="008E42EC">
        <w:rPr>
          <w:rFonts w:ascii="Arial" w:hAnsi="Arial" w:cs="Arial"/>
          <w:sz w:val="22"/>
          <w:szCs w:val="22"/>
        </w:rPr>
        <w:t>digitalization</w:t>
      </w:r>
      <w:r w:rsidRPr="008E42EC">
        <w:rPr>
          <w:rFonts w:ascii="Arial" w:hAnsi="Arial" w:cs="Arial"/>
          <w:sz w:val="22"/>
          <w:szCs w:val="22"/>
        </w:rPr>
        <w:t xml:space="preserve"> of contacts as well as the provision of personal mobility services and is not pegged </w:t>
      </w:r>
      <w:r w:rsidR="008E42EC" w:rsidRPr="008E42EC">
        <w:rPr>
          <w:rFonts w:ascii="Arial" w:hAnsi="Arial" w:cs="Arial"/>
          <w:sz w:val="22"/>
          <w:szCs w:val="22"/>
        </w:rPr>
        <w:t>into</w:t>
      </w:r>
      <w:r w:rsidRPr="008E42EC">
        <w:rPr>
          <w:rFonts w:ascii="Arial" w:hAnsi="Arial" w:cs="Arial"/>
          <w:sz w:val="22"/>
          <w:szCs w:val="22"/>
        </w:rPr>
        <w:t xml:space="preserve"> the traditional paradigm of ownership. </w:t>
      </w:r>
    </w:p>
    <w:p w14:paraId="5549732C" w14:textId="77777777" w:rsidR="006D121F" w:rsidRDefault="00E51950">
      <w:pPr>
        <w:rPr>
          <w:b/>
          <w:bCs/>
        </w:rPr>
      </w:pPr>
      <w:r>
        <w:rPr>
          <w:b/>
          <w:bCs/>
        </w:rPr>
        <w:br w:type="page"/>
      </w:r>
    </w:p>
    <w:p w14:paraId="7DD447BB" w14:textId="77777777" w:rsidR="006D121F" w:rsidRPr="008E42EC" w:rsidRDefault="00E51950">
      <w:pPr>
        <w:pStyle w:val="Heading2"/>
        <w:keepNext w:val="0"/>
        <w:keepLines w:val="0"/>
        <w:spacing w:line="360" w:lineRule="auto"/>
        <w:jc w:val="both"/>
        <w:rPr>
          <w:rFonts w:ascii="Arial" w:eastAsiaTheme="minorEastAsia" w:hAnsi="Arial" w:cs="Arial"/>
          <w:b/>
          <w:bCs/>
          <w:sz w:val="22"/>
          <w:szCs w:val="22"/>
        </w:rPr>
      </w:pPr>
      <w:bookmarkStart w:id="9" w:name="_Toc225671729"/>
      <w:r w:rsidRPr="008E42EC">
        <w:rPr>
          <w:rFonts w:ascii="Arial" w:eastAsiaTheme="minorEastAsia" w:hAnsi="Arial" w:cs="Arial"/>
          <w:b/>
          <w:bCs/>
          <w:sz w:val="22"/>
          <w:szCs w:val="22"/>
        </w:rPr>
        <w:lastRenderedPageBreak/>
        <w:t>Strategic Justification</w:t>
      </w:r>
      <w:bookmarkEnd w:id="9"/>
      <w:r w:rsidRPr="008E42EC">
        <w:rPr>
          <w:rFonts w:ascii="Arial" w:eastAsiaTheme="minorEastAsia" w:hAnsi="Arial" w:cs="Arial"/>
          <w:b/>
          <w:bCs/>
          <w:sz w:val="22"/>
          <w:szCs w:val="22"/>
        </w:rPr>
        <w:t xml:space="preserve"> </w:t>
      </w:r>
    </w:p>
    <w:p w14:paraId="53D0CE96" w14:textId="437DCBE5"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The strategy is more precise, as it focuses on the weaknesses in the software development process at BMW, reduces the threat of competition exhibited by electric vehicle market leaders, and exploits the opportunities of digital services (Nettekoven, 2023). Assured to be up to date with changes in the industry and </w:t>
      </w:r>
      <w:r w:rsidR="008E42EC" w:rsidRPr="008E42EC">
        <w:rPr>
          <w:rFonts w:ascii="Arial" w:hAnsi="Arial" w:cs="Arial"/>
          <w:sz w:val="22"/>
          <w:szCs w:val="22"/>
        </w:rPr>
        <w:t>utilize</w:t>
      </w:r>
      <w:r w:rsidRPr="008E42EC">
        <w:rPr>
          <w:rFonts w:ascii="Arial" w:hAnsi="Arial" w:cs="Arial"/>
          <w:sz w:val="22"/>
          <w:szCs w:val="22"/>
        </w:rPr>
        <w:t xml:space="preserve"> current brand awareness and engineering proficiency base. </w:t>
      </w:r>
    </w:p>
    <w:p w14:paraId="0C9241DD" w14:textId="77777777" w:rsidR="006D121F" w:rsidRPr="008E42EC" w:rsidRDefault="00E51950" w:rsidP="00DB02B6">
      <w:pPr>
        <w:spacing w:before="240" w:after="240" w:line="360" w:lineRule="auto"/>
        <w:jc w:val="both"/>
        <w:rPr>
          <w:rFonts w:ascii="Arial" w:hAnsi="Arial" w:cs="Arial"/>
          <w:b/>
          <w:bCs/>
          <w:sz w:val="22"/>
          <w:szCs w:val="22"/>
        </w:rPr>
      </w:pPr>
      <w:r w:rsidRPr="008E42EC">
        <w:rPr>
          <w:rFonts w:ascii="Arial" w:hAnsi="Arial" w:cs="Arial"/>
          <w:sz w:val="22"/>
          <w:szCs w:val="22"/>
        </w:rPr>
        <w:t xml:space="preserve"> </w:t>
      </w:r>
      <w:bookmarkStart w:id="10" w:name="_Toc225671730"/>
      <w:r w:rsidRPr="008E42EC">
        <w:rPr>
          <w:rStyle w:val="Heading1Char"/>
          <w:rFonts w:ascii="Arial" w:eastAsiaTheme="minorEastAsia" w:hAnsi="Arial" w:cs="Arial"/>
          <w:b/>
          <w:bCs/>
          <w:sz w:val="22"/>
          <w:szCs w:val="22"/>
        </w:rPr>
        <w:t>Conclusion and Recommendations</w:t>
      </w:r>
      <w:bookmarkEnd w:id="10"/>
    </w:p>
    <w:p w14:paraId="61F567F1" w14:textId="5375E1AD"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As shown in the review, BMW </w:t>
      </w:r>
      <w:r w:rsidR="008E42EC" w:rsidRPr="008E42EC">
        <w:rPr>
          <w:rFonts w:ascii="Arial" w:hAnsi="Arial" w:cs="Arial"/>
          <w:sz w:val="22"/>
          <w:szCs w:val="22"/>
        </w:rPr>
        <w:t>operates</w:t>
      </w:r>
      <w:r w:rsidRPr="008E42EC">
        <w:rPr>
          <w:rFonts w:ascii="Arial" w:hAnsi="Arial" w:cs="Arial"/>
          <w:sz w:val="22"/>
          <w:szCs w:val="22"/>
        </w:rPr>
        <w:t xml:space="preserve"> within a very dynamic and competitive environment due to the experience of technology disruptive pressures. This company has </w:t>
      </w:r>
      <w:r w:rsidR="00182AEA" w:rsidRPr="008E42EC">
        <w:rPr>
          <w:rFonts w:ascii="Arial" w:hAnsi="Arial" w:cs="Arial"/>
          <w:sz w:val="22"/>
          <w:szCs w:val="22"/>
        </w:rPr>
        <w:t>high-quality brand</w:t>
      </w:r>
      <w:r w:rsidRPr="008E42EC">
        <w:rPr>
          <w:rFonts w:ascii="Arial" w:hAnsi="Arial" w:cs="Arial"/>
          <w:sz w:val="22"/>
          <w:szCs w:val="22"/>
        </w:rPr>
        <w:t xml:space="preserve"> equity and engineering, yet the intent of the current strategy is a sign of transitional strategy, which may end up crippling the competitiveness of the company in long run. </w:t>
      </w:r>
    </w:p>
    <w:p w14:paraId="1EA16C48"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The external analysis deals with the increasing pressure of regulation and competitive pressures, whereas the internal analysis indicates the gaps in the software as per the capabilities and electrification speed. The findings demonstrate that a strategic change is needed to see BMW in the current market standing. </w:t>
      </w:r>
    </w:p>
    <w:p w14:paraId="31C3D6EE" w14:textId="77777777"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They have proposed accelerating the electrification process, building digital capabilities, and building strategic partnerships. The existing gaps need to be filled and the opportunities that are available exploited, which can be facilitated only through such initiatives. </w:t>
      </w:r>
    </w:p>
    <w:p w14:paraId="41193AF5" w14:textId="6EC4EE42" w:rsidR="006D121F" w:rsidRPr="008E42EC" w:rsidRDefault="00E51950">
      <w:pPr>
        <w:spacing w:before="240" w:after="240" w:line="360" w:lineRule="auto"/>
        <w:jc w:val="both"/>
        <w:rPr>
          <w:rFonts w:ascii="Arial" w:hAnsi="Arial" w:cs="Arial"/>
          <w:sz w:val="22"/>
          <w:szCs w:val="22"/>
        </w:rPr>
      </w:pPr>
      <w:r w:rsidRPr="008E42EC">
        <w:rPr>
          <w:rFonts w:ascii="Arial" w:hAnsi="Arial" w:cs="Arial"/>
          <w:sz w:val="22"/>
          <w:szCs w:val="22"/>
        </w:rPr>
        <w:t xml:space="preserve">In conclusion, BMW will not be successful in the future due to a potential paradigm shift to a technology-based mobility ecosystem. Under the proposed plan, BMW will have an opportunity to scale its competitiveness and expand into the dynamic auto business with </w:t>
      </w:r>
      <w:r w:rsidR="008E42EC" w:rsidRPr="008E42EC">
        <w:rPr>
          <w:rFonts w:ascii="Arial" w:hAnsi="Arial" w:cs="Arial"/>
          <w:sz w:val="22"/>
          <w:szCs w:val="22"/>
        </w:rPr>
        <w:t>the</w:t>
      </w:r>
      <w:r w:rsidRPr="008E42EC">
        <w:rPr>
          <w:rFonts w:ascii="Arial" w:hAnsi="Arial" w:cs="Arial"/>
          <w:sz w:val="22"/>
          <w:szCs w:val="22"/>
        </w:rPr>
        <w:t xml:space="preserve"> aim of attaining sustainable expansion.</w:t>
      </w:r>
    </w:p>
    <w:p w14:paraId="7FF7A251" w14:textId="77777777" w:rsidR="006D121F" w:rsidRDefault="00E51950">
      <w:pPr>
        <w:spacing w:line="360" w:lineRule="auto"/>
        <w:jc w:val="both"/>
      </w:pPr>
      <w:r>
        <w:br w:type="page"/>
      </w:r>
    </w:p>
    <w:p w14:paraId="5A1AEB0B" w14:textId="77777777" w:rsidR="006D121F" w:rsidRPr="00182AEA" w:rsidRDefault="00E51950">
      <w:pPr>
        <w:spacing w:before="240" w:after="240" w:line="360" w:lineRule="auto"/>
        <w:jc w:val="both"/>
        <w:rPr>
          <w:rStyle w:val="Heading1Char"/>
          <w:rFonts w:ascii="Arial" w:eastAsiaTheme="minorEastAsia" w:hAnsi="Arial" w:cs="Arial"/>
          <w:b/>
          <w:bCs/>
          <w:sz w:val="22"/>
          <w:szCs w:val="22"/>
        </w:rPr>
      </w:pPr>
      <w:bookmarkStart w:id="11" w:name="_Toc225671731"/>
      <w:r w:rsidRPr="00182AEA">
        <w:rPr>
          <w:rStyle w:val="Heading1Char"/>
          <w:rFonts w:ascii="Arial" w:eastAsiaTheme="minorEastAsia" w:hAnsi="Arial" w:cs="Arial"/>
          <w:b/>
          <w:bCs/>
          <w:sz w:val="22"/>
          <w:szCs w:val="22"/>
        </w:rPr>
        <w:lastRenderedPageBreak/>
        <w:t>References</w:t>
      </w:r>
      <w:bookmarkEnd w:id="11"/>
    </w:p>
    <w:p w14:paraId="55B7FB4F" w14:textId="283C7F47" w:rsidR="006D121F" w:rsidRPr="00182AEA" w:rsidRDefault="00E51950">
      <w:pPr>
        <w:spacing w:before="240" w:after="240" w:line="360" w:lineRule="auto"/>
        <w:jc w:val="both"/>
        <w:rPr>
          <w:rFonts w:ascii="Arial" w:hAnsi="Arial" w:cs="Arial"/>
          <w:sz w:val="22"/>
          <w:szCs w:val="22"/>
        </w:rPr>
      </w:pPr>
      <w:r w:rsidRPr="00182AEA">
        <w:rPr>
          <w:rFonts w:ascii="Arial" w:hAnsi="Arial" w:cs="Arial"/>
          <w:sz w:val="22"/>
          <w:szCs w:val="22"/>
        </w:rPr>
        <w:t xml:space="preserve">Anderson, E.G. (2022) ‘Electric vehicles as platform businesses’, </w:t>
      </w:r>
      <w:r w:rsidRPr="00182AEA">
        <w:rPr>
          <w:rFonts w:ascii="Arial" w:hAnsi="Arial" w:cs="Arial"/>
          <w:i/>
          <w:iCs/>
          <w:sz w:val="22"/>
          <w:szCs w:val="22"/>
        </w:rPr>
        <w:t>California Management Review</w:t>
      </w:r>
      <w:r w:rsidRPr="00182AEA">
        <w:rPr>
          <w:rFonts w:ascii="Arial" w:hAnsi="Arial" w:cs="Arial"/>
          <w:sz w:val="22"/>
          <w:szCs w:val="22"/>
        </w:rPr>
        <w:t xml:space="preserve">, 64(3), pp. 5–23. Available at: </w:t>
      </w:r>
      <w:hyperlink r:id="rId7">
        <w:r w:rsidRPr="00182AEA">
          <w:rPr>
            <w:rStyle w:val="Hyperlink"/>
            <w:rFonts w:ascii="Arial" w:hAnsi="Arial" w:cs="Arial"/>
            <w:sz w:val="22"/>
            <w:szCs w:val="22"/>
          </w:rPr>
          <w:t>https://journals.sagepub.com/doi/10.1177/00081256221107420</w:t>
        </w:r>
      </w:hyperlink>
      <w:r w:rsidRPr="00182AEA">
        <w:rPr>
          <w:rFonts w:ascii="Arial" w:hAnsi="Arial" w:cs="Arial"/>
          <w:sz w:val="22"/>
          <w:szCs w:val="22"/>
        </w:rPr>
        <w:t xml:space="preserve"> (Accessed: 25</w:t>
      </w:r>
      <w:r w:rsidR="008E42EC" w:rsidRPr="00182AEA">
        <w:rPr>
          <w:rFonts w:ascii="Arial" w:hAnsi="Arial" w:cs="Arial"/>
          <w:sz w:val="22"/>
          <w:szCs w:val="22"/>
          <w:vertAlign w:val="superscript"/>
        </w:rPr>
        <w:t>th</w:t>
      </w:r>
      <w:r w:rsidR="008E42EC" w:rsidRPr="00182AEA">
        <w:rPr>
          <w:rFonts w:ascii="Arial" w:hAnsi="Arial" w:cs="Arial"/>
          <w:sz w:val="22"/>
          <w:szCs w:val="22"/>
        </w:rPr>
        <w:t xml:space="preserve"> March</w:t>
      </w:r>
      <w:r w:rsidRPr="00182AEA">
        <w:rPr>
          <w:rFonts w:ascii="Arial" w:hAnsi="Arial" w:cs="Arial"/>
          <w:sz w:val="22"/>
          <w:szCs w:val="22"/>
        </w:rPr>
        <w:t xml:space="preserve"> 2026).</w:t>
      </w:r>
    </w:p>
    <w:p w14:paraId="0E30D846" w14:textId="6DACE47E" w:rsidR="006D121F" w:rsidRPr="00182AEA" w:rsidRDefault="00E51950">
      <w:pPr>
        <w:spacing w:before="240" w:after="240" w:line="360" w:lineRule="auto"/>
        <w:jc w:val="both"/>
        <w:rPr>
          <w:rFonts w:ascii="Arial" w:hAnsi="Arial" w:cs="Arial"/>
          <w:sz w:val="22"/>
          <w:szCs w:val="22"/>
        </w:rPr>
      </w:pPr>
      <w:proofErr w:type="spellStart"/>
      <w:r w:rsidRPr="00182AEA">
        <w:rPr>
          <w:rFonts w:ascii="Arial" w:hAnsi="Arial" w:cs="Arial"/>
          <w:sz w:val="22"/>
          <w:szCs w:val="22"/>
        </w:rPr>
        <w:t>Cresti</w:t>
      </w:r>
      <w:proofErr w:type="spellEnd"/>
      <w:r w:rsidRPr="00182AEA">
        <w:rPr>
          <w:rFonts w:ascii="Arial" w:hAnsi="Arial" w:cs="Arial"/>
          <w:sz w:val="22"/>
          <w:szCs w:val="22"/>
        </w:rPr>
        <w:t>, L. (</w:t>
      </w:r>
      <w:r w:rsidR="008E42EC" w:rsidRPr="00182AEA">
        <w:rPr>
          <w:rFonts w:ascii="Arial" w:hAnsi="Arial" w:cs="Arial"/>
          <w:sz w:val="22"/>
          <w:szCs w:val="22"/>
        </w:rPr>
        <w:t xml:space="preserve">2025) </w:t>
      </w:r>
      <w:r w:rsidRPr="00182AEA">
        <w:rPr>
          <w:rFonts w:ascii="Arial" w:hAnsi="Arial" w:cs="Arial"/>
          <w:sz w:val="22"/>
          <w:szCs w:val="22"/>
        </w:rPr>
        <w:t xml:space="preserve">Vulnerabilities in EU automotive industry’, </w:t>
      </w:r>
      <w:r w:rsidRPr="00182AEA">
        <w:rPr>
          <w:rFonts w:ascii="Arial" w:hAnsi="Arial" w:cs="Arial"/>
          <w:i/>
          <w:iCs/>
          <w:sz w:val="22"/>
          <w:szCs w:val="22"/>
        </w:rPr>
        <w:t>Economic Complexity Journal</w:t>
      </w:r>
      <w:r w:rsidRPr="00182AEA">
        <w:rPr>
          <w:rFonts w:ascii="Arial" w:hAnsi="Arial" w:cs="Arial"/>
          <w:sz w:val="22"/>
          <w:szCs w:val="22"/>
        </w:rPr>
        <w:t xml:space="preserve">. Available at: </w:t>
      </w:r>
      <w:hyperlink r:id="rId8">
        <w:r w:rsidRPr="00182AEA">
          <w:rPr>
            <w:rStyle w:val="Hyperlink"/>
            <w:rFonts w:ascii="Arial" w:hAnsi="Arial" w:cs="Arial"/>
            <w:sz w:val="22"/>
            <w:szCs w:val="22"/>
          </w:rPr>
          <w:t>https://arxiv.org/abs/2501.01781</w:t>
        </w:r>
      </w:hyperlink>
      <w:r w:rsidRPr="00182AEA">
        <w:rPr>
          <w:rFonts w:ascii="Arial" w:hAnsi="Arial" w:cs="Arial"/>
          <w:sz w:val="22"/>
          <w:szCs w:val="22"/>
        </w:rPr>
        <w:t xml:space="preserve"> (Accessed: 25</w:t>
      </w:r>
      <w:r w:rsidR="008E42EC" w:rsidRPr="00182AEA">
        <w:rPr>
          <w:rFonts w:ascii="Arial" w:hAnsi="Arial" w:cs="Arial"/>
          <w:sz w:val="22"/>
          <w:szCs w:val="22"/>
          <w:vertAlign w:val="superscript"/>
        </w:rPr>
        <w:t>th</w:t>
      </w:r>
      <w:r w:rsidR="008E42EC" w:rsidRPr="00182AEA">
        <w:rPr>
          <w:rFonts w:ascii="Arial" w:hAnsi="Arial" w:cs="Arial"/>
          <w:sz w:val="22"/>
          <w:szCs w:val="22"/>
        </w:rPr>
        <w:t xml:space="preserve"> March</w:t>
      </w:r>
      <w:r w:rsidRPr="00182AEA">
        <w:rPr>
          <w:rFonts w:ascii="Arial" w:hAnsi="Arial" w:cs="Arial"/>
          <w:sz w:val="22"/>
          <w:szCs w:val="22"/>
        </w:rPr>
        <w:t xml:space="preserve"> 2026).</w:t>
      </w:r>
    </w:p>
    <w:p w14:paraId="02E5AF5A" w14:textId="145EB819" w:rsidR="006D121F" w:rsidRPr="00182AEA" w:rsidRDefault="00E51950">
      <w:pPr>
        <w:spacing w:before="240" w:after="240" w:line="360" w:lineRule="auto"/>
        <w:jc w:val="both"/>
        <w:rPr>
          <w:rFonts w:ascii="Arial" w:hAnsi="Arial" w:cs="Arial"/>
          <w:sz w:val="22"/>
          <w:szCs w:val="22"/>
        </w:rPr>
      </w:pPr>
      <w:r w:rsidRPr="00182AEA">
        <w:rPr>
          <w:rFonts w:ascii="Arial" w:hAnsi="Arial" w:cs="Arial"/>
          <w:color w:val="222222"/>
          <w:sz w:val="22"/>
          <w:szCs w:val="22"/>
        </w:rPr>
        <w:t xml:space="preserve">Cuc, Z. and Cilan, T.F. (2025). The economic and financial diagnosis of BMW. In </w:t>
      </w:r>
      <w:r w:rsidRPr="00182AEA">
        <w:rPr>
          <w:rFonts w:ascii="Arial" w:hAnsi="Arial" w:cs="Arial"/>
          <w:i/>
          <w:iCs/>
          <w:color w:val="222222"/>
          <w:sz w:val="22"/>
          <w:szCs w:val="22"/>
        </w:rPr>
        <w:t>Challenges of accounting for young researchers</w:t>
      </w:r>
      <w:r w:rsidRPr="00182AEA">
        <w:rPr>
          <w:rFonts w:ascii="Arial" w:hAnsi="Arial" w:cs="Arial"/>
          <w:color w:val="222222"/>
          <w:sz w:val="22"/>
          <w:szCs w:val="22"/>
        </w:rPr>
        <w:t xml:space="preserve"> (pp. 155-157). Available at: </w:t>
      </w:r>
      <w:hyperlink r:id="rId9">
        <w:r w:rsidRPr="00182AEA">
          <w:rPr>
            <w:rStyle w:val="Hyperlink"/>
            <w:rFonts w:ascii="Arial" w:hAnsi="Arial" w:cs="Arial"/>
            <w:sz w:val="22"/>
            <w:szCs w:val="22"/>
          </w:rPr>
          <w:t>https://ibn.idsi.md/vizualizare_articol/231881</w:t>
        </w:r>
      </w:hyperlink>
      <w:r w:rsidRPr="00182AEA">
        <w:rPr>
          <w:rFonts w:ascii="Arial" w:hAnsi="Arial" w:cs="Arial"/>
          <w:color w:val="222222"/>
          <w:sz w:val="22"/>
          <w:szCs w:val="22"/>
        </w:rPr>
        <w:t xml:space="preserve"> </w:t>
      </w:r>
      <w:r w:rsidRPr="00182AEA">
        <w:rPr>
          <w:rFonts w:ascii="Arial" w:hAnsi="Arial" w:cs="Arial"/>
          <w:sz w:val="22"/>
          <w:szCs w:val="22"/>
        </w:rPr>
        <w:t>(Accessed: 25</w:t>
      </w:r>
      <w:r w:rsidR="008E42EC" w:rsidRPr="00182AEA">
        <w:rPr>
          <w:rFonts w:ascii="Arial" w:hAnsi="Arial" w:cs="Arial"/>
          <w:sz w:val="22"/>
          <w:szCs w:val="22"/>
          <w:vertAlign w:val="superscript"/>
        </w:rPr>
        <w:t>th</w:t>
      </w:r>
      <w:r w:rsidR="008E42EC" w:rsidRPr="00182AEA">
        <w:rPr>
          <w:rFonts w:ascii="Arial" w:hAnsi="Arial" w:cs="Arial"/>
          <w:sz w:val="22"/>
          <w:szCs w:val="22"/>
        </w:rPr>
        <w:t xml:space="preserve"> March</w:t>
      </w:r>
      <w:r w:rsidRPr="00182AEA">
        <w:rPr>
          <w:rFonts w:ascii="Arial" w:hAnsi="Arial" w:cs="Arial"/>
          <w:sz w:val="22"/>
          <w:szCs w:val="22"/>
        </w:rPr>
        <w:t xml:space="preserve"> 2026).</w:t>
      </w:r>
    </w:p>
    <w:p w14:paraId="4084D2D5" w14:textId="77777777" w:rsidR="006D121F" w:rsidRPr="00182AEA" w:rsidRDefault="00E51950">
      <w:pPr>
        <w:spacing w:before="240" w:after="240" w:line="360" w:lineRule="auto"/>
        <w:jc w:val="both"/>
        <w:rPr>
          <w:rFonts w:ascii="Arial" w:hAnsi="Arial" w:cs="Arial"/>
          <w:sz w:val="22"/>
          <w:szCs w:val="22"/>
        </w:rPr>
      </w:pPr>
      <w:r w:rsidRPr="00182AEA">
        <w:rPr>
          <w:rFonts w:ascii="Arial" w:hAnsi="Arial" w:cs="Arial"/>
          <w:color w:val="222222"/>
          <w:sz w:val="22"/>
          <w:szCs w:val="22"/>
        </w:rPr>
        <w:t xml:space="preserve">Hong, J. (2024). Competitive Strategies and Market Positions of Global Automotive Giants: Toyota, Tesla, and BMW. In </w:t>
      </w:r>
      <w:r w:rsidRPr="00182AEA">
        <w:rPr>
          <w:rFonts w:ascii="Arial" w:hAnsi="Arial" w:cs="Arial"/>
          <w:i/>
          <w:iCs/>
          <w:color w:val="222222"/>
          <w:sz w:val="22"/>
          <w:szCs w:val="22"/>
        </w:rPr>
        <w:t>International Conference on Educational Information Technology</w:t>
      </w:r>
      <w:r w:rsidRPr="00182AEA">
        <w:rPr>
          <w:rFonts w:ascii="Arial" w:hAnsi="Arial" w:cs="Arial"/>
          <w:color w:val="222222"/>
          <w:sz w:val="22"/>
          <w:szCs w:val="22"/>
        </w:rPr>
        <w:t xml:space="preserve"> (Vol. 6, No. 2). Available at: </w:t>
      </w:r>
      <w:hyperlink r:id="rId10">
        <w:r w:rsidRPr="00182AEA">
          <w:rPr>
            <w:rStyle w:val="Hyperlink"/>
            <w:rFonts w:ascii="Arial" w:hAnsi="Arial" w:cs="Arial"/>
            <w:sz w:val="22"/>
            <w:szCs w:val="22"/>
          </w:rPr>
          <w:t>https://www.cpcig-colepuli.com/uploads/soft/20240815/1-240Q516162U10.pdf</w:t>
        </w:r>
      </w:hyperlink>
      <w:r w:rsidRPr="00182AEA">
        <w:rPr>
          <w:rFonts w:ascii="Arial" w:hAnsi="Arial" w:cs="Arial"/>
          <w:color w:val="222222"/>
          <w:sz w:val="22"/>
          <w:szCs w:val="22"/>
        </w:rPr>
        <w:t xml:space="preserve"> </w:t>
      </w:r>
      <w:r w:rsidRPr="00182AEA">
        <w:rPr>
          <w:rFonts w:ascii="Arial" w:hAnsi="Arial" w:cs="Arial"/>
          <w:sz w:val="22"/>
          <w:szCs w:val="22"/>
        </w:rPr>
        <w:t>(Accessed: 25</w:t>
      </w:r>
      <w:r w:rsidRPr="00182AEA">
        <w:rPr>
          <w:rFonts w:ascii="Arial" w:hAnsi="Arial" w:cs="Arial"/>
          <w:sz w:val="22"/>
          <w:szCs w:val="22"/>
          <w:vertAlign w:val="superscript"/>
        </w:rPr>
        <w:t>th</w:t>
      </w:r>
      <w:r w:rsidRPr="00182AEA">
        <w:rPr>
          <w:rFonts w:ascii="Arial" w:hAnsi="Arial" w:cs="Arial"/>
          <w:sz w:val="22"/>
          <w:szCs w:val="22"/>
        </w:rPr>
        <w:t xml:space="preserve">  March 2026).</w:t>
      </w:r>
    </w:p>
    <w:p w14:paraId="429905A1" w14:textId="77777777" w:rsidR="006D121F" w:rsidRPr="00182AEA" w:rsidRDefault="00E51950">
      <w:pPr>
        <w:spacing w:before="240" w:after="240" w:line="360" w:lineRule="auto"/>
        <w:jc w:val="both"/>
        <w:rPr>
          <w:rFonts w:ascii="Arial" w:hAnsi="Arial" w:cs="Arial"/>
          <w:sz w:val="22"/>
          <w:szCs w:val="22"/>
        </w:rPr>
      </w:pPr>
      <w:r w:rsidRPr="00182AEA">
        <w:rPr>
          <w:rFonts w:ascii="Arial" w:hAnsi="Arial" w:cs="Arial"/>
          <w:color w:val="222222"/>
          <w:sz w:val="22"/>
          <w:szCs w:val="22"/>
        </w:rPr>
        <w:t xml:space="preserve">Liu, Y., Zhang, J.Z., </w:t>
      </w:r>
      <w:proofErr w:type="spellStart"/>
      <w:r w:rsidRPr="00182AEA">
        <w:rPr>
          <w:rFonts w:ascii="Arial" w:hAnsi="Arial" w:cs="Arial"/>
          <w:color w:val="222222"/>
          <w:sz w:val="22"/>
          <w:szCs w:val="22"/>
        </w:rPr>
        <w:t>Jasimuddin</w:t>
      </w:r>
      <w:proofErr w:type="spellEnd"/>
      <w:r w:rsidRPr="00182AEA">
        <w:rPr>
          <w:rFonts w:ascii="Arial" w:hAnsi="Arial" w:cs="Arial"/>
          <w:color w:val="222222"/>
          <w:sz w:val="22"/>
          <w:szCs w:val="22"/>
        </w:rPr>
        <w:t xml:space="preserve">, S., and Babai, M.Z. (2024). Exploring </w:t>
      </w:r>
      <w:proofErr w:type="spellStart"/>
      <w:r w:rsidRPr="00182AEA">
        <w:rPr>
          <w:rFonts w:ascii="Arial" w:hAnsi="Arial" w:cs="Arial"/>
          <w:color w:val="222222"/>
          <w:sz w:val="22"/>
          <w:szCs w:val="22"/>
        </w:rPr>
        <w:t>servitisation</w:t>
      </w:r>
      <w:proofErr w:type="spellEnd"/>
      <w:r w:rsidRPr="00182AEA">
        <w:rPr>
          <w:rFonts w:ascii="Arial" w:hAnsi="Arial" w:cs="Arial"/>
          <w:color w:val="222222"/>
          <w:sz w:val="22"/>
          <w:szCs w:val="22"/>
        </w:rPr>
        <w:t xml:space="preserve"> and digital transformation of manufacturing enterprises: evidence from an industrial internet platform in China. </w:t>
      </w:r>
      <w:r w:rsidRPr="00182AEA">
        <w:rPr>
          <w:rFonts w:ascii="Arial" w:hAnsi="Arial" w:cs="Arial"/>
          <w:i/>
          <w:iCs/>
          <w:color w:val="222222"/>
          <w:sz w:val="22"/>
          <w:szCs w:val="22"/>
        </w:rPr>
        <w:t>International Journal of Production Research</w:t>
      </w:r>
      <w:r w:rsidRPr="00182AEA">
        <w:rPr>
          <w:rFonts w:ascii="Arial" w:hAnsi="Arial" w:cs="Arial"/>
          <w:color w:val="222222"/>
          <w:sz w:val="22"/>
          <w:szCs w:val="22"/>
        </w:rPr>
        <w:t xml:space="preserve">, </w:t>
      </w:r>
      <w:r w:rsidRPr="00182AEA">
        <w:rPr>
          <w:rFonts w:ascii="Arial" w:hAnsi="Arial" w:cs="Arial"/>
          <w:i/>
          <w:iCs/>
          <w:color w:val="222222"/>
          <w:sz w:val="22"/>
          <w:szCs w:val="22"/>
        </w:rPr>
        <w:t>62</w:t>
      </w:r>
      <w:r w:rsidRPr="00182AEA">
        <w:rPr>
          <w:rFonts w:ascii="Arial" w:hAnsi="Arial" w:cs="Arial"/>
          <w:color w:val="222222"/>
          <w:sz w:val="22"/>
          <w:szCs w:val="22"/>
        </w:rPr>
        <w:t xml:space="preserve">(8), pp.2812-2831. Available at: </w:t>
      </w:r>
      <w:hyperlink r:id="rId11">
        <w:r w:rsidRPr="00182AEA">
          <w:rPr>
            <w:rStyle w:val="Hyperlink"/>
            <w:rFonts w:ascii="Arial" w:hAnsi="Arial" w:cs="Arial"/>
            <w:sz w:val="22"/>
            <w:szCs w:val="22"/>
          </w:rPr>
          <w:t>https://www.sciencedirect.com/science/article/pii/S0275531924003817</w:t>
        </w:r>
      </w:hyperlink>
      <w:r w:rsidRPr="00182AEA">
        <w:rPr>
          <w:rFonts w:ascii="Arial" w:hAnsi="Arial" w:cs="Arial"/>
          <w:color w:val="222222"/>
          <w:sz w:val="22"/>
          <w:szCs w:val="22"/>
        </w:rPr>
        <w:t xml:space="preserve"> </w:t>
      </w:r>
      <w:r w:rsidRPr="00182AEA">
        <w:rPr>
          <w:rFonts w:ascii="Arial" w:hAnsi="Arial" w:cs="Arial"/>
          <w:sz w:val="22"/>
          <w:szCs w:val="22"/>
        </w:rPr>
        <w:t>(Accessed: 25</w:t>
      </w:r>
      <w:r w:rsidRPr="00182AEA">
        <w:rPr>
          <w:rFonts w:ascii="Arial" w:hAnsi="Arial" w:cs="Arial"/>
          <w:sz w:val="22"/>
          <w:szCs w:val="22"/>
          <w:vertAlign w:val="superscript"/>
        </w:rPr>
        <w:t>th</w:t>
      </w:r>
      <w:r w:rsidRPr="00182AEA">
        <w:rPr>
          <w:rFonts w:ascii="Arial" w:hAnsi="Arial" w:cs="Arial"/>
          <w:sz w:val="22"/>
          <w:szCs w:val="22"/>
        </w:rPr>
        <w:t xml:space="preserve">  March 2026).</w:t>
      </w:r>
    </w:p>
    <w:p w14:paraId="0379D094" w14:textId="38E0B44E" w:rsidR="006D121F" w:rsidRPr="00182AEA" w:rsidRDefault="00E51950">
      <w:pPr>
        <w:spacing w:before="240" w:after="240" w:line="360" w:lineRule="auto"/>
        <w:jc w:val="both"/>
        <w:rPr>
          <w:rFonts w:ascii="Arial" w:hAnsi="Arial" w:cs="Arial"/>
          <w:sz w:val="22"/>
          <w:szCs w:val="22"/>
        </w:rPr>
      </w:pPr>
      <w:proofErr w:type="spellStart"/>
      <w:r w:rsidRPr="00182AEA">
        <w:rPr>
          <w:rFonts w:ascii="Arial" w:hAnsi="Arial" w:cs="Arial"/>
          <w:color w:val="222222"/>
          <w:sz w:val="22"/>
          <w:szCs w:val="22"/>
        </w:rPr>
        <w:t>Lampón</w:t>
      </w:r>
      <w:proofErr w:type="spellEnd"/>
      <w:r w:rsidRPr="00182AEA">
        <w:rPr>
          <w:rFonts w:ascii="Arial" w:hAnsi="Arial" w:cs="Arial"/>
          <w:color w:val="222222"/>
          <w:sz w:val="22"/>
          <w:szCs w:val="22"/>
        </w:rPr>
        <w:t xml:space="preserve">, J.F., Rodríguez De la Fuente, M., and </w:t>
      </w:r>
      <w:proofErr w:type="spellStart"/>
      <w:r w:rsidRPr="00182AEA">
        <w:rPr>
          <w:rFonts w:ascii="Arial" w:hAnsi="Arial" w:cs="Arial"/>
          <w:color w:val="222222"/>
          <w:sz w:val="22"/>
          <w:szCs w:val="22"/>
        </w:rPr>
        <w:t>Fraiz</w:t>
      </w:r>
      <w:proofErr w:type="spellEnd"/>
      <w:r w:rsidRPr="00182AEA">
        <w:rPr>
          <w:rFonts w:ascii="Arial" w:hAnsi="Arial" w:cs="Arial"/>
          <w:color w:val="222222"/>
          <w:sz w:val="22"/>
          <w:szCs w:val="22"/>
        </w:rPr>
        <w:t xml:space="preserve">-Brea, J.A. (2022). The dilemma of domestic suppliers on the periphery of the automotive industry global value chain. </w:t>
      </w:r>
      <w:proofErr w:type="spellStart"/>
      <w:r w:rsidRPr="00182AEA">
        <w:rPr>
          <w:rFonts w:ascii="Arial" w:hAnsi="Arial" w:cs="Arial"/>
          <w:i/>
          <w:iCs/>
          <w:color w:val="222222"/>
          <w:sz w:val="22"/>
          <w:szCs w:val="22"/>
        </w:rPr>
        <w:t>Kybernetes</w:t>
      </w:r>
      <w:proofErr w:type="spellEnd"/>
      <w:r w:rsidRPr="00182AEA">
        <w:rPr>
          <w:rFonts w:ascii="Arial" w:hAnsi="Arial" w:cs="Arial"/>
          <w:color w:val="222222"/>
          <w:sz w:val="22"/>
          <w:szCs w:val="22"/>
        </w:rPr>
        <w:t xml:space="preserve">, </w:t>
      </w:r>
      <w:r w:rsidRPr="00182AEA">
        <w:rPr>
          <w:rFonts w:ascii="Arial" w:hAnsi="Arial" w:cs="Arial"/>
          <w:i/>
          <w:iCs/>
          <w:color w:val="222222"/>
          <w:sz w:val="22"/>
          <w:szCs w:val="22"/>
        </w:rPr>
        <w:t>51</w:t>
      </w:r>
      <w:r w:rsidRPr="00182AEA">
        <w:rPr>
          <w:rFonts w:ascii="Arial" w:hAnsi="Arial" w:cs="Arial"/>
          <w:color w:val="222222"/>
          <w:sz w:val="22"/>
          <w:szCs w:val="22"/>
        </w:rPr>
        <w:t xml:space="preserve">(12), pp.3637-3655. Available at: </w:t>
      </w:r>
      <w:hyperlink r:id="rId12">
        <w:r w:rsidRPr="00182AEA">
          <w:rPr>
            <w:rStyle w:val="Hyperlink"/>
            <w:rFonts w:ascii="Arial" w:hAnsi="Arial" w:cs="Arial"/>
            <w:sz w:val="22"/>
            <w:szCs w:val="22"/>
          </w:rPr>
          <w:t>https://www.emerald.com/k/article/51/12/3637/511604</w:t>
        </w:r>
      </w:hyperlink>
      <w:r w:rsidRPr="00182AEA">
        <w:rPr>
          <w:rFonts w:ascii="Arial" w:hAnsi="Arial" w:cs="Arial"/>
          <w:color w:val="222222"/>
          <w:sz w:val="22"/>
          <w:szCs w:val="22"/>
        </w:rPr>
        <w:t xml:space="preserve"> </w:t>
      </w:r>
      <w:r w:rsidRPr="00182AEA">
        <w:rPr>
          <w:rFonts w:ascii="Arial" w:hAnsi="Arial" w:cs="Arial"/>
          <w:sz w:val="22"/>
          <w:szCs w:val="22"/>
        </w:rPr>
        <w:t>(Accessed: 25</w:t>
      </w:r>
      <w:r w:rsidR="008E42EC" w:rsidRPr="00182AEA">
        <w:rPr>
          <w:rFonts w:ascii="Arial" w:hAnsi="Arial" w:cs="Arial"/>
          <w:sz w:val="22"/>
          <w:szCs w:val="22"/>
          <w:vertAlign w:val="superscript"/>
        </w:rPr>
        <w:t>th</w:t>
      </w:r>
      <w:r w:rsidR="008E42EC" w:rsidRPr="00182AEA">
        <w:rPr>
          <w:rFonts w:ascii="Arial" w:hAnsi="Arial" w:cs="Arial"/>
          <w:sz w:val="22"/>
          <w:szCs w:val="22"/>
        </w:rPr>
        <w:t xml:space="preserve"> March</w:t>
      </w:r>
      <w:r w:rsidRPr="00182AEA">
        <w:rPr>
          <w:rFonts w:ascii="Arial" w:hAnsi="Arial" w:cs="Arial"/>
          <w:sz w:val="22"/>
          <w:szCs w:val="22"/>
        </w:rPr>
        <w:t xml:space="preserve"> 2026).</w:t>
      </w:r>
    </w:p>
    <w:p w14:paraId="73435E22" w14:textId="061FC920" w:rsidR="006D121F" w:rsidRPr="00182AEA" w:rsidRDefault="00E51950">
      <w:pPr>
        <w:spacing w:before="240" w:after="240" w:line="360" w:lineRule="auto"/>
        <w:jc w:val="both"/>
        <w:rPr>
          <w:rFonts w:ascii="Arial" w:hAnsi="Arial" w:cs="Arial"/>
          <w:sz w:val="22"/>
          <w:szCs w:val="22"/>
        </w:rPr>
      </w:pPr>
      <w:r w:rsidRPr="00182AEA">
        <w:rPr>
          <w:rFonts w:ascii="Arial" w:hAnsi="Arial" w:cs="Arial"/>
          <w:color w:val="222222"/>
          <w:sz w:val="22"/>
          <w:szCs w:val="22"/>
        </w:rPr>
        <w:t xml:space="preserve">Nettekoven, Z.M. (2023). </w:t>
      </w:r>
      <w:r w:rsidRPr="00182AEA">
        <w:rPr>
          <w:rFonts w:ascii="Arial" w:hAnsi="Arial" w:cs="Arial"/>
          <w:i/>
          <w:iCs/>
          <w:color w:val="222222"/>
          <w:sz w:val="22"/>
          <w:szCs w:val="22"/>
        </w:rPr>
        <w:t>Automotive industry transformation and industrial policy in the EU and Germany: A critical perspective</w:t>
      </w:r>
      <w:r w:rsidRPr="00182AEA">
        <w:rPr>
          <w:rFonts w:ascii="Arial" w:hAnsi="Arial" w:cs="Arial"/>
          <w:color w:val="222222"/>
          <w:sz w:val="22"/>
          <w:szCs w:val="22"/>
        </w:rPr>
        <w:t xml:space="preserve"> (No. 208/2023). Working Paper. Available at: </w:t>
      </w:r>
      <w:hyperlink r:id="rId13">
        <w:r w:rsidRPr="00182AEA">
          <w:rPr>
            <w:rStyle w:val="Hyperlink"/>
            <w:rFonts w:ascii="Arial" w:hAnsi="Arial" w:cs="Arial"/>
            <w:sz w:val="22"/>
            <w:szCs w:val="22"/>
          </w:rPr>
          <w:t>https://www.econstor.eu/handle/10419/271001</w:t>
        </w:r>
      </w:hyperlink>
      <w:r w:rsidRPr="00182AEA">
        <w:rPr>
          <w:rFonts w:ascii="Arial" w:hAnsi="Arial" w:cs="Arial"/>
          <w:sz w:val="22"/>
          <w:szCs w:val="22"/>
        </w:rPr>
        <w:t xml:space="preserve"> (Accessed: 25</w:t>
      </w:r>
      <w:r w:rsidR="008E42EC" w:rsidRPr="00182AEA">
        <w:rPr>
          <w:rFonts w:ascii="Arial" w:hAnsi="Arial" w:cs="Arial"/>
          <w:sz w:val="22"/>
          <w:szCs w:val="22"/>
          <w:vertAlign w:val="superscript"/>
        </w:rPr>
        <w:t>th</w:t>
      </w:r>
      <w:r w:rsidR="008E42EC" w:rsidRPr="00182AEA">
        <w:rPr>
          <w:rFonts w:ascii="Arial" w:hAnsi="Arial" w:cs="Arial"/>
          <w:sz w:val="22"/>
          <w:szCs w:val="22"/>
        </w:rPr>
        <w:t xml:space="preserve"> March</w:t>
      </w:r>
      <w:r w:rsidRPr="00182AEA">
        <w:rPr>
          <w:rFonts w:ascii="Arial" w:hAnsi="Arial" w:cs="Arial"/>
          <w:sz w:val="22"/>
          <w:szCs w:val="22"/>
        </w:rPr>
        <w:t xml:space="preserve"> 2026).</w:t>
      </w:r>
    </w:p>
    <w:p w14:paraId="7A7F2A2C" w14:textId="77777777" w:rsidR="006D121F" w:rsidRPr="008E42EC" w:rsidRDefault="00E51950">
      <w:pPr>
        <w:spacing w:before="240" w:after="240" w:line="360" w:lineRule="auto"/>
        <w:jc w:val="both"/>
        <w:rPr>
          <w:rFonts w:ascii="Arial" w:hAnsi="Arial" w:cs="Arial"/>
          <w:sz w:val="22"/>
          <w:szCs w:val="22"/>
        </w:rPr>
      </w:pPr>
      <w:r w:rsidRPr="00182AEA">
        <w:rPr>
          <w:rFonts w:ascii="Arial" w:hAnsi="Arial" w:cs="Arial"/>
          <w:color w:val="222222"/>
          <w:sz w:val="22"/>
          <w:szCs w:val="22"/>
        </w:rPr>
        <w:t xml:space="preserve">Pichler, M., </w:t>
      </w:r>
      <w:proofErr w:type="spellStart"/>
      <w:r w:rsidRPr="00182AEA">
        <w:rPr>
          <w:rFonts w:ascii="Arial" w:hAnsi="Arial" w:cs="Arial"/>
          <w:color w:val="222222"/>
          <w:sz w:val="22"/>
          <w:szCs w:val="22"/>
        </w:rPr>
        <w:t>Krenmayr</w:t>
      </w:r>
      <w:proofErr w:type="spellEnd"/>
      <w:r w:rsidRPr="00182AEA">
        <w:rPr>
          <w:rFonts w:ascii="Arial" w:hAnsi="Arial" w:cs="Arial"/>
          <w:color w:val="222222"/>
          <w:sz w:val="22"/>
          <w:szCs w:val="22"/>
        </w:rPr>
        <w:t xml:space="preserve">, N., Schneider, E., and Brand, U. (2021). EU industrial policy: Between </w:t>
      </w:r>
      <w:proofErr w:type="spellStart"/>
      <w:r w:rsidRPr="00182AEA">
        <w:rPr>
          <w:rFonts w:ascii="Arial" w:hAnsi="Arial" w:cs="Arial"/>
          <w:color w:val="222222"/>
          <w:sz w:val="22"/>
          <w:szCs w:val="22"/>
        </w:rPr>
        <w:t>modernisation</w:t>
      </w:r>
      <w:proofErr w:type="spellEnd"/>
      <w:r w:rsidRPr="00182AEA">
        <w:rPr>
          <w:rFonts w:ascii="Arial" w:hAnsi="Arial" w:cs="Arial"/>
          <w:color w:val="222222"/>
          <w:sz w:val="22"/>
          <w:szCs w:val="22"/>
        </w:rPr>
        <w:t xml:space="preserve"> and transformation of the automotive industry. </w:t>
      </w:r>
      <w:r w:rsidRPr="00182AEA">
        <w:rPr>
          <w:rFonts w:ascii="Arial" w:hAnsi="Arial" w:cs="Arial"/>
          <w:i/>
          <w:iCs/>
          <w:color w:val="222222"/>
          <w:sz w:val="22"/>
          <w:szCs w:val="22"/>
        </w:rPr>
        <w:t>Environmental Innovation and Societal Transitions</w:t>
      </w:r>
      <w:r w:rsidRPr="00182AEA">
        <w:rPr>
          <w:rFonts w:ascii="Arial" w:hAnsi="Arial" w:cs="Arial"/>
          <w:color w:val="222222"/>
          <w:sz w:val="22"/>
          <w:szCs w:val="22"/>
        </w:rPr>
        <w:t xml:space="preserve">, </w:t>
      </w:r>
      <w:r w:rsidRPr="00182AEA">
        <w:rPr>
          <w:rFonts w:ascii="Arial" w:hAnsi="Arial" w:cs="Arial"/>
          <w:i/>
          <w:iCs/>
          <w:color w:val="222222"/>
          <w:sz w:val="22"/>
          <w:szCs w:val="22"/>
        </w:rPr>
        <w:t>38</w:t>
      </w:r>
      <w:r w:rsidRPr="00182AEA">
        <w:rPr>
          <w:rFonts w:ascii="Arial" w:hAnsi="Arial" w:cs="Arial"/>
          <w:color w:val="222222"/>
          <w:sz w:val="22"/>
          <w:szCs w:val="22"/>
        </w:rPr>
        <w:t xml:space="preserve">, pp. 140-152. Available at: </w:t>
      </w:r>
      <w:hyperlink r:id="rId14">
        <w:r w:rsidRPr="008E42EC">
          <w:rPr>
            <w:rStyle w:val="Hyperlink"/>
            <w:rFonts w:ascii="Arial" w:hAnsi="Arial" w:cs="Arial"/>
            <w:sz w:val="22"/>
            <w:szCs w:val="22"/>
          </w:rPr>
          <w:t>https://www.sciencedirect.com/science/article/pii/S2210422420301441</w:t>
        </w:r>
      </w:hyperlink>
      <w:r w:rsidRPr="008E42EC">
        <w:rPr>
          <w:rFonts w:ascii="Arial" w:hAnsi="Arial" w:cs="Arial"/>
          <w:color w:val="222222"/>
          <w:sz w:val="22"/>
          <w:szCs w:val="22"/>
        </w:rPr>
        <w:t xml:space="preserve"> </w:t>
      </w:r>
      <w:r w:rsidRPr="008E42EC">
        <w:rPr>
          <w:rFonts w:ascii="Arial" w:hAnsi="Arial" w:cs="Arial"/>
          <w:sz w:val="22"/>
          <w:szCs w:val="22"/>
        </w:rPr>
        <w:t>(Accessed: 25</w:t>
      </w:r>
      <w:r w:rsidRPr="008E42EC">
        <w:rPr>
          <w:rFonts w:ascii="Arial" w:hAnsi="Arial" w:cs="Arial"/>
          <w:sz w:val="22"/>
          <w:szCs w:val="22"/>
          <w:vertAlign w:val="superscript"/>
        </w:rPr>
        <w:t>th</w:t>
      </w:r>
      <w:r w:rsidRPr="008E42EC">
        <w:rPr>
          <w:rFonts w:ascii="Arial" w:hAnsi="Arial" w:cs="Arial"/>
          <w:sz w:val="22"/>
          <w:szCs w:val="22"/>
        </w:rPr>
        <w:t xml:space="preserve">  March 2026).</w:t>
      </w:r>
    </w:p>
    <w:p w14:paraId="7B81C282" w14:textId="451B86B0" w:rsidR="006D121F" w:rsidRPr="008E42EC" w:rsidRDefault="00E51950">
      <w:pPr>
        <w:spacing w:before="240" w:after="240" w:line="360" w:lineRule="auto"/>
        <w:jc w:val="both"/>
        <w:rPr>
          <w:rFonts w:ascii="Arial" w:hAnsi="Arial" w:cs="Arial"/>
          <w:sz w:val="22"/>
          <w:szCs w:val="22"/>
        </w:rPr>
      </w:pPr>
      <w:r w:rsidRPr="008E42EC">
        <w:rPr>
          <w:rFonts w:ascii="Arial" w:hAnsi="Arial" w:cs="Arial"/>
          <w:color w:val="222222"/>
          <w:sz w:val="22"/>
          <w:szCs w:val="22"/>
        </w:rPr>
        <w:t xml:space="preserve">Pan, L., Xu, Z., and Skare, M. (2023). Sustainable business model innovation literature: a bibliometrics analysis. </w:t>
      </w:r>
      <w:r w:rsidRPr="008E42EC">
        <w:rPr>
          <w:rFonts w:ascii="Arial" w:hAnsi="Arial" w:cs="Arial"/>
          <w:i/>
          <w:iCs/>
          <w:color w:val="222222"/>
          <w:sz w:val="22"/>
          <w:szCs w:val="22"/>
        </w:rPr>
        <w:t>Review of Managerial Science</w:t>
      </w:r>
      <w:r w:rsidRPr="008E42EC">
        <w:rPr>
          <w:rFonts w:ascii="Arial" w:hAnsi="Arial" w:cs="Arial"/>
          <w:color w:val="222222"/>
          <w:sz w:val="22"/>
          <w:szCs w:val="22"/>
        </w:rPr>
        <w:t xml:space="preserve">, </w:t>
      </w:r>
      <w:r w:rsidRPr="008E42EC">
        <w:rPr>
          <w:rFonts w:ascii="Arial" w:hAnsi="Arial" w:cs="Arial"/>
          <w:i/>
          <w:iCs/>
          <w:color w:val="222222"/>
          <w:sz w:val="22"/>
          <w:szCs w:val="22"/>
        </w:rPr>
        <w:t>17</w:t>
      </w:r>
      <w:r w:rsidRPr="008E42EC">
        <w:rPr>
          <w:rFonts w:ascii="Arial" w:hAnsi="Arial" w:cs="Arial"/>
          <w:color w:val="222222"/>
          <w:sz w:val="22"/>
          <w:szCs w:val="22"/>
        </w:rPr>
        <w:t xml:space="preserve">(3), pp.757-785. Available at: </w:t>
      </w:r>
      <w:hyperlink r:id="rId15">
        <w:r w:rsidRPr="008E42EC">
          <w:rPr>
            <w:rStyle w:val="Hyperlink"/>
            <w:rFonts w:ascii="Arial" w:hAnsi="Arial" w:cs="Arial"/>
            <w:sz w:val="22"/>
            <w:szCs w:val="22"/>
          </w:rPr>
          <w:t>https://link.springer.com/article/10.1007/s11846-022-00548-2</w:t>
        </w:r>
      </w:hyperlink>
      <w:r w:rsidRPr="008E42EC">
        <w:rPr>
          <w:rFonts w:ascii="Arial" w:hAnsi="Arial" w:cs="Arial"/>
          <w:color w:val="222222"/>
          <w:sz w:val="22"/>
          <w:szCs w:val="22"/>
        </w:rPr>
        <w:t xml:space="preserve"> </w:t>
      </w:r>
      <w:r w:rsidRPr="008E42EC">
        <w:rPr>
          <w:rFonts w:ascii="Arial" w:hAnsi="Arial" w:cs="Arial"/>
          <w:sz w:val="22"/>
          <w:szCs w:val="22"/>
        </w:rPr>
        <w:t>(Accessed: 25</w:t>
      </w:r>
      <w:r w:rsidR="008E42EC" w:rsidRPr="008E42EC">
        <w:rPr>
          <w:rFonts w:ascii="Arial" w:hAnsi="Arial" w:cs="Arial"/>
          <w:sz w:val="22"/>
          <w:szCs w:val="22"/>
          <w:vertAlign w:val="superscript"/>
        </w:rPr>
        <w:t>th</w:t>
      </w:r>
      <w:r w:rsidR="008E42EC" w:rsidRPr="008E42EC">
        <w:rPr>
          <w:rFonts w:ascii="Arial" w:hAnsi="Arial" w:cs="Arial"/>
          <w:sz w:val="22"/>
          <w:szCs w:val="22"/>
        </w:rPr>
        <w:t xml:space="preserve"> March</w:t>
      </w:r>
      <w:r w:rsidRPr="008E42EC">
        <w:rPr>
          <w:rFonts w:ascii="Arial" w:hAnsi="Arial" w:cs="Arial"/>
          <w:sz w:val="22"/>
          <w:szCs w:val="22"/>
        </w:rPr>
        <w:t xml:space="preserve"> 2026).</w:t>
      </w:r>
    </w:p>
    <w:p w14:paraId="3C0FDE0D" w14:textId="38ED18C9" w:rsidR="006D121F" w:rsidRPr="008E42EC" w:rsidRDefault="00E51950">
      <w:pPr>
        <w:spacing w:before="240" w:after="240" w:line="360" w:lineRule="auto"/>
        <w:jc w:val="both"/>
        <w:rPr>
          <w:rFonts w:ascii="Arial" w:hAnsi="Arial" w:cs="Arial"/>
          <w:sz w:val="22"/>
          <w:szCs w:val="22"/>
        </w:rPr>
      </w:pPr>
      <w:proofErr w:type="spellStart"/>
      <w:r w:rsidRPr="008E42EC">
        <w:rPr>
          <w:rFonts w:ascii="Arial" w:hAnsi="Arial" w:cs="Arial"/>
          <w:color w:val="222222"/>
          <w:sz w:val="22"/>
          <w:szCs w:val="22"/>
        </w:rPr>
        <w:t>Talikine</w:t>
      </w:r>
      <w:proofErr w:type="spellEnd"/>
      <w:r w:rsidRPr="008E42EC">
        <w:rPr>
          <w:rFonts w:ascii="Arial" w:hAnsi="Arial" w:cs="Arial"/>
          <w:color w:val="222222"/>
          <w:sz w:val="22"/>
          <w:szCs w:val="22"/>
        </w:rPr>
        <w:t xml:space="preserve">, A. (2025). </w:t>
      </w:r>
      <w:r w:rsidRPr="008E42EC">
        <w:rPr>
          <w:rFonts w:ascii="Arial" w:hAnsi="Arial" w:cs="Arial"/>
          <w:i/>
          <w:iCs/>
          <w:color w:val="222222"/>
          <w:sz w:val="22"/>
          <w:szCs w:val="22"/>
        </w:rPr>
        <w:t>Case study on BMW AG: road to 2030 electrification</w:t>
      </w:r>
      <w:r w:rsidRPr="008E42EC">
        <w:rPr>
          <w:rFonts w:ascii="Arial" w:hAnsi="Arial" w:cs="Arial"/>
          <w:color w:val="222222"/>
          <w:sz w:val="22"/>
          <w:szCs w:val="22"/>
        </w:rPr>
        <w:t xml:space="preserve"> (Doctoral dissertation, Instituto Superior de Economia e </w:t>
      </w:r>
      <w:proofErr w:type="spellStart"/>
      <w:r w:rsidRPr="008E42EC">
        <w:rPr>
          <w:rFonts w:ascii="Arial" w:hAnsi="Arial" w:cs="Arial"/>
          <w:color w:val="222222"/>
          <w:sz w:val="22"/>
          <w:szCs w:val="22"/>
        </w:rPr>
        <w:t>Gestão</w:t>
      </w:r>
      <w:proofErr w:type="spellEnd"/>
      <w:r w:rsidRPr="008E42EC">
        <w:rPr>
          <w:rFonts w:ascii="Arial" w:hAnsi="Arial" w:cs="Arial"/>
          <w:color w:val="222222"/>
          <w:sz w:val="22"/>
          <w:szCs w:val="22"/>
        </w:rPr>
        <w:t xml:space="preserve">). Available at: </w:t>
      </w:r>
      <w:hyperlink r:id="rId16">
        <w:r w:rsidRPr="008E42EC">
          <w:rPr>
            <w:rStyle w:val="Hyperlink"/>
            <w:rFonts w:ascii="Arial" w:hAnsi="Arial" w:cs="Arial"/>
            <w:sz w:val="22"/>
            <w:szCs w:val="22"/>
          </w:rPr>
          <w:t>https://repositorio.ulisboa.pt/handle/10400.5/102710</w:t>
        </w:r>
      </w:hyperlink>
      <w:r w:rsidRPr="008E42EC">
        <w:rPr>
          <w:rFonts w:ascii="Arial" w:hAnsi="Arial" w:cs="Arial"/>
          <w:color w:val="222222"/>
          <w:sz w:val="22"/>
          <w:szCs w:val="22"/>
        </w:rPr>
        <w:t xml:space="preserve"> </w:t>
      </w:r>
      <w:r w:rsidRPr="008E42EC">
        <w:rPr>
          <w:rFonts w:ascii="Arial" w:hAnsi="Arial" w:cs="Arial"/>
          <w:sz w:val="22"/>
          <w:szCs w:val="22"/>
        </w:rPr>
        <w:t>(Accessed: 25</w:t>
      </w:r>
      <w:r w:rsidR="008E42EC" w:rsidRPr="008E42EC">
        <w:rPr>
          <w:rFonts w:ascii="Arial" w:hAnsi="Arial" w:cs="Arial"/>
          <w:sz w:val="22"/>
          <w:szCs w:val="22"/>
          <w:vertAlign w:val="superscript"/>
        </w:rPr>
        <w:t>th</w:t>
      </w:r>
      <w:r w:rsidR="008E42EC" w:rsidRPr="008E42EC">
        <w:rPr>
          <w:rFonts w:ascii="Arial" w:hAnsi="Arial" w:cs="Arial"/>
          <w:sz w:val="22"/>
          <w:szCs w:val="22"/>
        </w:rPr>
        <w:t xml:space="preserve"> March</w:t>
      </w:r>
      <w:r w:rsidRPr="008E42EC">
        <w:rPr>
          <w:rFonts w:ascii="Arial" w:hAnsi="Arial" w:cs="Arial"/>
          <w:sz w:val="22"/>
          <w:szCs w:val="22"/>
        </w:rPr>
        <w:t xml:space="preserve"> 2026).</w:t>
      </w:r>
    </w:p>
    <w:p w14:paraId="47C6770F" w14:textId="58B5F742" w:rsidR="006D121F" w:rsidRPr="008E42EC" w:rsidRDefault="00E51950">
      <w:pPr>
        <w:spacing w:before="240" w:after="240" w:line="360" w:lineRule="auto"/>
        <w:jc w:val="both"/>
        <w:rPr>
          <w:rFonts w:ascii="Arial" w:hAnsi="Arial" w:cs="Arial"/>
          <w:sz w:val="22"/>
          <w:szCs w:val="22"/>
        </w:rPr>
      </w:pPr>
      <w:r w:rsidRPr="008E42EC">
        <w:rPr>
          <w:rFonts w:ascii="Arial" w:hAnsi="Arial" w:cs="Arial"/>
          <w:color w:val="222222"/>
          <w:sz w:val="22"/>
          <w:szCs w:val="22"/>
        </w:rPr>
        <w:t xml:space="preserve">Young-Jin, A., </w:t>
      </w:r>
      <w:proofErr w:type="spellStart"/>
      <w:r w:rsidRPr="008E42EC">
        <w:rPr>
          <w:rFonts w:ascii="Arial" w:hAnsi="Arial" w:cs="Arial"/>
          <w:color w:val="222222"/>
          <w:sz w:val="22"/>
          <w:szCs w:val="22"/>
        </w:rPr>
        <w:t>Zuhriddin</w:t>
      </w:r>
      <w:proofErr w:type="spellEnd"/>
      <w:r w:rsidRPr="008E42EC">
        <w:rPr>
          <w:rFonts w:ascii="Arial" w:hAnsi="Arial" w:cs="Arial"/>
          <w:color w:val="222222"/>
          <w:sz w:val="22"/>
          <w:szCs w:val="22"/>
        </w:rPr>
        <w:t xml:space="preserve">, J., and </w:t>
      </w:r>
      <w:proofErr w:type="spellStart"/>
      <w:r w:rsidRPr="008E42EC">
        <w:rPr>
          <w:rFonts w:ascii="Arial" w:hAnsi="Arial" w:cs="Arial"/>
          <w:color w:val="222222"/>
          <w:sz w:val="22"/>
          <w:szCs w:val="22"/>
        </w:rPr>
        <w:t>Ikhtiyor</w:t>
      </w:r>
      <w:proofErr w:type="spellEnd"/>
      <w:r w:rsidRPr="008E42EC">
        <w:rPr>
          <w:rFonts w:ascii="Arial" w:hAnsi="Arial" w:cs="Arial"/>
          <w:color w:val="222222"/>
          <w:sz w:val="22"/>
          <w:szCs w:val="22"/>
        </w:rPr>
        <w:t xml:space="preserve">, R. (2023). Global shift: Mapping the changing contours of the world economy by Peter Dicken. Available at: </w:t>
      </w:r>
      <w:hyperlink r:id="rId17">
        <w:r w:rsidRPr="008E42EC">
          <w:rPr>
            <w:rStyle w:val="Hyperlink"/>
            <w:rFonts w:ascii="Arial" w:hAnsi="Arial" w:cs="Arial"/>
            <w:sz w:val="22"/>
            <w:szCs w:val="22"/>
          </w:rPr>
          <w:t>https://utppublishing.com/doi/abs/10.3138/jsp-2023-0031</w:t>
        </w:r>
      </w:hyperlink>
      <w:r w:rsidRPr="008E42EC">
        <w:rPr>
          <w:rFonts w:ascii="Arial" w:hAnsi="Arial" w:cs="Arial"/>
          <w:color w:val="222222"/>
          <w:sz w:val="22"/>
          <w:szCs w:val="22"/>
        </w:rPr>
        <w:t xml:space="preserve"> </w:t>
      </w:r>
      <w:r w:rsidRPr="008E42EC">
        <w:rPr>
          <w:rFonts w:ascii="Arial" w:hAnsi="Arial" w:cs="Arial"/>
          <w:sz w:val="22"/>
          <w:szCs w:val="22"/>
        </w:rPr>
        <w:t>(Accessed: 25</w:t>
      </w:r>
      <w:r w:rsidR="008E42EC" w:rsidRPr="008E42EC">
        <w:rPr>
          <w:rFonts w:ascii="Arial" w:hAnsi="Arial" w:cs="Arial"/>
          <w:sz w:val="22"/>
          <w:szCs w:val="22"/>
          <w:vertAlign w:val="superscript"/>
        </w:rPr>
        <w:t>th</w:t>
      </w:r>
      <w:r w:rsidR="008E42EC" w:rsidRPr="008E42EC">
        <w:rPr>
          <w:rFonts w:ascii="Arial" w:hAnsi="Arial" w:cs="Arial"/>
          <w:sz w:val="22"/>
          <w:szCs w:val="22"/>
        </w:rPr>
        <w:t xml:space="preserve"> March</w:t>
      </w:r>
      <w:r w:rsidRPr="008E42EC">
        <w:rPr>
          <w:rFonts w:ascii="Arial" w:hAnsi="Arial" w:cs="Arial"/>
          <w:sz w:val="22"/>
          <w:szCs w:val="22"/>
        </w:rPr>
        <w:t xml:space="preserve"> 2026).</w:t>
      </w:r>
    </w:p>
    <w:p w14:paraId="23D2483A" w14:textId="77777777" w:rsidR="006D121F" w:rsidRDefault="006D121F">
      <w:pPr>
        <w:spacing w:line="360" w:lineRule="auto"/>
        <w:jc w:val="both"/>
      </w:pPr>
    </w:p>
    <w:sectPr w:rsidR="006D121F" w:rsidSect="00502330">
      <w:footerReference w:type="default" r:id="rId1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41B67" w14:textId="77777777" w:rsidR="00E51950" w:rsidRDefault="00E51950">
      <w:pPr>
        <w:spacing w:line="240" w:lineRule="auto"/>
      </w:pPr>
      <w:r>
        <w:separator/>
      </w:r>
    </w:p>
  </w:endnote>
  <w:endnote w:type="continuationSeparator" w:id="0">
    <w:p w14:paraId="0532D871" w14:textId="77777777" w:rsidR="00E51950" w:rsidRDefault="00E51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569357"/>
      <w:docPartObj>
        <w:docPartGallery w:val="Page Numbers (Bottom of Page)"/>
        <w:docPartUnique/>
      </w:docPartObj>
    </w:sdtPr>
    <w:sdtEndPr>
      <w:rPr>
        <w:noProof/>
      </w:rPr>
    </w:sdtEndPr>
    <w:sdtContent>
      <w:p w14:paraId="17B4B9BE" w14:textId="278CEC5C" w:rsidR="00182AEA" w:rsidRDefault="00182A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D0A319" w14:textId="77777777" w:rsidR="00DB02B6" w:rsidRDefault="00DB0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D72B3" w14:textId="77777777" w:rsidR="00E51950" w:rsidRDefault="00E51950">
      <w:pPr>
        <w:spacing w:after="0"/>
      </w:pPr>
      <w:r>
        <w:separator/>
      </w:r>
    </w:p>
  </w:footnote>
  <w:footnote w:type="continuationSeparator" w:id="0">
    <w:p w14:paraId="6A3E8AAD" w14:textId="77777777" w:rsidR="00E51950" w:rsidRDefault="00E5195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3BB8AD"/>
    <w:rsid w:val="00182AEA"/>
    <w:rsid w:val="002A2D00"/>
    <w:rsid w:val="00502330"/>
    <w:rsid w:val="006774A0"/>
    <w:rsid w:val="006D121F"/>
    <w:rsid w:val="0071296F"/>
    <w:rsid w:val="007FB931"/>
    <w:rsid w:val="008E42EC"/>
    <w:rsid w:val="00906E66"/>
    <w:rsid w:val="00DB02B6"/>
    <w:rsid w:val="00E51950"/>
    <w:rsid w:val="00F85BBF"/>
    <w:rsid w:val="00FB1D50"/>
    <w:rsid w:val="01E8DCFF"/>
    <w:rsid w:val="03903CE9"/>
    <w:rsid w:val="03CF1799"/>
    <w:rsid w:val="053C3201"/>
    <w:rsid w:val="05D2C3C0"/>
    <w:rsid w:val="06B33CE5"/>
    <w:rsid w:val="07483246"/>
    <w:rsid w:val="087CC15B"/>
    <w:rsid w:val="09855788"/>
    <w:rsid w:val="0A168819"/>
    <w:rsid w:val="0A1A615C"/>
    <w:rsid w:val="0BBCA307"/>
    <w:rsid w:val="0C8E0E39"/>
    <w:rsid w:val="0D730A7A"/>
    <w:rsid w:val="0E6DD035"/>
    <w:rsid w:val="0E7AC4E2"/>
    <w:rsid w:val="0E82C2AF"/>
    <w:rsid w:val="11135D36"/>
    <w:rsid w:val="1119E209"/>
    <w:rsid w:val="1289AD16"/>
    <w:rsid w:val="139A1F5A"/>
    <w:rsid w:val="13E03A29"/>
    <w:rsid w:val="14026D8D"/>
    <w:rsid w:val="14984EE8"/>
    <w:rsid w:val="155B7D79"/>
    <w:rsid w:val="16074301"/>
    <w:rsid w:val="16A2B9B3"/>
    <w:rsid w:val="17536136"/>
    <w:rsid w:val="183EB76E"/>
    <w:rsid w:val="18D26A07"/>
    <w:rsid w:val="190D3D1F"/>
    <w:rsid w:val="1983E2D3"/>
    <w:rsid w:val="1995E264"/>
    <w:rsid w:val="1AAF04D2"/>
    <w:rsid w:val="1AE9220F"/>
    <w:rsid w:val="1B25DCA3"/>
    <w:rsid w:val="1BBAC30F"/>
    <w:rsid w:val="1C65BB68"/>
    <w:rsid w:val="1DF087B4"/>
    <w:rsid w:val="1E22C807"/>
    <w:rsid w:val="20ED95FC"/>
    <w:rsid w:val="2343B36C"/>
    <w:rsid w:val="2360127E"/>
    <w:rsid w:val="237C5E33"/>
    <w:rsid w:val="243163D5"/>
    <w:rsid w:val="24DD8C00"/>
    <w:rsid w:val="253BB8AD"/>
    <w:rsid w:val="276FF344"/>
    <w:rsid w:val="27F8770B"/>
    <w:rsid w:val="284979DE"/>
    <w:rsid w:val="296228AC"/>
    <w:rsid w:val="2AE2F67B"/>
    <w:rsid w:val="2B2DFEB9"/>
    <w:rsid w:val="2B72F515"/>
    <w:rsid w:val="2B73D2E9"/>
    <w:rsid w:val="2D4BBF0A"/>
    <w:rsid w:val="2DA42730"/>
    <w:rsid w:val="2E1C482A"/>
    <w:rsid w:val="30BB79AC"/>
    <w:rsid w:val="30D06314"/>
    <w:rsid w:val="3157F687"/>
    <w:rsid w:val="317DB625"/>
    <w:rsid w:val="31FCD0F6"/>
    <w:rsid w:val="321508B6"/>
    <w:rsid w:val="3257B949"/>
    <w:rsid w:val="333EC0CB"/>
    <w:rsid w:val="34748064"/>
    <w:rsid w:val="34960237"/>
    <w:rsid w:val="3536813C"/>
    <w:rsid w:val="360E10C1"/>
    <w:rsid w:val="371F3267"/>
    <w:rsid w:val="37505634"/>
    <w:rsid w:val="39081605"/>
    <w:rsid w:val="3A6D9E05"/>
    <w:rsid w:val="3C0A94CB"/>
    <w:rsid w:val="3E3A6D15"/>
    <w:rsid w:val="3E7BAA9C"/>
    <w:rsid w:val="3EFB8CCE"/>
    <w:rsid w:val="3F9142E9"/>
    <w:rsid w:val="407B8FF0"/>
    <w:rsid w:val="40954450"/>
    <w:rsid w:val="410A8EB6"/>
    <w:rsid w:val="415EDB71"/>
    <w:rsid w:val="419F6125"/>
    <w:rsid w:val="42F7D103"/>
    <w:rsid w:val="440C2339"/>
    <w:rsid w:val="448E0560"/>
    <w:rsid w:val="45E33951"/>
    <w:rsid w:val="46D7F646"/>
    <w:rsid w:val="46E63AC5"/>
    <w:rsid w:val="4727C0F7"/>
    <w:rsid w:val="4764929F"/>
    <w:rsid w:val="47D89B89"/>
    <w:rsid w:val="4A9336AC"/>
    <w:rsid w:val="4AA9C2FE"/>
    <w:rsid w:val="4AEB921F"/>
    <w:rsid w:val="4B3CB5FA"/>
    <w:rsid w:val="4B8BBCB8"/>
    <w:rsid w:val="4C13DF68"/>
    <w:rsid w:val="4C9D95A7"/>
    <w:rsid w:val="4CE8C8C4"/>
    <w:rsid w:val="4D8E11FB"/>
    <w:rsid w:val="4EC96545"/>
    <w:rsid w:val="4F033229"/>
    <w:rsid w:val="4F480B89"/>
    <w:rsid w:val="5028784A"/>
    <w:rsid w:val="50534F4B"/>
    <w:rsid w:val="513CC7D0"/>
    <w:rsid w:val="519B760E"/>
    <w:rsid w:val="519BD45F"/>
    <w:rsid w:val="52312A1A"/>
    <w:rsid w:val="52D1BDD6"/>
    <w:rsid w:val="53250491"/>
    <w:rsid w:val="54D0B16F"/>
    <w:rsid w:val="554EEF42"/>
    <w:rsid w:val="5699D0BC"/>
    <w:rsid w:val="56ECEAE2"/>
    <w:rsid w:val="57715619"/>
    <w:rsid w:val="58A2B418"/>
    <w:rsid w:val="596DC883"/>
    <w:rsid w:val="5B18542D"/>
    <w:rsid w:val="5C32CB8C"/>
    <w:rsid w:val="5DDDF444"/>
    <w:rsid w:val="5FEA76C4"/>
    <w:rsid w:val="6011C11A"/>
    <w:rsid w:val="607F9131"/>
    <w:rsid w:val="61AE9367"/>
    <w:rsid w:val="61F085D4"/>
    <w:rsid w:val="62294136"/>
    <w:rsid w:val="640183A8"/>
    <w:rsid w:val="652E395F"/>
    <w:rsid w:val="6652B934"/>
    <w:rsid w:val="66BD3220"/>
    <w:rsid w:val="66DC07D7"/>
    <w:rsid w:val="673F9339"/>
    <w:rsid w:val="67591365"/>
    <w:rsid w:val="680EC551"/>
    <w:rsid w:val="680F6DF2"/>
    <w:rsid w:val="68D139F8"/>
    <w:rsid w:val="6A724563"/>
    <w:rsid w:val="6B8DB538"/>
    <w:rsid w:val="6C01B047"/>
    <w:rsid w:val="6D7A8CCE"/>
    <w:rsid w:val="6EBA17E1"/>
    <w:rsid w:val="6FC15C8E"/>
    <w:rsid w:val="70BFB94F"/>
    <w:rsid w:val="729FDAD3"/>
    <w:rsid w:val="72A6C83D"/>
    <w:rsid w:val="7387F62E"/>
    <w:rsid w:val="73CC4AF2"/>
    <w:rsid w:val="74DCCB42"/>
    <w:rsid w:val="7544CAA5"/>
    <w:rsid w:val="75D49527"/>
    <w:rsid w:val="77871D01"/>
    <w:rsid w:val="779FEF53"/>
    <w:rsid w:val="780BAF24"/>
    <w:rsid w:val="7C693C34"/>
    <w:rsid w:val="7CA8BBDB"/>
    <w:rsid w:val="7D1A2657"/>
    <w:rsid w:val="7DD2E93B"/>
    <w:rsid w:val="7DD706CB"/>
    <w:rsid w:val="7E449819"/>
    <w:rsid w:val="7F61B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25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9" w:lineRule="auto"/>
    </w:pPr>
    <w:rPr>
      <w:sz w:val="24"/>
      <w:szCs w:val="24"/>
      <w:lang w:eastAsia="ja-JP"/>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156082" w:themeColor="accent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156082" w:themeColor="accent1"/>
      <w:sz w:val="32"/>
      <w:szCs w:val="32"/>
    </w:rPr>
  </w:style>
  <w:style w:type="paragraph" w:styleId="Heading3">
    <w:name w:val="heading 3"/>
    <w:basedOn w:val="Normal"/>
    <w:next w:val="Normal"/>
    <w:uiPriority w:val="9"/>
    <w:unhideWhenUsed/>
    <w:qFormat/>
    <w:pPr>
      <w:keepNext/>
      <w:keepLines/>
      <w:spacing w:before="160" w:after="80"/>
      <w:outlineLvl w:val="2"/>
    </w:pPr>
    <w:rPr>
      <w:rFonts w:eastAsiaTheme="majorEastAsia" w:cstheme="majorBidi"/>
      <w:color w:val="156082" w:themeColor="accent1"/>
      <w:sz w:val="28"/>
      <w:szCs w:val="28"/>
    </w:rPr>
  </w:style>
  <w:style w:type="paragraph" w:styleId="Heading4">
    <w:name w:val="heading 4"/>
    <w:basedOn w:val="Normal"/>
    <w:next w:val="Normal"/>
    <w:uiPriority w:val="9"/>
    <w:unhideWhenUsed/>
    <w:qFormat/>
    <w:pPr>
      <w:keepNext/>
      <w:keepLines/>
      <w:spacing w:before="80" w:after="40"/>
      <w:outlineLvl w:val="3"/>
    </w:pPr>
    <w:rPr>
      <w:rFonts w:eastAsiaTheme="majorEastAsia" w:cstheme="majorBidi"/>
      <w:i/>
      <w:iCs/>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u w:val="single"/>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156082" w:themeColor="accent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156082" w:themeColor="accent1"/>
      <w:sz w:val="32"/>
      <w:szCs w:val="32"/>
    </w:rPr>
  </w:style>
  <w:style w:type="character" w:customStyle="1" w:styleId="FooterChar">
    <w:name w:val="Footer Char"/>
    <w:basedOn w:val="DefaultParagraphFont"/>
    <w:link w:val="Footer"/>
    <w:uiPriority w:val="99"/>
    <w:rsid w:val="00DB02B6"/>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rxiv.org/abs/2501.01781" TargetMode="External"/><Relationship Id="rId13" Type="http://schemas.openxmlformats.org/officeDocument/2006/relationships/hyperlink" Target="https://www.econstor.eu/handle/10419/271001"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journals.sagepub.com/doi/10.1177/00081256221107420" TargetMode="External"/><Relationship Id="rId12" Type="http://schemas.openxmlformats.org/officeDocument/2006/relationships/hyperlink" Target="https://www.emerald.com/k/article/51/12/3637/511604" TargetMode="External"/><Relationship Id="rId17" Type="http://schemas.openxmlformats.org/officeDocument/2006/relationships/hyperlink" Target="https://utppublishing.com/doi/abs/10.3138/jsp-2023-0031" TargetMode="External"/><Relationship Id="rId2" Type="http://schemas.openxmlformats.org/officeDocument/2006/relationships/settings" Target="settings.xml"/><Relationship Id="rId16" Type="http://schemas.openxmlformats.org/officeDocument/2006/relationships/hyperlink" Target="https://repositorio.ulisboa.pt/handle/10400.5/10271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275531924003817" TargetMode="External"/><Relationship Id="rId5" Type="http://schemas.openxmlformats.org/officeDocument/2006/relationships/endnotes" Target="endnotes.xml"/><Relationship Id="rId15" Type="http://schemas.openxmlformats.org/officeDocument/2006/relationships/hyperlink" Target="https://link.springer.com/article/10.1007/s11846-022-00548-2" TargetMode="External"/><Relationship Id="rId10" Type="http://schemas.openxmlformats.org/officeDocument/2006/relationships/hyperlink" Target="https://www.cpcig-colepuli.com/uploads/soft/20240815/1-240Q516162U10.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bn.idsi.md/vizualizare_articol/231881" TargetMode="External"/><Relationship Id="rId14" Type="http://schemas.openxmlformats.org/officeDocument/2006/relationships/hyperlink" Target="https://www.sciencedirect.com/science/article/pii/S2210422420301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2026-03-29T09:21:00Z</dcterms:created>
  <dcterms:modified xsi:type="dcterms:W3CDTF">2026-03-29T09:21:00Z</dcterms:modified>
</cp:coreProperties>
</file>