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4B910" w14:textId="2BBCC990" w:rsidR="00140235" w:rsidRPr="00140235" w:rsidRDefault="00140235" w:rsidP="00140235">
      <w:pPr>
        <w:pStyle w:val="Subtitle"/>
        <w:rPr>
          <w:rFonts w:ascii="Arial" w:hAnsi="Arial" w:cs="Arial"/>
          <w:sz w:val="24"/>
          <w:szCs w:val="24"/>
        </w:rPr>
      </w:pPr>
      <w:r w:rsidRPr="00140235">
        <w:rPr>
          <w:rFonts w:ascii="Arial" w:hAnsi="Arial" w:cs="Arial"/>
          <w:sz w:val="24"/>
          <w:szCs w:val="24"/>
        </w:rPr>
        <w:t>NAME: Natalia Mirosnicova</w:t>
      </w:r>
    </w:p>
    <w:p w14:paraId="76DEDEAB" w14:textId="7FAC1AE7" w:rsidR="00140235" w:rsidRPr="00140235" w:rsidRDefault="00140235" w:rsidP="00140235">
      <w:pPr>
        <w:pStyle w:val="Subtitle"/>
        <w:rPr>
          <w:rFonts w:ascii="Arial" w:hAnsi="Arial" w:cs="Arial"/>
          <w:bCs/>
          <w:sz w:val="24"/>
          <w:szCs w:val="24"/>
        </w:rPr>
      </w:pPr>
      <w:r w:rsidRPr="00140235">
        <w:rPr>
          <w:rFonts w:ascii="Arial" w:hAnsi="Arial" w:cs="Arial"/>
          <w:sz w:val="24"/>
          <w:szCs w:val="24"/>
        </w:rPr>
        <w:t xml:space="preserve">STUDENT NUMBER:  </w:t>
      </w:r>
      <w:r w:rsidRPr="00140235">
        <w:rPr>
          <w:rFonts w:ascii="Arial" w:eastAsia="Times New Roman" w:hAnsi="Arial" w:cs="Arial"/>
          <w:bCs/>
          <w:sz w:val="24"/>
          <w:szCs w:val="24"/>
          <w:lang w:val="en-AU"/>
        </w:rPr>
        <w:t>2129102</w:t>
      </w:r>
    </w:p>
    <w:p w14:paraId="5F112E59" w14:textId="5E0548AB" w:rsidR="00140235" w:rsidRPr="00140235" w:rsidRDefault="00140235" w:rsidP="00140235">
      <w:pPr>
        <w:pStyle w:val="Subtitle"/>
        <w:rPr>
          <w:rFonts w:ascii="Arial" w:hAnsi="Arial" w:cs="Arial"/>
          <w:sz w:val="24"/>
          <w:szCs w:val="24"/>
        </w:rPr>
      </w:pPr>
      <w:r w:rsidRPr="00140235">
        <w:rPr>
          <w:rFonts w:ascii="Arial" w:hAnsi="Arial" w:cs="Arial"/>
          <w:sz w:val="24"/>
          <w:szCs w:val="24"/>
        </w:rPr>
        <w:t xml:space="preserve">MODULE TITLE: </w:t>
      </w:r>
      <w:r w:rsidR="002F415D" w:rsidRPr="002F415D">
        <w:rPr>
          <w:rFonts w:ascii="Arial" w:hAnsi="Arial" w:cs="Arial"/>
          <w:sz w:val="24"/>
          <w:szCs w:val="24"/>
        </w:rPr>
        <w:t>International Meetings Management for the Hotel Industry</w:t>
      </w:r>
    </w:p>
    <w:p w14:paraId="312BE4D3" w14:textId="43924F48" w:rsidR="00140235" w:rsidRPr="002F415D" w:rsidRDefault="00140235" w:rsidP="00140235">
      <w:pPr>
        <w:pStyle w:val="Subtitle"/>
        <w:rPr>
          <w:rFonts w:ascii="Arial" w:hAnsi="Arial" w:cs="Arial"/>
          <w:sz w:val="24"/>
          <w:szCs w:val="24"/>
        </w:rPr>
      </w:pPr>
      <w:r w:rsidRPr="00140235">
        <w:rPr>
          <w:rFonts w:ascii="Arial" w:hAnsi="Arial" w:cs="Arial"/>
          <w:sz w:val="24"/>
          <w:szCs w:val="24"/>
        </w:rPr>
        <w:t xml:space="preserve">MODULE CODE: </w:t>
      </w:r>
      <w:r w:rsidR="002F415D" w:rsidRPr="002F415D">
        <w:rPr>
          <w:rFonts w:ascii="Arial" w:hAnsi="Arial" w:cs="Arial"/>
          <w:sz w:val="24"/>
          <w:szCs w:val="24"/>
        </w:rPr>
        <w:t>BMIH6007</w:t>
      </w:r>
    </w:p>
    <w:p w14:paraId="351B9DA8" w14:textId="77777777" w:rsidR="003A3FF1" w:rsidRDefault="00140235" w:rsidP="003A3FF1">
      <w:pPr>
        <w:pStyle w:val="Subtitle"/>
        <w:rPr>
          <w:rFonts w:ascii="Arial" w:hAnsi="Arial" w:cs="Arial"/>
          <w:sz w:val="24"/>
          <w:szCs w:val="24"/>
        </w:rPr>
      </w:pPr>
      <w:r w:rsidRPr="00140235">
        <w:rPr>
          <w:rFonts w:ascii="Arial" w:hAnsi="Arial" w:cs="Arial"/>
          <w:sz w:val="24"/>
          <w:szCs w:val="24"/>
        </w:rPr>
        <w:t xml:space="preserve">LECTURER’S NAME: </w:t>
      </w:r>
      <w:r w:rsidR="002F415D" w:rsidRPr="002F415D">
        <w:rPr>
          <w:rFonts w:ascii="Arial" w:hAnsi="Arial" w:cs="Arial"/>
          <w:sz w:val="24"/>
          <w:szCs w:val="24"/>
        </w:rPr>
        <w:t>Kathryn Flynn</w:t>
      </w:r>
    </w:p>
    <w:p w14:paraId="441CADC6" w14:textId="7E941E5A" w:rsidR="003A3FF1" w:rsidRPr="003A3FF1" w:rsidRDefault="003A3FF1" w:rsidP="003A3FF1">
      <w:pPr>
        <w:pStyle w:val="Subtitle"/>
        <w:rPr>
          <w:rFonts w:ascii="Arial" w:hAnsi="Arial" w:cs="Arial"/>
          <w:sz w:val="24"/>
          <w:szCs w:val="24"/>
        </w:rPr>
      </w:pPr>
      <w:r>
        <w:rPr>
          <w:rFonts w:ascii="Arial" w:hAnsi="Arial" w:cs="Arial"/>
          <w:sz w:val="24"/>
          <w:szCs w:val="24"/>
        </w:rPr>
        <w:t xml:space="preserve">ASSIGMENT </w:t>
      </w:r>
      <w:r w:rsidRPr="003A3FF1">
        <w:rPr>
          <w:rFonts w:ascii="Arial" w:hAnsi="Arial" w:cs="Arial"/>
          <w:sz w:val="24"/>
          <w:szCs w:val="24"/>
        </w:rPr>
        <w:t>TITLE: Event Strategic Planning and Delivery Considerations for an International Meeting</w:t>
      </w:r>
    </w:p>
    <w:p w14:paraId="1709047D" w14:textId="77777777" w:rsidR="00140235" w:rsidRDefault="00140235" w:rsidP="00140235"/>
    <w:p w14:paraId="5A68EAF6" w14:textId="77777777" w:rsidR="00140235" w:rsidRDefault="00140235" w:rsidP="00140235"/>
    <w:p w14:paraId="68698A24" w14:textId="77777777" w:rsidR="00140235" w:rsidRDefault="00140235" w:rsidP="00140235"/>
    <w:p w14:paraId="074A296B" w14:textId="77777777" w:rsidR="00140235" w:rsidRDefault="00140235" w:rsidP="00140235"/>
    <w:p w14:paraId="49BADBF3" w14:textId="77777777" w:rsidR="00140235" w:rsidRDefault="00140235" w:rsidP="00140235"/>
    <w:p w14:paraId="0B25D889" w14:textId="77777777" w:rsidR="00140235" w:rsidRDefault="00140235" w:rsidP="00140235"/>
    <w:p w14:paraId="3F49FBDA" w14:textId="77777777" w:rsidR="00140235" w:rsidRDefault="00140235" w:rsidP="00140235"/>
    <w:p w14:paraId="4E702953" w14:textId="77777777" w:rsidR="00140235" w:rsidRDefault="00140235" w:rsidP="00140235"/>
    <w:p w14:paraId="2EFDDE6A" w14:textId="77777777" w:rsidR="00140235" w:rsidRDefault="00140235" w:rsidP="00140235"/>
    <w:p w14:paraId="28FCEC6D" w14:textId="77777777" w:rsidR="00140235" w:rsidRDefault="00140235" w:rsidP="00140235"/>
    <w:p w14:paraId="420AECD5" w14:textId="77777777" w:rsidR="00140235" w:rsidRDefault="00140235" w:rsidP="00140235"/>
    <w:p w14:paraId="1CEAA417" w14:textId="77777777" w:rsidR="00140235" w:rsidRDefault="00140235" w:rsidP="00140235"/>
    <w:p w14:paraId="21CE26EE" w14:textId="77777777" w:rsidR="00140235" w:rsidRDefault="00140235" w:rsidP="00140235"/>
    <w:p w14:paraId="44CA3633" w14:textId="77777777" w:rsidR="00140235" w:rsidRDefault="00140235" w:rsidP="00140235"/>
    <w:p w14:paraId="1167A4E5" w14:textId="77777777" w:rsidR="00140235" w:rsidRDefault="00140235" w:rsidP="00140235"/>
    <w:p w14:paraId="013DDEAD" w14:textId="77777777" w:rsidR="00140235" w:rsidRDefault="00140235" w:rsidP="00140235"/>
    <w:p w14:paraId="7AEAC060" w14:textId="77777777" w:rsidR="00140235" w:rsidRDefault="00140235" w:rsidP="00140235"/>
    <w:p w14:paraId="16FC25A2" w14:textId="77777777" w:rsidR="00140235" w:rsidRDefault="00140235" w:rsidP="00140235"/>
    <w:p w14:paraId="44B752A0" w14:textId="77777777" w:rsidR="00140235" w:rsidRDefault="00140235" w:rsidP="00140235"/>
    <w:p w14:paraId="67D6C47B" w14:textId="77777777" w:rsidR="00140235" w:rsidRDefault="00140235" w:rsidP="00140235"/>
    <w:p w14:paraId="6CB88FE4" w14:textId="77777777" w:rsidR="00140235" w:rsidRDefault="00140235" w:rsidP="00140235"/>
    <w:p w14:paraId="4AC04E12" w14:textId="77777777" w:rsidR="00140235" w:rsidRDefault="00140235" w:rsidP="00140235"/>
    <w:p w14:paraId="1A7B7C28" w14:textId="77777777" w:rsidR="00140235" w:rsidRDefault="00140235" w:rsidP="00140235"/>
    <w:p w14:paraId="1C8F220C" w14:textId="77777777" w:rsidR="00140235" w:rsidRDefault="00140235" w:rsidP="00140235"/>
    <w:p w14:paraId="028A03EE" w14:textId="77777777" w:rsidR="00140235" w:rsidRDefault="00140235" w:rsidP="00140235">
      <w:pPr>
        <w:pStyle w:val="Heading1"/>
        <w:rPr>
          <w:rFonts w:ascii="Times New Roman" w:hAnsi="Times New Roman" w:cs="Times New Roman"/>
          <w:color w:val="auto"/>
          <w:sz w:val="24"/>
        </w:rPr>
      </w:pPr>
      <w:bookmarkStart w:id="0" w:name="_Toc166758041"/>
      <w:bookmarkStart w:id="1" w:name="_Toc166765151"/>
      <w:r w:rsidRPr="00140235">
        <w:rPr>
          <w:rFonts w:ascii="Times New Roman" w:hAnsi="Times New Roman" w:cs="Times New Roman"/>
          <w:color w:val="auto"/>
          <w:sz w:val="24"/>
        </w:rPr>
        <w:lastRenderedPageBreak/>
        <w:t>EXECUTIVE SUMMARY</w:t>
      </w:r>
      <w:bookmarkEnd w:id="0"/>
      <w:bookmarkEnd w:id="1"/>
    </w:p>
    <w:p w14:paraId="00F29FF1" w14:textId="77777777" w:rsidR="00257291" w:rsidRPr="00257291" w:rsidRDefault="00257291" w:rsidP="00257291"/>
    <w:p w14:paraId="03C5667B" w14:textId="77777777" w:rsidR="00140235" w:rsidRDefault="00140235" w:rsidP="00140235">
      <w:pPr>
        <w:spacing w:line="360" w:lineRule="auto"/>
        <w:jc w:val="both"/>
        <w:rPr>
          <w:rFonts w:ascii="Times New Roman" w:hAnsi="Times New Roman" w:cs="Times New Roman"/>
          <w:sz w:val="24"/>
          <w:szCs w:val="24"/>
        </w:rPr>
      </w:pPr>
      <w:r w:rsidRPr="008B24E8">
        <w:rPr>
          <w:rFonts w:ascii="Arial" w:hAnsi="Arial" w:cs="Arial"/>
          <w:sz w:val="24"/>
          <w:szCs w:val="24"/>
        </w:rPr>
        <w:t>In this report, the theme of innovation and technology in robotics is discussed with the help of attached presentation. The report presents the concepts and cycle of event management relating to the theme of robotics. The international conference in robotics helps to understand the significance of event management and its performance at the international level. It also presents the whole process involved in the event management with effect of the theme of robotics in innovation and technology. It makes the learner aware about the planning and execution of tasks involved in the event management</w:t>
      </w:r>
      <w:r>
        <w:rPr>
          <w:rFonts w:ascii="Times New Roman" w:hAnsi="Times New Roman" w:cs="Times New Roman"/>
          <w:sz w:val="24"/>
          <w:szCs w:val="24"/>
        </w:rPr>
        <w:t xml:space="preserve">.  </w:t>
      </w:r>
    </w:p>
    <w:p w14:paraId="46F925D2" w14:textId="77777777" w:rsidR="00140235" w:rsidRDefault="00140235" w:rsidP="00140235">
      <w:r>
        <w:br w:type="page"/>
      </w:r>
    </w:p>
    <w:sdt>
      <w:sdtPr>
        <w:rPr>
          <w:rFonts w:asciiTheme="minorHAnsi" w:eastAsiaTheme="minorHAnsi" w:hAnsiTheme="minorHAnsi" w:cstheme="minorBidi"/>
          <w:b/>
          <w:bCs/>
          <w:color w:val="auto"/>
          <w:sz w:val="22"/>
          <w:szCs w:val="22"/>
        </w:rPr>
        <w:id w:val="-1829899778"/>
        <w:docPartObj>
          <w:docPartGallery w:val="Table of Contents"/>
          <w:docPartUnique/>
        </w:docPartObj>
      </w:sdtPr>
      <w:sdtEndPr>
        <w:rPr>
          <w:rFonts w:ascii="Arial" w:hAnsi="Arial" w:cs="Arial"/>
          <w:b w:val="0"/>
          <w:bCs w:val="0"/>
          <w:noProof/>
          <w:sz w:val="24"/>
          <w:szCs w:val="24"/>
        </w:rPr>
      </w:sdtEndPr>
      <w:sdtContent>
        <w:p w14:paraId="5F2CCF68" w14:textId="77777777" w:rsidR="00140235" w:rsidRDefault="00140235" w:rsidP="00140235">
          <w:pPr>
            <w:pStyle w:val="TOCHeading"/>
            <w:rPr>
              <w:color w:val="auto"/>
            </w:rPr>
          </w:pPr>
          <w:r w:rsidRPr="00140235">
            <w:rPr>
              <w:color w:val="auto"/>
            </w:rPr>
            <w:t>TABLE OF CONTENTS</w:t>
          </w:r>
        </w:p>
        <w:p w14:paraId="3BDC6942" w14:textId="77777777" w:rsidR="00257291" w:rsidRPr="00257291" w:rsidRDefault="00257291" w:rsidP="00257291"/>
        <w:p w14:paraId="551DA970" w14:textId="77777777" w:rsidR="00140235" w:rsidRPr="008B24E8" w:rsidRDefault="00140235" w:rsidP="00140235">
          <w:pPr>
            <w:pStyle w:val="TOC1"/>
            <w:tabs>
              <w:tab w:val="right" w:leader="dot" w:pos="9350"/>
            </w:tabs>
            <w:rPr>
              <w:rFonts w:ascii="Arial" w:eastAsiaTheme="minorEastAsia" w:hAnsi="Arial" w:cs="Arial"/>
              <w:noProof/>
              <w:sz w:val="24"/>
              <w:szCs w:val="24"/>
              <w:lang w:val="en-US"/>
            </w:rPr>
          </w:pPr>
          <w:r w:rsidRPr="008B24E8">
            <w:rPr>
              <w:rFonts w:ascii="Arial" w:hAnsi="Arial" w:cs="Arial"/>
              <w:sz w:val="24"/>
              <w:szCs w:val="24"/>
            </w:rPr>
            <w:fldChar w:fldCharType="begin"/>
          </w:r>
          <w:r w:rsidRPr="008B24E8">
            <w:rPr>
              <w:rFonts w:ascii="Arial" w:hAnsi="Arial" w:cs="Arial"/>
              <w:sz w:val="24"/>
              <w:szCs w:val="24"/>
            </w:rPr>
            <w:instrText xml:space="preserve"> TOC \o "1-3" \h \z \u </w:instrText>
          </w:r>
          <w:r w:rsidRPr="008B24E8">
            <w:rPr>
              <w:rFonts w:ascii="Arial" w:hAnsi="Arial" w:cs="Arial"/>
              <w:sz w:val="24"/>
              <w:szCs w:val="24"/>
            </w:rPr>
            <w:fldChar w:fldCharType="separate"/>
          </w:r>
          <w:hyperlink w:anchor="_Toc166765151" w:history="1">
            <w:r w:rsidRPr="008B24E8">
              <w:rPr>
                <w:rStyle w:val="Hyperlink"/>
                <w:rFonts w:ascii="Arial" w:hAnsi="Arial" w:cs="Arial"/>
                <w:noProof/>
                <w:sz w:val="24"/>
                <w:szCs w:val="24"/>
              </w:rPr>
              <w:t>EXECUTIVE SUMMARY</w:t>
            </w:r>
            <w:r w:rsidRPr="008B24E8">
              <w:rPr>
                <w:rFonts w:ascii="Arial" w:hAnsi="Arial" w:cs="Arial"/>
                <w:noProof/>
                <w:webHidden/>
                <w:sz w:val="24"/>
                <w:szCs w:val="24"/>
              </w:rPr>
              <w:tab/>
            </w:r>
            <w:r w:rsidRPr="008B24E8">
              <w:rPr>
                <w:rFonts w:ascii="Arial" w:hAnsi="Arial" w:cs="Arial"/>
                <w:noProof/>
                <w:webHidden/>
                <w:sz w:val="24"/>
                <w:szCs w:val="24"/>
              </w:rPr>
              <w:fldChar w:fldCharType="begin"/>
            </w:r>
            <w:r w:rsidRPr="008B24E8">
              <w:rPr>
                <w:rFonts w:ascii="Arial" w:hAnsi="Arial" w:cs="Arial"/>
                <w:noProof/>
                <w:webHidden/>
                <w:sz w:val="24"/>
                <w:szCs w:val="24"/>
              </w:rPr>
              <w:instrText xml:space="preserve"> PAGEREF _Toc166765151 \h </w:instrText>
            </w:r>
            <w:r w:rsidRPr="008B24E8">
              <w:rPr>
                <w:rFonts w:ascii="Arial" w:hAnsi="Arial" w:cs="Arial"/>
                <w:noProof/>
                <w:webHidden/>
                <w:sz w:val="24"/>
                <w:szCs w:val="24"/>
              </w:rPr>
            </w:r>
            <w:r w:rsidRPr="008B24E8">
              <w:rPr>
                <w:rFonts w:ascii="Arial" w:hAnsi="Arial" w:cs="Arial"/>
                <w:noProof/>
                <w:webHidden/>
                <w:sz w:val="24"/>
                <w:szCs w:val="24"/>
              </w:rPr>
              <w:fldChar w:fldCharType="separate"/>
            </w:r>
            <w:r w:rsidRPr="008B24E8">
              <w:rPr>
                <w:rFonts w:ascii="Arial" w:hAnsi="Arial" w:cs="Arial"/>
                <w:noProof/>
                <w:webHidden/>
                <w:sz w:val="24"/>
                <w:szCs w:val="24"/>
              </w:rPr>
              <w:t>2</w:t>
            </w:r>
            <w:r w:rsidRPr="008B24E8">
              <w:rPr>
                <w:rFonts w:ascii="Arial" w:hAnsi="Arial" w:cs="Arial"/>
                <w:noProof/>
                <w:webHidden/>
                <w:sz w:val="24"/>
                <w:szCs w:val="24"/>
              </w:rPr>
              <w:fldChar w:fldCharType="end"/>
            </w:r>
          </w:hyperlink>
        </w:p>
        <w:p w14:paraId="6DFA13AA"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2" w:history="1">
            <w:r w:rsidR="00140235" w:rsidRPr="008B24E8">
              <w:rPr>
                <w:rStyle w:val="Hyperlink"/>
                <w:rFonts w:ascii="Arial" w:hAnsi="Arial" w:cs="Arial"/>
                <w:noProof/>
                <w:sz w:val="24"/>
                <w:szCs w:val="24"/>
              </w:rPr>
              <w:t>INTRODUCTION</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_Toc166765152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4</w:t>
            </w:r>
            <w:r w:rsidR="00140235" w:rsidRPr="008B24E8">
              <w:rPr>
                <w:rFonts w:ascii="Arial" w:hAnsi="Arial" w:cs="Arial"/>
                <w:noProof/>
                <w:webHidden/>
                <w:sz w:val="24"/>
                <w:szCs w:val="24"/>
              </w:rPr>
              <w:fldChar w:fldCharType="end"/>
            </w:r>
          </w:hyperlink>
        </w:p>
        <w:p w14:paraId="2DD142C4"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3" w:history="1">
            <w:r w:rsidR="00140235" w:rsidRPr="008B24E8">
              <w:rPr>
                <w:rStyle w:val="Hyperlink"/>
                <w:rFonts w:ascii="Arial" w:hAnsi="Arial" w:cs="Arial"/>
                <w:noProof/>
                <w:sz w:val="24"/>
                <w:szCs w:val="24"/>
              </w:rPr>
              <w:t>THE EVENT CYCLE</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_Toc166765153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4</w:t>
            </w:r>
            <w:r w:rsidR="00140235" w:rsidRPr="008B24E8">
              <w:rPr>
                <w:rFonts w:ascii="Arial" w:hAnsi="Arial" w:cs="Arial"/>
                <w:noProof/>
                <w:webHidden/>
                <w:sz w:val="24"/>
                <w:szCs w:val="24"/>
              </w:rPr>
              <w:fldChar w:fldCharType="end"/>
            </w:r>
          </w:hyperlink>
        </w:p>
        <w:p w14:paraId="4FFB2328"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4" w:history="1">
            <w:r w:rsidR="00140235" w:rsidRPr="008B24E8">
              <w:rPr>
                <w:rStyle w:val="Hyperlink"/>
                <w:rFonts w:ascii="Arial" w:hAnsi="Arial" w:cs="Arial"/>
                <w:noProof/>
                <w:sz w:val="24"/>
                <w:szCs w:val="24"/>
              </w:rPr>
              <w:t>EVENT CONCEPT</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_Toc166765154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5</w:t>
            </w:r>
            <w:r w:rsidR="00140235" w:rsidRPr="008B24E8">
              <w:rPr>
                <w:rFonts w:ascii="Arial" w:hAnsi="Arial" w:cs="Arial"/>
                <w:noProof/>
                <w:webHidden/>
                <w:sz w:val="24"/>
                <w:szCs w:val="24"/>
              </w:rPr>
              <w:fldChar w:fldCharType="end"/>
            </w:r>
          </w:hyperlink>
        </w:p>
        <w:p w14:paraId="70809A15"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5" w:history="1">
            <w:r w:rsidR="00140235" w:rsidRPr="008B24E8">
              <w:rPr>
                <w:rStyle w:val="Hyperlink"/>
                <w:rFonts w:ascii="Arial" w:hAnsi="Arial" w:cs="Arial"/>
                <w:noProof/>
                <w:sz w:val="24"/>
                <w:szCs w:val="24"/>
              </w:rPr>
              <w:t>AIM AND OBJECTIVE OF EVENT</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_Toc166765155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6</w:t>
            </w:r>
            <w:r w:rsidR="00140235" w:rsidRPr="008B24E8">
              <w:rPr>
                <w:rFonts w:ascii="Arial" w:hAnsi="Arial" w:cs="Arial"/>
                <w:noProof/>
                <w:webHidden/>
                <w:sz w:val="24"/>
                <w:szCs w:val="24"/>
              </w:rPr>
              <w:fldChar w:fldCharType="end"/>
            </w:r>
          </w:hyperlink>
        </w:p>
        <w:p w14:paraId="10A40EB1"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6" w:history="1">
            <w:r w:rsidR="00140235" w:rsidRPr="008B24E8">
              <w:rPr>
                <w:rStyle w:val="Hyperlink"/>
                <w:rFonts w:ascii="Arial" w:hAnsi="Arial" w:cs="Arial"/>
                <w:noProof/>
                <w:sz w:val="24"/>
                <w:szCs w:val="24"/>
              </w:rPr>
              <w:t>EVENT OPERATIONS</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_Toc166765156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7</w:t>
            </w:r>
            <w:r w:rsidR="00140235" w:rsidRPr="008B24E8">
              <w:rPr>
                <w:rFonts w:ascii="Arial" w:hAnsi="Arial" w:cs="Arial"/>
                <w:noProof/>
                <w:webHidden/>
                <w:sz w:val="24"/>
                <w:szCs w:val="24"/>
              </w:rPr>
              <w:fldChar w:fldCharType="end"/>
            </w:r>
          </w:hyperlink>
        </w:p>
        <w:p w14:paraId="00D467E8"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7" w:history="1">
            <w:r w:rsidR="00140235" w:rsidRPr="008B24E8">
              <w:rPr>
                <w:rStyle w:val="Hyperlink"/>
                <w:rFonts w:ascii="Arial" w:hAnsi="Arial" w:cs="Arial"/>
                <w:noProof/>
                <w:sz w:val="24"/>
                <w:szCs w:val="24"/>
              </w:rPr>
              <w:t>EVENT BUDGET</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_Toc166765157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8</w:t>
            </w:r>
            <w:r w:rsidR="00140235" w:rsidRPr="008B24E8">
              <w:rPr>
                <w:rFonts w:ascii="Arial" w:hAnsi="Arial" w:cs="Arial"/>
                <w:noProof/>
                <w:webHidden/>
                <w:sz w:val="24"/>
                <w:szCs w:val="24"/>
              </w:rPr>
              <w:fldChar w:fldCharType="end"/>
            </w:r>
          </w:hyperlink>
        </w:p>
        <w:p w14:paraId="6FA2ED52"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8" w:history="1">
            <w:r w:rsidR="00140235" w:rsidRPr="008B24E8">
              <w:rPr>
                <w:rStyle w:val="Hyperlink"/>
                <w:rFonts w:ascii="Arial" w:hAnsi="Arial" w:cs="Arial"/>
                <w:noProof/>
                <w:sz w:val="24"/>
                <w:szCs w:val="24"/>
              </w:rPr>
              <w:t>INDUSTRY TRENDS\ ISSUES</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_Toc166765158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10</w:t>
            </w:r>
            <w:r w:rsidR="00140235" w:rsidRPr="008B24E8">
              <w:rPr>
                <w:rFonts w:ascii="Arial" w:hAnsi="Arial" w:cs="Arial"/>
                <w:noProof/>
                <w:webHidden/>
                <w:sz w:val="24"/>
                <w:szCs w:val="24"/>
              </w:rPr>
              <w:fldChar w:fldCharType="end"/>
            </w:r>
          </w:hyperlink>
        </w:p>
        <w:p w14:paraId="58774BEA"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59" w:history="1">
            <w:r w:rsidR="00140235" w:rsidRPr="008B24E8">
              <w:rPr>
                <w:rStyle w:val="Hyperlink"/>
                <w:rFonts w:ascii="Arial" w:hAnsi="Arial" w:cs="Arial"/>
                <w:noProof/>
                <w:sz w:val="24"/>
                <w:szCs w:val="24"/>
              </w:rPr>
              <w:t>CULTURAL AND SITUATIONAL CONSIDERATIONS</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_Toc166765159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12</w:t>
            </w:r>
            <w:r w:rsidR="00140235" w:rsidRPr="008B24E8">
              <w:rPr>
                <w:rFonts w:ascii="Arial" w:hAnsi="Arial" w:cs="Arial"/>
                <w:noProof/>
                <w:webHidden/>
                <w:sz w:val="24"/>
                <w:szCs w:val="24"/>
              </w:rPr>
              <w:fldChar w:fldCharType="end"/>
            </w:r>
          </w:hyperlink>
        </w:p>
        <w:p w14:paraId="73A82F64"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60" w:history="1">
            <w:r w:rsidR="00140235" w:rsidRPr="008B24E8">
              <w:rPr>
                <w:rStyle w:val="Hyperlink"/>
                <w:rFonts w:ascii="Arial" w:hAnsi="Arial" w:cs="Arial"/>
                <w:noProof/>
                <w:sz w:val="24"/>
                <w:szCs w:val="24"/>
              </w:rPr>
              <w:t>CONCLUSION</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_Toc166765160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12</w:t>
            </w:r>
            <w:r w:rsidR="00140235" w:rsidRPr="008B24E8">
              <w:rPr>
                <w:rFonts w:ascii="Arial" w:hAnsi="Arial" w:cs="Arial"/>
                <w:noProof/>
                <w:webHidden/>
                <w:sz w:val="24"/>
                <w:szCs w:val="24"/>
              </w:rPr>
              <w:fldChar w:fldCharType="end"/>
            </w:r>
          </w:hyperlink>
        </w:p>
        <w:p w14:paraId="162EF1F0" w14:textId="77777777" w:rsidR="00140235" w:rsidRPr="008B24E8" w:rsidRDefault="00000000" w:rsidP="00140235">
          <w:pPr>
            <w:pStyle w:val="TOC1"/>
            <w:tabs>
              <w:tab w:val="right" w:leader="dot" w:pos="9350"/>
            </w:tabs>
            <w:rPr>
              <w:rFonts w:ascii="Arial" w:eastAsiaTheme="minorEastAsia" w:hAnsi="Arial" w:cs="Arial"/>
              <w:noProof/>
              <w:sz w:val="24"/>
              <w:szCs w:val="24"/>
              <w:lang w:val="en-US"/>
            </w:rPr>
          </w:pPr>
          <w:hyperlink w:anchor="_Toc166765161" w:history="1">
            <w:r w:rsidR="00140235" w:rsidRPr="008B24E8">
              <w:rPr>
                <w:rStyle w:val="Hyperlink"/>
                <w:rFonts w:ascii="Arial" w:hAnsi="Arial" w:cs="Arial"/>
                <w:noProof/>
                <w:sz w:val="24"/>
                <w:szCs w:val="24"/>
              </w:rPr>
              <w:t>REFERENCES</w:t>
            </w:r>
            <w:r w:rsidR="00140235" w:rsidRPr="008B24E8">
              <w:rPr>
                <w:rFonts w:ascii="Arial" w:hAnsi="Arial" w:cs="Arial"/>
                <w:noProof/>
                <w:webHidden/>
                <w:sz w:val="24"/>
                <w:szCs w:val="24"/>
              </w:rPr>
              <w:tab/>
            </w:r>
            <w:r w:rsidR="00140235" w:rsidRPr="008B24E8">
              <w:rPr>
                <w:rFonts w:ascii="Arial" w:hAnsi="Arial" w:cs="Arial"/>
                <w:noProof/>
                <w:webHidden/>
                <w:sz w:val="24"/>
                <w:szCs w:val="24"/>
              </w:rPr>
              <w:fldChar w:fldCharType="begin"/>
            </w:r>
            <w:r w:rsidR="00140235" w:rsidRPr="008B24E8">
              <w:rPr>
                <w:rFonts w:ascii="Arial" w:hAnsi="Arial" w:cs="Arial"/>
                <w:noProof/>
                <w:webHidden/>
                <w:sz w:val="24"/>
                <w:szCs w:val="24"/>
              </w:rPr>
              <w:instrText xml:space="preserve"> PAGEREF _Toc166765161 \h </w:instrText>
            </w:r>
            <w:r w:rsidR="00140235" w:rsidRPr="008B24E8">
              <w:rPr>
                <w:rFonts w:ascii="Arial" w:hAnsi="Arial" w:cs="Arial"/>
                <w:noProof/>
                <w:webHidden/>
                <w:sz w:val="24"/>
                <w:szCs w:val="24"/>
              </w:rPr>
            </w:r>
            <w:r w:rsidR="00140235" w:rsidRPr="008B24E8">
              <w:rPr>
                <w:rFonts w:ascii="Arial" w:hAnsi="Arial" w:cs="Arial"/>
                <w:noProof/>
                <w:webHidden/>
                <w:sz w:val="24"/>
                <w:szCs w:val="24"/>
              </w:rPr>
              <w:fldChar w:fldCharType="separate"/>
            </w:r>
            <w:r w:rsidR="00140235" w:rsidRPr="008B24E8">
              <w:rPr>
                <w:rFonts w:ascii="Arial" w:hAnsi="Arial" w:cs="Arial"/>
                <w:noProof/>
                <w:webHidden/>
                <w:sz w:val="24"/>
                <w:szCs w:val="24"/>
              </w:rPr>
              <w:t>14</w:t>
            </w:r>
            <w:r w:rsidR="00140235" w:rsidRPr="008B24E8">
              <w:rPr>
                <w:rFonts w:ascii="Arial" w:hAnsi="Arial" w:cs="Arial"/>
                <w:noProof/>
                <w:webHidden/>
                <w:sz w:val="24"/>
                <w:szCs w:val="24"/>
              </w:rPr>
              <w:fldChar w:fldCharType="end"/>
            </w:r>
          </w:hyperlink>
        </w:p>
        <w:p w14:paraId="2204392A" w14:textId="77777777" w:rsidR="00140235" w:rsidRPr="008B24E8" w:rsidRDefault="00140235" w:rsidP="00140235">
          <w:pPr>
            <w:rPr>
              <w:rFonts w:ascii="Arial" w:hAnsi="Arial" w:cs="Arial"/>
              <w:sz w:val="24"/>
              <w:szCs w:val="24"/>
            </w:rPr>
          </w:pPr>
          <w:r w:rsidRPr="008B24E8">
            <w:rPr>
              <w:rFonts w:ascii="Arial" w:hAnsi="Arial" w:cs="Arial"/>
              <w:b/>
              <w:bCs/>
              <w:noProof/>
              <w:sz w:val="24"/>
              <w:szCs w:val="24"/>
            </w:rPr>
            <w:fldChar w:fldCharType="end"/>
          </w:r>
        </w:p>
      </w:sdtContent>
    </w:sdt>
    <w:p w14:paraId="1711C3D9" w14:textId="77777777" w:rsidR="00140235" w:rsidRDefault="00140235" w:rsidP="00140235"/>
    <w:p w14:paraId="1F93092A" w14:textId="77777777" w:rsidR="00140235" w:rsidRPr="00827362" w:rsidRDefault="00140235" w:rsidP="00140235">
      <w:pPr>
        <w:spacing w:line="360" w:lineRule="auto"/>
        <w:rPr>
          <w:rFonts w:ascii="Times New Roman" w:hAnsi="Times New Roman" w:cs="Times New Roman"/>
          <w:sz w:val="24"/>
          <w:szCs w:val="24"/>
        </w:rPr>
      </w:pPr>
    </w:p>
    <w:p w14:paraId="66D365F9" w14:textId="77777777" w:rsidR="00140235" w:rsidRPr="003D6168" w:rsidRDefault="00140235" w:rsidP="00140235">
      <w:pPr>
        <w:spacing w:before="240" w:after="0" w:line="360" w:lineRule="auto"/>
        <w:jc w:val="both"/>
        <w:rPr>
          <w:rFonts w:ascii="Times New Roman" w:hAnsi="Times New Roman" w:cs="Times New Roman"/>
          <w:b/>
          <w:sz w:val="24"/>
          <w:szCs w:val="24"/>
        </w:rPr>
      </w:pPr>
    </w:p>
    <w:p w14:paraId="56FBF9DE" w14:textId="77777777" w:rsidR="00140235" w:rsidRPr="003D6168" w:rsidRDefault="00140235" w:rsidP="00140235">
      <w:pPr>
        <w:spacing w:before="240" w:after="0" w:line="360" w:lineRule="auto"/>
        <w:jc w:val="both"/>
        <w:rPr>
          <w:rFonts w:ascii="Times New Roman" w:hAnsi="Times New Roman" w:cs="Times New Roman"/>
          <w:sz w:val="24"/>
          <w:szCs w:val="24"/>
        </w:rPr>
      </w:pPr>
      <w:r w:rsidRPr="003D6168">
        <w:rPr>
          <w:rFonts w:ascii="Times New Roman" w:hAnsi="Times New Roman" w:cs="Times New Roman"/>
          <w:sz w:val="24"/>
          <w:szCs w:val="24"/>
        </w:rPr>
        <w:br w:type="page"/>
      </w:r>
    </w:p>
    <w:p w14:paraId="1BAD8F85"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2" w:name="_Toc166414057"/>
      <w:bookmarkStart w:id="3" w:name="_Toc166758042"/>
      <w:bookmarkStart w:id="4" w:name="_Toc166765152"/>
      <w:r w:rsidRPr="00140235">
        <w:rPr>
          <w:rFonts w:ascii="Times New Roman" w:hAnsi="Times New Roman" w:cs="Times New Roman"/>
          <w:color w:val="auto"/>
          <w:sz w:val="24"/>
          <w:szCs w:val="24"/>
        </w:rPr>
        <w:lastRenderedPageBreak/>
        <w:t>INTRODUCTION</w:t>
      </w:r>
      <w:bookmarkEnd w:id="2"/>
      <w:bookmarkEnd w:id="3"/>
      <w:bookmarkEnd w:id="4"/>
    </w:p>
    <w:p w14:paraId="6C679AEF"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In this report, the theme of the conference is technology and innovation in robotics which can be more impactful towards the rapidly advancements in the technology. The meetings and the international conferences led in the various sectors such as education, healthcare, manufacturing and many other industries of and sectors of this type can be the helpful source for implementing such events and meetings. The location of the conference is Westminster Palace Hotel’s lecture hall in London. This conference helps to investigate the challenges faced by the various industries. This report also brings the efforts of successful execution of events examining the factors involved in its planning. The aim of the report is to showcase the latest growth in the robotics. Event can be defined as something which can be happened like unusual or something important. Robotics is chosen as the theme for the event because it has the influence on the many industries and sectors which can change the potential way of life, career and growth.   </w:t>
      </w:r>
    </w:p>
    <w:p w14:paraId="5DAFB6D0" w14:textId="77777777" w:rsidR="00140235" w:rsidRPr="00140235" w:rsidRDefault="00140235" w:rsidP="00140235">
      <w:pPr>
        <w:pStyle w:val="Heading1"/>
        <w:rPr>
          <w:rFonts w:ascii="Times New Roman" w:hAnsi="Times New Roman" w:cs="Times New Roman"/>
          <w:color w:val="auto"/>
          <w:sz w:val="24"/>
        </w:rPr>
      </w:pPr>
      <w:bookmarkStart w:id="5" w:name="_Toc166414058"/>
      <w:bookmarkStart w:id="6" w:name="_Toc166758043"/>
      <w:bookmarkStart w:id="7" w:name="_Toc166765153"/>
      <w:r w:rsidRPr="00140235">
        <w:rPr>
          <w:rFonts w:ascii="Times New Roman" w:hAnsi="Times New Roman" w:cs="Times New Roman"/>
          <w:color w:val="auto"/>
          <w:sz w:val="24"/>
        </w:rPr>
        <w:t>THE EVENT CYCLE</w:t>
      </w:r>
      <w:bookmarkEnd w:id="5"/>
      <w:bookmarkEnd w:id="6"/>
      <w:bookmarkEnd w:id="7"/>
      <w:r w:rsidRPr="00140235">
        <w:rPr>
          <w:rFonts w:ascii="Times New Roman" w:hAnsi="Times New Roman" w:cs="Times New Roman"/>
          <w:color w:val="auto"/>
          <w:sz w:val="24"/>
        </w:rPr>
        <w:t xml:space="preserve">    </w:t>
      </w:r>
    </w:p>
    <w:p w14:paraId="39052A4C" w14:textId="4FB574B7" w:rsidR="00140235" w:rsidRPr="008B24E8" w:rsidRDefault="00140235" w:rsidP="00140235">
      <w:pPr>
        <w:autoSpaceDE w:val="0"/>
        <w:autoSpaceDN w:val="0"/>
        <w:adjustRightInd w:val="0"/>
        <w:spacing w:before="240" w:after="0" w:line="360" w:lineRule="auto"/>
        <w:jc w:val="both"/>
        <w:rPr>
          <w:rFonts w:ascii="Arial" w:hAnsi="Arial" w:cs="Arial"/>
          <w:color w:val="222222"/>
          <w:sz w:val="24"/>
          <w:szCs w:val="24"/>
          <w:shd w:val="clear" w:color="auto" w:fill="FFFFFF"/>
        </w:rPr>
      </w:pPr>
      <w:r w:rsidRPr="008B24E8">
        <w:rPr>
          <w:rFonts w:ascii="Arial" w:hAnsi="Arial" w:cs="Arial"/>
          <w:sz w:val="24"/>
          <w:szCs w:val="24"/>
        </w:rPr>
        <w:t xml:space="preserve">The event cycle can be defined as the series of steps that occur in response to an event. The theme of the event is technology and innovation which can automate the task with the developing phase of the economy. Innovation and technology are the two supporting pillars of the robotics which is at huge demand in today’s </w:t>
      </w:r>
      <w:r w:rsidR="005D4543" w:rsidRPr="008B24E8">
        <w:rPr>
          <w:rFonts w:ascii="Arial" w:hAnsi="Arial" w:cs="Arial"/>
          <w:sz w:val="24"/>
          <w:szCs w:val="24"/>
        </w:rPr>
        <w:t>fast-moving</w:t>
      </w:r>
      <w:r w:rsidRPr="008B24E8">
        <w:rPr>
          <w:rFonts w:ascii="Arial" w:hAnsi="Arial" w:cs="Arial"/>
          <w:sz w:val="24"/>
          <w:szCs w:val="24"/>
        </w:rPr>
        <w:t xml:space="preserve"> world. The innovation and technology </w:t>
      </w:r>
      <w:r w:rsidR="005D4543" w:rsidRPr="008B24E8">
        <w:rPr>
          <w:rFonts w:ascii="Arial" w:hAnsi="Arial" w:cs="Arial"/>
          <w:sz w:val="24"/>
          <w:szCs w:val="24"/>
        </w:rPr>
        <w:t>have</w:t>
      </w:r>
      <w:r w:rsidRPr="008B24E8">
        <w:rPr>
          <w:rFonts w:ascii="Arial" w:hAnsi="Arial" w:cs="Arial"/>
          <w:sz w:val="24"/>
          <w:szCs w:val="24"/>
        </w:rPr>
        <w:t xml:space="preserve"> different impact on robotics. The robotics theme can be used in various events and meetings to automate the process. It helps to guide the presenters and the attendees to use the robotics skills in addressing the issues related to the political and financial growth and can also enhance the humanitarian approach.  </w:t>
      </w:r>
      <w:r w:rsidRPr="008B24E8">
        <w:rPr>
          <w:rFonts w:ascii="Arial" w:hAnsi="Arial" w:cs="Arial"/>
          <w:kern w:val="24"/>
          <w:sz w:val="24"/>
          <w:szCs w:val="24"/>
          <w:lang w:val="en-US"/>
        </w:rPr>
        <w:t xml:space="preserve">The theme also signifies the emphasis of the event on assertive the limits of technical innovation and intellectual management in robotics. In other words, robotics combines the science, technology, and engineering to design, operate and use machines which can replicate and substitute humans in completing the most complex tasks. It can be the most important part in the event management because of the involvement of large </w:t>
      </w:r>
      <w:r w:rsidR="004D4978" w:rsidRPr="008B24E8">
        <w:rPr>
          <w:rFonts w:ascii="Arial" w:hAnsi="Arial" w:cs="Arial"/>
          <w:kern w:val="24"/>
          <w:sz w:val="24"/>
          <w:szCs w:val="24"/>
          <w:lang w:val="en-US"/>
        </w:rPr>
        <w:t>number</w:t>
      </w:r>
      <w:r w:rsidRPr="008B24E8">
        <w:rPr>
          <w:rFonts w:ascii="Arial" w:hAnsi="Arial" w:cs="Arial"/>
          <w:kern w:val="24"/>
          <w:sz w:val="24"/>
          <w:szCs w:val="24"/>
          <w:lang w:val="en-US"/>
        </w:rPr>
        <w:t xml:space="preserve"> of labors. Robots can help to automate the repetitive tasks which can lead to save the time and cost saving (</w:t>
      </w:r>
      <w:r w:rsidRPr="008B24E8">
        <w:rPr>
          <w:rFonts w:ascii="Arial" w:hAnsi="Arial" w:cs="Arial"/>
          <w:color w:val="222222"/>
          <w:sz w:val="24"/>
          <w:szCs w:val="24"/>
          <w:shd w:val="clear" w:color="auto" w:fill="FFFFFF"/>
        </w:rPr>
        <w:t>Tidd and Bessant, 2020). </w:t>
      </w:r>
    </w:p>
    <w:p w14:paraId="16346C32" w14:textId="77777777" w:rsidR="00140235" w:rsidRDefault="00140235" w:rsidP="00140235">
      <w:pPr>
        <w:autoSpaceDE w:val="0"/>
        <w:autoSpaceDN w:val="0"/>
        <w:adjustRightInd w:val="0"/>
        <w:spacing w:before="240" w:after="0" w:line="360" w:lineRule="auto"/>
        <w:jc w:val="both"/>
        <w:rPr>
          <w:rFonts w:ascii="Times New Roman" w:hAnsi="Times New Roman" w:cs="Times New Roman"/>
          <w:color w:val="222222"/>
          <w:sz w:val="24"/>
          <w:szCs w:val="24"/>
          <w:shd w:val="clear" w:color="auto" w:fill="FFFFFF"/>
        </w:rPr>
      </w:pPr>
    </w:p>
    <w:p w14:paraId="742771AF" w14:textId="77777777" w:rsidR="00140235" w:rsidRPr="00EA5E01" w:rsidRDefault="00140235" w:rsidP="00140235">
      <w:pPr>
        <w:autoSpaceDE w:val="0"/>
        <w:autoSpaceDN w:val="0"/>
        <w:adjustRightInd w:val="0"/>
        <w:spacing w:before="240"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color w:val="222222"/>
          <w:sz w:val="24"/>
          <w:szCs w:val="24"/>
          <w:shd w:val="clear" w:color="auto" w:fill="FFFFFF"/>
        </w:rPr>
        <w:t xml:space="preserve">EVENT CYCLE </w:t>
      </w:r>
      <w:r>
        <w:rPr>
          <w:rFonts w:ascii="Times New Roman" w:hAnsi="Times New Roman" w:cs="Times New Roman"/>
          <w:color w:val="222222"/>
          <w:sz w:val="24"/>
          <w:szCs w:val="24"/>
          <w:shd w:val="clear" w:color="auto" w:fill="FFFFFF"/>
        </w:rPr>
        <w:t xml:space="preserve">                                                             </w:t>
      </w:r>
    </w:p>
    <w:p w14:paraId="28413745" w14:textId="77777777" w:rsidR="00140235" w:rsidRDefault="00140235" w:rsidP="00140235">
      <w:pPr>
        <w:autoSpaceDE w:val="0"/>
        <w:autoSpaceDN w:val="0"/>
        <w:adjustRightInd w:val="0"/>
        <w:spacing w:before="240" w:after="0" w:line="360" w:lineRule="auto"/>
        <w:jc w:val="center"/>
        <w:rPr>
          <w:rFonts w:ascii="Times New Roman" w:hAnsi="Times New Roman" w:cs="Times New Roman"/>
          <w:kern w:val="24"/>
          <w:sz w:val="24"/>
          <w:szCs w:val="24"/>
          <w:lang w:val="en-US"/>
        </w:rPr>
      </w:pPr>
      <w:r>
        <w:rPr>
          <w:rFonts w:ascii="Times New Roman" w:hAnsi="Times New Roman" w:cs="Times New Roman"/>
          <w:noProof/>
          <w:color w:val="222222"/>
          <w:sz w:val="24"/>
          <w:szCs w:val="24"/>
          <w:shd w:val="clear" w:color="auto" w:fill="FFFFFF"/>
          <w:lang w:val="en-US"/>
        </w:rPr>
        <w:drawing>
          <wp:inline distT="0" distB="0" distL="0" distR="0" wp14:anchorId="410E89F0" wp14:editId="65CEA59C">
            <wp:extent cx="3488348" cy="1971675"/>
            <wp:effectExtent l="0" t="0" r="0" b="0"/>
            <wp:docPr id="3" name="Picture 3" descr="C:\Users\admin\Deskto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s1.PNG"/>
                    <pic:cNvPicPr>
                      <a:picLocks noChangeAspect="1" noChangeArrowheads="1"/>
                    </pic:cNvPicPr>
                  </pic:nvPicPr>
                  <pic:blipFill rotWithShape="1">
                    <a:blip r:embed="rId7">
                      <a:extLst>
                        <a:ext uri="{28A0092B-C50C-407E-A947-70E740481C1C}">
                          <a14:useLocalDpi xmlns:a14="http://schemas.microsoft.com/office/drawing/2010/main" val="0"/>
                        </a:ext>
                      </a:extLst>
                    </a:blip>
                    <a:srcRect l="4959" t="6699"/>
                    <a:stretch/>
                  </pic:blipFill>
                  <pic:spPr bwMode="auto">
                    <a:xfrm>
                      <a:off x="0" y="0"/>
                      <a:ext cx="3490391" cy="1972830"/>
                    </a:xfrm>
                    <a:prstGeom prst="rect">
                      <a:avLst/>
                    </a:prstGeom>
                    <a:noFill/>
                    <a:ln>
                      <a:noFill/>
                    </a:ln>
                    <a:extLst>
                      <a:ext uri="{53640926-AAD7-44D8-BBD7-CCE9431645EC}">
                        <a14:shadowObscured xmlns:a14="http://schemas.microsoft.com/office/drawing/2010/main"/>
                      </a:ext>
                    </a:extLst>
                  </pic:spPr>
                </pic:pic>
              </a:graphicData>
            </a:graphic>
          </wp:inline>
        </w:drawing>
      </w:r>
    </w:p>
    <w:p w14:paraId="68F20CBC" w14:textId="77777777" w:rsidR="00140235" w:rsidRDefault="00140235" w:rsidP="00140235">
      <w:pPr>
        <w:autoSpaceDE w:val="0"/>
        <w:autoSpaceDN w:val="0"/>
        <w:adjustRightInd w:val="0"/>
        <w:spacing w:before="240" w:after="0"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kern w:val="24"/>
          <w:sz w:val="24"/>
          <w:szCs w:val="24"/>
          <w:lang w:val="en-US"/>
        </w:rPr>
        <w:t xml:space="preserve">(Source- </w:t>
      </w:r>
      <w:r>
        <w:rPr>
          <w:rFonts w:ascii="Times New Roman" w:hAnsi="Times New Roman" w:cs="Times New Roman"/>
          <w:color w:val="222222"/>
          <w:sz w:val="24"/>
          <w:szCs w:val="24"/>
          <w:shd w:val="clear" w:color="auto" w:fill="FFFFFF"/>
        </w:rPr>
        <w:t xml:space="preserve">Hoeft et al., </w:t>
      </w:r>
      <w:r w:rsidRPr="003D6168">
        <w:rPr>
          <w:rFonts w:ascii="Times New Roman" w:hAnsi="Times New Roman" w:cs="Times New Roman"/>
          <w:color w:val="222222"/>
          <w:sz w:val="24"/>
          <w:szCs w:val="24"/>
          <w:shd w:val="clear" w:color="auto" w:fill="FFFFFF"/>
        </w:rPr>
        <w:t>2021).</w:t>
      </w:r>
    </w:p>
    <w:p w14:paraId="28DF6AC1" w14:textId="77777777" w:rsidR="00140235" w:rsidRDefault="00140235" w:rsidP="00140235">
      <w:pPr>
        <w:autoSpaceDE w:val="0"/>
        <w:autoSpaceDN w:val="0"/>
        <w:adjustRightInd w:val="0"/>
        <w:spacing w:before="240" w:after="0" w:line="360" w:lineRule="auto"/>
        <w:jc w:val="center"/>
        <w:rPr>
          <w:rFonts w:ascii="Times New Roman" w:hAnsi="Times New Roman" w:cs="Times New Roman"/>
          <w:color w:val="222222"/>
          <w:sz w:val="24"/>
          <w:szCs w:val="24"/>
          <w:shd w:val="clear" w:color="auto" w:fill="FFFFFF"/>
        </w:rPr>
      </w:pPr>
    </w:p>
    <w:p w14:paraId="1E0F3B84" w14:textId="77777777" w:rsidR="00140235" w:rsidRPr="003D6168" w:rsidRDefault="00140235" w:rsidP="00140235">
      <w:pPr>
        <w:autoSpaceDE w:val="0"/>
        <w:autoSpaceDN w:val="0"/>
        <w:adjustRightInd w:val="0"/>
        <w:spacing w:before="240" w:after="0" w:line="360" w:lineRule="auto"/>
        <w:jc w:val="center"/>
        <w:rPr>
          <w:rFonts w:ascii="Times New Roman" w:hAnsi="Times New Roman" w:cs="Times New Roman"/>
          <w:kern w:val="24"/>
          <w:sz w:val="24"/>
          <w:szCs w:val="24"/>
          <w:lang w:val="en-US"/>
        </w:rPr>
      </w:pPr>
      <w:r>
        <w:rPr>
          <w:rFonts w:ascii="Times New Roman" w:hAnsi="Times New Roman" w:cs="Times New Roman"/>
          <w:noProof/>
          <w:color w:val="222222"/>
          <w:sz w:val="24"/>
          <w:szCs w:val="24"/>
          <w:shd w:val="clear" w:color="auto" w:fill="FFFFFF"/>
          <w:lang w:val="en-US"/>
        </w:rPr>
        <w:drawing>
          <wp:inline distT="0" distB="0" distL="0" distR="0" wp14:anchorId="43B44151" wp14:editId="753A8CA0">
            <wp:extent cx="4505325" cy="2485195"/>
            <wp:effectExtent l="0" t="0" r="0" b="0"/>
            <wp:docPr id="5" name="Picture 5" descr="C:\Users\admin\Desktop\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e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7957" cy="2497679"/>
                    </a:xfrm>
                    <a:prstGeom prst="rect">
                      <a:avLst/>
                    </a:prstGeom>
                    <a:noFill/>
                    <a:ln>
                      <a:noFill/>
                    </a:ln>
                  </pic:spPr>
                </pic:pic>
              </a:graphicData>
            </a:graphic>
          </wp:inline>
        </w:drawing>
      </w:r>
    </w:p>
    <w:p w14:paraId="496B02C8" w14:textId="77777777" w:rsidR="00140235" w:rsidRDefault="00140235" w:rsidP="00140235">
      <w:pPr>
        <w:autoSpaceDE w:val="0"/>
        <w:autoSpaceDN w:val="0"/>
        <w:adjustRightInd w:val="0"/>
        <w:spacing w:before="240" w:after="0" w:line="360" w:lineRule="auto"/>
        <w:jc w:val="center"/>
        <w:rPr>
          <w:rFonts w:ascii="Times New Roman" w:hAnsi="Times New Roman" w:cs="Times New Roman"/>
          <w:color w:val="222222"/>
          <w:sz w:val="24"/>
          <w:szCs w:val="24"/>
          <w:shd w:val="clear" w:color="auto" w:fill="FFFFFF"/>
        </w:rPr>
      </w:pPr>
      <w:bookmarkStart w:id="8" w:name="_Toc166414059"/>
      <w:bookmarkStart w:id="9" w:name="_Toc166758044"/>
      <w:r>
        <w:rPr>
          <w:rFonts w:ascii="Times New Roman" w:hAnsi="Times New Roman" w:cs="Times New Roman"/>
          <w:kern w:val="24"/>
          <w:sz w:val="24"/>
          <w:szCs w:val="24"/>
          <w:lang w:val="en-US"/>
        </w:rPr>
        <w:t xml:space="preserve">(Source- </w:t>
      </w:r>
      <w:r>
        <w:rPr>
          <w:rFonts w:ascii="Times New Roman" w:hAnsi="Times New Roman" w:cs="Times New Roman"/>
          <w:color w:val="222222"/>
          <w:sz w:val="24"/>
          <w:szCs w:val="24"/>
          <w:shd w:val="clear" w:color="auto" w:fill="FFFFFF"/>
        </w:rPr>
        <w:t xml:space="preserve">Hoeft et al., </w:t>
      </w:r>
      <w:r w:rsidRPr="003D6168">
        <w:rPr>
          <w:rFonts w:ascii="Times New Roman" w:hAnsi="Times New Roman" w:cs="Times New Roman"/>
          <w:color w:val="222222"/>
          <w:sz w:val="24"/>
          <w:szCs w:val="24"/>
          <w:shd w:val="clear" w:color="auto" w:fill="FFFFFF"/>
        </w:rPr>
        <w:t>2021).</w:t>
      </w:r>
    </w:p>
    <w:p w14:paraId="2956859B" w14:textId="77777777" w:rsidR="00140235" w:rsidRDefault="00140235" w:rsidP="00140235">
      <w:pPr>
        <w:pStyle w:val="Heading1"/>
        <w:spacing w:before="240" w:line="360" w:lineRule="auto"/>
        <w:jc w:val="center"/>
        <w:rPr>
          <w:rFonts w:ascii="Times New Roman" w:hAnsi="Times New Roman" w:cs="Times New Roman"/>
          <w:sz w:val="24"/>
          <w:szCs w:val="24"/>
        </w:rPr>
      </w:pPr>
    </w:p>
    <w:p w14:paraId="775041B4"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10" w:name="_Toc166765154"/>
      <w:r w:rsidRPr="00140235">
        <w:rPr>
          <w:rFonts w:ascii="Times New Roman" w:hAnsi="Times New Roman" w:cs="Times New Roman"/>
          <w:color w:val="auto"/>
          <w:sz w:val="24"/>
          <w:szCs w:val="24"/>
        </w:rPr>
        <w:t>EVENT CONCEPT</w:t>
      </w:r>
      <w:bookmarkEnd w:id="8"/>
      <w:bookmarkEnd w:id="9"/>
      <w:bookmarkEnd w:id="10"/>
    </w:p>
    <w:p w14:paraId="5CF591A5"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The event of innovation and technology in robotics revolves around the theme of future frontiers. The theme aligns with the goals of the event by exploring the innovation in robotics which fits the best to the goals ensuring the teamwork, communication and networking within important companies in the robotics ecosystem. The concept of </w:t>
      </w:r>
      <w:r w:rsidRPr="008B24E8">
        <w:rPr>
          <w:rFonts w:ascii="Arial" w:hAnsi="Arial" w:cs="Arial"/>
          <w:sz w:val="24"/>
          <w:szCs w:val="24"/>
        </w:rPr>
        <w:lastRenderedPageBreak/>
        <w:t>event in hotel industry management performs with the various kinds of duties such as delivering room service, carrying luggage with efficiency and precision.  The event concept describes about the keynote, panel deliberations, speeches, meetings and communication sessions which covers the multiple topics of robotics which may comprises automation, artificial intelligence, humanoid robots, and moral apprehensions. In the field of robotics, the development takes place quickly with the new uses developing in business, transportation, farming and healthcare among other fields (</w:t>
      </w:r>
      <w:proofErr w:type="spellStart"/>
      <w:r w:rsidRPr="008B24E8">
        <w:rPr>
          <w:rFonts w:ascii="Arial" w:hAnsi="Arial" w:cs="Arial"/>
          <w:color w:val="222222"/>
          <w:sz w:val="24"/>
          <w:szCs w:val="24"/>
          <w:shd w:val="clear" w:color="auto" w:fill="FFFFFF"/>
        </w:rPr>
        <w:t>Birdir</w:t>
      </w:r>
      <w:proofErr w:type="spellEnd"/>
      <w:r w:rsidRPr="008B24E8">
        <w:rPr>
          <w:rFonts w:ascii="Arial" w:hAnsi="Arial" w:cs="Arial"/>
          <w:color w:val="222222"/>
          <w:sz w:val="24"/>
          <w:szCs w:val="24"/>
          <w:shd w:val="clear" w:color="auto" w:fill="FFFFFF"/>
        </w:rPr>
        <w:t xml:space="preserve"> et al., 2020).</w:t>
      </w:r>
    </w:p>
    <w:p w14:paraId="53E15F80"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The events like hotel management which has an automation theme delivers a place for exchange of information, teamwork and stimulation of investors who are interested and involved in paying robots to inculcate innovation and optimistic alteration. The technological innovation in the hotel management using the robotics has emerged many changes. It ensures more efficient operations, personalised services and sustainability efforts (</w:t>
      </w:r>
      <w:r w:rsidRPr="008B24E8">
        <w:rPr>
          <w:rFonts w:ascii="Arial" w:hAnsi="Arial" w:cs="Arial"/>
          <w:color w:val="222222"/>
          <w:sz w:val="24"/>
          <w:szCs w:val="24"/>
          <w:shd w:val="clear" w:color="auto" w:fill="FFFFFF"/>
        </w:rPr>
        <w:t xml:space="preserve">Hoeft et al., 2021). </w:t>
      </w:r>
      <w:r w:rsidRPr="008B24E8">
        <w:rPr>
          <w:rFonts w:ascii="Arial" w:hAnsi="Arial" w:cs="Arial"/>
          <w:sz w:val="24"/>
          <w:szCs w:val="24"/>
        </w:rPr>
        <w:t xml:space="preserve"> </w:t>
      </w:r>
    </w:p>
    <w:p w14:paraId="0819954F"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11" w:name="_Toc166414060"/>
      <w:bookmarkStart w:id="12" w:name="_Toc166758045"/>
      <w:bookmarkStart w:id="13" w:name="_Toc166765155"/>
      <w:r w:rsidRPr="00140235">
        <w:rPr>
          <w:rFonts w:ascii="Times New Roman" w:hAnsi="Times New Roman" w:cs="Times New Roman"/>
          <w:color w:val="auto"/>
          <w:sz w:val="24"/>
          <w:szCs w:val="24"/>
        </w:rPr>
        <w:t>AIM AND OBJECTIVE OF EVENT</w:t>
      </w:r>
      <w:bookmarkEnd w:id="11"/>
      <w:bookmarkEnd w:id="12"/>
      <w:bookmarkEnd w:id="13"/>
    </w:p>
    <w:p w14:paraId="5881A913"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The developing edge of innovation and technology has changed the way of living for people and their surroundings. It is necessary to change as per the needs of the of today’s era. The innovation and technology </w:t>
      </w:r>
      <w:proofErr w:type="gramStart"/>
      <w:r w:rsidRPr="008B24E8">
        <w:rPr>
          <w:rFonts w:ascii="Arial" w:hAnsi="Arial" w:cs="Arial"/>
          <w:sz w:val="24"/>
          <w:szCs w:val="24"/>
        </w:rPr>
        <w:t>has</w:t>
      </w:r>
      <w:proofErr w:type="gramEnd"/>
      <w:r w:rsidRPr="008B24E8">
        <w:rPr>
          <w:rFonts w:ascii="Arial" w:hAnsi="Arial" w:cs="Arial"/>
          <w:sz w:val="24"/>
          <w:szCs w:val="24"/>
        </w:rPr>
        <w:t xml:space="preserve"> emerged problems and challenges the phase of robotics which specifies various functions within the day-to-day activities. The aim and purpose of the project is clear and wide in range showcasing the problems and challenges associated with planning and executing an international conference. This report presents the technological guidance for the successful execution of the event by ensuring the several factors involved in it. The aim of this theme of innovation and technology with respect to the robotics serves as important technological advancements which can streamline the operations of an event. The objective of the robotics is to create the intelligent machines which can help to automate the work with assisting the humans. The most important objective of the event is that it makes the process of international conference easier with the effective use of robotics. Robotics can help in assisting the tasks like providing information, managing operations and also the social robots to interact with others which can help the organisers to focus on delivering the enjoyable and effective experience of the conference (</w:t>
      </w:r>
      <w:proofErr w:type="spellStart"/>
      <w:r w:rsidRPr="008B24E8">
        <w:rPr>
          <w:rFonts w:ascii="Arial" w:hAnsi="Arial" w:cs="Arial"/>
          <w:color w:val="222222"/>
          <w:sz w:val="24"/>
          <w:szCs w:val="24"/>
          <w:shd w:val="clear" w:color="auto" w:fill="FFFFFF"/>
        </w:rPr>
        <w:t>Chatzopoulo</w:t>
      </w:r>
      <w:proofErr w:type="spellEnd"/>
      <w:r w:rsidRPr="008B24E8">
        <w:rPr>
          <w:rFonts w:ascii="Arial" w:hAnsi="Arial" w:cs="Arial"/>
          <w:color w:val="222222"/>
          <w:sz w:val="24"/>
          <w:szCs w:val="24"/>
          <w:shd w:val="clear" w:color="auto" w:fill="FFFFFF"/>
        </w:rPr>
        <w:t xml:space="preserve"> et al., 2022).</w:t>
      </w:r>
    </w:p>
    <w:p w14:paraId="014032A5" w14:textId="0999D038"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lastRenderedPageBreak/>
        <w:t xml:space="preserve">The objective of the event is to provide the engaging and thought-provoking experience in the conference that showcases the latest growth in the robotics which can also </w:t>
      </w:r>
      <w:r w:rsidR="004D4978" w:rsidRPr="008B24E8">
        <w:rPr>
          <w:rFonts w:ascii="Arial" w:hAnsi="Arial" w:cs="Arial"/>
          <w:sz w:val="24"/>
          <w:szCs w:val="24"/>
        </w:rPr>
        <w:t>affect</w:t>
      </w:r>
      <w:r w:rsidRPr="008B24E8">
        <w:rPr>
          <w:rFonts w:ascii="Arial" w:hAnsi="Arial" w:cs="Arial"/>
          <w:sz w:val="24"/>
          <w:szCs w:val="24"/>
        </w:rPr>
        <w:t xml:space="preserve"> on the collaborations, exchange of knowledge and innovative thinking among the researchers, business specialists and enthusiasts. This conference also investigates about the challenges and future directions of robotics with the scope of change in innovation and technology in various sectors. Some of the different objectives of event management in the field of innovation which can lead to effective international conference are that it helps to stay ahead in the competition because only the change in innovation and technology can help to make the difference and helps to stay ahead from the competitors to attract the clients. It can help to think out of the box which can help to try and experience the new themes, layouts and entertainment options with the help of robotics and innovation to make the unique and different efforts in the conference with the international clients. Innovation and technology also </w:t>
      </w:r>
      <w:r w:rsidR="005D4543" w:rsidRPr="008B24E8">
        <w:rPr>
          <w:rFonts w:ascii="Arial" w:hAnsi="Arial" w:cs="Arial"/>
          <w:sz w:val="24"/>
          <w:szCs w:val="24"/>
        </w:rPr>
        <w:t>support</w:t>
      </w:r>
      <w:r w:rsidRPr="008B24E8">
        <w:rPr>
          <w:rFonts w:ascii="Arial" w:hAnsi="Arial" w:cs="Arial"/>
          <w:sz w:val="24"/>
          <w:szCs w:val="24"/>
        </w:rPr>
        <w:t xml:space="preserve"> the objective of event management by collaborating with other event planners and creative professionals to make the more effective use of robotics (</w:t>
      </w:r>
      <w:r w:rsidRPr="008B24E8">
        <w:rPr>
          <w:rFonts w:ascii="Arial" w:hAnsi="Arial" w:cs="Arial"/>
          <w:color w:val="222222"/>
          <w:sz w:val="24"/>
          <w:szCs w:val="24"/>
          <w:shd w:val="clear" w:color="auto" w:fill="FFFFFF"/>
        </w:rPr>
        <w:t>Marcus et al., 2024).</w:t>
      </w:r>
    </w:p>
    <w:p w14:paraId="16E39745"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14" w:name="_Toc166414061"/>
      <w:bookmarkStart w:id="15" w:name="_Toc166758046"/>
      <w:bookmarkStart w:id="16" w:name="_Toc166765156"/>
      <w:r w:rsidRPr="00140235">
        <w:rPr>
          <w:rFonts w:ascii="Times New Roman" w:hAnsi="Times New Roman" w:cs="Times New Roman"/>
          <w:color w:val="auto"/>
          <w:sz w:val="24"/>
          <w:szCs w:val="24"/>
        </w:rPr>
        <w:t>EVENT OPERATIONS</w:t>
      </w:r>
      <w:bookmarkEnd w:id="14"/>
      <w:bookmarkEnd w:id="15"/>
      <w:bookmarkEnd w:id="16"/>
    </w:p>
    <w:p w14:paraId="342EF5CE"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The operations of an event are the most important step in the cycle of event management. Cooperating with the innovation and technology in the field of robotics involves many activities to be performed to make the conference successful. This operation process starts with the finalising the location, date and time for the event with the various skills among the efficient staff to execute the plan for the event. It requires the dedicated team of specialists and creative professionals to ensure the smooth functioning of the conference. It includes the group of event professionals, directors, planners, audio-visual specialists, and registering assistants. Every team member possesses the particular information in their roles to execute the event in a professional way. The conference of innovation and technology in robotics requires the following skills: </w:t>
      </w:r>
    </w:p>
    <w:p w14:paraId="0898A69C"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Organisational skills: As an event planner it is important to follow the plan and execute the operations as per the planning. Because the sudden plan can create the chaos and effect the conference so, it is essential to have the organisational skills to organise </w:t>
      </w:r>
      <w:r w:rsidRPr="008B24E8">
        <w:rPr>
          <w:rFonts w:ascii="Arial" w:hAnsi="Arial" w:cs="Arial"/>
          <w:sz w:val="24"/>
          <w:szCs w:val="24"/>
        </w:rPr>
        <w:lastRenderedPageBreak/>
        <w:t>the event with the optimum utilisation of resources in an effective way (</w:t>
      </w:r>
      <w:proofErr w:type="spellStart"/>
      <w:r w:rsidRPr="008B24E8">
        <w:rPr>
          <w:rFonts w:ascii="Arial" w:hAnsi="Arial" w:cs="Arial"/>
          <w:color w:val="222222"/>
          <w:sz w:val="24"/>
          <w:szCs w:val="24"/>
          <w:shd w:val="clear" w:color="auto" w:fill="FFFFFF"/>
        </w:rPr>
        <w:t>Yigitcanlar</w:t>
      </w:r>
      <w:proofErr w:type="spellEnd"/>
      <w:r w:rsidRPr="008B24E8">
        <w:rPr>
          <w:rFonts w:ascii="Arial" w:hAnsi="Arial" w:cs="Arial"/>
          <w:color w:val="222222"/>
          <w:sz w:val="24"/>
          <w:szCs w:val="24"/>
          <w:shd w:val="clear" w:color="auto" w:fill="FFFFFF"/>
        </w:rPr>
        <w:t xml:space="preserve"> et al., 2020).</w:t>
      </w:r>
    </w:p>
    <w:p w14:paraId="633C646E"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Communication: Communication is the most important skill which helps the humans to present themselves in front of others. The planning team must have the skills to interact with the number of people involved in the event like team executives, attendees, sponsors and vendors to make the operations smooth and quick. It should have the strong interpersonal skills to clarify the roles, responsibilities and duties of an event (</w:t>
      </w:r>
      <w:proofErr w:type="spellStart"/>
      <w:r w:rsidRPr="008B24E8">
        <w:rPr>
          <w:rFonts w:ascii="Arial" w:hAnsi="Arial" w:cs="Arial"/>
          <w:color w:val="222222"/>
          <w:sz w:val="24"/>
          <w:szCs w:val="24"/>
          <w:shd w:val="clear" w:color="auto" w:fill="FFFFFF"/>
        </w:rPr>
        <w:t>Yigitcanlar</w:t>
      </w:r>
      <w:proofErr w:type="spellEnd"/>
      <w:r w:rsidRPr="008B24E8">
        <w:rPr>
          <w:rFonts w:ascii="Arial" w:hAnsi="Arial" w:cs="Arial"/>
          <w:color w:val="222222"/>
          <w:sz w:val="24"/>
          <w:szCs w:val="24"/>
          <w:shd w:val="clear" w:color="auto" w:fill="FFFFFF"/>
        </w:rPr>
        <w:t xml:space="preserve"> et al., 2020).</w:t>
      </w:r>
    </w:p>
    <w:p w14:paraId="1EE5C989"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Problem-solving: The conference is organised to solve the problems of their attendees with respect to the technology in robotics with the help of event planners.  Such kind of problems and queries are solved with the help of these skills to make the conference effective</w:t>
      </w:r>
      <w:r w:rsidRPr="008B24E8">
        <w:rPr>
          <w:rFonts w:ascii="Arial" w:hAnsi="Arial" w:cs="Arial"/>
          <w:color w:val="222222"/>
          <w:sz w:val="24"/>
          <w:szCs w:val="24"/>
          <w:shd w:val="clear" w:color="auto" w:fill="FFFFFF"/>
        </w:rPr>
        <w:t xml:space="preserve"> (</w:t>
      </w:r>
      <w:proofErr w:type="spellStart"/>
      <w:r w:rsidRPr="008B24E8">
        <w:rPr>
          <w:rFonts w:ascii="Arial" w:hAnsi="Arial" w:cs="Arial"/>
          <w:color w:val="222222"/>
          <w:sz w:val="24"/>
          <w:szCs w:val="24"/>
          <w:shd w:val="clear" w:color="auto" w:fill="FFFFFF"/>
        </w:rPr>
        <w:t>Neuhofer</w:t>
      </w:r>
      <w:proofErr w:type="spellEnd"/>
      <w:r w:rsidRPr="008B24E8">
        <w:rPr>
          <w:rFonts w:ascii="Arial" w:hAnsi="Arial" w:cs="Arial"/>
          <w:color w:val="222222"/>
          <w:sz w:val="24"/>
          <w:szCs w:val="24"/>
          <w:shd w:val="clear" w:color="auto" w:fill="FFFFFF"/>
        </w:rPr>
        <w:t xml:space="preserve"> et al., 2021).</w:t>
      </w:r>
    </w:p>
    <w:p w14:paraId="70714869"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Decision-making skills: The decision-making skills help the event managers to make the correct steps in making the operations smooth and effective. Such kind of conferences involves several decisions at once which need to be done quickly, faithfully and confidently to make the process better. </w:t>
      </w:r>
    </w:p>
    <w:p w14:paraId="44F3D476"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Industry knowledge and experience: The event planner must have the knowledge and experience of the field of the work they are going to perform. They need to focus on the innovation and technology in robotics which requires the understanding and creative skills of the event. The proper knowledge of the industry makes the functions easier and smoother for attendees as well as the organisers (</w:t>
      </w:r>
      <w:proofErr w:type="spellStart"/>
      <w:r w:rsidRPr="008B24E8">
        <w:rPr>
          <w:rFonts w:ascii="Arial" w:hAnsi="Arial" w:cs="Arial"/>
          <w:color w:val="222222"/>
          <w:sz w:val="24"/>
          <w:szCs w:val="24"/>
          <w:shd w:val="clear" w:color="auto" w:fill="FFFFFF"/>
        </w:rPr>
        <w:t>Neuhofer</w:t>
      </w:r>
      <w:proofErr w:type="spellEnd"/>
      <w:r w:rsidRPr="008B24E8">
        <w:rPr>
          <w:rFonts w:ascii="Arial" w:hAnsi="Arial" w:cs="Arial"/>
          <w:color w:val="222222"/>
          <w:sz w:val="24"/>
          <w:szCs w:val="24"/>
          <w:shd w:val="clear" w:color="auto" w:fill="FFFFFF"/>
        </w:rPr>
        <w:t xml:space="preserve"> et al., 2021).</w:t>
      </w:r>
    </w:p>
    <w:p w14:paraId="592A977F"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17" w:name="_Toc166414062"/>
      <w:bookmarkStart w:id="18" w:name="_Toc166758047"/>
      <w:bookmarkStart w:id="19" w:name="_Toc166765157"/>
      <w:r w:rsidRPr="00140235">
        <w:rPr>
          <w:rFonts w:ascii="Times New Roman" w:hAnsi="Times New Roman" w:cs="Times New Roman"/>
          <w:color w:val="auto"/>
          <w:sz w:val="24"/>
          <w:szCs w:val="24"/>
        </w:rPr>
        <w:t>EVENT BUDGET</w:t>
      </w:r>
      <w:bookmarkEnd w:id="17"/>
      <w:bookmarkEnd w:id="18"/>
      <w:bookmarkEnd w:id="19"/>
    </w:p>
    <w:p w14:paraId="5202BACD" w14:textId="631C9EC9" w:rsidR="00140235" w:rsidRPr="008B24E8" w:rsidRDefault="00140235" w:rsidP="00140235">
      <w:pPr>
        <w:spacing w:before="240" w:after="0" w:line="360" w:lineRule="auto"/>
        <w:jc w:val="both"/>
        <w:rPr>
          <w:rFonts w:ascii="Arial" w:hAnsi="Arial" w:cs="Arial"/>
          <w:color w:val="222222"/>
          <w:sz w:val="24"/>
          <w:szCs w:val="24"/>
          <w:shd w:val="clear" w:color="auto" w:fill="FFFFFF"/>
        </w:rPr>
      </w:pPr>
      <w:r w:rsidRPr="008B24E8">
        <w:rPr>
          <w:rFonts w:ascii="Arial" w:hAnsi="Arial" w:cs="Arial"/>
          <w:sz w:val="24"/>
          <w:szCs w:val="24"/>
        </w:rPr>
        <w:t xml:space="preserve">The preparation for an event requires the financial planning and budget to make the operations simpler and more precise. The budget of an event needs a planned strategy which helps the planners to be prepared about the critical situations which can create the problems in its operations. The event budget needs to generate the revenue with the proper strategies such as registration fees where the attendees pay the registration fees to get the admission in the session or conference. Sponsorships can help to raise the funds for the conference by collaborating with the different robotic firms, skill corporations and theoretical institutions. Exhibition boots can help to showcase the </w:t>
      </w:r>
      <w:r w:rsidRPr="008B24E8">
        <w:rPr>
          <w:rFonts w:ascii="Arial" w:hAnsi="Arial" w:cs="Arial"/>
          <w:sz w:val="24"/>
          <w:szCs w:val="24"/>
        </w:rPr>
        <w:lastRenderedPageBreak/>
        <w:t>goods and services through the booths to earn the extra fee from these booths. Merchandise sells can help to earn the extra income by selling the proprietary goods such as attire, accessories and other session materials. The budget for an event in the field of innovation and technology requires bringing some of the points such as assessing the goals which needs a pre-set plan for an event. It ensures the process and operations involved in the conference and the cost involved in executing these operations (</w:t>
      </w:r>
      <w:proofErr w:type="spellStart"/>
      <w:r w:rsidRPr="008B24E8">
        <w:rPr>
          <w:rFonts w:ascii="Arial" w:hAnsi="Arial" w:cs="Arial"/>
          <w:color w:val="222222"/>
          <w:sz w:val="24"/>
          <w:szCs w:val="24"/>
          <w:shd w:val="clear" w:color="auto" w:fill="FFFFFF"/>
        </w:rPr>
        <w:t>Umbrico</w:t>
      </w:r>
      <w:proofErr w:type="spellEnd"/>
      <w:r w:rsidRPr="008B24E8">
        <w:rPr>
          <w:rFonts w:ascii="Arial" w:hAnsi="Arial" w:cs="Arial"/>
          <w:color w:val="222222"/>
          <w:sz w:val="24"/>
          <w:szCs w:val="24"/>
          <w:shd w:val="clear" w:color="auto" w:fill="FFFFFF"/>
        </w:rPr>
        <w:t xml:space="preserve"> et al., 2020).</w:t>
      </w:r>
    </w:p>
    <w:p w14:paraId="4DC5383E" w14:textId="77777777" w:rsidR="00140235" w:rsidRPr="003D6168" w:rsidRDefault="00140235" w:rsidP="00140235">
      <w:pPr>
        <w:spacing w:before="240" w:after="0" w:line="360" w:lineRule="auto"/>
        <w:jc w:val="both"/>
        <w:rPr>
          <w:rFonts w:ascii="Times New Roman" w:hAnsi="Times New Roman" w:cs="Times New Roman"/>
          <w:sz w:val="24"/>
          <w:szCs w:val="24"/>
        </w:rPr>
      </w:pPr>
      <w:r w:rsidRPr="00630641">
        <w:rPr>
          <w:rFonts w:ascii="Times New Roman" w:hAnsi="Times New Roman" w:cs="Times New Roman"/>
          <w:b/>
          <w:sz w:val="24"/>
          <w:szCs w:val="24"/>
        </w:rPr>
        <w:t>Event budget</w:t>
      </w:r>
      <w:r>
        <w:rPr>
          <w:rFonts w:ascii="Times New Roman" w:hAnsi="Times New Roman" w:cs="Times New Roman"/>
          <w:sz w:val="24"/>
          <w:szCs w:val="24"/>
        </w:rPr>
        <w:t xml:space="preserve"> </w:t>
      </w:r>
    </w:p>
    <w:p w14:paraId="220B8056" w14:textId="77777777" w:rsidR="00140235" w:rsidRDefault="00140235" w:rsidP="00140235">
      <w:pPr>
        <w:spacing w:before="240" w:after="0"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6231CBE9" wp14:editId="2B68982A">
            <wp:extent cx="5715000" cy="3000375"/>
            <wp:effectExtent l="0" t="0" r="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E47269B" w14:textId="77777777" w:rsidR="00140235" w:rsidRDefault="00140235" w:rsidP="00140235">
      <w:pPr>
        <w:spacing w:before="240" w:after="0"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Pr="0063064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Lim et al., </w:t>
      </w:r>
      <w:r w:rsidRPr="003D6168">
        <w:rPr>
          <w:rFonts w:ascii="Times New Roman" w:hAnsi="Times New Roman" w:cs="Times New Roman"/>
          <w:color w:val="222222"/>
          <w:sz w:val="24"/>
          <w:szCs w:val="24"/>
          <w:shd w:val="clear" w:color="auto" w:fill="FFFFFF"/>
        </w:rPr>
        <w:t>2021)</w:t>
      </w:r>
    </w:p>
    <w:p w14:paraId="7AA0C718" w14:textId="77777777" w:rsidR="00140235" w:rsidRDefault="00140235" w:rsidP="00140235">
      <w:pPr>
        <w:spacing w:before="240" w:after="0" w:line="360" w:lineRule="auto"/>
        <w:jc w:val="both"/>
        <w:rPr>
          <w:rFonts w:ascii="Times New Roman" w:hAnsi="Times New Roman" w:cs="Times New Roman"/>
          <w:sz w:val="24"/>
          <w:szCs w:val="24"/>
        </w:rPr>
      </w:pPr>
    </w:p>
    <w:p w14:paraId="0502EC2B" w14:textId="77777777" w:rsidR="00140235" w:rsidRDefault="00140235" w:rsidP="00140235">
      <w:pPr>
        <w:spacing w:before="240" w:after="0"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66A25A06" wp14:editId="7D647F0E">
            <wp:extent cx="4333875" cy="3048000"/>
            <wp:effectExtent l="0" t="0" r="9525" b="0"/>
            <wp:docPr id="7" name="Picture 7" descr="C:\Users\admin\Desktop\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s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33875" cy="3048000"/>
                    </a:xfrm>
                    <a:prstGeom prst="rect">
                      <a:avLst/>
                    </a:prstGeom>
                    <a:noFill/>
                    <a:ln>
                      <a:noFill/>
                    </a:ln>
                  </pic:spPr>
                </pic:pic>
              </a:graphicData>
            </a:graphic>
          </wp:inline>
        </w:drawing>
      </w:r>
    </w:p>
    <w:p w14:paraId="5C2AD841" w14:textId="77777777" w:rsidR="00140235" w:rsidRDefault="00140235" w:rsidP="00140235">
      <w:pPr>
        <w:spacing w:before="240"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 xml:space="preserve">Lim et al., </w:t>
      </w:r>
      <w:r w:rsidRPr="003D6168">
        <w:rPr>
          <w:rFonts w:ascii="Times New Roman" w:hAnsi="Times New Roman" w:cs="Times New Roman"/>
          <w:color w:val="222222"/>
          <w:sz w:val="24"/>
          <w:szCs w:val="24"/>
          <w:shd w:val="clear" w:color="auto" w:fill="FFFFFF"/>
        </w:rPr>
        <w:t>2021)</w:t>
      </w:r>
    </w:p>
    <w:p w14:paraId="72B71D03" w14:textId="77777777" w:rsidR="00140235" w:rsidRPr="008B24E8" w:rsidRDefault="00140235" w:rsidP="00140235">
      <w:pPr>
        <w:spacing w:before="240" w:after="0" w:line="360" w:lineRule="auto"/>
        <w:jc w:val="both"/>
        <w:rPr>
          <w:rFonts w:ascii="Arial" w:hAnsi="Arial" w:cs="Arial"/>
          <w:color w:val="222222"/>
          <w:sz w:val="24"/>
          <w:szCs w:val="24"/>
          <w:shd w:val="clear" w:color="auto" w:fill="FFFFFF"/>
        </w:rPr>
      </w:pPr>
      <w:r w:rsidRPr="008B24E8">
        <w:rPr>
          <w:rFonts w:ascii="Arial" w:hAnsi="Arial" w:cs="Arial"/>
          <w:sz w:val="24"/>
          <w:szCs w:val="24"/>
        </w:rPr>
        <w:t xml:space="preserve">Cost research helps the organisers to make effective cost sheet for the event calculating the benefits and different prices involved in the process. It also checks the discounts and fees on other social and cultural interrelated events. Tracking the spending can help to estimate the cost spend during the conference. It helps in analysing the total amount spent and the total revenue generated from the other activities of an event. Evaluating the results can help in checking the deviations of the total spending with the total amount of revenue generated. The budget prepared is evaluated with the operations performed during the conference which needs to set the priorities for the future plans. Budget is the pre-planning and forecasting of the future events and the conferences like innovation and technology needs the special kind of budget in the various activities such as expenses on venue, audio-visual equipment, catering, marketing and promotion, speaker fees, staffing and miscellaneous. The financial preparation and budgeting </w:t>
      </w:r>
      <w:proofErr w:type="gramStart"/>
      <w:r w:rsidRPr="008B24E8">
        <w:rPr>
          <w:rFonts w:ascii="Arial" w:hAnsi="Arial" w:cs="Arial"/>
          <w:sz w:val="24"/>
          <w:szCs w:val="24"/>
        </w:rPr>
        <w:t>has</w:t>
      </w:r>
      <w:proofErr w:type="gramEnd"/>
      <w:r w:rsidRPr="008B24E8">
        <w:rPr>
          <w:rFonts w:ascii="Arial" w:hAnsi="Arial" w:cs="Arial"/>
          <w:sz w:val="24"/>
          <w:szCs w:val="24"/>
        </w:rPr>
        <w:t xml:space="preserve"> safeguarded the monetary visibility and enterprise to connect with the investors who has established the previous alliance (</w:t>
      </w:r>
      <w:proofErr w:type="spellStart"/>
      <w:r w:rsidRPr="008B24E8">
        <w:rPr>
          <w:rFonts w:ascii="Arial" w:hAnsi="Arial" w:cs="Arial"/>
          <w:color w:val="222222"/>
          <w:sz w:val="24"/>
          <w:szCs w:val="24"/>
          <w:shd w:val="clear" w:color="auto" w:fill="FFFFFF"/>
        </w:rPr>
        <w:t>Umbrico</w:t>
      </w:r>
      <w:proofErr w:type="spellEnd"/>
      <w:r w:rsidRPr="008B24E8">
        <w:rPr>
          <w:rFonts w:ascii="Arial" w:hAnsi="Arial" w:cs="Arial"/>
          <w:color w:val="222222"/>
          <w:sz w:val="24"/>
          <w:szCs w:val="24"/>
          <w:shd w:val="clear" w:color="auto" w:fill="FFFFFF"/>
        </w:rPr>
        <w:t xml:space="preserve"> et al., 2020).</w:t>
      </w:r>
      <w:bookmarkStart w:id="20" w:name="_Toc166414063"/>
      <w:bookmarkStart w:id="21" w:name="_Toc166758048"/>
    </w:p>
    <w:p w14:paraId="75E0EF67" w14:textId="77777777" w:rsidR="00140235" w:rsidRPr="00140235" w:rsidRDefault="00140235" w:rsidP="00140235">
      <w:pPr>
        <w:pStyle w:val="Heading1"/>
        <w:rPr>
          <w:rFonts w:ascii="Times New Roman" w:hAnsi="Times New Roman" w:cs="Times New Roman"/>
          <w:color w:val="auto"/>
          <w:sz w:val="24"/>
        </w:rPr>
      </w:pPr>
      <w:bookmarkStart w:id="22" w:name="_Toc166765158"/>
      <w:r w:rsidRPr="00140235">
        <w:rPr>
          <w:rFonts w:ascii="Times New Roman" w:hAnsi="Times New Roman" w:cs="Times New Roman"/>
          <w:color w:val="auto"/>
          <w:sz w:val="24"/>
        </w:rPr>
        <w:lastRenderedPageBreak/>
        <w:t>INDUSTRY TRENDS\ ISSUES</w:t>
      </w:r>
      <w:bookmarkEnd w:id="20"/>
      <w:bookmarkEnd w:id="21"/>
      <w:bookmarkEnd w:id="22"/>
    </w:p>
    <w:p w14:paraId="514D313C"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The trends in the industry needs to be analysed and can make the effective changes as per the requirements. The trends in the industry needs the changes based on the market analysis and the target </w:t>
      </w:r>
    </w:p>
    <w:p w14:paraId="1966BD84" w14:textId="77777777" w:rsidR="00140235" w:rsidRPr="008B24E8" w:rsidRDefault="00140235" w:rsidP="00140235">
      <w:pPr>
        <w:spacing w:before="240" w:after="0" w:line="360" w:lineRule="auto"/>
        <w:jc w:val="both"/>
        <w:rPr>
          <w:rFonts w:ascii="Arial" w:hAnsi="Arial" w:cs="Arial"/>
          <w:color w:val="222222"/>
          <w:sz w:val="24"/>
          <w:szCs w:val="24"/>
          <w:shd w:val="clear" w:color="auto" w:fill="FFFFFF"/>
        </w:rPr>
      </w:pPr>
      <w:r w:rsidRPr="008B24E8">
        <w:rPr>
          <w:rFonts w:ascii="Arial" w:hAnsi="Arial" w:cs="Arial"/>
          <w:sz w:val="24"/>
          <w:szCs w:val="24"/>
        </w:rPr>
        <w:t>audience identification. The target audience is the investors, industry professionals, entrepreneurs and students who are the keen observers of the technology and innovation which directly affect the demand, supply and competitiveness within the market. The field of technology and innovation changes instantly as per the need of its users. This conference delivers the stage for the discussions, meetings and presentations which can focus on the demand and progress of the robotics. The growing need for machine learning, mechanisation and artificial intelligence has made the robotics business more competitive and demanding. It needs to solve the issues and follows the trends in several fields such as healthcare, industries, transportation, education and agriculture. The conference will also deliver the progress, consequences and the forecasts for the upcoming robotics segments. Some of the other emerging industry trends in the field of innovation and technology are hybrid events which allow the flexibility and reach to the virtual event. It helps to meet the physical and digital connections giving the attendees the freedom to select how they want to attend (</w:t>
      </w:r>
      <w:r w:rsidRPr="008B24E8">
        <w:rPr>
          <w:rFonts w:ascii="Arial" w:hAnsi="Arial" w:cs="Arial"/>
          <w:color w:val="222222"/>
          <w:sz w:val="24"/>
          <w:szCs w:val="24"/>
          <w:shd w:val="clear" w:color="auto" w:fill="FFFFFF"/>
        </w:rPr>
        <w:t>Gonzalez-Aguirre et al., 2021).</w:t>
      </w:r>
    </w:p>
    <w:p w14:paraId="158127F4" w14:textId="77777777"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 xml:space="preserve">Technology has become the important tool for the event management simplifying the procedures. The use of event management software organisers can automate the procedures like ticketing, registration and attendance management. Tech-assisted attendee engagement helps the participants to explore virtual settings, engagement with digital materials and tests the goods and services to make the difference the augmented reality and virtual reality.  The technology in the innovation also brings some of the issues and challenges like failure of the technology which can cause the disruptions during the conference and lead to the negative experience for the attendees. The cost of using the technology is also high which may lack the customisation options. The trends and issues in the technology and innovation in the field of robotics require a lot of changes in the event management industry. The trends in the robotics have evolved many changes which come with the challenges also. The </w:t>
      </w:r>
      <w:r w:rsidRPr="008B24E8">
        <w:rPr>
          <w:rFonts w:ascii="Arial" w:hAnsi="Arial" w:cs="Arial"/>
          <w:sz w:val="24"/>
          <w:szCs w:val="24"/>
        </w:rPr>
        <w:lastRenderedPageBreak/>
        <w:t>international conference needs to make the efforts based on the requirement of the theme (</w:t>
      </w:r>
      <w:r w:rsidRPr="008B24E8">
        <w:rPr>
          <w:rFonts w:ascii="Arial" w:hAnsi="Arial" w:cs="Arial"/>
          <w:color w:val="222222"/>
          <w:sz w:val="24"/>
          <w:szCs w:val="24"/>
          <w:shd w:val="clear" w:color="auto" w:fill="FFFFFF"/>
        </w:rPr>
        <w:t>Gonzalez-Aguirre et al., 2021).</w:t>
      </w:r>
      <w:r w:rsidRPr="008B24E8">
        <w:rPr>
          <w:rFonts w:ascii="Arial" w:hAnsi="Arial" w:cs="Arial"/>
          <w:sz w:val="24"/>
          <w:szCs w:val="24"/>
        </w:rPr>
        <w:t xml:space="preserve"> </w:t>
      </w:r>
    </w:p>
    <w:p w14:paraId="16E67B8F" w14:textId="77777777" w:rsidR="00140235" w:rsidRPr="005D4543" w:rsidRDefault="00140235" w:rsidP="00140235">
      <w:pPr>
        <w:spacing w:before="240" w:after="0" w:line="360" w:lineRule="auto"/>
        <w:jc w:val="both"/>
        <w:rPr>
          <w:rFonts w:ascii="Times New Roman" w:hAnsi="Times New Roman" w:cs="Times New Roman"/>
          <w:bCs/>
          <w:color w:val="222222"/>
          <w:sz w:val="24"/>
          <w:szCs w:val="24"/>
          <w:shd w:val="clear" w:color="auto" w:fill="FFFFFF"/>
        </w:rPr>
      </w:pPr>
      <w:r w:rsidRPr="005D4543">
        <w:rPr>
          <w:rFonts w:ascii="Times New Roman" w:hAnsi="Times New Roman" w:cs="Times New Roman"/>
          <w:bCs/>
          <w:color w:val="222222"/>
          <w:sz w:val="24"/>
          <w:szCs w:val="24"/>
          <w:shd w:val="clear" w:color="auto" w:fill="FFFFFF"/>
        </w:rPr>
        <w:t>SWOT ANALYSIS:</w:t>
      </w:r>
    </w:p>
    <w:tbl>
      <w:tblPr>
        <w:tblStyle w:val="TableGrid"/>
        <w:tblpPr w:leftFromText="180" w:rightFromText="180" w:vertAnchor="page" w:horzAnchor="margin" w:tblpY="3085"/>
        <w:tblW w:w="0" w:type="auto"/>
        <w:tblLook w:val="04A0" w:firstRow="1" w:lastRow="0" w:firstColumn="1" w:lastColumn="0" w:noHBand="0" w:noVBand="1"/>
      </w:tblPr>
      <w:tblGrid>
        <w:gridCol w:w="4508"/>
        <w:gridCol w:w="4508"/>
      </w:tblGrid>
      <w:tr w:rsidR="00B378EB" w:rsidRPr="00B14FED" w14:paraId="5CFC8404" w14:textId="77777777" w:rsidTr="00B378EB">
        <w:tc>
          <w:tcPr>
            <w:tcW w:w="4508" w:type="dxa"/>
          </w:tcPr>
          <w:p w14:paraId="7A1C299C" w14:textId="77777777" w:rsidR="00B378EB" w:rsidRDefault="00B378EB" w:rsidP="00B378EB">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STRENGTHS:</w:t>
            </w:r>
          </w:p>
          <w:p w14:paraId="25752FD9" w14:textId="77777777" w:rsidR="00B378EB" w:rsidRDefault="00B378EB" w:rsidP="00B378EB">
            <w:pPr>
              <w:pStyle w:val="ListParagraph"/>
              <w:numPr>
                <w:ilvl w:val="0"/>
                <w:numId w:val="1"/>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Knowledge and expertise</w:t>
            </w:r>
          </w:p>
          <w:p w14:paraId="1BB95A25" w14:textId="77777777" w:rsidR="00B378EB" w:rsidRDefault="00B378EB" w:rsidP="00B378EB">
            <w:pPr>
              <w:pStyle w:val="ListParagraph"/>
              <w:numPr>
                <w:ilvl w:val="0"/>
                <w:numId w:val="1"/>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Understands the complexities of planning</w:t>
            </w:r>
          </w:p>
          <w:p w14:paraId="30C40DC4" w14:textId="77777777" w:rsidR="00B378EB" w:rsidRDefault="00B378EB" w:rsidP="00B378EB">
            <w:pPr>
              <w:pStyle w:val="ListParagraph"/>
              <w:numPr>
                <w:ilvl w:val="0"/>
                <w:numId w:val="1"/>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Relationship with vendors and sponsors</w:t>
            </w:r>
          </w:p>
          <w:p w14:paraId="6C50E740" w14:textId="77777777" w:rsidR="00B378EB" w:rsidRPr="00E16E2F" w:rsidRDefault="00B378EB" w:rsidP="00B378EB">
            <w:pPr>
              <w:pStyle w:val="ListParagraph"/>
              <w:numPr>
                <w:ilvl w:val="0"/>
                <w:numId w:val="1"/>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Loyal attendees</w:t>
            </w:r>
          </w:p>
        </w:tc>
        <w:tc>
          <w:tcPr>
            <w:tcW w:w="4508" w:type="dxa"/>
          </w:tcPr>
          <w:p w14:paraId="76C4744A" w14:textId="77777777" w:rsidR="00B378EB" w:rsidRDefault="00B378EB" w:rsidP="00B378EB">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WEAKNESSES:</w:t>
            </w:r>
          </w:p>
          <w:p w14:paraId="69AE2667" w14:textId="77777777" w:rsidR="00B378EB" w:rsidRDefault="00B378EB" w:rsidP="00B378EB">
            <w:pPr>
              <w:pStyle w:val="ListParagraph"/>
              <w:numPr>
                <w:ilvl w:val="0"/>
                <w:numId w:val="2"/>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Limited budget</w:t>
            </w:r>
          </w:p>
          <w:p w14:paraId="5904306F" w14:textId="77777777" w:rsidR="00B378EB" w:rsidRDefault="00B378EB" w:rsidP="00B378EB">
            <w:pPr>
              <w:pStyle w:val="ListParagraph"/>
              <w:numPr>
                <w:ilvl w:val="0"/>
                <w:numId w:val="2"/>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Lack of in-house resources</w:t>
            </w:r>
          </w:p>
          <w:p w14:paraId="10C2E533" w14:textId="77777777" w:rsidR="00B378EB" w:rsidRDefault="00B378EB" w:rsidP="00B378EB">
            <w:pPr>
              <w:pStyle w:val="ListParagraph"/>
              <w:numPr>
                <w:ilvl w:val="0"/>
                <w:numId w:val="2"/>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Limited time and marketing resources</w:t>
            </w:r>
          </w:p>
          <w:p w14:paraId="1FDF84F6" w14:textId="77777777" w:rsidR="00B378EB" w:rsidRPr="00B14FED" w:rsidRDefault="00B378EB" w:rsidP="00B378EB">
            <w:pPr>
              <w:pStyle w:val="ListParagraph"/>
              <w:numPr>
                <w:ilvl w:val="0"/>
                <w:numId w:val="2"/>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High event expectations</w:t>
            </w:r>
          </w:p>
        </w:tc>
      </w:tr>
      <w:tr w:rsidR="00B378EB" w:rsidRPr="00B14FED" w14:paraId="6374FED1" w14:textId="77777777" w:rsidTr="00B378EB">
        <w:tc>
          <w:tcPr>
            <w:tcW w:w="4508" w:type="dxa"/>
          </w:tcPr>
          <w:p w14:paraId="5E618590" w14:textId="77777777" w:rsidR="00B378EB" w:rsidRDefault="00B378EB" w:rsidP="00B378EB">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OPPORTUNITIES:</w:t>
            </w:r>
          </w:p>
          <w:p w14:paraId="5E4DC5AB" w14:textId="77777777" w:rsidR="00B378EB" w:rsidRDefault="00B378EB" w:rsidP="00B378EB">
            <w:pPr>
              <w:pStyle w:val="ListParagraph"/>
              <w:numPr>
                <w:ilvl w:val="0"/>
                <w:numId w:val="3"/>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Emerging technology</w:t>
            </w:r>
          </w:p>
          <w:p w14:paraId="68A52196" w14:textId="77777777" w:rsidR="00B378EB" w:rsidRDefault="00B378EB" w:rsidP="00B378EB">
            <w:pPr>
              <w:pStyle w:val="ListParagraph"/>
              <w:numPr>
                <w:ilvl w:val="0"/>
                <w:numId w:val="3"/>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Hybrid and virtual event formats</w:t>
            </w:r>
          </w:p>
          <w:p w14:paraId="220669FC" w14:textId="77777777" w:rsidR="00B378EB" w:rsidRDefault="00B378EB" w:rsidP="00B378EB">
            <w:pPr>
              <w:pStyle w:val="ListParagraph"/>
              <w:numPr>
                <w:ilvl w:val="0"/>
                <w:numId w:val="3"/>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Diverse attendee engagement</w:t>
            </w:r>
          </w:p>
          <w:p w14:paraId="6B1CB100" w14:textId="77777777" w:rsidR="00B378EB" w:rsidRPr="00B14FED" w:rsidRDefault="00B378EB" w:rsidP="00B378EB">
            <w:pPr>
              <w:pStyle w:val="ListParagraph"/>
              <w:numPr>
                <w:ilvl w:val="0"/>
                <w:numId w:val="3"/>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Strategic partnerships and collaborations</w:t>
            </w:r>
          </w:p>
        </w:tc>
        <w:tc>
          <w:tcPr>
            <w:tcW w:w="4508" w:type="dxa"/>
          </w:tcPr>
          <w:p w14:paraId="46BF3FA4" w14:textId="77777777" w:rsidR="00B378EB" w:rsidRDefault="00B378EB" w:rsidP="00B378EB">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THREATS:</w:t>
            </w:r>
          </w:p>
          <w:p w14:paraId="31F94D1F" w14:textId="77777777" w:rsidR="00B378EB" w:rsidRDefault="00B378EB" w:rsidP="00B378EB">
            <w:pPr>
              <w:pStyle w:val="ListParagraph"/>
              <w:numPr>
                <w:ilvl w:val="0"/>
                <w:numId w:val="4"/>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Competing events on similar themes</w:t>
            </w:r>
          </w:p>
          <w:p w14:paraId="4410703C" w14:textId="77777777" w:rsidR="00B378EB" w:rsidRDefault="00B378EB" w:rsidP="00B378EB">
            <w:pPr>
              <w:pStyle w:val="ListParagraph"/>
              <w:numPr>
                <w:ilvl w:val="0"/>
                <w:numId w:val="4"/>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Changing regulations</w:t>
            </w:r>
          </w:p>
          <w:p w14:paraId="45AE7CB2" w14:textId="77777777" w:rsidR="00B378EB" w:rsidRDefault="00B378EB" w:rsidP="00B378EB">
            <w:pPr>
              <w:pStyle w:val="ListParagraph"/>
              <w:numPr>
                <w:ilvl w:val="0"/>
                <w:numId w:val="4"/>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Unpredictable external factors</w:t>
            </w:r>
          </w:p>
          <w:p w14:paraId="51F29CC4" w14:textId="77777777" w:rsidR="00B378EB" w:rsidRPr="00B14FED" w:rsidRDefault="00B378EB" w:rsidP="00B378EB">
            <w:pPr>
              <w:pStyle w:val="ListParagraph"/>
              <w:numPr>
                <w:ilvl w:val="0"/>
                <w:numId w:val="4"/>
              </w:num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Dependency on sponsors</w:t>
            </w:r>
          </w:p>
        </w:tc>
      </w:tr>
    </w:tbl>
    <w:p w14:paraId="231ECE1B" w14:textId="77777777" w:rsidR="00140235" w:rsidRDefault="00140235" w:rsidP="00140235">
      <w:pPr>
        <w:spacing w:before="240" w:after="0" w:line="360" w:lineRule="auto"/>
        <w:jc w:val="both"/>
        <w:rPr>
          <w:rFonts w:ascii="Times New Roman" w:hAnsi="Times New Roman" w:cs="Times New Roman"/>
          <w:sz w:val="24"/>
          <w:szCs w:val="24"/>
        </w:rPr>
      </w:pPr>
    </w:p>
    <w:p w14:paraId="234B71AB" w14:textId="71EC209D" w:rsidR="00140235" w:rsidRPr="005D4543" w:rsidRDefault="00140235" w:rsidP="00B378EB">
      <w:pPr>
        <w:rPr>
          <w:rFonts w:ascii="Times New Roman" w:hAnsi="Times New Roman" w:cs="Times New Roman"/>
          <w:bCs/>
          <w:sz w:val="24"/>
          <w:szCs w:val="24"/>
        </w:rPr>
      </w:pPr>
      <w:r w:rsidRPr="005D4543">
        <w:rPr>
          <w:rFonts w:ascii="Times New Roman" w:hAnsi="Times New Roman" w:cs="Times New Roman"/>
          <w:bCs/>
          <w:sz w:val="24"/>
          <w:szCs w:val="24"/>
        </w:rPr>
        <w:t>PESTLE ANALYSIS:</w:t>
      </w:r>
    </w:p>
    <w:tbl>
      <w:tblPr>
        <w:tblStyle w:val="TableGrid"/>
        <w:tblW w:w="0" w:type="auto"/>
        <w:tblLook w:val="04A0" w:firstRow="1" w:lastRow="0" w:firstColumn="1" w:lastColumn="0" w:noHBand="0" w:noVBand="1"/>
      </w:tblPr>
      <w:tblGrid>
        <w:gridCol w:w="3002"/>
        <w:gridCol w:w="2988"/>
        <w:gridCol w:w="3026"/>
      </w:tblGrid>
      <w:tr w:rsidR="00140235" w14:paraId="0163B7EC" w14:textId="77777777" w:rsidTr="00D01C80">
        <w:tc>
          <w:tcPr>
            <w:tcW w:w="3192" w:type="dxa"/>
          </w:tcPr>
          <w:p w14:paraId="20546B3D"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POLITICAL FACTOR:</w:t>
            </w:r>
          </w:p>
          <w:p w14:paraId="61A2CCE3" w14:textId="77777777" w:rsidR="00140235" w:rsidRDefault="00140235" w:rsidP="00140235">
            <w:pPr>
              <w:pStyle w:val="ListParagraph"/>
              <w:numPr>
                <w:ilvl w:val="0"/>
                <w:numId w:val="5"/>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International relations</w:t>
            </w:r>
          </w:p>
          <w:p w14:paraId="3D9B167A" w14:textId="77777777" w:rsidR="00140235" w:rsidRDefault="00140235" w:rsidP="00140235">
            <w:pPr>
              <w:pStyle w:val="ListParagraph"/>
              <w:numPr>
                <w:ilvl w:val="0"/>
                <w:numId w:val="5"/>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Government stability</w:t>
            </w:r>
          </w:p>
          <w:p w14:paraId="01BA2363" w14:textId="77777777" w:rsidR="00140235" w:rsidRDefault="00140235" w:rsidP="00140235">
            <w:pPr>
              <w:pStyle w:val="ListParagraph"/>
              <w:numPr>
                <w:ilvl w:val="0"/>
                <w:numId w:val="5"/>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Foreign trade policy</w:t>
            </w:r>
          </w:p>
          <w:p w14:paraId="5CEC3101" w14:textId="77777777" w:rsidR="00140235" w:rsidRPr="00B5543C" w:rsidRDefault="00140235" w:rsidP="00140235">
            <w:pPr>
              <w:pStyle w:val="ListParagraph"/>
              <w:numPr>
                <w:ilvl w:val="0"/>
                <w:numId w:val="5"/>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Funding grants to small business</w:t>
            </w:r>
          </w:p>
        </w:tc>
        <w:tc>
          <w:tcPr>
            <w:tcW w:w="3192" w:type="dxa"/>
          </w:tcPr>
          <w:p w14:paraId="6C20DB5D"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ECONOMIC FACTOR:</w:t>
            </w:r>
          </w:p>
          <w:p w14:paraId="438C741F" w14:textId="77777777" w:rsidR="00140235" w:rsidRDefault="00140235" w:rsidP="00140235">
            <w:pPr>
              <w:pStyle w:val="ListParagraph"/>
              <w:numPr>
                <w:ilvl w:val="0"/>
                <w:numId w:val="6"/>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Exchange rates</w:t>
            </w:r>
          </w:p>
          <w:p w14:paraId="7E4FB47B" w14:textId="77777777" w:rsidR="00140235" w:rsidRDefault="00140235" w:rsidP="00140235">
            <w:pPr>
              <w:pStyle w:val="ListParagraph"/>
              <w:numPr>
                <w:ilvl w:val="0"/>
                <w:numId w:val="6"/>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Cost of living</w:t>
            </w:r>
          </w:p>
          <w:p w14:paraId="52CBD01D" w14:textId="77777777" w:rsidR="00140235" w:rsidRDefault="00140235" w:rsidP="00140235">
            <w:pPr>
              <w:pStyle w:val="ListParagraph"/>
              <w:numPr>
                <w:ilvl w:val="0"/>
                <w:numId w:val="6"/>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cycle </w:t>
            </w:r>
          </w:p>
          <w:p w14:paraId="6FFBC512" w14:textId="77777777" w:rsidR="00140235" w:rsidRPr="00B5543C" w:rsidRDefault="00140235" w:rsidP="00140235">
            <w:pPr>
              <w:pStyle w:val="ListParagraph"/>
              <w:numPr>
                <w:ilvl w:val="0"/>
                <w:numId w:val="6"/>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Inflation</w:t>
            </w:r>
          </w:p>
        </w:tc>
        <w:tc>
          <w:tcPr>
            <w:tcW w:w="3192" w:type="dxa"/>
          </w:tcPr>
          <w:p w14:paraId="28C429E5"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SOCIAL FACTOR:</w:t>
            </w:r>
          </w:p>
          <w:p w14:paraId="0887EE77" w14:textId="77777777" w:rsidR="00140235" w:rsidRDefault="00140235" w:rsidP="00140235">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Lifestyle factor</w:t>
            </w:r>
          </w:p>
          <w:p w14:paraId="61D40E84" w14:textId="77777777" w:rsidR="00140235" w:rsidRDefault="00140235" w:rsidP="00140235">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Population demographics</w:t>
            </w:r>
          </w:p>
          <w:p w14:paraId="1F3DBC24" w14:textId="77777777" w:rsidR="00140235" w:rsidRDefault="00140235" w:rsidP="00140235">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Work-life balance</w:t>
            </w:r>
          </w:p>
          <w:p w14:paraId="1E6770EB" w14:textId="77777777" w:rsidR="00140235" w:rsidRPr="00B5543C" w:rsidRDefault="00140235" w:rsidP="00140235">
            <w:pPr>
              <w:pStyle w:val="ListParagraph"/>
              <w:numPr>
                <w:ilvl w:val="0"/>
                <w:numId w:val="7"/>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Consumer trends and taste</w:t>
            </w:r>
          </w:p>
        </w:tc>
      </w:tr>
      <w:tr w:rsidR="00140235" w14:paraId="50B11F83" w14:textId="77777777" w:rsidTr="00D01C80">
        <w:tc>
          <w:tcPr>
            <w:tcW w:w="3192" w:type="dxa"/>
          </w:tcPr>
          <w:p w14:paraId="69939653"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TECHNOLOGICAL FACTOR:</w:t>
            </w:r>
          </w:p>
          <w:p w14:paraId="5DFAD3D4" w14:textId="77777777" w:rsidR="00140235" w:rsidRDefault="00140235" w:rsidP="00140235">
            <w:pPr>
              <w:pStyle w:val="ListParagraph"/>
              <w:numPr>
                <w:ilvl w:val="0"/>
                <w:numId w:val="8"/>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Innovation</w:t>
            </w:r>
          </w:p>
          <w:p w14:paraId="7A9D63F9" w14:textId="77777777" w:rsidR="00140235" w:rsidRDefault="00140235" w:rsidP="00140235">
            <w:pPr>
              <w:pStyle w:val="ListParagraph"/>
              <w:numPr>
                <w:ilvl w:val="0"/>
                <w:numId w:val="8"/>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Disruptive technology</w:t>
            </w:r>
          </w:p>
          <w:p w14:paraId="0311403F" w14:textId="77777777" w:rsidR="00140235" w:rsidRDefault="00140235" w:rsidP="00140235">
            <w:pPr>
              <w:pStyle w:val="ListParagraph"/>
              <w:numPr>
                <w:ilvl w:val="0"/>
                <w:numId w:val="8"/>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Robotics</w:t>
            </w:r>
          </w:p>
          <w:p w14:paraId="47DA5CDF" w14:textId="77777777" w:rsidR="00140235" w:rsidRDefault="00140235" w:rsidP="00140235">
            <w:pPr>
              <w:pStyle w:val="ListParagraph"/>
              <w:numPr>
                <w:ilvl w:val="0"/>
                <w:numId w:val="8"/>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Security</w:t>
            </w:r>
          </w:p>
          <w:p w14:paraId="1F29A265" w14:textId="77777777" w:rsidR="00140235" w:rsidRPr="00B5543C" w:rsidRDefault="00140235" w:rsidP="00D01C80">
            <w:pPr>
              <w:pStyle w:val="ListParagraph"/>
              <w:spacing w:before="240" w:line="360" w:lineRule="auto"/>
              <w:jc w:val="both"/>
              <w:rPr>
                <w:rFonts w:ascii="Times New Roman" w:hAnsi="Times New Roman" w:cs="Times New Roman"/>
                <w:sz w:val="24"/>
                <w:szCs w:val="24"/>
              </w:rPr>
            </w:pPr>
          </w:p>
        </w:tc>
        <w:tc>
          <w:tcPr>
            <w:tcW w:w="3192" w:type="dxa"/>
          </w:tcPr>
          <w:p w14:paraId="1B47BCD5"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LEGAL FACTOR:</w:t>
            </w:r>
          </w:p>
          <w:p w14:paraId="2A23FD70" w14:textId="77777777" w:rsidR="00140235" w:rsidRDefault="00140235" w:rsidP="00140235">
            <w:pPr>
              <w:pStyle w:val="ListParagraph"/>
              <w:numPr>
                <w:ilvl w:val="0"/>
                <w:numId w:val="9"/>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Health and safety regulations</w:t>
            </w:r>
          </w:p>
          <w:p w14:paraId="41BE8528" w14:textId="77777777" w:rsidR="00140235" w:rsidRDefault="00140235" w:rsidP="00140235">
            <w:pPr>
              <w:pStyle w:val="ListParagraph"/>
              <w:numPr>
                <w:ilvl w:val="0"/>
                <w:numId w:val="9"/>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Employment laws</w:t>
            </w:r>
          </w:p>
          <w:p w14:paraId="450736B5" w14:textId="77777777" w:rsidR="00140235" w:rsidRDefault="00140235" w:rsidP="00140235">
            <w:pPr>
              <w:pStyle w:val="ListParagraph"/>
              <w:numPr>
                <w:ilvl w:val="0"/>
                <w:numId w:val="9"/>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Advertising standards</w:t>
            </w:r>
          </w:p>
          <w:p w14:paraId="40CA9C2A" w14:textId="77777777" w:rsidR="00140235" w:rsidRPr="00B5543C" w:rsidRDefault="00140235" w:rsidP="00140235">
            <w:pPr>
              <w:pStyle w:val="ListParagraph"/>
              <w:numPr>
                <w:ilvl w:val="0"/>
                <w:numId w:val="9"/>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Product regulations</w:t>
            </w:r>
          </w:p>
        </w:tc>
        <w:tc>
          <w:tcPr>
            <w:tcW w:w="3192" w:type="dxa"/>
          </w:tcPr>
          <w:p w14:paraId="37D5CC01" w14:textId="77777777" w:rsidR="00140235" w:rsidRDefault="00140235" w:rsidP="00D01C8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ENVIRONMENTAL FACTOR:</w:t>
            </w:r>
          </w:p>
          <w:p w14:paraId="2000068D" w14:textId="77777777" w:rsidR="00140235" w:rsidRDefault="00140235" w:rsidP="00140235">
            <w:pPr>
              <w:pStyle w:val="ListParagraph"/>
              <w:numPr>
                <w:ilvl w:val="0"/>
                <w:numId w:val="10"/>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Environmental restrictions</w:t>
            </w:r>
          </w:p>
          <w:p w14:paraId="3C080DF0" w14:textId="77777777" w:rsidR="00140235" w:rsidRDefault="00140235" w:rsidP="00140235">
            <w:pPr>
              <w:pStyle w:val="ListParagraph"/>
              <w:numPr>
                <w:ilvl w:val="0"/>
                <w:numId w:val="10"/>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Corporate social responsibility</w:t>
            </w:r>
          </w:p>
          <w:p w14:paraId="1C0B8B4E" w14:textId="77777777" w:rsidR="00140235" w:rsidRDefault="00140235" w:rsidP="00140235">
            <w:pPr>
              <w:pStyle w:val="ListParagraph"/>
              <w:numPr>
                <w:ilvl w:val="0"/>
                <w:numId w:val="10"/>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Procurement</w:t>
            </w:r>
          </w:p>
          <w:p w14:paraId="01EBDE05" w14:textId="77777777" w:rsidR="00140235" w:rsidRPr="00B5543C" w:rsidRDefault="00140235" w:rsidP="00140235">
            <w:pPr>
              <w:pStyle w:val="ListParagraph"/>
              <w:numPr>
                <w:ilvl w:val="0"/>
                <w:numId w:val="10"/>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Waste management</w:t>
            </w:r>
          </w:p>
        </w:tc>
      </w:tr>
    </w:tbl>
    <w:p w14:paraId="3612B930" w14:textId="77777777" w:rsidR="00140235" w:rsidRPr="00140235" w:rsidRDefault="00140235" w:rsidP="00140235">
      <w:pPr>
        <w:spacing w:before="240" w:after="0" w:line="360" w:lineRule="auto"/>
        <w:jc w:val="both"/>
        <w:rPr>
          <w:rFonts w:ascii="Times New Roman" w:hAnsi="Times New Roman" w:cs="Times New Roman"/>
          <w:sz w:val="24"/>
          <w:szCs w:val="24"/>
        </w:rPr>
      </w:pPr>
    </w:p>
    <w:p w14:paraId="075733B1"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23" w:name="_Toc166414064"/>
      <w:bookmarkStart w:id="24" w:name="_Toc166758049"/>
      <w:bookmarkStart w:id="25" w:name="_Toc166765159"/>
      <w:r w:rsidRPr="00140235">
        <w:rPr>
          <w:rFonts w:ascii="Times New Roman" w:hAnsi="Times New Roman" w:cs="Times New Roman"/>
          <w:color w:val="auto"/>
          <w:sz w:val="24"/>
          <w:szCs w:val="24"/>
        </w:rPr>
        <w:t>CULTURAL AND SITUATIONAL CONSIDERATIONS</w:t>
      </w:r>
      <w:bookmarkEnd w:id="23"/>
      <w:bookmarkEnd w:id="24"/>
      <w:bookmarkEnd w:id="25"/>
    </w:p>
    <w:p w14:paraId="3766CB31" w14:textId="490C36A3" w:rsidR="00140235" w:rsidRPr="008B24E8" w:rsidRDefault="00140235" w:rsidP="00140235">
      <w:pPr>
        <w:spacing w:before="240" w:after="0" w:line="360" w:lineRule="auto"/>
        <w:jc w:val="both"/>
        <w:rPr>
          <w:rFonts w:ascii="Arial" w:hAnsi="Arial" w:cs="Arial"/>
          <w:sz w:val="24"/>
          <w:szCs w:val="24"/>
        </w:rPr>
      </w:pPr>
      <w:r w:rsidRPr="008B24E8">
        <w:rPr>
          <w:rFonts w:ascii="Arial" w:hAnsi="Arial" w:cs="Arial"/>
          <w:sz w:val="24"/>
          <w:szCs w:val="24"/>
        </w:rPr>
        <w:t>The innovation and technology in robotics also change based on the cultural and situational differences. This cultural and situational analysis is based on the activities and operations performed for an event. It must follow the organisational culture following the values, customs and dynamics of the community. People of different mind-set and beliefs are not ready to make the effective use of technology and innovation to attend such international conferences. It also depends on the market situations and research where the individual who work in the skill, engineering and innovation sector need more challenging and interacting chances and robot-related services. Financial thoughts like revenue generation and allocation must be measured based on the feasibility of the event. The strategic investigation reveals important chances for trials such as investors support, potential support and an open target market. The situational considerations can be solved at a time with pre-planning and support. The feasibility factors of critical analysis based on situational analysis holds the option of future frontiers exploring the innovation in robotics. The visibility of the event is based on the challenges and mitigation strategies with early reservations and flexible preparation choices which may contribute to minimise any potential subjects with the availability (</w:t>
      </w:r>
      <w:r w:rsidRPr="008B24E8">
        <w:rPr>
          <w:rFonts w:ascii="Arial" w:hAnsi="Arial" w:cs="Arial"/>
          <w:color w:val="222222"/>
          <w:sz w:val="24"/>
          <w:szCs w:val="24"/>
          <w:shd w:val="clear" w:color="auto" w:fill="FFFFFF"/>
        </w:rPr>
        <w:t xml:space="preserve">Khang et al., 2022). </w:t>
      </w:r>
      <w:r w:rsidRPr="008B24E8">
        <w:rPr>
          <w:rFonts w:ascii="Arial" w:hAnsi="Arial" w:cs="Arial"/>
          <w:sz w:val="24"/>
          <w:szCs w:val="24"/>
        </w:rPr>
        <w:t xml:space="preserve"> </w:t>
      </w:r>
    </w:p>
    <w:p w14:paraId="7D8DF1FC" w14:textId="77777777" w:rsidR="00140235" w:rsidRPr="008B24E8" w:rsidRDefault="00140235" w:rsidP="00140235">
      <w:pPr>
        <w:rPr>
          <w:rFonts w:ascii="Arial" w:eastAsiaTheme="majorEastAsia" w:hAnsi="Arial" w:cs="Arial"/>
          <w:b/>
          <w:bCs/>
          <w:color w:val="2F5496" w:themeColor="accent1" w:themeShade="BF"/>
          <w:sz w:val="24"/>
          <w:szCs w:val="24"/>
        </w:rPr>
      </w:pPr>
      <w:bookmarkStart w:id="26" w:name="_Toc166414065"/>
      <w:bookmarkStart w:id="27" w:name="_Toc166758050"/>
      <w:bookmarkStart w:id="28" w:name="_Toc166765160"/>
      <w:r w:rsidRPr="008B24E8">
        <w:rPr>
          <w:rFonts w:ascii="Arial" w:hAnsi="Arial" w:cs="Arial"/>
          <w:sz w:val="24"/>
          <w:szCs w:val="24"/>
        </w:rPr>
        <w:br w:type="page"/>
      </w:r>
    </w:p>
    <w:p w14:paraId="498952EC"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r w:rsidRPr="00140235">
        <w:rPr>
          <w:rFonts w:ascii="Times New Roman" w:hAnsi="Times New Roman" w:cs="Times New Roman"/>
          <w:color w:val="auto"/>
          <w:sz w:val="24"/>
          <w:szCs w:val="24"/>
        </w:rPr>
        <w:lastRenderedPageBreak/>
        <w:t>CONCLUSION</w:t>
      </w:r>
      <w:bookmarkEnd w:id="26"/>
      <w:bookmarkEnd w:id="27"/>
      <w:bookmarkEnd w:id="28"/>
    </w:p>
    <w:p w14:paraId="343F03AC" w14:textId="4CFE222C" w:rsidR="00140235" w:rsidRPr="009B5E13" w:rsidRDefault="00140235" w:rsidP="009B5E13">
      <w:pPr>
        <w:spacing w:before="240" w:after="0" w:line="360" w:lineRule="auto"/>
        <w:jc w:val="both"/>
        <w:rPr>
          <w:rFonts w:ascii="Arial" w:hAnsi="Arial" w:cs="Arial"/>
          <w:sz w:val="24"/>
          <w:szCs w:val="24"/>
        </w:rPr>
      </w:pPr>
      <w:r w:rsidRPr="009B5E13">
        <w:rPr>
          <w:rFonts w:ascii="Arial" w:hAnsi="Arial" w:cs="Arial"/>
          <w:sz w:val="24"/>
          <w:szCs w:val="24"/>
        </w:rPr>
        <w:t xml:space="preserve">In conclusion, it is concluded that the use of technology and innovation in the field of robotics is essential to make the work easier and simpler in the event management industry. Managing the resources in the international conference requires a lot of preparation such as finalising the location, time and date for the conference with preparing the budget estimation based on the revenue generating strategies. This conferences and events also provide the registration fee, attire, and various other fees to generate the additional revenue. It is the essential process for the investors, organisation, operative planning and market place examination. The effective session and conferences </w:t>
      </w:r>
      <w:r w:rsidR="00257291" w:rsidRPr="009B5E13">
        <w:rPr>
          <w:rFonts w:ascii="Arial" w:hAnsi="Arial" w:cs="Arial"/>
          <w:sz w:val="24"/>
          <w:szCs w:val="24"/>
        </w:rPr>
        <w:t>provide</w:t>
      </w:r>
      <w:r w:rsidRPr="009B5E13">
        <w:rPr>
          <w:rFonts w:ascii="Arial" w:hAnsi="Arial" w:cs="Arial"/>
          <w:sz w:val="24"/>
          <w:szCs w:val="24"/>
        </w:rPr>
        <w:t xml:space="preserve"> the member engagement, attaining event engagement and overall achievement. The report also brings the situational and cultural considerations of the robotics in innovation to make it familiar with the community. It discusses the trends and issues involved in the industry to make more collaborative efforts in achieving the market demand and can gain the competitive advantage.   </w:t>
      </w:r>
    </w:p>
    <w:p w14:paraId="707CB273" w14:textId="77777777" w:rsidR="00140235" w:rsidRPr="008B24E8" w:rsidRDefault="00140235" w:rsidP="00140235">
      <w:pPr>
        <w:spacing w:before="240" w:after="0" w:line="360" w:lineRule="auto"/>
        <w:jc w:val="both"/>
        <w:rPr>
          <w:rFonts w:ascii="Arial" w:eastAsiaTheme="majorEastAsia" w:hAnsi="Arial" w:cs="Arial"/>
          <w:b/>
          <w:bCs/>
          <w:color w:val="2F5496" w:themeColor="accent1" w:themeShade="BF"/>
          <w:sz w:val="24"/>
          <w:szCs w:val="24"/>
        </w:rPr>
      </w:pPr>
      <w:r w:rsidRPr="008B24E8">
        <w:rPr>
          <w:rFonts w:ascii="Arial" w:hAnsi="Arial" w:cs="Arial"/>
          <w:sz w:val="24"/>
          <w:szCs w:val="24"/>
        </w:rPr>
        <w:br w:type="page"/>
      </w:r>
    </w:p>
    <w:p w14:paraId="7AD6E53A" w14:textId="77777777" w:rsidR="00140235" w:rsidRPr="00140235" w:rsidRDefault="00140235" w:rsidP="00140235">
      <w:pPr>
        <w:pStyle w:val="Heading1"/>
        <w:spacing w:before="240" w:line="360" w:lineRule="auto"/>
        <w:jc w:val="both"/>
        <w:rPr>
          <w:rFonts w:ascii="Times New Roman" w:hAnsi="Times New Roman" w:cs="Times New Roman"/>
          <w:color w:val="auto"/>
          <w:sz w:val="24"/>
          <w:szCs w:val="24"/>
        </w:rPr>
      </w:pPr>
      <w:bookmarkStart w:id="29" w:name="_Toc166414066"/>
      <w:bookmarkStart w:id="30" w:name="_Toc166758051"/>
      <w:bookmarkStart w:id="31" w:name="_Toc166765161"/>
      <w:r w:rsidRPr="00140235">
        <w:rPr>
          <w:rFonts w:ascii="Times New Roman" w:hAnsi="Times New Roman" w:cs="Times New Roman"/>
          <w:color w:val="auto"/>
          <w:sz w:val="24"/>
          <w:szCs w:val="24"/>
        </w:rPr>
        <w:lastRenderedPageBreak/>
        <w:t>REFERENCES</w:t>
      </w:r>
      <w:bookmarkEnd w:id="29"/>
      <w:bookmarkEnd w:id="30"/>
      <w:bookmarkEnd w:id="31"/>
    </w:p>
    <w:p w14:paraId="2124E13A"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Ayeni, O.O. et al., (2024). ‘The impact of robotics clubs on K-12 students' interest in STEM careers.’ </w:t>
      </w:r>
      <w:r w:rsidRPr="003D6168">
        <w:rPr>
          <w:rFonts w:ascii="Times New Roman" w:hAnsi="Times New Roman" w:cs="Times New Roman"/>
          <w:i/>
          <w:iCs/>
          <w:color w:val="222222"/>
          <w:sz w:val="24"/>
          <w:szCs w:val="24"/>
          <w:shd w:val="clear" w:color="auto" w:fill="FFFFFF"/>
        </w:rPr>
        <w:t>Magna Scientia Advanced Research and Reviews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10</w:t>
      </w:r>
      <w:r w:rsidRPr="003D6168">
        <w:rPr>
          <w:rFonts w:ascii="Times New Roman" w:hAnsi="Times New Roman" w:cs="Times New Roman"/>
          <w:color w:val="222222"/>
          <w:sz w:val="24"/>
          <w:szCs w:val="24"/>
          <w:shd w:val="clear" w:color="auto" w:fill="FFFFFF"/>
        </w:rPr>
        <w:t>(1), pp.361-367.</w:t>
      </w:r>
    </w:p>
    <w:p w14:paraId="1EE12AFD"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Birdir</w:t>
      </w:r>
      <w:proofErr w:type="spellEnd"/>
      <w:r w:rsidRPr="003D6168">
        <w:rPr>
          <w:rFonts w:ascii="Times New Roman" w:hAnsi="Times New Roman" w:cs="Times New Roman"/>
          <w:color w:val="222222"/>
          <w:sz w:val="24"/>
          <w:szCs w:val="24"/>
          <w:shd w:val="clear" w:color="auto" w:fill="FFFFFF"/>
        </w:rPr>
        <w:t>, K. et al., (2020). ‘</w:t>
      </w:r>
      <w:r w:rsidRPr="003D6168">
        <w:rPr>
          <w:rFonts w:ascii="Times New Roman" w:hAnsi="Times New Roman" w:cs="Times New Roman"/>
          <w:i/>
          <w:iCs/>
          <w:color w:val="222222"/>
          <w:sz w:val="24"/>
          <w:szCs w:val="24"/>
          <w:shd w:val="clear" w:color="auto" w:fill="FFFFFF"/>
        </w:rPr>
        <w:t>Impact of ICTs on event management and marketing</w:t>
      </w:r>
      <w:r w:rsidRPr="003D6168">
        <w:rPr>
          <w:rFonts w:ascii="Times New Roman" w:hAnsi="Times New Roman" w:cs="Times New Roman"/>
          <w:color w:val="222222"/>
          <w:sz w:val="24"/>
          <w:szCs w:val="24"/>
          <w:shd w:val="clear" w:color="auto" w:fill="FFFFFF"/>
        </w:rPr>
        <w:t>.’ IGI Global.</w:t>
      </w:r>
    </w:p>
    <w:p w14:paraId="3F3AF93D"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Chatzopoulos, A. et al., (2022). ‘A novel, modular robot for educational robotics developed using action research evaluated on Technology Acceptance Model.’ </w:t>
      </w:r>
      <w:r w:rsidRPr="003D6168">
        <w:rPr>
          <w:rFonts w:ascii="Times New Roman" w:hAnsi="Times New Roman" w:cs="Times New Roman"/>
          <w:i/>
          <w:iCs/>
          <w:color w:val="222222"/>
          <w:sz w:val="24"/>
          <w:szCs w:val="24"/>
          <w:shd w:val="clear" w:color="auto" w:fill="FFFFFF"/>
        </w:rPr>
        <w:t>Education Sciences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12</w:t>
      </w:r>
      <w:r w:rsidRPr="003D6168">
        <w:rPr>
          <w:rFonts w:ascii="Times New Roman" w:hAnsi="Times New Roman" w:cs="Times New Roman"/>
          <w:color w:val="222222"/>
          <w:sz w:val="24"/>
          <w:szCs w:val="24"/>
          <w:shd w:val="clear" w:color="auto" w:fill="FFFFFF"/>
        </w:rPr>
        <w:t>(4), p.274.</w:t>
      </w:r>
    </w:p>
    <w:p w14:paraId="54785E05"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Dzedzickis</w:t>
      </w:r>
      <w:proofErr w:type="spellEnd"/>
      <w:r w:rsidRPr="003D6168">
        <w:rPr>
          <w:rFonts w:ascii="Times New Roman" w:hAnsi="Times New Roman" w:cs="Times New Roman"/>
          <w:color w:val="222222"/>
          <w:sz w:val="24"/>
          <w:szCs w:val="24"/>
          <w:shd w:val="clear" w:color="auto" w:fill="FFFFFF"/>
        </w:rPr>
        <w:t>, A. et al., (2021). ‘Advanced applications of industrial robotics: New trends and possibilities.’ </w:t>
      </w:r>
      <w:r w:rsidRPr="003D6168">
        <w:rPr>
          <w:rFonts w:ascii="Times New Roman" w:hAnsi="Times New Roman" w:cs="Times New Roman"/>
          <w:i/>
          <w:iCs/>
          <w:color w:val="222222"/>
          <w:sz w:val="24"/>
          <w:szCs w:val="24"/>
          <w:shd w:val="clear" w:color="auto" w:fill="FFFFFF"/>
        </w:rPr>
        <w:t>Applied Sciences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12</w:t>
      </w:r>
      <w:r w:rsidRPr="003D6168">
        <w:rPr>
          <w:rFonts w:ascii="Times New Roman" w:hAnsi="Times New Roman" w:cs="Times New Roman"/>
          <w:color w:val="222222"/>
          <w:sz w:val="24"/>
          <w:szCs w:val="24"/>
          <w:shd w:val="clear" w:color="auto" w:fill="FFFFFF"/>
        </w:rPr>
        <w:t>(1), p.135.</w:t>
      </w:r>
    </w:p>
    <w:p w14:paraId="28BBBCE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Gonzalez-Aguirre, J.A. et al., (2021). ‘Service robots: Trends and technology.’ </w:t>
      </w:r>
      <w:r w:rsidRPr="003D6168">
        <w:rPr>
          <w:rFonts w:ascii="Times New Roman" w:hAnsi="Times New Roman" w:cs="Times New Roman"/>
          <w:i/>
          <w:iCs/>
          <w:color w:val="222222"/>
          <w:sz w:val="24"/>
          <w:szCs w:val="24"/>
          <w:shd w:val="clear" w:color="auto" w:fill="FFFFFF"/>
        </w:rPr>
        <w:t>Applied Sciences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11</w:t>
      </w:r>
      <w:r w:rsidRPr="003D6168">
        <w:rPr>
          <w:rFonts w:ascii="Times New Roman" w:hAnsi="Times New Roman" w:cs="Times New Roman"/>
          <w:color w:val="222222"/>
          <w:sz w:val="24"/>
          <w:szCs w:val="24"/>
          <w:shd w:val="clear" w:color="auto" w:fill="FFFFFF"/>
        </w:rPr>
        <w:t>(22), p.10702.</w:t>
      </w:r>
    </w:p>
    <w:p w14:paraId="454A067D"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Hoeft, M. et al., (2021). ‘Toward life cycle sustainability in infrastructure: the role of automation and robotics in PPP projects.’ </w:t>
      </w:r>
      <w:r w:rsidRPr="003D6168">
        <w:rPr>
          <w:rFonts w:ascii="Times New Roman" w:hAnsi="Times New Roman" w:cs="Times New Roman"/>
          <w:i/>
          <w:iCs/>
          <w:color w:val="222222"/>
          <w:sz w:val="24"/>
          <w:szCs w:val="24"/>
          <w:shd w:val="clear" w:color="auto" w:fill="FFFFFF"/>
        </w:rPr>
        <w:t>Sustainability</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13</w:t>
      </w:r>
      <w:r w:rsidRPr="003D6168">
        <w:rPr>
          <w:rFonts w:ascii="Times New Roman" w:hAnsi="Times New Roman" w:cs="Times New Roman"/>
          <w:color w:val="222222"/>
          <w:sz w:val="24"/>
          <w:szCs w:val="24"/>
          <w:shd w:val="clear" w:color="auto" w:fill="FFFFFF"/>
        </w:rPr>
        <w:t>(7), p.3779.</w:t>
      </w:r>
    </w:p>
    <w:p w14:paraId="43E7C1D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 xml:space="preserve">Holroyd, C., (2022). ‘Technological innovation and building a ‘super </w:t>
      </w:r>
      <w:proofErr w:type="spellStart"/>
      <w:r w:rsidRPr="003D6168">
        <w:rPr>
          <w:rFonts w:ascii="Times New Roman" w:hAnsi="Times New Roman" w:cs="Times New Roman"/>
          <w:color w:val="222222"/>
          <w:sz w:val="24"/>
          <w:szCs w:val="24"/>
          <w:shd w:val="clear" w:color="auto" w:fill="FFFFFF"/>
        </w:rPr>
        <w:t>smart’society</w:t>
      </w:r>
      <w:proofErr w:type="spellEnd"/>
      <w:r w:rsidRPr="003D6168">
        <w:rPr>
          <w:rFonts w:ascii="Times New Roman" w:hAnsi="Times New Roman" w:cs="Times New Roman"/>
          <w:color w:val="222222"/>
          <w:sz w:val="24"/>
          <w:szCs w:val="24"/>
          <w:shd w:val="clear" w:color="auto" w:fill="FFFFFF"/>
        </w:rPr>
        <w:t>: Japan’s vision of society 5.0.’ </w:t>
      </w:r>
      <w:r w:rsidRPr="003D6168">
        <w:rPr>
          <w:rFonts w:ascii="Times New Roman" w:hAnsi="Times New Roman" w:cs="Times New Roman"/>
          <w:i/>
          <w:iCs/>
          <w:color w:val="222222"/>
          <w:sz w:val="24"/>
          <w:szCs w:val="24"/>
          <w:shd w:val="clear" w:color="auto" w:fill="FFFFFF"/>
        </w:rPr>
        <w:t>Journal of Asian Public Policy</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15</w:t>
      </w:r>
      <w:r w:rsidRPr="003D6168">
        <w:rPr>
          <w:rFonts w:ascii="Times New Roman" w:hAnsi="Times New Roman" w:cs="Times New Roman"/>
          <w:color w:val="222222"/>
          <w:sz w:val="24"/>
          <w:szCs w:val="24"/>
          <w:shd w:val="clear" w:color="auto" w:fill="FFFFFF"/>
        </w:rPr>
        <w:t>(1), pp.18-31.</w:t>
      </w:r>
    </w:p>
    <w:p w14:paraId="2D03A261"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Khang, A. et al., (2022). ‘Cyber-physical-social system and incident management.’ In </w:t>
      </w:r>
      <w:r w:rsidRPr="003D6168">
        <w:rPr>
          <w:rFonts w:ascii="Times New Roman" w:hAnsi="Times New Roman" w:cs="Times New Roman"/>
          <w:i/>
          <w:iCs/>
          <w:color w:val="222222"/>
          <w:sz w:val="24"/>
          <w:szCs w:val="24"/>
          <w:shd w:val="clear" w:color="auto" w:fill="FFFFFF"/>
        </w:rPr>
        <w:t>AI-Centric Smart City Ecosystems</w:t>
      </w:r>
      <w:r w:rsidRPr="003D6168">
        <w:rPr>
          <w:rFonts w:ascii="Times New Roman" w:hAnsi="Times New Roman" w:cs="Times New Roman"/>
          <w:color w:val="222222"/>
          <w:sz w:val="24"/>
          <w:szCs w:val="24"/>
          <w:shd w:val="clear" w:color="auto" w:fill="FFFFFF"/>
        </w:rPr>
        <w:t> (pp. 21-35). CRC Press.</w:t>
      </w:r>
    </w:p>
    <w:p w14:paraId="7F793E3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Lim, V. et al., (2021). ‘Social robots on a global stage: establishing a role for culture during human–robot interaction.’ </w:t>
      </w:r>
      <w:r w:rsidRPr="003D6168">
        <w:rPr>
          <w:rFonts w:ascii="Times New Roman" w:hAnsi="Times New Roman" w:cs="Times New Roman"/>
          <w:i/>
          <w:iCs/>
          <w:color w:val="222222"/>
          <w:sz w:val="24"/>
          <w:szCs w:val="24"/>
          <w:shd w:val="clear" w:color="auto" w:fill="FFFFFF"/>
        </w:rPr>
        <w:t>International Journal of Social Robotics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13</w:t>
      </w:r>
      <w:r w:rsidRPr="003D6168">
        <w:rPr>
          <w:rFonts w:ascii="Times New Roman" w:hAnsi="Times New Roman" w:cs="Times New Roman"/>
          <w:color w:val="222222"/>
          <w:sz w:val="24"/>
          <w:szCs w:val="24"/>
          <w:shd w:val="clear" w:color="auto" w:fill="FFFFFF"/>
        </w:rPr>
        <w:t>(6), pp.1307-1333.</w:t>
      </w:r>
    </w:p>
    <w:p w14:paraId="695417FF"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Macrorie</w:t>
      </w:r>
      <w:proofErr w:type="spellEnd"/>
      <w:r w:rsidRPr="003D6168">
        <w:rPr>
          <w:rFonts w:ascii="Times New Roman" w:hAnsi="Times New Roman" w:cs="Times New Roman"/>
          <w:color w:val="222222"/>
          <w:sz w:val="24"/>
          <w:szCs w:val="24"/>
          <w:shd w:val="clear" w:color="auto" w:fill="FFFFFF"/>
        </w:rPr>
        <w:t>, R. et al., (2021). ‘Robotics and automation in the city: a research agenda.’ </w:t>
      </w:r>
      <w:r w:rsidRPr="003D6168">
        <w:rPr>
          <w:rFonts w:ascii="Times New Roman" w:hAnsi="Times New Roman" w:cs="Times New Roman"/>
          <w:i/>
          <w:iCs/>
          <w:color w:val="222222"/>
          <w:sz w:val="24"/>
          <w:szCs w:val="24"/>
          <w:shd w:val="clear" w:color="auto" w:fill="FFFFFF"/>
        </w:rPr>
        <w:t>Urban Geography</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42</w:t>
      </w:r>
      <w:r w:rsidRPr="003D6168">
        <w:rPr>
          <w:rFonts w:ascii="Times New Roman" w:hAnsi="Times New Roman" w:cs="Times New Roman"/>
          <w:color w:val="222222"/>
          <w:sz w:val="24"/>
          <w:szCs w:val="24"/>
          <w:shd w:val="clear" w:color="auto" w:fill="FFFFFF"/>
        </w:rPr>
        <w:t>(2), pp.197-217.</w:t>
      </w:r>
    </w:p>
    <w:p w14:paraId="5A297A0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Marcus, H.J. et al., (2024). ‘The IDEAL framework for surgical robotics: development, comparative evaluation and long-term monitoring.’ </w:t>
      </w:r>
      <w:r w:rsidRPr="003D6168">
        <w:rPr>
          <w:rFonts w:ascii="Times New Roman" w:hAnsi="Times New Roman" w:cs="Times New Roman"/>
          <w:i/>
          <w:iCs/>
          <w:color w:val="222222"/>
          <w:sz w:val="24"/>
          <w:szCs w:val="24"/>
          <w:shd w:val="clear" w:color="auto" w:fill="FFFFFF"/>
        </w:rPr>
        <w:t>Nature medicine</w:t>
      </w:r>
      <w:r w:rsidRPr="003D6168">
        <w:rPr>
          <w:rFonts w:ascii="Times New Roman" w:hAnsi="Times New Roman" w:cs="Times New Roman"/>
          <w:color w:val="222222"/>
          <w:sz w:val="24"/>
          <w:szCs w:val="24"/>
          <w:shd w:val="clear" w:color="auto" w:fill="FFFFFF"/>
        </w:rPr>
        <w:t xml:space="preserve">. </w:t>
      </w:r>
      <w:r w:rsidRPr="003D6168">
        <w:rPr>
          <w:rFonts w:ascii="Times New Roman" w:hAnsi="Times New Roman" w:cs="Times New Roman"/>
          <w:iCs/>
          <w:color w:val="222222"/>
          <w:sz w:val="24"/>
          <w:szCs w:val="24"/>
          <w:shd w:val="clear" w:color="auto" w:fill="FFFFFF"/>
        </w:rPr>
        <w:t>30</w:t>
      </w:r>
      <w:r w:rsidRPr="003D6168">
        <w:rPr>
          <w:rFonts w:ascii="Times New Roman" w:hAnsi="Times New Roman" w:cs="Times New Roman"/>
          <w:color w:val="222222"/>
          <w:sz w:val="24"/>
          <w:szCs w:val="24"/>
          <w:shd w:val="clear" w:color="auto" w:fill="FFFFFF"/>
        </w:rPr>
        <w:t>(1), pp.61-75.</w:t>
      </w:r>
    </w:p>
    <w:p w14:paraId="043A9FE8"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Neuhofer</w:t>
      </w:r>
      <w:proofErr w:type="spellEnd"/>
      <w:r w:rsidRPr="003D6168">
        <w:rPr>
          <w:rFonts w:ascii="Times New Roman" w:hAnsi="Times New Roman" w:cs="Times New Roman"/>
          <w:color w:val="222222"/>
          <w:sz w:val="24"/>
          <w:szCs w:val="24"/>
          <w:shd w:val="clear" w:color="auto" w:fill="FFFFFF"/>
        </w:rPr>
        <w:t>, B. et al., (2021). ‘The impact of artificial intelligence on event experiences: a scenario technique approach.’ </w:t>
      </w:r>
      <w:r w:rsidRPr="003D6168">
        <w:rPr>
          <w:rFonts w:ascii="Times New Roman" w:hAnsi="Times New Roman" w:cs="Times New Roman"/>
          <w:i/>
          <w:iCs/>
          <w:color w:val="222222"/>
          <w:sz w:val="24"/>
          <w:szCs w:val="24"/>
          <w:shd w:val="clear" w:color="auto" w:fill="FFFFFF"/>
        </w:rPr>
        <w:t>Electronic Markets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31</w:t>
      </w:r>
      <w:r w:rsidRPr="003D6168">
        <w:rPr>
          <w:rFonts w:ascii="Times New Roman" w:hAnsi="Times New Roman" w:cs="Times New Roman"/>
          <w:color w:val="222222"/>
          <w:sz w:val="24"/>
          <w:szCs w:val="24"/>
          <w:shd w:val="clear" w:color="auto" w:fill="FFFFFF"/>
        </w:rPr>
        <w:t>(3), pp.601-617.</w:t>
      </w:r>
    </w:p>
    <w:p w14:paraId="5815407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lastRenderedPageBreak/>
        <w:t>Pekkarinen, S. et al., (2020). ‘Robotics in Finnish welfare services: dynamics in an emerging innovation ecosystem.’ </w:t>
      </w:r>
      <w:r w:rsidRPr="003D6168">
        <w:rPr>
          <w:rFonts w:ascii="Times New Roman" w:hAnsi="Times New Roman" w:cs="Times New Roman"/>
          <w:i/>
          <w:iCs/>
          <w:color w:val="222222"/>
          <w:sz w:val="24"/>
          <w:szCs w:val="24"/>
          <w:shd w:val="clear" w:color="auto" w:fill="FFFFFF"/>
        </w:rPr>
        <w:t>European Planning Studies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28</w:t>
      </w:r>
      <w:r w:rsidRPr="003D6168">
        <w:rPr>
          <w:rFonts w:ascii="Times New Roman" w:hAnsi="Times New Roman" w:cs="Times New Roman"/>
          <w:color w:val="222222"/>
          <w:sz w:val="24"/>
          <w:szCs w:val="24"/>
          <w:shd w:val="clear" w:color="auto" w:fill="FFFFFF"/>
        </w:rPr>
        <w:t>(8), pp.1513-1533.</w:t>
      </w:r>
    </w:p>
    <w:p w14:paraId="42566C52"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Sanneman, L. et al., (2021). ‘The state of industrial robotics: Emerging technologies, challenges, and key research directions.’ </w:t>
      </w:r>
      <w:r w:rsidRPr="003D6168">
        <w:rPr>
          <w:rFonts w:ascii="Times New Roman" w:hAnsi="Times New Roman" w:cs="Times New Roman"/>
          <w:i/>
          <w:iCs/>
          <w:color w:val="222222"/>
          <w:sz w:val="24"/>
          <w:szCs w:val="24"/>
          <w:shd w:val="clear" w:color="auto" w:fill="FFFFFF"/>
        </w:rPr>
        <w:t>Foundations and Trends® in Robotics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8</w:t>
      </w:r>
      <w:r w:rsidRPr="003D6168">
        <w:rPr>
          <w:rFonts w:ascii="Times New Roman" w:hAnsi="Times New Roman" w:cs="Times New Roman"/>
          <w:color w:val="222222"/>
          <w:sz w:val="24"/>
          <w:szCs w:val="24"/>
          <w:shd w:val="clear" w:color="auto" w:fill="FFFFFF"/>
        </w:rPr>
        <w:t>(3), pp.225-306.</w:t>
      </w:r>
    </w:p>
    <w:p w14:paraId="088658E3"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Tailor, R.K. et al., (2022). ‘Robot process automation in blockchain.’ In </w:t>
      </w:r>
      <w:r w:rsidRPr="003D6168">
        <w:rPr>
          <w:rFonts w:ascii="Times New Roman" w:hAnsi="Times New Roman" w:cs="Times New Roman"/>
          <w:i/>
          <w:iCs/>
          <w:color w:val="222222"/>
          <w:sz w:val="24"/>
          <w:szCs w:val="24"/>
          <w:shd w:val="clear" w:color="auto" w:fill="FFFFFF"/>
        </w:rPr>
        <w:t>The Data-Driven Blockchain Ecosystem</w:t>
      </w:r>
      <w:r w:rsidRPr="003D6168">
        <w:rPr>
          <w:rFonts w:ascii="Times New Roman" w:hAnsi="Times New Roman" w:cs="Times New Roman"/>
          <w:color w:val="222222"/>
          <w:sz w:val="24"/>
          <w:szCs w:val="24"/>
          <w:shd w:val="clear" w:color="auto" w:fill="FFFFFF"/>
        </w:rPr>
        <w:t> (pp. 113-125). CRC Press.</w:t>
      </w:r>
    </w:p>
    <w:p w14:paraId="250CC0CD"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Tidd, J. and Bessant, J.R., (2020). ‘</w:t>
      </w:r>
      <w:r w:rsidRPr="003D6168">
        <w:rPr>
          <w:rFonts w:ascii="Times New Roman" w:hAnsi="Times New Roman" w:cs="Times New Roman"/>
          <w:i/>
          <w:iCs/>
          <w:color w:val="222222"/>
          <w:sz w:val="24"/>
          <w:szCs w:val="24"/>
          <w:shd w:val="clear" w:color="auto" w:fill="FFFFFF"/>
        </w:rPr>
        <w:t>Managing innovation: integrating technological, market and organizational change</w:t>
      </w:r>
      <w:r w:rsidRPr="003D6168">
        <w:rPr>
          <w:rFonts w:ascii="Times New Roman" w:hAnsi="Times New Roman" w:cs="Times New Roman"/>
          <w:color w:val="222222"/>
          <w:sz w:val="24"/>
          <w:szCs w:val="24"/>
          <w:shd w:val="clear" w:color="auto" w:fill="FFFFFF"/>
        </w:rPr>
        <w:t>.’ John Wiley &amp; Sons.</w:t>
      </w:r>
    </w:p>
    <w:p w14:paraId="754D451F"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Türkmendağ</w:t>
      </w:r>
      <w:proofErr w:type="spellEnd"/>
      <w:r w:rsidRPr="003D6168">
        <w:rPr>
          <w:rFonts w:ascii="Times New Roman" w:hAnsi="Times New Roman" w:cs="Times New Roman"/>
          <w:color w:val="222222"/>
          <w:sz w:val="24"/>
          <w:szCs w:val="24"/>
          <w:shd w:val="clear" w:color="auto" w:fill="FFFFFF"/>
        </w:rPr>
        <w:t xml:space="preserve">, T. and </w:t>
      </w:r>
      <w:proofErr w:type="spellStart"/>
      <w:r w:rsidRPr="003D6168">
        <w:rPr>
          <w:rFonts w:ascii="Times New Roman" w:hAnsi="Times New Roman" w:cs="Times New Roman"/>
          <w:color w:val="222222"/>
          <w:sz w:val="24"/>
          <w:szCs w:val="24"/>
          <w:shd w:val="clear" w:color="auto" w:fill="FFFFFF"/>
        </w:rPr>
        <w:t>Türkmendağ</w:t>
      </w:r>
      <w:proofErr w:type="spellEnd"/>
      <w:r w:rsidRPr="003D6168">
        <w:rPr>
          <w:rFonts w:ascii="Times New Roman" w:hAnsi="Times New Roman" w:cs="Times New Roman"/>
          <w:color w:val="222222"/>
          <w:sz w:val="24"/>
          <w:szCs w:val="24"/>
          <w:shd w:val="clear" w:color="auto" w:fill="FFFFFF"/>
        </w:rPr>
        <w:t>, Z., (2022). ‘Technology use and innovation strategies in event tourism.’ In </w:t>
      </w:r>
      <w:r w:rsidRPr="003D6168">
        <w:rPr>
          <w:rFonts w:ascii="Times New Roman" w:hAnsi="Times New Roman" w:cs="Times New Roman"/>
          <w:i/>
          <w:iCs/>
          <w:color w:val="222222"/>
          <w:sz w:val="24"/>
          <w:szCs w:val="24"/>
          <w:shd w:val="clear" w:color="auto" w:fill="FFFFFF"/>
        </w:rPr>
        <w:t>ICT as Innovator between Tourism and Culture</w:t>
      </w:r>
      <w:r w:rsidRPr="003D6168">
        <w:rPr>
          <w:rFonts w:ascii="Times New Roman" w:hAnsi="Times New Roman" w:cs="Times New Roman"/>
          <w:color w:val="222222"/>
          <w:sz w:val="24"/>
          <w:szCs w:val="24"/>
          <w:shd w:val="clear" w:color="auto" w:fill="FFFFFF"/>
        </w:rPr>
        <w:t> (pp. 104-121). IGI Global.</w:t>
      </w:r>
    </w:p>
    <w:p w14:paraId="3061AF7F"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Umbrico</w:t>
      </w:r>
      <w:proofErr w:type="spellEnd"/>
      <w:r w:rsidRPr="003D6168">
        <w:rPr>
          <w:rFonts w:ascii="Times New Roman" w:hAnsi="Times New Roman" w:cs="Times New Roman"/>
          <w:color w:val="222222"/>
          <w:sz w:val="24"/>
          <w:szCs w:val="24"/>
          <w:shd w:val="clear" w:color="auto" w:fill="FFFFFF"/>
        </w:rPr>
        <w:t xml:space="preserve">, A. et al., (2020). ‘A holistic approach to </w:t>
      </w:r>
      <w:proofErr w:type="spellStart"/>
      <w:r w:rsidRPr="003D6168">
        <w:rPr>
          <w:rFonts w:ascii="Times New Roman" w:hAnsi="Times New Roman" w:cs="Times New Roman"/>
          <w:color w:val="222222"/>
          <w:sz w:val="24"/>
          <w:szCs w:val="24"/>
          <w:shd w:val="clear" w:color="auto" w:fill="FFFFFF"/>
        </w:rPr>
        <w:t>behavior</w:t>
      </w:r>
      <w:proofErr w:type="spellEnd"/>
      <w:r w:rsidRPr="003D6168">
        <w:rPr>
          <w:rFonts w:ascii="Times New Roman" w:hAnsi="Times New Roman" w:cs="Times New Roman"/>
          <w:color w:val="222222"/>
          <w:sz w:val="24"/>
          <w:szCs w:val="24"/>
          <w:shd w:val="clear" w:color="auto" w:fill="FFFFFF"/>
        </w:rPr>
        <w:t xml:space="preserve"> adaptation for socially assistive robots.’ </w:t>
      </w:r>
      <w:r w:rsidRPr="003D6168">
        <w:rPr>
          <w:rFonts w:ascii="Times New Roman" w:hAnsi="Times New Roman" w:cs="Times New Roman"/>
          <w:i/>
          <w:iCs/>
          <w:color w:val="222222"/>
          <w:sz w:val="24"/>
          <w:szCs w:val="24"/>
          <w:shd w:val="clear" w:color="auto" w:fill="FFFFFF"/>
        </w:rPr>
        <w:t>International Journal of Social Robotics</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12</w:t>
      </w:r>
      <w:r w:rsidRPr="003D6168">
        <w:rPr>
          <w:rFonts w:ascii="Times New Roman" w:hAnsi="Times New Roman" w:cs="Times New Roman"/>
          <w:color w:val="222222"/>
          <w:sz w:val="24"/>
          <w:szCs w:val="24"/>
          <w:shd w:val="clear" w:color="auto" w:fill="FFFFFF"/>
        </w:rPr>
        <w:t>(3), pp.617-637.</w:t>
      </w:r>
    </w:p>
    <w:p w14:paraId="2E967115"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r w:rsidRPr="003D6168">
        <w:rPr>
          <w:rFonts w:ascii="Times New Roman" w:hAnsi="Times New Roman" w:cs="Times New Roman"/>
          <w:color w:val="222222"/>
          <w:sz w:val="24"/>
          <w:szCs w:val="24"/>
          <w:shd w:val="clear" w:color="auto" w:fill="FFFFFF"/>
        </w:rPr>
        <w:t>Van Roy, V. et al., (2020). ‘AI and robotics innovation.’ </w:t>
      </w:r>
      <w:r w:rsidRPr="003D6168">
        <w:rPr>
          <w:rFonts w:ascii="Times New Roman" w:hAnsi="Times New Roman" w:cs="Times New Roman"/>
          <w:i/>
          <w:iCs/>
          <w:color w:val="222222"/>
          <w:sz w:val="24"/>
          <w:szCs w:val="24"/>
          <w:shd w:val="clear" w:color="auto" w:fill="FFFFFF"/>
        </w:rPr>
        <w:t xml:space="preserve">Handbook of </w:t>
      </w:r>
      <w:proofErr w:type="spellStart"/>
      <w:r w:rsidRPr="003D6168">
        <w:rPr>
          <w:rFonts w:ascii="Times New Roman" w:hAnsi="Times New Roman" w:cs="Times New Roman"/>
          <w:i/>
          <w:iCs/>
          <w:color w:val="222222"/>
          <w:sz w:val="24"/>
          <w:szCs w:val="24"/>
          <w:shd w:val="clear" w:color="auto" w:fill="FFFFFF"/>
        </w:rPr>
        <w:t>labor</w:t>
      </w:r>
      <w:proofErr w:type="spellEnd"/>
      <w:r w:rsidRPr="003D6168">
        <w:rPr>
          <w:rFonts w:ascii="Times New Roman" w:hAnsi="Times New Roman" w:cs="Times New Roman"/>
          <w:i/>
          <w:iCs/>
          <w:color w:val="222222"/>
          <w:sz w:val="24"/>
          <w:szCs w:val="24"/>
          <w:shd w:val="clear" w:color="auto" w:fill="FFFFFF"/>
        </w:rPr>
        <w:t>, human resources and population economics</w:t>
      </w:r>
      <w:r w:rsidRPr="003D6168">
        <w:rPr>
          <w:rFonts w:ascii="Times New Roman" w:hAnsi="Times New Roman" w:cs="Times New Roman"/>
          <w:color w:val="222222"/>
          <w:sz w:val="24"/>
          <w:szCs w:val="24"/>
          <w:shd w:val="clear" w:color="auto" w:fill="FFFFFF"/>
        </w:rPr>
        <w:t>, pp.1-35.</w:t>
      </w:r>
    </w:p>
    <w:p w14:paraId="5C7CF337"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Vrontis</w:t>
      </w:r>
      <w:proofErr w:type="spellEnd"/>
      <w:r w:rsidRPr="003D6168">
        <w:rPr>
          <w:rFonts w:ascii="Times New Roman" w:hAnsi="Times New Roman" w:cs="Times New Roman"/>
          <w:color w:val="222222"/>
          <w:sz w:val="24"/>
          <w:szCs w:val="24"/>
          <w:shd w:val="clear" w:color="auto" w:fill="FFFFFF"/>
        </w:rPr>
        <w:t>, D. et al., (2022). ‘Artificial intelligence, robotics, advanced technologies and human resource management: a systematic review.’ </w:t>
      </w:r>
      <w:r w:rsidRPr="003D6168">
        <w:rPr>
          <w:rFonts w:ascii="Times New Roman" w:hAnsi="Times New Roman" w:cs="Times New Roman"/>
          <w:i/>
          <w:iCs/>
          <w:color w:val="222222"/>
          <w:sz w:val="24"/>
          <w:szCs w:val="24"/>
          <w:shd w:val="clear" w:color="auto" w:fill="FFFFFF"/>
        </w:rPr>
        <w:t>The international journal of human resource management</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33</w:t>
      </w:r>
      <w:r w:rsidRPr="003D6168">
        <w:rPr>
          <w:rFonts w:ascii="Times New Roman" w:hAnsi="Times New Roman" w:cs="Times New Roman"/>
          <w:color w:val="222222"/>
          <w:sz w:val="24"/>
          <w:szCs w:val="24"/>
          <w:shd w:val="clear" w:color="auto" w:fill="FFFFFF"/>
        </w:rPr>
        <w:t>(6), pp.1237-1266.</w:t>
      </w:r>
    </w:p>
    <w:p w14:paraId="408B74D9" w14:textId="77777777" w:rsidR="00140235" w:rsidRPr="003D6168" w:rsidRDefault="00140235" w:rsidP="00140235">
      <w:pPr>
        <w:spacing w:before="240" w:after="0" w:line="360" w:lineRule="auto"/>
        <w:jc w:val="both"/>
        <w:rPr>
          <w:rFonts w:ascii="Times New Roman" w:hAnsi="Times New Roman" w:cs="Times New Roman"/>
          <w:color w:val="222222"/>
          <w:sz w:val="24"/>
          <w:szCs w:val="24"/>
          <w:shd w:val="clear" w:color="auto" w:fill="FFFFFF"/>
        </w:rPr>
      </w:pPr>
      <w:proofErr w:type="spellStart"/>
      <w:r w:rsidRPr="003D6168">
        <w:rPr>
          <w:rFonts w:ascii="Times New Roman" w:hAnsi="Times New Roman" w:cs="Times New Roman"/>
          <w:color w:val="222222"/>
          <w:sz w:val="24"/>
          <w:szCs w:val="24"/>
          <w:shd w:val="clear" w:color="auto" w:fill="FFFFFF"/>
        </w:rPr>
        <w:t>Yigitcanlar</w:t>
      </w:r>
      <w:proofErr w:type="spellEnd"/>
      <w:r w:rsidRPr="003D6168">
        <w:rPr>
          <w:rFonts w:ascii="Times New Roman" w:hAnsi="Times New Roman" w:cs="Times New Roman"/>
          <w:color w:val="222222"/>
          <w:sz w:val="24"/>
          <w:szCs w:val="24"/>
          <w:shd w:val="clear" w:color="auto" w:fill="FFFFFF"/>
        </w:rPr>
        <w:t>, T. et al., (2020). ‘Artificial intelligence technologies and related urban planning and development concepts: How are they perceived and utilized in Australia?’ </w:t>
      </w:r>
      <w:r w:rsidRPr="003D6168">
        <w:rPr>
          <w:rFonts w:ascii="Times New Roman" w:hAnsi="Times New Roman" w:cs="Times New Roman"/>
          <w:i/>
          <w:iCs/>
          <w:color w:val="222222"/>
          <w:sz w:val="24"/>
          <w:szCs w:val="24"/>
          <w:shd w:val="clear" w:color="auto" w:fill="FFFFFF"/>
        </w:rPr>
        <w:t>Journal of Open Innovation: Technology, Market, and Complexity</w:t>
      </w:r>
      <w:r w:rsidRPr="003D6168">
        <w:rPr>
          <w:rFonts w:ascii="Times New Roman" w:hAnsi="Times New Roman" w:cs="Times New Roman"/>
          <w:color w:val="222222"/>
          <w:sz w:val="24"/>
          <w:szCs w:val="24"/>
          <w:shd w:val="clear" w:color="auto" w:fill="FFFFFF"/>
        </w:rPr>
        <w:t>. </w:t>
      </w:r>
      <w:r w:rsidRPr="003D6168">
        <w:rPr>
          <w:rFonts w:ascii="Times New Roman" w:hAnsi="Times New Roman" w:cs="Times New Roman"/>
          <w:iCs/>
          <w:color w:val="222222"/>
          <w:sz w:val="24"/>
          <w:szCs w:val="24"/>
          <w:shd w:val="clear" w:color="auto" w:fill="FFFFFF"/>
        </w:rPr>
        <w:t>6</w:t>
      </w:r>
      <w:r w:rsidRPr="003D6168">
        <w:rPr>
          <w:rFonts w:ascii="Times New Roman" w:hAnsi="Times New Roman" w:cs="Times New Roman"/>
          <w:color w:val="222222"/>
          <w:sz w:val="24"/>
          <w:szCs w:val="24"/>
          <w:shd w:val="clear" w:color="auto" w:fill="FFFFFF"/>
        </w:rPr>
        <w:t>(4), p.187.</w:t>
      </w:r>
    </w:p>
    <w:p w14:paraId="0F5BDAAC" w14:textId="77777777" w:rsidR="00140235" w:rsidRPr="00140235" w:rsidRDefault="00140235" w:rsidP="00140235"/>
    <w:p w14:paraId="301B4F64" w14:textId="77777777" w:rsidR="00140235" w:rsidRDefault="00140235" w:rsidP="00140235"/>
    <w:p w14:paraId="22C176E3" w14:textId="77777777" w:rsidR="00140235" w:rsidRDefault="00140235" w:rsidP="00140235"/>
    <w:p w14:paraId="7DBF8995" w14:textId="77777777" w:rsidR="00553087" w:rsidRDefault="00553087"/>
    <w:sectPr w:rsidR="0055308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2D374" w14:textId="77777777" w:rsidR="0029478D" w:rsidRDefault="0029478D" w:rsidP="009B5E13">
      <w:pPr>
        <w:spacing w:after="0" w:line="240" w:lineRule="auto"/>
      </w:pPr>
      <w:r>
        <w:separator/>
      </w:r>
    </w:p>
  </w:endnote>
  <w:endnote w:type="continuationSeparator" w:id="0">
    <w:p w14:paraId="7348EE8C" w14:textId="77777777" w:rsidR="0029478D" w:rsidRDefault="0029478D" w:rsidP="009B5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791044" w14:textId="77777777" w:rsidR="009B5E13" w:rsidRDefault="009B5E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809925"/>
      <w:docPartObj>
        <w:docPartGallery w:val="Page Numbers (Bottom of Page)"/>
        <w:docPartUnique/>
      </w:docPartObj>
    </w:sdtPr>
    <w:sdtEndPr>
      <w:rPr>
        <w:noProof/>
      </w:rPr>
    </w:sdtEndPr>
    <w:sdtContent>
      <w:p w14:paraId="6AA27DF4" w14:textId="0946D188" w:rsidR="009B5E13" w:rsidRDefault="009B5E13">
        <w:pPr>
          <w:pStyle w:val="Footer"/>
        </w:pPr>
        <w:r>
          <w:fldChar w:fldCharType="begin"/>
        </w:r>
        <w:r>
          <w:instrText xml:space="preserve"> PAGE   \* MERGEFORMAT </w:instrText>
        </w:r>
        <w:r>
          <w:fldChar w:fldCharType="separate"/>
        </w:r>
        <w:r>
          <w:rPr>
            <w:noProof/>
          </w:rPr>
          <w:t>2</w:t>
        </w:r>
        <w:r>
          <w:rPr>
            <w:noProof/>
          </w:rPr>
          <w:fldChar w:fldCharType="end"/>
        </w:r>
      </w:p>
    </w:sdtContent>
  </w:sdt>
  <w:p w14:paraId="2B3C41D0" w14:textId="77777777" w:rsidR="009B5E13" w:rsidRDefault="009B5E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1B33E3" w14:textId="77777777" w:rsidR="009B5E13" w:rsidRDefault="009B5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7F7BD0" w14:textId="77777777" w:rsidR="0029478D" w:rsidRDefault="0029478D" w:rsidP="009B5E13">
      <w:pPr>
        <w:spacing w:after="0" w:line="240" w:lineRule="auto"/>
      </w:pPr>
      <w:r>
        <w:separator/>
      </w:r>
    </w:p>
  </w:footnote>
  <w:footnote w:type="continuationSeparator" w:id="0">
    <w:p w14:paraId="3FDC11D6" w14:textId="77777777" w:rsidR="0029478D" w:rsidRDefault="0029478D" w:rsidP="009B5E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358A88" w14:textId="77777777" w:rsidR="009B5E13" w:rsidRDefault="009B5E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190222" w14:textId="77777777" w:rsidR="009B5E13" w:rsidRDefault="009B5E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B73706" w14:textId="77777777" w:rsidR="009B5E13" w:rsidRDefault="009B5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DA0571"/>
    <w:multiLevelType w:val="hybridMultilevel"/>
    <w:tmpl w:val="CFDA97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612D17"/>
    <w:multiLevelType w:val="hybridMultilevel"/>
    <w:tmpl w:val="F0C8B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A46F6B"/>
    <w:multiLevelType w:val="hybridMultilevel"/>
    <w:tmpl w:val="51AA59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406DA5"/>
    <w:multiLevelType w:val="hybridMultilevel"/>
    <w:tmpl w:val="5FAA8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B52259"/>
    <w:multiLevelType w:val="hybridMultilevel"/>
    <w:tmpl w:val="D994A1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262672"/>
    <w:multiLevelType w:val="hybridMultilevel"/>
    <w:tmpl w:val="15F81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D846CE"/>
    <w:multiLevelType w:val="hybridMultilevel"/>
    <w:tmpl w:val="4112CE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6346E8"/>
    <w:multiLevelType w:val="hybridMultilevel"/>
    <w:tmpl w:val="118C85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D22087"/>
    <w:multiLevelType w:val="hybridMultilevel"/>
    <w:tmpl w:val="303499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6853052"/>
    <w:multiLevelType w:val="hybridMultilevel"/>
    <w:tmpl w:val="CCA0B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D80034"/>
    <w:multiLevelType w:val="hybridMultilevel"/>
    <w:tmpl w:val="D1D6A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4018875">
    <w:abstractNumId w:val="7"/>
  </w:num>
  <w:num w:numId="2" w16cid:durableId="867715573">
    <w:abstractNumId w:val="3"/>
  </w:num>
  <w:num w:numId="3" w16cid:durableId="2145846236">
    <w:abstractNumId w:val="8"/>
  </w:num>
  <w:num w:numId="4" w16cid:durableId="1271545052">
    <w:abstractNumId w:val="4"/>
  </w:num>
  <w:num w:numId="5" w16cid:durableId="1012149874">
    <w:abstractNumId w:val="1"/>
  </w:num>
  <w:num w:numId="6" w16cid:durableId="627122780">
    <w:abstractNumId w:val="9"/>
  </w:num>
  <w:num w:numId="7" w16cid:durableId="2001545158">
    <w:abstractNumId w:val="6"/>
  </w:num>
  <w:num w:numId="8" w16cid:durableId="554000858">
    <w:abstractNumId w:val="10"/>
  </w:num>
  <w:num w:numId="9" w16cid:durableId="883829216">
    <w:abstractNumId w:val="0"/>
  </w:num>
  <w:num w:numId="10" w16cid:durableId="16934610">
    <w:abstractNumId w:val="2"/>
  </w:num>
  <w:num w:numId="11" w16cid:durableId="12009003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FBA"/>
    <w:rsid w:val="00026CB0"/>
    <w:rsid w:val="000D0FBA"/>
    <w:rsid w:val="00140235"/>
    <w:rsid w:val="001E69A8"/>
    <w:rsid w:val="00257291"/>
    <w:rsid w:val="0029478D"/>
    <w:rsid w:val="002F415D"/>
    <w:rsid w:val="00386727"/>
    <w:rsid w:val="003A3FF1"/>
    <w:rsid w:val="004D4978"/>
    <w:rsid w:val="00553087"/>
    <w:rsid w:val="00587F7B"/>
    <w:rsid w:val="005D4543"/>
    <w:rsid w:val="00600CEA"/>
    <w:rsid w:val="008B24E8"/>
    <w:rsid w:val="009B5E13"/>
    <w:rsid w:val="00A43200"/>
    <w:rsid w:val="00AB503A"/>
    <w:rsid w:val="00AF178C"/>
    <w:rsid w:val="00B34824"/>
    <w:rsid w:val="00B378EB"/>
    <w:rsid w:val="00CB3876"/>
    <w:rsid w:val="00E06495"/>
    <w:rsid w:val="00E25F5B"/>
    <w:rsid w:val="00E7264D"/>
    <w:rsid w:val="00F216DE"/>
    <w:rsid w:val="00FD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AA7D8"/>
  <w15:chartTrackingRefBased/>
  <w15:docId w15:val="{C28FE61C-CE77-4FCD-8CEB-90752123C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235"/>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ind w:left="720"/>
      <w:contextualSpacing/>
    </w:pPr>
  </w:style>
  <w:style w:type="paragraph" w:styleId="Quote">
    <w:name w:val="Quote"/>
    <w:basedOn w:val="Normal"/>
    <w:next w:val="Normal"/>
    <w:link w:val="QuoteChar"/>
    <w:uiPriority w:val="29"/>
    <w:qFormat/>
    <w:rsid w:val="00B34824"/>
    <w:pPr>
      <w:spacing w:before="120"/>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table" w:styleId="TableGrid">
    <w:name w:val="Table Grid"/>
    <w:basedOn w:val="TableNormal"/>
    <w:uiPriority w:val="59"/>
    <w:rsid w:val="00140235"/>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40235"/>
    <w:pPr>
      <w:spacing w:after="100" w:line="276" w:lineRule="auto"/>
    </w:pPr>
    <w:rPr>
      <w:kern w:val="0"/>
      <w14:ligatures w14:val="none"/>
    </w:rPr>
  </w:style>
  <w:style w:type="character" w:styleId="Hyperlink">
    <w:name w:val="Hyperlink"/>
    <w:basedOn w:val="DefaultParagraphFont"/>
    <w:uiPriority w:val="99"/>
    <w:unhideWhenUsed/>
    <w:rsid w:val="00140235"/>
    <w:rPr>
      <w:color w:val="0563C1" w:themeColor="hyperlink"/>
      <w:u w:val="single"/>
    </w:rPr>
  </w:style>
  <w:style w:type="paragraph" w:styleId="Header">
    <w:name w:val="header"/>
    <w:basedOn w:val="Normal"/>
    <w:link w:val="HeaderChar"/>
    <w:uiPriority w:val="99"/>
    <w:unhideWhenUsed/>
    <w:rsid w:val="009B5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E13"/>
  </w:style>
  <w:style w:type="paragraph" w:styleId="Footer">
    <w:name w:val="footer"/>
    <w:basedOn w:val="Normal"/>
    <w:link w:val="FooterChar"/>
    <w:uiPriority w:val="99"/>
    <w:unhideWhenUsed/>
    <w:rsid w:val="009B5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815481-4083-444E-928B-38335E20C4FC}" type="doc">
      <dgm:prSet loTypeId="urn:microsoft.com/office/officeart/2005/8/layout/cycle6" loCatId="cycle" qsTypeId="urn:microsoft.com/office/officeart/2005/8/quickstyle/simple1" qsCatId="simple" csTypeId="urn:microsoft.com/office/officeart/2005/8/colors/colorful5" csCatId="colorful" phldr="1"/>
      <dgm:spPr/>
      <dgm:t>
        <a:bodyPr/>
        <a:lstStyle/>
        <a:p>
          <a:endParaRPr lang="en-US"/>
        </a:p>
      </dgm:t>
    </dgm:pt>
    <dgm:pt modelId="{D3018CD6-04B4-4BC0-88BD-AB8AE02DFC1E}">
      <dgm:prSet phldrT="[Text]"/>
      <dgm:spPr/>
      <dgm:t>
        <a:bodyPr/>
        <a:lstStyle/>
        <a:p>
          <a:pPr algn="ctr"/>
          <a:r>
            <a:rPr lang="en-US">
              <a:solidFill>
                <a:schemeClr val="tx1"/>
              </a:solidFill>
            </a:rPr>
            <a:t>Creating a detailed budget plan</a:t>
          </a:r>
        </a:p>
      </dgm:t>
    </dgm:pt>
    <dgm:pt modelId="{AD602863-41C3-45D8-BB90-C8FEBD14BA57}" type="parTrans" cxnId="{717BCEE8-6763-48C2-A57D-DE473A305254}">
      <dgm:prSet/>
      <dgm:spPr/>
      <dgm:t>
        <a:bodyPr/>
        <a:lstStyle/>
        <a:p>
          <a:pPr algn="ctr"/>
          <a:endParaRPr lang="en-US"/>
        </a:p>
      </dgm:t>
    </dgm:pt>
    <dgm:pt modelId="{0F05EFB3-32B0-47CB-84A7-01AAD3375C3F}" type="sibTrans" cxnId="{717BCEE8-6763-48C2-A57D-DE473A305254}">
      <dgm:prSet/>
      <dgm:spPr/>
      <dgm:t>
        <a:bodyPr/>
        <a:lstStyle/>
        <a:p>
          <a:pPr algn="ctr"/>
          <a:endParaRPr lang="en-US"/>
        </a:p>
      </dgm:t>
    </dgm:pt>
    <dgm:pt modelId="{E8500BA0-3295-4297-BA31-F32A78B06795}">
      <dgm:prSet phldrT="[Text]"/>
      <dgm:spPr/>
      <dgm:t>
        <a:bodyPr/>
        <a:lstStyle/>
        <a:p>
          <a:pPr algn="ctr"/>
          <a:r>
            <a:rPr lang="en-US">
              <a:solidFill>
                <a:schemeClr val="tx1"/>
              </a:solidFill>
            </a:rPr>
            <a:t>Negotiating and cost cutting strategies</a:t>
          </a:r>
        </a:p>
      </dgm:t>
    </dgm:pt>
    <dgm:pt modelId="{2E62E5FD-9975-4154-8395-F02FC362E20C}" type="parTrans" cxnId="{E7CF3A35-D2B9-45A5-8162-68A8DF13FA9A}">
      <dgm:prSet/>
      <dgm:spPr/>
      <dgm:t>
        <a:bodyPr/>
        <a:lstStyle/>
        <a:p>
          <a:pPr algn="ctr"/>
          <a:endParaRPr lang="en-US"/>
        </a:p>
      </dgm:t>
    </dgm:pt>
    <dgm:pt modelId="{5B9F8362-BC31-4F85-B18D-82F2DEE87077}" type="sibTrans" cxnId="{E7CF3A35-D2B9-45A5-8162-68A8DF13FA9A}">
      <dgm:prSet/>
      <dgm:spPr/>
      <dgm:t>
        <a:bodyPr/>
        <a:lstStyle/>
        <a:p>
          <a:pPr algn="ctr"/>
          <a:endParaRPr lang="en-US"/>
        </a:p>
      </dgm:t>
    </dgm:pt>
    <dgm:pt modelId="{00E3F96E-D1DD-404F-907C-37A909696619}">
      <dgm:prSet phldrT="[Text]"/>
      <dgm:spPr/>
      <dgm:t>
        <a:bodyPr/>
        <a:lstStyle/>
        <a:p>
          <a:pPr algn="ctr"/>
          <a:r>
            <a:rPr lang="en-US">
              <a:solidFill>
                <a:schemeClr val="tx1"/>
              </a:solidFill>
            </a:rPr>
            <a:t>Tracking and monitoring expenses</a:t>
          </a:r>
        </a:p>
      </dgm:t>
    </dgm:pt>
    <dgm:pt modelId="{99774805-36D5-436B-913E-0BCC05EE21FC}" type="parTrans" cxnId="{44BA6043-DEAA-42AA-8D9D-3A4016A97432}">
      <dgm:prSet/>
      <dgm:spPr/>
      <dgm:t>
        <a:bodyPr/>
        <a:lstStyle/>
        <a:p>
          <a:pPr algn="ctr"/>
          <a:endParaRPr lang="en-US"/>
        </a:p>
      </dgm:t>
    </dgm:pt>
    <dgm:pt modelId="{9AE96EF6-38AD-4C58-867E-9485C7438AD1}" type="sibTrans" cxnId="{44BA6043-DEAA-42AA-8D9D-3A4016A97432}">
      <dgm:prSet/>
      <dgm:spPr/>
      <dgm:t>
        <a:bodyPr/>
        <a:lstStyle/>
        <a:p>
          <a:pPr algn="ctr"/>
          <a:endParaRPr lang="en-US"/>
        </a:p>
      </dgm:t>
    </dgm:pt>
    <dgm:pt modelId="{0D6A7F61-5EB7-468B-9BCF-9B4C502BEB18}">
      <dgm:prSet phldrT="[Text]"/>
      <dgm:spPr/>
      <dgm:t>
        <a:bodyPr/>
        <a:lstStyle/>
        <a:p>
          <a:pPr algn="ctr"/>
          <a:r>
            <a:rPr lang="en-US">
              <a:solidFill>
                <a:schemeClr val="tx1"/>
              </a:solidFill>
            </a:rPr>
            <a:t>Contingency planning</a:t>
          </a:r>
        </a:p>
      </dgm:t>
    </dgm:pt>
    <dgm:pt modelId="{51016ACD-C1D3-43C1-9A27-E4BEEB442345}" type="parTrans" cxnId="{C97CD5AF-B8BD-43E3-A9EE-D67E06504FD5}">
      <dgm:prSet/>
      <dgm:spPr/>
      <dgm:t>
        <a:bodyPr/>
        <a:lstStyle/>
        <a:p>
          <a:pPr algn="ctr"/>
          <a:endParaRPr lang="en-US"/>
        </a:p>
      </dgm:t>
    </dgm:pt>
    <dgm:pt modelId="{1C540093-F4FE-4A0C-A552-F30351CACC93}" type="sibTrans" cxnId="{C97CD5AF-B8BD-43E3-A9EE-D67E06504FD5}">
      <dgm:prSet/>
      <dgm:spPr/>
      <dgm:t>
        <a:bodyPr/>
        <a:lstStyle/>
        <a:p>
          <a:pPr algn="ctr"/>
          <a:endParaRPr lang="en-US"/>
        </a:p>
      </dgm:t>
    </dgm:pt>
    <dgm:pt modelId="{29766519-EDE3-4CFB-BF62-2789C0E5A710}">
      <dgm:prSet phldrT="[Text]"/>
      <dgm:spPr/>
      <dgm:t>
        <a:bodyPr/>
        <a:lstStyle/>
        <a:p>
          <a:pPr algn="ctr"/>
          <a:r>
            <a:rPr lang="en-US">
              <a:solidFill>
                <a:schemeClr val="tx1"/>
              </a:solidFill>
            </a:rPr>
            <a:t>Post event evaluation and analysis</a:t>
          </a:r>
        </a:p>
      </dgm:t>
    </dgm:pt>
    <dgm:pt modelId="{5881FC7E-EAFA-4870-9FE0-8E20D60E7355}" type="parTrans" cxnId="{DB6FA083-755E-4DE4-90EE-0C6447257040}">
      <dgm:prSet/>
      <dgm:spPr/>
      <dgm:t>
        <a:bodyPr/>
        <a:lstStyle/>
        <a:p>
          <a:pPr algn="ctr"/>
          <a:endParaRPr lang="en-US"/>
        </a:p>
      </dgm:t>
    </dgm:pt>
    <dgm:pt modelId="{FE4F5065-D30B-47E4-AF5D-A46ED26C6428}" type="sibTrans" cxnId="{DB6FA083-755E-4DE4-90EE-0C6447257040}">
      <dgm:prSet/>
      <dgm:spPr/>
      <dgm:t>
        <a:bodyPr/>
        <a:lstStyle/>
        <a:p>
          <a:pPr algn="ctr"/>
          <a:endParaRPr lang="en-US"/>
        </a:p>
      </dgm:t>
    </dgm:pt>
    <dgm:pt modelId="{90A71720-1ABC-4BE9-B530-F070A93E64FB}" type="pres">
      <dgm:prSet presAssocID="{01815481-4083-444E-928B-38335E20C4FC}" presName="cycle" presStyleCnt="0">
        <dgm:presLayoutVars>
          <dgm:dir/>
          <dgm:resizeHandles val="exact"/>
        </dgm:presLayoutVars>
      </dgm:prSet>
      <dgm:spPr/>
    </dgm:pt>
    <dgm:pt modelId="{55BE17DD-6ED5-42AF-83BB-C425F67E36CE}" type="pres">
      <dgm:prSet presAssocID="{D3018CD6-04B4-4BC0-88BD-AB8AE02DFC1E}" presName="node" presStyleLbl="node1" presStyleIdx="0" presStyleCnt="5">
        <dgm:presLayoutVars>
          <dgm:bulletEnabled val="1"/>
        </dgm:presLayoutVars>
      </dgm:prSet>
      <dgm:spPr/>
    </dgm:pt>
    <dgm:pt modelId="{AB09DDB2-1631-4A0E-99DA-1059258B1BEC}" type="pres">
      <dgm:prSet presAssocID="{D3018CD6-04B4-4BC0-88BD-AB8AE02DFC1E}" presName="spNode" presStyleCnt="0"/>
      <dgm:spPr/>
    </dgm:pt>
    <dgm:pt modelId="{7FDE7208-2C07-4133-8BB3-9FB517498337}" type="pres">
      <dgm:prSet presAssocID="{0F05EFB3-32B0-47CB-84A7-01AAD3375C3F}" presName="sibTrans" presStyleLbl="sibTrans1D1" presStyleIdx="0" presStyleCnt="5"/>
      <dgm:spPr/>
    </dgm:pt>
    <dgm:pt modelId="{FEF1B786-3448-4CED-8EB7-3D8C22F5C4A1}" type="pres">
      <dgm:prSet presAssocID="{E8500BA0-3295-4297-BA31-F32A78B06795}" presName="node" presStyleLbl="node1" presStyleIdx="1" presStyleCnt="5">
        <dgm:presLayoutVars>
          <dgm:bulletEnabled val="1"/>
        </dgm:presLayoutVars>
      </dgm:prSet>
      <dgm:spPr/>
    </dgm:pt>
    <dgm:pt modelId="{D860022F-2A82-4609-B3B2-C4EA57644590}" type="pres">
      <dgm:prSet presAssocID="{E8500BA0-3295-4297-BA31-F32A78B06795}" presName="spNode" presStyleCnt="0"/>
      <dgm:spPr/>
    </dgm:pt>
    <dgm:pt modelId="{D5FFF743-809A-41E5-8A6A-8A7B448C7FCF}" type="pres">
      <dgm:prSet presAssocID="{5B9F8362-BC31-4F85-B18D-82F2DEE87077}" presName="sibTrans" presStyleLbl="sibTrans1D1" presStyleIdx="1" presStyleCnt="5"/>
      <dgm:spPr/>
    </dgm:pt>
    <dgm:pt modelId="{02FAFDA8-4190-4D0E-A794-B864CF8ECDD1}" type="pres">
      <dgm:prSet presAssocID="{00E3F96E-D1DD-404F-907C-37A909696619}" presName="node" presStyleLbl="node1" presStyleIdx="2" presStyleCnt="5">
        <dgm:presLayoutVars>
          <dgm:bulletEnabled val="1"/>
        </dgm:presLayoutVars>
      </dgm:prSet>
      <dgm:spPr/>
    </dgm:pt>
    <dgm:pt modelId="{C3F38C5A-551C-4AD8-B5A8-E26C9EE2977A}" type="pres">
      <dgm:prSet presAssocID="{00E3F96E-D1DD-404F-907C-37A909696619}" presName="spNode" presStyleCnt="0"/>
      <dgm:spPr/>
    </dgm:pt>
    <dgm:pt modelId="{B85D7E5A-B803-412F-8C0A-849260888227}" type="pres">
      <dgm:prSet presAssocID="{9AE96EF6-38AD-4C58-867E-9485C7438AD1}" presName="sibTrans" presStyleLbl="sibTrans1D1" presStyleIdx="2" presStyleCnt="5"/>
      <dgm:spPr/>
    </dgm:pt>
    <dgm:pt modelId="{47A02BD0-99BA-4C5A-A339-9411B673E44D}" type="pres">
      <dgm:prSet presAssocID="{0D6A7F61-5EB7-468B-9BCF-9B4C502BEB18}" presName="node" presStyleLbl="node1" presStyleIdx="3" presStyleCnt="5">
        <dgm:presLayoutVars>
          <dgm:bulletEnabled val="1"/>
        </dgm:presLayoutVars>
      </dgm:prSet>
      <dgm:spPr/>
    </dgm:pt>
    <dgm:pt modelId="{A392503A-630A-44E0-8900-95404AA69F6F}" type="pres">
      <dgm:prSet presAssocID="{0D6A7F61-5EB7-468B-9BCF-9B4C502BEB18}" presName="spNode" presStyleCnt="0"/>
      <dgm:spPr/>
    </dgm:pt>
    <dgm:pt modelId="{9CF2CD76-DAFE-467F-9911-FDFB21808E2E}" type="pres">
      <dgm:prSet presAssocID="{1C540093-F4FE-4A0C-A552-F30351CACC93}" presName="sibTrans" presStyleLbl="sibTrans1D1" presStyleIdx="3" presStyleCnt="5"/>
      <dgm:spPr/>
    </dgm:pt>
    <dgm:pt modelId="{6703F951-6711-43CE-8D25-B7109FE2C078}" type="pres">
      <dgm:prSet presAssocID="{29766519-EDE3-4CFB-BF62-2789C0E5A710}" presName="node" presStyleLbl="node1" presStyleIdx="4" presStyleCnt="5">
        <dgm:presLayoutVars>
          <dgm:bulletEnabled val="1"/>
        </dgm:presLayoutVars>
      </dgm:prSet>
      <dgm:spPr/>
    </dgm:pt>
    <dgm:pt modelId="{2E57A699-70BE-47A6-BBAA-08F74B328703}" type="pres">
      <dgm:prSet presAssocID="{29766519-EDE3-4CFB-BF62-2789C0E5A710}" presName="spNode" presStyleCnt="0"/>
      <dgm:spPr/>
    </dgm:pt>
    <dgm:pt modelId="{85A530F9-7030-49E7-AA70-EC48CF2E641A}" type="pres">
      <dgm:prSet presAssocID="{FE4F5065-D30B-47E4-AF5D-A46ED26C6428}" presName="sibTrans" presStyleLbl="sibTrans1D1" presStyleIdx="4" presStyleCnt="5"/>
      <dgm:spPr/>
    </dgm:pt>
  </dgm:ptLst>
  <dgm:cxnLst>
    <dgm:cxn modelId="{01D73801-4A66-4D42-B9AE-02C70D5615EF}" type="presOf" srcId="{0F05EFB3-32B0-47CB-84A7-01AAD3375C3F}" destId="{7FDE7208-2C07-4133-8BB3-9FB517498337}" srcOrd="0" destOrd="0" presId="urn:microsoft.com/office/officeart/2005/8/layout/cycle6"/>
    <dgm:cxn modelId="{0DFF8618-0B42-4E4C-8BDE-9134BB097FED}" type="presOf" srcId="{0D6A7F61-5EB7-468B-9BCF-9B4C502BEB18}" destId="{47A02BD0-99BA-4C5A-A339-9411B673E44D}" srcOrd="0" destOrd="0" presId="urn:microsoft.com/office/officeart/2005/8/layout/cycle6"/>
    <dgm:cxn modelId="{E9B12619-57A2-4FD5-A8D8-93811AE778A6}" type="presOf" srcId="{D3018CD6-04B4-4BC0-88BD-AB8AE02DFC1E}" destId="{55BE17DD-6ED5-42AF-83BB-C425F67E36CE}" srcOrd="0" destOrd="0" presId="urn:microsoft.com/office/officeart/2005/8/layout/cycle6"/>
    <dgm:cxn modelId="{31ABB72E-2A31-45D6-A054-FB3393AE2DC8}" type="presOf" srcId="{00E3F96E-D1DD-404F-907C-37A909696619}" destId="{02FAFDA8-4190-4D0E-A794-B864CF8ECDD1}" srcOrd="0" destOrd="0" presId="urn:microsoft.com/office/officeart/2005/8/layout/cycle6"/>
    <dgm:cxn modelId="{E7CF3A35-D2B9-45A5-8162-68A8DF13FA9A}" srcId="{01815481-4083-444E-928B-38335E20C4FC}" destId="{E8500BA0-3295-4297-BA31-F32A78B06795}" srcOrd="1" destOrd="0" parTransId="{2E62E5FD-9975-4154-8395-F02FC362E20C}" sibTransId="{5B9F8362-BC31-4F85-B18D-82F2DEE87077}"/>
    <dgm:cxn modelId="{44BA6043-DEAA-42AA-8D9D-3A4016A97432}" srcId="{01815481-4083-444E-928B-38335E20C4FC}" destId="{00E3F96E-D1DD-404F-907C-37A909696619}" srcOrd="2" destOrd="0" parTransId="{99774805-36D5-436B-913E-0BCC05EE21FC}" sibTransId="{9AE96EF6-38AD-4C58-867E-9485C7438AD1}"/>
    <dgm:cxn modelId="{3EA93864-84B8-42E4-9B75-9854684BA20B}" type="presOf" srcId="{1C540093-F4FE-4A0C-A552-F30351CACC93}" destId="{9CF2CD76-DAFE-467F-9911-FDFB21808E2E}" srcOrd="0" destOrd="0" presId="urn:microsoft.com/office/officeart/2005/8/layout/cycle6"/>
    <dgm:cxn modelId="{5FE86B79-BCB6-455A-858E-C0695230A573}" type="presOf" srcId="{E8500BA0-3295-4297-BA31-F32A78B06795}" destId="{FEF1B786-3448-4CED-8EB7-3D8C22F5C4A1}" srcOrd="0" destOrd="0" presId="urn:microsoft.com/office/officeart/2005/8/layout/cycle6"/>
    <dgm:cxn modelId="{DB6FA083-755E-4DE4-90EE-0C6447257040}" srcId="{01815481-4083-444E-928B-38335E20C4FC}" destId="{29766519-EDE3-4CFB-BF62-2789C0E5A710}" srcOrd="4" destOrd="0" parTransId="{5881FC7E-EAFA-4870-9FE0-8E20D60E7355}" sibTransId="{FE4F5065-D30B-47E4-AF5D-A46ED26C6428}"/>
    <dgm:cxn modelId="{7FAE9891-5202-4364-805B-E21D35EF5F89}" type="presOf" srcId="{5B9F8362-BC31-4F85-B18D-82F2DEE87077}" destId="{D5FFF743-809A-41E5-8A6A-8A7B448C7FCF}" srcOrd="0" destOrd="0" presId="urn:microsoft.com/office/officeart/2005/8/layout/cycle6"/>
    <dgm:cxn modelId="{C28A139A-80F0-49AF-9568-CD44921D9F13}" type="presOf" srcId="{29766519-EDE3-4CFB-BF62-2789C0E5A710}" destId="{6703F951-6711-43CE-8D25-B7109FE2C078}" srcOrd="0" destOrd="0" presId="urn:microsoft.com/office/officeart/2005/8/layout/cycle6"/>
    <dgm:cxn modelId="{C97CD5AF-B8BD-43E3-A9EE-D67E06504FD5}" srcId="{01815481-4083-444E-928B-38335E20C4FC}" destId="{0D6A7F61-5EB7-468B-9BCF-9B4C502BEB18}" srcOrd="3" destOrd="0" parTransId="{51016ACD-C1D3-43C1-9A27-E4BEEB442345}" sibTransId="{1C540093-F4FE-4A0C-A552-F30351CACC93}"/>
    <dgm:cxn modelId="{2A5EB3B4-A2FF-40B2-939D-AC91E75AB791}" type="presOf" srcId="{9AE96EF6-38AD-4C58-867E-9485C7438AD1}" destId="{B85D7E5A-B803-412F-8C0A-849260888227}" srcOrd="0" destOrd="0" presId="urn:microsoft.com/office/officeart/2005/8/layout/cycle6"/>
    <dgm:cxn modelId="{DEF77CE6-C838-42F2-A3E4-B29A96E0D683}" type="presOf" srcId="{01815481-4083-444E-928B-38335E20C4FC}" destId="{90A71720-1ABC-4BE9-B530-F070A93E64FB}" srcOrd="0" destOrd="0" presId="urn:microsoft.com/office/officeart/2005/8/layout/cycle6"/>
    <dgm:cxn modelId="{717BCEE8-6763-48C2-A57D-DE473A305254}" srcId="{01815481-4083-444E-928B-38335E20C4FC}" destId="{D3018CD6-04B4-4BC0-88BD-AB8AE02DFC1E}" srcOrd="0" destOrd="0" parTransId="{AD602863-41C3-45D8-BB90-C8FEBD14BA57}" sibTransId="{0F05EFB3-32B0-47CB-84A7-01AAD3375C3F}"/>
    <dgm:cxn modelId="{709654F3-F448-48E7-915D-9B10E7601298}" type="presOf" srcId="{FE4F5065-D30B-47E4-AF5D-A46ED26C6428}" destId="{85A530F9-7030-49E7-AA70-EC48CF2E641A}" srcOrd="0" destOrd="0" presId="urn:microsoft.com/office/officeart/2005/8/layout/cycle6"/>
    <dgm:cxn modelId="{C2C9F71E-1F92-4254-8CEA-1C792547A61B}" type="presParOf" srcId="{90A71720-1ABC-4BE9-B530-F070A93E64FB}" destId="{55BE17DD-6ED5-42AF-83BB-C425F67E36CE}" srcOrd="0" destOrd="0" presId="urn:microsoft.com/office/officeart/2005/8/layout/cycle6"/>
    <dgm:cxn modelId="{A6D508E7-F823-4F1B-9ADB-8CA55C3156A7}" type="presParOf" srcId="{90A71720-1ABC-4BE9-B530-F070A93E64FB}" destId="{AB09DDB2-1631-4A0E-99DA-1059258B1BEC}" srcOrd="1" destOrd="0" presId="urn:microsoft.com/office/officeart/2005/8/layout/cycle6"/>
    <dgm:cxn modelId="{A8E16B03-6886-448F-805F-7F88187E3D9D}" type="presParOf" srcId="{90A71720-1ABC-4BE9-B530-F070A93E64FB}" destId="{7FDE7208-2C07-4133-8BB3-9FB517498337}" srcOrd="2" destOrd="0" presId="urn:microsoft.com/office/officeart/2005/8/layout/cycle6"/>
    <dgm:cxn modelId="{A14269EE-C9A0-4B36-99EF-B5E9FDD73CB2}" type="presParOf" srcId="{90A71720-1ABC-4BE9-B530-F070A93E64FB}" destId="{FEF1B786-3448-4CED-8EB7-3D8C22F5C4A1}" srcOrd="3" destOrd="0" presId="urn:microsoft.com/office/officeart/2005/8/layout/cycle6"/>
    <dgm:cxn modelId="{A4A64507-9DFE-4E8D-B574-B3FB0F39C6C8}" type="presParOf" srcId="{90A71720-1ABC-4BE9-B530-F070A93E64FB}" destId="{D860022F-2A82-4609-B3B2-C4EA57644590}" srcOrd="4" destOrd="0" presId="urn:microsoft.com/office/officeart/2005/8/layout/cycle6"/>
    <dgm:cxn modelId="{5EC82A39-3962-419D-9387-DEF8507B8F78}" type="presParOf" srcId="{90A71720-1ABC-4BE9-B530-F070A93E64FB}" destId="{D5FFF743-809A-41E5-8A6A-8A7B448C7FCF}" srcOrd="5" destOrd="0" presId="urn:microsoft.com/office/officeart/2005/8/layout/cycle6"/>
    <dgm:cxn modelId="{DD1CE897-E77F-467B-A10D-4992C4064D30}" type="presParOf" srcId="{90A71720-1ABC-4BE9-B530-F070A93E64FB}" destId="{02FAFDA8-4190-4D0E-A794-B864CF8ECDD1}" srcOrd="6" destOrd="0" presId="urn:microsoft.com/office/officeart/2005/8/layout/cycle6"/>
    <dgm:cxn modelId="{C7B7DD66-1A3B-40A4-AE5D-EF6FA974AFEB}" type="presParOf" srcId="{90A71720-1ABC-4BE9-B530-F070A93E64FB}" destId="{C3F38C5A-551C-4AD8-B5A8-E26C9EE2977A}" srcOrd="7" destOrd="0" presId="urn:microsoft.com/office/officeart/2005/8/layout/cycle6"/>
    <dgm:cxn modelId="{32E3CCFA-8C31-4FC3-969D-377E85B818E5}" type="presParOf" srcId="{90A71720-1ABC-4BE9-B530-F070A93E64FB}" destId="{B85D7E5A-B803-412F-8C0A-849260888227}" srcOrd="8" destOrd="0" presId="urn:microsoft.com/office/officeart/2005/8/layout/cycle6"/>
    <dgm:cxn modelId="{E2A7D2DE-40DE-43F4-83B7-156D09F84455}" type="presParOf" srcId="{90A71720-1ABC-4BE9-B530-F070A93E64FB}" destId="{47A02BD0-99BA-4C5A-A339-9411B673E44D}" srcOrd="9" destOrd="0" presId="urn:microsoft.com/office/officeart/2005/8/layout/cycle6"/>
    <dgm:cxn modelId="{46FEDB69-6CF3-4583-BDFB-F33241E7A30E}" type="presParOf" srcId="{90A71720-1ABC-4BE9-B530-F070A93E64FB}" destId="{A392503A-630A-44E0-8900-95404AA69F6F}" srcOrd="10" destOrd="0" presId="urn:microsoft.com/office/officeart/2005/8/layout/cycle6"/>
    <dgm:cxn modelId="{5E12A9E8-52DD-49F7-9917-B4AED72162A2}" type="presParOf" srcId="{90A71720-1ABC-4BE9-B530-F070A93E64FB}" destId="{9CF2CD76-DAFE-467F-9911-FDFB21808E2E}" srcOrd="11" destOrd="0" presId="urn:microsoft.com/office/officeart/2005/8/layout/cycle6"/>
    <dgm:cxn modelId="{9818027C-4159-45DA-BFB7-2CCE7FF7D068}" type="presParOf" srcId="{90A71720-1ABC-4BE9-B530-F070A93E64FB}" destId="{6703F951-6711-43CE-8D25-B7109FE2C078}" srcOrd="12" destOrd="0" presId="urn:microsoft.com/office/officeart/2005/8/layout/cycle6"/>
    <dgm:cxn modelId="{13534416-0808-4D87-A494-DCA8A64521A1}" type="presParOf" srcId="{90A71720-1ABC-4BE9-B530-F070A93E64FB}" destId="{2E57A699-70BE-47A6-BBAA-08F74B328703}" srcOrd="13" destOrd="0" presId="urn:microsoft.com/office/officeart/2005/8/layout/cycle6"/>
    <dgm:cxn modelId="{21553108-2137-4DA1-A052-613974BC4A34}" type="presParOf" srcId="{90A71720-1ABC-4BE9-B530-F070A93E64FB}" destId="{85A530F9-7030-49E7-AA70-EC48CF2E641A}"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BE17DD-6ED5-42AF-83BB-C425F67E36CE}">
      <dsp:nvSpPr>
        <dsp:cNvPr id="0" name=""/>
        <dsp:cNvSpPr/>
      </dsp:nvSpPr>
      <dsp:spPr>
        <a:xfrm>
          <a:off x="2364971" y="1367"/>
          <a:ext cx="985056" cy="640286"/>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Creating a detailed budget plan</a:t>
          </a:r>
        </a:p>
      </dsp:txBody>
      <dsp:txXfrm>
        <a:off x="2396227" y="32623"/>
        <a:ext cx="922544" cy="577774"/>
      </dsp:txXfrm>
    </dsp:sp>
    <dsp:sp modelId="{7FDE7208-2C07-4133-8BB3-9FB517498337}">
      <dsp:nvSpPr>
        <dsp:cNvPr id="0" name=""/>
        <dsp:cNvSpPr/>
      </dsp:nvSpPr>
      <dsp:spPr>
        <a:xfrm>
          <a:off x="1577855" y="321511"/>
          <a:ext cx="2559289" cy="2559289"/>
        </a:xfrm>
        <a:custGeom>
          <a:avLst/>
          <a:gdLst/>
          <a:ahLst/>
          <a:cxnLst/>
          <a:rect l="0" t="0" r="0" b="0"/>
          <a:pathLst>
            <a:path>
              <a:moveTo>
                <a:pt x="1778944" y="101430"/>
              </a:moveTo>
              <a:arcTo wR="1279644" hR="1279644" stAng="17577967" swAng="1962274"/>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EF1B786-3448-4CED-8EB7-3D8C22F5C4A1}">
      <dsp:nvSpPr>
        <dsp:cNvPr id="0" name=""/>
        <dsp:cNvSpPr/>
      </dsp:nvSpPr>
      <dsp:spPr>
        <a:xfrm>
          <a:off x="3581986" y="885580"/>
          <a:ext cx="985056" cy="640286"/>
        </a:xfrm>
        <a:prstGeom prst="roundRect">
          <a:avLst/>
        </a:prstGeom>
        <a:solidFill>
          <a:schemeClr val="accent5">
            <a:hueOff val="-1689636"/>
            <a:satOff val="-4355"/>
            <a:lumOff val="-294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Negotiating and cost cutting strategies</a:t>
          </a:r>
        </a:p>
      </dsp:txBody>
      <dsp:txXfrm>
        <a:off x="3613242" y="916836"/>
        <a:ext cx="922544" cy="577774"/>
      </dsp:txXfrm>
    </dsp:sp>
    <dsp:sp modelId="{D5FFF743-809A-41E5-8A6A-8A7B448C7FCF}">
      <dsp:nvSpPr>
        <dsp:cNvPr id="0" name=""/>
        <dsp:cNvSpPr/>
      </dsp:nvSpPr>
      <dsp:spPr>
        <a:xfrm>
          <a:off x="1577855" y="321511"/>
          <a:ext cx="2559289" cy="2559289"/>
        </a:xfrm>
        <a:custGeom>
          <a:avLst/>
          <a:gdLst/>
          <a:ahLst/>
          <a:cxnLst/>
          <a:rect l="0" t="0" r="0" b="0"/>
          <a:pathLst>
            <a:path>
              <a:moveTo>
                <a:pt x="2557528" y="1212537"/>
              </a:moveTo>
              <a:arcTo wR="1279644" hR="1279644" stAng="21419636" swAng="2196869"/>
            </a:path>
          </a:pathLst>
        </a:custGeom>
        <a:noFill/>
        <a:ln w="9525" cap="flat" cmpd="sng" algn="ctr">
          <a:solidFill>
            <a:schemeClr val="accent5">
              <a:hueOff val="-1689636"/>
              <a:satOff val="-4355"/>
              <a:lumOff val="-2941"/>
              <a:alphaOff val="0"/>
            </a:schemeClr>
          </a:solidFill>
          <a:prstDash val="solid"/>
        </a:ln>
        <a:effectLst/>
      </dsp:spPr>
      <dsp:style>
        <a:lnRef idx="1">
          <a:scrgbClr r="0" g="0" b="0"/>
        </a:lnRef>
        <a:fillRef idx="0">
          <a:scrgbClr r="0" g="0" b="0"/>
        </a:fillRef>
        <a:effectRef idx="0">
          <a:scrgbClr r="0" g="0" b="0"/>
        </a:effectRef>
        <a:fontRef idx="minor"/>
      </dsp:style>
    </dsp:sp>
    <dsp:sp modelId="{02FAFDA8-4190-4D0E-A794-B864CF8ECDD1}">
      <dsp:nvSpPr>
        <dsp:cNvPr id="0" name=""/>
        <dsp:cNvSpPr/>
      </dsp:nvSpPr>
      <dsp:spPr>
        <a:xfrm>
          <a:off x="3117128" y="2316266"/>
          <a:ext cx="985056" cy="640286"/>
        </a:xfrm>
        <a:prstGeom prst="roundRect">
          <a:avLst/>
        </a:prstGeom>
        <a:solidFill>
          <a:schemeClr val="accent5">
            <a:hueOff val="-3379271"/>
            <a:satOff val="-8710"/>
            <a:lumOff val="-588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Tracking and monitoring expenses</a:t>
          </a:r>
        </a:p>
      </dsp:txBody>
      <dsp:txXfrm>
        <a:off x="3148384" y="2347522"/>
        <a:ext cx="922544" cy="577774"/>
      </dsp:txXfrm>
    </dsp:sp>
    <dsp:sp modelId="{B85D7E5A-B803-412F-8C0A-849260888227}">
      <dsp:nvSpPr>
        <dsp:cNvPr id="0" name=""/>
        <dsp:cNvSpPr/>
      </dsp:nvSpPr>
      <dsp:spPr>
        <a:xfrm>
          <a:off x="1577855" y="321511"/>
          <a:ext cx="2559289" cy="2559289"/>
        </a:xfrm>
        <a:custGeom>
          <a:avLst/>
          <a:gdLst/>
          <a:ahLst/>
          <a:cxnLst/>
          <a:rect l="0" t="0" r="0" b="0"/>
          <a:pathLst>
            <a:path>
              <a:moveTo>
                <a:pt x="1534186" y="2533717"/>
              </a:moveTo>
              <a:arcTo wR="1279644" hR="1279644" stAng="4711586" swAng="1376827"/>
            </a:path>
          </a:pathLst>
        </a:custGeom>
        <a:noFill/>
        <a:ln w="9525" cap="flat" cmpd="sng" algn="ctr">
          <a:solidFill>
            <a:schemeClr val="accent5">
              <a:hueOff val="-3379271"/>
              <a:satOff val="-8710"/>
              <a:lumOff val="-5883"/>
              <a:alphaOff val="0"/>
            </a:schemeClr>
          </a:solidFill>
          <a:prstDash val="solid"/>
        </a:ln>
        <a:effectLst/>
      </dsp:spPr>
      <dsp:style>
        <a:lnRef idx="1">
          <a:scrgbClr r="0" g="0" b="0"/>
        </a:lnRef>
        <a:fillRef idx="0">
          <a:scrgbClr r="0" g="0" b="0"/>
        </a:fillRef>
        <a:effectRef idx="0">
          <a:scrgbClr r="0" g="0" b="0"/>
        </a:effectRef>
        <a:fontRef idx="minor"/>
      </dsp:style>
    </dsp:sp>
    <dsp:sp modelId="{47A02BD0-99BA-4C5A-A339-9411B673E44D}">
      <dsp:nvSpPr>
        <dsp:cNvPr id="0" name=""/>
        <dsp:cNvSpPr/>
      </dsp:nvSpPr>
      <dsp:spPr>
        <a:xfrm>
          <a:off x="1612815" y="2316266"/>
          <a:ext cx="985056" cy="640286"/>
        </a:xfrm>
        <a:prstGeom prst="roundRect">
          <a:avLst/>
        </a:prstGeom>
        <a:solidFill>
          <a:schemeClr val="accent5">
            <a:hueOff val="-5068907"/>
            <a:satOff val="-13064"/>
            <a:lumOff val="-88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Contingency planning</a:t>
          </a:r>
        </a:p>
      </dsp:txBody>
      <dsp:txXfrm>
        <a:off x="1644071" y="2347522"/>
        <a:ext cx="922544" cy="577774"/>
      </dsp:txXfrm>
    </dsp:sp>
    <dsp:sp modelId="{9CF2CD76-DAFE-467F-9911-FDFB21808E2E}">
      <dsp:nvSpPr>
        <dsp:cNvPr id="0" name=""/>
        <dsp:cNvSpPr/>
      </dsp:nvSpPr>
      <dsp:spPr>
        <a:xfrm>
          <a:off x="1577855" y="321511"/>
          <a:ext cx="2559289" cy="2559289"/>
        </a:xfrm>
        <a:custGeom>
          <a:avLst/>
          <a:gdLst/>
          <a:ahLst/>
          <a:cxnLst/>
          <a:rect l="0" t="0" r="0" b="0"/>
          <a:pathLst>
            <a:path>
              <a:moveTo>
                <a:pt x="213905" y="1987945"/>
              </a:moveTo>
              <a:arcTo wR="1279644" hR="1279644" stAng="8783496" swAng="2196869"/>
            </a:path>
          </a:pathLst>
        </a:custGeom>
        <a:noFill/>
        <a:ln w="9525" cap="flat" cmpd="sng" algn="ctr">
          <a:solidFill>
            <a:schemeClr val="accent5">
              <a:hueOff val="-5068907"/>
              <a:satOff val="-13064"/>
              <a:lumOff val="-8824"/>
              <a:alphaOff val="0"/>
            </a:schemeClr>
          </a:solidFill>
          <a:prstDash val="solid"/>
        </a:ln>
        <a:effectLst/>
      </dsp:spPr>
      <dsp:style>
        <a:lnRef idx="1">
          <a:scrgbClr r="0" g="0" b="0"/>
        </a:lnRef>
        <a:fillRef idx="0">
          <a:scrgbClr r="0" g="0" b="0"/>
        </a:fillRef>
        <a:effectRef idx="0">
          <a:scrgbClr r="0" g="0" b="0"/>
        </a:effectRef>
        <a:fontRef idx="minor"/>
      </dsp:style>
    </dsp:sp>
    <dsp:sp modelId="{6703F951-6711-43CE-8D25-B7109FE2C078}">
      <dsp:nvSpPr>
        <dsp:cNvPr id="0" name=""/>
        <dsp:cNvSpPr/>
      </dsp:nvSpPr>
      <dsp:spPr>
        <a:xfrm>
          <a:off x="1147957" y="885580"/>
          <a:ext cx="985056" cy="640286"/>
        </a:xfrm>
        <a:prstGeom prst="roundRect">
          <a:avLst/>
        </a:prstGeom>
        <a:solidFill>
          <a:schemeClr val="accent5">
            <a:hueOff val="-6758543"/>
            <a:satOff val="-17419"/>
            <a:lumOff val="-1176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chemeClr val="tx1"/>
              </a:solidFill>
            </a:rPr>
            <a:t>Post event evaluation and analysis</a:t>
          </a:r>
        </a:p>
      </dsp:txBody>
      <dsp:txXfrm>
        <a:off x="1179213" y="916836"/>
        <a:ext cx="922544" cy="577774"/>
      </dsp:txXfrm>
    </dsp:sp>
    <dsp:sp modelId="{85A530F9-7030-49E7-AA70-EC48CF2E641A}">
      <dsp:nvSpPr>
        <dsp:cNvPr id="0" name=""/>
        <dsp:cNvSpPr/>
      </dsp:nvSpPr>
      <dsp:spPr>
        <a:xfrm>
          <a:off x="1577855" y="321511"/>
          <a:ext cx="2559289" cy="2559289"/>
        </a:xfrm>
        <a:custGeom>
          <a:avLst/>
          <a:gdLst/>
          <a:ahLst/>
          <a:cxnLst/>
          <a:rect l="0" t="0" r="0" b="0"/>
          <a:pathLst>
            <a:path>
              <a:moveTo>
                <a:pt x="222901" y="557990"/>
              </a:moveTo>
              <a:arcTo wR="1279644" hR="1279644" stAng="12859759" swAng="1962274"/>
            </a:path>
          </a:pathLst>
        </a:custGeom>
        <a:noFill/>
        <a:ln w="9525" cap="flat" cmpd="sng" algn="ctr">
          <a:solidFill>
            <a:schemeClr val="accent5">
              <a:hueOff val="-6758543"/>
              <a:satOff val="-17419"/>
              <a:lumOff val="-11765"/>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16</Pages>
  <Words>3464</Words>
  <Characters>19751</Characters>
  <Application>Microsoft Office Word</Application>
  <DocSecurity>0</DocSecurity>
  <Lines>164</Lines>
  <Paragraphs>46</Paragraphs>
  <ScaleCrop>false</ScaleCrop>
  <Company/>
  <LinksUpToDate>false</LinksUpToDate>
  <CharactersWithSpaces>23169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11</cp:revision>
  <dcterms:created xsi:type="dcterms:W3CDTF">2024-05-26T20:18:00Z</dcterms:created>
  <dcterms:modified xsi:type="dcterms:W3CDTF">2024-05-27T08:33:00Z</dcterms:modified>
</cp:coreProperties>
</file>