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F60C3" w14:textId="77777777" w:rsidR="00AC6671" w:rsidRDefault="00AC6671" w:rsidP="00AC6671">
      <w:pPr>
        <w:pStyle w:val="Title"/>
        <w:spacing w:before="240" w:after="240" w:line="360" w:lineRule="auto"/>
        <w:jc w:val="center"/>
        <w:rPr>
          <w:b/>
          <w:bCs/>
          <w:sz w:val="44"/>
          <w:szCs w:val="44"/>
        </w:rPr>
      </w:pPr>
      <w:r>
        <w:rPr>
          <w:b/>
          <w:bCs/>
          <w:sz w:val="44"/>
          <w:szCs w:val="44"/>
        </w:rPr>
        <w:t xml:space="preserve">Mohammed Bilal Rehman </w:t>
      </w:r>
    </w:p>
    <w:p w14:paraId="46A44BCB" w14:textId="103D9024" w:rsidR="00AC6671" w:rsidRPr="00AC6671" w:rsidRDefault="00AC6671" w:rsidP="00AC6671">
      <w:pPr>
        <w:pStyle w:val="Title"/>
        <w:spacing w:before="240" w:after="240" w:line="360" w:lineRule="auto"/>
        <w:jc w:val="center"/>
        <w:rPr>
          <w:b/>
          <w:bCs/>
          <w:sz w:val="44"/>
          <w:szCs w:val="44"/>
        </w:rPr>
      </w:pPr>
      <w:r>
        <w:rPr>
          <w:b/>
          <w:bCs/>
          <w:sz w:val="44"/>
          <w:szCs w:val="44"/>
        </w:rPr>
        <w:t>2013508</w:t>
      </w:r>
    </w:p>
    <w:p w14:paraId="377E1387" w14:textId="2AFF8706" w:rsidR="00AC6671" w:rsidRDefault="00AC6671" w:rsidP="005E0E43">
      <w:pPr>
        <w:pStyle w:val="Title"/>
        <w:spacing w:before="240" w:after="240" w:line="360" w:lineRule="auto"/>
        <w:jc w:val="center"/>
        <w:rPr>
          <w:b/>
          <w:bCs/>
          <w:sz w:val="44"/>
          <w:szCs w:val="44"/>
        </w:rPr>
      </w:pPr>
      <w:r>
        <w:rPr>
          <w:b/>
          <w:bCs/>
          <w:sz w:val="44"/>
          <w:szCs w:val="44"/>
        </w:rPr>
        <w:t>Personnel Resourcing and Development</w:t>
      </w:r>
    </w:p>
    <w:p w14:paraId="327C7B48" w14:textId="77777777" w:rsidR="00AC6671" w:rsidRDefault="00AC6671" w:rsidP="005E0E43">
      <w:pPr>
        <w:pStyle w:val="Title"/>
        <w:spacing w:before="240" w:after="240" w:line="360" w:lineRule="auto"/>
        <w:jc w:val="center"/>
        <w:rPr>
          <w:b/>
          <w:bCs/>
          <w:sz w:val="44"/>
          <w:szCs w:val="44"/>
        </w:rPr>
      </w:pPr>
    </w:p>
    <w:p w14:paraId="450B0C5C" w14:textId="27EBBE22" w:rsidR="00AC6671" w:rsidRDefault="00AC6671" w:rsidP="005E0E43">
      <w:pPr>
        <w:pStyle w:val="Title"/>
        <w:spacing w:before="240" w:after="240" w:line="360" w:lineRule="auto"/>
        <w:jc w:val="center"/>
        <w:rPr>
          <w:b/>
          <w:bCs/>
          <w:sz w:val="44"/>
          <w:szCs w:val="44"/>
        </w:rPr>
      </w:pPr>
    </w:p>
    <w:p w14:paraId="19E9E6BC" w14:textId="3D457F9B" w:rsidR="00AC6671" w:rsidRDefault="00AC6671" w:rsidP="00AC6671"/>
    <w:p w14:paraId="2E3D37D3" w14:textId="77777777" w:rsidR="00AC6671" w:rsidRPr="00AC6671" w:rsidRDefault="00AC6671" w:rsidP="00AC6671"/>
    <w:p w14:paraId="05585A5D" w14:textId="6C925671" w:rsidR="005E0E43" w:rsidRPr="00AC6671" w:rsidRDefault="005E0E43" w:rsidP="005E0E43">
      <w:pPr>
        <w:pStyle w:val="Title"/>
        <w:spacing w:before="240" w:after="240" w:line="360" w:lineRule="auto"/>
        <w:jc w:val="center"/>
        <w:rPr>
          <w:sz w:val="44"/>
          <w:szCs w:val="44"/>
          <w:u w:val="single"/>
        </w:rPr>
      </w:pPr>
      <w:r w:rsidRPr="00AC6671">
        <w:rPr>
          <w:b/>
          <w:bCs/>
          <w:sz w:val="44"/>
          <w:szCs w:val="44"/>
          <w:u w:val="single"/>
        </w:rPr>
        <w:t>How to engage employees throughout the employee lifecycle</w:t>
      </w:r>
      <w:r w:rsidRPr="00AC6671">
        <w:rPr>
          <w:sz w:val="44"/>
          <w:szCs w:val="44"/>
          <w:u w:val="single"/>
        </w:rPr>
        <w:br w:type="page"/>
      </w:r>
    </w:p>
    <w:p w14:paraId="11333924" w14:textId="23711D0E" w:rsidR="005E0E43" w:rsidRPr="005E0E43" w:rsidRDefault="005E0E43"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lastRenderedPageBreak/>
        <w:t>Employee engagement is an important aspect of a successful workplace, and the role of the human resources department in this process is crucial. The employee lifecycle in Hilton Hotel includes stages from recruitment and hiring to exit, and each stage provides an opportunity for the HR department to engage employees and support their growth and development. A commonly used model for employee engagement is the four-factor model, which consists of meaningful work, involvement and influence, relationships and support, and growth and development</w:t>
      </w:r>
      <w:r w:rsidR="001908E3" w:rsidRPr="001908E3">
        <w:t xml:space="preserve"> </w:t>
      </w:r>
      <w:r w:rsidR="001908E3">
        <w:t>(</w:t>
      </w:r>
      <w:r w:rsidR="001908E3" w:rsidRPr="001908E3">
        <w:rPr>
          <w:rFonts w:asciiTheme="majorBidi" w:hAnsiTheme="majorBidi" w:cstheme="majorBidi"/>
          <w:sz w:val="24"/>
          <w:szCs w:val="24"/>
        </w:rPr>
        <w:t>Markos</w:t>
      </w:r>
      <w:r w:rsidR="001908E3">
        <w:rPr>
          <w:rFonts w:asciiTheme="majorBidi" w:hAnsiTheme="majorBidi" w:cstheme="majorBidi"/>
          <w:sz w:val="24"/>
          <w:szCs w:val="24"/>
        </w:rPr>
        <w:t xml:space="preserve"> </w:t>
      </w:r>
      <w:r w:rsidR="001908E3" w:rsidRPr="001908E3">
        <w:rPr>
          <w:rFonts w:asciiTheme="majorBidi" w:hAnsiTheme="majorBidi" w:cstheme="majorBidi"/>
          <w:sz w:val="24"/>
          <w:szCs w:val="24"/>
        </w:rPr>
        <w:t>and Sridevi, 2020</w:t>
      </w:r>
      <w:r w:rsidR="001908E3">
        <w:rPr>
          <w:rFonts w:asciiTheme="majorBidi" w:hAnsiTheme="majorBidi" w:cstheme="majorBidi"/>
          <w:sz w:val="24"/>
          <w:szCs w:val="24"/>
        </w:rPr>
        <w:t>)</w:t>
      </w:r>
      <w:r w:rsidRPr="005E0E43">
        <w:rPr>
          <w:rFonts w:asciiTheme="majorBidi" w:hAnsiTheme="majorBidi" w:cstheme="majorBidi"/>
          <w:sz w:val="24"/>
          <w:szCs w:val="24"/>
        </w:rPr>
        <w:t>.</w:t>
      </w:r>
    </w:p>
    <w:p w14:paraId="7832E014" w14:textId="7C2537F3"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The Human Resource (HR) department plays a critical role in engaging employees throughout the employee lifecycle in a large hotel such as Hilton. In order to engage employees, Hilton’s HR department must employ a variety of strategies and initiatives, including:</w:t>
      </w:r>
    </w:p>
    <w:p w14:paraId="6056821D" w14:textId="6720A223"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Recruitment and Onboarding: Hilton’s HR department should ensure that the recruitment process is effective and efficient, with a strong emphasis on finding the right fit for the job and the company culture. Once an employee is hired, the HR department should provide a comprehensive onboarding program to help the new hire feel welcome and acclimated to the company</w:t>
      </w:r>
      <w:r w:rsidR="00E22635">
        <w:rPr>
          <w:rFonts w:asciiTheme="majorBidi" w:hAnsiTheme="majorBidi" w:cstheme="majorBidi"/>
          <w:sz w:val="24"/>
          <w:szCs w:val="24"/>
        </w:rPr>
        <w:t xml:space="preserve"> </w:t>
      </w:r>
      <w:r w:rsidR="00E22635" w:rsidRPr="00E22635">
        <w:rPr>
          <w:rFonts w:asciiTheme="majorBidi" w:hAnsiTheme="majorBidi" w:cstheme="majorBidi"/>
          <w:sz w:val="24"/>
          <w:szCs w:val="24"/>
        </w:rPr>
        <w:t>(</w:t>
      </w:r>
      <w:proofErr w:type="spellStart"/>
      <w:r w:rsidR="00E22635" w:rsidRPr="00E22635">
        <w:rPr>
          <w:rFonts w:asciiTheme="majorBidi" w:hAnsiTheme="majorBidi" w:cstheme="majorBidi"/>
          <w:sz w:val="24"/>
          <w:szCs w:val="24"/>
        </w:rPr>
        <w:t>Verive</w:t>
      </w:r>
      <w:proofErr w:type="spellEnd"/>
      <w:r w:rsidR="00E22635" w:rsidRPr="00E22635">
        <w:rPr>
          <w:rFonts w:asciiTheme="majorBidi" w:hAnsiTheme="majorBidi" w:cstheme="majorBidi"/>
          <w:sz w:val="24"/>
          <w:szCs w:val="24"/>
        </w:rPr>
        <w:t xml:space="preserve"> and DeLay, 2016)</w:t>
      </w:r>
      <w:r w:rsidRPr="005E0E43">
        <w:rPr>
          <w:rFonts w:asciiTheme="majorBidi" w:hAnsiTheme="majorBidi" w:cstheme="majorBidi"/>
          <w:sz w:val="24"/>
          <w:szCs w:val="24"/>
        </w:rPr>
        <w:t>.</w:t>
      </w:r>
    </w:p>
    <w:p w14:paraId="7FB4B923" w14:textId="7979DDA4"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Training and Development: Hilton should offer regular training opportunities to help employees develop their skills and knowledge. This can include on-the-job training, workshops, and courses. Hilton should also invest in leadership development programs for managers and high-potential employees to help them grow and advance within the company</w:t>
      </w:r>
      <w:r w:rsidR="00E22635">
        <w:rPr>
          <w:rFonts w:asciiTheme="majorBidi" w:hAnsiTheme="majorBidi" w:cstheme="majorBidi"/>
          <w:sz w:val="24"/>
          <w:szCs w:val="24"/>
        </w:rPr>
        <w:t xml:space="preserve"> </w:t>
      </w:r>
      <w:r w:rsidR="00E22635" w:rsidRPr="00E22635">
        <w:rPr>
          <w:rFonts w:asciiTheme="majorBidi" w:hAnsiTheme="majorBidi" w:cstheme="majorBidi"/>
          <w:sz w:val="24"/>
          <w:szCs w:val="24"/>
        </w:rPr>
        <w:t>(</w:t>
      </w:r>
      <w:proofErr w:type="spellStart"/>
      <w:r w:rsidR="00E22635" w:rsidRPr="00E22635">
        <w:rPr>
          <w:rFonts w:asciiTheme="majorBidi" w:hAnsiTheme="majorBidi" w:cstheme="majorBidi"/>
          <w:sz w:val="24"/>
          <w:szCs w:val="24"/>
        </w:rPr>
        <w:t>Rosethorn</w:t>
      </w:r>
      <w:proofErr w:type="spellEnd"/>
      <w:r w:rsidR="00E22635" w:rsidRPr="00E22635">
        <w:rPr>
          <w:rFonts w:asciiTheme="majorBidi" w:hAnsiTheme="majorBidi" w:cstheme="majorBidi"/>
          <w:sz w:val="24"/>
          <w:szCs w:val="24"/>
        </w:rPr>
        <w:t>, 2019)</w:t>
      </w:r>
      <w:r w:rsidRPr="005E0E43">
        <w:rPr>
          <w:rFonts w:asciiTheme="majorBidi" w:hAnsiTheme="majorBidi" w:cstheme="majorBidi"/>
          <w:sz w:val="24"/>
          <w:szCs w:val="24"/>
        </w:rPr>
        <w:t>.</w:t>
      </w:r>
    </w:p>
    <w:p w14:paraId="5BE3EE1F" w14:textId="77A2D1C2"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Performance Management: Hilton’s HR department should have a performance management system in place that allows for regular feedback and coaching from managers. This helps employees understand their strengths and weaknesses</w:t>
      </w:r>
      <w:r w:rsidR="00E22635">
        <w:rPr>
          <w:rFonts w:asciiTheme="majorBidi" w:hAnsiTheme="majorBidi" w:cstheme="majorBidi"/>
          <w:sz w:val="24"/>
          <w:szCs w:val="24"/>
        </w:rPr>
        <w:t xml:space="preserve"> </w:t>
      </w:r>
      <w:r w:rsidRPr="005E0E43">
        <w:rPr>
          <w:rFonts w:asciiTheme="majorBidi" w:hAnsiTheme="majorBidi" w:cstheme="majorBidi"/>
          <w:sz w:val="24"/>
          <w:szCs w:val="24"/>
        </w:rPr>
        <w:t>and provides them with opportunities to improve and grow</w:t>
      </w:r>
      <w:r w:rsidR="00E22635">
        <w:rPr>
          <w:rFonts w:asciiTheme="majorBidi" w:hAnsiTheme="majorBidi" w:cstheme="majorBidi"/>
          <w:sz w:val="24"/>
          <w:szCs w:val="24"/>
        </w:rPr>
        <w:t xml:space="preserve"> </w:t>
      </w:r>
      <w:r w:rsidR="00E22635" w:rsidRPr="00E22635">
        <w:rPr>
          <w:rFonts w:asciiTheme="majorBidi" w:hAnsiTheme="majorBidi" w:cstheme="majorBidi"/>
          <w:sz w:val="24"/>
          <w:szCs w:val="24"/>
        </w:rPr>
        <w:t>(Dorsey, 2019)</w:t>
      </w:r>
      <w:r w:rsidRPr="005E0E43">
        <w:rPr>
          <w:rFonts w:asciiTheme="majorBidi" w:hAnsiTheme="majorBidi" w:cstheme="majorBidi"/>
          <w:sz w:val="24"/>
          <w:szCs w:val="24"/>
        </w:rPr>
        <w:t>.</w:t>
      </w:r>
    </w:p>
    <w:p w14:paraId="5232F89F" w14:textId="35A95F3C"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Rewards and Recognition: Hilton should have a rewards and recognition program in place to acknowledge and reward employees for their achievements and contributions to the company. This can include formal awards programs, bonuses, and promotions</w:t>
      </w:r>
      <w:r w:rsidR="00E22635">
        <w:rPr>
          <w:rFonts w:asciiTheme="majorBidi" w:hAnsiTheme="majorBidi" w:cstheme="majorBidi"/>
          <w:sz w:val="24"/>
          <w:szCs w:val="24"/>
        </w:rPr>
        <w:t xml:space="preserve"> </w:t>
      </w:r>
      <w:r w:rsidR="00E22635" w:rsidRPr="00E22635">
        <w:rPr>
          <w:rFonts w:asciiTheme="majorBidi" w:hAnsiTheme="majorBidi" w:cstheme="majorBidi"/>
          <w:sz w:val="24"/>
          <w:szCs w:val="24"/>
        </w:rPr>
        <w:t>(</w:t>
      </w:r>
      <w:proofErr w:type="spellStart"/>
      <w:r w:rsidR="00E22635" w:rsidRPr="00E22635">
        <w:rPr>
          <w:rFonts w:asciiTheme="majorBidi" w:hAnsiTheme="majorBidi" w:cstheme="majorBidi"/>
          <w:sz w:val="24"/>
          <w:szCs w:val="24"/>
        </w:rPr>
        <w:t>Shambi</w:t>
      </w:r>
      <w:proofErr w:type="spellEnd"/>
      <w:r w:rsidR="00E22635" w:rsidRPr="00E22635">
        <w:rPr>
          <w:rFonts w:asciiTheme="majorBidi" w:hAnsiTheme="majorBidi" w:cstheme="majorBidi"/>
          <w:sz w:val="24"/>
          <w:szCs w:val="24"/>
        </w:rPr>
        <w:t>, 2021)</w:t>
      </w:r>
      <w:r w:rsidRPr="005E0E43">
        <w:rPr>
          <w:rFonts w:asciiTheme="majorBidi" w:hAnsiTheme="majorBidi" w:cstheme="majorBidi"/>
          <w:sz w:val="24"/>
          <w:szCs w:val="24"/>
        </w:rPr>
        <w:t>.</w:t>
      </w:r>
    </w:p>
    <w:p w14:paraId="0878D20B" w14:textId="77777777" w:rsidR="009106F8" w:rsidRPr="005E0E43" w:rsidRDefault="009106F8" w:rsidP="005E0E43">
      <w:pPr>
        <w:spacing w:before="240" w:after="240" w:line="360" w:lineRule="auto"/>
        <w:jc w:val="both"/>
        <w:rPr>
          <w:rFonts w:asciiTheme="majorBidi" w:hAnsiTheme="majorBidi" w:cstheme="majorBidi"/>
          <w:sz w:val="24"/>
          <w:szCs w:val="24"/>
        </w:rPr>
      </w:pPr>
    </w:p>
    <w:p w14:paraId="18190EA4" w14:textId="6F76D043"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lastRenderedPageBreak/>
        <w:t>Work-Life Balance: Hilton should provide flexible work arrangements and time-off policies to help employees balance their work and personal lives. This can include flexible schedules, telecommuting, and paid time off</w:t>
      </w:r>
      <w:r w:rsidR="00E22635">
        <w:rPr>
          <w:rFonts w:asciiTheme="majorBidi" w:hAnsiTheme="majorBidi" w:cstheme="majorBidi"/>
          <w:sz w:val="24"/>
          <w:szCs w:val="24"/>
        </w:rPr>
        <w:t xml:space="preserve"> </w:t>
      </w:r>
      <w:r w:rsidR="00E22635" w:rsidRPr="00E22635">
        <w:rPr>
          <w:rFonts w:asciiTheme="majorBidi" w:hAnsiTheme="majorBidi" w:cstheme="majorBidi"/>
          <w:sz w:val="24"/>
          <w:szCs w:val="24"/>
        </w:rPr>
        <w:t>(Cattermole, 2019)</w:t>
      </w:r>
      <w:r w:rsidRPr="005E0E43">
        <w:rPr>
          <w:rFonts w:asciiTheme="majorBidi" w:hAnsiTheme="majorBidi" w:cstheme="majorBidi"/>
          <w:sz w:val="24"/>
          <w:szCs w:val="24"/>
        </w:rPr>
        <w:t>.</w:t>
      </w:r>
    </w:p>
    <w:p w14:paraId="5EFA3EAD" w14:textId="2BAFCE0D"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Employee Engagement Surveys: Hilton’s HR department should regularly conduct employee engagement surveys to gather feedback from employees on a variety of topics, such as their job satisfaction, morale, and overall engagement. This information can be used to make changes and improvements that will enhance the employee experience</w:t>
      </w:r>
      <w:r w:rsidR="00E22635">
        <w:rPr>
          <w:rFonts w:asciiTheme="majorBidi" w:hAnsiTheme="majorBidi" w:cstheme="majorBidi"/>
          <w:sz w:val="24"/>
          <w:szCs w:val="24"/>
        </w:rPr>
        <w:t xml:space="preserve"> </w:t>
      </w:r>
      <w:r w:rsidR="00E22635" w:rsidRPr="00E22635">
        <w:rPr>
          <w:rFonts w:asciiTheme="majorBidi" w:hAnsiTheme="majorBidi" w:cstheme="majorBidi"/>
          <w:sz w:val="24"/>
          <w:szCs w:val="24"/>
        </w:rPr>
        <w:t>(Singh, 2019)</w:t>
      </w:r>
      <w:r w:rsidRPr="005E0E43">
        <w:rPr>
          <w:rFonts w:asciiTheme="majorBidi" w:hAnsiTheme="majorBidi" w:cstheme="majorBidi"/>
          <w:sz w:val="24"/>
          <w:szCs w:val="24"/>
        </w:rPr>
        <w:t>.</w:t>
      </w:r>
    </w:p>
    <w:p w14:paraId="56F41B97" w14:textId="6AE695D5" w:rsidR="005E0E43"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Overall, Hilton’s HR department should employ a comprehensive approach to employee engagement that includes effective recruitment and onboarding, training and development, performance management, rewards and recognition, work-life balance, and employee engagement surveys. By taking a holistic approach to employee engagement, Hilton can create a positive and supportive workplace that attracts and retains top talent</w:t>
      </w:r>
      <w:r w:rsidR="00E22635">
        <w:rPr>
          <w:rFonts w:asciiTheme="majorBidi" w:hAnsiTheme="majorBidi" w:cstheme="majorBidi"/>
          <w:sz w:val="24"/>
          <w:szCs w:val="24"/>
        </w:rPr>
        <w:t xml:space="preserve"> </w:t>
      </w:r>
      <w:r w:rsidR="00E22635" w:rsidRPr="00E22635">
        <w:rPr>
          <w:rFonts w:asciiTheme="majorBidi" w:hAnsiTheme="majorBidi" w:cstheme="majorBidi"/>
          <w:sz w:val="24"/>
          <w:szCs w:val="24"/>
        </w:rPr>
        <w:t>(Schwartz et al., 2019)</w:t>
      </w:r>
      <w:r w:rsidRPr="005E0E43">
        <w:rPr>
          <w:rFonts w:asciiTheme="majorBidi" w:hAnsiTheme="majorBidi" w:cstheme="majorBidi"/>
          <w:sz w:val="24"/>
          <w:szCs w:val="24"/>
        </w:rPr>
        <w:t>.</w:t>
      </w:r>
    </w:p>
    <w:p w14:paraId="134E95A8" w14:textId="6DD341D3"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The role of Human Resources (HR) in engaging employees in Hilton Hotel is critical. The HR department is responsible for creating and implementing programs and initiatives that promote employee engagement and satisfaction. Some of the key responsibilities of HR in engaging employees at Hilton include:</w:t>
      </w:r>
    </w:p>
    <w:p w14:paraId="6E0D72F3" w14:textId="10BB8D69"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Recruitment and Onboarding: HR is responsible for attracting and hiring the right employees for the hotel. This includes creating effective job descriptions, conducting interviews, and providing a comprehensive onboarding program to help new hires adjust to the company culture and work environment</w:t>
      </w:r>
      <w:r w:rsidR="00E22635">
        <w:rPr>
          <w:rFonts w:asciiTheme="majorBidi" w:hAnsiTheme="majorBidi" w:cstheme="majorBidi"/>
          <w:sz w:val="24"/>
          <w:szCs w:val="24"/>
        </w:rPr>
        <w:t xml:space="preserve"> </w:t>
      </w:r>
      <w:r w:rsidR="00E22635" w:rsidRPr="00E22635">
        <w:rPr>
          <w:rFonts w:asciiTheme="majorBidi" w:hAnsiTheme="majorBidi" w:cstheme="majorBidi"/>
          <w:sz w:val="24"/>
          <w:szCs w:val="24"/>
        </w:rPr>
        <w:t>(Kwon and Park 2019)</w:t>
      </w:r>
      <w:r w:rsidRPr="005E0E43">
        <w:rPr>
          <w:rFonts w:asciiTheme="majorBidi" w:hAnsiTheme="majorBidi" w:cstheme="majorBidi"/>
          <w:sz w:val="24"/>
          <w:szCs w:val="24"/>
        </w:rPr>
        <w:t>.</w:t>
      </w:r>
    </w:p>
    <w:p w14:paraId="32B2E506" w14:textId="3EA598D1"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Training and Development: HR is responsible for developing and implementing training programs that help employees grow and develop their skills. This includes offering ongoing training opportunities, workshops, and courses, as well as leadership development programs for managers and high-potential employees</w:t>
      </w:r>
      <w:r w:rsidR="00E22635">
        <w:rPr>
          <w:rFonts w:asciiTheme="majorBidi" w:hAnsiTheme="majorBidi" w:cstheme="majorBidi"/>
          <w:sz w:val="24"/>
          <w:szCs w:val="24"/>
        </w:rPr>
        <w:t xml:space="preserve"> </w:t>
      </w:r>
      <w:r w:rsidR="00E22635" w:rsidRPr="00E22635">
        <w:rPr>
          <w:rFonts w:asciiTheme="majorBidi" w:hAnsiTheme="majorBidi" w:cstheme="majorBidi"/>
          <w:sz w:val="24"/>
          <w:szCs w:val="24"/>
        </w:rPr>
        <w:t>(</w:t>
      </w:r>
      <w:proofErr w:type="spellStart"/>
      <w:r w:rsidR="00E22635" w:rsidRPr="00E22635">
        <w:rPr>
          <w:rFonts w:asciiTheme="majorBidi" w:hAnsiTheme="majorBidi" w:cstheme="majorBidi"/>
          <w:sz w:val="24"/>
          <w:szCs w:val="24"/>
        </w:rPr>
        <w:t>Kooij</w:t>
      </w:r>
      <w:proofErr w:type="spellEnd"/>
      <w:r w:rsidR="00E22635" w:rsidRPr="00E22635">
        <w:rPr>
          <w:rFonts w:asciiTheme="majorBidi" w:hAnsiTheme="majorBidi" w:cstheme="majorBidi"/>
          <w:sz w:val="24"/>
          <w:szCs w:val="24"/>
        </w:rPr>
        <w:t xml:space="preserve"> and </w:t>
      </w:r>
      <w:proofErr w:type="spellStart"/>
      <w:r w:rsidR="00E22635" w:rsidRPr="00E22635">
        <w:rPr>
          <w:rFonts w:asciiTheme="majorBidi" w:hAnsiTheme="majorBidi" w:cstheme="majorBidi"/>
          <w:sz w:val="24"/>
          <w:szCs w:val="24"/>
        </w:rPr>
        <w:t>Kanfer</w:t>
      </w:r>
      <w:proofErr w:type="spellEnd"/>
      <w:r w:rsidR="00E22635" w:rsidRPr="00E22635">
        <w:rPr>
          <w:rFonts w:asciiTheme="majorBidi" w:hAnsiTheme="majorBidi" w:cstheme="majorBidi"/>
          <w:sz w:val="24"/>
          <w:szCs w:val="24"/>
        </w:rPr>
        <w:t xml:space="preserve"> 2019)</w:t>
      </w:r>
      <w:r w:rsidRPr="005E0E43">
        <w:rPr>
          <w:rFonts w:asciiTheme="majorBidi" w:hAnsiTheme="majorBidi" w:cstheme="majorBidi"/>
          <w:sz w:val="24"/>
          <w:szCs w:val="24"/>
        </w:rPr>
        <w:t>.</w:t>
      </w:r>
    </w:p>
    <w:p w14:paraId="31B4F0CC" w14:textId="728F34DB"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 xml:space="preserve">Performance Management: HR is responsible for overseeing the performance management system at Hilton, which includes setting performance goals, providing regular feedback and coaching, and conducting performance evaluations. This helps employees understand their strengths and </w:t>
      </w:r>
      <w:r w:rsidR="005E0E43" w:rsidRPr="005E0E43">
        <w:rPr>
          <w:rFonts w:asciiTheme="majorBidi" w:hAnsiTheme="majorBidi" w:cstheme="majorBidi"/>
          <w:sz w:val="24"/>
          <w:szCs w:val="24"/>
        </w:rPr>
        <w:t>weaknesses and</w:t>
      </w:r>
      <w:r w:rsidRPr="005E0E43">
        <w:rPr>
          <w:rFonts w:asciiTheme="majorBidi" w:hAnsiTheme="majorBidi" w:cstheme="majorBidi"/>
          <w:sz w:val="24"/>
          <w:szCs w:val="24"/>
        </w:rPr>
        <w:t xml:space="preserve"> provides them with opportunities to improve and grow</w:t>
      </w:r>
      <w:r w:rsidR="00E22635">
        <w:rPr>
          <w:rFonts w:asciiTheme="majorBidi" w:hAnsiTheme="majorBidi" w:cstheme="majorBidi"/>
          <w:sz w:val="24"/>
          <w:szCs w:val="24"/>
        </w:rPr>
        <w:t xml:space="preserve"> </w:t>
      </w:r>
      <w:r w:rsidR="00E22635" w:rsidRPr="00E22635">
        <w:rPr>
          <w:rFonts w:asciiTheme="majorBidi" w:hAnsiTheme="majorBidi" w:cstheme="majorBidi"/>
          <w:sz w:val="24"/>
          <w:szCs w:val="24"/>
        </w:rPr>
        <w:t>(Rana, and Sharma, 2019)</w:t>
      </w:r>
      <w:r w:rsidRPr="005E0E43">
        <w:rPr>
          <w:rFonts w:asciiTheme="majorBidi" w:hAnsiTheme="majorBidi" w:cstheme="majorBidi"/>
          <w:sz w:val="24"/>
          <w:szCs w:val="24"/>
        </w:rPr>
        <w:t>.</w:t>
      </w:r>
    </w:p>
    <w:p w14:paraId="16CEF9D3" w14:textId="097CDF31"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lastRenderedPageBreak/>
        <w:t>Rewards and Recognition: HR is responsible for designing and implementing a rewards and recognition program that acknowledges and rewards employees for their achievements and contributions to the company. This can include formal awards programs, bonuses, and promotions</w:t>
      </w:r>
      <w:r w:rsidR="00E22635">
        <w:rPr>
          <w:rFonts w:asciiTheme="majorBidi" w:hAnsiTheme="majorBidi" w:cstheme="majorBidi"/>
          <w:sz w:val="24"/>
          <w:szCs w:val="24"/>
        </w:rPr>
        <w:t xml:space="preserve"> </w:t>
      </w:r>
      <w:r w:rsidR="00E22635" w:rsidRPr="00E22635">
        <w:rPr>
          <w:rFonts w:asciiTheme="majorBidi" w:hAnsiTheme="majorBidi" w:cstheme="majorBidi"/>
          <w:sz w:val="24"/>
          <w:szCs w:val="24"/>
        </w:rPr>
        <w:t xml:space="preserve">(Shane and </w:t>
      </w:r>
      <w:proofErr w:type="spellStart"/>
      <w:r w:rsidR="00E22635" w:rsidRPr="00E22635">
        <w:rPr>
          <w:rFonts w:asciiTheme="majorBidi" w:hAnsiTheme="majorBidi" w:cstheme="majorBidi"/>
          <w:sz w:val="24"/>
          <w:szCs w:val="24"/>
        </w:rPr>
        <w:t>Heckhausen</w:t>
      </w:r>
      <w:proofErr w:type="spellEnd"/>
      <w:r w:rsidR="00E22635" w:rsidRPr="00E22635">
        <w:rPr>
          <w:rFonts w:asciiTheme="majorBidi" w:hAnsiTheme="majorBidi" w:cstheme="majorBidi"/>
          <w:sz w:val="24"/>
          <w:szCs w:val="24"/>
        </w:rPr>
        <w:t>, 2019)</w:t>
      </w:r>
      <w:r w:rsidRPr="005E0E43">
        <w:rPr>
          <w:rFonts w:asciiTheme="majorBidi" w:hAnsiTheme="majorBidi" w:cstheme="majorBidi"/>
          <w:sz w:val="24"/>
          <w:szCs w:val="24"/>
        </w:rPr>
        <w:t>.</w:t>
      </w:r>
    </w:p>
    <w:p w14:paraId="0DA51808" w14:textId="43763241"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Employee Engagement Surveys: HR is responsible for conducting regular employee engagement surveys to gather feedback from employees on a variety of topics, such as their job satisfaction, morale, and overall engagement. This information can be used to make changes and improvements that will enhance the employee experience</w:t>
      </w:r>
      <w:r w:rsidR="00E22635">
        <w:rPr>
          <w:rFonts w:asciiTheme="majorBidi" w:hAnsiTheme="majorBidi" w:cstheme="majorBidi"/>
          <w:sz w:val="24"/>
          <w:szCs w:val="24"/>
        </w:rPr>
        <w:t xml:space="preserve"> </w:t>
      </w:r>
      <w:r w:rsidR="00E22635" w:rsidRPr="00E22635">
        <w:rPr>
          <w:rFonts w:asciiTheme="majorBidi" w:hAnsiTheme="majorBidi" w:cstheme="majorBidi"/>
          <w:sz w:val="24"/>
          <w:szCs w:val="24"/>
        </w:rPr>
        <w:t>(Xie et al., 2020)</w:t>
      </w:r>
      <w:r w:rsidRPr="005E0E43">
        <w:rPr>
          <w:rFonts w:asciiTheme="majorBidi" w:hAnsiTheme="majorBidi" w:cstheme="majorBidi"/>
          <w:sz w:val="24"/>
          <w:szCs w:val="24"/>
        </w:rPr>
        <w:t>.</w:t>
      </w:r>
    </w:p>
    <w:p w14:paraId="01BABABC" w14:textId="29D227B1"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Employee Relations: HR is responsible for managing employee relations and resolving any conflicts or issues that may arise. This includes addressing complaints, handling disputes, and mediating conflicts</w:t>
      </w:r>
      <w:r w:rsidR="00E22635">
        <w:rPr>
          <w:rFonts w:asciiTheme="majorBidi" w:hAnsiTheme="majorBidi" w:cstheme="majorBidi"/>
          <w:sz w:val="24"/>
          <w:szCs w:val="24"/>
        </w:rPr>
        <w:t xml:space="preserve"> </w:t>
      </w:r>
      <w:r w:rsidR="00E22635" w:rsidRPr="00E22635">
        <w:rPr>
          <w:rFonts w:asciiTheme="majorBidi" w:hAnsiTheme="majorBidi" w:cstheme="majorBidi"/>
          <w:sz w:val="24"/>
          <w:szCs w:val="24"/>
        </w:rPr>
        <w:t>(Nayal et al., 2022)</w:t>
      </w:r>
      <w:r w:rsidRPr="005E0E43">
        <w:rPr>
          <w:rFonts w:asciiTheme="majorBidi" w:hAnsiTheme="majorBidi" w:cstheme="majorBidi"/>
          <w:sz w:val="24"/>
          <w:szCs w:val="24"/>
        </w:rPr>
        <w:t>.</w:t>
      </w:r>
    </w:p>
    <w:p w14:paraId="5596B871" w14:textId="12F01A9C" w:rsidR="009106F8" w:rsidRPr="005E0E43" w:rsidRDefault="005E0E43" w:rsidP="005E0E43">
      <w:pPr>
        <w:spacing w:before="240" w:after="240" w:line="360" w:lineRule="auto"/>
        <w:jc w:val="both"/>
        <w:rPr>
          <w:rFonts w:asciiTheme="majorBidi" w:hAnsiTheme="majorBidi" w:cstheme="majorBidi"/>
          <w:sz w:val="24"/>
          <w:szCs w:val="24"/>
        </w:rPr>
      </w:pPr>
      <w:r>
        <w:rPr>
          <w:rFonts w:asciiTheme="majorBidi" w:hAnsiTheme="majorBidi" w:cstheme="majorBidi"/>
          <w:sz w:val="24"/>
          <w:szCs w:val="24"/>
        </w:rPr>
        <w:t>T</w:t>
      </w:r>
      <w:r w:rsidR="009106F8" w:rsidRPr="005E0E43">
        <w:rPr>
          <w:rFonts w:asciiTheme="majorBidi" w:hAnsiTheme="majorBidi" w:cstheme="majorBidi"/>
          <w:sz w:val="24"/>
          <w:szCs w:val="24"/>
        </w:rPr>
        <w:t>he role of HR in engaging employees at Hilton Hotel is multi-faceted and critical to the success of the company. By focusing on effective recruitment and onboarding, training and development, performance management, rewards and recognition, employee engagement surveys, and employee relations, HR can create a positive and supportive workplace that attracts and retains top talent</w:t>
      </w:r>
      <w:r w:rsidR="00E22635">
        <w:rPr>
          <w:rFonts w:asciiTheme="majorBidi" w:hAnsiTheme="majorBidi" w:cstheme="majorBidi"/>
          <w:sz w:val="24"/>
          <w:szCs w:val="24"/>
        </w:rPr>
        <w:t xml:space="preserve"> </w:t>
      </w:r>
      <w:r w:rsidR="00E22635" w:rsidRPr="00E22635">
        <w:rPr>
          <w:rFonts w:asciiTheme="majorBidi" w:hAnsiTheme="majorBidi" w:cstheme="majorBidi"/>
          <w:sz w:val="24"/>
          <w:szCs w:val="24"/>
        </w:rPr>
        <w:t>(Malik et al., 2020)</w:t>
      </w:r>
      <w:r w:rsidR="009106F8" w:rsidRPr="005E0E43">
        <w:rPr>
          <w:rFonts w:asciiTheme="majorBidi" w:hAnsiTheme="majorBidi" w:cstheme="majorBidi"/>
          <w:sz w:val="24"/>
          <w:szCs w:val="24"/>
        </w:rPr>
        <w:t>.</w:t>
      </w:r>
    </w:p>
    <w:p w14:paraId="2EAB7C6A" w14:textId="01D557A0"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Engaging a team involves creating a positive and supportive work environment where employees feel valued, respected, and motivated to do their best. There are several strategies and initiatives that organizations can use to engage their teams, including:</w:t>
      </w:r>
    </w:p>
    <w:p w14:paraId="7BE4ED07" w14:textId="7D83D37A"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Clear Communication: Encourage open and transparent communication between team members and management. Regular team meetings, one-on-one discussions, and feedback sessions can help build trust and foster a positive work culture</w:t>
      </w:r>
      <w:r w:rsidR="00033CB4">
        <w:rPr>
          <w:rFonts w:asciiTheme="majorBidi" w:hAnsiTheme="majorBidi" w:cstheme="majorBidi"/>
          <w:sz w:val="24"/>
          <w:szCs w:val="24"/>
        </w:rPr>
        <w:t xml:space="preserve"> </w:t>
      </w:r>
      <w:r w:rsidR="00033CB4" w:rsidRPr="00033CB4">
        <w:rPr>
          <w:rFonts w:asciiTheme="majorBidi" w:hAnsiTheme="majorBidi" w:cstheme="majorBidi"/>
          <w:sz w:val="24"/>
          <w:szCs w:val="24"/>
        </w:rPr>
        <w:t>(</w:t>
      </w:r>
      <w:proofErr w:type="spellStart"/>
      <w:r w:rsidR="00033CB4" w:rsidRPr="00033CB4">
        <w:rPr>
          <w:rFonts w:asciiTheme="majorBidi" w:hAnsiTheme="majorBidi" w:cstheme="majorBidi"/>
          <w:sz w:val="24"/>
          <w:szCs w:val="24"/>
        </w:rPr>
        <w:t>Adikaram</w:t>
      </w:r>
      <w:proofErr w:type="spellEnd"/>
      <w:r w:rsidR="00033CB4" w:rsidRPr="00033CB4">
        <w:rPr>
          <w:rFonts w:asciiTheme="majorBidi" w:hAnsiTheme="majorBidi" w:cstheme="majorBidi"/>
          <w:sz w:val="24"/>
          <w:szCs w:val="24"/>
        </w:rPr>
        <w:t xml:space="preserve"> et al., 2021)</w:t>
      </w:r>
      <w:r w:rsidRPr="005E0E43">
        <w:rPr>
          <w:rFonts w:asciiTheme="majorBidi" w:hAnsiTheme="majorBidi" w:cstheme="majorBidi"/>
          <w:sz w:val="24"/>
          <w:szCs w:val="24"/>
        </w:rPr>
        <w:t>.</w:t>
      </w:r>
    </w:p>
    <w:p w14:paraId="1866133E" w14:textId="716E7B71"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Employee Involvement: Involve employees in decision-making processes and allow them to provide input on key issues affecting the team. This gives employees a sense of ownership and responsibility, and helps build their commitment to the organization</w:t>
      </w:r>
      <w:r w:rsidR="007A515A">
        <w:rPr>
          <w:rFonts w:asciiTheme="majorBidi" w:hAnsiTheme="majorBidi" w:cstheme="majorBidi"/>
          <w:sz w:val="24"/>
          <w:szCs w:val="24"/>
        </w:rPr>
        <w:t xml:space="preserve"> </w:t>
      </w:r>
      <w:r w:rsidR="007A515A" w:rsidRPr="007A515A">
        <w:rPr>
          <w:rFonts w:asciiTheme="majorBidi" w:hAnsiTheme="majorBidi" w:cstheme="majorBidi"/>
          <w:sz w:val="24"/>
          <w:szCs w:val="24"/>
        </w:rPr>
        <w:t>(</w:t>
      </w:r>
      <w:proofErr w:type="spellStart"/>
      <w:r w:rsidR="007A515A" w:rsidRPr="007A515A">
        <w:rPr>
          <w:rFonts w:asciiTheme="majorBidi" w:hAnsiTheme="majorBidi" w:cstheme="majorBidi"/>
          <w:sz w:val="24"/>
          <w:szCs w:val="24"/>
        </w:rPr>
        <w:t>Verive</w:t>
      </w:r>
      <w:proofErr w:type="spellEnd"/>
      <w:r w:rsidR="007A515A" w:rsidRPr="007A515A">
        <w:rPr>
          <w:rFonts w:asciiTheme="majorBidi" w:hAnsiTheme="majorBidi" w:cstheme="majorBidi"/>
          <w:sz w:val="24"/>
          <w:szCs w:val="24"/>
        </w:rPr>
        <w:t xml:space="preserve"> and DeLay, 2016)</w:t>
      </w:r>
      <w:r w:rsidRPr="005E0E43">
        <w:rPr>
          <w:rFonts w:asciiTheme="majorBidi" w:hAnsiTheme="majorBidi" w:cstheme="majorBidi"/>
          <w:sz w:val="24"/>
          <w:szCs w:val="24"/>
        </w:rPr>
        <w:t>.</w:t>
      </w:r>
    </w:p>
    <w:p w14:paraId="1EFCE201" w14:textId="77777777" w:rsidR="009106F8" w:rsidRPr="005E0E43" w:rsidRDefault="009106F8" w:rsidP="005E0E43">
      <w:pPr>
        <w:spacing w:before="240" w:after="240" w:line="360" w:lineRule="auto"/>
        <w:jc w:val="both"/>
        <w:rPr>
          <w:rFonts w:asciiTheme="majorBidi" w:hAnsiTheme="majorBidi" w:cstheme="majorBidi"/>
          <w:sz w:val="24"/>
          <w:szCs w:val="24"/>
        </w:rPr>
      </w:pPr>
    </w:p>
    <w:p w14:paraId="7F74CE3E" w14:textId="6FFA58E7"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lastRenderedPageBreak/>
        <w:t>Recognition and Rewards: Acknowledge and reward employees for their contributions and achievements. This can include formal awards programs, bonuses, and promotions, as well as informal gestures such as thank you notes and public recognition</w:t>
      </w:r>
      <w:r w:rsidR="003D0590">
        <w:rPr>
          <w:rFonts w:asciiTheme="majorBidi" w:hAnsiTheme="majorBidi" w:cstheme="majorBidi"/>
          <w:sz w:val="24"/>
          <w:szCs w:val="24"/>
        </w:rPr>
        <w:t xml:space="preserve"> </w:t>
      </w:r>
      <w:r w:rsidR="003D0590" w:rsidRPr="003D0590">
        <w:rPr>
          <w:rFonts w:asciiTheme="majorBidi" w:hAnsiTheme="majorBidi" w:cstheme="majorBidi"/>
          <w:sz w:val="24"/>
          <w:szCs w:val="24"/>
        </w:rPr>
        <w:t>(</w:t>
      </w:r>
      <w:proofErr w:type="spellStart"/>
      <w:r w:rsidR="003D0590" w:rsidRPr="003D0590">
        <w:rPr>
          <w:rFonts w:asciiTheme="majorBidi" w:hAnsiTheme="majorBidi" w:cstheme="majorBidi"/>
          <w:sz w:val="24"/>
          <w:szCs w:val="24"/>
        </w:rPr>
        <w:t>Rosethorn</w:t>
      </w:r>
      <w:proofErr w:type="spellEnd"/>
      <w:r w:rsidR="003D0590" w:rsidRPr="003D0590">
        <w:rPr>
          <w:rFonts w:asciiTheme="majorBidi" w:hAnsiTheme="majorBidi" w:cstheme="majorBidi"/>
          <w:sz w:val="24"/>
          <w:szCs w:val="24"/>
        </w:rPr>
        <w:t>, 2019)</w:t>
      </w:r>
      <w:r w:rsidRPr="005E0E43">
        <w:rPr>
          <w:rFonts w:asciiTheme="majorBidi" w:hAnsiTheme="majorBidi" w:cstheme="majorBidi"/>
          <w:sz w:val="24"/>
          <w:szCs w:val="24"/>
        </w:rPr>
        <w:t>.</w:t>
      </w:r>
    </w:p>
    <w:p w14:paraId="43CC9CF0" w14:textId="1DEB8559"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Training and Development: Offer regular training opportunities to help employees grow and develop their skills. This can include on-the-job training, workshops, and courses, as well as leadership development programs for managers and high-potential employees</w:t>
      </w:r>
      <w:r w:rsidR="000E0176">
        <w:rPr>
          <w:rFonts w:asciiTheme="majorBidi" w:hAnsiTheme="majorBidi" w:cstheme="majorBidi"/>
          <w:sz w:val="24"/>
          <w:szCs w:val="24"/>
        </w:rPr>
        <w:t xml:space="preserve"> </w:t>
      </w:r>
      <w:r w:rsidR="000E0176" w:rsidRPr="000E0176">
        <w:rPr>
          <w:rFonts w:asciiTheme="majorBidi" w:hAnsiTheme="majorBidi" w:cstheme="majorBidi"/>
          <w:sz w:val="24"/>
          <w:szCs w:val="24"/>
        </w:rPr>
        <w:t>(Dorsey, 2019)</w:t>
      </w:r>
      <w:r w:rsidRPr="005E0E43">
        <w:rPr>
          <w:rFonts w:asciiTheme="majorBidi" w:hAnsiTheme="majorBidi" w:cstheme="majorBidi"/>
          <w:sz w:val="24"/>
          <w:szCs w:val="24"/>
        </w:rPr>
        <w:t>.</w:t>
      </w:r>
    </w:p>
    <w:p w14:paraId="6A575F11" w14:textId="02452D8C"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Flexible Work Arrangements: Provide flexible work arrangements and time-off policies to help employees balance their work and personal lives. This can include flexible schedules, telecommuting, and paid time off</w:t>
      </w:r>
      <w:r w:rsidR="00E126DB">
        <w:rPr>
          <w:rFonts w:asciiTheme="majorBidi" w:hAnsiTheme="majorBidi" w:cstheme="majorBidi"/>
          <w:sz w:val="24"/>
          <w:szCs w:val="24"/>
        </w:rPr>
        <w:t xml:space="preserve"> </w:t>
      </w:r>
      <w:r w:rsidR="00E126DB" w:rsidRPr="00E126DB">
        <w:rPr>
          <w:rFonts w:asciiTheme="majorBidi" w:hAnsiTheme="majorBidi" w:cstheme="majorBidi"/>
          <w:sz w:val="24"/>
          <w:szCs w:val="24"/>
        </w:rPr>
        <w:t>(</w:t>
      </w:r>
      <w:proofErr w:type="spellStart"/>
      <w:r w:rsidR="00E126DB" w:rsidRPr="00E126DB">
        <w:rPr>
          <w:rFonts w:asciiTheme="majorBidi" w:hAnsiTheme="majorBidi" w:cstheme="majorBidi"/>
          <w:sz w:val="24"/>
          <w:szCs w:val="24"/>
        </w:rPr>
        <w:t>Shambi</w:t>
      </w:r>
      <w:proofErr w:type="spellEnd"/>
      <w:r w:rsidR="00E126DB" w:rsidRPr="00E126DB">
        <w:rPr>
          <w:rFonts w:asciiTheme="majorBidi" w:hAnsiTheme="majorBidi" w:cstheme="majorBidi"/>
          <w:sz w:val="24"/>
          <w:szCs w:val="24"/>
        </w:rPr>
        <w:t>, 2021)</w:t>
      </w:r>
      <w:r w:rsidRPr="005E0E43">
        <w:rPr>
          <w:rFonts w:asciiTheme="majorBidi" w:hAnsiTheme="majorBidi" w:cstheme="majorBidi"/>
          <w:sz w:val="24"/>
          <w:szCs w:val="24"/>
        </w:rPr>
        <w:t>.</w:t>
      </w:r>
    </w:p>
    <w:p w14:paraId="1ACAE184" w14:textId="2D40AE81"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The advantages of engaging a team include:</w:t>
      </w:r>
    </w:p>
    <w:p w14:paraId="77B64F96" w14:textId="301A4E4F"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Improved Employee Satisfaction: Engaged employees are more satisfied with their jobs, which leads to higher levels of job satisfaction, morale, and overall engagement</w:t>
      </w:r>
      <w:r w:rsidR="00E126DB">
        <w:rPr>
          <w:rFonts w:asciiTheme="majorBidi" w:hAnsiTheme="majorBidi" w:cstheme="majorBidi"/>
          <w:sz w:val="24"/>
          <w:szCs w:val="24"/>
        </w:rPr>
        <w:t xml:space="preserve"> </w:t>
      </w:r>
      <w:r w:rsidR="00E126DB" w:rsidRPr="00E126DB">
        <w:rPr>
          <w:rFonts w:asciiTheme="majorBidi" w:hAnsiTheme="majorBidi" w:cstheme="majorBidi"/>
          <w:sz w:val="24"/>
          <w:szCs w:val="24"/>
        </w:rPr>
        <w:t>(Cattermole, 2019)</w:t>
      </w:r>
      <w:r w:rsidRPr="005E0E43">
        <w:rPr>
          <w:rFonts w:asciiTheme="majorBidi" w:hAnsiTheme="majorBidi" w:cstheme="majorBidi"/>
          <w:sz w:val="24"/>
          <w:szCs w:val="24"/>
        </w:rPr>
        <w:t>.</w:t>
      </w:r>
    </w:p>
    <w:p w14:paraId="441F0615" w14:textId="320458B4"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Increased Productivity: Engaged employees are more motivated and productive, which can lead to improved efficiency, higher-quality work, and better results</w:t>
      </w:r>
      <w:r w:rsidR="00E126DB">
        <w:rPr>
          <w:rFonts w:asciiTheme="majorBidi" w:hAnsiTheme="majorBidi" w:cstheme="majorBidi"/>
          <w:sz w:val="24"/>
          <w:szCs w:val="24"/>
        </w:rPr>
        <w:t xml:space="preserve"> </w:t>
      </w:r>
      <w:r w:rsidR="001908E3">
        <w:rPr>
          <w:rFonts w:asciiTheme="majorBidi" w:hAnsiTheme="majorBidi" w:cstheme="majorBidi"/>
          <w:sz w:val="24"/>
          <w:szCs w:val="24"/>
        </w:rPr>
        <w:t>(</w:t>
      </w:r>
      <w:r w:rsidR="001908E3" w:rsidRPr="001908E3">
        <w:rPr>
          <w:rFonts w:asciiTheme="majorBidi" w:hAnsiTheme="majorBidi" w:cstheme="majorBidi"/>
          <w:sz w:val="24"/>
          <w:szCs w:val="24"/>
        </w:rPr>
        <w:t>McBain, 2017</w:t>
      </w:r>
      <w:r w:rsidR="001908E3">
        <w:rPr>
          <w:rFonts w:asciiTheme="majorBidi" w:hAnsiTheme="majorBidi" w:cstheme="majorBidi"/>
          <w:sz w:val="24"/>
          <w:szCs w:val="24"/>
        </w:rPr>
        <w:t>)</w:t>
      </w:r>
      <w:r w:rsidRPr="005E0E43">
        <w:rPr>
          <w:rFonts w:asciiTheme="majorBidi" w:hAnsiTheme="majorBidi" w:cstheme="majorBidi"/>
          <w:sz w:val="24"/>
          <w:szCs w:val="24"/>
        </w:rPr>
        <w:t>.</w:t>
      </w:r>
    </w:p>
    <w:p w14:paraId="2C479524" w14:textId="103BBDE9"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Reduced Turnover: Engaged employees are less likely to leave the organization, which can help reduce turnover and associated costs, such as recruitment and training expenses</w:t>
      </w:r>
      <w:r w:rsidR="00E126DB">
        <w:rPr>
          <w:rFonts w:asciiTheme="majorBidi" w:hAnsiTheme="majorBidi" w:cstheme="majorBidi"/>
          <w:sz w:val="24"/>
          <w:szCs w:val="24"/>
        </w:rPr>
        <w:t xml:space="preserve"> </w:t>
      </w:r>
      <w:r w:rsidR="00E126DB" w:rsidRPr="00E126DB">
        <w:rPr>
          <w:rFonts w:asciiTheme="majorBidi" w:hAnsiTheme="majorBidi" w:cstheme="majorBidi"/>
          <w:sz w:val="24"/>
          <w:szCs w:val="24"/>
        </w:rPr>
        <w:t>(Singh, 2019)</w:t>
      </w:r>
      <w:r w:rsidRPr="005E0E43">
        <w:rPr>
          <w:rFonts w:asciiTheme="majorBidi" w:hAnsiTheme="majorBidi" w:cstheme="majorBidi"/>
          <w:sz w:val="24"/>
          <w:szCs w:val="24"/>
        </w:rPr>
        <w:t>.</w:t>
      </w:r>
    </w:p>
    <w:p w14:paraId="6A73B77F" w14:textId="2D8596A6"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Enhanced Reputation: Organizations with engaged employees have a positive reputation and are more attractive to potential employees and customers</w:t>
      </w:r>
      <w:r w:rsidR="00E126DB">
        <w:rPr>
          <w:rFonts w:asciiTheme="majorBidi" w:hAnsiTheme="majorBidi" w:cstheme="majorBidi"/>
          <w:sz w:val="24"/>
          <w:szCs w:val="24"/>
        </w:rPr>
        <w:t xml:space="preserve"> </w:t>
      </w:r>
      <w:r w:rsidR="00E126DB" w:rsidRPr="00E126DB">
        <w:rPr>
          <w:rFonts w:asciiTheme="majorBidi" w:hAnsiTheme="majorBidi" w:cstheme="majorBidi"/>
          <w:sz w:val="24"/>
          <w:szCs w:val="24"/>
        </w:rPr>
        <w:t>(Singh, 2019)</w:t>
      </w:r>
      <w:r w:rsidRPr="005E0E43">
        <w:rPr>
          <w:rFonts w:asciiTheme="majorBidi" w:hAnsiTheme="majorBidi" w:cstheme="majorBidi"/>
          <w:sz w:val="24"/>
          <w:szCs w:val="24"/>
        </w:rPr>
        <w:t>.</w:t>
      </w:r>
    </w:p>
    <w:p w14:paraId="3D9B6F10" w14:textId="6E17A207" w:rsidR="009106F8"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Stronger Team Dynamics: Engaged employees have positive relationships with their colleagues, which leads to improved teamwork and collaboration, and a more positive work environment</w:t>
      </w:r>
      <w:r w:rsidR="00E126DB">
        <w:rPr>
          <w:rFonts w:asciiTheme="majorBidi" w:hAnsiTheme="majorBidi" w:cstheme="majorBidi"/>
          <w:sz w:val="24"/>
          <w:szCs w:val="24"/>
        </w:rPr>
        <w:t xml:space="preserve"> </w:t>
      </w:r>
      <w:r w:rsidR="00E126DB" w:rsidRPr="00E126DB">
        <w:rPr>
          <w:rFonts w:asciiTheme="majorBidi" w:hAnsiTheme="majorBidi" w:cstheme="majorBidi"/>
          <w:sz w:val="24"/>
          <w:szCs w:val="24"/>
        </w:rPr>
        <w:t>(Singh, 2019)</w:t>
      </w:r>
      <w:r w:rsidRPr="005E0E43">
        <w:rPr>
          <w:rFonts w:asciiTheme="majorBidi" w:hAnsiTheme="majorBidi" w:cstheme="majorBidi"/>
          <w:sz w:val="24"/>
          <w:szCs w:val="24"/>
        </w:rPr>
        <w:t>.</w:t>
      </w:r>
    </w:p>
    <w:p w14:paraId="1BAFCE79" w14:textId="4290A909" w:rsidR="00E126DB" w:rsidRDefault="00E126DB" w:rsidP="005E0E43">
      <w:pPr>
        <w:spacing w:before="240" w:after="240" w:line="360" w:lineRule="auto"/>
        <w:jc w:val="both"/>
        <w:rPr>
          <w:rFonts w:asciiTheme="majorBidi" w:hAnsiTheme="majorBidi" w:cstheme="majorBidi"/>
          <w:sz w:val="24"/>
          <w:szCs w:val="24"/>
        </w:rPr>
      </w:pPr>
    </w:p>
    <w:p w14:paraId="42B19722" w14:textId="77777777" w:rsidR="00E126DB" w:rsidRPr="005E0E43" w:rsidRDefault="00E126DB" w:rsidP="005E0E43">
      <w:pPr>
        <w:spacing w:before="240" w:after="240" w:line="360" w:lineRule="auto"/>
        <w:jc w:val="both"/>
        <w:rPr>
          <w:rFonts w:asciiTheme="majorBidi" w:hAnsiTheme="majorBidi" w:cstheme="majorBidi"/>
          <w:sz w:val="24"/>
          <w:szCs w:val="24"/>
        </w:rPr>
      </w:pPr>
    </w:p>
    <w:p w14:paraId="0A08C7A2" w14:textId="6C25C245" w:rsidR="009106F8" w:rsidRPr="005E0E43" w:rsidRDefault="005E0E43" w:rsidP="005E0E43">
      <w:pPr>
        <w:spacing w:before="240" w:after="240" w:line="360" w:lineRule="auto"/>
        <w:jc w:val="both"/>
        <w:rPr>
          <w:rFonts w:asciiTheme="majorBidi" w:hAnsiTheme="majorBidi" w:cstheme="majorBidi"/>
          <w:sz w:val="24"/>
          <w:szCs w:val="24"/>
        </w:rPr>
      </w:pPr>
      <w:r>
        <w:rPr>
          <w:rFonts w:asciiTheme="majorBidi" w:hAnsiTheme="majorBidi" w:cstheme="majorBidi"/>
          <w:sz w:val="24"/>
          <w:szCs w:val="24"/>
        </w:rPr>
        <w:t>E</w:t>
      </w:r>
      <w:r w:rsidR="009106F8" w:rsidRPr="005E0E43">
        <w:rPr>
          <w:rFonts w:asciiTheme="majorBidi" w:hAnsiTheme="majorBidi" w:cstheme="majorBidi"/>
          <w:sz w:val="24"/>
          <w:szCs w:val="24"/>
        </w:rPr>
        <w:t xml:space="preserve">ngaging a team is critical to the success of an organization. By focusing on clear communication, employee involvement, recognition and rewards, training and development, and flexible work </w:t>
      </w:r>
      <w:r w:rsidR="009106F8" w:rsidRPr="005E0E43">
        <w:rPr>
          <w:rFonts w:asciiTheme="majorBidi" w:hAnsiTheme="majorBidi" w:cstheme="majorBidi"/>
          <w:sz w:val="24"/>
          <w:szCs w:val="24"/>
        </w:rPr>
        <w:lastRenderedPageBreak/>
        <w:t>arrangements, organizations can create a positive and supportive work environment that engages employees, drives productivity, and leads to improved results</w:t>
      </w:r>
      <w:r w:rsidR="00E126DB">
        <w:rPr>
          <w:rFonts w:asciiTheme="majorBidi" w:hAnsiTheme="majorBidi" w:cstheme="majorBidi"/>
          <w:sz w:val="24"/>
          <w:szCs w:val="24"/>
        </w:rPr>
        <w:t xml:space="preserve"> </w:t>
      </w:r>
      <w:r w:rsidR="00E126DB" w:rsidRPr="00E126DB">
        <w:rPr>
          <w:rFonts w:asciiTheme="majorBidi" w:hAnsiTheme="majorBidi" w:cstheme="majorBidi"/>
          <w:sz w:val="24"/>
          <w:szCs w:val="24"/>
        </w:rPr>
        <w:t>(Schwartz et al., 2019)</w:t>
      </w:r>
      <w:r w:rsidR="009106F8" w:rsidRPr="005E0E43">
        <w:rPr>
          <w:rFonts w:asciiTheme="majorBidi" w:hAnsiTheme="majorBidi" w:cstheme="majorBidi"/>
          <w:sz w:val="24"/>
          <w:szCs w:val="24"/>
        </w:rPr>
        <w:t>.</w:t>
      </w:r>
    </w:p>
    <w:p w14:paraId="3F98E604" w14:textId="06265058"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The employee lifecycle in Hilton Hotel refers to the various stages an employee goes through from the time they are hired until the time they leave the organization. The typical stages of the employee lifecycle in Hilton Hotel include:</w:t>
      </w:r>
    </w:p>
    <w:p w14:paraId="583533EF" w14:textId="057F7511"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 xml:space="preserve">Recruitment and Hiring: This stage </w:t>
      </w:r>
      <w:r w:rsidR="00E126DB" w:rsidRPr="005E0E43">
        <w:rPr>
          <w:rFonts w:asciiTheme="majorBidi" w:hAnsiTheme="majorBidi" w:cstheme="majorBidi"/>
          <w:sz w:val="24"/>
          <w:szCs w:val="24"/>
        </w:rPr>
        <w:t>involve</w:t>
      </w:r>
      <w:r w:rsidRPr="005E0E43">
        <w:rPr>
          <w:rFonts w:asciiTheme="majorBidi" w:hAnsiTheme="majorBidi" w:cstheme="majorBidi"/>
          <w:sz w:val="24"/>
          <w:szCs w:val="24"/>
        </w:rPr>
        <w:t xml:space="preserve"> attracting and selecting candidates for open positions. Hilton uses various recruitment strategies, such as job fairs, online job boards, and employee referrals, to attract and identify the best candidates</w:t>
      </w:r>
      <w:r w:rsidR="00E126DB">
        <w:rPr>
          <w:rFonts w:asciiTheme="majorBidi" w:hAnsiTheme="majorBidi" w:cstheme="majorBidi"/>
          <w:sz w:val="24"/>
          <w:szCs w:val="24"/>
        </w:rPr>
        <w:t xml:space="preserve"> </w:t>
      </w:r>
      <w:r w:rsidR="00E126DB" w:rsidRPr="00E126DB">
        <w:rPr>
          <w:rFonts w:asciiTheme="majorBidi" w:hAnsiTheme="majorBidi" w:cstheme="majorBidi"/>
          <w:sz w:val="24"/>
          <w:szCs w:val="24"/>
        </w:rPr>
        <w:t>(Kwon and Park 2019)</w:t>
      </w:r>
      <w:r w:rsidRPr="005E0E43">
        <w:rPr>
          <w:rFonts w:asciiTheme="majorBidi" w:hAnsiTheme="majorBidi" w:cstheme="majorBidi"/>
          <w:sz w:val="24"/>
          <w:szCs w:val="24"/>
        </w:rPr>
        <w:t>.</w:t>
      </w:r>
    </w:p>
    <w:p w14:paraId="4E366D7E" w14:textId="184D1F35"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Onboarding: This stage involves introducing new hires to the company culture, work environment, and policies. Hilton provides new hires with a comprehensive onboarding program that includes orientation sessions, job training, and introduction to their colleagues</w:t>
      </w:r>
      <w:r w:rsidR="00E126DB">
        <w:rPr>
          <w:rFonts w:asciiTheme="majorBidi" w:hAnsiTheme="majorBidi" w:cstheme="majorBidi"/>
          <w:sz w:val="24"/>
          <w:szCs w:val="24"/>
        </w:rPr>
        <w:t xml:space="preserve"> </w:t>
      </w:r>
      <w:r w:rsidR="00E126DB" w:rsidRPr="00E126DB">
        <w:rPr>
          <w:rFonts w:asciiTheme="majorBidi" w:hAnsiTheme="majorBidi" w:cstheme="majorBidi"/>
          <w:sz w:val="24"/>
          <w:szCs w:val="24"/>
        </w:rPr>
        <w:t>(</w:t>
      </w:r>
      <w:proofErr w:type="spellStart"/>
      <w:r w:rsidR="00E126DB" w:rsidRPr="00E126DB">
        <w:rPr>
          <w:rFonts w:asciiTheme="majorBidi" w:hAnsiTheme="majorBidi" w:cstheme="majorBidi"/>
          <w:sz w:val="24"/>
          <w:szCs w:val="24"/>
        </w:rPr>
        <w:t>Kooij</w:t>
      </w:r>
      <w:proofErr w:type="spellEnd"/>
      <w:r w:rsidR="00E126DB" w:rsidRPr="00E126DB">
        <w:rPr>
          <w:rFonts w:asciiTheme="majorBidi" w:hAnsiTheme="majorBidi" w:cstheme="majorBidi"/>
          <w:sz w:val="24"/>
          <w:szCs w:val="24"/>
        </w:rPr>
        <w:t xml:space="preserve"> and </w:t>
      </w:r>
      <w:proofErr w:type="spellStart"/>
      <w:r w:rsidR="00E126DB" w:rsidRPr="00E126DB">
        <w:rPr>
          <w:rFonts w:asciiTheme="majorBidi" w:hAnsiTheme="majorBidi" w:cstheme="majorBidi"/>
          <w:sz w:val="24"/>
          <w:szCs w:val="24"/>
        </w:rPr>
        <w:t>Kanfer</w:t>
      </w:r>
      <w:proofErr w:type="spellEnd"/>
      <w:r w:rsidR="00E126DB" w:rsidRPr="00E126DB">
        <w:rPr>
          <w:rFonts w:asciiTheme="majorBidi" w:hAnsiTheme="majorBidi" w:cstheme="majorBidi"/>
          <w:sz w:val="24"/>
          <w:szCs w:val="24"/>
        </w:rPr>
        <w:t xml:space="preserve"> 2019)</w:t>
      </w:r>
      <w:r w:rsidRPr="005E0E43">
        <w:rPr>
          <w:rFonts w:asciiTheme="majorBidi" w:hAnsiTheme="majorBidi" w:cstheme="majorBidi"/>
          <w:sz w:val="24"/>
          <w:szCs w:val="24"/>
        </w:rPr>
        <w:t>.</w:t>
      </w:r>
    </w:p>
    <w:p w14:paraId="177F073E" w14:textId="08EDC4B3"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Performance Management: This stage involves setting performance goals, providing regular feedback, and conducting performance evaluations. Hilton uses a performance management system that helps employees understand their strengths and weaknesses and provides them with opportunities to improve and grow</w:t>
      </w:r>
      <w:r w:rsidR="00E126DB">
        <w:rPr>
          <w:rFonts w:asciiTheme="majorBidi" w:hAnsiTheme="majorBidi" w:cstheme="majorBidi"/>
          <w:sz w:val="24"/>
          <w:szCs w:val="24"/>
        </w:rPr>
        <w:t xml:space="preserve"> </w:t>
      </w:r>
      <w:r w:rsidR="00D555B0">
        <w:rPr>
          <w:rFonts w:asciiTheme="majorBidi" w:hAnsiTheme="majorBidi" w:cstheme="majorBidi"/>
          <w:sz w:val="24"/>
          <w:szCs w:val="24"/>
        </w:rPr>
        <w:t>(</w:t>
      </w:r>
      <w:r w:rsidR="00D555B0" w:rsidRPr="00D555B0">
        <w:rPr>
          <w:rFonts w:asciiTheme="majorBidi" w:hAnsiTheme="majorBidi" w:cstheme="majorBidi"/>
          <w:sz w:val="24"/>
          <w:szCs w:val="24"/>
        </w:rPr>
        <w:t xml:space="preserve">Rodrigues </w:t>
      </w:r>
      <w:r w:rsidR="00D555B0">
        <w:rPr>
          <w:rFonts w:asciiTheme="majorBidi" w:hAnsiTheme="majorBidi" w:cstheme="majorBidi"/>
          <w:sz w:val="24"/>
          <w:szCs w:val="24"/>
        </w:rPr>
        <w:t xml:space="preserve">et al., </w:t>
      </w:r>
      <w:r w:rsidR="00D555B0" w:rsidRPr="00D555B0">
        <w:rPr>
          <w:rFonts w:asciiTheme="majorBidi" w:hAnsiTheme="majorBidi" w:cstheme="majorBidi"/>
          <w:sz w:val="24"/>
          <w:szCs w:val="24"/>
        </w:rPr>
        <w:t>2019</w:t>
      </w:r>
      <w:r w:rsidR="00D555B0">
        <w:rPr>
          <w:rFonts w:asciiTheme="majorBidi" w:hAnsiTheme="majorBidi" w:cstheme="majorBidi"/>
          <w:sz w:val="24"/>
          <w:szCs w:val="24"/>
        </w:rPr>
        <w:t xml:space="preserve">). </w:t>
      </w:r>
    </w:p>
    <w:p w14:paraId="2A8B8C54" w14:textId="255014CA"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Training and Development: This stage involves offering training and development opportunities to help employees grow and develop their skills. Hilton provides ongoing training opportunities, workshops, and courses, as well as leadership development programs for managers and high-potential employees</w:t>
      </w:r>
      <w:r w:rsidR="00E126DB">
        <w:rPr>
          <w:rFonts w:asciiTheme="majorBidi" w:hAnsiTheme="majorBidi" w:cstheme="majorBidi"/>
          <w:sz w:val="24"/>
          <w:szCs w:val="24"/>
        </w:rPr>
        <w:t xml:space="preserve"> </w:t>
      </w:r>
      <w:r w:rsidR="00E126DB" w:rsidRPr="00E126DB">
        <w:rPr>
          <w:rFonts w:asciiTheme="majorBidi" w:hAnsiTheme="majorBidi" w:cstheme="majorBidi"/>
          <w:sz w:val="24"/>
          <w:szCs w:val="24"/>
        </w:rPr>
        <w:t>(Rana, and Sharma, 2019)</w:t>
      </w:r>
      <w:r w:rsidRPr="005E0E43">
        <w:rPr>
          <w:rFonts w:asciiTheme="majorBidi" w:hAnsiTheme="majorBidi" w:cstheme="majorBidi"/>
          <w:sz w:val="24"/>
          <w:szCs w:val="24"/>
        </w:rPr>
        <w:t>.</w:t>
      </w:r>
    </w:p>
    <w:p w14:paraId="186FB891" w14:textId="210A08CB"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Rewards and Recognition: This stage involves acknowledging and rewarding employees for their achievements and contributions to the company. Hilton has a rewards and recognition program that includes formal awards programs, bonuses, and promotions, as well as informal gestures such as thank you notes and public recognition</w:t>
      </w:r>
      <w:r w:rsidR="008F454C">
        <w:rPr>
          <w:rFonts w:asciiTheme="majorBidi" w:hAnsiTheme="majorBidi" w:cstheme="majorBidi"/>
          <w:sz w:val="24"/>
          <w:szCs w:val="24"/>
        </w:rPr>
        <w:t xml:space="preserve"> </w:t>
      </w:r>
      <w:r w:rsidR="008F454C" w:rsidRPr="008F454C">
        <w:rPr>
          <w:rFonts w:asciiTheme="majorBidi" w:hAnsiTheme="majorBidi" w:cstheme="majorBidi"/>
          <w:sz w:val="24"/>
          <w:szCs w:val="24"/>
        </w:rPr>
        <w:t>(Xie et al., 2020)</w:t>
      </w:r>
      <w:r w:rsidRPr="005E0E43">
        <w:rPr>
          <w:rFonts w:asciiTheme="majorBidi" w:hAnsiTheme="majorBidi" w:cstheme="majorBidi"/>
          <w:sz w:val="24"/>
          <w:szCs w:val="24"/>
        </w:rPr>
        <w:t>.</w:t>
      </w:r>
    </w:p>
    <w:p w14:paraId="05E552EE" w14:textId="1BF1EA6E"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Employee Engagement: This stage involves measuring and improving employee engagement and satisfaction. Hilton conducts regular employee engagement surveys to gather feedback from employees on a variety of topics, such as their job satisfaction, morale, and overall engagement</w:t>
      </w:r>
      <w:r w:rsidR="001908E3" w:rsidRPr="001908E3">
        <w:t xml:space="preserve"> </w:t>
      </w:r>
      <w:r w:rsidR="001908E3">
        <w:t>(</w:t>
      </w:r>
      <w:r w:rsidR="001908E3" w:rsidRPr="001908E3">
        <w:rPr>
          <w:rFonts w:asciiTheme="majorBidi" w:hAnsiTheme="majorBidi" w:cstheme="majorBidi"/>
          <w:sz w:val="24"/>
          <w:szCs w:val="24"/>
        </w:rPr>
        <w:t>Sun</w:t>
      </w:r>
      <w:r w:rsidR="001908E3">
        <w:rPr>
          <w:rFonts w:asciiTheme="majorBidi" w:hAnsiTheme="majorBidi" w:cstheme="majorBidi"/>
          <w:sz w:val="24"/>
          <w:szCs w:val="24"/>
        </w:rPr>
        <w:t xml:space="preserve"> </w:t>
      </w:r>
      <w:r w:rsidR="001908E3" w:rsidRPr="001908E3">
        <w:rPr>
          <w:rFonts w:asciiTheme="majorBidi" w:hAnsiTheme="majorBidi" w:cstheme="majorBidi"/>
          <w:sz w:val="24"/>
          <w:szCs w:val="24"/>
        </w:rPr>
        <w:t xml:space="preserve">and </w:t>
      </w:r>
      <w:proofErr w:type="spellStart"/>
      <w:r w:rsidR="001908E3" w:rsidRPr="001908E3">
        <w:rPr>
          <w:rFonts w:asciiTheme="majorBidi" w:hAnsiTheme="majorBidi" w:cstheme="majorBidi"/>
          <w:sz w:val="24"/>
          <w:szCs w:val="24"/>
        </w:rPr>
        <w:t>Bunchapattanasakda</w:t>
      </w:r>
      <w:proofErr w:type="spellEnd"/>
      <w:r w:rsidR="001908E3" w:rsidRPr="001908E3">
        <w:rPr>
          <w:rFonts w:asciiTheme="majorBidi" w:hAnsiTheme="majorBidi" w:cstheme="majorBidi"/>
          <w:sz w:val="24"/>
          <w:szCs w:val="24"/>
        </w:rPr>
        <w:t>, 2019</w:t>
      </w:r>
      <w:r w:rsidR="001908E3">
        <w:rPr>
          <w:rFonts w:asciiTheme="majorBidi" w:hAnsiTheme="majorBidi" w:cstheme="majorBidi"/>
          <w:sz w:val="24"/>
          <w:szCs w:val="24"/>
        </w:rPr>
        <w:t>)</w:t>
      </w:r>
      <w:r w:rsidRPr="005E0E43">
        <w:rPr>
          <w:rFonts w:asciiTheme="majorBidi" w:hAnsiTheme="majorBidi" w:cstheme="majorBidi"/>
          <w:sz w:val="24"/>
          <w:szCs w:val="24"/>
        </w:rPr>
        <w:t>.</w:t>
      </w:r>
    </w:p>
    <w:p w14:paraId="459DFA11" w14:textId="55A75BC7" w:rsidR="009106F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lastRenderedPageBreak/>
        <w:t>Exit: This stage involves preparing for an employee's departure from the company, whether it's due to retirement, resignation, or termination. Hilton provides an exit interview to gather feedback from departing employees and to understand why they are leaving</w:t>
      </w:r>
      <w:r w:rsidR="007520AA">
        <w:rPr>
          <w:rFonts w:asciiTheme="majorBidi" w:hAnsiTheme="majorBidi" w:cstheme="majorBidi"/>
          <w:sz w:val="24"/>
          <w:szCs w:val="24"/>
        </w:rPr>
        <w:t xml:space="preserve"> </w:t>
      </w:r>
      <w:r w:rsidR="007520AA" w:rsidRPr="007520AA">
        <w:rPr>
          <w:rFonts w:asciiTheme="majorBidi" w:hAnsiTheme="majorBidi" w:cstheme="majorBidi"/>
          <w:sz w:val="24"/>
          <w:szCs w:val="24"/>
        </w:rPr>
        <w:t>(Xie et al., 2020)</w:t>
      </w:r>
      <w:r w:rsidRPr="005E0E43">
        <w:rPr>
          <w:rFonts w:asciiTheme="majorBidi" w:hAnsiTheme="majorBidi" w:cstheme="majorBidi"/>
          <w:sz w:val="24"/>
          <w:szCs w:val="24"/>
        </w:rPr>
        <w:t>.</w:t>
      </w:r>
    </w:p>
    <w:p w14:paraId="0D664C12" w14:textId="63DC8CA7" w:rsidR="001759C8" w:rsidRPr="005E0E43" w:rsidRDefault="009106F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In conclusion, the employee lifecycle in Hilton Hotel is designed to provide employees with a positive and supportive work environment that helps them grow and develop their careers. By focusing on effective recruitment and onboarding, performance management, training and development, rewards and recognition, employee engagement, and exit, Hilton can create a workplace that attracts and retains top talent and leads to improved results</w:t>
      </w:r>
      <w:r w:rsidR="007B3327">
        <w:rPr>
          <w:rFonts w:asciiTheme="majorBidi" w:hAnsiTheme="majorBidi" w:cstheme="majorBidi"/>
          <w:sz w:val="24"/>
          <w:szCs w:val="24"/>
        </w:rPr>
        <w:t xml:space="preserve"> </w:t>
      </w:r>
      <w:r w:rsidR="007B3327" w:rsidRPr="007B3327">
        <w:rPr>
          <w:rFonts w:asciiTheme="majorBidi" w:hAnsiTheme="majorBidi" w:cstheme="majorBidi"/>
          <w:sz w:val="24"/>
          <w:szCs w:val="24"/>
        </w:rPr>
        <w:t>(Nayal et al., 2022)</w:t>
      </w:r>
      <w:r w:rsidRPr="005E0E43">
        <w:rPr>
          <w:rFonts w:asciiTheme="majorBidi" w:hAnsiTheme="majorBidi" w:cstheme="majorBidi"/>
          <w:sz w:val="24"/>
          <w:szCs w:val="24"/>
        </w:rPr>
        <w:t>.</w:t>
      </w:r>
    </w:p>
    <w:p w14:paraId="0F2E6865" w14:textId="02EBC279" w:rsidR="001759C8" w:rsidRPr="005E0E43" w:rsidRDefault="001759C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One commonly used employee engagement model is the four-factor model, which consists of four key elements:</w:t>
      </w:r>
    </w:p>
    <w:p w14:paraId="5E1A130C" w14:textId="29E2F799" w:rsidR="001759C8" w:rsidRPr="005E0E43" w:rsidRDefault="001759C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Meaningful Work: This element refers to employees' perceptions that their work is important and makes a meaningful contribution to the organization and society</w:t>
      </w:r>
      <w:r w:rsidR="007B3327">
        <w:rPr>
          <w:rFonts w:asciiTheme="majorBidi" w:hAnsiTheme="majorBidi" w:cstheme="majorBidi"/>
          <w:sz w:val="24"/>
          <w:szCs w:val="24"/>
        </w:rPr>
        <w:t xml:space="preserve"> </w:t>
      </w:r>
      <w:r w:rsidR="007B3327" w:rsidRPr="007B3327">
        <w:rPr>
          <w:rFonts w:asciiTheme="majorBidi" w:hAnsiTheme="majorBidi" w:cstheme="majorBidi"/>
          <w:sz w:val="24"/>
          <w:szCs w:val="24"/>
        </w:rPr>
        <w:t>(Malik et al., 2020)</w:t>
      </w:r>
      <w:r w:rsidRPr="005E0E43">
        <w:rPr>
          <w:rFonts w:asciiTheme="majorBidi" w:hAnsiTheme="majorBidi" w:cstheme="majorBidi"/>
          <w:sz w:val="24"/>
          <w:szCs w:val="24"/>
        </w:rPr>
        <w:t>.</w:t>
      </w:r>
    </w:p>
    <w:p w14:paraId="6E7BE451" w14:textId="420FFBAA" w:rsidR="001759C8" w:rsidRPr="005E0E43" w:rsidRDefault="001759C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Involvement and Influence: This element refers to employees' perceptions that they have a say in important decisions that affect their work and that their opinions are valued by the organization</w:t>
      </w:r>
      <w:r w:rsidR="00D555B0" w:rsidRPr="00D555B0">
        <w:t xml:space="preserve"> </w:t>
      </w:r>
      <w:r w:rsidR="00D555B0">
        <w:t>(</w:t>
      </w:r>
      <w:r w:rsidR="00D555B0" w:rsidRPr="00D555B0">
        <w:rPr>
          <w:rFonts w:asciiTheme="majorBidi" w:hAnsiTheme="majorBidi" w:cstheme="majorBidi"/>
          <w:sz w:val="24"/>
          <w:szCs w:val="24"/>
        </w:rPr>
        <w:t>Kular</w:t>
      </w:r>
      <w:r w:rsidR="00D555B0">
        <w:rPr>
          <w:rFonts w:asciiTheme="majorBidi" w:hAnsiTheme="majorBidi" w:cstheme="majorBidi"/>
          <w:sz w:val="24"/>
          <w:szCs w:val="24"/>
        </w:rPr>
        <w:t xml:space="preserve"> et al. </w:t>
      </w:r>
      <w:r w:rsidR="00D555B0" w:rsidRPr="00D555B0">
        <w:rPr>
          <w:rFonts w:asciiTheme="majorBidi" w:hAnsiTheme="majorBidi" w:cstheme="majorBidi"/>
          <w:sz w:val="24"/>
          <w:szCs w:val="24"/>
        </w:rPr>
        <w:t>2018</w:t>
      </w:r>
      <w:r w:rsidR="00D555B0">
        <w:rPr>
          <w:rFonts w:asciiTheme="majorBidi" w:hAnsiTheme="majorBidi" w:cstheme="majorBidi"/>
          <w:sz w:val="24"/>
          <w:szCs w:val="24"/>
        </w:rPr>
        <w:t>)</w:t>
      </w:r>
      <w:r w:rsidRPr="005E0E43">
        <w:rPr>
          <w:rFonts w:asciiTheme="majorBidi" w:hAnsiTheme="majorBidi" w:cstheme="majorBidi"/>
          <w:sz w:val="24"/>
          <w:szCs w:val="24"/>
        </w:rPr>
        <w:t>.</w:t>
      </w:r>
    </w:p>
    <w:p w14:paraId="7ED0E74D" w14:textId="4D3F15C6" w:rsidR="001759C8" w:rsidRPr="005E0E43" w:rsidRDefault="001759C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Relationships and Support: This element refers to employees' perceptions that they have positive relationships with their colleagues and that they receive the support they need to be successful in their jobs</w:t>
      </w:r>
      <w:r w:rsidR="007B3327">
        <w:rPr>
          <w:rFonts w:asciiTheme="majorBidi" w:hAnsiTheme="majorBidi" w:cstheme="majorBidi"/>
          <w:sz w:val="24"/>
          <w:szCs w:val="24"/>
        </w:rPr>
        <w:t xml:space="preserve"> </w:t>
      </w:r>
      <w:r w:rsidR="007B3327" w:rsidRPr="007B3327">
        <w:rPr>
          <w:rFonts w:asciiTheme="majorBidi" w:hAnsiTheme="majorBidi" w:cstheme="majorBidi"/>
          <w:sz w:val="24"/>
          <w:szCs w:val="24"/>
        </w:rPr>
        <w:t>(Malik et al., 2020)</w:t>
      </w:r>
      <w:r w:rsidRPr="005E0E43">
        <w:rPr>
          <w:rFonts w:asciiTheme="majorBidi" w:hAnsiTheme="majorBidi" w:cstheme="majorBidi"/>
          <w:sz w:val="24"/>
          <w:szCs w:val="24"/>
        </w:rPr>
        <w:t>.</w:t>
      </w:r>
    </w:p>
    <w:p w14:paraId="3CB6B4EC" w14:textId="6CFBD1BD" w:rsidR="001759C8" w:rsidRPr="005E0E43" w:rsidRDefault="001759C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Growth and Development: This element refers to employees' perceptions that they have opportunities to grow and develop their skills and careers.</w:t>
      </w:r>
    </w:p>
    <w:p w14:paraId="7B176B60" w14:textId="13AA39CC" w:rsidR="001759C8" w:rsidRPr="005E0E43" w:rsidRDefault="001759C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To implement this model in Hilton Hotel, the following steps could be taken:</w:t>
      </w:r>
    </w:p>
    <w:p w14:paraId="4AE5961E" w14:textId="5607F3AB" w:rsidR="001759C8" w:rsidRPr="005E0E43" w:rsidRDefault="001759C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Assess Current State: Conduct regular employee engagement surveys and focus groups to assess the current state of employee engagement in the hotel. This will provide a baseline for measuring progress and identifying areas for improvement</w:t>
      </w:r>
      <w:r w:rsidR="003C34BC">
        <w:rPr>
          <w:rFonts w:asciiTheme="majorBidi" w:hAnsiTheme="majorBidi" w:cstheme="majorBidi"/>
          <w:sz w:val="24"/>
          <w:szCs w:val="24"/>
        </w:rPr>
        <w:t xml:space="preserve"> </w:t>
      </w:r>
      <w:r w:rsidR="003C34BC" w:rsidRPr="003C34BC">
        <w:rPr>
          <w:rFonts w:asciiTheme="majorBidi" w:hAnsiTheme="majorBidi" w:cstheme="majorBidi"/>
          <w:sz w:val="24"/>
          <w:szCs w:val="24"/>
        </w:rPr>
        <w:t>(</w:t>
      </w:r>
      <w:proofErr w:type="spellStart"/>
      <w:r w:rsidR="003C34BC" w:rsidRPr="003C34BC">
        <w:rPr>
          <w:rFonts w:asciiTheme="majorBidi" w:hAnsiTheme="majorBidi" w:cstheme="majorBidi"/>
          <w:sz w:val="24"/>
          <w:szCs w:val="24"/>
        </w:rPr>
        <w:t>Adikaram</w:t>
      </w:r>
      <w:proofErr w:type="spellEnd"/>
      <w:r w:rsidR="003C34BC" w:rsidRPr="003C34BC">
        <w:rPr>
          <w:rFonts w:asciiTheme="majorBidi" w:hAnsiTheme="majorBidi" w:cstheme="majorBidi"/>
          <w:sz w:val="24"/>
          <w:szCs w:val="24"/>
        </w:rPr>
        <w:t xml:space="preserve"> et al., 2021)</w:t>
      </w:r>
      <w:r w:rsidRPr="005E0E43">
        <w:rPr>
          <w:rFonts w:asciiTheme="majorBidi" w:hAnsiTheme="majorBidi" w:cstheme="majorBidi"/>
          <w:sz w:val="24"/>
          <w:szCs w:val="24"/>
        </w:rPr>
        <w:t>.</w:t>
      </w:r>
    </w:p>
    <w:p w14:paraId="39C396A3" w14:textId="3C6E6317" w:rsidR="001759C8" w:rsidRPr="005E0E43" w:rsidRDefault="001759C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lastRenderedPageBreak/>
        <w:t>Establish Goals: Establish goals for each of the four elements of the engagement model. For example, a goal for meaningful work could be to increase the number of employees who feel that their work is important and makes a meaningful contribution to the organization</w:t>
      </w:r>
      <w:r w:rsidR="00ED3145">
        <w:rPr>
          <w:rFonts w:asciiTheme="majorBidi" w:hAnsiTheme="majorBidi" w:cstheme="majorBidi"/>
          <w:sz w:val="24"/>
          <w:szCs w:val="24"/>
        </w:rPr>
        <w:t xml:space="preserve"> </w:t>
      </w:r>
      <w:r w:rsidR="00ED3145" w:rsidRPr="00ED3145">
        <w:rPr>
          <w:rFonts w:asciiTheme="majorBidi" w:hAnsiTheme="majorBidi" w:cstheme="majorBidi"/>
          <w:sz w:val="24"/>
          <w:szCs w:val="24"/>
        </w:rPr>
        <w:t>(</w:t>
      </w:r>
      <w:proofErr w:type="spellStart"/>
      <w:r w:rsidR="00ED3145" w:rsidRPr="00ED3145">
        <w:rPr>
          <w:rFonts w:asciiTheme="majorBidi" w:hAnsiTheme="majorBidi" w:cstheme="majorBidi"/>
          <w:sz w:val="24"/>
          <w:szCs w:val="24"/>
        </w:rPr>
        <w:t>Shambi</w:t>
      </w:r>
      <w:proofErr w:type="spellEnd"/>
      <w:r w:rsidR="00ED3145" w:rsidRPr="00ED3145">
        <w:rPr>
          <w:rFonts w:asciiTheme="majorBidi" w:hAnsiTheme="majorBidi" w:cstheme="majorBidi"/>
          <w:sz w:val="24"/>
          <w:szCs w:val="24"/>
        </w:rPr>
        <w:t>, 2021)</w:t>
      </w:r>
      <w:r w:rsidRPr="005E0E43">
        <w:rPr>
          <w:rFonts w:asciiTheme="majorBidi" w:hAnsiTheme="majorBidi" w:cstheme="majorBidi"/>
          <w:sz w:val="24"/>
          <w:szCs w:val="24"/>
        </w:rPr>
        <w:t>.</w:t>
      </w:r>
    </w:p>
    <w:p w14:paraId="299AE575" w14:textId="7109E33A" w:rsidR="001759C8" w:rsidRPr="005E0E43" w:rsidRDefault="001759C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Develop Initiatives: Develop initiatives to support each goal. For example, an initiative for meaningful work could be to implement job rotations or cross-training programs that allow employees to experience different aspects of the hotel's operations</w:t>
      </w:r>
      <w:r w:rsidR="00ED3145">
        <w:rPr>
          <w:rFonts w:asciiTheme="majorBidi" w:hAnsiTheme="majorBidi" w:cstheme="majorBidi"/>
          <w:sz w:val="24"/>
          <w:szCs w:val="24"/>
        </w:rPr>
        <w:t xml:space="preserve"> </w:t>
      </w:r>
      <w:r w:rsidR="00ED3145" w:rsidRPr="00ED3145">
        <w:rPr>
          <w:rFonts w:asciiTheme="majorBidi" w:hAnsiTheme="majorBidi" w:cstheme="majorBidi"/>
          <w:sz w:val="24"/>
          <w:szCs w:val="24"/>
        </w:rPr>
        <w:t>(</w:t>
      </w:r>
      <w:proofErr w:type="spellStart"/>
      <w:r w:rsidR="00ED3145" w:rsidRPr="00ED3145">
        <w:rPr>
          <w:rFonts w:asciiTheme="majorBidi" w:hAnsiTheme="majorBidi" w:cstheme="majorBidi"/>
          <w:sz w:val="24"/>
          <w:szCs w:val="24"/>
        </w:rPr>
        <w:t>Verive</w:t>
      </w:r>
      <w:proofErr w:type="spellEnd"/>
      <w:r w:rsidR="00ED3145" w:rsidRPr="00ED3145">
        <w:rPr>
          <w:rFonts w:asciiTheme="majorBidi" w:hAnsiTheme="majorBidi" w:cstheme="majorBidi"/>
          <w:sz w:val="24"/>
          <w:szCs w:val="24"/>
        </w:rPr>
        <w:t xml:space="preserve"> and DeLay, 2016)</w:t>
      </w:r>
      <w:r w:rsidRPr="005E0E43">
        <w:rPr>
          <w:rFonts w:asciiTheme="majorBidi" w:hAnsiTheme="majorBidi" w:cstheme="majorBidi"/>
          <w:sz w:val="24"/>
          <w:szCs w:val="24"/>
        </w:rPr>
        <w:t>.</w:t>
      </w:r>
    </w:p>
    <w:p w14:paraId="58A085AA" w14:textId="0AF39647" w:rsidR="001759C8" w:rsidRPr="005E0E43" w:rsidRDefault="001759C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Engage Employees: Involve employees in the implementation of the initiatives. This will help build ownership and commitment and ensure that the initiatives are tailored to meet the needs and preferences of employees.</w:t>
      </w:r>
    </w:p>
    <w:p w14:paraId="7E9510FB" w14:textId="1688D767" w:rsidR="001759C8" w:rsidRPr="005E0E43" w:rsidRDefault="001759C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Monitor and Evaluate: Regularly monitor and evaluate the initiatives to assess their impact on employee engagement and to identify areas for improvement. Use feedback from employees to refine the initiatives and to ensure that they are having the desired impact</w:t>
      </w:r>
      <w:r w:rsidR="00C44FEE">
        <w:rPr>
          <w:rFonts w:asciiTheme="majorBidi" w:hAnsiTheme="majorBidi" w:cstheme="majorBidi"/>
          <w:sz w:val="24"/>
          <w:szCs w:val="24"/>
        </w:rPr>
        <w:t xml:space="preserve"> </w:t>
      </w:r>
      <w:r w:rsidR="00C44FEE" w:rsidRPr="00C44FEE">
        <w:rPr>
          <w:rFonts w:asciiTheme="majorBidi" w:hAnsiTheme="majorBidi" w:cstheme="majorBidi"/>
          <w:sz w:val="24"/>
          <w:szCs w:val="24"/>
        </w:rPr>
        <w:t>(</w:t>
      </w:r>
      <w:proofErr w:type="spellStart"/>
      <w:r w:rsidR="00C44FEE" w:rsidRPr="00C44FEE">
        <w:rPr>
          <w:rFonts w:asciiTheme="majorBidi" w:hAnsiTheme="majorBidi" w:cstheme="majorBidi"/>
          <w:sz w:val="24"/>
          <w:szCs w:val="24"/>
        </w:rPr>
        <w:t>Shambi</w:t>
      </w:r>
      <w:proofErr w:type="spellEnd"/>
      <w:r w:rsidR="00C44FEE" w:rsidRPr="00C44FEE">
        <w:rPr>
          <w:rFonts w:asciiTheme="majorBidi" w:hAnsiTheme="majorBidi" w:cstheme="majorBidi"/>
          <w:sz w:val="24"/>
          <w:szCs w:val="24"/>
        </w:rPr>
        <w:t>, 2021)</w:t>
      </w:r>
      <w:r w:rsidRPr="005E0E43">
        <w:rPr>
          <w:rFonts w:asciiTheme="majorBidi" w:hAnsiTheme="majorBidi" w:cstheme="majorBidi"/>
          <w:sz w:val="24"/>
          <w:szCs w:val="24"/>
        </w:rPr>
        <w:t>.</w:t>
      </w:r>
    </w:p>
    <w:p w14:paraId="0A506713" w14:textId="4DF69241" w:rsidR="005E0E43" w:rsidRPr="005E0E43" w:rsidRDefault="001759C8"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By using this model, Hilton Hotel can create a positive and supportive work environment that engages employees and supports their growth and development. This can lead to improved employee satisfaction, morale, and productivity, and a stronger reputation for the hotel</w:t>
      </w:r>
      <w:r w:rsidR="00C44FEE">
        <w:rPr>
          <w:rFonts w:asciiTheme="majorBidi" w:hAnsiTheme="majorBidi" w:cstheme="majorBidi"/>
          <w:sz w:val="24"/>
          <w:szCs w:val="24"/>
        </w:rPr>
        <w:t xml:space="preserve"> </w:t>
      </w:r>
      <w:r w:rsidR="00C44FEE" w:rsidRPr="00C44FEE">
        <w:rPr>
          <w:rFonts w:asciiTheme="majorBidi" w:hAnsiTheme="majorBidi" w:cstheme="majorBidi"/>
          <w:sz w:val="24"/>
          <w:szCs w:val="24"/>
        </w:rPr>
        <w:t>(</w:t>
      </w:r>
      <w:proofErr w:type="spellStart"/>
      <w:r w:rsidR="00C44FEE" w:rsidRPr="00C44FEE">
        <w:rPr>
          <w:rFonts w:asciiTheme="majorBidi" w:hAnsiTheme="majorBidi" w:cstheme="majorBidi"/>
          <w:sz w:val="24"/>
          <w:szCs w:val="24"/>
        </w:rPr>
        <w:t>Shambi</w:t>
      </w:r>
      <w:proofErr w:type="spellEnd"/>
      <w:r w:rsidR="00C44FEE" w:rsidRPr="00C44FEE">
        <w:rPr>
          <w:rFonts w:asciiTheme="majorBidi" w:hAnsiTheme="majorBidi" w:cstheme="majorBidi"/>
          <w:sz w:val="24"/>
          <w:szCs w:val="24"/>
        </w:rPr>
        <w:t>, 2021)</w:t>
      </w:r>
      <w:r w:rsidRPr="005E0E43">
        <w:rPr>
          <w:rFonts w:asciiTheme="majorBidi" w:hAnsiTheme="majorBidi" w:cstheme="majorBidi"/>
          <w:sz w:val="24"/>
          <w:szCs w:val="24"/>
        </w:rPr>
        <w:t>.</w:t>
      </w:r>
    </w:p>
    <w:p w14:paraId="5B4756ED" w14:textId="25859661" w:rsidR="005E0E43" w:rsidRDefault="005E0E43" w:rsidP="005E0E43">
      <w:pPr>
        <w:spacing w:before="240" w:after="240" w:line="360" w:lineRule="auto"/>
        <w:jc w:val="both"/>
        <w:rPr>
          <w:rFonts w:asciiTheme="majorBidi" w:hAnsiTheme="majorBidi" w:cstheme="majorBidi"/>
          <w:sz w:val="24"/>
          <w:szCs w:val="24"/>
        </w:rPr>
      </w:pPr>
      <w:r w:rsidRPr="005E0E43">
        <w:rPr>
          <w:rFonts w:asciiTheme="majorBidi" w:hAnsiTheme="majorBidi" w:cstheme="majorBidi"/>
          <w:sz w:val="24"/>
          <w:szCs w:val="24"/>
        </w:rPr>
        <w:t>By implementing the four-factor model and taking steps such as conducting regular employee engagement surveys, establishing goals, developing initiatives, engaging employees, and monitoring and evaluating progress, Hilton Hotel can create a positive and supportive work environment that engages employees and supports their growth and development. This can lead to improved employee satisfaction, morale, and productivity, and a stronger reputation for the hotel. The role of the HR department in this process is essential and requires a focus on employee engagement throughout the employee lifecycle.</w:t>
      </w:r>
    </w:p>
    <w:p w14:paraId="10E6C668" w14:textId="77777777" w:rsidR="005E0E43" w:rsidRDefault="005E0E43">
      <w:pPr>
        <w:rPr>
          <w:rFonts w:asciiTheme="majorBidi" w:hAnsiTheme="majorBidi" w:cstheme="majorBidi"/>
          <w:sz w:val="24"/>
          <w:szCs w:val="24"/>
        </w:rPr>
      </w:pPr>
      <w:r>
        <w:rPr>
          <w:rFonts w:asciiTheme="majorBidi" w:hAnsiTheme="majorBidi" w:cstheme="majorBidi"/>
          <w:sz w:val="24"/>
          <w:szCs w:val="24"/>
        </w:rPr>
        <w:br w:type="page"/>
      </w:r>
    </w:p>
    <w:p w14:paraId="3772535F" w14:textId="67D90969" w:rsidR="001A073F" w:rsidRPr="001A073F" w:rsidRDefault="001A073F" w:rsidP="001A073F">
      <w:pPr>
        <w:spacing w:before="240" w:after="240" w:line="360" w:lineRule="auto"/>
        <w:jc w:val="both"/>
        <w:rPr>
          <w:rFonts w:asciiTheme="majorBidi" w:hAnsiTheme="majorBidi" w:cstheme="majorBidi"/>
          <w:b/>
          <w:bCs/>
          <w:sz w:val="24"/>
          <w:szCs w:val="24"/>
        </w:rPr>
      </w:pPr>
      <w:r w:rsidRPr="001A073F">
        <w:rPr>
          <w:rFonts w:asciiTheme="majorBidi" w:hAnsiTheme="majorBidi" w:cstheme="majorBidi"/>
          <w:b/>
          <w:bCs/>
          <w:sz w:val="24"/>
          <w:szCs w:val="24"/>
        </w:rPr>
        <w:lastRenderedPageBreak/>
        <w:t xml:space="preserve">References </w:t>
      </w:r>
    </w:p>
    <w:p w14:paraId="66EBE3A6" w14:textId="77777777" w:rsidR="009E70F7" w:rsidRPr="00505AA8" w:rsidRDefault="009E70F7" w:rsidP="00505AA8">
      <w:pPr>
        <w:pStyle w:val="ListParagraph"/>
        <w:numPr>
          <w:ilvl w:val="0"/>
          <w:numId w:val="1"/>
        </w:numPr>
        <w:spacing w:line="360" w:lineRule="auto"/>
        <w:jc w:val="both"/>
        <w:rPr>
          <w:rFonts w:asciiTheme="majorBidi" w:hAnsiTheme="majorBidi" w:cstheme="majorBidi"/>
          <w:color w:val="222222"/>
          <w:sz w:val="24"/>
          <w:szCs w:val="24"/>
          <w:shd w:val="clear" w:color="auto" w:fill="FFFFFF"/>
        </w:rPr>
      </w:pPr>
      <w:proofErr w:type="spellStart"/>
      <w:r w:rsidRPr="00505AA8">
        <w:rPr>
          <w:rFonts w:asciiTheme="majorBidi" w:hAnsiTheme="majorBidi" w:cstheme="majorBidi"/>
          <w:color w:val="222222"/>
          <w:sz w:val="24"/>
          <w:szCs w:val="24"/>
          <w:shd w:val="clear" w:color="auto" w:fill="FFFFFF"/>
        </w:rPr>
        <w:t>Adikaram</w:t>
      </w:r>
      <w:proofErr w:type="spellEnd"/>
      <w:r w:rsidRPr="00505AA8">
        <w:rPr>
          <w:rFonts w:asciiTheme="majorBidi" w:hAnsiTheme="majorBidi" w:cstheme="majorBidi"/>
          <w:color w:val="222222"/>
          <w:sz w:val="24"/>
          <w:szCs w:val="24"/>
          <w:shd w:val="clear" w:color="auto" w:fill="FFFFFF"/>
        </w:rPr>
        <w:t xml:space="preserve">, A.S., </w:t>
      </w:r>
      <w:proofErr w:type="spellStart"/>
      <w:r w:rsidRPr="00505AA8">
        <w:rPr>
          <w:rFonts w:asciiTheme="majorBidi" w:hAnsiTheme="majorBidi" w:cstheme="majorBidi"/>
          <w:color w:val="222222"/>
          <w:sz w:val="24"/>
          <w:szCs w:val="24"/>
          <w:shd w:val="clear" w:color="auto" w:fill="FFFFFF"/>
        </w:rPr>
        <w:t>Naotunna</w:t>
      </w:r>
      <w:proofErr w:type="spellEnd"/>
      <w:r w:rsidRPr="00505AA8">
        <w:rPr>
          <w:rFonts w:asciiTheme="majorBidi" w:hAnsiTheme="majorBidi" w:cstheme="majorBidi"/>
          <w:color w:val="222222"/>
          <w:sz w:val="24"/>
          <w:szCs w:val="24"/>
          <w:shd w:val="clear" w:color="auto" w:fill="FFFFFF"/>
        </w:rPr>
        <w:t>, N.P.G.S.I. and Priyankara, H.P.R., 2021. Battling COVID-19 with human resource management bundling. </w:t>
      </w:r>
      <w:r w:rsidRPr="00505AA8">
        <w:rPr>
          <w:rFonts w:asciiTheme="majorBidi" w:hAnsiTheme="majorBidi" w:cstheme="majorBidi"/>
          <w:i/>
          <w:iCs/>
          <w:color w:val="222222"/>
          <w:sz w:val="24"/>
          <w:szCs w:val="24"/>
          <w:shd w:val="clear" w:color="auto" w:fill="FFFFFF"/>
        </w:rPr>
        <w:t>Employee Relations: The International Journal</w:t>
      </w:r>
      <w:r w:rsidRPr="00505AA8">
        <w:rPr>
          <w:rFonts w:asciiTheme="majorBidi" w:hAnsiTheme="majorBidi" w:cstheme="majorBidi"/>
          <w:color w:val="222222"/>
          <w:sz w:val="24"/>
          <w:szCs w:val="24"/>
          <w:shd w:val="clear" w:color="auto" w:fill="FFFFFF"/>
        </w:rPr>
        <w:t>, </w:t>
      </w:r>
      <w:r w:rsidRPr="00505AA8">
        <w:rPr>
          <w:rFonts w:asciiTheme="majorBidi" w:hAnsiTheme="majorBidi" w:cstheme="majorBidi"/>
          <w:i/>
          <w:iCs/>
          <w:color w:val="222222"/>
          <w:sz w:val="24"/>
          <w:szCs w:val="24"/>
          <w:shd w:val="clear" w:color="auto" w:fill="FFFFFF"/>
        </w:rPr>
        <w:t>43</w:t>
      </w:r>
      <w:r w:rsidRPr="00505AA8">
        <w:rPr>
          <w:rFonts w:asciiTheme="majorBidi" w:hAnsiTheme="majorBidi" w:cstheme="majorBidi"/>
          <w:color w:val="222222"/>
          <w:sz w:val="24"/>
          <w:szCs w:val="24"/>
          <w:shd w:val="clear" w:color="auto" w:fill="FFFFFF"/>
        </w:rPr>
        <w:t>(6), pp.1269-1289.</w:t>
      </w:r>
    </w:p>
    <w:p w14:paraId="02893EB6" w14:textId="77777777" w:rsidR="009E70F7" w:rsidRPr="00505AA8" w:rsidRDefault="009E70F7" w:rsidP="00505AA8">
      <w:pPr>
        <w:pStyle w:val="ListParagraph"/>
        <w:numPr>
          <w:ilvl w:val="0"/>
          <w:numId w:val="1"/>
        </w:numPr>
        <w:spacing w:line="360" w:lineRule="auto"/>
        <w:jc w:val="both"/>
        <w:rPr>
          <w:rFonts w:asciiTheme="majorBidi" w:hAnsiTheme="majorBidi" w:cstheme="majorBidi"/>
          <w:color w:val="222222"/>
          <w:sz w:val="24"/>
          <w:szCs w:val="24"/>
          <w:shd w:val="clear" w:color="auto" w:fill="FFFFFF"/>
        </w:rPr>
      </w:pPr>
      <w:r w:rsidRPr="00505AA8">
        <w:rPr>
          <w:rFonts w:asciiTheme="majorBidi" w:hAnsiTheme="majorBidi" w:cstheme="majorBidi"/>
          <w:color w:val="222222"/>
          <w:sz w:val="24"/>
          <w:szCs w:val="24"/>
          <w:shd w:val="clear" w:color="auto" w:fill="FFFFFF"/>
        </w:rPr>
        <w:t>Cattermole, G., 2019. Developing the employee lifecycle to keep top talent. </w:t>
      </w:r>
      <w:r w:rsidRPr="00505AA8">
        <w:rPr>
          <w:rFonts w:asciiTheme="majorBidi" w:hAnsiTheme="majorBidi" w:cstheme="majorBidi"/>
          <w:i/>
          <w:iCs/>
          <w:color w:val="222222"/>
          <w:sz w:val="24"/>
          <w:szCs w:val="24"/>
          <w:shd w:val="clear" w:color="auto" w:fill="FFFFFF"/>
        </w:rPr>
        <w:t>Strategic HR review</w:t>
      </w:r>
      <w:r w:rsidRPr="00505AA8">
        <w:rPr>
          <w:rFonts w:asciiTheme="majorBidi" w:hAnsiTheme="majorBidi" w:cstheme="majorBidi"/>
          <w:color w:val="222222"/>
          <w:sz w:val="24"/>
          <w:szCs w:val="24"/>
          <w:shd w:val="clear" w:color="auto" w:fill="FFFFFF"/>
        </w:rPr>
        <w:t>, </w:t>
      </w:r>
      <w:r w:rsidRPr="00505AA8">
        <w:rPr>
          <w:rFonts w:asciiTheme="majorBidi" w:hAnsiTheme="majorBidi" w:cstheme="majorBidi"/>
          <w:i/>
          <w:iCs/>
          <w:color w:val="222222"/>
          <w:sz w:val="24"/>
          <w:szCs w:val="24"/>
          <w:shd w:val="clear" w:color="auto" w:fill="FFFFFF"/>
        </w:rPr>
        <w:t>18</w:t>
      </w:r>
      <w:r w:rsidRPr="00505AA8">
        <w:rPr>
          <w:rFonts w:asciiTheme="majorBidi" w:hAnsiTheme="majorBidi" w:cstheme="majorBidi"/>
          <w:color w:val="222222"/>
          <w:sz w:val="24"/>
          <w:szCs w:val="24"/>
          <w:shd w:val="clear" w:color="auto" w:fill="FFFFFF"/>
        </w:rPr>
        <w:t>(6), pp.258-262.</w:t>
      </w:r>
    </w:p>
    <w:p w14:paraId="663772B4" w14:textId="77777777" w:rsidR="009E70F7" w:rsidRPr="00505AA8" w:rsidRDefault="009E70F7" w:rsidP="00505AA8">
      <w:pPr>
        <w:pStyle w:val="ListParagraph"/>
        <w:numPr>
          <w:ilvl w:val="0"/>
          <w:numId w:val="1"/>
        </w:numPr>
        <w:spacing w:line="360" w:lineRule="auto"/>
        <w:jc w:val="both"/>
        <w:rPr>
          <w:rFonts w:asciiTheme="majorBidi" w:hAnsiTheme="majorBidi" w:cstheme="majorBidi"/>
          <w:color w:val="222222"/>
          <w:sz w:val="24"/>
          <w:szCs w:val="24"/>
          <w:shd w:val="clear" w:color="auto" w:fill="FFFFFF"/>
        </w:rPr>
      </w:pPr>
      <w:r w:rsidRPr="00505AA8">
        <w:rPr>
          <w:rFonts w:asciiTheme="majorBidi" w:hAnsiTheme="majorBidi" w:cstheme="majorBidi"/>
          <w:color w:val="222222"/>
          <w:sz w:val="24"/>
          <w:szCs w:val="24"/>
          <w:shd w:val="clear" w:color="auto" w:fill="FFFFFF"/>
        </w:rPr>
        <w:t>Dorsey, J.R., 2019. </w:t>
      </w:r>
      <w:r w:rsidRPr="00505AA8">
        <w:rPr>
          <w:rFonts w:asciiTheme="majorBidi" w:hAnsiTheme="majorBidi" w:cstheme="majorBidi"/>
          <w:i/>
          <w:iCs/>
          <w:color w:val="222222"/>
          <w:sz w:val="24"/>
          <w:szCs w:val="24"/>
          <w:shd w:val="clear" w:color="auto" w:fill="FFFFFF"/>
        </w:rPr>
        <w:t>Y-size your business: how Gen Y employees can save you money and grow your business</w:t>
      </w:r>
      <w:r w:rsidRPr="00505AA8">
        <w:rPr>
          <w:rFonts w:asciiTheme="majorBidi" w:hAnsiTheme="majorBidi" w:cstheme="majorBidi"/>
          <w:color w:val="222222"/>
          <w:sz w:val="24"/>
          <w:szCs w:val="24"/>
          <w:shd w:val="clear" w:color="auto" w:fill="FFFFFF"/>
        </w:rPr>
        <w:t>. John Wiley &amp; Sons.</w:t>
      </w:r>
    </w:p>
    <w:p w14:paraId="78385222" w14:textId="77777777" w:rsidR="009E70F7" w:rsidRPr="00505AA8" w:rsidRDefault="009E70F7" w:rsidP="00505AA8">
      <w:pPr>
        <w:pStyle w:val="ListParagraph"/>
        <w:numPr>
          <w:ilvl w:val="0"/>
          <w:numId w:val="1"/>
        </w:numPr>
        <w:spacing w:line="360" w:lineRule="auto"/>
        <w:jc w:val="both"/>
        <w:rPr>
          <w:rFonts w:asciiTheme="majorBidi" w:hAnsiTheme="majorBidi" w:cstheme="majorBidi"/>
          <w:color w:val="222222"/>
          <w:sz w:val="24"/>
          <w:szCs w:val="24"/>
          <w:shd w:val="clear" w:color="auto" w:fill="FFFFFF"/>
        </w:rPr>
      </w:pPr>
      <w:proofErr w:type="spellStart"/>
      <w:r w:rsidRPr="00505AA8">
        <w:rPr>
          <w:rFonts w:asciiTheme="majorBidi" w:hAnsiTheme="majorBidi" w:cstheme="majorBidi"/>
          <w:color w:val="222222"/>
          <w:sz w:val="24"/>
          <w:szCs w:val="24"/>
          <w:shd w:val="clear" w:color="auto" w:fill="FFFFFF"/>
        </w:rPr>
        <w:t>Kooij</w:t>
      </w:r>
      <w:proofErr w:type="spellEnd"/>
      <w:r w:rsidRPr="00505AA8">
        <w:rPr>
          <w:rFonts w:asciiTheme="majorBidi" w:hAnsiTheme="majorBidi" w:cstheme="majorBidi"/>
          <w:color w:val="222222"/>
          <w:sz w:val="24"/>
          <w:szCs w:val="24"/>
          <w:shd w:val="clear" w:color="auto" w:fill="FFFFFF"/>
        </w:rPr>
        <w:t xml:space="preserve">, D.T. and </w:t>
      </w:r>
      <w:proofErr w:type="spellStart"/>
      <w:r w:rsidRPr="00505AA8">
        <w:rPr>
          <w:rFonts w:asciiTheme="majorBidi" w:hAnsiTheme="majorBidi" w:cstheme="majorBidi"/>
          <w:color w:val="222222"/>
          <w:sz w:val="24"/>
          <w:szCs w:val="24"/>
          <w:shd w:val="clear" w:color="auto" w:fill="FFFFFF"/>
        </w:rPr>
        <w:t>Kanfer</w:t>
      </w:r>
      <w:proofErr w:type="spellEnd"/>
      <w:r w:rsidRPr="00505AA8">
        <w:rPr>
          <w:rFonts w:asciiTheme="majorBidi" w:hAnsiTheme="majorBidi" w:cstheme="majorBidi"/>
          <w:color w:val="222222"/>
          <w:sz w:val="24"/>
          <w:szCs w:val="24"/>
          <w:shd w:val="clear" w:color="auto" w:fill="FFFFFF"/>
        </w:rPr>
        <w:t>, R., 2019. Lifespan perspectives on work motivation. In </w:t>
      </w:r>
      <w:r w:rsidRPr="00505AA8">
        <w:rPr>
          <w:rFonts w:asciiTheme="majorBidi" w:hAnsiTheme="majorBidi" w:cstheme="majorBidi"/>
          <w:i/>
          <w:iCs/>
          <w:color w:val="222222"/>
          <w:sz w:val="24"/>
          <w:szCs w:val="24"/>
          <w:shd w:val="clear" w:color="auto" w:fill="FFFFFF"/>
        </w:rPr>
        <w:t>Work across the lifespan</w:t>
      </w:r>
      <w:r w:rsidRPr="00505AA8">
        <w:rPr>
          <w:rFonts w:asciiTheme="majorBidi" w:hAnsiTheme="majorBidi" w:cstheme="majorBidi"/>
          <w:color w:val="222222"/>
          <w:sz w:val="24"/>
          <w:szCs w:val="24"/>
          <w:shd w:val="clear" w:color="auto" w:fill="FFFFFF"/>
        </w:rPr>
        <w:t> (pp. 475-493). Academic Press.</w:t>
      </w:r>
    </w:p>
    <w:p w14:paraId="23B3E507" w14:textId="77777777" w:rsidR="009E70F7" w:rsidRPr="00505AA8" w:rsidRDefault="009E70F7" w:rsidP="00505AA8">
      <w:pPr>
        <w:pStyle w:val="ListParagraph"/>
        <w:numPr>
          <w:ilvl w:val="0"/>
          <w:numId w:val="1"/>
        </w:numPr>
        <w:spacing w:before="240" w:after="240" w:line="360" w:lineRule="auto"/>
        <w:jc w:val="both"/>
        <w:rPr>
          <w:rFonts w:asciiTheme="majorBidi" w:hAnsiTheme="majorBidi" w:cstheme="majorBidi"/>
          <w:color w:val="222222"/>
          <w:sz w:val="24"/>
          <w:szCs w:val="24"/>
          <w:shd w:val="clear" w:color="auto" w:fill="FFFFFF"/>
        </w:rPr>
      </w:pPr>
      <w:r w:rsidRPr="00505AA8">
        <w:rPr>
          <w:rFonts w:asciiTheme="majorBidi" w:hAnsiTheme="majorBidi" w:cstheme="majorBidi"/>
          <w:color w:val="222222"/>
          <w:sz w:val="24"/>
          <w:szCs w:val="24"/>
          <w:shd w:val="clear" w:color="auto" w:fill="FFFFFF"/>
        </w:rPr>
        <w:t>Kular, S., Gatenby, M., Rees, C., Soane, E. and Truss, K., 2018. Employee engagement: A literature review.</w:t>
      </w:r>
    </w:p>
    <w:p w14:paraId="47660EFD" w14:textId="77777777" w:rsidR="009E70F7" w:rsidRPr="00505AA8" w:rsidRDefault="009E70F7" w:rsidP="00505AA8">
      <w:pPr>
        <w:pStyle w:val="ListParagraph"/>
        <w:numPr>
          <w:ilvl w:val="0"/>
          <w:numId w:val="1"/>
        </w:numPr>
        <w:spacing w:line="360" w:lineRule="auto"/>
        <w:jc w:val="both"/>
        <w:rPr>
          <w:rFonts w:asciiTheme="majorBidi" w:hAnsiTheme="majorBidi" w:cstheme="majorBidi"/>
          <w:color w:val="222222"/>
          <w:sz w:val="24"/>
          <w:szCs w:val="24"/>
          <w:shd w:val="clear" w:color="auto" w:fill="FFFFFF"/>
        </w:rPr>
      </w:pPr>
      <w:r w:rsidRPr="00505AA8">
        <w:rPr>
          <w:rFonts w:asciiTheme="majorBidi" w:hAnsiTheme="majorBidi" w:cstheme="majorBidi"/>
          <w:color w:val="222222"/>
          <w:sz w:val="24"/>
          <w:szCs w:val="24"/>
          <w:shd w:val="clear" w:color="auto" w:fill="FFFFFF"/>
        </w:rPr>
        <w:t>Kwon, K. and Park, J., 2019. The life cycle of employee engagement theory in HRD research. </w:t>
      </w:r>
      <w:r w:rsidRPr="00505AA8">
        <w:rPr>
          <w:rFonts w:asciiTheme="majorBidi" w:hAnsiTheme="majorBidi" w:cstheme="majorBidi"/>
          <w:i/>
          <w:iCs/>
          <w:color w:val="222222"/>
          <w:sz w:val="24"/>
          <w:szCs w:val="24"/>
          <w:shd w:val="clear" w:color="auto" w:fill="FFFFFF"/>
        </w:rPr>
        <w:t>Advances in Developing Human Resources</w:t>
      </w:r>
      <w:r w:rsidRPr="00505AA8">
        <w:rPr>
          <w:rFonts w:asciiTheme="majorBidi" w:hAnsiTheme="majorBidi" w:cstheme="majorBidi"/>
          <w:color w:val="222222"/>
          <w:sz w:val="24"/>
          <w:szCs w:val="24"/>
          <w:shd w:val="clear" w:color="auto" w:fill="FFFFFF"/>
        </w:rPr>
        <w:t>, </w:t>
      </w:r>
      <w:r w:rsidRPr="00505AA8">
        <w:rPr>
          <w:rFonts w:asciiTheme="majorBidi" w:hAnsiTheme="majorBidi" w:cstheme="majorBidi"/>
          <w:i/>
          <w:iCs/>
          <w:color w:val="222222"/>
          <w:sz w:val="24"/>
          <w:szCs w:val="24"/>
          <w:shd w:val="clear" w:color="auto" w:fill="FFFFFF"/>
        </w:rPr>
        <w:t>21</w:t>
      </w:r>
      <w:r w:rsidRPr="00505AA8">
        <w:rPr>
          <w:rFonts w:asciiTheme="majorBidi" w:hAnsiTheme="majorBidi" w:cstheme="majorBidi"/>
          <w:color w:val="222222"/>
          <w:sz w:val="24"/>
          <w:szCs w:val="24"/>
          <w:shd w:val="clear" w:color="auto" w:fill="FFFFFF"/>
        </w:rPr>
        <w:t>(3), pp.352-370.</w:t>
      </w:r>
    </w:p>
    <w:p w14:paraId="3159EAC2" w14:textId="77777777" w:rsidR="009E70F7" w:rsidRPr="00505AA8" w:rsidRDefault="009E70F7" w:rsidP="00505AA8">
      <w:pPr>
        <w:pStyle w:val="ListParagraph"/>
        <w:numPr>
          <w:ilvl w:val="0"/>
          <w:numId w:val="1"/>
        </w:numPr>
        <w:spacing w:line="360" w:lineRule="auto"/>
        <w:jc w:val="both"/>
        <w:rPr>
          <w:rFonts w:asciiTheme="majorBidi" w:hAnsiTheme="majorBidi" w:cstheme="majorBidi"/>
          <w:color w:val="222222"/>
          <w:sz w:val="24"/>
          <w:szCs w:val="24"/>
          <w:shd w:val="clear" w:color="auto" w:fill="FFFFFF"/>
        </w:rPr>
      </w:pPr>
      <w:r w:rsidRPr="00505AA8">
        <w:rPr>
          <w:rFonts w:asciiTheme="majorBidi" w:hAnsiTheme="majorBidi" w:cstheme="majorBidi"/>
          <w:color w:val="222222"/>
          <w:sz w:val="24"/>
          <w:szCs w:val="24"/>
          <w:shd w:val="clear" w:color="auto" w:fill="FFFFFF"/>
        </w:rPr>
        <w:t xml:space="preserve">Malik, A., Srikanth, N.R. and </w:t>
      </w:r>
      <w:proofErr w:type="spellStart"/>
      <w:r w:rsidRPr="00505AA8">
        <w:rPr>
          <w:rFonts w:asciiTheme="majorBidi" w:hAnsiTheme="majorBidi" w:cstheme="majorBidi"/>
          <w:color w:val="222222"/>
          <w:sz w:val="24"/>
          <w:szCs w:val="24"/>
          <w:shd w:val="clear" w:color="auto" w:fill="FFFFFF"/>
        </w:rPr>
        <w:t>Budhwar</w:t>
      </w:r>
      <w:proofErr w:type="spellEnd"/>
      <w:r w:rsidRPr="00505AA8">
        <w:rPr>
          <w:rFonts w:asciiTheme="majorBidi" w:hAnsiTheme="majorBidi" w:cstheme="majorBidi"/>
          <w:color w:val="222222"/>
          <w:sz w:val="24"/>
          <w:szCs w:val="24"/>
          <w:shd w:val="clear" w:color="auto" w:fill="FFFFFF"/>
        </w:rPr>
        <w:t>, P., 2020. Digitisation, artificial intelligence (AI) and HRM. </w:t>
      </w:r>
      <w:r w:rsidRPr="00505AA8">
        <w:rPr>
          <w:rFonts w:asciiTheme="majorBidi" w:hAnsiTheme="majorBidi" w:cstheme="majorBidi"/>
          <w:i/>
          <w:iCs/>
          <w:color w:val="222222"/>
          <w:sz w:val="24"/>
          <w:szCs w:val="24"/>
          <w:shd w:val="clear" w:color="auto" w:fill="FFFFFF"/>
        </w:rPr>
        <w:t>Human resource management: Strategic and international perspectives</w:t>
      </w:r>
      <w:r w:rsidRPr="00505AA8">
        <w:rPr>
          <w:rFonts w:asciiTheme="majorBidi" w:hAnsiTheme="majorBidi" w:cstheme="majorBidi"/>
          <w:color w:val="222222"/>
          <w:sz w:val="24"/>
          <w:szCs w:val="24"/>
          <w:shd w:val="clear" w:color="auto" w:fill="FFFFFF"/>
        </w:rPr>
        <w:t>, pp.88-111.</w:t>
      </w:r>
    </w:p>
    <w:p w14:paraId="618FEF10" w14:textId="77777777" w:rsidR="009E70F7" w:rsidRPr="00505AA8" w:rsidRDefault="009E70F7" w:rsidP="00505AA8">
      <w:pPr>
        <w:pStyle w:val="ListParagraph"/>
        <w:numPr>
          <w:ilvl w:val="0"/>
          <w:numId w:val="1"/>
        </w:numPr>
        <w:spacing w:before="240" w:after="240" w:line="360" w:lineRule="auto"/>
        <w:jc w:val="both"/>
        <w:rPr>
          <w:rFonts w:asciiTheme="majorBidi" w:hAnsiTheme="majorBidi" w:cstheme="majorBidi"/>
          <w:sz w:val="24"/>
          <w:szCs w:val="24"/>
        </w:rPr>
      </w:pPr>
      <w:r w:rsidRPr="00505AA8">
        <w:rPr>
          <w:rFonts w:asciiTheme="majorBidi" w:hAnsiTheme="majorBidi" w:cstheme="majorBidi"/>
          <w:color w:val="222222"/>
          <w:sz w:val="24"/>
          <w:szCs w:val="24"/>
          <w:shd w:val="clear" w:color="auto" w:fill="FFFFFF"/>
        </w:rPr>
        <w:t>Markos, S. and Sridevi, M.S., 2020. Employee engagement: The key to improving performance. </w:t>
      </w:r>
      <w:r w:rsidRPr="00505AA8">
        <w:rPr>
          <w:rFonts w:asciiTheme="majorBidi" w:hAnsiTheme="majorBidi" w:cstheme="majorBidi"/>
          <w:i/>
          <w:iCs/>
          <w:color w:val="222222"/>
          <w:sz w:val="24"/>
          <w:szCs w:val="24"/>
          <w:shd w:val="clear" w:color="auto" w:fill="FFFFFF"/>
        </w:rPr>
        <w:t>International journal of business and management</w:t>
      </w:r>
      <w:r w:rsidRPr="00505AA8">
        <w:rPr>
          <w:rFonts w:asciiTheme="majorBidi" w:hAnsiTheme="majorBidi" w:cstheme="majorBidi"/>
          <w:color w:val="222222"/>
          <w:sz w:val="24"/>
          <w:szCs w:val="24"/>
          <w:shd w:val="clear" w:color="auto" w:fill="FFFFFF"/>
        </w:rPr>
        <w:t>, </w:t>
      </w:r>
      <w:r w:rsidRPr="00505AA8">
        <w:rPr>
          <w:rFonts w:asciiTheme="majorBidi" w:hAnsiTheme="majorBidi" w:cstheme="majorBidi"/>
          <w:i/>
          <w:iCs/>
          <w:color w:val="222222"/>
          <w:sz w:val="24"/>
          <w:szCs w:val="24"/>
          <w:shd w:val="clear" w:color="auto" w:fill="FFFFFF"/>
        </w:rPr>
        <w:t>5</w:t>
      </w:r>
      <w:r w:rsidRPr="00505AA8">
        <w:rPr>
          <w:rFonts w:asciiTheme="majorBidi" w:hAnsiTheme="majorBidi" w:cstheme="majorBidi"/>
          <w:color w:val="222222"/>
          <w:sz w:val="24"/>
          <w:szCs w:val="24"/>
          <w:shd w:val="clear" w:color="auto" w:fill="FFFFFF"/>
        </w:rPr>
        <w:t>(12), p.89.</w:t>
      </w:r>
    </w:p>
    <w:p w14:paraId="69D329CD" w14:textId="77777777" w:rsidR="009E70F7" w:rsidRPr="00505AA8" w:rsidRDefault="009E70F7" w:rsidP="00505AA8">
      <w:pPr>
        <w:pStyle w:val="ListParagraph"/>
        <w:numPr>
          <w:ilvl w:val="0"/>
          <w:numId w:val="1"/>
        </w:numPr>
        <w:spacing w:before="240" w:after="240" w:line="360" w:lineRule="auto"/>
        <w:jc w:val="both"/>
        <w:rPr>
          <w:rFonts w:asciiTheme="majorBidi" w:hAnsiTheme="majorBidi" w:cstheme="majorBidi"/>
          <w:color w:val="222222"/>
          <w:sz w:val="24"/>
          <w:szCs w:val="24"/>
          <w:shd w:val="clear" w:color="auto" w:fill="FFFFFF"/>
        </w:rPr>
      </w:pPr>
      <w:r w:rsidRPr="00505AA8">
        <w:rPr>
          <w:rFonts w:asciiTheme="majorBidi" w:hAnsiTheme="majorBidi" w:cstheme="majorBidi"/>
          <w:color w:val="222222"/>
          <w:sz w:val="24"/>
          <w:szCs w:val="24"/>
          <w:shd w:val="clear" w:color="auto" w:fill="FFFFFF"/>
        </w:rPr>
        <w:t>McBain, R., 2017. The practice of engagement: Research into current employee engagement practice. </w:t>
      </w:r>
      <w:r w:rsidRPr="00505AA8">
        <w:rPr>
          <w:rFonts w:asciiTheme="majorBidi" w:hAnsiTheme="majorBidi" w:cstheme="majorBidi"/>
          <w:i/>
          <w:iCs/>
          <w:color w:val="222222"/>
          <w:sz w:val="24"/>
          <w:szCs w:val="24"/>
          <w:shd w:val="clear" w:color="auto" w:fill="FFFFFF"/>
        </w:rPr>
        <w:t>Strategic HR review</w:t>
      </w:r>
      <w:r w:rsidRPr="00505AA8">
        <w:rPr>
          <w:rFonts w:asciiTheme="majorBidi" w:hAnsiTheme="majorBidi" w:cstheme="majorBidi"/>
          <w:color w:val="222222"/>
          <w:sz w:val="24"/>
          <w:szCs w:val="24"/>
          <w:shd w:val="clear" w:color="auto" w:fill="FFFFFF"/>
        </w:rPr>
        <w:t>, </w:t>
      </w:r>
      <w:r w:rsidRPr="00505AA8">
        <w:rPr>
          <w:rFonts w:asciiTheme="majorBidi" w:hAnsiTheme="majorBidi" w:cstheme="majorBidi"/>
          <w:i/>
          <w:iCs/>
          <w:color w:val="222222"/>
          <w:sz w:val="24"/>
          <w:szCs w:val="24"/>
          <w:shd w:val="clear" w:color="auto" w:fill="FFFFFF"/>
        </w:rPr>
        <w:t>6</w:t>
      </w:r>
      <w:r w:rsidRPr="00505AA8">
        <w:rPr>
          <w:rFonts w:asciiTheme="majorBidi" w:hAnsiTheme="majorBidi" w:cstheme="majorBidi"/>
          <w:color w:val="222222"/>
          <w:sz w:val="24"/>
          <w:szCs w:val="24"/>
          <w:shd w:val="clear" w:color="auto" w:fill="FFFFFF"/>
        </w:rPr>
        <w:t>(6), pp.16-19.</w:t>
      </w:r>
    </w:p>
    <w:p w14:paraId="64F79A60" w14:textId="77777777" w:rsidR="009E70F7" w:rsidRPr="00505AA8" w:rsidRDefault="009E70F7" w:rsidP="00505AA8">
      <w:pPr>
        <w:pStyle w:val="ListParagraph"/>
        <w:numPr>
          <w:ilvl w:val="0"/>
          <w:numId w:val="1"/>
        </w:numPr>
        <w:spacing w:line="360" w:lineRule="auto"/>
        <w:jc w:val="both"/>
        <w:rPr>
          <w:rFonts w:asciiTheme="majorBidi" w:hAnsiTheme="majorBidi" w:cstheme="majorBidi"/>
          <w:color w:val="222222"/>
          <w:sz w:val="24"/>
          <w:szCs w:val="24"/>
          <w:shd w:val="clear" w:color="auto" w:fill="FFFFFF"/>
        </w:rPr>
      </w:pPr>
      <w:r w:rsidRPr="00505AA8">
        <w:rPr>
          <w:rFonts w:asciiTheme="majorBidi" w:hAnsiTheme="majorBidi" w:cstheme="majorBidi"/>
          <w:color w:val="222222"/>
          <w:sz w:val="24"/>
          <w:szCs w:val="24"/>
          <w:shd w:val="clear" w:color="auto" w:fill="FFFFFF"/>
        </w:rPr>
        <w:t>Nayal, P., Pandey, N. and Paul, J., 2022. Covid‐19 pandemic and consumer‐employee‐organization wellbeing: A dynamic capability theory approach. </w:t>
      </w:r>
      <w:r w:rsidRPr="00505AA8">
        <w:rPr>
          <w:rFonts w:asciiTheme="majorBidi" w:hAnsiTheme="majorBidi" w:cstheme="majorBidi"/>
          <w:i/>
          <w:iCs/>
          <w:color w:val="222222"/>
          <w:sz w:val="24"/>
          <w:szCs w:val="24"/>
          <w:shd w:val="clear" w:color="auto" w:fill="FFFFFF"/>
        </w:rPr>
        <w:t>Journal of Consumer Affairs</w:t>
      </w:r>
      <w:r w:rsidRPr="00505AA8">
        <w:rPr>
          <w:rFonts w:asciiTheme="majorBidi" w:hAnsiTheme="majorBidi" w:cstheme="majorBidi"/>
          <w:color w:val="222222"/>
          <w:sz w:val="24"/>
          <w:szCs w:val="24"/>
          <w:shd w:val="clear" w:color="auto" w:fill="FFFFFF"/>
        </w:rPr>
        <w:t>, </w:t>
      </w:r>
      <w:r w:rsidRPr="00505AA8">
        <w:rPr>
          <w:rFonts w:asciiTheme="majorBidi" w:hAnsiTheme="majorBidi" w:cstheme="majorBidi"/>
          <w:i/>
          <w:iCs/>
          <w:color w:val="222222"/>
          <w:sz w:val="24"/>
          <w:szCs w:val="24"/>
          <w:shd w:val="clear" w:color="auto" w:fill="FFFFFF"/>
        </w:rPr>
        <w:t>56</w:t>
      </w:r>
      <w:r w:rsidRPr="00505AA8">
        <w:rPr>
          <w:rFonts w:asciiTheme="majorBidi" w:hAnsiTheme="majorBidi" w:cstheme="majorBidi"/>
          <w:color w:val="222222"/>
          <w:sz w:val="24"/>
          <w:szCs w:val="24"/>
          <w:shd w:val="clear" w:color="auto" w:fill="FFFFFF"/>
        </w:rPr>
        <w:t>(1), pp.359-390.</w:t>
      </w:r>
    </w:p>
    <w:p w14:paraId="09EA4D37" w14:textId="77777777" w:rsidR="009E70F7" w:rsidRPr="00505AA8" w:rsidRDefault="009E70F7" w:rsidP="00505AA8">
      <w:pPr>
        <w:pStyle w:val="ListParagraph"/>
        <w:numPr>
          <w:ilvl w:val="0"/>
          <w:numId w:val="1"/>
        </w:numPr>
        <w:spacing w:line="360" w:lineRule="auto"/>
        <w:jc w:val="both"/>
        <w:rPr>
          <w:rFonts w:asciiTheme="majorBidi" w:hAnsiTheme="majorBidi" w:cstheme="majorBidi"/>
          <w:color w:val="222222"/>
          <w:sz w:val="24"/>
          <w:szCs w:val="24"/>
          <w:shd w:val="clear" w:color="auto" w:fill="FFFFFF"/>
        </w:rPr>
      </w:pPr>
      <w:r w:rsidRPr="00505AA8">
        <w:rPr>
          <w:rFonts w:asciiTheme="majorBidi" w:hAnsiTheme="majorBidi" w:cstheme="majorBidi"/>
          <w:color w:val="222222"/>
          <w:sz w:val="24"/>
          <w:szCs w:val="24"/>
          <w:shd w:val="clear" w:color="auto" w:fill="FFFFFF"/>
        </w:rPr>
        <w:t>Rana, G. and Sharma, R., 2019. Emerging human resource management practices in Industry 4.0. </w:t>
      </w:r>
      <w:r w:rsidRPr="00505AA8">
        <w:rPr>
          <w:rFonts w:asciiTheme="majorBidi" w:hAnsiTheme="majorBidi" w:cstheme="majorBidi"/>
          <w:i/>
          <w:iCs/>
          <w:color w:val="222222"/>
          <w:sz w:val="24"/>
          <w:szCs w:val="24"/>
          <w:shd w:val="clear" w:color="auto" w:fill="FFFFFF"/>
        </w:rPr>
        <w:t>Strategic HR Review</w:t>
      </w:r>
      <w:r w:rsidRPr="00505AA8">
        <w:rPr>
          <w:rFonts w:asciiTheme="majorBidi" w:hAnsiTheme="majorBidi" w:cstheme="majorBidi"/>
          <w:color w:val="222222"/>
          <w:sz w:val="24"/>
          <w:szCs w:val="24"/>
          <w:shd w:val="clear" w:color="auto" w:fill="FFFFFF"/>
        </w:rPr>
        <w:t>.</w:t>
      </w:r>
    </w:p>
    <w:p w14:paraId="7CA0DF83" w14:textId="77777777" w:rsidR="009E70F7" w:rsidRPr="00505AA8" w:rsidRDefault="009E70F7" w:rsidP="00505AA8">
      <w:pPr>
        <w:pStyle w:val="ListParagraph"/>
        <w:numPr>
          <w:ilvl w:val="0"/>
          <w:numId w:val="1"/>
        </w:numPr>
        <w:spacing w:before="240" w:after="240" w:line="360" w:lineRule="auto"/>
        <w:jc w:val="both"/>
        <w:rPr>
          <w:rFonts w:asciiTheme="majorBidi" w:hAnsiTheme="majorBidi" w:cstheme="majorBidi"/>
          <w:color w:val="222222"/>
          <w:sz w:val="24"/>
          <w:szCs w:val="24"/>
          <w:shd w:val="clear" w:color="auto" w:fill="FFFFFF"/>
        </w:rPr>
      </w:pPr>
      <w:r w:rsidRPr="00505AA8">
        <w:rPr>
          <w:rFonts w:asciiTheme="majorBidi" w:hAnsiTheme="majorBidi" w:cstheme="majorBidi"/>
          <w:color w:val="222222"/>
          <w:sz w:val="24"/>
          <w:szCs w:val="24"/>
          <w:shd w:val="clear" w:color="auto" w:fill="FFFFFF"/>
        </w:rPr>
        <w:t>Rodrigues da Costa, L. and Maria Correia Loureiro, S., 2019. The importance of employees’ engagement on the organizational success. </w:t>
      </w:r>
      <w:r w:rsidRPr="00505AA8">
        <w:rPr>
          <w:rFonts w:asciiTheme="majorBidi" w:hAnsiTheme="majorBidi" w:cstheme="majorBidi"/>
          <w:i/>
          <w:iCs/>
          <w:color w:val="222222"/>
          <w:sz w:val="24"/>
          <w:szCs w:val="24"/>
          <w:shd w:val="clear" w:color="auto" w:fill="FFFFFF"/>
        </w:rPr>
        <w:t>Journal of Promotion Management</w:t>
      </w:r>
      <w:r w:rsidRPr="00505AA8">
        <w:rPr>
          <w:rFonts w:asciiTheme="majorBidi" w:hAnsiTheme="majorBidi" w:cstheme="majorBidi"/>
          <w:color w:val="222222"/>
          <w:sz w:val="24"/>
          <w:szCs w:val="24"/>
          <w:shd w:val="clear" w:color="auto" w:fill="FFFFFF"/>
        </w:rPr>
        <w:t>, </w:t>
      </w:r>
      <w:r w:rsidRPr="00505AA8">
        <w:rPr>
          <w:rFonts w:asciiTheme="majorBidi" w:hAnsiTheme="majorBidi" w:cstheme="majorBidi"/>
          <w:i/>
          <w:iCs/>
          <w:color w:val="222222"/>
          <w:sz w:val="24"/>
          <w:szCs w:val="24"/>
          <w:shd w:val="clear" w:color="auto" w:fill="FFFFFF"/>
        </w:rPr>
        <w:t>25</w:t>
      </w:r>
      <w:r w:rsidRPr="00505AA8">
        <w:rPr>
          <w:rFonts w:asciiTheme="majorBidi" w:hAnsiTheme="majorBidi" w:cstheme="majorBidi"/>
          <w:color w:val="222222"/>
          <w:sz w:val="24"/>
          <w:szCs w:val="24"/>
          <w:shd w:val="clear" w:color="auto" w:fill="FFFFFF"/>
        </w:rPr>
        <w:t>(3), pp.328-336.</w:t>
      </w:r>
    </w:p>
    <w:p w14:paraId="42ABAF0F" w14:textId="77777777" w:rsidR="009E70F7" w:rsidRPr="00505AA8" w:rsidRDefault="009E70F7" w:rsidP="00505AA8">
      <w:pPr>
        <w:pStyle w:val="ListParagraph"/>
        <w:numPr>
          <w:ilvl w:val="0"/>
          <w:numId w:val="1"/>
        </w:numPr>
        <w:spacing w:line="360" w:lineRule="auto"/>
        <w:jc w:val="both"/>
        <w:rPr>
          <w:rFonts w:asciiTheme="majorBidi" w:hAnsiTheme="majorBidi" w:cstheme="majorBidi"/>
          <w:color w:val="222222"/>
          <w:sz w:val="24"/>
          <w:szCs w:val="24"/>
          <w:shd w:val="clear" w:color="auto" w:fill="FFFFFF"/>
        </w:rPr>
      </w:pPr>
      <w:proofErr w:type="spellStart"/>
      <w:r w:rsidRPr="00505AA8">
        <w:rPr>
          <w:rFonts w:asciiTheme="majorBidi" w:hAnsiTheme="majorBidi" w:cstheme="majorBidi"/>
          <w:color w:val="222222"/>
          <w:sz w:val="24"/>
          <w:szCs w:val="24"/>
          <w:shd w:val="clear" w:color="auto" w:fill="FFFFFF"/>
        </w:rPr>
        <w:t>Rosethorn</w:t>
      </w:r>
      <w:proofErr w:type="spellEnd"/>
      <w:r w:rsidRPr="00505AA8">
        <w:rPr>
          <w:rFonts w:asciiTheme="majorBidi" w:hAnsiTheme="majorBidi" w:cstheme="majorBidi"/>
          <w:color w:val="222222"/>
          <w:sz w:val="24"/>
          <w:szCs w:val="24"/>
          <w:shd w:val="clear" w:color="auto" w:fill="FFFFFF"/>
        </w:rPr>
        <w:t>, H., 2019. </w:t>
      </w:r>
      <w:r w:rsidRPr="00505AA8">
        <w:rPr>
          <w:rFonts w:asciiTheme="majorBidi" w:hAnsiTheme="majorBidi" w:cstheme="majorBidi"/>
          <w:i/>
          <w:iCs/>
          <w:color w:val="222222"/>
          <w:sz w:val="24"/>
          <w:szCs w:val="24"/>
          <w:shd w:val="clear" w:color="auto" w:fill="FFFFFF"/>
        </w:rPr>
        <w:t>The employer brand: Keeping faith with the deal</w:t>
      </w:r>
      <w:r w:rsidRPr="00505AA8">
        <w:rPr>
          <w:rFonts w:asciiTheme="majorBidi" w:hAnsiTheme="majorBidi" w:cstheme="majorBidi"/>
          <w:color w:val="222222"/>
          <w:sz w:val="24"/>
          <w:szCs w:val="24"/>
          <w:shd w:val="clear" w:color="auto" w:fill="FFFFFF"/>
        </w:rPr>
        <w:t>. Gower Publishing, Ltd.</w:t>
      </w:r>
    </w:p>
    <w:p w14:paraId="4F679FB3" w14:textId="77777777" w:rsidR="009E70F7" w:rsidRPr="00505AA8" w:rsidRDefault="009E70F7" w:rsidP="00505AA8">
      <w:pPr>
        <w:pStyle w:val="ListParagraph"/>
        <w:numPr>
          <w:ilvl w:val="0"/>
          <w:numId w:val="1"/>
        </w:numPr>
        <w:spacing w:line="360" w:lineRule="auto"/>
        <w:jc w:val="both"/>
        <w:rPr>
          <w:rFonts w:asciiTheme="majorBidi" w:hAnsiTheme="majorBidi" w:cstheme="majorBidi"/>
          <w:color w:val="222222"/>
          <w:sz w:val="24"/>
          <w:szCs w:val="24"/>
          <w:shd w:val="clear" w:color="auto" w:fill="FFFFFF"/>
        </w:rPr>
      </w:pPr>
      <w:r w:rsidRPr="00505AA8">
        <w:rPr>
          <w:rFonts w:asciiTheme="majorBidi" w:hAnsiTheme="majorBidi" w:cstheme="majorBidi"/>
          <w:color w:val="222222"/>
          <w:sz w:val="24"/>
          <w:szCs w:val="24"/>
          <w:shd w:val="clear" w:color="auto" w:fill="FFFFFF"/>
        </w:rPr>
        <w:lastRenderedPageBreak/>
        <w:t>Schwartz, J., Hatfield, S., Jones, R. and Anderson, S., 2019. What is the future of work. </w:t>
      </w:r>
      <w:r w:rsidRPr="00505AA8">
        <w:rPr>
          <w:rFonts w:asciiTheme="majorBidi" w:hAnsiTheme="majorBidi" w:cstheme="majorBidi"/>
          <w:i/>
          <w:iCs/>
          <w:color w:val="222222"/>
          <w:sz w:val="24"/>
          <w:szCs w:val="24"/>
          <w:shd w:val="clear" w:color="auto" w:fill="FFFFFF"/>
        </w:rPr>
        <w:t>Redefining work, workforces, and workplaces [published online April 1, 2019]. Deloitte Insights: ed</w:t>
      </w:r>
      <w:r w:rsidRPr="00505AA8">
        <w:rPr>
          <w:rFonts w:asciiTheme="majorBidi" w:hAnsiTheme="majorBidi" w:cstheme="majorBidi"/>
          <w:color w:val="222222"/>
          <w:sz w:val="24"/>
          <w:szCs w:val="24"/>
          <w:shd w:val="clear" w:color="auto" w:fill="FFFFFF"/>
        </w:rPr>
        <w:t>.</w:t>
      </w:r>
    </w:p>
    <w:p w14:paraId="55667A48" w14:textId="77777777" w:rsidR="009E70F7" w:rsidRPr="00505AA8" w:rsidRDefault="009E70F7" w:rsidP="00505AA8">
      <w:pPr>
        <w:pStyle w:val="ListParagraph"/>
        <w:numPr>
          <w:ilvl w:val="0"/>
          <w:numId w:val="1"/>
        </w:numPr>
        <w:spacing w:line="360" w:lineRule="auto"/>
        <w:jc w:val="both"/>
        <w:rPr>
          <w:rFonts w:asciiTheme="majorBidi" w:hAnsiTheme="majorBidi" w:cstheme="majorBidi"/>
          <w:color w:val="222222"/>
          <w:sz w:val="24"/>
          <w:szCs w:val="24"/>
          <w:shd w:val="clear" w:color="auto" w:fill="FFFFFF"/>
        </w:rPr>
      </w:pPr>
      <w:proofErr w:type="spellStart"/>
      <w:r w:rsidRPr="00505AA8">
        <w:rPr>
          <w:rFonts w:asciiTheme="majorBidi" w:hAnsiTheme="majorBidi" w:cstheme="majorBidi"/>
          <w:color w:val="222222"/>
          <w:sz w:val="24"/>
          <w:szCs w:val="24"/>
          <w:shd w:val="clear" w:color="auto" w:fill="FFFFFF"/>
        </w:rPr>
        <w:t>Shambi</w:t>
      </w:r>
      <w:proofErr w:type="spellEnd"/>
      <w:r w:rsidRPr="00505AA8">
        <w:rPr>
          <w:rFonts w:asciiTheme="majorBidi" w:hAnsiTheme="majorBidi" w:cstheme="majorBidi"/>
          <w:color w:val="222222"/>
          <w:sz w:val="24"/>
          <w:szCs w:val="24"/>
          <w:shd w:val="clear" w:color="auto" w:fill="FFFFFF"/>
        </w:rPr>
        <w:t>, J., 2021. Redefining employee experience during the pandemic.</w:t>
      </w:r>
    </w:p>
    <w:p w14:paraId="576DF758" w14:textId="77777777" w:rsidR="009E70F7" w:rsidRPr="00505AA8" w:rsidRDefault="009E70F7" w:rsidP="00505AA8">
      <w:pPr>
        <w:pStyle w:val="ListParagraph"/>
        <w:numPr>
          <w:ilvl w:val="0"/>
          <w:numId w:val="1"/>
        </w:numPr>
        <w:spacing w:line="360" w:lineRule="auto"/>
        <w:jc w:val="both"/>
        <w:rPr>
          <w:rFonts w:asciiTheme="majorBidi" w:hAnsiTheme="majorBidi" w:cstheme="majorBidi"/>
          <w:color w:val="222222"/>
          <w:sz w:val="24"/>
          <w:szCs w:val="24"/>
          <w:shd w:val="clear" w:color="auto" w:fill="FFFFFF"/>
        </w:rPr>
      </w:pPr>
      <w:r w:rsidRPr="00505AA8">
        <w:rPr>
          <w:rFonts w:asciiTheme="majorBidi" w:hAnsiTheme="majorBidi" w:cstheme="majorBidi"/>
          <w:color w:val="222222"/>
          <w:sz w:val="24"/>
          <w:szCs w:val="24"/>
          <w:shd w:val="clear" w:color="auto" w:fill="FFFFFF"/>
        </w:rPr>
        <w:t xml:space="preserve">Shane, J. and </w:t>
      </w:r>
      <w:proofErr w:type="spellStart"/>
      <w:r w:rsidRPr="00505AA8">
        <w:rPr>
          <w:rFonts w:asciiTheme="majorBidi" w:hAnsiTheme="majorBidi" w:cstheme="majorBidi"/>
          <w:color w:val="222222"/>
          <w:sz w:val="24"/>
          <w:szCs w:val="24"/>
          <w:shd w:val="clear" w:color="auto" w:fill="FFFFFF"/>
        </w:rPr>
        <w:t>Heckhausen</w:t>
      </w:r>
      <w:proofErr w:type="spellEnd"/>
      <w:r w:rsidRPr="00505AA8">
        <w:rPr>
          <w:rFonts w:asciiTheme="majorBidi" w:hAnsiTheme="majorBidi" w:cstheme="majorBidi"/>
          <w:color w:val="222222"/>
          <w:sz w:val="24"/>
          <w:szCs w:val="24"/>
          <w:shd w:val="clear" w:color="auto" w:fill="FFFFFF"/>
        </w:rPr>
        <w:t>, J., 2019. Motivational theory of lifespan development. In </w:t>
      </w:r>
      <w:r w:rsidRPr="00505AA8">
        <w:rPr>
          <w:rFonts w:asciiTheme="majorBidi" w:hAnsiTheme="majorBidi" w:cstheme="majorBidi"/>
          <w:i/>
          <w:iCs/>
          <w:color w:val="222222"/>
          <w:sz w:val="24"/>
          <w:szCs w:val="24"/>
          <w:shd w:val="clear" w:color="auto" w:fill="FFFFFF"/>
        </w:rPr>
        <w:t>Work across the lifespan</w:t>
      </w:r>
      <w:r w:rsidRPr="00505AA8">
        <w:rPr>
          <w:rFonts w:asciiTheme="majorBidi" w:hAnsiTheme="majorBidi" w:cstheme="majorBidi"/>
          <w:color w:val="222222"/>
          <w:sz w:val="24"/>
          <w:szCs w:val="24"/>
          <w:shd w:val="clear" w:color="auto" w:fill="FFFFFF"/>
        </w:rPr>
        <w:t> (pp. 111-134). Academic Press.</w:t>
      </w:r>
    </w:p>
    <w:p w14:paraId="30B6C6FB" w14:textId="77777777" w:rsidR="009E70F7" w:rsidRPr="00505AA8" w:rsidRDefault="009E70F7" w:rsidP="00505AA8">
      <w:pPr>
        <w:pStyle w:val="ListParagraph"/>
        <w:numPr>
          <w:ilvl w:val="0"/>
          <w:numId w:val="1"/>
        </w:numPr>
        <w:spacing w:line="360" w:lineRule="auto"/>
        <w:jc w:val="both"/>
        <w:rPr>
          <w:rFonts w:asciiTheme="majorBidi" w:hAnsiTheme="majorBidi" w:cstheme="majorBidi"/>
          <w:color w:val="222222"/>
          <w:sz w:val="24"/>
          <w:szCs w:val="24"/>
          <w:shd w:val="clear" w:color="auto" w:fill="FFFFFF"/>
        </w:rPr>
      </w:pPr>
      <w:r w:rsidRPr="00505AA8">
        <w:rPr>
          <w:rFonts w:asciiTheme="majorBidi" w:hAnsiTheme="majorBidi" w:cstheme="majorBidi"/>
          <w:color w:val="222222"/>
          <w:sz w:val="24"/>
          <w:szCs w:val="24"/>
          <w:shd w:val="clear" w:color="auto" w:fill="FFFFFF"/>
        </w:rPr>
        <w:t>Singh, D., 2019. A literature review on employee retention with focus on recent trends. </w:t>
      </w:r>
      <w:r w:rsidRPr="00505AA8">
        <w:rPr>
          <w:rFonts w:asciiTheme="majorBidi" w:hAnsiTheme="majorBidi" w:cstheme="majorBidi"/>
          <w:i/>
          <w:iCs/>
          <w:color w:val="222222"/>
          <w:sz w:val="24"/>
          <w:szCs w:val="24"/>
          <w:shd w:val="clear" w:color="auto" w:fill="FFFFFF"/>
        </w:rPr>
        <w:t>International Journal of Scientific Research in Science and Technology</w:t>
      </w:r>
      <w:r w:rsidRPr="00505AA8">
        <w:rPr>
          <w:rFonts w:asciiTheme="majorBidi" w:hAnsiTheme="majorBidi" w:cstheme="majorBidi"/>
          <w:color w:val="222222"/>
          <w:sz w:val="24"/>
          <w:szCs w:val="24"/>
          <w:shd w:val="clear" w:color="auto" w:fill="FFFFFF"/>
        </w:rPr>
        <w:t>, </w:t>
      </w:r>
      <w:r w:rsidRPr="00505AA8">
        <w:rPr>
          <w:rFonts w:asciiTheme="majorBidi" w:hAnsiTheme="majorBidi" w:cstheme="majorBidi"/>
          <w:i/>
          <w:iCs/>
          <w:color w:val="222222"/>
          <w:sz w:val="24"/>
          <w:szCs w:val="24"/>
          <w:shd w:val="clear" w:color="auto" w:fill="FFFFFF"/>
        </w:rPr>
        <w:t>6</w:t>
      </w:r>
      <w:r w:rsidRPr="00505AA8">
        <w:rPr>
          <w:rFonts w:asciiTheme="majorBidi" w:hAnsiTheme="majorBidi" w:cstheme="majorBidi"/>
          <w:color w:val="222222"/>
          <w:sz w:val="24"/>
          <w:szCs w:val="24"/>
          <w:shd w:val="clear" w:color="auto" w:fill="FFFFFF"/>
        </w:rPr>
        <w:t>(1), pp.425-431.</w:t>
      </w:r>
    </w:p>
    <w:p w14:paraId="6EFC671E" w14:textId="77777777" w:rsidR="009E70F7" w:rsidRPr="00505AA8" w:rsidRDefault="009E70F7" w:rsidP="00505AA8">
      <w:pPr>
        <w:pStyle w:val="ListParagraph"/>
        <w:numPr>
          <w:ilvl w:val="0"/>
          <w:numId w:val="1"/>
        </w:numPr>
        <w:spacing w:before="240" w:after="240" w:line="360" w:lineRule="auto"/>
        <w:jc w:val="both"/>
        <w:rPr>
          <w:rFonts w:asciiTheme="majorBidi" w:hAnsiTheme="majorBidi" w:cstheme="majorBidi"/>
          <w:color w:val="222222"/>
          <w:sz w:val="24"/>
          <w:szCs w:val="24"/>
          <w:shd w:val="clear" w:color="auto" w:fill="FFFFFF"/>
        </w:rPr>
      </w:pPr>
      <w:r w:rsidRPr="00505AA8">
        <w:rPr>
          <w:rFonts w:asciiTheme="majorBidi" w:hAnsiTheme="majorBidi" w:cstheme="majorBidi"/>
          <w:color w:val="222222"/>
          <w:sz w:val="24"/>
          <w:szCs w:val="24"/>
          <w:shd w:val="clear" w:color="auto" w:fill="FFFFFF"/>
        </w:rPr>
        <w:t xml:space="preserve">Sun, L. and </w:t>
      </w:r>
      <w:proofErr w:type="spellStart"/>
      <w:r w:rsidRPr="00505AA8">
        <w:rPr>
          <w:rFonts w:asciiTheme="majorBidi" w:hAnsiTheme="majorBidi" w:cstheme="majorBidi"/>
          <w:color w:val="222222"/>
          <w:sz w:val="24"/>
          <w:szCs w:val="24"/>
          <w:shd w:val="clear" w:color="auto" w:fill="FFFFFF"/>
        </w:rPr>
        <w:t>Bunchapattanasakda</w:t>
      </w:r>
      <w:proofErr w:type="spellEnd"/>
      <w:r w:rsidRPr="00505AA8">
        <w:rPr>
          <w:rFonts w:asciiTheme="majorBidi" w:hAnsiTheme="majorBidi" w:cstheme="majorBidi"/>
          <w:color w:val="222222"/>
          <w:sz w:val="24"/>
          <w:szCs w:val="24"/>
          <w:shd w:val="clear" w:color="auto" w:fill="FFFFFF"/>
        </w:rPr>
        <w:t>, C., 2019. Employee engagement: A literature review. </w:t>
      </w:r>
      <w:r w:rsidRPr="00505AA8">
        <w:rPr>
          <w:rFonts w:asciiTheme="majorBidi" w:hAnsiTheme="majorBidi" w:cstheme="majorBidi"/>
          <w:i/>
          <w:iCs/>
          <w:color w:val="222222"/>
          <w:sz w:val="24"/>
          <w:szCs w:val="24"/>
          <w:shd w:val="clear" w:color="auto" w:fill="FFFFFF"/>
        </w:rPr>
        <w:t>International Journal of Human Resource Studies</w:t>
      </w:r>
      <w:r w:rsidRPr="00505AA8">
        <w:rPr>
          <w:rFonts w:asciiTheme="majorBidi" w:hAnsiTheme="majorBidi" w:cstheme="majorBidi"/>
          <w:color w:val="222222"/>
          <w:sz w:val="24"/>
          <w:szCs w:val="24"/>
          <w:shd w:val="clear" w:color="auto" w:fill="FFFFFF"/>
        </w:rPr>
        <w:t>, </w:t>
      </w:r>
      <w:r w:rsidRPr="00505AA8">
        <w:rPr>
          <w:rFonts w:asciiTheme="majorBidi" w:hAnsiTheme="majorBidi" w:cstheme="majorBidi"/>
          <w:i/>
          <w:iCs/>
          <w:color w:val="222222"/>
          <w:sz w:val="24"/>
          <w:szCs w:val="24"/>
          <w:shd w:val="clear" w:color="auto" w:fill="FFFFFF"/>
        </w:rPr>
        <w:t>9</w:t>
      </w:r>
      <w:r w:rsidRPr="00505AA8">
        <w:rPr>
          <w:rFonts w:asciiTheme="majorBidi" w:hAnsiTheme="majorBidi" w:cstheme="majorBidi"/>
          <w:color w:val="222222"/>
          <w:sz w:val="24"/>
          <w:szCs w:val="24"/>
          <w:shd w:val="clear" w:color="auto" w:fill="FFFFFF"/>
        </w:rPr>
        <w:t>(1), pp.63-80.</w:t>
      </w:r>
    </w:p>
    <w:p w14:paraId="640CE53B" w14:textId="77777777" w:rsidR="009E70F7" w:rsidRPr="00505AA8" w:rsidRDefault="009E70F7" w:rsidP="00505AA8">
      <w:pPr>
        <w:pStyle w:val="ListParagraph"/>
        <w:numPr>
          <w:ilvl w:val="0"/>
          <w:numId w:val="1"/>
        </w:numPr>
        <w:spacing w:line="360" w:lineRule="auto"/>
        <w:jc w:val="both"/>
        <w:rPr>
          <w:rFonts w:asciiTheme="majorBidi" w:hAnsiTheme="majorBidi" w:cstheme="majorBidi"/>
          <w:color w:val="222222"/>
          <w:sz w:val="24"/>
          <w:szCs w:val="24"/>
          <w:shd w:val="clear" w:color="auto" w:fill="FFFFFF"/>
        </w:rPr>
      </w:pPr>
      <w:proofErr w:type="spellStart"/>
      <w:r w:rsidRPr="00505AA8">
        <w:rPr>
          <w:rFonts w:asciiTheme="majorBidi" w:hAnsiTheme="majorBidi" w:cstheme="majorBidi"/>
          <w:color w:val="222222"/>
          <w:sz w:val="24"/>
          <w:szCs w:val="24"/>
          <w:shd w:val="clear" w:color="auto" w:fill="FFFFFF"/>
        </w:rPr>
        <w:t>Verive</w:t>
      </w:r>
      <w:proofErr w:type="spellEnd"/>
      <w:r w:rsidRPr="00505AA8">
        <w:rPr>
          <w:rFonts w:asciiTheme="majorBidi" w:hAnsiTheme="majorBidi" w:cstheme="majorBidi"/>
          <w:color w:val="222222"/>
          <w:sz w:val="24"/>
          <w:szCs w:val="24"/>
          <w:shd w:val="clear" w:color="auto" w:fill="FFFFFF"/>
        </w:rPr>
        <w:t>, J.M. and DeLay, N., 2016. Measuring telework ROI: Metrics based on the employee life cycle. </w:t>
      </w:r>
      <w:proofErr w:type="spellStart"/>
      <w:r w:rsidRPr="00505AA8">
        <w:rPr>
          <w:rFonts w:asciiTheme="majorBidi" w:hAnsiTheme="majorBidi" w:cstheme="majorBidi"/>
          <w:i/>
          <w:iCs/>
          <w:color w:val="222222"/>
          <w:sz w:val="24"/>
          <w:szCs w:val="24"/>
          <w:shd w:val="clear" w:color="auto" w:fill="FFFFFF"/>
        </w:rPr>
        <w:t>WorldatWork</w:t>
      </w:r>
      <w:proofErr w:type="spellEnd"/>
      <w:r w:rsidRPr="00505AA8">
        <w:rPr>
          <w:rFonts w:asciiTheme="majorBidi" w:hAnsiTheme="majorBidi" w:cstheme="majorBidi"/>
          <w:i/>
          <w:iCs/>
          <w:color w:val="222222"/>
          <w:sz w:val="24"/>
          <w:szCs w:val="24"/>
          <w:shd w:val="clear" w:color="auto" w:fill="FFFFFF"/>
        </w:rPr>
        <w:t xml:space="preserve"> Journal</w:t>
      </w:r>
      <w:r w:rsidRPr="00505AA8">
        <w:rPr>
          <w:rFonts w:asciiTheme="majorBidi" w:hAnsiTheme="majorBidi" w:cstheme="majorBidi"/>
          <w:color w:val="222222"/>
          <w:sz w:val="24"/>
          <w:szCs w:val="24"/>
          <w:shd w:val="clear" w:color="auto" w:fill="FFFFFF"/>
        </w:rPr>
        <w:t>, </w:t>
      </w:r>
      <w:r w:rsidRPr="00505AA8">
        <w:rPr>
          <w:rFonts w:asciiTheme="majorBidi" w:hAnsiTheme="majorBidi" w:cstheme="majorBidi"/>
          <w:i/>
          <w:iCs/>
          <w:color w:val="222222"/>
          <w:sz w:val="24"/>
          <w:szCs w:val="24"/>
          <w:shd w:val="clear" w:color="auto" w:fill="FFFFFF"/>
        </w:rPr>
        <w:t>15</w:t>
      </w:r>
      <w:r w:rsidRPr="00505AA8">
        <w:rPr>
          <w:rFonts w:asciiTheme="majorBidi" w:hAnsiTheme="majorBidi" w:cstheme="majorBidi"/>
          <w:color w:val="222222"/>
          <w:sz w:val="24"/>
          <w:szCs w:val="24"/>
          <w:shd w:val="clear" w:color="auto" w:fill="FFFFFF"/>
        </w:rPr>
        <w:t>(2), p.6.</w:t>
      </w:r>
    </w:p>
    <w:p w14:paraId="5DC2E1AC" w14:textId="77777777" w:rsidR="009E70F7" w:rsidRPr="00505AA8" w:rsidRDefault="009E70F7" w:rsidP="00505AA8">
      <w:pPr>
        <w:pStyle w:val="ListParagraph"/>
        <w:numPr>
          <w:ilvl w:val="0"/>
          <w:numId w:val="1"/>
        </w:numPr>
        <w:spacing w:line="360" w:lineRule="auto"/>
        <w:jc w:val="both"/>
        <w:rPr>
          <w:rFonts w:asciiTheme="majorBidi" w:hAnsiTheme="majorBidi" w:cstheme="majorBidi"/>
          <w:color w:val="222222"/>
          <w:sz w:val="24"/>
          <w:szCs w:val="24"/>
          <w:shd w:val="clear" w:color="auto" w:fill="FFFFFF"/>
        </w:rPr>
      </w:pPr>
      <w:r w:rsidRPr="00505AA8">
        <w:rPr>
          <w:rFonts w:asciiTheme="majorBidi" w:hAnsiTheme="majorBidi" w:cstheme="majorBidi"/>
          <w:color w:val="222222"/>
          <w:sz w:val="24"/>
          <w:szCs w:val="24"/>
          <w:shd w:val="clear" w:color="auto" w:fill="FFFFFF"/>
        </w:rPr>
        <w:t>Xie, X., Zhu, Q. and Qi, G., 2020. How can green training promote employee career growth?. </w:t>
      </w:r>
      <w:r w:rsidRPr="00505AA8">
        <w:rPr>
          <w:rFonts w:asciiTheme="majorBidi" w:hAnsiTheme="majorBidi" w:cstheme="majorBidi"/>
          <w:i/>
          <w:iCs/>
          <w:color w:val="222222"/>
          <w:sz w:val="24"/>
          <w:szCs w:val="24"/>
          <w:shd w:val="clear" w:color="auto" w:fill="FFFFFF"/>
        </w:rPr>
        <w:t>Journal of cleaner production</w:t>
      </w:r>
      <w:r w:rsidRPr="00505AA8">
        <w:rPr>
          <w:rFonts w:asciiTheme="majorBidi" w:hAnsiTheme="majorBidi" w:cstheme="majorBidi"/>
          <w:color w:val="222222"/>
          <w:sz w:val="24"/>
          <w:szCs w:val="24"/>
          <w:shd w:val="clear" w:color="auto" w:fill="FFFFFF"/>
        </w:rPr>
        <w:t>, </w:t>
      </w:r>
      <w:r w:rsidRPr="00505AA8">
        <w:rPr>
          <w:rFonts w:asciiTheme="majorBidi" w:hAnsiTheme="majorBidi" w:cstheme="majorBidi"/>
          <w:i/>
          <w:iCs/>
          <w:color w:val="222222"/>
          <w:sz w:val="24"/>
          <w:szCs w:val="24"/>
          <w:shd w:val="clear" w:color="auto" w:fill="FFFFFF"/>
        </w:rPr>
        <w:t>259</w:t>
      </w:r>
      <w:r w:rsidRPr="00505AA8">
        <w:rPr>
          <w:rFonts w:asciiTheme="majorBidi" w:hAnsiTheme="majorBidi" w:cstheme="majorBidi"/>
          <w:color w:val="222222"/>
          <w:sz w:val="24"/>
          <w:szCs w:val="24"/>
          <w:shd w:val="clear" w:color="auto" w:fill="FFFFFF"/>
        </w:rPr>
        <w:t>, p.120818.</w:t>
      </w:r>
    </w:p>
    <w:sectPr w:rsidR="009E70F7" w:rsidRPr="00505AA8" w:rsidSect="00563E0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6953E" w14:textId="77777777" w:rsidR="00C85B58" w:rsidRDefault="00C85B58" w:rsidP="00133160">
      <w:pPr>
        <w:spacing w:after="0" w:line="240" w:lineRule="auto"/>
      </w:pPr>
      <w:r>
        <w:separator/>
      </w:r>
    </w:p>
  </w:endnote>
  <w:endnote w:type="continuationSeparator" w:id="0">
    <w:p w14:paraId="43E6DDC8" w14:textId="77777777" w:rsidR="00C85B58" w:rsidRDefault="00C85B58" w:rsidP="00133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2165383"/>
      <w:docPartObj>
        <w:docPartGallery w:val="Page Numbers (Bottom of Page)"/>
        <w:docPartUnique/>
      </w:docPartObj>
    </w:sdtPr>
    <w:sdtEndPr>
      <w:rPr>
        <w:noProof/>
      </w:rPr>
    </w:sdtEndPr>
    <w:sdtContent>
      <w:p w14:paraId="0AD78009" w14:textId="23743967" w:rsidR="00133160" w:rsidRDefault="001331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0FA95C" w14:textId="77777777" w:rsidR="00133160" w:rsidRDefault="00133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682D2" w14:textId="77777777" w:rsidR="00C85B58" w:rsidRDefault="00C85B58" w:rsidP="00133160">
      <w:pPr>
        <w:spacing w:after="0" w:line="240" w:lineRule="auto"/>
      </w:pPr>
      <w:r>
        <w:separator/>
      </w:r>
    </w:p>
  </w:footnote>
  <w:footnote w:type="continuationSeparator" w:id="0">
    <w:p w14:paraId="56E9254B" w14:textId="77777777" w:rsidR="00C85B58" w:rsidRDefault="00C85B58" w:rsidP="001331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679B3"/>
    <w:multiLevelType w:val="hybridMultilevel"/>
    <w:tmpl w:val="110A01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9827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1MjK1NDI2sTSxNDRQ0lEKTi0uzszPAykwrAUAdIXuvywAAAA="/>
  </w:docVars>
  <w:rsids>
    <w:rsidRoot w:val="00721091"/>
    <w:rsid w:val="00033CB4"/>
    <w:rsid w:val="000E0176"/>
    <w:rsid w:val="00133160"/>
    <w:rsid w:val="001759C8"/>
    <w:rsid w:val="001908E3"/>
    <w:rsid w:val="001A073F"/>
    <w:rsid w:val="00334B83"/>
    <w:rsid w:val="003510DD"/>
    <w:rsid w:val="003C34BC"/>
    <w:rsid w:val="003D0590"/>
    <w:rsid w:val="004F6A16"/>
    <w:rsid w:val="00505AA8"/>
    <w:rsid w:val="00563E01"/>
    <w:rsid w:val="005E0E43"/>
    <w:rsid w:val="006674B3"/>
    <w:rsid w:val="00721091"/>
    <w:rsid w:val="007520AA"/>
    <w:rsid w:val="007A515A"/>
    <w:rsid w:val="007B3327"/>
    <w:rsid w:val="008F454C"/>
    <w:rsid w:val="009106F8"/>
    <w:rsid w:val="00923351"/>
    <w:rsid w:val="009E70F7"/>
    <w:rsid w:val="00AC6671"/>
    <w:rsid w:val="00C44FEE"/>
    <w:rsid w:val="00C85B58"/>
    <w:rsid w:val="00D555B0"/>
    <w:rsid w:val="00E126DB"/>
    <w:rsid w:val="00E22635"/>
    <w:rsid w:val="00ED3145"/>
    <w:rsid w:val="00F57C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20DEC"/>
  <w15:chartTrackingRefBased/>
  <w15:docId w15:val="{F3361964-A9DC-4F35-9366-44137A01E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E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E43"/>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5E0E4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E43"/>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133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160"/>
  </w:style>
  <w:style w:type="paragraph" w:styleId="Footer">
    <w:name w:val="footer"/>
    <w:basedOn w:val="Normal"/>
    <w:link w:val="FooterChar"/>
    <w:uiPriority w:val="99"/>
    <w:unhideWhenUsed/>
    <w:rsid w:val="00133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160"/>
  </w:style>
  <w:style w:type="paragraph" w:styleId="ListParagraph">
    <w:name w:val="List Paragraph"/>
    <w:basedOn w:val="Normal"/>
    <w:uiPriority w:val="34"/>
    <w:qFormat/>
    <w:rsid w:val="00505A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52411">
      <w:bodyDiv w:val="1"/>
      <w:marLeft w:val="0"/>
      <w:marRight w:val="0"/>
      <w:marTop w:val="0"/>
      <w:marBottom w:val="0"/>
      <w:divBdr>
        <w:top w:val="none" w:sz="0" w:space="0" w:color="auto"/>
        <w:left w:val="none" w:sz="0" w:space="0" w:color="auto"/>
        <w:bottom w:val="none" w:sz="0" w:space="0" w:color="auto"/>
        <w:right w:val="none" w:sz="0" w:space="0" w:color="auto"/>
      </w:divBdr>
    </w:div>
    <w:div w:id="1612005602">
      <w:bodyDiv w:val="1"/>
      <w:marLeft w:val="0"/>
      <w:marRight w:val="0"/>
      <w:marTop w:val="0"/>
      <w:marBottom w:val="0"/>
      <w:divBdr>
        <w:top w:val="none" w:sz="0" w:space="0" w:color="auto"/>
        <w:left w:val="none" w:sz="0" w:space="0" w:color="auto"/>
        <w:bottom w:val="none" w:sz="0" w:space="0" w:color="auto"/>
        <w:right w:val="none" w:sz="0" w:space="0" w:color="auto"/>
      </w:divBdr>
    </w:div>
    <w:div w:id="1857232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2640</Words>
  <Characters>15048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Boost Assignment</dc:creator>
  <cp:keywords/>
  <dc:description/>
  <cp:lastModifiedBy>Mohammed Rehman (2013508)</cp:lastModifiedBy>
  <cp:revision>3</cp:revision>
  <dcterms:created xsi:type="dcterms:W3CDTF">2023-02-12T13:56:00Z</dcterms:created>
  <dcterms:modified xsi:type="dcterms:W3CDTF">2023-02-12T13:59:00Z</dcterms:modified>
</cp:coreProperties>
</file>