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5223C0" w14:textId="7D202075" w:rsidR="120215EF" w:rsidRDefault="120215EF" w:rsidP="3EBF648D">
      <w:pPr>
        <w:jc w:val="center"/>
        <w:rPr>
          <w:b/>
          <w:bCs/>
          <w:sz w:val="52"/>
          <w:szCs w:val="52"/>
          <w:u w:val="single"/>
        </w:rPr>
      </w:pPr>
    </w:p>
    <w:p w14:paraId="2DAD9EEA" w14:textId="05263557" w:rsidR="120215EF" w:rsidRDefault="120215EF" w:rsidP="3EBF648D">
      <w:pPr>
        <w:jc w:val="center"/>
        <w:rPr>
          <w:b/>
          <w:bCs/>
          <w:sz w:val="52"/>
          <w:szCs w:val="52"/>
          <w:u w:val="single"/>
        </w:rPr>
      </w:pPr>
    </w:p>
    <w:p w14:paraId="0E8C5D01" w14:textId="0F557FF9" w:rsidR="120215EF" w:rsidRDefault="120215EF" w:rsidP="3EBF648D">
      <w:pPr>
        <w:jc w:val="center"/>
        <w:rPr>
          <w:b/>
          <w:bCs/>
          <w:sz w:val="52"/>
          <w:szCs w:val="52"/>
          <w:u w:val="single"/>
        </w:rPr>
      </w:pPr>
    </w:p>
    <w:p w14:paraId="317921EC" w14:textId="1AC26301" w:rsidR="120215EF" w:rsidRDefault="120215EF" w:rsidP="3EBF648D">
      <w:pPr>
        <w:jc w:val="center"/>
        <w:rPr>
          <w:b/>
          <w:bCs/>
          <w:sz w:val="52"/>
          <w:szCs w:val="52"/>
          <w:u w:val="single"/>
        </w:rPr>
      </w:pPr>
    </w:p>
    <w:p w14:paraId="40A01BCC" w14:textId="4ED9FE98" w:rsidR="120215EF" w:rsidRDefault="120215EF" w:rsidP="3EBF648D">
      <w:pPr>
        <w:jc w:val="center"/>
        <w:rPr>
          <w:b/>
          <w:bCs/>
          <w:sz w:val="52"/>
          <w:szCs w:val="52"/>
          <w:u w:val="single"/>
        </w:rPr>
      </w:pPr>
    </w:p>
    <w:p w14:paraId="5FCE0606" w14:textId="5804AD20" w:rsidR="120215EF" w:rsidRDefault="120215EF" w:rsidP="3EBF648D">
      <w:pPr>
        <w:jc w:val="center"/>
        <w:rPr>
          <w:b/>
          <w:bCs/>
          <w:sz w:val="52"/>
          <w:szCs w:val="52"/>
          <w:u w:val="single"/>
        </w:rPr>
      </w:pPr>
    </w:p>
    <w:p w14:paraId="6AE0394A" w14:textId="008877AC" w:rsidR="120215EF" w:rsidRDefault="3EBF648D" w:rsidP="3EBF648D">
      <w:pPr>
        <w:jc w:val="center"/>
        <w:rPr>
          <w:b/>
          <w:bCs/>
          <w:sz w:val="52"/>
          <w:szCs w:val="52"/>
          <w:u w:val="single"/>
        </w:rPr>
      </w:pPr>
      <w:r w:rsidRPr="3EBF648D">
        <w:rPr>
          <w:b/>
          <w:bCs/>
          <w:sz w:val="52"/>
          <w:szCs w:val="52"/>
          <w:u w:val="single"/>
        </w:rPr>
        <w:t>MODULE: Fundamentals of Construction Technology</w:t>
      </w:r>
    </w:p>
    <w:p w14:paraId="1B4DCD9C" w14:textId="14351B47" w:rsidR="120215EF" w:rsidRDefault="120215EF" w:rsidP="3EBF648D">
      <w:pPr>
        <w:jc w:val="center"/>
        <w:rPr>
          <w:b/>
          <w:bCs/>
          <w:sz w:val="52"/>
          <w:szCs w:val="52"/>
          <w:u w:val="single"/>
        </w:rPr>
      </w:pPr>
    </w:p>
    <w:p w14:paraId="69D392E6" w14:textId="3A68636D" w:rsidR="120215EF" w:rsidRDefault="3EBF648D" w:rsidP="3EBF648D">
      <w:pPr>
        <w:jc w:val="center"/>
        <w:rPr>
          <w:b/>
          <w:bCs/>
          <w:sz w:val="52"/>
          <w:szCs w:val="52"/>
          <w:u w:val="single"/>
        </w:rPr>
      </w:pPr>
      <w:r w:rsidRPr="3EBF648D">
        <w:rPr>
          <w:b/>
          <w:bCs/>
          <w:sz w:val="52"/>
          <w:szCs w:val="52"/>
          <w:u w:val="single"/>
        </w:rPr>
        <w:t>MODULE CODE: ACBA4001</w:t>
      </w:r>
    </w:p>
    <w:p w14:paraId="380AB57B" w14:textId="7E009BF4" w:rsidR="120215EF" w:rsidRDefault="120215EF" w:rsidP="3EBF648D">
      <w:pPr>
        <w:jc w:val="center"/>
        <w:rPr>
          <w:b/>
          <w:bCs/>
          <w:sz w:val="52"/>
          <w:szCs w:val="52"/>
          <w:u w:val="single"/>
        </w:rPr>
      </w:pPr>
    </w:p>
    <w:p w14:paraId="1D28D204" w14:textId="44B6288C" w:rsidR="120215EF" w:rsidRDefault="3EBF648D" w:rsidP="3EBF648D">
      <w:pPr>
        <w:jc w:val="center"/>
        <w:rPr>
          <w:b/>
          <w:bCs/>
          <w:sz w:val="32"/>
          <w:szCs w:val="32"/>
          <w:u w:val="single"/>
        </w:rPr>
      </w:pPr>
      <w:r w:rsidRPr="3EBF648D">
        <w:rPr>
          <w:sz w:val="32"/>
          <w:szCs w:val="32"/>
          <w:u w:val="single"/>
        </w:rPr>
        <w:t>STUDENT NUMBER 1910146</w:t>
      </w:r>
    </w:p>
    <w:p w14:paraId="0E4C6B39" w14:textId="240BD3C4" w:rsidR="120215EF" w:rsidRDefault="120215EF" w:rsidP="3EBF648D">
      <w:pPr>
        <w:jc w:val="center"/>
        <w:rPr>
          <w:b/>
          <w:bCs/>
          <w:sz w:val="32"/>
          <w:szCs w:val="32"/>
          <w:u w:val="single"/>
        </w:rPr>
      </w:pPr>
    </w:p>
    <w:p w14:paraId="4F8BF406" w14:textId="1EFDDDD1" w:rsidR="120215EF" w:rsidRDefault="120215EF" w:rsidP="3EBF648D">
      <w:pPr>
        <w:jc w:val="center"/>
        <w:rPr>
          <w:b/>
          <w:bCs/>
          <w:sz w:val="32"/>
          <w:szCs w:val="32"/>
          <w:u w:val="single"/>
        </w:rPr>
      </w:pPr>
    </w:p>
    <w:p w14:paraId="64EAC141" w14:textId="10A10912" w:rsidR="120215EF" w:rsidRDefault="120215EF" w:rsidP="3EBF648D">
      <w:pPr>
        <w:jc w:val="center"/>
        <w:rPr>
          <w:b/>
          <w:bCs/>
          <w:sz w:val="32"/>
          <w:szCs w:val="32"/>
          <w:u w:val="single"/>
        </w:rPr>
      </w:pPr>
    </w:p>
    <w:p w14:paraId="08525F24" w14:textId="20A8E317" w:rsidR="120215EF" w:rsidRDefault="120215EF" w:rsidP="3EBF648D">
      <w:pPr>
        <w:jc w:val="center"/>
        <w:rPr>
          <w:b/>
          <w:bCs/>
          <w:sz w:val="32"/>
          <w:szCs w:val="32"/>
          <w:u w:val="single"/>
        </w:rPr>
      </w:pPr>
    </w:p>
    <w:p w14:paraId="6E8CB644" w14:textId="6E3810D0" w:rsidR="120215EF" w:rsidRDefault="120215EF" w:rsidP="3EBF648D">
      <w:pPr>
        <w:jc w:val="center"/>
        <w:rPr>
          <w:b/>
          <w:bCs/>
          <w:sz w:val="32"/>
          <w:szCs w:val="32"/>
          <w:u w:val="single"/>
        </w:rPr>
      </w:pPr>
    </w:p>
    <w:p w14:paraId="68F5E15C" w14:textId="6839C476" w:rsidR="752B6AF4" w:rsidRDefault="752B6AF4" w:rsidP="752B6AF4">
      <w:pPr>
        <w:jc w:val="center"/>
        <w:rPr>
          <w:b/>
          <w:bCs/>
          <w:sz w:val="32"/>
          <w:szCs w:val="32"/>
          <w:u w:val="single"/>
        </w:rPr>
      </w:pPr>
      <w:r w:rsidRPr="752B6AF4">
        <w:rPr>
          <w:sz w:val="20"/>
          <w:szCs w:val="20"/>
        </w:rPr>
        <w:t>1</w:t>
      </w:r>
    </w:p>
    <w:p w14:paraId="62E12566" w14:textId="12BA5B07" w:rsidR="120215EF" w:rsidRDefault="120215EF" w:rsidP="3EBF648D">
      <w:pPr>
        <w:jc w:val="center"/>
        <w:rPr>
          <w:b/>
          <w:bCs/>
          <w:sz w:val="32"/>
          <w:szCs w:val="32"/>
          <w:u w:val="single"/>
        </w:rPr>
      </w:pPr>
    </w:p>
    <w:p w14:paraId="093D7D54" w14:textId="5E672D7F" w:rsidR="120215EF" w:rsidRDefault="120215EF" w:rsidP="3EBF648D">
      <w:pPr>
        <w:jc w:val="center"/>
        <w:rPr>
          <w:b/>
          <w:bCs/>
          <w:sz w:val="32"/>
          <w:szCs w:val="32"/>
          <w:u w:val="single"/>
        </w:rPr>
      </w:pPr>
    </w:p>
    <w:p w14:paraId="359C7122" w14:textId="4CBCF622" w:rsidR="120215EF" w:rsidRDefault="752B6AF4" w:rsidP="752B6AF4">
      <w:pPr>
        <w:rPr>
          <w:b/>
          <w:bCs/>
          <w:sz w:val="32"/>
          <w:szCs w:val="32"/>
          <w:u w:val="single"/>
        </w:rPr>
      </w:pPr>
      <w:r w:rsidRPr="752B6AF4">
        <w:rPr>
          <w:b/>
          <w:bCs/>
          <w:sz w:val="32"/>
          <w:szCs w:val="32"/>
          <w:u w:val="single"/>
        </w:rPr>
        <w:t>Contents</w:t>
      </w:r>
    </w:p>
    <w:p w14:paraId="58E5798A" w14:textId="63B85322" w:rsidR="120215EF" w:rsidRDefault="120215EF" w:rsidP="752B6AF4">
      <w:pPr>
        <w:rPr>
          <w:b/>
          <w:bCs/>
          <w:sz w:val="32"/>
          <w:szCs w:val="32"/>
          <w:u w:val="single"/>
        </w:rPr>
      </w:pPr>
    </w:p>
    <w:p w14:paraId="41A91B92" w14:textId="089B75C9" w:rsidR="120215EF" w:rsidRDefault="752B6AF4" w:rsidP="752B6AF4">
      <w:pPr>
        <w:pStyle w:val="ListParagraph"/>
        <w:numPr>
          <w:ilvl w:val="0"/>
          <w:numId w:val="1"/>
        </w:numPr>
        <w:rPr>
          <w:sz w:val="24"/>
          <w:szCs w:val="24"/>
        </w:rPr>
      </w:pPr>
      <w:r w:rsidRPr="752B6AF4">
        <w:rPr>
          <w:sz w:val="24"/>
          <w:szCs w:val="24"/>
        </w:rPr>
        <w:t>Proposed Restaurant and Ice Cream Parlour Site Investigation on Swansea Foreshore.................................................................................................pg 3</w:t>
      </w:r>
    </w:p>
    <w:p w14:paraId="3AAC2F9C" w14:textId="011D2B2C" w:rsidR="120215EF" w:rsidRDefault="752B6AF4" w:rsidP="752B6AF4">
      <w:pPr>
        <w:pStyle w:val="ListParagraph"/>
        <w:numPr>
          <w:ilvl w:val="0"/>
          <w:numId w:val="1"/>
        </w:numPr>
        <w:rPr>
          <w:sz w:val="24"/>
          <w:szCs w:val="24"/>
        </w:rPr>
      </w:pPr>
      <w:r w:rsidRPr="752B6AF4">
        <w:rPr>
          <w:sz w:val="24"/>
          <w:szCs w:val="24"/>
        </w:rPr>
        <w:t>Current Description of Site.......................................................................pg 3</w:t>
      </w:r>
    </w:p>
    <w:p w14:paraId="36E6B6FC" w14:textId="16086CC2" w:rsidR="120215EF" w:rsidRDefault="752B6AF4" w:rsidP="752B6AF4">
      <w:pPr>
        <w:pStyle w:val="ListParagraph"/>
        <w:numPr>
          <w:ilvl w:val="0"/>
          <w:numId w:val="1"/>
        </w:numPr>
        <w:rPr>
          <w:sz w:val="24"/>
          <w:szCs w:val="24"/>
        </w:rPr>
      </w:pPr>
      <w:r w:rsidRPr="752B6AF4">
        <w:rPr>
          <w:sz w:val="24"/>
          <w:szCs w:val="24"/>
        </w:rPr>
        <w:t>Bedrock Geology......................................................................................pg 4</w:t>
      </w:r>
    </w:p>
    <w:p w14:paraId="62FC9556" w14:textId="400FF33A" w:rsidR="120215EF" w:rsidRDefault="752B6AF4" w:rsidP="752B6AF4">
      <w:pPr>
        <w:pStyle w:val="ListParagraph"/>
        <w:numPr>
          <w:ilvl w:val="0"/>
          <w:numId w:val="1"/>
        </w:numPr>
        <w:rPr>
          <w:sz w:val="24"/>
          <w:szCs w:val="24"/>
        </w:rPr>
      </w:pPr>
      <w:r w:rsidRPr="752B6AF4">
        <w:rPr>
          <w:sz w:val="24"/>
          <w:szCs w:val="24"/>
        </w:rPr>
        <w:t>Historical Background of Proposed Site...................................................</w:t>
      </w:r>
      <w:proofErr w:type="spellStart"/>
      <w:r w:rsidRPr="752B6AF4">
        <w:rPr>
          <w:sz w:val="24"/>
          <w:szCs w:val="24"/>
        </w:rPr>
        <w:t>pg</w:t>
      </w:r>
      <w:proofErr w:type="spellEnd"/>
      <w:r w:rsidRPr="752B6AF4">
        <w:rPr>
          <w:sz w:val="24"/>
          <w:szCs w:val="24"/>
        </w:rPr>
        <w:t xml:space="preserve"> 4</w:t>
      </w:r>
    </w:p>
    <w:p w14:paraId="22C43298" w14:textId="5423A059" w:rsidR="120215EF" w:rsidRDefault="752B6AF4" w:rsidP="752B6AF4">
      <w:pPr>
        <w:pStyle w:val="ListParagraph"/>
        <w:numPr>
          <w:ilvl w:val="0"/>
          <w:numId w:val="1"/>
        </w:numPr>
        <w:rPr>
          <w:sz w:val="24"/>
          <w:szCs w:val="24"/>
        </w:rPr>
      </w:pPr>
      <w:r w:rsidRPr="752B6AF4">
        <w:rPr>
          <w:sz w:val="24"/>
          <w:szCs w:val="24"/>
        </w:rPr>
        <w:t>Loco Sheds...............................................................................................pg 4</w:t>
      </w:r>
    </w:p>
    <w:p w14:paraId="5EA175C9" w14:textId="03796DD8" w:rsidR="120215EF" w:rsidRDefault="752B6AF4" w:rsidP="752B6AF4">
      <w:pPr>
        <w:ind w:left="720" w:firstLine="720"/>
        <w:rPr>
          <w:sz w:val="24"/>
          <w:szCs w:val="24"/>
        </w:rPr>
      </w:pPr>
      <w:r w:rsidRPr="752B6AF4">
        <w:rPr>
          <w:sz w:val="24"/>
          <w:szCs w:val="24"/>
        </w:rPr>
        <w:t>Loco Sheds Continued..................................................................pg 5</w:t>
      </w:r>
    </w:p>
    <w:p w14:paraId="3C039A3C" w14:textId="780D4CB4" w:rsidR="120215EF" w:rsidRDefault="752B6AF4" w:rsidP="752B6AF4">
      <w:pPr>
        <w:pStyle w:val="ListParagraph"/>
        <w:numPr>
          <w:ilvl w:val="0"/>
          <w:numId w:val="1"/>
        </w:numPr>
        <w:rPr>
          <w:sz w:val="24"/>
          <w:szCs w:val="24"/>
        </w:rPr>
      </w:pPr>
      <w:r w:rsidRPr="752B6AF4">
        <w:rPr>
          <w:sz w:val="24"/>
          <w:szCs w:val="24"/>
        </w:rPr>
        <w:t>Civic Centre Build.....................................................................................pg 5</w:t>
      </w:r>
    </w:p>
    <w:p w14:paraId="3C167AEB" w14:textId="717A3CA5" w:rsidR="120215EF" w:rsidRDefault="752B6AF4" w:rsidP="752B6AF4">
      <w:pPr>
        <w:pStyle w:val="ListParagraph"/>
        <w:numPr>
          <w:ilvl w:val="0"/>
          <w:numId w:val="1"/>
        </w:numPr>
        <w:rPr>
          <w:sz w:val="24"/>
          <w:szCs w:val="24"/>
        </w:rPr>
      </w:pPr>
      <w:r w:rsidRPr="752B6AF4">
        <w:rPr>
          <w:sz w:val="24"/>
          <w:szCs w:val="24"/>
        </w:rPr>
        <w:t>Recommendations...................................................................................pg 6</w:t>
      </w:r>
    </w:p>
    <w:p w14:paraId="50E273C8" w14:textId="742EB36B" w:rsidR="120215EF" w:rsidRDefault="752B6AF4" w:rsidP="752B6AF4">
      <w:pPr>
        <w:pStyle w:val="ListParagraph"/>
        <w:numPr>
          <w:ilvl w:val="0"/>
          <w:numId w:val="1"/>
        </w:numPr>
        <w:rPr>
          <w:sz w:val="24"/>
          <w:szCs w:val="24"/>
        </w:rPr>
      </w:pPr>
      <w:r w:rsidRPr="752B6AF4">
        <w:rPr>
          <w:sz w:val="24"/>
          <w:szCs w:val="24"/>
        </w:rPr>
        <w:t>Codes of Practice.....................................................................................pg 7</w:t>
      </w:r>
    </w:p>
    <w:p w14:paraId="2DB23A24" w14:textId="4807576E" w:rsidR="120215EF" w:rsidRDefault="752B6AF4" w:rsidP="752B6AF4">
      <w:pPr>
        <w:pStyle w:val="ListParagraph"/>
        <w:numPr>
          <w:ilvl w:val="0"/>
          <w:numId w:val="1"/>
        </w:numPr>
        <w:rPr>
          <w:sz w:val="24"/>
          <w:szCs w:val="24"/>
        </w:rPr>
      </w:pPr>
      <w:r w:rsidRPr="752B6AF4">
        <w:rPr>
          <w:sz w:val="24"/>
          <w:szCs w:val="24"/>
        </w:rPr>
        <w:t>Building Services......................................................................................pg 7</w:t>
      </w:r>
    </w:p>
    <w:p w14:paraId="46F89BEC" w14:textId="1860738B" w:rsidR="120215EF" w:rsidRDefault="752B6AF4" w:rsidP="752B6AF4">
      <w:pPr>
        <w:ind w:left="720" w:firstLine="720"/>
        <w:rPr>
          <w:sz w:val="24"/>
          <w:szCs w:val="24"/>
        </w:rPr>
      </w:pPr>
      <w:r w:rsidRPr="752B6AF4">
        <w:rPr>
          <w:sz w:val="24"/>
          <w:szCs w:val="24"/>
        </w:rPr>
        <w:t>Plumbing and Heating..................................................................pg 7</w:t>
      </w:r>
    </w:p>
    <w:p w14:paraId="6591D6E9" w14:textId="3C9C2960" w:rsidR="120215EF" w:rsidRDefault="752B6AF4" w:rsidP="752B6AF4">
      <w:pPr>
        <w:ind w:left="720" w:firstLine="720"/>
        <w:rPr>
          <w:sz w:val="24"/>
          <w:szCs w:val="24"/>
        </w:rPr>
      </w:pPr>
      <w:r w:rsidRPr="752B6AF4">
        <w:rPr>
          <w:sz w:val="24"/>
          <w:szCs w:val="24"/>
        </w:rPr>
        <w:t>Drainage and Sewage...................................................................pg 7</w:t>
      </w:r>
    </w:p>
    <w:p w14:paraId="43428FCC" w14:textId="2FD0A989" w:rsidR="120215EF" w:rsidRDefault="752B6AF4" w:rsidP="752B6AF4">
      <w:pPr>
        <w:ind w:left="720" w:firstLine="720"/>
        <w:rPr>
          <w:sz w:val="24"/>
          <w:szCs w:val="24"/>
        </w:rPr>
      </w:pPr>
      <w:r w:rsidRPr="752B6AF4">
        <w:rPr>
          <w:sz w:val="24"/>
          <w:szCs w:val="24"/>
        </w:rPr>
        <w:t>Electricity......................................................................................pg 8</w:t>
      </w:r>
    </w:p>
    <w:p w14:paraId="33348067" w14:textId="56F0F386" w:rsidR="120215EF" w:rsidRDefault="752B6AF4" w:rsidP="752B6AF4">
      <w:pPr>
        <w:ind w:left="720" w:firstLine="720"/>
        <w:rPr>
          <w:sz w:val="24"/>
          <w:szCs w:val="24"/>
        </w:rPr>
      </w:pPr>
      <w:r w:rsidRPr="752B6AF4">
        <w:rPr>
          <w:sz w:val="24"/>
          <w:szCs w:val="24"/>
        </w:rPr>
        <w:t>Telecommunications....................................................................pg 8</w:t>
      </w:r>
    </w:p>
    <w:p w14:paraId="73721309" w14:textId="3320CD26" w:rsidR="120215EF" w:rsidRDefault="752B6AF4" w:rsidP="752B6AF4">
      <w:pPr>
        <w:pStyle w:val="ListParagraph"/>
        <w:numPr>
          <w:ilvl w:val="0"/>
          <w:numId w:val="1"/>
        </w:numPr>
        <w:rPr>
          <w:sz w:val="24"/>
          <w:szCs w:val="24"/>
        </w:rPr>
      </w:pPr>
      <w:r w:rsidRPr="752B6AF4">
        <w:rPr>
          <w:sz w:val="24"/>
          <w:szCs w:val="24"/>
        </w:rPr>
        <w:t>Foundation..............................................................................................pg 8</w:t>
      </w:r>
    </w:p>
    <w:p w14:paraId="26B6373A" w14:textId="2A6E1EB2" w:rsidR="00D40872" w:rsidRDefault="00D40872" w:rsidP="752B6AF4">
      <w:pPr>
        <w:pStyle w:val="ListParagraph"/>
        <w:numPr>
          <w:ilvl w:val="0"/>
          <w:numId w:val="1"/>
        </w:numPr>
        <w:rPr>
          <w:sz w:val="24"/>
          <w:szCs w:val="24"/>
        </w:rPr>
      </w:pPr>
      <w:r>
        <w:rPr>
          <w:sz w:val="24"/>
          <w:szCs w:val="24"/>
        </w:rPr>
        <w:t>Drawing Plan……………………………………………………………………………………….pg 9</w:t>
      </w:r>
    </w:p>
    <w:p w14:paraId="5D9C5845" w14:textId="70199907" w:rsidR="00D40872" w:rsidRDefault="00D40872" w:rsidP="752B6AF4">
      <w:pPr>
        <w:pStyle w:val="ListParagraph"/>
        <w:numPr>
          <w:ilvl w:val="0"/>
          <w:numId w:val="1"/>
        </w:numPr>
        <w:rPr>
          <w:sz w:val="24"/>
          <w:szCs w:val="24"/>
        </w:rPr>
      </w:pPr>
      <w:r>
        <w:rPr>
          <w:sz w:val="24"/>
          <w:szCs w:val="24"/>
        </w:rPr>
        <w:t>Drawing Elavation……………………………………………………………………………….pg 10</w:t>
      </w:r>
    </w:p>
    <w:p w14:paraId="3064A925" w14:textId="13F7C6B5" w:rsidR="120215EF" w:rsidRDefault="752B6AF4" w:rsidP="752B6AF4">
      <w:pPr>
        <w:pStyle w:val="ListParagraph"/>
        <w:numPr>
          <w:ilvl w:val="0"/>
          <w:numId w:val="1"/>
        </w:numPr>
        <w:rPr>
          <w:sz w:val="24"/>
          <w:szCs w:val="24"/>
        </w:rPr>
      </w:pPr>
      <w:r w:rsidRPr="752B6AF4">
        <w:rPr>
          <w:sz w:val="24"/>
          <w:szCs w:val="24"/>
        </w:rPr>
        <w:t>References....................................................................</w:t>
      </w:r>
      <w:r w:rsidR="00D40872">
        <w:rPr>
          <w:sz w:val="24"/>
          <w:szCs w:val="24"/>
        </w:rPr>
        <w:t>...........................pg 11</w:t>
      </w:r>
    </w:p>
    <w:p w14:paraId="0EFDDAD3" w14:textId="301C22E8" w:rsidR="120215EF" w:rsidRDefault="120215EF" w:rsidP="752B6AF4">
      <w:pPr>
        <w:rPr>
          <w:sz w:val="24"/>
          <w:szCs w:val="24"/>
        </w:rPr>
      </w:pPr>
    </w:p>
    <w:p w14:paraId="4FD2C1CA" w14:textId="46371619" w:rsidR="120215EF" w:rsidRDefault="120215EF" w:rsidP="752B6AF4">
      <w:pPr>
        <w:ind w:left="720" w:firstLine="720"/>
        <w:rPr>
          <w:sz w:val="24"/>
          <w:szCs w:val="24"/>
        </w:rPr>
      </w:pPr>
    </w:p>
    <w:p w14:paraId="411507A1" w14:textId="6BBC0CD3" w:rsidR="120215EF" w:rsidRDefault="120215EF" w:rsidP="752B6AF4">
      <w:pPr>
        <w:jc w:val="center"/>
        <w:rPr>
          <w:b/>
          <w:bCs/>
          <w:sz w:val="32"/>
          <w:szCs w:val="32"/>
          <w:u w:val="single"/>
        </w:rPr>
      </w:pPr>
    </w:p>
    <w:p w14:paraId="52B1EBE1" w14:textId="7193931E" w:rsidR="120215EF" w:rsidRDefault="120215EF" w:rsidP="752B6AF4">
      <w:pPr>
        <w:jc w:val="center"/>
        <w:rPr>
          <w:b/>
          <w:bCs/>
          <w:sz w:val="32"/>
          <w:szCs w:val="32"/>
          <w:u w:val="single"/>
        </w:rPr>
      </w:pPr>
    </w:p>
    <w:p w14:paraId="4E312E40" w14:textId="0B31FD4A" w:rsidR="120215EF" w:rsidRDefault="120215EF" w:rsidP="752B6AF4">
      <w:pPr>
        <w:jc w:val="center"/>
        <w:rPr>
          <w:b/>
          <w:bCs/>
          <w:sz w:val="32"/>
          <w:szCs w:val="32"/>
          <w:u w:val="single"/>
        </w:rPr>
      </w:pPr>
    </w:p>
    <w:p w14:paraId="479A0582" w14:textId="3174C2B6" w:rsidR="120215EF" w:rsidRDefault="120215EF" w:rsidP="752B6AF4">
      <w:pPr>
        <w:jc w:val="center"/>
        <w:rPr>
          <w:b/>
          <w:bCs/>
          <w:sz w:val="32"/>
          <w:szCs w:val="32"/>
          <w:u w:val="single"/>
        </w:rPr>
      </w:pPr>
    </w:p>
    <w:p w14:paraId="1B24FA38" w14:textId="75F54CAE" w:rsidR="120215EF" w:rsidRDefault="120215EF" w:rsidP="752B6AF4">
      <w:pPr>
        <w:jc w:val="center"/>
        <w:rPr>
          <w:b/>
          <w:bCs/>
          <w:sz w:val="32"/>
          <w:szCs w:val="32"/>
          <w:u w:val="single"/>
        </w:rPr>
      </w:pPr>
    </w:p>
    <w:p w14:paraId="679B960A" w14:textId="075B200D" w:rsidR="120215EF" w:rsidRDefault="120215EF" w:rsidP="752B6AF4">
      <w:pPr>
        <w:jc w:val="center"/>
        <w:rPr>
          <w:b/>
          <w:bCs/>
          <w:sz w:val="32"/>
          <w:szCs w:val="32"/>
          <w:u w:val="single"/>
        </w:rPr>
      </w:pPr>
    </w:p>
    <w:p w14:paraId="4751ACE4" w14:textId="762D1984" w:rsidR="120215EF" w:rsidRDefault="752B6AF4" w:rsidP="752B6AF4">
      <w:pPr>
        <w:jc w:val="center"/>
        <w:rPr>
          <w:sz w:val="20"/>
          <w:szCs w:val="20"/>
        </w:rPr>
      </w:pPr>
      <w:r w:rsidRPr="752B6AF4">
        <w:rPr>
          <w:sz w:val="20"/>
          <w:szCs w:val="20"/>
        </w:rPr>
        <w:t>2</w:t>
      </w:r>
    </w:p>
    <w:p w14:paraId="1A52CCF8" w14:textId="51D35230" w:rsidR="120215EF" w:rsidRDefault="120215EF" w:rsidP="752B6AF4">
      <w:pPr>
        <w:jc w:val="center"/>
        <w:rPr>
          <w:b/>
          <w:bCs/>
          <w:sz w:val="32"/>
          <w:szCs w:val="32"/>
          <w:u w:val="single"/>
        </w:rPr>
      </w:pPr>
    </w:p>
    <w:p w14:paraId="38D99BD7" w14:textId="37E71175" w:rsidR="120215EF" w:rsidRDefault="120215EF" w:rsidP="752B6AF4">
      <w:pPr>
        <w:jc w:val="center"/>
        <w:rPr>
          <w:b/>
          <w:bCs/>
          <w:sz w:val="32"/>
          <w:szCs w:val="32"/>
          <w:u w:val="single"/>
        </w:rPr>
      </w:pPr>
    </w:p>
    <w:p w14:paraId="664B111E" w14:textId="7AF0E618" w:rsidR="120215EF" w:rsidRDefault="752B6AF4" w:rsidP="752B6AF4">
      <w:pPr>
        <w:jc w:val="center"/>
        <w:rPr>
          <w:b/>
          <w:bCs/>
          <w:sz w:val="32"/>
          <w:szCs w:val="32"/>
          <w:u w:val="single"/>
        </w:rPr>
      </w:pPr>
      <w:r w:rsidRPr="752B6AF4">
        <w:rPr>
          <w:b/>
          <w:bCs/>
          <w:sz w:val="32"/>
          <w:szCs w:val="32"/>
          <w:u w:val="single"/>
        </w:rPr>
        <w:t>Proposed restaurant and ice cream parlour site investigation on Swansea foreshore.</w:t>
      </w:r>
    </w:p>
    <w:p w14:paraId="1CEC4F4C" w14:textId="7A6D0AA3" w:rsidR="120215EF" w:rsidRDefault="120215EF" w:rsidP="120215EF">
      <w:pPr>
        <w:jc w:val="center"/>
        <w:rPr>
          <w:b/>
          <w:bCs/>
          <w:sz w:val="32"/>
          <w:szCs w:val="32"/>
          <w:u w:val="single"/>
        </w:rPr>
      </w:pPr>
    </w:p>
    <w:p w14:paraId="380C5311" w14:textId="69E571F8" w:rsidR="120215EF" w:rsidRDefault="4BFB64B5" w:rsidP="4BFB64B5">
      <w:pPr>
        <w:jc w:val="both"/>
        <w:rPr>
          <w:rFonts w:ascii="Calibri" w:eastAsia="Calibri" w:hAnsi="Calibri" w:cs="Calibri"/>
          <w:color w:val="000000" w:themeColor="text1"/>
          <w:sz w:val="24"/>
          <w:szCs w:val="24"/>
        </w:rPr>
      </w:pPr>
      <w:r w:rsidRPr="4BFB64B5">
        <w:rPr>
          <w:rFonts w:ascii="Calibri" w:eastAsia="Calibri" w:hAnsi="Calibri" w:cs="Calibri"/>
          <w:color w:val="000000" w:themeColor="text1"/>
          <w:sz w:val="24"/>
          <w:szCs w:val="24"/>
        </w:rPr>
        <w:t>The purpose of this paper is to provide and initiate a full site investigation concerning the proposed site for the new restaurant and ice cream parlour, which is to be situated between the Marriott hotel and County Hall Swansea (sa1 3sn). The following investigation will outline the history of the site, it will also identify an investigation concerning the surrounding area and any possible issues that may occur. Once this has been achieved the paper will then look to include recommendations for a full site investigation based upon my findings throughout the investigation.</w:t>
      </w:r>
    </w:p>
    <w:p w14:paraId="57925894" w14:textId="0030D3D1" w:rsidR="120215EF" w:rsidRDefault="120215EF" w:rsidP="120215EF">
      <w:pPr>
        <w:rPr>
          <w:rFonts w:ascii="Calibri" w:eastAsia="Calibri" w:hAnsi="Calibri" w:cs="Calibri"/>
          <w:color w:val="000000" w:themeColor="text1"/>
          <w:sz w:val="24"/>
          <w:szCs w:val="24"/>
        </w:rPr>
      </w:pPr>
    </w:p>
    <w:p w14:paraId="7A0CD96B" w14:textId="75D4E4E6" w:rsidR="120215EF" w:rsidRDefault="120215EF" w:rsidP="120215EF">
      <w:pPr>
        <w:rPr>
          <w:rFonts w:ascii="Calibri" w:eastAsia="Calibri" w:hAnsi="Calibri" w:cs="Calibri"/>
          <w:color w:val="000000" w:themeColor="text1"/>
          <w:sz w:val="24"/>
          <w:szCs w:val="24"/>
        </w:rPr>
      </w:pPr>
      <w:r w:rsidRPr="120215EF">
        <w:rPr>
          <w:rFonts w:ascii="Calibri" w:eastAsia="Calibri" w:hAnsi="Calibri" w:cs="Calibri"/>
          <w:b/>
          <w:bCs/>
          <w:color w:val="000000" w:themeColor="text1"/>
          <w:sz w:val="28"/>
          <w:szCs w:val="28"/>
          <w:u w:val="single"/>
        </w:rPr>
        <w:t>Current description of site</w:t>
      </w:r>
    </w:p>
    <w:p w14:paraId="03779B52" w14:textId="20B3731E" w:rsidR="120215EF" w:rsidRDefault="752B6AF4" w:rsidP="752B6AF4">
      <w:pPr>
        <w:jc w:val="both"/>
        <w:rPr>
          <w:rFonts w:ascii="Calibri" w:eastAsia="Calibri" w:hAnsi="Calibri" w:cs="Calibri"/>
          <w:color w:val="000000" w:themeColor="text1"/>
          <w:sz w:val="24"/>
          <w:szCs w:val="24"/>
        </w:rPr>
      </w:pPr>
      <w:r w:rsidRPr="752B6AF4">
        <w:rPr>
          <w:rFonts w:ascii="Calibri" w:eastAsia="Calibri" w:hAnsi="Calibri" w:cs="Calibri"/>
          <w:color w:val="000000" w:themeColor="text1"/>
          <w:sz w:val="24"/>
          <w:szCs w:val="24"/>
        </w:rPr>
        <w:t>The land upon which the building is to be situated is currently split over the car parks of both the Marriott hotel and County Hall/Civic Centre, which is situated on the beach front. Between each car park there is greenery, trees, possible vegetation, as a result the area is uneven. It has been identified that there is a seated patio area for customers of the hotel which is situated where the proposed restaurant and ice cream parlour would be located. Further, to the side of the patio there is a brick building and metal containers, through an investigation with the Marriott hotel it has not been identified what the purpose of the brick building and the metal containers are, further the Marriott Hotel has not claimed any rights to these building. With this in mind, going forward it is essential to establish who owns the rights to the building and the metal containers. The investigation has also identified a cycle path which also goes through the land where the proposed building is to be built, this is another issue that will need to be investigated further.</w:t>
      </w:r>
    </w:p>
    <w:p w14:paraId="6489701D" w14:textId="552719D5" w:rsidR="120215EF" w:rsidRDefault="120215EF" w:rsidP="752B6AF4">
      <w:pPr>
        <w:jc w:val="both"/>
        <w:rPr>
          <w:rFonts w:ascii="Calibri" w:eastAsia="Calibri" w:hAnsi="Calibri" w:cs="Calibri"/>
          <w:color w:val="000000" w:themeColor="text1"/>
          <w:sz w:val="24"/>
          <w:szCs w:val="24"/>
        </w:rPr>
      </w:pPr>
    </w:p>
    <w:p w14:paraId="42E0940F" w14:textId="56AA1466" w:rsidR="120215EF" w:rsidRDefault="120215EF" w:rsidP="752B6AF4">
      <w:pPr>
        <w:jc w:val="both"/>
        <w:rPr>
          <w:rFonts w:ascii="Calibri" w:eastAsia="Calibri" w:hAnsi="Calibri" w:cs="Calibri"/>
          <w:b/>
          <w:bCs/>
          <w:color w:val="000000" w:themeColor="text1"/>
          <w:sz w:val="24"/>
          <w:szCs w:val="24"/>
        </w:rPr>
      </w:pPr>
    </w:p>
    <w:p w14:paraId="7E64E859" w14:textId="3F4F3E78" w:rsidR="120215EF" w:rsidRDefault="120215EF" w:rsidP="752B6AF4">
      <w:pPr>
        <w:jc w:val="center"/>
        <w:rPr>
          <w:rFonts w:ascii="Calibri" w:eastAsia="Calibri" w:hAnsi="Calibri" w:cs="Calibri"/>
          <w:color w:val="000000" w:themeColor="text1"/>
          <w:sz w:val="20"/>
          <w:szCs w:val="20"/>
        </w:rPr>
      </w:pPr>
    </w:p>
    <w:p w14:paraId="6E305829" w14:textId="34E16F47" w:rsidR="120215EF" w:rsidRDefault="120215EF" w:rsidP="752B6AF4">
      <w:pPr>
        <w:jc w:val="center"/>
        <w:rPr>
          <w:rFonts w:ascii="Calibri" w:eastAsia="Calibri" w:hAnsi="Calibri" w:cs="Calibri"/>
          <w:color w:val="000000" w:themeColor="text1"/>
          <w:sz w:val="20"/>
          <w:szCs w:val="20"/>
        </w:rPr>
      </w:pPr>
    </w:p>
    <w:p w14:paraId="09863AFD" w14:textId="546022FF" w:rsidR="120215EF" w:rsidRDefault="120215EF" w:rsidP="752B6AF4">
      <w:pPr>
        <w:jc w:val="center"/>
        <w:rPr>
          <w:rFonts w:ascii="Calibri" w:eastAsia="Calibri" w:hAnsi="Calibri" w:cs="Calibri"/>
          <w:color w:val="000000" w:themeColor="text1"/>
          <w:sz w:val="20"/>
          <w:szCs w:val="20"/>
        </w:rPr>
      </w:pPr>
    </w:p>
    <w:p w14:paraId="24693193" w14:textId="5CCBF1BB" w:rsidR="120215EF" w:rsidRDefault="120215EF" w:rsidP="752B6AF4">
      <w:pPr>
        <w:jc w:val="center"/>
        <w:rPr>
          <w:rFonts w:ascii="Calibri" w:eastAsia="Calibri" w:hAnsi="Calibri" w:cs="Calibri"/>
          <w:color w:val="000000" w:themeColor="text1"/>
          <w:sz w:val="20"/>
          <w:szCs w:val="20"/>
        </w:rPr>
      </w:pPr>
    </w:p>
    <w:p w14:paraId="1D9C3E0D" w14:textId="28ADDC91" w:rsidR="120215EF" w:rsidRDefault="120215EF" w:rsidP="752B6AF4">
      <w:pPr>
        <w:jc w:val="center"/>
        <w:rPr>
          <w:rFonts w:ascii="Calibri" w:eastAsia="Calibri" w:hAnsi="Calibri" w:cs="Calibri"/>
          <w:color w:val="000000" w:themeColor="text1"/>
          <w:sz w:val="20"/>
          <w:szCs w:val="20"/>
        </w:rPr>
      </w:pPr>
    </w:p>
    <w:p w14:paraId="10C43DD4" w14:textId="462CA8A1" w:rsidR="120215EF" w:rsidRDefault="120215EF" w:rsidP="752B6AF4">
      <w:pPr>
        <w:jc w:val="center"/>
        <w:rPr>
          <w:rFonts w:ascii="Calibri" w:eastAsia="Calibri" w:hAnsi="Calibri" w:cs="Calibri"/>
          <w:color w:val="000000" w:themeColor="text1"/>
          <w:sz w:val="20"/>
          <w:szCs w:val="20"/>
        </w:rPr>
      </w:pPr>
    </w:p>
    <w:p w14:paraId="5B8DD873" w14:textId="6EC4C4AE" w:rsidR="120215EF" w:rsidRDefault="752B6AF4" w:rsidP="752B6AF4">
      <w:pPr>
        <w:jc w:val="center"/>
        <w:rPr>
          <w:rFonts w:ascii="Calibri" w:eastAsia="Calibri" w:hAnsi="Calibri" w:cs="Calibri"/>
          <w:b/>
          <w:bCs/>
          <w:color w:val="000000" w:themeColor="text1"/>
          <w:sz w:val="24"/>
          <w:szCs w:val="24"/>
        </w:rPr>
      </w:pPr>
      <w:r w:rsidRPr="752B6AF4">
        <w:rPr>
          <w:rFonts w:ascii="Calibri" w:eastAsia="Calibri" w:hAnsi="Calibri" w:cs="Calibri"/>
          <w:color w:val="000000" w:themeColor="text1"/>
          <w:sz w:val="20"/>
          <w:szCs w:val="20"/>
        </w:rPr>
        <w:t>3</w:t>
      </w:r>
    </w:p>
    <w:p w14:paraId="1C160774" w14:textId="148F9DCC" w:rsidR="120215EF" w:rsidRDefault="752B6AF4" w:rsidP="752B6AF4">
      <w:pPr>
        <w:jc w:val="both"/>
        <w:rPr>
          <w:rFonts w:ascii="Calibri" w:eastAsia="Calibri" w:hAnsi="Calibri" w:cs="Calibri"/>
          <w:b/>
          <w:bCs/>
          <w:color w:val="000000" w:themeColor="text1"/>
          <w:sz w:val="24"/>
          <w:szCs w:val="24"/>
          <w:u w:val="single"/>
        </w:rPr>
      </w:pPr>
      <w:r w:rsidRPr="752B6AF4">
        <w:rPr>
          <w:rFonts w:ascii="Calibri" w:eastAsia="Calibri" w:hAnsi="Calibri" w:cs="Calibri"/>
          <w:b/>
          <w:bCs/>
          <w:color w:val="000000" w:themeColor="text1"/>
          <w:sz w:val="24"/>
          <w:szCs w:val="24"/>
          <w:u w:val="single"/>
        </w:rPr>
        <w:lastRenderedPageBreak/>
        <w:t>Bedrock Geology</w:t>
      </w:r>
    </w:p>
    <w:p w14:paraId="19ADDD92" w14:textId="08C3A6A4" w:rsidR="120215EF" w:rsidRDefault="752B6AF4" w:rsidP="752B6AF4">
      <w:pPr>
        <w:jc w:val="both"/>
        <w:rPr>
          <w:rFonts w:ascii="Calibri" w:eastAsia="Calibri" w:hAnsi="Calibri" w:cs="Calibri"/>
          <w:b/>
          <w:bCs/>
          <w:color w:val="000000" w:themeColor="text1"/>
          <w:sz w:val="24"/>
          <w:szCs w:val="24"/>
        </w:rPr>
      </w:pPr>
      <w:r w:rsidRPr="752B6AF4">
        <w:rPr>
          <w:rFonts w:ascii="Calibri" w:eastAsia="Calibri" w:hAnsi="Calibri" w:cs="Calibri"/>
          <w:color w:val="000000" w:themeColor="text1"/>
          <w:sz w:val="24"/>
          <w:szCs w:val="24"/>
        </w:rPr>
        <w:t>According to the British Geological Survey (BGS) website, the bedrock geology at the site is made up of mudstone, siltstone and sandstone. Sedimentary Bedrock was formed approximately 310 to 318 million years ago. The local environment was supposedly previously dominated by swamps, estuaries and deltas.</w:t>
      </w:r>
    </w:p>
    <w:p w14:paraId="2AA97DD9" w14:textId="3D8F8425" w:rsidR="120215EF" w:rsidRDefault="752B6AF4" w:rsidP="752B6AF4">
      <w:pPr>
        <w:jc w:val="both"/>
        <w:rPr>
          <w:rFonts w:ascii="Calibri" w:eastAsia="Calibri" w:hAnsi="Calibri" w:cs="Calibri"/>
          <w:color w:val="000000" w:themeColor="text1"/>
          <w:sz w:val="24"/>
          <w:szCs w:val="24"/>
        </w:rPr>
      </w:pPr>
      <w:r w:rsidRPr="752B6AF4">
        <w:rPr>
          <w:rFonts w:ascii="Calibri" w:eastAsia="Calibri" w:hAnsi="Calibri" w:cs="Calibri"/>
          <w:color w:val="000000" w:themeColor="text1"/>
          <w:sz w:val="24"/>
          <w:szCs w:val="24"/>
        </w:rPr>
        <w:t>Also, according to the BGS the sedimentary rocks are fluvial, palustrine and shallow-marine. The form they show reflects the channels, floodplains and deltas of a river in a coastal setting.</w:t>
      </w:r>
    </w:p>
    <w:p w14:paraId="3D45F801" w14:textId="78C6DD00" w:rsidR="120215EF" w:rsidRDefault="752B6AF4" w:rsidP="752B6AF4">
      <w:pPr>
        <w:jc w:val="both"/>
        <w:rPr>
          <w:b/>
          <w:bCs/>
          <w:sz w:val="24"/>
          <w:szCs w:val="24"/>
          <w:u w:val="single"/>
        </w:rPr>
      </w:pPr>
      <w:r w:rsidRPr="752B6AF4">
        <w:rPr>
          <w:b/>
          <w:bCs/>
          <w:sz w:val="24"/>
          <w:szCs w:val="24"/>
          <w:u w:val="single"/>
        </w:rPr>
        <w:t>Historical background of proposed site</w:t>
      </w:r>
    </w:p>
    <w:p w14:paraId="1DAA6C9D" w14:textId="62EB111E" w:rsidR="182FAD8D" w:rsidRDefault="752B6AF4" w:rsidP="752B6AF4">
      <w:pPr>
        <w:rPr>
          <w:sz w:val="24"/>
          <w:szCs w:val="24"/>
        </w:rPr>
      </w:pPr>
      <w:r w:rsidRPr="752B6AF4">
        <w:rPr>
          <w:sz w:val="24"/>
          <w:szCs w:val="24"/>
        </w:rPr>
        <w:t xml:space="preserve">In February 1941, during the </w:t>
      </w:r>
      <w:proofErr w:type="gramStart"/>
      <w:r w:rsidRPr="752B6AF4">
        <w:rPr>
          <w:sz w:val="24"/>
          <w:szCs w:val="24"/>
        </w:rPr>
        <w:t>second world war</w:t>
      </w:r>
      <w:proofErr w:type="gramEnd"/>
      <w:r w:rsidRPr="752B6AF4">
        <w:rPr>
          <w:sz w:val="24"/>
          <w:szCs w:val="24"/>
        </w:rPr>
        <w:t xml:space="preserve">, the proposed site according to Robins, (1994) was a target for bombing by the Luftwaffe.  However, there does not appear to be any evidence to suggest that the Luftwaffe were successful in their attempt. Even though there has been no suggested evidence that the proposed site was bombed, consideration must be given to the possibility of an unexploded bomb possibly being located around the proposed development site.  </w:t>
      </w:r>
    </w:p>
    <w:p w14:paraId="15E75F2B" w14:textId="39577990" w:rsidR="120215EF" w:rsidRDefault="752B6AF4" w:rsidP="752B6AF4">
      <w:pPr>
        <w:jc w:val="both"/>
        <w:rPr>
          <w:rFonts w:eastAsiaTheme="minorEastAsia"/>
          <w:color w:val="000000" w:themeColor="text1"/>
          <w:sz w:val="24"/>
          <w:szCs w:val="24"/>
        </w:rPr>
      </w:pPr>
      <w:r w:rsidRPr="752B6AF4">
        <w:rPr>
          <w:rFonts w:eastAsiaTheme="minorEastAsia"/>
          <w:b/>
          <w:bCs/>
          <w:color w:val="000000" w:themeColor="text1"/>
          <w:sz w:val="24"/>
          <w:szCs w:val="24"/>
          <w:u w:val="single"/>
        </w:rPr>
        <w:t>Loco sheds</w:t>
      </w:r>
      <w:r w:rsidRPr="752B6AF4">
        <w:rPr>
          <w:rFonts w:eastAsiaTheme="minorEastAsia"/>
          <w:color w:val="000000" w:themeColor="text1"/>
          <w:sz w:val="24"/>
          <w:szCs w:val="24"/>
        </w:rPr>
        <w:t xml:space="preserve"> </w:t>
      </w:r>
      <w:r w:rsidR="120215EF">
        <w:br/>
      </w:r>
      <w:r w:rsidRPr="752B6AF4">
        <w:rPr>
          <w:rFonts w:eastAsiaTheme="minorEastAsia"/>
          <w:color w:val="000000" w:themeColor="text1"/>
          <w:sz w:val="24"/>
          <w:szCs w:val="24"/>
        </w:rPr>
        <w:t>Swansea Victoria (SS652923) on south side of line west of station, demolished 1966 - site now occupied by a modern hotel and County Hall. Swansea Victoria (Paxton Street) 87K six-track shed (closed 1959).</w:t>
      </w:r>
    </w:p>
    <w:p w14:paraId="1572A2FF" w14:textId="429816A4" w:rsidR="120215EF" w:rsidRDefault="00D40872" w:rsidP="752B6AF4">
      <w:pPr>
        <w:jc w:val="both"/>
        <w:rPr>
          <w:rFonts w:eastAsiaTheme="minorEastAsia"/>
          <w:color w:val="000000" w:themeColor="text1"/>
          <w:sz w:val="24"/>
          <w:szCs w:val="24"/>
        </w:rPr>
      </w:pPr>
      <w:hyperlink r:id="rId5">
        <w:r w:rsidR="752B6AF4" w:rsidRPr="752B6AF4">
          <w:rPr>
            <w:rStyle w:val="Hyperlink"/>
            <w:rFonts w:eastAsiaTheme="minorEastAsia"/>
            <w:color w:val="000000" w:themeColor="text1"/>
            <w:sz w:val="24"/>
            <w:szCs w:val="24"/>
          </w:rPr>
          <w:t>SS6592</w:t>
        </w:r>
      </w:hyperlink>
      <w:r w:rsidR="752B6AF4" w:rsidRPr="752B6AF4">
        <w:rPr>
          <w:rFonts w:eastAsiaTheme="minorEastAsia"/>
          <w:color w:val="000000" w:themeColor="text1"/>
          <w:sz w:val="24"/>
          <w:szCs w:val="24"/>
        </w:rPr>
        <w:t xml:space="preserve"> : Swansea Paxton Street Locomotive Depot: </w:t>
      </w:r>
      <w:proofErr w:type="gramStart"/>
      <w:r w:rsidR="752B6AF4" w:rsidRPr="752B6AF4">
        <w:rPr>
          <w:rFonts w:eastAsiaTheme="minorEastAsia"/>
          <w:color w:val="000000" w:themeColor="text1"/>
          <w:sz w:val="24"/>
          <w:szCs w:val="24"/>
        </w:rPr>
        <w:t>an</w:t>
      </w:r>
      <w:proofErr w:type="gramEnd"/>
      <w:r w:rsidR="752B6AF4" w:rsidRPr="752B6AF4">
        <w:rPr>
          <w:rFonts w:eastAsiaTheme="minorEastAsia"/>
          <w:color w:val="000000" w:themeColor="text1"/>
          <w:sz w:val="24"/>
          <w:szCs w:val="24"/>
        </w:rPr>
        <w:t xml:space="preserve"> 0-8-4T</w:t>
      </w:r>
    </w:p>
    <w:p w14:paraId="764BCD69" w14:textId="3B2E43F1" w:rsidR="120215EF" w:rsidRDefault="752B6AF4" w:rsidP="752B6AF4">
      <w:pPr>
        <w:pStyle w:val="Heading3"/>
        <w:rPr>
          <w:rFonts w:asciiTheme="minorHAnsi" w:eastAsiaTheme="minorEastAsia" w:hAnsiTheme="minorHAnsi" w:cstheme="minorBidi"/>
          <w:i/>
          <w:iCs/>
          <w:color w:val="000000" w:themeColor="text1"/>
        </w:rPr>
      </w:pPr>
      <w:proofErr w:type="gramStart"/>
      <w:r w:rsidRPr="752B6AF4">
        <w:rPr>
          <w:rFonts w:asciiTheme="minorHAnsi" w:eastAsiaTheme="minorEastAsia" w:hAnsiTheme="minorHAnsi" w:cstheme="minorBidi"/>
          <w:color w:val="000000" w:themeColor="text1"/>
        </w:rPr>
        <w:t>taken</w:t>
      </w:r>
      <w:proofErr w:type="gramEnd"/>
      <w:r w:rsidRPr="752B6AF4">
        <w:rPr>
          <w:rFonts w:asciiTheme="minorHAnsi" w:eastAsiaTheme="minorEastAsia" w:hAnsiTheme="minorHAnsi" w:cstheme="minorBidi"/>
          <w:color w:val="000000" w:themeColor="text1"/>
        </w:rPr>
        <w:t xml:space="preserve"> 73 years ago, near to Swansea/</w:t>
      </w:r>
      <w:proofErr w:type="spellStart"/>
      <w:r w:rsidRPr="752B6AF4">
        <w:rPr>
          <w:rFonts w:asciiTheme="minorHAnsi" w:eastAsiaTheme="minorEastAsia" w:hAnsiTheme="minorHAnsi" w:cstheme="minorBidi"/>
          <w:color w:val="000000" w:themeColor="text1"/>
        </w:rPr>
        <w:t>Abertawe</w:t>
      </w:r>
      <w:proofErr w:type="spellEnd"/>
      <w:r w:rsidRPr="752B6AF4">
        <w:rPr>
          <w:rFonts w:asciiTheme="minorHAnsi" w:eastAsiaTheme="minorEastAsia" w:hAnsiTheme="minorHAnsi" w:cstheme="minorBidi"/>
          <w:i/>
          <w:iCs/>
          <w:color w:val="000000" w:themeColor="text1"/>
        </w:rPr>
        <w:t>, Great Britain</w:t>
      </w:r>
    </w:p>
    <w:p w14:paraId="083763AB" w14:textId="54AA36AD" w:rsidR="182FAD8D" w:rsidRDefault="182FAD8D" w:rsidP="752B6AF4">
      <w:pPr>
        <w:rPr>
          <w:rFonts w:ascii="Georgia" w:eastAsia="Georgia" w:hAnsi="Georgia" w:cs="Georgia"/>
          <w:color w:val="000000" w:themeColor="text1"/>
        </w:rPr>
      </w:pPr>
      <w:r>
        <w:rPr>
          <w:noProof/>
          <w:lang w:eastAsia="en-GB"/>
        </w:rPr>
        <w:drawing>
          <wp:inline distT="0" distB="0" distL="0" distR="0" wp14:anchorId="4C4C54C8" wp14:editId="1385E787">
            <wp:extent cx="5724524" cy="3181350"/>
            <wp:effectExtent l="0" t="0" r="0" b="0"/>
            <wp:docPr id="673001094" name="Picture 673001094" title="Swansea Paxton Street Locomotive Depot: an 0-8-4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724524" cy="3181350"/>
                    </a:xfrm>
                    <a:prstGeom prst="rect">
                      <a:avLst/>
                    </a:prstGeom>
                  </pic:spPr>
                </pic:pic>
              </a:graphicData>
            </a:graphic>
          </wp:inline>
        </w:drawing>
      </w:r>
      <w:r w:rsidR="752B6AF4" w:rsidRPr="752B6AF4">
        <w:rPr>
          <w:rFonts w:ascii="Georgia" w:eastAsia="Georgia" w:hAnsi="Georgia" w:cs="Georgia"/>
          <w:color w:val="000000" w:themeColor="text1"/>
        </w:rPr>
        <w:t xml:space="preserve"> This image was taken by (</w:t>
      </w:r>
      <w:proofErr w:type="spellStart"/>
      <w:r w:rsidR="752B6AF4" w:rsidRPr="752B6AF4">
        <w:rPr>
          <w:rFonts w:ascii="Georgia" w:eastAsia="Georgia" w:hAnsi="Georgia" w:cs="Georgia"/>
          <w:color w:val="000000" w:themeColor="text1"/>
        </w:rPr>
        <w:t>Brooksbank</w:t>
      </w:r>
      <w:proofErr w:type="spellEnd"/>
      <w:r w:rsidR="752B6AF4" w:rsidRPr="752B6AF4">
        <w:rPr>
          <w:rFonts w:ascii="Georgia" w:eastAsia="Georgia" w:hAnsi="Georgia" w:cs="Georgia"/>
          <w:color w:val="000000" w:themeColor="text1"/>
        </w:rPr>
        <w:t>, 1946)</w:t>
      </w:r>
      <w:r>
        <w:br/>
      </w:r>
    </w:p>
    <w:p w14:paraId="343934B4" w14:textId="0B5FA645" w:rsidR="120215EF" w:rsidRDefault="752B6AF4" w:rsidP="752B6AF4">
      <w:pPr>
        <w:jc w:val="center"/>
      </w:pPr>
      <w:r w:rsidRPr="752B6AF4">
        <w:rPr>
          <w:sz w:val="20"/>
          <w:szCs w:val="20"/>
        </w:rPr>
        <w:t>4</w:t>
      </w:r>
    </w:p>
    <w:p w14:paraId="638F8043" w14:textId="14257A0C" w:rsidR="120215EF" w:rsidRDefault="120215EF" w:rsidP="752B6AF4">
      <w:pPr>
        <w:jc w:val="both"/>
        <w:rPr>
          <w:rFonts w:ascii="Calibri" w:eastAsia="Calibri" w:hAnsi="Calibri" w:cs="Calibri"/>
          <w:sz w:val="24"/>
          <w:szCs w:val="24"/>
        </w:rPr>
      </w:pPr>
    </w:p>
    <w:p w14:paraId="11C53F61" w14:textId="77820218" w:rsidR="120215EF" w:rsidRDefault="120215EF" w:rsidP="752B6AF4">
      <w:pPr>
        <w:jc w:val="both"/>
        <w:rPr>
          <w:rFonts w:ascii="Calibri" w:eastAsia="Calibri" w:hAnsi="Calibri" w:cs="Calibri"/>
          <w:sz w:val="24"/>
          <w:szCs w:val="24"/>
        </w:rPr>
      </w:pPr>
    </w:p>
    <w:p w14:paraId="25CA0F7B" w14:textId="2C4C47B3" w:rsidR="120215EF" w:rsidRDefault="752B6AF4" w:rsidP="752B6AF4">
      <w:pPr>
        <w:jc w:val="both"/>
        <w:rPr>
          <w:rFonts w:ascii="Calibri" w:eastAsia="Calibri" w:hAnsi="Calibri" w:cs="Calibri"/>
          <w:sz w:val="24"/>
          <w:szCs w:val="24"/>
        </w:rPr>
      </w:pPr>
      <w:r w:rsidRPr="752B6AF4">
        <w:rPr>
          <w:rFonts w:ascii="Calibri" w:eastAsia="Calibri" w:hAnsi="Calibri" w:cs="Calibri"/>
          <w:sz w:val="24"/>
          <w:szCs w:val="24"/>
        </w:rPr>
        <w:t xml:space="preserve">The land was later bought from the British rail by the County Borough in the 1970s, it was also during the 1970s that the area was divided into two; City of Swansea and West Glamorgan.  </w:t>
      </w:r>
    </w:p>
    <w:p w14:paraId="000C9AED" w14:textId="46422124" w:rsidR="70765657" w:rsidRDefault="752B6AF4" w:rsidP="3EBF648D">
      <w:pPr>
        <w:jc w:val="both"/>
        <w:rPr>
          <w:rFonts w:ascii="Calibri" w:eastAsia="Calibri" w:hAnsi="Calibri" w:cs="Calibri"/>
          <w:sz w:val="24"/>
          <w:szCs w:val="24"/>
        </w:rPr>
      </w:pPr>
      <w:r w:rsidRPr="752B6AF4">
        <w:rPr>
          <w:rFonts w:ascii="Calibri" w:eastAsia="Calibri" w:hAnsi="Calibri" w:cs="Calibri"/>
          <w:color w:val="000000" w:themeColor="text1"/>
          <w:sz w:val="24"/>
          <w:szCs w:val="24"/>
        </w:rPr>
        <w:t>Further research carried out at Swansea Civic Centre archives, having obtained ordnance survey maps, have resulted in the identification of canister works and a timber yard situated in the vicinity of the proposed site, these findings will also need further consideration going forward.</w:t>
      </w:r>
    </w:p>
    <w:p w14:paraId="09FE7D16" w14:textId="21A0C56E" w:rsidR="752B6AF4" w:rsidRDefault="752B6AF4" w:rsidP="752B6AF4">
      <w:pPr>
        <w:jc w:val="both"/>
        <w:rPr>
          <w:rFonts w:ascii="Calibri" w:eastAsia="Calibri" w:hAnsi="Calibri" w:cs="Calibri"/>
          <w:b/>
          <w:bCs/>
          <w:color w:val="000000" w:themeColor="text1"/>
          <w:sz w:val="28"/>
          <w:szCs w:val="28"/>
          <w:u w:val="single"/>
        </w:rPr>
      </w:pPr>
    </w:p>
    <w:p w14:paraId="5123235B" w14:textId="76B38B5B" w:rsidR="70765657" w:rsidRDefault="752B6AF4" w:rsidP="752B6AF4">
      <w:pPr>
        <w:jc w:val="both"/>
        <w:rPr>
          <w:rFonts w:ascii="Calibri" w:eastAsia="Calibri" w:hAnsi="Calibri" w:cs="Calibri"/>
          <w:color w:val="000000" w:themeColor="text1"/>
          <w:sz w:val="28"/>
          <w:szCs w:val="28"/>
          <w:u w:val="single"/>
        </w:rPr>
      </w:pPr>
      <w:r w:rsidRPr="752B6AF4">
        <w:rPr>
          <w:rFonts w:ascii="Calibri" w:eastAsia="Calibri" w:hAnsi="Calibri" w:cs="Calibri"/>
          <w:b/>
          <w:bCs/>
          <w:color w:val="000000" w:themeColor="text1"/>
          <w:sz w:val="28"/>
          <w:szCs w:val="28"/>
          <w:u w:val="single"/>
        </w:rPr>
        <w:t>Civic centre build</w:t>
      </w:r>
    </w:p>
    <w:p w14:paraId="3D2CE9B3" w14:textId="6FD70ABD" w:rsidR="70765657" w:rsidRDefault="752B6AF4" w:rsidP="752B6AF4">
      <w:pPr>
        <w:rPr>
          <w:rFonts w:ascii="Calibri" w:eastAsia="Calibri" w:hAnsi="Calibri" w:cs="Calibri"/>
          <w:color w:val="000000" w:themeColor="text1"/>
          <w:sz w:val="24"/>
          <w:szCs w:val="24"/>
        </w:rPr>
      </w:pPr>
      <w:r w:rsidRPr="752B6AF4">
        <w:rPr>
          <w:rFonts w:ascii="Calibri" w:eastAsia="Calibri" w:hAnsi="Calibri" w:cs="Calibri"/>
          <w:color w:val="000000" w:themeColor="text1"/>
          <w:sz w:val="24"/>
          <w:szCs w:val="24"/>
        </w:rPr>
        <w:t xml:space="preserve">As the new restaurant and ice cream parlour would be situated on the same site as the Civic centre, searches in this area would be very beneficial in order to obtain a better understanding of the site exploration and the building materials used in order to complete. </w:t>
      </w:r>
    </w:p>
    <w:p w14:paraId="4CBE5CB9" w14:textId="4B218A4D" w:rsidR="70765657" w:rsidRDefault="4BFB64B5" w:rsidP="4BFB64B5">
      <w:pPr>
        <w:jc w:val="both"/>
        <w:rPr>
          <w:rFonts w:ascii="Calibri" w:eastAsia="Calibri" w:hAnsi="Calibri" w:cs="Calibri"/>
          <w:color w:val="000000" w:themeColor="text1"/>
          <w:sz w:val="24"/>
          <w:szCs w:val="24"/>
        </w:rPr>
      </w:pPr>
      <w:r w:rsidRPr="4BFB64B5">
        <w:rPr>
          <w:rFonts w:ascii="Calibri" w:eastAsia="Calibri" w:hAnsi="Calibri" w:cs="Calibri"/>
          <w:color w:val="000000" w:themeColor="text1"/>
          <w:sz w:val="24"/>
          <w:szCs w:val="24"/>
        </w:rPr>
        <w:t xml:space="preserve">According to Porch, (2011/2012) work started on site in 1979 when piling began for foundations which went down some 18 metres (54 </w:t>
      </w:r>
      <w:proofErr w:type="spellStart"/>
      <w:r w:rsidRPr="4BFB64B5">
        <w:rPr>
          <w:rFonts w:ascii="Calibri" w:eastAsia="Calibri" w:hAnsi="Calibri" w:cs="Calibri"/>
          <w:color w:val="000000" w:themeColor="text1"/>
          <w:sz w:val="24"/>
          <w:szCs w:val="24"/>
        </w:rPr>
        <w:t>ft</w:t>
      </w:r>
      <w:proofErr w:type="spellEnd"/>
      <w:r w:rsidRPr="4BFB64B5">
        <w:rPr>
          <w:rFonts w:ascii="Calibri" w:eastAsia="Calibri" w:hAnsi="Calibri" w:cs="Calibri"/>
          <w:color w:val="000000" w:themeColor="text1"/>
          <w:sz w:val="24"/>
          <w:szCs w:val="24"/>
        </w:rPr>
        <w:t xml:space="preserve">) to find the base rock. According to the project architect for Swansea’s Civic centre, Mr Charles Quick had stated that as they did so they went through a layer of peat some two metres thick. </w:t>
      </w:r>
    </w:p>
    <w:p w14:paraId="4247E03E" w14:textId="157D7A86" w:rsidR="70765657" w:rsidRDefault="36D76447" w:rsidP="36D76447">
      <w:pPr>
        <w:jc w:val="both"/>
        <w:rPr>
          <w:rFonts w:ascii="Calibri" w:eastAsia="Calibri" w:hAnsi="Calibri" w:cs="Calibri"/>
          <w:color w:val="000000" w:themeColor="text1"/>
          <w:sz w:val="24"/>
          <w:szCs w:val="24"/>
        </w:rPr>
      </w:pPr>
      <w:r w:rsidRPr="36D76447">
        <w:rPr>
          <w:rFonts w:ascii="Calibri" w:eastAsia="Calibri" w:hAnsi="Calibri" w:cs="Calibri"/>
          <w:color w:val="000000" w:themeColor="text1"/>
          <w:sz w:val="24"/>
          <w:szCs w:val="24"/>
        </w:rPr>
        <w:t xml:space="preserve">This wasn’t the only time peat has been found in the surrounding area during excavation works for builds. According to Porch (2011/2012) when the foundations for the former gas works were being created, they encountered a layer of peat too.  The presence of this peat suggests that within the last 10,000 years (no time at all in geological terms) Swansea was covered by forest. As a result, the trees may have sat in what is called a raised bog and these are found in places where topography is flat, for example; on plains or Valley floors of the kind the City Centre rests on now. It could well be that the forest stretched out across Swansea and out into the Bristol </w:t>
      </w:r>
      <w:proofErr w:type="gramStart"/>
      <w:r w:rsidRPr="36D76447">
        <w:rPr>
          <w:rFonts w:ascii="Calibri" w:eastAsia="Calibri" w:hAnsi="Calibri" w:cs="Calibri"/>
          <w:color w:val="000000" w:themeColor="text1"/>
          <w:sz w:val="24"/>
          <w:szCs w:val="24"/>
        </w:rPr>
        <w:t>channel</w:t>
      </w:r>
      <w:proofErr w:type="gramEnd"/>
      <w:r w:rsidRPr="36D76447">
        <w:rPr>
          <w:rFonts w:ascii="Calibri" w:eastAsia="Calibri" w:hAnsi="Calibri" w:cs="Calibri"/>
          <w:color w:val="000000" w:themeColor="text1"/>
          <w:sz w:val="24"/>
          <w:szCs w:val="24"/>
        </w:rPr>
        <w:t>.</w:t>
      </w:r>
    </w:p>
    <w:p w14:paraId="4E9B888F" w14:textId="2B17A811" w:rsidR="70765657" w:rsidRDefault="752B6AF4" w:rsidP="752B6AF4">
      <w:pPr>
        <w:rPr>
          <w:rFonts w:ascii="Calibri" w:eastAsia="Calibri" w:hAnsi="Calibri" w:cs="Calibri"/>
          <w:color w:val="000000" w:themeColor="text1"/>
          <w:sz w:val="24"/>
          <w:szCs w:val="24"/>
        </w:rPr>
      </w:pPr>
      <w:r w:rsidRPr="752B6AF4">
        <w:rPr>
          <w:rFonts w:ascii="Calibri" w:eastAsia="Calibri" w:hAnsi="Calibri" w:cs="Calibri"/>
          <w:color w:val="000000" w:themeColor="text1"/>
          <w:sz w:val="24"/>
          <w:szCs w:val="24"/>
        </w:rPr>
        <w:t>The Civic centre building was constructed of concrete which was the ideal material for the surroundings and the structure itself.  According to Porch (2011/2012) Swansea’s then County Architect J.S. Webb was quoted as saying;</w:t>
      </w:r>
    </w:p>
    <w:p w14:paraId="5522E63D" w14:textId="2BE3E883" w:rsidR="70765657" w:rsidRDefault="36D76447" w:rsidP="36D76447">
      <w:pPr>
        <w:jc w:val="both"/>
        <w:rPr>
          <w:rFonts w:ascii="Calibri" w:eastAsia="Calibri" w:hAnsi="Calibri" w:cs="Calibri"/>
          <w:color w:val="000000" w:themeColor="text1"/>
          <w:sz w:val="24"/>
          <w:szCs w:val="24"/>
        </w:rPr>
      </w:pPr>
      <w:r w:rsidRPr="36D76447">
        <w:rPr>
          <w:rFonts w:ascii="Calibri" w:eastAsia="Calibri" w:hAnsi="Calibri" w:cs="Calibri"/>
          <w:color w:val="000000" w:themeColor="text1"/>
          <w:sz w:val="24"/>
          <w:szCs w:val="24"/>
        </w:rPr>
        <w:t xml:space="preserve">                     </w:t>
      </w:r>
    </w:p>
    <w:p w14:paraId="66D48760" w14:textId="552303C0" w:rsidR="70765657" w:rsidRDefault="36D76447" w:rsidP="36D76447">
      <w:pPr>
        <w:jc w:val="both"/>
        <w:rPr>
          <w:rFonts w:ascii="Calibri" w:eastAsia="Calibri" w:hAnsi="Calibri" w:cs="Calibri"/>
          <w:color w:val="000000" w:themeColor="text1"/>
          <w:sz w:val="24"/>
          <w:szCs w:val="24"/>
        </w:rPr>
      </w:pPr>
      <w:r w:rsidRPr="36D76447">
        <w:rPr>
          <w:rFonts w:ascii="Calibri" w:eastAsia="Calibri" w:hAnsi="Calibri" w:cs="Calibri"/>
          <w:color w:val="000000" w:themeColor="text1"/>
          <w:sz w:val="24"/>
          <w:szCs w:val="24"/>
        </w:rPr>
        <w:t xml:space="preserve">                           ‘</w:t>
      </w:r>
      <w:r w:rsidRPr="36D76447">
        <w:rPr>
          <w:rFonts w:ascii="Calibri" w:eastAsia="Calibri" w:hAnsi="Calibri" w:cs="Calibri"/>
          <w:i/>
          <w:iCs/>
          <w:color w:val="000000" w:themeColor="text1"/>
          <w:sz w:val="24"/>
          <w:szCs w:val="24"/>
        </w:rPr>
        <w:t xml:space="preserve">Concrete was chosen for a number of reasons brickwork would have been much </w:t>
      </w:r>
      <w:proofErr w:type="gramStart"/>
      <w:r w:rsidRPr="36D76447">
        <w:rPr>
          <w:rFonts w:ascii="Calibri" w:eastAsia="Calibri" w:hAnsi="Calibri" w:cs="Calibri"/>
          <w:i/>
          <w:iCs/>
          <w:color w:val="000000" w:themeColor="text1"/>
          <w:sz w:val="24"/>
          <w:szCs w:val="24"/>
        </w:rPr>
        <w:t>to</w:t>
      </w:r>
      <w:proofErr w:type="gramEnd"/>
      <w:r w:rsidRPr="36D76447">
        <w:rPr>
          <w:rFonts w:ascii="Calibri" w:eastAsia="Calibri" w:hAnsi="Calibri" w:cs="Calibri"/>
          <w:i/>
          <w:iCs/>
          <w:color w:val="000000" w:themeColor="text1"/>
          <w:sz w:val="24"/>
          <w:szCs w:val="24"/>
        </w:rPr>
        <w:t xml:space="preserve"> domestic for a building of this size and nature and might have given rise to problems of efflorescence so close as we are to the sea. Then there was all important question of sheep which we could not have attained in brickwork, but for which concrete of course was the ideal material. My concept also had in mind the proud style and strength of old Portland stone buildings</w:t>
      </w:r>
      <w:r w:rsidRPr="36D76447">
        <w:rPr>
          <w:rFonts w:ascii="Calibri" w:eastAsia="Calibri" w:hAnsi="Calibri" w:cs="Calibri"/>
          <w:color w:val="000000" w:themeColor="text1"/>
          <w:sz w:val="24"/>
          <w:szCs w:val="24"/>
        </w:rPr>
        <w:t>’.</w:t>
      </w:r>
    </w:p>
    <w:p w14:paraId="16CDFA75" w14:textId="3541966C" w:rsidR="70765657" w:rsidRDefault="70765657" w:rsidP="70765657">
      <w:pPr>
        <w:rPr>
          <w:rFonts w:ascii="Calibri" w:eastAsia="Calibri" w:hAnsi="Calibri" w:cs="Calibri"/>
          <w:color w:val="000000" w:themeColor="text1"/>
          <w:sz w:val="24"/>
          <w:szCs w:val="24"/>
        </w:rPr>
      </w:pPr>
    </w:p>
    <w:p w14:paraId="19DEE25D" w14:textId="42E97604" w:rsidR="70765657" w:rsidRDefault="752B6AF4" w:rsidP="752B6AF4">
      <w:pPr>
        <w:jc w:val="center"/>
        <w:rPr>
          <w:rFonts w:ascii="Calibri" w:eastAsia="Calibri" w:hAnsi="Calibri" w:cs="Calibri"/>
          <w:b/>
          <w:bCs/>
          <w:color w:val="000000" w:themeColor="text1"/>
          <w:sz w:val="24"/>
          <w:szCs w:val="24"/>
          <w:u w:val="single"/>
        </w:rPr>
      </w:pPr>
      <w:r w:rsidRPr="752B6AF4">
        <w:rPr>
          <w:rFonts w:ascii="Calibri" w:eastAsia="Calibri" w:hAnsi="Calibri" w:cs="Calibri"/>
          <w:color w:val="000000" w:themeColor="text1"/>
          <w:sz w:val="20"/>
          <w:szCs w:val="20"/>
        </w:rPr>
        <w:t>5</w:t>
      </w:r>
    </w:p>
    <w:p w14:paraId="0228EA40" w14:textId="281A4BDD" w:rsidR="70765657" w:rsidRDefault="70765657" w:rsidP="752B6AF4">
      <w:pPr>
        <w:rPr>
          <w:rFonts w:ascii="Calibri" w:eastAsia="Calibri" w:hAnsi="Calibri" w:cs="Calibri"/>
          <w:b/>
          <w:bCs/>
          <w:color w:val="000000" w:themeColor="text1"/>
          <w:sz w:val="24"/>
          <w:szCs w:val="24"/>
          <w:u w:val="single"/>
        </w:rPr>
      </w:pPr>
    </w:p>
    <w:p w14:paraId="3987D70D" w14:textId="492C54DB" w:rsidR="70765657" w:rsidRDefault="752B6AF4" w:rsidP="752B6AF4">
      <w:pPr>
        <w:rPr>
          <w:rFonts w:ascii="Calibri" w:eastAsia="Calibri" w:hAnsi="Calibri" w:cs="Calibri"/>
          <w:color w:val="000000" w:themeColor="text1"/>
          <w:sz w:val="24"/>
          <w:szCs w:val="24"/>
          <w:u w:val="single"/>
        </w:rPr>
      </w:pPr>
      <w:r w:rsidRPr="752B6AF4">
        <w:rPr>
          <w:rFonts w:ascii="Calibri" w:eastAsia="Calibri" w:hAnsi="Calibri" w:cs="Calibri"/>
          <w:b/>
          <w:bCs/>
          <w:color w:val="000000" w:themeColor="text1"/>
          <w:sz w:val="24"/>
          <w:szCs w:val="24"/>
          <w:u w:val="single"/>
        </w:rPr>
        <w:lastRenderedPageBreak/>
        <w:t>Recommendations</w:t>
      </w:r>
    </w:p>
    <w:p w14:paraId="024C4C42" w14:textId="6412A48A" w:rsidR="569626BE" w:rsidRDefault="36D76447" w:rsidP="36D76447">
      <w:pPr>
        <w:jc w:val="both"/>
        <w:rPr>
          <w:rFonts w:ascii="Calibri" w:eastAsia="Calibri" w:hAnsi="Calibri" w:cs="Calibri"/>
          <w:color w:val="000000" w:themeColor="text1"/>
          <w:sz w:val="24"/>
          <w:szCs w:val="24"/>
        </w:rPr>
      </w:pPr>
      <w:r w:rsidRPr="36D76447">
        <w:rPr>
          <w:rFonts w:ascii="Calibri" w:eastAsia="Calibri" w:hAnsi="Calibri" w:cs="Calibri"/>
          <w:color w:val="000000" w:themeColor="text1"/>
          <w:sz w:val="24"/>
          <w:szCs w:val="24"/>
        </w:rPr>
        <w:t xml:space="preserve">Following on from the preliminary desk top study findings and the historical background of the site, a full on-site investigation is required. To start, it may be suggested that the engineer carries out a visual inspection of the proposed site and surrounding area, looking at any vegetation that could possibly be there which could give an indication of any sub soil to be found. It may also be recommended to investigate any nearby buildings for any potential cracks which in turn could possibly show signs of settlement, this is especially important as the land is close to the sea which could possibly change the moisture content of the soils, causing clays and silts to be softened thus causing settlement. </w:t>
      </w:r>
    </w:p>
    <w:p w14:paraId="32F34754" w14:textId="3ED3247C" w:rsidR="569626BE" w:rsidRDefault="752B6AF4" w:rsidP="752B6AF4">
      <w:pPr>
        <w:jc w:val="both"/>
        <w:rPr>
          <w:rFonts w:ascii="Calibri" w:eastAsia="Calibri" w:hAnsi="Calibri" w:cs="Calibri"/>
          <w:color w:val="000000" w:themeColor="text1"/>
          <w:sz w:val="24"/>
          <w:szCs w:val="24"/>
        </w:rPr>
      </w:pPr>
      <w:r w:rsidRPr="752B6AF4">
        <w:rPr>
          <w:rFonts w:ascii="Calibri" w:eastAsia="Calibri" w:hAnsi="Calibri" w:cs="Calibri"/>
          <w:color w:val="000000" w:themeColor="text1"/>
          <w:sz w:val="24"/>
          <w:szCs w:val="24"/>
        </w:rPr>
        <w:t>Following on from the visual inspection and gathering as much information as possible, the next phase would be to make several test bore holes. The purpose of such tests at the proposed site which would allow for collecting of any disturbed and undisturbed soil samples from varying depths to visually check and as such be sent off for further analysis. To proceed with this recommendation, it may be argued to recommend bore holes around the perimeter and from the centre of the site. Depending on how uniform these samples comeback will then depend if further bore holes will be required.  The depth of the bore holes should go deep enough to the area that will be affected by the new building construction and that it can be adequately tested for its qualities such as strength and rigidity. Although through the desktop study we know it will roughly be 18m to base rock, it would still also be recommended to obtain at least one bore hole to the base rock, the purpose of which to prove the base rock, as such it would be suggested coring into it to a depth of at least 3m.</w:t>
      </w:r>
    </w:p>
    <w:p w14:paraId="0BED7E52" w14:textId="0188DF1E" w:rsidR="569626BE" w:rsidRDefault="36D76447" w:rsidP="36D76447">
      <w:pPr>
        <w:jc w:val="both"/>
        <w:rPr>
          <w:rFonts w:ascii="Calibri" w:eastAsia="Calibri" w:hAnsi="Calibri" w:cs="Calibri"/>
          <w:color w:val="000000" w:themeColor="text1"/>
          <w:sz w:val="24"/>
          <w:szCs w:val="24"/>
        </w:rPr>
      </w:pPr>
      <w:r w:rsidRPr="36D76447">
        <w:rPr>
          <w:rFonts w:ascii="Calibri" w:eastAsia="Calibri" w:hAnsi="Calibri" w:cs="Calibri"/>
          <w:color w:val="000000" w:themeColor="text1"/>
          <w:sz w:val="24"/>
          <w:szCs w:val="24"/>
        </w:rPr>
        <w:t xml:space="preserve">Due to the history of the site and the fact that it used to house an engine shed, canister works, a timber </w:t>
      </w:r>
      <w:proofErr w:type="gramStart"/>
      <w:r w:rsidRPr="36D76447">
        <w:rPr>
          <w:rFonts w:ascii="Calibri" w:eastAsia="Calibri" w:hAnsi="Calibri" w:cs="Calibri"/>
          <w:color w:val="000000" w:themeColor="text1"/>
          <w:sz w:val="24"/>
          <w:szCs w:val="24"/>
        </w:rPr>
        <w:t>yard  and</w:t>
      </w:r>
      <w:proofErr w:type="gramEnd"/>
      <w:r w:rsidRPr="36D76447">
        <w:rPr>
          <w:rFonts w:ascii="Calibri" w:eastAsia="Calibri" w:hAnsi="Calibri" w:cs="Calibri"/>
          <w:color w:val="000000" w:themeColor="text1"/>
          <w:sz w:val="24"/>
          <w:szCs w:val="24"/>
        </w:rPr>
        <w:t xml:space="preserve"> bearing in mind it is on the sea front, it is further recommended that as well as bore holes, to excavate a trial pit in order to assess the ground and the ground water in order to ascertain if there are anthropogenic ground and/or contamination from the previous uses of the site.</w:t>
      </w:r>
    </w:p>
    <w:p w14:paraId="4D7D1497" w14:textId="066B08F7" w:rsidR="569626BE" w:rsidRDefault="36D76447" w:rsidP="36D76447">
      <w:pPr>
        <w:jc w:val="both"/>
        <w:rPr>
          <w:rFonts w:ascii="Calibri" w:eastAsia="Calibri" w:hAnsi="Calibri" w:cs="Calibri"/>
          <w:color w:val="000000" w:themeColor="text1"/>
          <w:sz w:val="24"/>
          <w:szCs w:val="24"/>
        </w:rPr>
      </w:pPr>
      <w:r w:rsidRPr="36D76447">
        <w:rPr>
          <w:rFonts w:ascii="Calibri" w:eastAsia="Calibri" w:hAnsi="Calibri" w:cs="Calibri"/>
          <w:color w:val="000000" w:themeColor="text1"/>
          <w:sz w:val="24"/>
          <w:szCs w:val="24"/>
        </w:rPr>
        <w:t>The bore holes and trial pits are to be carried out in accordance with Standard Rules SR2015 No 36.</w:t>
      </w:r>
    </w:p>
    <w:p w14:paraId="62C761D9" w14:textId="39A989A8" w:rsidR="569626BE" w:rsidRDefault="36D76447" w:rsidP="36D76447">
      <w:pPr>
        <w:jc w:val="both"/>
        <w:rPr>
          <w:rFonts w:ascii="Calibri" w:eastAsia="Calibri" w:hAnsi="Calibri" w:cs="Calibri"/>
          <w:color w:val="000000" w:themeColor="text1"/>
          <w:sz w:val="24"/>
          <w:szCs w:val="24"/>
        </w:rPr>
      </w:pPr>
      <w:r w:rsidRPr="36D76447">
        <w:rPr>
          <w:rFonts w:ascii="Calibri" w:eastAsia="Calibri" w:hAnsi="Calibri" w:cs="Calibri"/>
          <w:color w:val="000000" w:themeColor="text1"/>
          <w:sz w:val="24"/>
          <w:szCs w:val="24"/>
        </w:rPr>
        <w:t>As the proposed site is to be proposed to be built over two car parks there is a requirement to look in to how the build will affect the buildings around it and also the effect on the users of the car park and the disruption that may be caused.</w:t>
      </w:r>
    </w:p>
    <w:p w14:paraId="7831B4FD" w14:textId="6C5BE89E" w:rsidR="569626BE" w:rsidRDefault="752B6AF4" w:rsidP="36D76447">
      <w:pPr>
        <w:jc w:val="both"/>
        <w:rPr>
          <w:rFonts w:ascii="Calibri" w:eastAsia="Calibri" w:hAnsi="Calibri" w:cs="Calibri"/>
          <w:color w:val="000000" w:themeColor="text1"/>
          <w:sz w:val="24"/>
          <w:szCs w:val="24"/>
        </w:rPr>
      </w:pPr>
      <w:r w:rsidRPr="752B6AF4">
        <w:rPr>
          <w:rFonts w:ascii="Calibri" w:eastAsia="Calibri" w:hAnsi="Calibri" w:cs="Calibri"/>
          <w:color w:val="000000" w:themeColor="text1"/>
          <w:sz w:val="24"/>
          <w:szCs w:val="24"/>
        </w:rPr>
        <w:t xml:space="preserve">The roads leading to the site are very busy throughout the day especially during peak rush hour times, as such, this needs to be taken into consideration when planning deliveries to the site of materials especially if large delivery vehicles are required.  </w:t>
      </w:r>
    </w:p>
    <w:p w14:paraId="2FEAA689" w14:textId="4E488662" w:rsidR="752B6AF4" w:rsidRDefault="752B6AF4" w:rsidP="752B6AF4">
      <w:pPr>
        <w:rPr>
          <w:rFonts w:ascii="Calibri" w:eastAsia="Calibri" w:hAnsi="Calibri" w:cs="Calibri"/>
          <w:color w:val="000000" w:themeColor="text1"/>
          <w:sz w:val="20"/>
          <w:szCs w:val="20"/>
        </w:rPr>
      </w:pPr>
    </w:p>
    <w:p w14:paraId="517E79E2" w14:textId="779F60CD" w:rsidR="3AF32C01" w:rsidRDefault="752B6AF4" w:rsidP="752B6AF4">
      <w:pPr>
        <w:jc w:val="center"/>
        <w:rPr>
          <w:rFonts w:ascii="Calibri" w:eastAsia="Calibri" w:hAnsi="Calibri" w:cs="Calibri"/>
          <w:color w:val="000000" w:themeColor="text1"/>
          <w:sz w:val="20"/>
          <w:szCs w:val="20"/>
        </w:rPr>
      </w:pPr>
      <w:r w:rsidRPr="752B6AF4">
        <w:rPr>
          <w:rFonts w:ascii="Calibri" w:eastAsia="Calibri" w:hAnsi="Calibri" w:cs="Calibri"/>
          <w:color w:val="000000" w:themeColor="text1"/>
          <w:sz w:val="20"/>
          <w:szCs w:val="20"/>
        </w:rPr>
        <w:t>6</w:t>
      </w:r>
    </w:p>
    <w:p w14:paraId="01D70C96" w14:textId="02889C73" w:rsidR="3AF32C01" w:rsidRDefault="3AF32C01" w:rsidP="752B6AF4">
      <w:pPr>
        <w:rPr>
          <w:rFonts w:ascii="Calibri" w:eastAsia="Calibri" w:hAnsi="Calibri" w:cs="Calibri"/>
          <w:b/>
          <w:bCs/>
          <w:color w:val="000000" w:themeColor="text1"/>
          <w:sz w:val="24"/>
          <w:szCs w:val="24"/>
          <w:u w:val="single"/>
        </w:rPr>
      </w:pPr>
    </w:p>
    <w:p w14:paraId="653B8FB0" w14:textId="5D7C3AD0" w:rsidR="3AF32C01" w:rsidRDefault="3AF32C01" w:rsidP="752B6AF4">
      <w:pPr>
        <w:rPr>
          <w:rFonts w:ascii="Calibri" w:eastAsia="Calibri" w:hAnsi="Calibri" w:cs="Calibri"/>
          <w:b/>
          <w:bCs/>
          <w:color w:val="000000" w:themeColor="text1"/>
          <w:sz w:val="24"/>
          <w:szCs w:val="24"/>
          <w:u w:val="single"/>
        </w:rPr>
      </w:pPr>
    </w:p>
    <w:p w14:paraId="1F0DF085" w14:textId="35FDDE92" w:rsidR="3AF32C01" w:rsidRDefault="752B6AF4" w:rsidP="752B6AF4">
      <w:pPr>
        <w:rPr>
          <w:rFonts w:ascii="Calibri" w:eastAsia="Calibri" w:hAnsi="Calibri" w:cs="Calibri"/>
          <w:color w:val="000000" w:themeColor="text1"/>
          <w:sz w:val="24"/>
          <w:szCs w:val="24"/>
          <w:u w:val="single"/>
        </w:rPr>
      </w:pPr>
      <w:r w:rsidRPr="752B6AF4">
        <w:rPr>
          <w:rFonts w:ascii="Calibri" w:eastAsia="Calibri" w:hAnsi="Calibri" w:cs="Calibri"/>
          <w:b/>
          <w:bCs/>
          <w:color w:val="000000" w:themeColor="text1"/>
          <w:sz w:val="24"/>
          <w:szCs w:val="24"/>
          <w:u w:val="single"/>
        </w:rPr>
        <w:lastRenderedPageBreak/>
        <w:t>Codes of Practice</w:t>
      </w:r>
    </w:p>
    <w:p w14:paraId="54814CF9" w14:textId="319D2D3E" w:rsidR="3AF32C01" w:rsidRDefault="752B6AF4" w:rsidP="752B6AF4">
      <w:pPr>
        <w:jc w:val="both"/>
        <w:rPr>
          <w:rFonts w:ascii="Calibri" w:eastAsia="Calibri" w:hAnsi="Calibri" w:cs="Calibri"/>
          <w:b/>
          <w:bCs/>
          <w:color w:val="000000" w:themeColor="text1"/>
          <w:sz w:val="24"/>
          <w:szCs w:val="24"/>
        </w:rPr>
      </w:pPr>
      <w:r w:rsidRPr="752B6AF4">
        <w:rPr>
          <w:rFonts w:ascii="Calibri" w:eastAsia="Calibri" w:hAnsi="Calibri" w:cs="Calibri"/>
          <w:color w:val="000000" w:themeColor="text1"/>
          <w:sz w:val="24"/>
          <w:szCs w:val="24"/>
        </w:rPr>
        <w:t>BS5930:2015 along with the new revised BS EN 1997-1 and BS EN 1997-2.  To comply with site investigation, design and construction of the build. Also regarding environmental factors and guidance on geotechnical investigations.</w:t>
      </w:r>
    </w:p>
    <w:p w14:paraId="02885252" w14:textId="6C6B2126" w:rsidR="3AF32C01" w:rsidRDefault="752B6AF4" w:rsidP="752B6AF4">
      <w:pPr>
        <w:jc w:val="both"/>
        <w:rPr>
          <w:rFonts w:ascii="Calibri" w:eastAsia="Calibri" w:hAnsi="Calibri" w:cs="Calibri"/>
          <w:color w:val="000000" w:themeColor="text1"/>
          <w:sz w:val="24"/>
          <w:szCs w:val="24"/>
          <w:u w:val="single"/>
        </w:rPr>
      </w:pPr>
      <w:r w:rsidRPr="752B6AF4">
        <w:rPr>
          <w:rFonts w:ascii="Calibri" w:eastAsia="Calibri" w:hAnsi="Calibri" w:cs="Calibri"/>
          <w:color w:val="000000" w:themeColor="text1"/>
          <w:sz w:val="24"/>
          <w:szCs w:val="24"/>
        </w:rPr>
        <w:t>BS 8004:2015. Recommendations for foundations.</w:t>
      </w:r>
    </w:p>
    <w:p w14:paraId="7E0FAF7D" w14:textId="723323EB" w:rsidR="3AF32C01" w:rsidRDefault="752B6AF4" w:rsidP="752B6AF4">
      <w:pPr>
        <w:jc w:val="both"/>
        <w:rPr>
          <w:rFonts w:ascii="Calibri" w:eastAsia="Calibri" w:hAnsi="Calibri" w:cs="Calibri"/>
          <w:color w:val="000000" w:themeColor="text1"/>
          <w:sz w:val="24"/>
          <w:szCs w:val="24"/>
        </w:rPr>
      </w:pPr>
      <w:r w:rsidRPr="752B6AF4">
        <w:rPr>
          <w:rFonts w:ascii="Calibri" w:eastAsia="Calibri" w:hAnsi="Calibri" w:cs="Calibri"/>
          <w:color w:val="000000" w:themeColor="text1"/>
          <w:sz w:val="24"/>
          <w:szCs w:val="24"/>
        </w:rPr>
        <w:t>SR2015 No 36. Installing and using site investigation bore holes</w:t>
      </w:r>
    </w:p>
    <w:p w14:paraId="560669CD" w14:textId="59651D67" w:rsidR="3AF32C01" w:rsidRDefault="752B6AF4" w:rsidP="752B6AF4">
      <w:pPr>
        <w:rPr>
          <w:rFonts w:ascii="Calibri" w:eastAsia="Calibri" w:hAnsi="Calibri" w:cs="Calibri"/>
          <w:color w:val="000000" w:themeColor="text1"/>
          <w:sz w:val="24"/>
          <w:szCs w:val="24"/>
        </w:rPr>
      </w:pPr>
      <w:r w:rsidRPr="752B6AF4">
        <w:rPr>
          <w:rFonts w:ascii="Calibri" w:eastAsia="Calibri" w:hAnsi="Calibri" w:cs="Calibri"/>
          <w:color w:val="000000" w:themeColor="text1"/>
          <w:sz w:val="24"/>
          <w:szCs w:val="24"/>
        </w:rPr>
        <w:t>Once the ground investigation is complete and all the necessary findings have been gathered; the next phase of the site investigation would be to look at the services that will be required for the building itself.</w:t>
      </w:r>
    </w:p>
    <w:p w14:paraId="6F0BB9AF" w14:textId="600A47C5" w:rsidR="3AF32C01" w:rsidRDefault="752B6AF4" w:rsidP="752B6AF4">
      <w:pPr>
        <w:rPr>
          <w:rFonts w:ascii="Calibri" w:eastAsia="Calibri" w:hAnsi="Calibri" w:cs="Calibri"/>
          <w:b/>
          <w:bCs/>
          <w:color w:val="000000" w:themeColor="text1"/>
          <w:sz w:val="24"/>
          <w:szCs w:val="24"/>
          <w:u w:val="single"/>
        </w:rPr>
      </w:pPr>
      <w:r w:rsidRPr="752B6AF4">
        <w:rPr>
          <w:rFonts w:ascii="Calibri" w:eastAsia="Calibri" w:hAnsi="Calibri" w:cs="Calibri"/>
          <w:b/>
          <w:bCs/>
          <w:color w:val="000000" w:themeColor="text1"/>
          <w:sz w:val="24"/>
          <w:szCs w:val="24"/>
          <w:u w:val="single"/>
        </w:rPr>
        <w:t>Building services</w:t>
      </w:r>
    </w:p>
    <w:p w14:paraId="159E94C4" w14:textId="3BDD1F4E" w:rsidR="3AF32C01" w:rsidRDefault="36D76447" w:rsidP="36D76447">
      <w:pPr>
        <w:jc w:val="both"/>
        <w:rPr>
          <w:rFonts w:ascii="Calibri" w:eastAsia="Calibri" w:hAnsi="Calibri" w:cs="Calibri"/>
          <w:color w:val="000000" w:themeColor="text1"/>
          <w:sz w:val="24"/>
          <w:szCs w:val="24"/>
        </w:rPr>
      </w:pPr>
      <w:r w:rsidRPr="36D76447">
        <w:rPr>
          <w:rFonts w:ascii="Calibri" w:eastAsia="Calibri" w:hAnsi="Calibri" w:cs="Calibri"/>
          <w:b/>
          <w:bCs/>
          <w:color w:val="000000" w:themeColor="text1"/>
          <w:sz w:val="24"/>
          <w:szCs w:val="24"/>
        </w:rPr>
        <w:t xml:space="preserve">Plumbing and Heating – </w:t>
      </w:r>
      <w:r w:rsidRPr="36D76447">
        <w:rPr>
          <w:rFonts w:ascii="Calibri" w:eastAsia="Calibri" w:hAnsi="Calibri" w:cs="Calibri"/>
          <w:color w:val="000000" w:themeColor="text1"/>
          <w:sz w:val="24"/>
          <w:szCs w:val="24"/>
        </w:rPr>
        <w:t xml:space="preserve">To establish where the main cold-water service is running underground in conjunction with the build itself and that whether it can be accessed and connected. Thus, ensuring that it is connected on to a large enough bore of pipe for adequate water flow/pressure and that it does not affect the connected buildings or charges for the connection of the water. </w:t>
      </w:r>
    </w:p>
    <w:p w14:paraId="2BF9C087" w14:textId="0CE92CBD" w:rsidR="3AF32C01" w:rsidRDefault="752B6AF4" w:rsidP="36D76447">
      <w:pPr>
        <w:jc w:val="both"/>
        <w:rPr>
          <w:rFonts w:ascii="Calibri" w:eastAsia="Calibri" w:hAnsi="Calibri" w:cs="Calibri"/>
          <w:color w:val="000000" w:themeColor="text1"/>
          <w:sz w:val="24"/>
          <w:szCs w:val="24"/>
        </w:rPr>
      </w:pPr>
      <w:r w:rsidRPr="752B6AF4">
        <w:rPr>
          <w:rFonts w:ascii="Calibri" w:eastAsia="Calibri" w:hAnsi="Calibri" w:cs="Calibri"/>
          <w:color w:val="000000" w:themeColor="text1"/>
          <w:sz w:val="24"/>
          <w:szCs w:val="24"/>
        </w:rPr>
        <w:t xml:space="preserve">To find out which source of gas is available for heating at the site, </w:t>
      </w:r>
      <w:proofErr w:type="spellStart"/>
      <w:r w:rsidRPr="752B6AF4">
        <w:rPr>
          <w:rFonts w:ascii="Calibri" w:eastAsia="Calibri" w:hAnsi="Calibri" w:cs="Calibri"/>
          <w:color w:val="000000" w:themeColor="text1"/>
          <w:sz w:val="24"/>
          <w:szCs w:val="24"/>
        </w:rPr>
        <w:t>i.e</w:t>
      </w:r>
      <w:proofErr w:type="spellEnd"/>
      <w:r w:rsidRPr="752B6AF4">
        <w:rPr>
          <w:rFonts w:ascii="Calibri" w:eastAsia="Calibri" w:hAnsi="Calibri" w:cs="Calibri"/>
          <w:color w:val="000000" w:themeColor="text1"/>
          <w:sz w:val="24"/>
          <w:szCs w:val="24"/>
        </w:rPr>
        <w:t>; whether it is natural gas, LPG or oil, this information will be needed in order to plan what heating system would be required. If it is natural gas, it will need to be established the depth of the pipe, the pipes size and gas pressure to determine if there is enough to handle extra demand required for the new building. It will also need to be identified as to the costing of installation. Further, to look at renewable energy options such as ground source heat pumps and solar.</w:t>
      </w:r>
    </w:p>
    <w:p w14:paraId="219B0A51" w14:textId="4936EA1E" w:rsidR="4BFB64B5" w:rsidRDefault="752B6AF4" w:rsidP="752B6AF4">
      <w:pPr>
        <w:jc w:val="both"/>
        <w:rPr>
          <w:rFonts w:ascii="Calibri" w:eastAsia="Calibri" w:hAnsi="Calibri" w:cs="Calibri"/>
          <w:b/>
          <w:bCs/>
          <w:color w:val="000000" w:themeColor="text1"/>
          <w:sz w:val="24"/>
          <w:szCs w:val="24"/>
        </w:rPr>
      </w:pPr>
      <w:r w:rsidRPr="752B6AF4">
        <w:rPr>
          <w:rFonts w:ascii="Calibri" w:eastAsia="Calibri" w:hAnsi="Calibri" w:cs="Calibri"/>
          <w:b/>
          <w:bCs/>
          <w:color w:val="000000" w:themeColor="text1"/>
          <w:sz w:val="24"/>
          <w:szCs w:val="24"/>
        </w:rPr>
        <w:t xml:space="preserve">Drainage and sewage - </w:t>
      </w:r>
      <w:r w:rsidRPr="752B6AF4">
        <w:rPr>
          <w:rFonts w:ascii="Calibri" w:eastAsia="Calibri" w:hAnsi="Calibri" w:cs="Calibri"/>
          <w:color w:val="000000" w:themeColor="text1"/>
          <w:sz w:val="24"/>
          <w:szCs w:val="24"/>
        </w:rPr>
        <w:t xml:space="preserve">To locate the sewage pipes to ensure they are suitable to be added on to for the new building and that there is enough capacity for the added waste/water. </w:t>
      </w:r>
    </w:p>
    <w:p w14:paraId="5F574205" w14:textId="0FCCE3DA" w:rsidR="4BFB64B5" w:rsidRDefault="752B6AF4" w:rsidP="752B6AF4">
      <w:pPr>
        <w:jc w:val="both"/>
        <w:rPr>
          <w:rFonts w:ascii="Calibri" w:eastAsia="Calibri" w:hAnsi="Calibri" w:cs="Calibri"/>
          <w:color w:val="000000" w:themeColor="text1"/>
          <w:sz w:val="24"/>
          <w:szCs w:val="24"/>
        </w:rPr>
      </w:pPr>
      <w:r w:rsidRPr="752B6AF4">
        <w:rPr>
          <w:rFonts w:ascii="Calibri" w:eastAsia="Calibri" w:hAnsi="Calibri" w:cs="Calibri"/>
          <w:color w:val="000000" w:themeColor="text1"/>
          <w:sz w:val="24"/>
          <w:szCs w:val="24"/>
        </w:rPr>
        <w:t>It will also need to be established whether there are separate foul and storm drains or if they are combined. Due to the fact the facility will be serving food and drink there will also be a need to look in to solid waste disposal to ensure where the new building is to be erected that it isn't covering any inspection chambers and that when digging for foundations that any services are not damaged. Again, there is a requirement to find out charges for the connections.</w:t>
      </w:r>
    </w:p>
    <w:p w14:paraId="2F8567F8" w14:textId="5C0664E7" w:rsidR="752B6AF4" w:rsidRDefault="752B6AF4" w:rsidP="752B6AF4">
      <w:pPr>
        <w:jc w:val="both"/>
        <w:rPr>
          <w:rFonts w:ascii="Calibri" w:eastAsia="Calibri" w:hAnsi="Calibri" w:cs="Calibri"/>
          <w:b/>
          <w:bCs/>
          <w:color w:val="000000" w:themeColor="text1"/>
          <w:sz w:val="24"/>
          <w:szCs w:val="24"/>
        </w:rPr>
      </w:pPr>
    </w:p>
    <w:p w14:paraId="238ED77C" w14:textId="77777777" w:rsidR="00D40872" w:rsidRDefault="00D40872" w:rsidP="752B6AF4">
      <w:pPr>
        <w:jc w:val="center"/>
        <w:rPr>
          <w:rFonts w:ascii="Calibri" w:eastAsia="Calibri" w:hAnsi="Calibri" w:cs="Calibri"/>
          <w:color w:val="000000" w:themeColor="text1"/>
          <w:sz w:val="20"/>
          <w:szCs w:val="20"/>
        </w:rPr>
      </w:pPr>
    </w:p>
    <w:p w14:paraId="39ED7FB2" w14:textId="77777777" w:rsidR="00D40872" w:rsidRDefault="00D40872" w:rsidP="752B6AF4">
      <w:pPr>
        <w:jc w:val="center"/>
        <w:rPr>
          <w:rFonts w:ascii="Calibri" w:eastAsia="Calibri" w:hAnsi="Calibri" w:cs="Calibri"/>
          <w:color w:val="000000" w:themeColor="text1"/>
          <w:sz w:val="20"/>
          <w:szCs w:val="20"/>
        </w:rPr>
      </w:pPr>
    </w:p>
    <w:p w14:paraId="6748ACB9" w14:textId="77777777" w:rsidR="00D40872" w:rsidRDefault="00D40872" w:rsidP="752B6AF4">
      <w:pPr>
        <w:jc w:val="center"/>
        <w:rPr>
          <w:rFonts w:ascii="Calibri" w:eastAsia="Calibri" w:hAnsi="Calibri" w:cs="Calibri"/>
          <w:color w:val="000000" w:themeColor="text1"/>
          <w:sz w:val="20"/>
          <w:szCs w:val="20"/>
        </w:rPr>
      </w:pPr>
    </w:p>
    <w:p w14:paraId="6A1725F9" w14:textId="77777777" w:rsidR="00D40872" w:rsidRDefault="00D40872" w:rsidP="752B6AF4">
      <w:pPr>
        <w:jc w:val="center"/>
        <w:rPr>
          <w:rFonts w:ascii="Calibri" w:eastAsia="Calibri" w:hAnsi="Calibri" w:cs="Calibri"/>
          <w:color w:val="000000" w:themeColor="text1"/>
          <w:sz w:val="20"/>
          <w:szCs w:val="20"/>
        </w:rPr>
      </w:pPr>
    </w:p>
    <w:p w14:paraId="1518A976" w14:textId="77777777" w:rsidR="00D40872" w:rsidRDefault="00D40872" w:rsidP="752B6AF4">
      <w:pPr>
        <w:jc w:val="center"/>
        <w:rPr>
          <w:rFonts w:ascii="Calibri" w:eastAsia="Calibri" w:hAnsi="Calibri" w:cs="Calibri"/>
          <w:color w:val="000000" w:themeColor="text1"/>
          <w:sz w:val="20"/>
          <w:szCs w:val="20"/>
        </w:rPr>
      </w:pPr>
    </w:p>
    <w:p w14:paraId="0ADB456E" w14:textId="0F8F1677" w:rsidR="752B6AF4" w:rsidRDefault="752B6AF4" w:rsidP="752B6AF4">
      <w:pPr>
        <w:jc w:val="center"/>
        <w:rPr>
          <w:rFonts w:ascii="Calibri" w:eastAsia="Calibri" w:hAnsi="Calibri" w:cs="Calibri"/>
          <w:b/>
          <w:bCs/>
          <w:color w:val="000000" w:themeColor="text1"/>
          <w:sz w:val="24"/>
          <w:szCs w:val="24"/>
        </w:rPr>
      </w:pPr>
      <w:r w:rsidRPr="752B6AF4">
        <w:rPr>
          <w:rFonts w:ascii="Calibri" w:eastAsia="Calibri" w:hAnsi="Calibri" w:cs="Calibri"/>
          <w:color w:val="000000" w:themeColor="text1"/>
          <w:sz w:val="20"/>
          <w:szCs w:val="20"/>
        </w:rPr>
        <w:t>7</w:t>
      </w:r>
    </w:p>
    <w:p w14:paraId="714BC423" w14:textId="62FAC08D" w:rsidR="4BFB64B5" w:rsidRDefault="36D76447" w:rsidP="36D76447">
      <w:pPr>
        <w:jc w:val="both"/>
        <w:rPr>
          <w:rFonts w:ascii="Calibri" w:eastAsia="Calibri" w:hAnsi="Calibri" w:cs="Calibri"/>
          <w:color w:val="000000" w:themeColor="text1"/>
          <w:sz w:val="24"/>
          <w:szCs w:val="24"/>
        </w:rPr>
      </w:pPr>
      <w:bookmarkStart w:id="0" w:name="_GoBack"/>
      <w:bookmarkEnd w:id="0"/>
      <w:r w:rsidRPr="36D76447">
        <w:rPr>
          <w:rFonts w:ascii="Calibri" w:eastAsia="Calibri" w:hAnsi="Calibri" w:cs="Calibri"/>
          <w:b/>
          <w:bCs/>
          <w:color w:val="000000" w:themeColor="text1"/>
          <w:sz w:val="24"/>
          <w:szCs w:val="24"/>
        </w:rPr>
        <w:lastRenderedPageBreak/>
        <w:t xml:space="preserve">Electricity – </w:t>
      </w:r>
      <w:r w:rsidRPr="36D76447">
        <w:rPr>
          <w:rFonts w:ascii="Calibri" w:eastAsia="Calibri" w:hAnsi="Calibri" w:cs="Calibri"/>
          <w:color w:val="000000" w:themeColor="text1"/>
          <w:sz w:val="24"/>
          <w:szCs w:val="24"/>
        </w:rPr>
        <w:t xml:space="preserve">To locate the existing electrical supply for the site, the voltage available and if it is capable of handling the extra demand required. There is a need to also establish the charges for installation. </w:t>
      </w:r>
    </w:p>
    <w:p w14:paraId="1B87C928" w14:textId="0512FEB6" w:rsidR="4BFB64B5" w:rsidRDefault="4BFB64B5" w:rsidP="752B6AF4">
      <w:pPr>
        <w:rPr>
          <w:rFonts w:ascii="Calibri" w:eastAsia="Calibri" w:hAnsi="Calibri" w:cs="Calibri"/>
          <w:color w:val="000000" w:themeColor="text1"/>
          <w:sz w:val="24"/>
          <w:szCs w:val="24"/>
        </w:rPr>
      </w:pPr>
    </w:p>
    <w:p w14:paraId="71C7AA39" w14:textId="48DEAE44" w:rsidR="4BFB64B5" w:rsidRDefault="752B6AF4" w:rsidP="752B6AF4">
      <w:pPr>
        <w:rPr>
          <w:rFonts w:ascii="Calibri" w:eastAsia="Calibri" w:hAnsi="Calibri" w:cs="Calibri"/>
          <w:color w:val="000000" w:themeColor="text1"/>
          <w:sz w:val="24"/>
          <w:szCs w:val="24"/>
        </w:rPr>
      </w:pPr>
      <w:r w:rsidRPr="752B6AF4">
        <w:rPr>
          <w:rFonts w:ascii="Calibri" w:eastAsia="Calibri" w:hAnsi="Calibri" w:cs="Calibri"/>
          <w:color w:val="000000" w:themeColor="text1"/>
          <w:sz w:val="24"/>
          <w:szCs w:val="24"/>
        </w:rPr>
        <w:t>For all the above services it is required to find out the names of the supplying authorities and the regulations that need to be adhered to.</w:t>
      </w:r>
    </w:p>
    <w:p w14:paraId="4CD0B6A3" w14:textId="2601A100" w:rsidR="752B6AF4" w:rsidRDefault="752B6AF4" w:rsidP="752B6AF4">
      <w:pPr>
        <w:jc w:val="both"/>
        <w:rPr>
          <w:rFonts w:ascii="Calibri" w:eastAsia="Calibri" w:hAnsi="Calibri" w:cs="Calibri"/>
          <w:b/>
          <w:bCs/>
          <w:color w:val="000000" w:themeColor="text1"/>
          <w:sz w:val="24"/>
          <w:szCs w:val="24"/>
        </w:rPr>
      </w:pPr>
    </w:p>
    <w:p w14:paraId="5C9D9AD9" w14:textId="2926AA77" w:rsidR="4BFB64B5" w:rsidRDefault="36D76447" w:rsidP="36D76447">
      <w:pPr>
        <w:jc w:val="both"/>
        <w:rPr>
          <w:rFonts w:ascii="Calibri" w:eastAsia="Calibri" w:hAnsi="Calibri" w:cs="Calibri"/>
          <w:color w:val="000000" w:themeColor="text1"/>
          <w:sz w:val="24"/>
          <w:szCs w:val="24"/>
        </w:rPr>
      </w:pPr>
      <w:r w:rsidRPr="36D76447">
        <w:rPr>
          <w:rFonts w:ascii="Calibri" w:eastAsia="Calibri" w:hAnsi="Calibri" w:cs="Calibri"/>
          <w:b/>
          <w:bCs/>
          <w:color w:val="000000" w:themeColor="text1"/>
          <w:sz w:val="24"/>
          <w:szCs w:val="24"/>
        </w:rPr>
        <w:t xml:space="preserve">Telecommunications – </w:t>
      </w:r>
      <w:r w:rsidRPr="36D76447">
        <w:rPr>
          <w:rFonts w:ascii="Calibri" w:eastAsia="Calibri" w:hAnsi="Calibri" w:cs="Calibri"/>
          <w:color w:val="000000" w:themeColor="text1"/>
          <w:sz w:val="24"/>
          <w:szCs w:val="24"/>
        </w:rPr>
        <w:t>To establish the location of existing phone lines, any requirements that need to be fulfilled according to the telephone agency and the charges for installation.</w:t>
      </w:r>
    </w:p>
    <w:p w14:paraId="572242FE" w14:textId="20A9457A" w:rsidR="4BFB64B5" w:rsidRDefault="4BFB64B5" w:rsidP="4BFB64B5">
      <w:pPr>
        <w:rPr>
          <w:rFonts w:ascii="Calibri" w:eastAsia="Calibri" w:hAnsi="Calibri" w:cs="Calibri"/>
          <w:color w:val="000000" w:themeColor="text1"/>
          <w:sz w:val="24"/>
          <w:szCs w:val="24"/>
        </w:rPr>
      </w:pPr>
      <w:r w:rsidRPr="4BFB64B5">
        <w:rPr>
          <w:rFonts w:ascii="Calibri" w:eastAsia="Calibri" w:hAnsi="Calibri" w:cs="Calibri"/>
          <w:color w:val="000000" w:themeColor="text1"/>
          <w:sz w:val="24"/>
          <w:szCs w:val="24"/>
        </w:rPr>
        <w:t xml:space="preserve">  </w:t>
      </w:r>
    </w:p>
    <w:p w14:paraId="2F278F9C" w14:textId="3C634AC6" w:rsidR="4BFB64B5" w:rsidRDefault="752B6AF4" w:rsidP="752B6AF4">
      <w:pPr>
        <w:rPr>
          <w:rFonts w:ascii="Calibri" w:eastAsia="Calibri" w:hAnsi="Calibri" w:cs="Calibri"/>
          <w:color w:val="000000" w:themeColor="text1"/>
          <w:sz w:val="24"/>
          <w:szCs w:val="24"/>
          <w:u w:val="single"/>
        </w:rPr>
      </w:pPr>
      <w:r w:rsidRPr="752B6AF4">
        <w:rPr>
          <w:rFonts w:ascii="Calibri" w:eastAsia="Calibri" w:hAnsi="Calibri" w:cs="Calibri"/>
          <w:b/>
          <w:bCs/>
          <w:color w:val="000000" w:themeColor="text1"/>
          <w:sz w:val="24"/>
          <w:szCs w:val="24"/>
          <w:u w:val="single"/>
        </w:rPr>
        <w:t>Foundation</w:t>
      </w:r>
      <w:r w:rsidRPr="752B6AF4">
        <w:rPr>
          <w:rFonts w:ascii="Calibri" w:eastAsia="Calibri" w:hAnsi="Calibri" w:cs="Calibri"/>
          <w:b/>
          <w:bCs/>
          <w:color w:val="000000" w:themeColor="text1"/>
          <w:sz w:val="24"/>
          <w:szCs w:val="24"/>
        </w:rPr>
        <w:t xml:space="preserve"> </w:t>
      </w:r>
    </w:p>
    <w:p w14:paraId="712DE3F6" w14:textId="59E507FA" w:rsidR="4BFB64B5" w:rsidRDefault="5289702F" w:rsidP="36D76447">
      <w:pPr>
        <w:jc w:val="both"/>
        <w:rPr>
          <w:rFonts w:ascii="Calibri" w:eastAsia="Calibri" w:hAnsi="Calibri" w:cs="Calibri"/>
          <w:color w:val="000000" w:themeColor="text1"/>
          <w:sz w:val="24"/>
          <w:szCs w:val="24"/>
        </w:rPr>
      </w:pPr>
      <w:r w:rsidRPr="5289702F">
        <w:rPr>
          <w:rFonts w:ascii="Calibri" w:eastAsia="Calibri" w:hAnsi="Calibri" w:cs="Calibri"/>
          <w:color w:val="000000" w:themeColor="text1"/>
          <w:sz w:val="24"/>
          <w:szCs w:val="24"/>
        </w:rPr>
        <w:t xml:space="preserve">From the preliminary report and investigation, it is suggested the building itself would benefit from the use of pile foundations due to the location of the site, where it is susceptible to high wind conditions and heavy rainfall and the fact that it is on the sea front. By using the pile foundation method, it will prevent settlement of foundations and possible uplift caused by heavy wind.  Also due to the fact peat has been found in this area the method of pile foundation will go well below this level for a firm solid structure. </w:t>
      </w:r>
    </w:p>
    <w:p w14:paraId="5E2750C6" w14:textId="11E83A8D" w:rsidR="4BFB64B5" w:rsidRDefault="4BFB64B5" w:rsidP="4BFB64B5">
      <w:pPr>
        <w:rPr>
          <w:rFonts w:ascii="Calibri" w:eastAsia="Calibri" w:hAnsi="Calibri" w:cs="Calibri"/>
          <w:color w:val="000000" w:themeColor="text1"/>
          <w:sz w:val="24"/>
          <w:szCs w:val="24"/>
        </w:rPr>
      </w:pPr>
    </w:p>
    <w:p w14:paraId="7F46A828" w14:textId="09B15993" w:rsidR="569626BE" w:rsidRDefault="569626BE" w:rsidP="569626BE">
      <w:pPr>
        <w:rPr>
          <w:rFonts w:ascii="Calibri" w:eastAsia="Calibri" w:hAnsi="Calibri" w:cs="Calibri"/>
          <w:color w:val="000000" w:themeColor="text1"/>
          <w:sz w:val="24"/>
          <w:szCs w:val="24"/>
        </w:rPr>
      </w:pPr>
    </w:p>
    <w:p w14:paraId="25CDF541" w14:textId="068EC520" w:rsidR="752B6AF4" w:rsidRDefault="752B6AF4" w:rsidP="752B6AF4">
      <w:pPr>
        <w:rPr>
          <w:rFonts w:ascii="Calibri" w:eastAsia="Calibri" w:hAnsi="Calibri" w:cs="Calibri"/>
          <w:color w:val="000000" w:themeColor="text1"/>
          <w:sz w:val="24"/>
          <w:szCs w:val="24"/>
        </w:rPr>
      </w:pPr>
      <w:r w:rsidRPr="752B6AF4">
        <w:rPr>
          <w:rFonts w:ascii="Calibri" w:eastAsia="Calibri" w:hAnsi="Calibri" w:cs="Calibri"/>
          <w:color w:val="000000" w:themeColor="text1"/>
          <w:sz w:val="24"/>
          <w:szCs w:val="24"/>
        </w:rPr>
        <w:t xml:space="preserve"> </w:t>
      </w:r>
    </w:p>
    <w:p w14:paraId="6860E700" w14:textId="5C6E0305" w:rsidR="752B6AF4" w:rsidRDefault="752B6AF4" w:rsidP="752B6AF4">
      <w:pPr>
        <w:jc w:val="center"/>
        <w:rPr>
          <w:rFonts w:ascii="Calibri" w:eastAsia="Calibri" w:hAnsi="Calibri" w:cs="Calibri"/>
          <w:sz w:val="20"/>
          <w:szCs w:val="20"/>
        </w:rPr>
      </w:pPr>
    </w:p>
    <w:p w14:paraId="7DEF00B8" w14:textId="5752C5F5" w:rsidR="752B6AF4" w:rsidRDefault="752B6AF4" w:rsidP="752B6AF4">
      <w:pPr>
        <w:jc w:val="center"/>
        <w:rPr>
          <w:rFonts w:ascii="Calibri" w:eastAsia="Calibri" w:hAnsi="Calibri" w:cs="Calibri"/>
          <w:sz w:val="20"/>
          <w:szCs w:val="20"/>
        </w:rPr>
      </w:pPr>
    </w:p>
    <w:p w14:paraId="2D8C8DEC" w14:textId="469F8A29" w:rsidR="752B6AF4" w:rsidRDefault="752B6AF4" w:rsidP="752B6AF4">
      <w:pPr>
        <w:jc w:val="center"/>
        <w:rPr>
          <w:rFonts w:ascii="Calibri" w:eastAsia="Calibri" w:hAnsi="Calibri" w:cs="Calibri"/>
          <w:sz w:val="20"/>
          <w:szCs w:val="20"/>
        </w:rPr>
      </w:pPr>
    </w:p>
    <w:p w14:paraId="3563E0EB" w14:textId="13EC174F" w:rsidR="752B6AF4" w:rsidRDefault="752B6AF4" w:rsidP="752B6AF4">
      <w:pPr>
        <w:jc w:val="center"/>
        <w:rPr>
          <w:rFonts w:ascii="Calibri" w:eastAsia="Calibri" w:hAnsi="Calibri" w:cs="Calibri"/>
          <w:sz w:val="20"/>
          <w:szCs w:val="20"/>
        </w:rPr>
      </w:pPr>
    </w:p>
    <w:p w14:paraId="4701EBBF" w14:textId="5FDE9D2F" w:rsidR="752B6AF4" w:rsidRDefault="752B6AF4" w:rsidP="752B6AF4">
      <w:pPr>
        <w:jc w:val="center"/>
        <w:rPr>
          <w:rFonts w:ascii="Calibri" w:eastAsia="Calibri" w:hAnsi="Calibri" w:cs="Calibri"/>
          <w:sz w:val="20"/>
          <w:szCs w:val="20"/>
        </w:rPr>
      </w:pPr>
    </w:p>
    <w:p w14:paraId="2FE8BAC5" w14:textId="052D76A2" w:rsidR="752B6AF4" w:rsidRDefault="752B6AF4" w:rsidP="752B6AF4">
      <w:pPr>
        <w:jc w:val="center"/>
        <w:rPr>
          <w:rFonts w:ascii="Calibri" w:eastAsia="Calibri" w:hAnsi="Calibri" w:cs="Calibri"/>
          <w:sz w:val="20"/>
          <w:szCs w:val="20"/>
        </w:rPr>
      </w:pPr>
    </w:p>
    <w:p w14:paraId="263AE6EC" w14:textId="1B1DD5FF" w:rsidR="752B6AF4" w:rsidRDefault="752B6AF4" w:rsidP="752B6AF4">
      <w:pPr>
        <w:jc w:val="center"/>
        <w:rPr>
          <w:rFonts w:ascii="Calibri" w:eastAsia="Calibri" w:hAnsi="Calibri" w:cs="Calibri"/>
          <w:sz w:val="20"/>
          <w:szCs w:val="20"/>
        </w:rPr>
      </w:pPr>
    </w:p>
    <w:p w14:paraId="5CAF6C78" w14:textId="1D29FE6A" w:rsidR="752B6AF4" w:rsidRDefault="752B6AF4" w:rsidP="752B6AF4">
      <w:pPr>
        <w:jc w:val="center"/>
        <w:rPr>
          <w:rFonts w:ascii="Calibri" w:eastAsia="Calibri" w:hAnsi="Calibri" w:cs="Calibri"/>
          <w:sz w:val="20"/>
          <w:szCs w:val="20"/>
        </w:rPr>
      </w:pPr>
    </w:p>
    <w:p w14:paraId="388298FE" w14:textId="31C23DE1" w:rsidR="752B6AF4" w:rsidRDefault="752B6AF4" w:rsidP="752B6AF4">
      <w:pPr>
        <w:jc w:val="center"/>
        <w:rPr>
          <w:rFonts w:ascii="Calibri" w:eastAsia="Calibri" w:hAnsi="Calibri" w:cs="Calibri"/>
          <w:sz w:val="20"/>
          <w:szCs w:val="20"/>
        </w:rPr>
      </w:pPr>
    </w:p>
    <w:p w14:paraId="3AC5F843" w14:textId="5E0032E5" w:rsidR="752B6AF4" w:rsidRDefault="752B6AF4" w:rsidP="752B6AF4">
      <w:pPr>
        <w:jc w:val="center"/>
        <w:rPr>
          <w:rFonts w:ascii="Calibri" w:eastAsia="Calibri" w:hAnsi="Calibri" w:cs="Calibri"/>
          <w:sz w:val="20"/>
          <w:szCs w:val="20"/>
        </w:rPr>
      </w:pPr>
    </w:p>
    <w:p w14:paraId="3FFEA1F9" w14:textId="4D45B4A7" w:rsidR="120215EF" w:rsidRDefault="752B6AF4" w:rsidP="752B6AF4">
      <w:pPr>
        <w:jc w:val="center"/>
        <w:rPr>
          <w:rFonts w:ascii="Calibri" w:eastAsia="Calibri" w:hAnsi="Calibri" w:cs="Calibri"/>
          <w:sz w:val="20"/>
          <w:szCs w:val="20"/>
        </w:rPr>
      </w:pPr>
      <w:r w:rsidRPr="752B6AF4">
        <w:rPr>
          <w:rFonts w:ascii="Calibri" w:eastAsia="Calibri" w:hAnsi="Calibri" w:cs="Calibri"/>
          <w:sz w:val="20"/>
          <w:szCs w:val="20"/>
        </w:rPr>
        <w:t>8</w:t>
      </w:r>
    </w:p>
    <w:p w14:paraId="109DD636" w14:textId="524AE0A2" w:rsidR="120215EF" w:rsidRDefault="120215EF" w:rsidP="752B6AF4">
      <w:pPr>
        <w:rPr>
          <w:rFonts w:ascii="Calibri" w:eastAsia="Calibri" w:hAnsi="Calibri" w:cs="Calibri"/>
          <w:b/>
          <w:bCs/>
          <w:sz w:val="28"/>
          <w:szCs w:val="28"/>
        </w:rPr>
      </w:pPr>
    </w:p>
    <w:p w14:paraId="2E90085A" w14:textId="3CA5036E" w:rsidR="120215EF" w:rsidRDefault="120215EF" w:rsidP="752B6AF4">
      <w:pPr>
        <w:rPr>
          <w:rFonts w:ascii="Calibri" w:eastAsia="Calibri" w:hAnsi="Calibri" w:cs="Calibri"/>
          <w:b/>
          <w:bCs/>
          <w:sz w:val="28"/>
          <w:szCs w:val="28"/>
        </w:rPr>
      </w:pPr>
    </w:p>
    <w:p w14:paraId="603DC532" w14:textId="1E268961" w:rsidR="00D40872" w:rsidRDefault="00D40872" w:rsidP="752B6AF4">
      <w:pPr>
        <w:rPr>
          <w:rFonts w:ascii="Calibri" w:eastAsia="Calibri" w:hAnsi="Calibri" w:cs="Calibri"/>
          <w:b/>
          <w:bCs/>
          <w:sz w:val="28"/>
          <w:szCs w:val="28"/>
        </w:rPr>
      </w:pPr>
      <w:r>
        <w:rPr>
          <w:rFonts w:ascii="Calibri" w:eastAsia="Calibri" w:hAnsi="Calibri" w:cs="Calibri"/>
          <w:b/>
          <w:bCs/>
          <w:noProof/>
          <w:sz w:val="28"/>
          <w:szCs w:val="28"/>
          <w:lang w:eastAsia="en-GB"/>
        </w:rPr>
        <w:lastRenderedPageBreak/>
        <w:drawing>
          <wp:inline distT="0" distB="0" distL="0" distR="0" wp14:anchorId="47711B0A" wp14:editId="6603B0D2">
            <wp:extent cx="5731510" cy="78822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7A50AAF1" w14:textId="74255442" w:rsidR="120215EF" w:rsidRDefault="120215EF" w:rsidP="752B6AF4">
      <w:pPr>
        <w:rPr>
          <w:rFonts w:ascii="Calibri" w:eastAsia="Calibri" w:hAnsi="Calibri" w:cs="Calibri"/>
          <w:b/>
          <w:bCs/>
          <w:sz w:val="28"/>
          <w:szCs w:val="28"/>
        </w:rPr>
      </w:pPr>
    </w:p>
    <w:p w14:paraId="36A345CD" w14:textId="1CA1CBB9" w:rsidR="00D40872" w:rsidRPr="00D40872" w:rsidRDefault="00D40872" w:rsidP="00D40872">
      <w:pPr>
        <w:jc w:val="center"/>
        <w:rPr>
          <w:rFonts w:ascii="Calibri" w:eastAsia="Calibri" w:hAnsi="Calibri" w:cs="Calibri"/>
          <w:bCs/>
          <w:sz w:val="20"/>
          <w:szCs w:val="20"/>
        </w:rPr>
      </w:pPr>
      <w:r w:rsidRPr="00D40872">
        <w:rPr>
          <w:rFonts w:ascii="Calibri" w:eastAsia="Calibri" w:hAnsi="Calibri" w:cs="Calibri"/>
          <w:bCs/>
          <w:sz w:val="20"/>
          <w:szCs w:val="20"/>
        </w:rPr>
        <w:t>9</w:t>
      </w:r>
    </w:p>
    <w:p w14:paraId="30B99753" w14:textId="77777777" w:rsidR="00D40872" w:rsidRDefault="00D40872" w:rsidP="752B6AF4">
      <w:pPr>
        <w:rPr>
          <w:rFonts w:ascii="Calibri" w:eastAsia="Calibri" w:hAnsi="Calibri" w:cs="Calibri"/>
          <w:b/>
          <w:bCs/>
          <w:sz w:val="28"/>
          <w:szCs w:val="28"/>
        </w:rPr>
      </w:pPr>
    </w:p>
    <w:p w14:paraId="061137FA" w14:textId="6E3CE258" w:rsidR="00D40872" w:rsidRDefault="00D40872" w:rsidP="752B6AF4">
      <w:pPr>
        <w:rPr>
          <w:rFonts w:ascii="Calibri" w:eastAsia="Calibri" w:hAnsi="Calibri" w:cs="Calibri"/>
          <w:b/>
          <w:bCs/>
          <w:sz w:val="28"/>
          <w:szCs w:val="28"/>
        </w:rPr>
      </w:pPr>
      <w:r>
        <w:rPr>
          <w:rFonts w:ascii="Calibri" w:eastAsia="Calibri" w:hAnsi="Calibri" w:cs="Calibri"/>
          <w:b/>
          <w:bCs/>
          <w:noProof/>
          <w:sz w:val="28"/>
          <w:szCs w:val="28"/>
          <w:lang w:eastAsia="en-GB"/>
        </w:rPr>
        <w:lastRenderedPageBreak/>
        <w:drawing>
          <wp:inline distT="0" distB="0" distL="0" distR="0" wp14:anchorId="30C42F46" wp14:editId="1A644AE5">
            <wp:extent cx="5731510" cy="788225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1499F01C" w14:textId="77777777" w:rsidR="00D40872" w:rsidRDefault="00D40872" w:rsidP="752B6AF4">
      <w:pPr>
        <w:rPr>
          <w:rFonts w:ascii="Calibri" w:eastAsia="Calibri" w:hAnsi="Calibri" w:cs="Calibri"/>
          <w:b/>
          <w:bCs/>
          <w:sz w:val="28"/>
          <w:szCs w:val="28"/>
        </w:rPr>
      </w:pPr>
    </w:p>
    <w:p w14:paraId="709D2F7F" w14:textId="3BE4CE90" w:rsidR="00D40872" w:rsidRPr="00D40872" w:rsidRDefault="00D40872" w:rsidP="00D40872">
      <w:pPr>
        <w:jc w:val="center"/>
        <w:rPr>
          <w:rFonts w:ascii="Calibri" w:eastAsia="Calibri" w:hAnsi="Calibri" w:cs="Calibri"/>
          <w:bCs/>
          <w:sz w:val="20"/>
          <w:szCs w:val="20"/>
        </w:rPr>
      </w:pPr>
      <w:r w:rsidRPr="00D40872">
        <w:rPr>
          <w:rFonts w:ascii="Calibri" w:eastAsia="Calibri" w:hAnsi="Calibri" w:cs="Calibri"/>
          <w:bCs/>
          <w:sz w:val="20"/>
          <w:szCs w:val="20"/>
        </w:rPr>
        <w:t>10</w:t>
      </w:r>
    </w:p>
    <w:p w14:paraId="6C9F629B" w14:textId="77777777" w:rsidR="00D40872" w:rsidRDefault="00D40872" w:rsidP="752B6AF4">
      <w:pPr>
        <w:rPr>
          <w:rFonts w:ascii="Calibri" w:eastAsia="Calibri" w:hAnsi="Calibri" w:cs="Calibri"/>
          <w:b/>
          <w:bCs/>
          <w:sz w:val="28"/>
          <w:szCs w:val="28"/>
        </w:rPr>
      </w:pPr>
    </w:p>
    <w:p w14:paraId="19D7D5A4" w14:textId="78B5B07C" w:rsidR="120215EF" w:rsidRDefault="752B6AF4" w:rsidP="752B6AF4">
      <w:pPr>
        <w:rPr>
          <w:rFonts w:ascii="Calibri" w:eastAsia="Calibri" w:hAnsi="Calibri" w:cs="Calibri"/>
        </w:rPr>
      </w:pPr>
      <w:r w:rsidRPr="752B6AF4">
        <w:rPr>
          <w:rFonts w:ascii="Calibri" w:eastAsia="Calibri" w:hAnsi="Calibri" w:cs="Calibri"/>
          <w:b/>
          <w:bCs/>
          <w:sz w:val="28"/>
          <w:szCs w:val="28"/>
        </w:rPr>
        <w:lastRenderedPageBreak/>
        <w:t>References</w:t>
      </w:r>
    </w:p>
    <w:p w14:paraId="2DE46FC3" w14:textId="3771FA33" w:rsidR="752B6AF4" w:rsidRDefault="752B6AF4" w:rsidP="752B6AF4">
      <w:pPr>
        <w:rPr>
          <w:rFonts w:eastAsiaTheme="minorEastAsia"/>
          <w:color w:val="000000" w:themeColor="text1"/>
          <w:sz w:val="24"/>
          <w:szCs w:val="24"/>
        </w:rPr>
      </w:pPr>
    </w:p>
    <w:p w14:paraId="78C2A3A0" w14:textId="0893DA8F" w:rsidR="182FAD8D" w:rsidRDefault="752B6AF4" w:rsidP="752B6AF4">
      <w:pPr>
        <w:rPr>
          <w:rFonts w:eastAsiaTheme="minorEastAsia"/>
          <w:i/>
          <w:iCs/>
          <w:color w:val="000000" w:themeColor="text1"/>
          <w:sz w:val="24"/>
          <w:szCs w:val="24"/>
        </w:rPr>
      </w:pPr>
      <w:proofErr w:type="spellStart"/>
      <w:r w:rsidRPr="752B6AF4">
        <w:rPr>
          <w:rFonts w:eastAsiaTheme="minorEastAsia"/>
          <w:color w:val="000000" w:themeColor="text1"/>
          <w:sz w:val="24"/>
          <w:szCs w:val="24"/>
        </w:rPr>
        <w:t>Brooksbank</w:t>
      </w:r>
      <w:proofErr w:type="spellEnd"/>
      <w:r w:rsidRPr="752B6AF4">
        <w:rPr>
          <w:rFonts w:eastAsiaTheme="minorEastAsia"/>
          <w:color w:val="000000" w:themeColor="text1"/>
          <w:sz w:val="24"/>
          <w:szCs w:val="24"/>
        </w:rPr>
        <w:t xml:space="preserve">, B. (2010) Swansea Paxton Street Locomotive Depot: </w:t>
      </w:r>
      <w:proofErr w:type="gramStart"/>
      <w:r w:rsidRPr="752B6AF4">
        <w:rPr>
          <w:rFonts w:eastAsiaTheme="minorEastAsia"/>
          <w:color w:val="000000" w:themeColor="text1"/>
          <w:sz w:val="24"/>
          <w:szCs w:val="24"/>
        </w:rPr>
        <w:t>an</w:t>
      </w:r>
      <w:proofErr w:type="gramEnd"/>
      <w:r w:rsidRPr="752B6AF4">
        <w:rPr>
          <w:rFonts w:eastAsiaTheme="minorEastAsia"/>
          <w:color w:val="000000" w:themeColor="text1"/>
          <w:sz w:val="24"/>
          <w:szCs w:val="24"/>
        </w:rPr>
        <w:t xml:space="preserve"> 0-8-4T. Available </w:t>
      </w:r>
      <w:proofErr w:type="spellStart"/>
      <w:r w:rsidRPr="752B6AF4">
        <w:rPr>
          <w:rFonts w:eastAsiaTheme="minorEastAsia"/>
          <w:color w:val="000000" w:themeColor="text1"/>
          <w:sz w:val="24"/>
          <w:szCs w:val="24"/>
        </w:rPr>
        <w:t>at</w:t>
      </w:r>
      <w:proofErr w:type="gramStart"/>
      <w:r w:rsidRPr="752B6AF4">
        <w:rPr>
          <w:rFonts w:eastAsiaTheme="minorEastAsia"/>
          <w:color w:val="000000" w:themeColor="text1"/>
          <w:sz w:val="24"/>
          <w:szCs w:val="24"/>
        </w:rPr>
        <w:t>:</w:t>
      </w:r>
      <w:proofErr w:type="gramEnd"/>
      <w:r w:rsidR="000F5BF5">
        <w:rPr>
          <w:rStyle w:val="Hyperlink"/>
          <w:rFonts w:eastAsiaTheme="minorEastAsia"/>
          <w:color w:val="000000" w:themeColor="text1"/>
          <w:sz w:val="24"/>
          <w:szCs w:val="24"/>
          <w:u w:val="none"/>
        </w:rPr>
        <w:fldChar w:fldCharType="begin"/>
      </w:r>
      <w:r w:rsidR="000F5BF5">
        <w:rPr>
          <w:rStyle w:val="Hyperlink"/>
          <w:rFonts w:eastAsiaTheme="minorEastAsia"/>
          <w:color w:val="000000" w:themeColor="text1"/>
          <w:sz w:val="24"/>
          <w:szCs w:val="24"/>
          <w:u w:val="none"/>
        </w:rPr>
        <w:instrText xml:space="preserve"> HYPERLINK "https://www.geograph.org.uk/photo/2210749" \h </w:instrText>
      </w:r>
      <w:r w:rsidR="000F5BF5">
        <w:rPr>
          <w:rStyle w:val="Hyperlink"/>
          <w:rFonts w:eastAsiaTheme="minorEastAsia"/>
          <w:color w:val="000000" w:themeColor="text1"/>
          <w:sz w:val="24"/>
          <w:szCs w:val="24"/>
          <w:u w:val="none"/>
        </w:rPr>
        <w:fldChar w:fldCharType="separate"/>
      </w:r>
      <w:r w:rsidRPr="752B6AF4">
        <w:rPr>
          <w:rStyle w:val="Hyperlink"/>
          <w:rFonts w:eastAsiaTheme="minorEastAsia"/>
          <w:color w:val="000000" w:themeColor="text1"/>
          <w:sz w:val="24"/>
          <w:szCs w:val="24"/>
          <w:u w:val="none"/>
        </w:rPr>
        <w:t>https</w:t>
      </w:r>
      <w:proofErr w:type="spellEnd"/>
      <w:r w:rsidRPr="752B6AF4">
        <w:rPr>
          <w:rStyle w:val="Hyperlink"/>
          <w:rFonts w:eastAsiaTheme="minorEastAsia"/>
          <w:color w:val="000000" w:themeColor="text1"/>
          <w:sz w:val="24"/>
          <w:szCs w:val="24"/>
          <w:u w:val="none"/>
        </w:rPr>
        <w:t>://www.geograph.org.uk/photo/2210749</w:t>
      </w:r>
      <w:r w:rsidR="000F5BF5">
        <w:rPr>
          <w:rStyle w:val="Hyperlink"/>
          <w:rFonts w:eastAsiaTheme="minorEastAsia"/>
          <w:color w:val="000000" w:themeColor="text1"/>
          <w:sz w:val="24"/>
          <w:szCs w:val="24"/>
          <w:u w:val="none"/>
        </w:rPr>
        <w:fldChar w:fldCharType="end"/>
      </w:r>
      <w:r w:rsidRPr="752B6AF4">
        <w:rPr>
          <w:rFonts w:eastAsiaTheme="minorEastAsia"/>
          <w:color w:val="000000" w:themeColor="text1"/>
          <w:sz w:val="24"/>
          <w:szCs w:val="24"/>
        </w:rPr>
        <w:t xml:space="preserve"> (Accessed on 7 November 2019).</w:t>
      </w:r>
    </w:p>
    <w:p w14:paraId="6C9B18A4" w14:textId="2996DD5A" w:rsidR="182FAD8D" w:rsidRDefault="752B6AF4" w:rsidP="752B6AF4">
      <w:pPr>
        <w:rPr>
          <w:rFonts w:eastAsiaTheme="minorEastAsia"/>
          <w:color w:val="000000" w:themeColor="text1"/>
          <w:sz w:val="24"/>
          <w:szCs w:val="24"/>
        </w:rPr>
      </w:pPr>
      <w:r w:rsidRPr="752B6AF4">
        <w:rPr>
          <w:rFonts w:eastAsiaTheme="minorEastAsia"/>
          <w:color w:val="000000" w:themeColor="text1"/>
          <w:sz w:val="24"/>
          <w:szCs w:val="24"/>
        </w:rPr>
        <w:t xml:space="preserve">Environment Agency </w:t>
      </w:r>
      <w:proofErr w:type="gramStart"/>
      <w:r w:rsidRPr="752B6AF4">
        <w:rPr>
          <w:rFonts w:eastAsiaTheme="minorEastAsia"/>
          <w:i/>
          <w:iCs/>
          <w:color w:val="000000" w:themeColor="text1"/>
          <w:sz w:val="24"/>
          <w:szCs w:val="24"/>
        </w:rPr>
        <w:t>The</w:t>
      </w:r>
      <w:proofErr w:type="gramEnd"/>
      <w:r w:rsidRPr="752B6AF4">
        <w:rPr>
          <w:rFonts w:eastAsiaTheme="minorEastAsia"/>
          <w:i/>
          <w:iCs/>
          <w:color w:val="000000" w:themeColor="text1"/>
          <w:sz w:val="24"/>
          <w:szCs w:val="24"/>
        </w:rPr>
        <w:t xml:space="preserve"> Environmental Permitting (England and Wales) Regulations 2016 </w:t>
      </w:r>
      <w:r w:rsidRPr="752B6AF4">
        <w:rPr>
          <w:rFonts w:eastAsiaTheme="minorEastAsia"/>
          <w:color w:val="000000" w:themeColor="text1"/>
          <w:sz w:val="24"/>
          <w:szCs w:val="24"/>
        </w:rPr>
        <w:t xml:space="preserve">(SR2015 No 36) Available at: </w:t>
      </w:r>
      <w:hyperlink r:id="rId9">
        <w:r w:rsidRPr="752B6AF4">
          <w:rPr>
            <w:rStyle w:val="Hyperlink"/>
            <w:rFonts w:eastAsiaTheme="minorEastAsia"/>
            <w:color w:val="000000" w:themeColor="text1"/>
            <w:sz w:val="24"/>
            <w:szCs w:val="24"/>
            <w:u w:val="none"/>
          </w:rPr>
          <w:t>https://assets.publishing.service.gov.uk/government/uploads/system/uploads/attachment_data/file/823472/Standard-Rule-2015-No-36.pdf</w:t>
        </w:r>
      </w:hyperlink>
      <w:r w:rsidRPr="752B6AF4">
        <w:rPr>
          <w:rFonts w:eastAsiaTheme="minorEastAsia"/>
          <w:color w:val="000000" w:themeColor="text1"/>
          <w:sz w:val="24"/>
          <w:szCs w:val="24"/>
        </w:rPr>
        <w:t xml:space="preserve"> (Accessed on 19 November 2019)</w:t>
      </w:r>
    </w:p>
    <w:p w14:paraId="2D94745B" w14:textId="1A94F27F" w:rsidR="182FAD8D" w:rsidRDefault="752B6AF4" w:rsidP="752B6AF4">
      <w:pPr>
        <w:rPr>
          <w:rFonts w:eastAsiaTheme="minorEastAsia"/>
          <w:color w:val="000000" w:themeColor="text1"/>
          <w:sz w:val="24"/>
          <w:szCs w:val="24"/>
        </w:rPr>
      </w:pPr>
      <w:r w:rsidRPr="752B6AF4">
        <w:rPr>
          <w:rFonts w:eastAsiaTheme="minorEastAsia"/>
          <w:color w:val="000000" w:themeColor="text1"/>
          <w:sz w:val="24"/>
          <w:szCs w:val="24"/>
        </w:rPr>
        <w:t>Porch, R. (2011/2012) ‘The Civic Centre/County Hall: an example of seafront Modernism’</w:t>
      </w:r>
      <w:r w:rsidRPr="752B6AF4">
        <w:rPr>
          <w:rFonts w:eastAsiaTheme="minorEastAsia"/>
          <w:i/>
          <w:iCs/>
          <w:color w:val="000000" w:themeColor="text1"/>
          <w:sz w:val="24"/>
          <w:szCs w:val="24"/>
        </w:rPr>
        <w:t xml:space="preserve"> The Swansea History Journal, Minerva, 19, pp 20.</w:t>
      </w:r>
    </w:p>
    <w:p w14:paraId="5186F911" w14:textId="2900B827" w:rsidR="182FAD8D" w:rsidRDefault="752B6AF4" w:rsidP="752B6AF4">
      <w:pPr>
        <w:rPr>
          <w:rFonts w:eastAsiaTheme="minorEastAsia"/>
          <w:color w:val="000000" w:themeColor="text1"/>
          <w:sz w:val="24"/>
          <w:szCs w:val="24"/>
        </w:rPr>
      </w:pPr>
      <w:r w:rsidRPr="752B6AF4">
        <w:rPr>
          <w:rFonts w:eastAsiaTheme="minorEastAsia"/>
          <w:color w:val="000000" w:themeColor="text1"/>
          <w:sz w:val="24"/>
          <w:szCs w:val="24"/>
        </w:rPr>
        <w:t xml:space="preserve">Porch, R. (2011/2012) ‘The Civic Centre/County Hall: an example of seafront Modernism’, </w:t>
      </w:r>
      <w:r w:rsidRPr="752B6AF4">
        <w:rPr>
          <w:rFonts w:eastAsiaTheme="minorEastAsia"/>
          <w:i/>
          <w:iCs/>
          <w:color w:val="000000" w:themeColor="text1"/>
          <w:sz w:val="24"/>
          <w:szCs w:val="24"/>
        </w:rPr>
        <w:t>The Swansea History Journal, Minerva, 19, pp 22.</w:t>
      </w:r>
    </w:p>
    <w:p w14:paraId="5BD075ED" w14:textId="1F78BDC2" w:rsidR="182FAD8D" w:rsidRDefault="752B6AF4" w:rsidP="752B6AF4">
      <w:pPr>
        <w:rPr>
          <w:rFonts w:eastAsiaTheme="minorEastAsia"/>
          <w:color w:val="000000" w:themeColor="text1"/>
          <w:sz w:val="24"/>
          <w:szCs w:val="24"/>
        </w:rPr>
      </w:pPr>
      <w:r w:rsidRPr="752B6AF4">
        <w:rPr>
          <w:rFonts w:eastAsiaTheme="minorEastAsia"/>
          <w:color w:val="000000" w:themeColor="text1"/>
          <w:sz w:val="24"/>
          <w:szCs w:val="24"/>
        </w:rPr>
        <w:t>Porch, R. (2011/2012) ‘The Civic Centre/County Hall: an example of seafront Modernism’</w:t>
      </w:r>
      <w:r w:rsidRPr="752B6AF4">
        <w:rPr>
          <w:rFonts w:eastAsiaTheme="minorEastAsia"/>
          <w:i/>
          <w:iCs/>
          <w:color w:val="000000" w:themeColor="text1"/>
          <w:sz w:val="24"/>
          <w:szCs w:val="24"/>
        </w:rPr>
        <w:t xml:space="preserve"> The Swansea History Journal, Minerva, 19, pp 28.</w:t>
      </w:r>
    </w:p>
    <w:p w14:paraId="0B2F0DD5" w14:textId="6732E634" w:rsidR="182FAD8D" w:rsidRDefault="752B6AF4" w:rsidP="752B6AF4">
      <w:pPr>
        <w:rPr>
          <w:rFonts w:eastAsiaTheme="minorEastAsia"/>
          <w:color w:val="000000" w:themeColor="text1"/>
          <w:sz w:val="24"/>
          <w:szCs w:val="24"/>
        </w:rPr>
      </w:pPr>
      <w:r w:rsidRPr="752B6AF4">
        <w:rPr>
          <w:rFonts w:eastAsiaTheme="minorEastAsia"/>
          <w:color w:val="000000" w:themeColor="text1"/>
          <w:sz w:val="24"/>
          <w:szCs w:val="24"/>
        </w:rPr>
        <w:t xml:space="preserve">Robins, N. 1994. </w:t>
      </w:r>
      <w:r w:rsidR="00D40872">
        <w:rPr>
          <w:rFonts w:eastAsiaTheme="minorEastAsia"/>
          <w:i/>
          <w:iCs/>
          <w:color w:val="000000" w:themeColor="text1"/>
          <w:sz w:val="24"/>
          <w:szCs w:val="24"/>
        </w:rPr>
        <w:t>E</w:t>
      </w:r>
      <w:r w:rsidRPr="752B6AF4">
        <w:rPr>
          <w:rFonts w:eastAsiaTheme="minorEastAsia"/>
          <w:i/>
          <w:iCs/>
          <w:color w:val="000000" w:themeColor="text1"/>
          <w:sz w:val="24"/>
          <w:szCs w:val="24"/>
        </w:rPr>
        <w:t>ye of the eagle</w:t>
      </w:r>
      <w:r w:rsidRPr="752B6AF4">
        <w:rPr>
          <w:rFonts w:eastAsiaTheme="minorEastAsia"/>
          <w:color w:val="000000" w:themeColor="text1"/>
          <w:sz w:val="24"/>
          <w:szCs w:val="24"/>
        </w:rPr>
        <w:t xml:space="preserve">. 1st ed. </w:t>
      </w:r>
      <w:r w:rsidR="00D40872">
        <w:rPr>
          <w:rFonts w:eastAsiaTheme="minorEastAsia"/>
          <w:color w:val="000000" w:themeColor="text1"/>
          <w:sz w:val="24"/>
          <w:szCs w:val="24"/>
        </w:rPr>
        <w:t>T</w:t>
      </w:r>
      <w:r w:rsidRPr="752B6AF4">
        <w:rPr>
          <w:rFonts w:eastAsiaTheme="minorEastAsia"/>
          <w:color w:val="000000" w:themeColor="text1"/>
          <w:sz w:val="24"/>
          <w:szCs w:val="24"/>
        </w:rPr>
        <w:t>awe history publishing.</w:t>
      </w:r>
    </w:p>
    <w:p w14:paraId="3551AC1D" w14:textId="0EF0E028" w:rsidR="752B6AF4" w:rsidRDefault="752B6AF4" w:rsidP="752B6AF4">
      <w:pPr>
        <w:jc w:val="both"/>
        <w:rPr>
          <w:rFonts w:eastAsiaTheme="minorEastAsia"/>
          <w:sz w:val="24"/>
          <w:szCs w:val="24"/>
        </w:rPr>
      </w:pPr>
      <w:r w:rsidRPr="752B6AF4">
        <w:rPr>
          <w:rFonts w:eastAsiaTheme="minorEastAsia"/>
          <w:i/>
          <w:iCs/>
          <w:sz w:val="24"/>
          <w:szCs w:val="24"/>
        </w:rPr>
        <w:t>Natural Environment Research Council.</w:t>
      </w:r>
      <w:r w:rsidRPr="752B6AF4">
        <w:rPr>
          <w:rFonts w:eastAsiaTheme="minorEastAsia"/>
          <w:sz w:val="24"/>
          <w:szCs w:val="24"/>
        </w:rPr>
        <w:t xml:space="preserve"> Available at: </w:t>
      </w:r>
      <w:hyperlink r:id="rId10">
        <w:r w:rsidRPr="752B6AF4">
          <w:rPr>
            <w:rStyle w:val="Hyperlink"/>
            <w:rFonts w:eastAsiaTheme="minorEastAsia"/>
            <w:color w:val="000000" w:themeColor="text1"/>
            <w:sz w:val="24"/>
            <w:szCs w:val="24"/>
            <w:u w:val="none"/>
          </w:rPr>
          <w:t>http://mapapps.bgs.ac.uk/geologyofbritain/home.html</w:t>
        </w:r>
      </w:hyperlink>
      <w:r w:rsidRPr="752B6AF4">
        <w:rPr>
          <w:rFonts w:eastAsiaTheme="minorEastAsia"/>
          <w:color w:val="000000" w:themeColor="text1"/>
          <w:sz w:val="24"/>
          <w:szCs w:val="24"/>
        </w:rPr>
        <w:t xml:space="preserve">. </w:t>
      </w:r>
      <w:r w:rsidRPr="752B6AF4">
        <w:rPr>
          <w:rFonts w:eastAsiaTheme="minorEastAsia"/>
          <w:sz w:val="24"/>
          <w:szCs w:val="24"/>
        </w:rPr>
        <w:t>(Accessed 9 December 2019).</w:t>
      </w:r>
    </w:p>
    <w:p w14:paraId="67B1883C" w14:textId="7466EC4C" w:rsidR="752B6AF4" w:rsidRDefault="752B6AF4" w:rsidP="752B6AF4">
      <w:pPr>
        <w:rPr>
          <w:rFonts w:ascii="Calibri" w:eastAsia="Calibri" w:hAnsi="Calibri" w:cs="Calibri"/>
          <w:b/>
          <w:bCs/>
          <w:sz w:val="28"/>
          <w:szCs w:val="28"/>
        </w:rPr>
      </w:pPr>
    </w:p>
    <w:p w14:paraId="2AC09CAA" w14:textId="5AA43AF3" w:rsidR="182FAD8D" w:rsidRDefault="182FAD8D" w:rsidP="182FAD8D">
      <w:pPr>
        <w:rPr>
          <w:rFonts w:eastAsiaTheme="minorEastAsia"/>
          <w:i/>
          <w:iCs/>
          <w:color w:val="000000" w:themeColor="text1"/>
          <w:sz w:val="24"/>
          <w:szCs w:val="24"/>
        </w:rPr>
      </w:pPr>
    </w:p>
    <w:p w14:paraId="0D0F84D8" w14:textId="3F387999" w:rsidR="182FAD8D" w:rsidRDefault="182FAD8D" w:rsidP="182FAD8D">
      <w:pPr>
        <w:rPr>
          <w:rFonts w:ascii="Calibri" w:eastAsia="Calibri" w:hAnsi="Calibri" w:cs="Calibri"/>
          <w:b/>
          <w:bCs/>
          <w:sz w:val="28"/>
          <w:szCs w:val="28"/>
        </w:rPr>
      </w:pPr>
    </w:p>
    <w:p w14:paraId="4B81E19E" w14:textId="74F4AD24" w:rsidR="182FAD8D" w:rsidRDefault="182FAD8D" w:rsidP="752B6AF4">
      <w:pPr>
        <w:rPr>
          <w:rFonts w:ascii="Calibri" w:eastAsia="Calibri" w:hAnsi="Calibri" w:cs="Calibri"/>
          <w:b/>
          <w:bCs/>
          <w:sz w:val="28"/>
          <w:szCs w:val="28"/>
        </w:rPr>
      </w:pPr>
    </w:p>
    <w:p w14:paraId="6B0E2634" w14:textId="55213799" w:rsidR="752B6AF4" w:rsidRDefault="752B6AF4" w:rsidP="752B6AF4">
      <w:pPr>
        <w:rPr>
          <w:rFonts w:ascii="Calibri" w:eastAsia="Calibri" w:hAnsi="Calibri" w:cs="Calibri"/>
          <w:b/>
          <w:bCs/>
          <w:sz w:val="28"/>
          <w:szCs w:val="28"/>
        </w:rPr>
      </w:pPr>
    </w:p>
    <w:p w14:paraId="5AC003E2" w14:textId="4D05468C" w:rsidR="752B6AF4" w:rsidRDefault="752B6AF4" w:rsidP="752B6AF4">
      <w:pPr>
        <w:rPr>
          <w:rFonts w:ascii="Calibri" w:eastAsia="Calibri" w:hAnsi="Calibri" w:cs="Calibri"/>
          <w:b/>
          <w:bCs/>
          <w:sz w:val="28"/>
          <w:szCs w:val="28"/>
        </w:rPr>
      </w:pPr>
    </w:p>
    <w:p w14:paraId="68AD7583" w14:textId="6CEA97FE" w:rsidR="752B6AF4" w:rsidRDefault="752B6AF4" w:rsidP="752B6AF4">
      <w:pPr>
        <w:rPr>
          <w:rFonts w:ascii="Calibri" w:eastAsia="Calibri" w:hAnsi="Calibri" w:cs="Calibri"/>
          <w:b/>
          <w:bCs/>
          <w:sz w:val="28"/>
          <w:szCs w:val="28"/>
        </w:rPr>
      </w:pPr>
    </w:p>
    <w:p w14:paraId="386F21BE" w14:textId="51A8D3EF" w:rsidR="752B6AF4" w:rsidRDefault="752B6AF4" w:rsidP="752B6AF4">
      <w:pPr>
        <w:rPr>
          <w:rFonts w:ascii="Calibri" w:eastAsia="Calibri" w:hAnsi="Calibri" w:cs="Calibri"/>
          <w:b/>
          <w:bCs/>
          <w:sz w:val="28"/>
          <w:szCs w:val="28"/>
        </w:rPr>
      </w:pPr>
    </w:p>
    <w:p w14:paraId="6FA4909C" w14:textId="3392E992" w:rsidR="752B6AF4" w:rsidRDefault="752B6AF4" w:rsidP="752B6AF4">
      <w:pPr>
        <w:rPr>
          <w:rFonts w:ascii="Calibri" w:eastAsia="Calibri" w:hAnsi="Calibri" w:cs="Calibri"/>
          <w:b/>
          <w:bCs/>
          <w:sz w:val="28"/>
          <w:szCs w:val="28"/>
        </w:rPr>
      </w:pPr>
    </w:p>
    <w:p w14:paraId="42821EBC" w14:textId="6A42EA97" w:rsidR="752B6AF4" w:rsidRDefault="752B6AF4" w:rsidP="752B6AF4">
      <w:pPr>
        <w:rPr>
          <w:rFonts w:ascii="Calibri" w:eastAsia="Calibri" w:hAnsi="Calibri" w:cs="Calibri"/>
          <w:b/>
          <w:bCs/>
          <w:sz w:val="28"/>
          <w:szCs w:val="28"/>
        </w:rPr>
      </w:pPr>
    </w:p>
    <w:p w14:paraId="5A7BB570" w14:textId="2C980254" w:rsidR="752B6AF4" w:rsidRDefault="752B6AF4" w:rsidP="752B6AF4">
      <w:pPr>
        <w:rPr>
          <w:rFonts w:ascii="Calibri" w:eastAsia="Calibri" w:hAnsi="Calibri" w:cs="Calibri"/>
          <w:b/>
          <w:bCs/>
          <w:sz w:val="28"/>
          <w:szCs w:val="28"/>
        </w:rPr>
      </w:pPr>
    </w:p>
    <w:p w14:paraId="1645F649" w14:textId="6A077B79" w:rsidR="752B6AF4" w:rsidRDefault="00D40872" w:rsidP="752B6AF4">
      <w:pPr>
        <w:jc w:val="center"/>
        <w:rPr>
          <w:rFonts w:ascii="Calibri" w:eastAsia="Calibri" w:hAnsi="Calibri" w:cs="Calibri"/>
          <w:b/>
          <w:bCs/>
          <w:sz w:val="28"/>
          <w:szCs w:val="28"/>
        </w:rPr>
      </w:pPr>
      <w:r>
        <w:rPr>
          <w:rFonts w:ascii="Calibri" w:eastAsia="Calibri" w:hAnsi="Calibri" w:cs="Calibri"/>
          <w:sz w:val="20"/>
          <w:szCs w:val="20"/>
        </w:rPr>
        <w:t>11</w:t>
      </w:r>
    </w:p>
    <w:sectPr w:rsidR="752B6AF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693B36"/>
    <w:multiLevelType w:val="hybridMultilevel"/>
    <w:tmpl w:val="6F1E73D6"/>
    <w:lvl w:ilvl="0" w:tplc="6B9CAE5C">
      <w:start w:val="1"/>
      <w:numFmt w:val="bullet"/>
      <w:lvlText w:val=""/>
      <w:lvlJc w:val="left"/>
      <w:pPr>
        <w:ind w:left="720" w:hanging="360"/>
      </w:pPr>
      <w:rPr>
        <w:rFonts w:ascii="Symbol" w:hAnsi="Symbol" w:hint="default"/>
      </w:rPr>
    </w:lvl>
    <w:lvl w:ilvl="1" w:tplc="8B8E5652">
      <w:start w:val="1"/>
      <w:numFmt w:val="bullet"/>
      <w:lvlText w:val="o"/>
      <w:lvlJc w:val="left"/>
      <w:pPr>
        <w:ind w:left="1440" w:hanging="360"/>
      </w:pPr>
      <w:rPr>
        <w:rFonts w:ascii="Courier New" w:hAnsi="Courier New" w:hint="default"/>
      </w:rPr>
    </w:lvl>
    <w:lvl w:ilvl="2" w:tplc="05B415D4">
      <w:start w:val="1"/>
      <w:numFmt w:val="bullet"/>
      <w:lvlText w:val=""/>
      <w:lvlJc w:val="left"/>
      <w:pPr>
        <w:ind w:left="2160" w:hanging="360"/>
      </w:pPr>
      <w:rPr>
        <w:rFonts w:ascii="Wingdings" w:hAnsi="Wingdings" w:hint="default"/>
      </w:rPr>
    </w:lvl>
    <w:lvl w:ilvl="3" w:tplc="C512E2FE">
      <w:start w:val="1"/>
      <w:numFmt w:val="bullet"/>
      <w:lvlText w:val=""/>
      <w:lvlJc w:val="left"/>
      <w:pPr>
        <w:ind w:left="2880" w:hanging="360"/>
      </w:pPr>
      <w:rPr>
        <w:rFonts w:ascii="Symbol" w:hAnsi="Symbol" w:hint="default"/>
      </w:rPr>
    </w:lvl>
    <w:lvl w:ilvl="4" w:tplc="B9C412D8">
      <w:start w:val="1"/>
      <w:numFmt w:val="bullet"/>
      <w:lvlText w:val="o"/>
      <w:lvlJc w:val="left"/>
      <w:pPr>
        <w:ind w:left="3600" w:hanging="360"/>
      </w:pPr>
      <w:rPr>
        <w:rFonts w:ascii="Courier New" w:hAnsi="Courier New" w:hint="default"/>
      </w:rPr>
    </w:lvl>
    <w:lvl w:ilvl="5" w:tplc="6CA204EC">
      <w:start w:val="1"/>
      <w:numFmt w:val="bullet"/>
      <w:lvlText w:val=""/>
      <w:lvlJc w:val="left"/>
      <w:pPr>
        <w:ind w:left="4320" w:hanging="360"/>
      </w:pPr>
      <w:rPr>
        <w:rFonts w:ascii="Wingdings" w:hAnsi="Wingdings" w:hint="default"/>
      </w:rPr>
    </w:lvl>
    <w:lvl w:ilvl="6" w:tplc="25442DE8">
      <w:start w:val="1"/>
      <w:numFmt w:val="bullet"/>
      <w:lvlText w:val=""/>
      <w:lvlJc w:val="left"/>
      <w:pPr>
        <w:ind w:left="5040" w:hanging="360"/>
      </w:pPr>
      <w:rPr>
        <w:rFonts w:ascii="Symbol" w:hAnsi="Symbol" w:hint="default"/>
      </w:rPr>
    </w:lvl>
    <w:lvl w:ilvl="7" w:tplc="64C418A8">
      <w:start w:val="1"/>
      <w:numFmt w:val="bullet"/>
      <w:lvlText w:val="o"/>
      <w:lvlJc w:val="left"/>
      <w:pPr>
        <w:ind w:left="5760" w:hanging="360"/>
      </w:pPr>
      <w:rPr>
        <w:rFonts w:ascii="Courier New" w:hAnsi="Courier New" w:hint="default"/>
      </w:rPr>
    </w:lvl>
    <w:lvl w:ilvl="8" w:tplc="64A0D6D6">
      <w:start w:val="1"/>
      <w:numFmt w:val="bullet"/>
      <w:lvlText w:val=""/>
      <w:lvlJc w:val="left"/>
      <w:pPr>
        <w:ind w:left="6480" w:hanging="360"/>
      </w:pPr>
      <w:rPr>
        <w:rFonts w:ascii="Wingdings" w:hAnsi="Wingdings" w:hint="default"/>
      </w:rPr>
    </w:lvl>
  </w:abstractNum>
  <w:abstractNum w:abstractNumId="1" w15:restartNumberingAfterBreak="0">
    <w:nsid w:val="46A605CB"/>
    <w:multiLevelType w:val="hybridMultilevel"/>
    <w:tmpl w:val="DC403EA2"/>
    <w:lvl w:ilvl="0" w:tplc="1BEA4B90">
      <w:start w:val="1"/>
      <w:numFmt w:val="bullet"/>
      <w:lvlText w:val=""/>
      <w:lvlJc w:val="left"/>
      <w:pPr>
        <w:ind w:left="720" w:hanging="360"/>
      </w:pPr>
      <w:rPr>
        <w:rFonts w:ascii="Symbol" w:hAnsi="Symbol" w:hint="default"/>
      </w:rPr>
    </w:lvl>
    <w:lvl w:ilvl="1" w:tplc="4B08CE80">
      <w:start w:val="1"/>
      <w:numFmt w:val="bullet"/>
      <w:lvlText w:val="o"/>
      <w:lvlJc w:val="left"/>
      <w:pPr>
        <w:ind w:left="1440" w:hanging="360"/>
      </w:pPr>
      <w:rPr>
        <w:rFonts w:ascii="Courier New" w:hAnsi="Courier New" w:hint="default"/>
      </w:rPr>
    </w:lvl>
    <w:lvl w:ilvl="2" w:tplc="7CC02FD0">
      <w:start w:val="1"/>
      <w:numFmt w:val="bullet"/>
      <w:lvlText w:val=""/>
      <w:lvlJc w:val="left"/>
      <w:pPr>
        <w:ind w:left="2160" w:hanging="360"/>
      </w:pPr>
      <w:rPr>
        <w:rFonts w:ascii="Wingdings" w:hAnsi="Wingdings" w:hint="default"/>
      </w:rPr>
    </w:lvl>
    <w:lvl w:ilvl="3" w:tplc="84E49A7C">
      <w:start w:val="1"/>
      <w:numFmt w:val="bullet"/>
      <w:lvlText w:val=""/>
      <w:lvlJc w:val="left"/>
      <w:pPr>
        <w:ind w:left="2880" w:hanging="360"/>
      </w:pPr>
      <w:rPr>
        <w:rFonts w:ascii="Symbol" w:hAnsi="Symbol" w:hint="default"/>
      </w:rPr>
    </w:lvl>
    <w:lvl w:ilvl="4" w:tplc="29004368">
      <w:start w:val="1"/>
      <w:numFmt w:val="bullet"/>
      <w:lvlText w:val="o"/>
      <w:lvlJc w:val="left"/>
      <w:pPr>
        <w:ind w:left="3600" w:hanging="360"/>
      </w:pPr>
      <w:rPr>
        <w:rFonts w:ascii="Courier New" w:hAnsi="Courier New" w:hint="default"/>
      </w:rPr>
    </w:lvl>
    <w:lvl w:ilvl="5" w:tplc="3D08A466">
      <w:start w:val="1"/>
      <w:numFmt w:val="bullet"/>
      <w:lvlText w:val=""/>
      <w:lvlJc w:val="left"/>
      <w:pPr>
        <w:ind w:left="4320" w:hanging="360"/>
      </w:pPr>
      <w:rPr>
        <w:rFonts w:ascii="Wingdings" w:hAnsi="Wingdings" w:hint="default"/>
      </w:rPr>
    </w:lvl>
    <w:lvl w:ilvl="6" w:tplc="63263A9C">
      <w:start w:val="1"/>
      <w:numFmt w:val="bullet"/>
      <w:lvlText w:val=""/>
      <w:lvlJc w:val="left"/>
      <w:pPr>
        <w:ind w:left="5040" w:hanging="360"/>
      </w:pPr>
      <w:rPr>
        <w:rFonts w:ascii="Symbol" w:hAnsi="Symbol" w:hint="default"/>
      </w:rPr>
    </w:lvl>
    <w:lvl w:ilvl="7" w:tplc="D59077EA">
      <w:start w:val="1"/>
      <w:numFmt w:val="bullet"/>
      <w:lvlText w:val="o"/>
      <w:lvlJc w:val="left"/>
      <w:pPr>
        <w:ind w:left="5760" w:hanging="360"/>
      </w:pPr>
      <w:rPr>
        <w:rFonts w:ascii="Courier New" w:hAnsi="Courier New" w:hint="default"/>
      </w:rPr>
    </w:lvl>
    <w:lvl w:ilvl="8" w:tplc="CFA48694">
      <w:start w:val="1"/>
      <w:numFmt w:val="bullet"/>
      <w:lvlText w:val=""/>
      <w:lvlJc w:val="left"/>
      <w:pPr>
        <w:ind w:left="6480" w:hanging="360"/>
      </w:pPr>
      <w:rPr>
        <w:rFonts w:ascii="Wingdings" w:hAnsi="Wingdings" w:hint="default"/>
      </w:rPr>
    </w:lvl>
  </w:abstractNum>
  <w:abstractNum w:abstractNumId="2" w15:restartNumberingAfterBreak="0">
    <w:nsid w:val="48995440"/>
    <w:multiLevelType w:val="hybridMultilevel"/>
    <w:tmpl w:val="A0EE7844"/>
    <w:lvl w:ilvl="0" w:tplc="2B2ED998">
      <w:start w:val="1"/>
      <w:numFmt w:val="decimal"/>
      <w:lvlText w:val="%1."/>
      <w:lvlJc w:val="left"/>
      <w:pPr>
        <w:ind w:left="720" w:hanging="360"/>
      </w:pPr>
    </w:lvl>
    <w:lvl w:ilvl="1" w:tplc="3B60603E">
      <w:start w:val="1"/>
      <w:numFmt w:val="lowerLetter"/>
      <w:lvlText w:val="%2."/>
      <w:lvlJc w:val="left"/>
      <w:pPr>
        <w:ind w:left="1440" w:hanging="360"/>
      </w:pPr>
    </w:lvl>
    <w:lvl w:ilvl="2" w:tplc="B0A67AD2">
      <w:start w:val="1"/>
      <w:numFmt w:val="lowerRoman"/>
      <w:lvlText w:val="%3."/>
      <w:lvlJc w:val="right"/>
      <w:pPr>
        <w:ind w:left="2160" w:hanging="180"/>
      </w:pPr>
    </w:lvl>
    <w:lvl w:ilvl="3" w:tplc="60343950">
      <w:start w:val="1"/>
      <w:numFmt w:val="decimal"/>
      <w:lvlText w:val="%4."/>
      <w:lvlJc w:val="left"/>
      <w:pPr>
        <w:ind w:left="2880" w:hanging="360"/>
      </w:pPr>
    </w:lvl>
    <w:lvl w:ilvl="4" w:tplc="066EE446">
      <w:start w:val="1"/>
      <w:numFmt w:val="lowerLetter"/>
      <w:lvlText w:val="%5."/>
      <w:lvlJc w:val="left"/>
      <w:pPr>
        <w:ind w:left="3600" w:hanging="360"/>
      </w:pPr>
    </w:lvl>
    <w:lvl w:ilvl="5" w:tplc="DEC4B532">
      <w:start w:val="1"/>
      <w:numFmt w:val="lowerRoman"/>
      <w:lvlText w:val="%6."/>
      <w:lvlJc w:val="right"/>
      <w:pPr>
        <w:ind w:left="4320" w:hanging="180"/>
      </w:pPr>
    </w:lvl>
    <w:lvl w:ilvl="6" w:tplc="DE88C4FE">
      <w:start w:val="1"/>
      <w:numFmt w:val="decimal"/>
      <w:lvlText w:val="%7."/>
      <w:lvlJc w:val="left"/>
      <w:pPr>
        <w:ind w:left="5040" w:hanging="360"/>
      </w:pPr>
    </w:lvl>
    <w:lvl w:ilvl="7" w:tplc="EDC2CF6E">
      <w:start w:val="1"/>
      <w:numFmt w:val="lowerLetter"/>
      <w:lvlText w:val="%8."/>
      <w:lvlJc w:val="left"/>
      <w:pPr>
        <w:ind w:left="5760" w:hanging="360"/>
      </w:pPr>
    </w:lvl>
    <w:lvl w:ilvl="8" w:tplc="51C0BB2E">
      <w:start w:val="1"/>
      <w:numFmt w:val="lowerRoman"/>
      <w:lvlText w:val="%9."/>
      <w:lvlJc w:val="right"/>
      <w:pPr>
        <w:ind w:left="6480" w:hanging="180"/>
      </w:pPr>
    </w:lvl>
  </w:abstractNum>
  <w:abstractNum w:abstractNumId="3" w15:restartNumberingAfterBreak="0">
    <w:nsid w:val="49050610"/>
    <w:multiLevelType w:val="hybridMultilevel"/>
    <w:tmpl w:val="802ED89C"/>
    <w:lvl w:ilvl="0" w:tplc="584A8520">
      <w:start w:val="1"/>
      <w:numFmt w:val="decimal"/>
      <w:lvlText w:val="%1."/>
      <w:lvlJc w:val="left"/>
      <w:pPr>
        <w:ind w:left="720" w:hanging="360"/>
      </w:pPr>
    </w:lvl>
    <w:lvl w:ilvl="1" w:tplc="86DC2A28">
      <w:start w:val="1"/>
      <w:numFmt w:val="lowerLetter"/>
      <w:lvlText w:val="%2."/>
      <w:lvlJc w:val="left"/>
      <w:pPr>
        <w:ind w:left="1440" w:hanging="360"/>
      </w:pPr>
    </w:lvl>
    <w:lvl w:ilvl="2" w:tplc="BCB4D070">
      <w:start w:val="1"/>
      <w:numFmt w:val="lowerRoman"/>
      <w:lvlText w:val="%3."/>
      <w:lvlJc w:val="right"/>
      <w:pPr>
        <w:ind w:left="2160" w:hanging="180"/>
      </w:pPr>
    </w:lvl>
    <w:lvl w:ilvl="3" w:tplc="0B727598">
      <w:start w:val="1"/>
      <w:numFmt w:val="decimal"/>
      <w:lvlText w:val="%4."/>
      <w:lvlJc w:val="left"/>
      <w:pPr>
        <w:ind w:left="2880" w:hanging="360"/>
      </w:pPr>
    </w:lvl>
    <w:lvl w:ilvl="4" w:tplc="BABA1072">
      <w:start w:val="1"/>
      <w:numFmt w:val="lowerLetter"/>
      <w:lvlText w:val="%5."/>
      <w:lvlJc w:val="left"/>
      <w:pPr>
        <w:ind w:left="3600" w:hanging="360"/>
      </w:pPr>
    </w:lvl>
    <w:lvl w:ilvl="5" w:tplc="53E86FB6">
      <w:start w:val="1"/>
      <w:numFmt w:val="lowerRoman"/>
      <w:lvlText w:val="%6."/>
      <w:lvlJc w:val="right"/>
      <w:pPr>
        <w:ind w:left="4320" w:hanging="180"/>
      </w:pPr>
    </w:lvl>
    <w:lvl w:ilvl="6" w:tplc="2E7805B2">
      <w:start w:val="1"/>
      <w:numFmt w:val="decimal"/>
      <w:lvlText w:val="%7."/>
      <w:lvlJc w:val="left"/>
      <w:pPr>
        <w:ind w:left="5040" w:hanging="360"/>
      </w:pPr>
    </w:lvl>
    <w:lvl w:ilvl="7" w:tplc="FECA3C78">
      <w:start w:val="1"/>
      <w:numFmt w:val="lowerLetter"/>
      <w:lvlText w:val="%8."/>
      <w:lvlJc w:val="left"/>
      <w:pPr>
        <w:ind w:left="5760" w:hanging="360"/>
      </w:pPr>
    </w:lvl>
    <w:lvl w:ilvl="8" w:tplc="0FF81A08">
      <w:start w:val="1"/>
      <w:numFmt w:val="lowerRoman"/>
      <w:lvlText w:val="%9."/>
      <w:lvlJc w:val="right"/>
      <w:pPr>
        <w:ind w:left="6480" w:hanging="180"/>
      </w:pPr>
    </w:lvl>
  </w:abstractNum>
  <w:abstractNum w:abstractNumId="4" w15:restartNumberingAfterBreak="0">
    <w:nsid w:val="7D78361C"/>
    <w:multiLevelType w:val="hybridMultilevel"/>
    <w:tmpl w:val="37D67BF0"/>
    <w:lvl w:ilvl="0" w:tplc="2E70F364">
      <w:start w:val="1"/>
      <w:numFmt w:val="decimal"/>
      <w:lvlText w:val="%1."/>
      <w:lvlJc w:val="left"/>
      <w:pPr>
        <w:ind w:left="720" w:hanging="360"/>
      </w:pPr>
    </w:lvl>
    <w:lvl w:ilvl="1" w:tplc="CEDED080">
      <w:start w:val="1"/>
      <w:numFmt w:val="lowerLetter"/>
      <w:lvlText w:val="%2."/>
      <w:lvlJc w:val="left"/>
      <w:pPr>
        <w:ind w:left="1440" w:hanging="360"/>
      </w:pPr>
    </w:lvl>
    <w:lvl w:ilvl="2" w:tplc="7B32B864">
      <w:start w:val="1"/>
      <w:numFmt w:val="lowerRoman"/>
      <w:lvlText w:val="%3."/>
      <w:lvlJc w:val="right"/>
      <w:pPr>
        <w:ind w:left="2160" w:hanging="180"/>
      </w:pPr>
    </w:lvl>
    <w:lvl w:ilvl="3" w:tplc="4D9A6240">
      <w:start w:val="1"/>
      <w:numFmt w:val="decimal"/>
      <w:lvlText w:val="%4."/>
      <w:lvlJc w:val="left"/>
      <w:pPr>
        <w:ind w:left="2880" w:hanging="360"/>
      </w:pPr>
    </w:lvl>
    <w:lvl w:ilvl="4" w:tplc="C1BAA240">
      <w:start w:val="1"/>
      <w:numFmt w:val="lowerLetter"/>
      <w:lvlText w:val="%5."/>
      <w:lvlJc w:val="left"/>
      <w:pPr>
        <w:ind w:left="3600" w:hanging="360"/>
      </w:pPr>
    </w:lvl>
    <w:lvl w:ilvl="5" w:tplc="ED767A4A">
      <w:start w:val="1"/>
      <w:numFmt w:val="lowerRoman"/>
      <w:lvlText w:val="%6."/>
      <w:lvlJc w:val="right"/>
      <w:pPr>
        <w:ind w:left="4320" w:hanging="180"/>
      </w:pPr>
    </w:lvl>
    <w:lvl w:ilvl="6" w:tplc="CDB67F30">
      <w:start w:val="1"/>
      <w:numFmt w:val="decimal"/>
      <w:lvlText w:val="%7."/>
      <w:lvlJc w:val="left"/>
      <w:pPr>
        <w:ind w:left="5040" w:hanging="360"/>
      </w:pPr>
    </w:lvl>
    <w:lvl w:ilvl="7" w:tplc="CA4C59C8">
      <w:start w:val="1"/>
      <w:numFmt w:val="lowerLetter"/>
      <w:lvlText w:val="%8."/>
      <w:lvlJc w:val="left"/>
      <w:pPr>
        <w:ind w:left="5760" w:hanging="360"/>
      </w:pPr>
    </w:lvl>
    <w:lvl w:ilvl="8" w:tplc="C8B6825A">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C0B6A0"/>
    <w:rsid w:val="000F5BF5"/>
    <w:rsid w:val="00D40872"/>
    <w:rsid w:val="120215EF"/>
    <w:rsid w:val="182FAD8D"/>
    <w:rsid w:val="36D76447"/>
    <w:rsid w:val="382A3600"/>
    <w:rsid w:val="3AF32C01"/>
    <w:rsid w:val="3EBF648D"/>
    <w:rsid w:val="4BFB64B5"/>
    <w:rsid w:val="4DC0B6A0"/>
    <w:rsid w:val="5289702F"/>
    <w:rsid w:val="569626BE"/>
    <w:rsid w:val="70765657"/>
    <w:rsid w:val="752B6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0B6A0"/>
  <w15:chartTrackingRefBased/>
  <w15:docId w15:val="{DAD4A7D8-41EC-4936-9C64-D39AE42B7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hyperlink" Target="https://www.geograph.org.uk/gridref/SS6592" TargetMode="External"/><Relationship Id="rId10" Type="http://schemas.openxmlformats.org/officeDocument/2006/relationships/hyperlink" Target="http://mapapps.bgs.ac.uk/geologyofbritain/home.html"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23472/Standard-Rule-2015-No-3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2263</Words>
  <Characters>12903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Jones (1910146)</dc:creator>
  <cp:keywords/>
  <dc:description/>
  <cp:lastModifiedBy>martyn jones</cp:lastModifiedBy>
  <cp:revision>3</cp:revision>
  <dcterms:created xsi:type="dcterms:W3CDTF">2019-12-12T22:04:00Z</dcterms:created>
  <dcterms:modified xsi:type="dcterms:W3CDTF">2019-12-12T22:28:00Z</dcterms:modified>
</cp:coreProperties>
</file>