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BC28B" w14:textId="77777777" w:rsidR="007E596D" w:rsidRDefault="007E596D">
      <w:pPr>
        <w:jc w:val="center"/>
        <w:rPr>
          <w:sz w:val="28"/>
        </w:rPr>
      </w:pPr>
    </w:p>
    <w:p w14:paraId="6DAEDB7D" w14:textId="2174C0B9" w:rsidR="007E596D" w:rsidRDefault="0005402F">
      <w:pPr>
        <w:jc w:val="center"/>
        <w:rPr>
          <w:sz w:val="28"/>
        </w:rPr>
      </w:pPr>
      <w:r>
        <w:rPr>
          <w:noProof/>
        </w:rPr>
        <w:drawing>
          <wp:inline distT="0" distB="0" distL="0" distR="0" wp14:anchorId="17122D5C" wp14:editId="70086507">
            <wp:extent cx="3768090" cy="1674253"/>
            <wp:effectExtent l="0" t="0" r="3810" b="2540"/>
            <wp:docPr id="2" name="Picture 1">
              <a:extLst xmlns:a="http://schemas.openxmlformats.org/drawingml/2006/main">
                <a:ext uri="{FF2B5EF4-FFF2-40B4-BE49-F238E27FC236}">
                  <a16:creationId xmlns:a16="http://schemas.microsoft.com/office/drawing/2014/main" id="{6A7521C1-18B1-4B7F-A62C-2B07C17E1B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19418" cy="1741492"/>
                    </a:xfrm>
                    <a:prstGeom prst="rect">
                      <a:avLst/>
                    </a:prstGeom>
                    <a:noFill/>
                    <a:ln>
                      <a:noFill/>
                    </a:ln>
                  </pic:spPr>
                </pic:pic>
              </a:graphicData>
            </a:graphic>
          </wp:inline>
        </w:drawing>
      </w:r>
    </w:p>
    <w:p w14:paraId="3A38B7B1" w14:textId="2E535DC5" w:rsidR="008513CA" w:rsidRDefault="008C4386" w:rsidP="0005402F">
      <w:r w:rsidRPr="78D2F05E">
        <w:rPr>
          <w:rStyle w:val="TitleChar"/>
        </w:rPr>
        <w:t>Compliance in a Fragmented World: Navigating GDPR, DORA and NIS2</w:t>
      </w:r>
    </w:p>
    <w:p w14:paraId="1DE7B84D" w14:textId="158E6D84" w:rsidR="78D2F05E" w:rsidRDefault="78D2F05E" w:rsidP="78D2F05E">
      <w:pPr>
        <w:rPr>
          <w:rStyle w:val="TitleChar"/>
        </w:rPr>
      </w:pPr>
    </w:p>
    <w:p w14:paraId="7F120685" w14:textId="36A1CC3A" w:rsidR="000A44F9" w:rsidRDefault="000A44F9" w:rsidP="000A44F9">
      <w:pPr>
        <w:rPr>
          <w:lang w:val="en-GB"/>
        </w:rPr>
      </w:pPr>
      <w:r w:rsidRPr="000A44F9">
        <w:rPr>
          <w:lang w:val="en-GB"/>
        </w:rPr>
        <w:t xml:space="preserve">Name: </w:t>
      </w:r>
      <w:r>
        <w:rPr>
          <w:lang w:val="en-GB"/>
        </w:rPr>
        <w:t xml:space="preserve"> </w:t>
      </w:r>
      <w:r w:rsidRPr="000A44F9">
        <w:rPr>
          <w:lang w:val="en-GB"/>
        </w:rPr>
        <w:t xml:space="preserve"> </w:t>
      </w:r>
      <w:r>
        <w:rPr>
          <w:lang w:val="en-GB"/>
        </w:rPr>
        <w:t xml:space="preserve">            </w:t>
      </w:r>
      <w:r w:rsidRPr="000A44F9">
        <w:rPr>
          <w:lang w:val="en-GB"/>
        </w:rPr>
        <w:t>Adefemi A</w:t>
      </w:r>
      <w:r>
        <w:rPr>
          <w:lang w:val="en-GB"/>
        </w:rPr>
        <w:t>DETUNJI</w:t>
      </w:r>
    </w:p>
    <w:p w14:paraId="74301215" w14:textId="54F657EE" w:rsidR="000A44F9" w:rsidRPr="000A44F9" w:rsidRDefault="008C4386" w:rsidP="000A44F9">
      <w:pPr>
        <w:rPr>
          <w:lang w:val="en-GB"/>
        </w:rPr>
      </w:pPr>
      <w:r w:rsidRPr="78D2F05E">
        <w:rPr>
          <w:lang w:val="en-GB"/>
        </w:rPr>
        <w:t>Student ID:</w:t>
      </w:r>
      <w:r w:rsidR="000A44F9" w:rsidRPr="78D2F05E">
        <w:rPr>
          <w:lang w:val="en-GB"/>
        </w:rPr>
        <w:t xml:space="preserve">  </w:t>
      </w:r>
      <w:r w:rsidRPr="78D2F05E">
        <w:rPr>
          <w:lang w:val="en-GB"/>
        </w:rPr>
        <w:t xml:space="preserve"> </w:t>
      </w:r>
      <w:r w:rsidR="000A44F9" w:rsidRPr="78D2F05E">
        <w:rPr>
          <w:lang w:val="en-GB"/>
        </w:rPr>
        <w:t xml:space="preserve">    </w:t>
      </w:r>
      <w:r w:rsidRPr="78D2F05E">
        <w:rPr>
          <w:lang w:val="en-GB"/>
        </w:rPr>
        <w:t xml:space="preserve">2408970 </w:t>
      </w:r>
    </w:p>
    <w:p w14:paraId="2CEBC4BD" w14:textId="2CE29DEB" w:rsidR="008513CA" w:rsidRDefault="008C4386" w:rsidP="000A44F9">
      <w:pPr>
        <w:rPr>
          <w:lang w:val="en-GB"/>
        </w:rPr>
      </w:pPr>
      <w:r w:rsidRPr="00CB4A3A">
        <w:rPr>
          <w:lang w:val="en-GB"/>
        </w:rPr>
        <w:t xml:space="preserve">Module Code: </w:t>
      </w:r>
      <w:r w:rsidR="000A44F9" w:rsidRPr="00CB4A3A">
        <w:rPr>
          <w:lang w:val="en-GB"/>
        </w:rPr>
        <w:t xml:space="preserve">  </w:t>
      </w:r>
      <w:r w:rsidRPr="00CB4A3A">
        <w:rPr>
          <w:lang w:val="en-GB"/>
        </w:rPr>
        <w:t>ACCA5034</w:t>
      </w:r>
    </w:p>
    <w:p w14:paraId="45A77DB0" w14:textId="77777777" w:rsidR="00376577" w:rsidRDefault="00376577" w:rsidP="000A44F9">
      <w:pPr>
        <w:rPr>
          <w:lang w:val="en-GB"/>
        </w:rPr>
      </w:pPr>
    </w:p>
    <w:p w14:paraId="268C355E" w14:textId="77777777" w:rsidR="00872ED0" w:rsidRDefault="00872ED0" w:rsidP="000A44F9">
      <w:pPr>
        <w:rPr>
          <w:color w:val="1F497D" w:themeColor="text2"/>
          <w:sz w:val="28"/>
          <w:szCs w:val="28"/>
          <w:lang w:val="en-GB"/>
        </w:rPr>
      </w:pPr>
    </w:p>
    <w:p w14:paraId="405C88C1" w14:textId="77777777" w:rsidR="00872ED0" w:rsidRDefault="00872ED0" w:rsidP="000A44F9">
      <w:pPr>
        <w:rPr>
          <w:color w:val="1F497D" w:themeColor="text2"/>
          <w:sz w:val="28"/>
          <w:szCs w:val="28"/>
          <w:lang w:val="en-GB"/>
        </w:rPr>
      </w:pPr>
    </w:p>
    <w:p w14:paraId="7C858880" w14:textId="77777777" w:rsidR="00872ED0" w:rsidRDefault="00872ED0" w:rsidP="000A44F9">
      <w:pPr>
        <w:rPr>
          <w:color w:val="1F497D" w:themeColor="text2"/>
          <w:sz w:val="28"/>
          <w:szCs w:val="28"/>
          <w:lang w:val="en-GB"/>
        </w:rPr>
      </w:pPr>
    </w:p>
    <w:p w14:paraId="0E9BCCC3" w14:textId="77777777" w:rsidR="00872ED0" w:rsidRDefault="00872ED0" w:rsidP="000A44F9">
      <w:pPr>
        <w:rPr>
          <w:color w:val="1F497D" w:themeColor="text2"/>
          <w:sz w:val="28"/>
          <w:szCs w:val="28"/>
          <w:lang w:val="en-GB"/>
        </w:rPr>
      </w:pPr>
    </w:p>
    <w:p w14:paraId="65507154" w14:textId="77777777" w:rsidR="00872ED0" w:rsidRDefault="00872ED0" w:rsidP="000A44F9">
      <w:pPr>
        <w:rPr>
          <w:color w:val="1F497D" w:themeColor="text2"/>
          <w:sz w:val="28"/>
          <w:szCs w:val="28"/>
          <w:lang w:val="en-GB"/>
        </w:rPr>
      </w:pPr>
    </w:p>
    <w:p w14:paraId="79C72FA1" w14:textId="77777777" w:rsidR="00872ED0" w:rsidRDefault="00872ED0" w:rsidP="000A44F9">
      <w:pPr>
        <w:rPr>
          <w:color w:val="1F497D" w:themeColor="text2"/>
          <w:sz w:val="28"/>
          <w:szCs w:val="28"/>
          <w:lang w:val="en-GB"/>
        </w:rPr>
      </w:pPr>
    </w:p>
    <w:p w14:paraId="3815ECA1" w14:textId="77777777" w:rsidR="00872ED0" w:rsidRDefault="00872ED0" w:rsidP="000A44F9">
      <w:pPr>
        <w:rPr>
          <w:color w:val="1F497D" w:themeColor="text2"/>
          <w:sz w:val="28"/>
          <w:szCs w:val="28"/>
          <w:lang w:val="en-GB"/>
        </w:rPr>
      </w:pPr>
    </w:p>
    <w:p w14:paraId="3601D98C" w14:textId="1FC03186" w:rsidR="535EFA4F" w:rsidRDefault="535EFA4F" w:rsidP="535EFA4F">
      <w:pPr>
        <w:rPr>
          <w:color w:val="1F497D" w:themeColor="text2"/>
          <w:sz w:val="28"/>
          <w:szCs w:val="28"/>
          <w:lang w:val="en-GB"/>
        </w:rPr>
      </w:pPr>
    </w:p>
    <w:p w14:paraId="410826D6" w14:textId="77777777" w:rsidR="00872ED0" w:rsidRDefault="00872ED0" w:rsidP="000A44F9">
      <w:pPr>
        <w:rPr>
          <w:color w:val="1F497D" w:themeColor="text2"/>
          <w:sz w:val="28"/>
          <w:szCs w:val="28"/>
          <w:lang w:val="en-GB"/>
        </w:rPr>
      </w:pPr>
    </w:p>
    <w:sdt>
      <w:sdtPr>
        <w:id w:val="1605244780"/>
        <w:docPartObj>
          <w:docPartGallery w:val="Table of Contents"/>
          <w:docPartUnique/>
        </w:docPartObj>
      </w:sdtPr>
      <w:sdtContent>
        <w:p w14:paraId="037E09AD" w14:textId="1F023AB3" w:rsidR="04A5443A" w:rsidRDefault="04A5443A" w:rsidP="04A5443A">
          <w:pPr>
            <w:pStyle w:val="TOC1"/>
            <w:tabs>
              <w:tab w:val="right" w:leader="dot" w:pos="10800"/>
            </w:tabs>
            <w:rPr>
              <w:rStyle w:val="Hyperlink"/>
            </w:rPr>
          </w:pPr>
          <w:r>
            <w:fldChar w:fldCharType="begin"/>
          </w:r>
          <w:r>
            <w:instrText>TOC \o \z \u \h</w:instrText>
          </w:r>
          <w:r>
            <w:fldChar w:fldCharType="separate"/>
          </w:r>
          <w:hyperlink w:anchor="_Toc1624861621">
            <w:r w:rsidRPr="04A5443A">
              <w:rPr>
                <w:rStyle w:val="Hyperlink"/>
              </w:rPr>
              <w:t>Abstract</w:t>
            </w:r>
            <w:r>
              <w:tab/>
            </w:r>
            <w:r>
              <w:fldChar w:fldCharType="begin"/>
            </w:r>
            <w:r>
              <w:instrText>PAGEREF _Toc1624861621 \h</w:instrText>
            </w:r>
            <w:r>
              <w:fldChar w:fldCharType="separate"/>
            </w:r>
            <w:r w:rsidRPr="04A5443A">
              <w:rPr>
                <w:rStyle w:val="Hyperlink"/>
              </w:rPr>
              <w:t>1</w:t>
            </w:r>
            <w:r>
              <w:fldChar w:fldCharType="end"/>
            </w:r>
          </w:hyperlink>
        </w:p>
        <w:p w14:paraId="5479733A" w14:textId="356CAF77" w:rsidR="04A5443A" w:rsidRDefault="04A5443A" w:rsidP="04A5443A">
          <w:pPr>
            <w:pStyle w:val="TOC1"/>
            <w:tabs>
              <w:tab w:val="right" w:leader="dot" w:pos="10800"/>
            </w:tabs>
            <w:rPr>
              <w:rStyle w:val="Hyperlink"/>
            </w:rPr>
          </w:pPr>
          <w:hyperlink w:anchor="_Toc1863691414">
            <w:r w:rsidRPr="04A5443A">
              <w:rPr>
                <w:rStyle w:val="Hyperlink"/>
              </w:rPr>
              <w:t>1. Introduction</w:t>
            </w:r>
            <w:r>
              <w:tab/>
            </w:r>
            <w:r>
              <w:fldChar w:fldCharType="begin"/>
            </w:r>
            <w:r>
              <w:instrText>PAGEREF _Toc1863691414 \h</w:instrText>
            </w:r>
            <w:r>
              <w:fldChar w:fldCharType="separate"/>
            </w:r>
            <w:r w:rsidRPr="04A5443A">
              <w:rPr>
                <w:rStyle w:val="Hyperlink"/>
              </w:rPr>
              <w:t>1</w:t>
            </w:r>
            <w:r>
              <w:fldChar w:fldCharType="end"/>
            </w:r>
          </w:hyperlink>
        </w:p>
        <w:p w14:paraId="6EA77832" w14:textId="1B9A1567" w:rsidR="04A5443A" w:rsidRDefault="04A5443A" w:rsidP="04A5443A">
          <w:pPr>
            <w:pStyle w:val="TOC1"/>
            <w:tabs>
              <w:tab w:val="right" w:leader="dot" w:pos="10800"/>
            </w:tabs>
            <w:rPr>
              <w:rStyle w:val="Hyperlink"/>
            </w:rPr>
          </w:pPr>
          <w:hyperlink w:anchor="_Toc290712391">
            <w:r w:rsidRPr="04A5443A">
              <w:rPr>
                <w:rStyle w:val="Hyperlink"/>
              </w:rPr>
              <w:t>2. Overview of Key Regulations</w:t>
            </w:r>
            <w:r>
              <w:tab/>
            </w:r>
            <w:r>
              <w:fldChar w:fldCharType="begin"/>
            </w:r>
            <w:r>
              <w:instrText>PAGEREF _Toc290712391 \h</w:instrText>
            </w:r>
            <w:r>
              <w:fldChar w:fldCharType="separate"/>
            </w:r>
            <w:r w:rsidRPr="04A5443A">
              <w:rPr>
                <w:rStyle w:val="Hyperlink"/>
              </w:rPr>
              <w:t>1</w:t>
            </w:r>
            <w:r>
              <w:fldChar w:fldCharType="end"/>
            </w:r>
          </w:hyperlink>
        </w:p>
        <w:p w14:paraId="1F600D96" w14:textId="478E4C9B" w:rsidR="04A5443A" w:rsidRDefault="04A5443A" w:rsidP="04A5443A">
          <w:pPr>
            <w:pStyle w:val="TOC2"/>
            <w:tabs>
              <w:tab w:val="right" w:leader="dot" w:pos="10800"/>
            </w:tabs>
            <w:rPr>
              <w:rStyle w:val="Hyperlink"/>
            </w:rPr>
          </w:pPr>
          <w:hyperlink w:anchor="_Toc1222577517">
            <w:r w:rsidRPr="04A5443A">
              <w:rPr>
                <w:rStyle w:val="Hyperlink"/>
              </w:rPr>
              <w:t>A. GDPR: Data Protection and Accountability</w:t>
            </w:r>
            <w:r>
              <w:tab/>
            </w:r>
            <w:r>
              <w:fldChar w:fldCharType="begin"/>
            </w:r>
            <w:r>
              <w:instrText>PAGEREF _Toc1222577517 \h</w:instrText>
            </w:r>
            <w:r>
              <w:fldChar w:fldCharType="separate"/>
            </w:r>
            <w:r w:rsidRPr="04A5443A">
              <w:rPr>
                <w:rStyle w:val="Hyperlink"/>
              </w:rPr>
              <w:t>1</w:t>
            </w:r>
            <w:r>
              <w:fldChar w:fldCharType="end"/>
            </w:r>
          </w:hyperlink>
        </w:p>
        <w:p w14:paraId="028D2FFD" w14:textId="46380465" w:rsidR="04A5443A" w:rsidRDefault="04A5443A" w:rsidP="04A5443A">
          <w:pPr>
            <w:pStyle w:val="TOC2"/>
            <w:tabs>
              <w:tab w:val="right" w:leader="dot" w:pos="10800"/>
            </w:tabs>
            <w:rPr>
              <w:rStyle w:val="Hyperlink"/>
            </w:rPr>
          </w:pPr>
          <w:hyperlink w:anchor="_Toc1028601407">
            <w:r w:rsidRPr="04A5443A">
              <w:rPr>
                <w:rStyle w:val="Hyperlink"/>
              </w:rPr>
              <w:t>B. NIS2: Cybersecurity for Critical and Important Entities</w:t>
            </w:r>
            <w:r>
              <w:tab/>
            </w:r>
            <w:r>
              <w:fldChar w:fldCharType="begin"/>
            </w:r>
            <w:r>
              <w:instrText>PAGEREF _Toc1028601407 \h</w:instrText>
            </w:r>
            <w:r>
              <w:fldChar w:fldCharType="separate"/>
            </w:r>
            <w:r w:rsidRPr="04A5443A">
              <w:rPr>
                <w:rStyle w:val="Hyperlink"/>
              </w:rPr>
              <w:t>1</w:t>
            </w:r>
            <w:r>
              <w:fldChar w:fldCharType="end"/>
            </w:r>
          </w:hyperlink>
        </w:p>
        <w:p w14:paraId="2BBDD95C" w14:textId="0A28D8F4" w:rsidR="04A5443A" w:rsidRDefault="04A5443A" w:rsidP="04A5443A">
          <w:pPr>
            <w:pStyle w:val="TOC2"/>
            <w:tabs>
              <w:tab w:val="right" w:leader="dot" w:pos="10800"/>
            </w:tabs>
            <w:rPr>
              <w:rStyle w:val="Hyperlink"/>
            </w:rPr>
          </w:pPr>
          <w:hyperlink w:anchor="_Toc525385185">
            <w:r w:rsidRPr="04A5443A">
              <w:rPr>
                <w:rStyle w:val="Hyperlink"/>
              </w:rPr>
              <w:t>C. DORA: Digital Operational Resilience in Financial Services</w:t>
            </w:r>
            <w:r>
              <w:tab/>
            </w:r>
            <w:r>
              <w:fldChar w:fldCharType="begin"/>
            </w:r>
            <w:r>
              <w:instrText>PAGEREF _Toc525385185 \h</w:instrText>
            </w:r>
            <w:r>
              <w:fldChar w:fldCharType="separate"/>
            </w:r>
            <w:r w:rsidRPr="04A5443A">
              <w:rPr>
                <w:rStyle w:val="Hyperlink"/>
              </w:rPr>
              <w:t>1</w:t>
            </w:r>
            <w:r>
              <w:fldChar w:fldCharType="end"/>
            </w:r>
          </w:hyperlink>
        </w:p>
        <w:p w14:paraId="6BD1B664" w14:textId="608BDFE0" w:rsidR="04A5443A" w:rsidRDefault="04A5443A" w:rsidP="04A5443A">
          <w:pPr>
            <w:pStyle w:val="TOC1"/>
            <w:tabs>
              <w:tab w:val="right" w:leader="dot" w:pos="10800"/>
            </w:tabs>
            <w:rPr>
              <w:rStyle w:val="Hyperlink"/>
            </w:rPr>
          </w:pPr>
          <w:hyperlink w:anchor="_Toc347898358">
            <w:r w:rsidRPr="04A5443A">
              <w:rPr>
                <w:rStyle w:val="Hyperlink"/>
              </w:rPr>
              <w:t>3. Common Requirements Across GDPR, NIS2 and DORA</w:t>
            </w:r>
            <w:r>
              <w:tab/>
            </w:r>
            <w:r>
              <w:fldChar w:fldCharType="begin"/>
            </w:r>
            <w:r>
              <w:instrText>PAGEREF _Toc347898358 \h</w:instrText>
            </w:r>
            <w:r>
              <w:fldChar w:fldCharType="separate"/>
            </w:r>
            <w:r w:rsidRPr="04A5443A">
              <w:rPr>
                <w:rStyle w:val="Hyperlink"/>
              </w:rPr>
              <w:t>1</w:t>
            </w:r>
            <w:r>
              <w:fldChar w:fldCharType="end"/>
            </w:r>
          </w:hyperlink>
        </w:p>
        <w:p w14:paraId="2B60362C" w14:textId="5F5DF89F" w:rsidR="04A5443A" w:rsidRDefault="04A5443A" w:rsidP="04A5443A">
          <w:pPr>
            <w:pStyle w:val="TOC1"/>
            <w:tabs>
              <w:tab w:val="right" w:leader="dot" w:pos="10800"/>
            </w:tabs>
            <w:rPr>
              <w:rStyle w:val="Hyperlink"/>
            </w:rPr>
          </w:pPr>
          <w:hyperlink w:anchor="_Toc750513305">
            <w:r w:rsidRPr="04A5443A">
              <w:rPr>
                <w:rStyle w:val="Hyperlink"/>
              </w:rPr>
              <w:t>4. Anticipating Threats: Proactive Risk Management</w:t>
            </w:r>
            <w:r>
              <w:tab/>
            </w:r>
            <w:r>
              <w:fldChar w:fldCharType="begin"/>
            </w:r>
            <w:r>
              <w:instrText>PAGEREF _Toc750513305 \h</w:instrText>
            </w:r>
            <w:r>
              <w:fldChar w:fldCharType="separate"/>
            </w:r>
            <w:r w:rsidRPr="04A5443A">
              <w:rPr>
                <w:rStyle w:val="Hyperlink"/>
              </w:rPr>
              <w:t>1</w:t>
            </w:r>
            <w:r>
              <w:fldChar w:fldCharType="end"/>
            </w:r>
          </w:hyperlink>
        </w:p>
        <w:p w14:paraId="23522322" w14:textId="5FA99F13" w:rsidR="04A5443A" w:rsidRDefault="04A5443A" w:rsidP="04A5443A">
          <w:pPr>
            <w:pStyle w:val="TOC1"/>
            <w:tabs>
              <w:tab w:val="right" w:leader="dot" w:pos="10800"/>
            </w:tabs>
            <w:rPr>
              <w:rStyle w:val="Hyperlink"/>
            </w:rPr>
          </w:pPr>
          <w:hyperlink w:anchor="_Toc364760122">
            <w:r w:rsidRPr="04A5443A">
              <w:rPr>
                <w:rStyle w:val="Hyperlink"/>
              </w:rPr>
              <w:t>5. Protecting Systems and Data</w:t>
            </w:r>
            <w:r>
              <w:tab/>
            </w:r>
            <w:r>
              <w:fldChar w:fldCharType="begin"/>
            </w:r>
            <w:r>
              <w:instrText>PAGEREF _Toc364760122 \h</w:instrText>
            </w:r>
            <w:r>
              <w:fldChar w:fldCharType="separate"/>
            </w:r>
            <w:r w:rsidRPr="04A5443A">
              <w:rPr>
                <w:rStyle w:val="Hyperlink"/>
              </w:rPr>
              <w:t>1</w:t>
            </w:r>
            <w:r>
              <w:fldChar w:fldCharType="end"/>
            </w:r>
          </w:hyperlink>
        </w:p>
        <w:p w14:paraId="4D0D3E8D" w14:textId="0F25E2BD" w:rsidR="04A5443A" w:rsidRDefault="04A5443A" w:rsidP="04A5443A">
          <w:pPr>
            <w:pStyle w:val="TOC1"/>
            <w:tabs>
              <w:tab w:val="right" w:leader="dot" w:pos="10800"/>
            </w:tabs>
            <w:rPr>
              <w:rStyle w:val="Hyperlink"/>
            </w:rPr>
          </w:pPr>
          <w:hyperlink w:anchor="_Toc493472263">
            <w:r w:rsidRPr="04A5443A">
              <w:rPr>
                <w:rStyle w:val="Hyperlink"/>
              </w:rPr>
              <w:t>6. Detecting Incidents Through Continuous Monitoring</w:t>
            </w:r>
            <w:r>
              <w:tab/>
            </w:r>
            <w:r>
              <w:fldChar w:fldCharType="begin"/>
            </w:r>
            <w:r>
              <w:instrText>PAGEREF _Toc493472263 \h</w:instrText>
            </w:r>
            <w:r>
              <w:fldChar w:fldCharType="separate"/>
            </w:r>
            <w:r w:rsidRPr="04A5443A">
              <w:rPr>
                <w:rStyle w:val="Hyperlink"/>
              </w:rPr>
              <w:t>1</w:t>
            </w:r>
            <w:r>
              <w:fldChar w:fldCharType="end"/>
            </w:r>
          </w:hyperlink>
        </w:p>
        <w:p w14:paraId="1EF59CC8" w14:textId="24BF8B1B" w:rsidR="04A5443A" w:rsidRDefault="04A5443A" w:rsidP="04A5443A">
          <w:pPr>
            <w:pStyle w:val="TOC1"/>
            <w:tabs>
              <w:tab w:val="right" w:leader="dot" w:pos="10800"/>
            </w:tabs>
            <w:rPr>
              <w:rStyle w:val="Hyperlink"/>
            </w:rPr>
          </w:pPr>
          <w:hyperlink w:anchor="_Toc2112358692">
            <w:r w:rsidRPr="04A5443A">
              <w:rPr>
                <w:rStyle w:val="Hyperlink"/>
              </w:rPr>
              <w:t>7. Responding and Recovering from Cyber Incidents</w:t>
            </w:r>
            <w:r>
              <w:tab/>
            </w:r>
            <w:r>
              <w:fldChar w:fldCharType="begin"/>
            </w:r>
            <w:r>
              <w:instrText>PAGEREF _Toc2112358692 \h</w:instrText>
            </w:r>
            <w:r>
              <w:fldChar w:fldCharType="separate"/>
            </w:r>
            <w:r w:rsidRPr="04A5443A">
              <w:rPr>
                <w:rStyle w:val="Hyperlink"/>
              </w:rPr>
              <w:t>1</w:t>
            </w:r>
            <w:r>
              <w:fldChar w:fldCharType="end"/>
            </w:r>
          </w:hyperlink>
        </w:p>
        <w:p w14:paraId="64DED772" w14:textId="574FC425" w:rsidR="04A5443A" w:rsidRDefault="04A5443A" w:rsidP="04A5443A">
          <w:pPr>
            <w:pStyle w:val="TOC1"/>
            <w:tabs>
              <w:tab w:val="right" w:leader="dot" w:pos="10800"/>
            </w:tabs>
            <w:rPr>
              <w:rStyle w:val="Hyperlink"/>
            </w:rPr>
          </w:pPr>
          <w:hyperlink w:anchor="_Toc581371743">
            <w:r w:rsidRPr="04A5443A">
              <w:rPr>
                <w:rStyle w:val="Hyperlink"/>
              </w:rPr>
              <w:t>8. Challenges of a Fragmented Compliance Landscape</w:t>
            </w:r>
            <w:r>
              <w:tab/>
            </w:r>
            <w:r>
              <w:fldChar w:fldCharType="begin"/>
            </w:r>
            <w:r>
              <w:instrText>PAGEREF _Toc581371743 \h</w:instrText>
            </w:r>
            <w:r>
              <w:fldChar w:fldCharType="separate"/>
            </w:r>
            <w:r w:rsidRPr="04A5443A">
              <w:rPr>
                <w:rStyle w:val="Hyperlink"/>
              </w:rPr>
              <w:t>1</w:t>
            </w:r>
            <w:r>
              <w:fldChar w:fldCharType="end"/>
            </w:r>
          </w:hyperlink>
        </w:p>
        <w:p w14:paraId="528B034D" w14:textId="6B08940A" w:rsidR="04A5443A" w:rsidRDefault="04A5443A" w:rsidP="04A5443A">
          <w:pPr>
            <w:pStyle w:val="TOC1"/>
            <w:tabs>
              <w:tab w:val="right" w:leader="dot" w:pos="10800"/>
            </w:tabs>
            <w:rPr>
              <w:rStyle w:val="Hyperlink"/>
            </w:rPr>
          </w:pPr>
          <w:hyperlink w:anchor="_Toc373796105">
            <w:r w:rsidRPr="04A5443A">
              <w:rPr>
                <w:rStyle w:val="Hyperlink"/>
              </w:rPr>
              <w:t>9. Building an Integrated Compliance and Resilience Model</w:t>
            </w:r>
            <w:r>
              <w:tab/>
            </w:r>
            <w:r>
              <w:fldChar w:fldCharType="begin"/>
            </w:r>
            <w:r>
              <w:instrText>PAGEREF _Toc373796105 \h</w:instrText>
            </w:r>
            <w:r>
              <w:fldChar w:fldCharType="separate"/>
            </w:r>
            <w:r w:rsidRPr="04A5443A">
              <w:rPr>
                <w:rStyle w:val="Hyperlink"/>
              </w:rPr>
              <w:t>1</w:t>
            </w:r>
            <w:r>
              <w:fldChar w:fldCharType="end"/>
            </w:r>
          </w:hyperlink>
        </w:p>
        <w:p w14:paraId="60BF8CCB" w14:textId="7FDBDD95" w:rsidR="04A5443A" w:rsidRDefault="04A5443A" w:rsidP="04A5443A">
          <w:pPr>
            <w:pStyle w:val="TOC1"/>
            <w:tabs>
              <w:tab w:val="right" w:leader="dot" w:pos="10800"/>
            </w:tabs>
            <w:rPr>
              <w:rStyle w:val="Hyperlink"/>
            </w:rPr>
          </w:pPr>
          <w:hyperlink w:anchor="_Toc2046573201">
            <w:r w:rsidRPr="04A5443A">
              <w:rPr>
                <w:rStyle w:val="Hyperlink"/>
              </w:rPr>
              <w:t>10. Critical Evaluation</w:t>
            </w:r>
            <w:r>
              <w:tab/>
            </w:r>
            <w:r>
              <w:fldChar w:fldCharType="begin"/>
            </w:r>
            <w:r>
              <w:instrText>PAGEREF _Toc2046573201 \h</w:instrText>
            </w:r>
            <w:r>
              <w:fldChar w:fldCharType="separate"/>
            </w:r>
            <w:r w:rsidRPr="04A5443A">
              <w:rPr>
                <w:rStyle w:val="Hyperlink"/>
              </w:rPr>
              <w:t>1</w:t>
            </w:r>
            <w:r>
              <w:fldChar w:fldCharType="end"/>
            </w:r>
          </w:hyperlink>
        </w:p>
        <w:p w14:paraId="3CA73096" w14:textId="4850E737" w:rsidR="04A5443A" w:rsidRDefault="04A5443A" w:rsidP="04A5443A">
          <w:pPr>
            <w:pStyle w:val="TOC1"/>
            <w:tabs>
              <w:tab w:val="right" w:leader="dot" w:pos="10800"/>
            </w:tabs>
            <w:rPr>
              <w:rStyle w:val="Hyperlink"/>
            </w:rPr>
          </w:pPr>
          <w:hyperlink w:anchor="_Toc490739473">
            <w:r w:rsidRPr="04A5443A">
              <w:rPr>
                <w:rStyle w:val="Hyperlink"/>
              </w:rPr>
              <w:t>11. Conclusion</w:t>
            </w:r>
            <w:r>
              <w:tab/>
            </w:r>
            <w:r>
              <w:fldChar w:fldCharType="begin"/>
            </w:r>
            <w:r>
              <w:instrText>PAGEREF _Toc490739473 \h</w:instrText>
            </w:r>
            <w:r>
              <w:fldChar w:fldCharType="separate"/>
            </w:r>
            <w:r w:rsidRPr="04A5443A">
              <w:rPr>
                <w:rStyle w:val="Hyperlink"/>
              </w:rPr>
              <w:t>1</w:t>
            </w:r>
            <w:r>
              <w:fldChar w:fldCharType="end"/>
            </w:r>
          </w:hyperlink>
        </w:p>
        <w:p w14:paraId="0E294C57" w14:textId="761F50E7" w:rsidR="04A5443A" w:rsidRDefault="04A5443A" w:rsidP="04A5443A">
          <w:pPr>
            <w:pStyle w:val="TOC1"/>
            <w:tabs>
              <w:tab w:val="right" w:leader="dot" w:pos="10800"/>
            </w:tabs>
            <w:rPr>
              <w:rStyle w:val="Hyperlink"/>
            </w:rPr>
          </w:pPr>
          <w:hyperlink w:anchor="_Toc750801821">
            <w:r w:rsidRPr="04A5443A">
              <w:rPr>
                <w:rStyle w:val="Hyperlink"/>
              </w:rPr>
              <w:t>References</w:t>
            </w:r>
            <w:r>
              <w:tab/>
            </w:r>
            <w:r>
              <w:fldChar w:fldCharType="begin"/>
            </w:r>
            <w:r>
              <w:instrText>PAGEREF _Toc750801821 \h</w:instrText>
            </w:r>
            <w:r>
              <w:fldChar w:fldCharType="separate"/>
            </w:r>
            <w:r w:rsidRPr="04A5443A">
              <w:rPr>
                <w:rStyle w:val="Hyperlink"/>
              </w:rPr>
              <w:t>1</w:t>
            </w:r>
            <w:r>
              <w:fldChar w:fldCharType="end"/>
            </w:r>
          </w:hyperlink>
          <w:r>
            <w:fldChar w:fldCharType="end"/>
          </w:r>
        </w:p>
      </w:sdtContent>
    </w:sdt>
    <w:p w14:paraId="6F59F8A5" w14:textId="11137D9C" w:rsidR="008F66E0" w:rsidRPr="00C4545C" w:rsidRDefault="008F66E0" w:rsidP="04A5443A">
      <w:pPr>
        <w:rPr>
          <w:color w:val="1F497D" w:themeColor="text2"/>
          <w:sz w:val="28"/>
          <w:szCs w:val="28"/>
          <w:lang w:val="en-GB"/>
        </w:rPr>
      </w:pPr>
    </w:p>
    <w:p w14:paraId="31703361" w14:textId="509581FB" w:rsidR="008F66E0" w:rsidRPr="00C4545C" w:rsidRDefault="35AA3808" w:rsidP="78D2F05E">
      <w:pPr>
        <w:pStyle w:val="Heading1"/>
        <w:rPr>
          <w:color w:val="0070C0"/>
          <w:sz w:val="32"/>
          <w:szCs w:val="32"/>
          <w:lang w:val="en-GB"/>
        </w:rPr>
      </w:pPr>
      <w:bookmarkStart w:id="0" w:name="_Toc2104111832"/>
      <w:bookmarkStart w:id="1" w:name="_Toc1624861621"/>
      <w:r w:rsidRPr="04A5443A">
        <w:rPr>
          <w:lang w:val="en-GB"/>
        </w:rPr>
        <w:t>A</w:t>
      </w:r>
      <w:r w:rsidR="22D8D887" w:rsidRPr="04A5443A">
        <w:rPr>
          <w:lang w:val="en-GB"/>
        </w:rPr>
        <w:t>b</w:t>
      </w:r>
      <w:r w:rsidR="0FBF844B" w:rsidRPr="04A5443A">
        <w:rPr>
          <w:lang w:val="en-GB"/>
        </w:rPr>
        <w:t>stract</w:t>
      </w:r>
      <w:bookmarkEnd w:id="0"/>
      <w:bookmarkEnd w:id="1"/>
    </w:p>
    <w:p w14:paraId="394512AF" w14:textId="0C5E79AF" w:rsidR="00872ED0" w:rsidRDefault="006D211D" w:rsidP="00054D0D">
      <w:r>
        <w:t xml:space="preserve">This report critically evaluates the EU cybersecurity regulatory landscape, focusing on GDPR, </w:t>
      </w:r>
      <w:r w:rsidR="67D68621">
        <w:t>NIS2,</w:t>
      </w:r>
      <w:r>
        <w:t xml:space="preserve"> and DORA. While these frameworks strengthen governance, risk </w:t>
      </w:r>
      <w:r w:rsidR="56555563">
        <w:t>management,</w:t>
      </w:r>
      <w:r>
        <w:t xml:space="preserve"> and incident reporting, their overlapping requirements create a fragmented compliance environment that challenges organisational efficiency. The analysis highlights that organisations often prioritise compliance documentation over </w:t>
      </w:r>
      <w:proofErr w:type="gramStart"/>
      <w:r>
        <w:t>meaningful security</w:t>
      </w:r>
      <w:proofErr w:type="gramEnd"/>
      <w:r>
        <w:t xml:space="preserve"> improvements, raising concerns about real cyber resilience. Additionally, strict reporting timelines and supply-chain obligations increase operational pressure, particularly for smaller organisations. The report concludes that integrated frameworks, automation and unified controls can reduce complexity, but greater regulatory harmonisation</w:t>
      </w:r>
    </w:p>
    <w:p w14:paraId="4BCFE8CE" w14:textId="3C17F892" w:rsidR="002623F2" w:rsidRDefault="006D211D" w:rsidP="78D2F05E">
      <w:pPr>
        <w:rPr>
          <w:b/>
          <w:bCs/>
          <w:color w:val="548DD4" w:themeColor="text2" w:themeTint="99"/>
          <w:sz w:val="28"/>
          <w:szCs w:val="28"/>
          <w:lang w:val="en-GB"/>
        </w:rPr>
      </w:pPr>
      <w:r>
        <w:t xml:space="preserve"> </w:t>
      </w:r>
      <w:r w:rsidR="7AE36F76">
        <w:t>It is</w:t>
      </w:r>
      <w:r>
        <w:t xml:space="preserve"> needed to ensure compliance leads to effective, rather than superficial, security outcomes.</w:t>
      </w:r>
    </w:p>
    <w:p w14:paraId="46E0C109" w14:textId="357104BF" w:rsidR="2421314A" w:rsidRPr="00CE0134" w:rsidRDefault="7F90FFD5" w:rsidP="78D2F05E">
      <w:pPr>
        <w:pStyle w:val="Heading1"/>
        <w:rPr>
          <w:rStyle w:val="eop"/>
          <w:color w:val="548DD4" w:themeColor="text2" w:themeTint="99"/>
        </w:rPr>
      </w:pPr>
      <w:bookmarkStart w:id="2" w:name="_Toc163179166"/>
      <w:bookmarkStart w:id="3" w:name="_Toc1863691414"/>
      <w:r w:rsidRPr="04A5443A">
        <w:rPr>
          <w:lang w:val="en-GB"/>
        </w:rPr>
        <w:t>1. Introduction</w:t>
      </w:r>
      <w:bookmarkEnd w:id="2"/>
      <w:bookmarkEnd w:id="3"/>
    </w:p>
    <w:p w14:paraId="4670BB74" w14:textId="46B7BD4C" w:rsidR="2421314A" w:rsidRDefault="2421314A" w:rsidP="00304554">
      <w:r w:rsidRPr="7FE7C8A4">
        <w:rPr>
          <w:lang w:val="en-GB"/>
        </w:rPr>
        <w:t xml:space="preserve">Modern organisations operate in a complex regulatory environment where cybersecurity, data protection and operational resilience requirements increasingly overlap. Regulations such as the General Data Protection Regulation </w:t>
      </w:r>
      <w:r w:rsidR="0853C8F1" w:rsidRPr="7FE7C8A4">
        <w:rPr>
          <w:lang w:val="en-GB"/>
        </w:rPr>
        <w:t>“</w:t>
      </w:r>
      <w:r w:rsidRPr="7FE7C8A4">
        <w:rPr>
          <w:lang w:val="en-GB"/>
        </w:rPr>
        <w:t>GDPR</w:t>
      </w:r>
      <w:r w:rsidR="4E3C0560" w:rsidRPr="7FE7C8A4">
        <w:rPr>
          <w:lang w:val="en-GB"/>
        </w:rPr>
        <w:t>”</w:t>
      </w:r>
      <w:r w:rsidRPr="7FE7C8A4">
        <w:rPr>
          <w:lang w:val="en-GB"/>
        </w:rPr>
        <w:t xml:space="preserve">, the Network and Information Security Directive 2 </w:t>
      </w:r>
      <w:r w:rsidR="7F8D4515" w:rsidRPr="7FE7C8A4">
        <w:rPr>
          <w:lang w:val="en-GB"/>
        </w:rPr>
        <w:t>“</w:t>
      </w:r>
      <w:r w:rsidRPr="7FE7C8A4">
        <w:rPr>
          <w:lang w:val="en-GB"/>
        </w:rPr>
        <w:t>NIS2</w:t>
      </w:r>
      <w:r w:rsidR="6148273F" w:rsidRPr="7FE7C8A4">
        <w:rPr>
          <w:lang w:val="en-GB"/>
        </w:rPr>
        <w:t>”</w:t>
      </w:r>
      <w:r w:rsidRPr="7FE7C8A4">
        <w:rPr>
          <w:lang w:val="en-GB"/>
        </w:rPr>
        <w:t xml:space="preserve">, and the Digital Operational Resilience Act </w:t>
      </w:r>
      <w:r w:rsidR="4F2B7524" w:rsidRPr="7FE7C8A4">
        <w:rPr>
          <w:lang w:val="en-GB"/>
        </w:rPr>
        <w:t>“</w:t>
      </w:r>
      <w:r w:rsidRPr="7FE7C8A4">
        <w:rPr>
          <w:lang w:val="en-GB"/>
        </w:rPr>
        <w:t>DORA</w:t>
      </w:r>
      <w:r w:rsidR="3AB7D12A" w:rsidRPr="7FE7C8A4">
        <w:rPr>
          <w:lang w:val="en-GB"/>
        </w:rPr>
        <w:t>”</w:t>
      </w:r>
      <w:r w:rsidRPr="7FE7C8A4">
        <w:rPr>
          <w:lang w:val="en-GB"/>
        </w:rPr>
        <w:t xml:space="preserve"> impose different but interconnected obligations related to governance, risk management, incident reporting and supply-chain security. Rather than treating compliance as a checklist activity, organisations must develop integrated security environments capable of anticipating, protecting against, detecting and responding to cyber threats. These regulations are designed to strengthen organisational resilience in response to the rapid growth of </w:t>
      </w:r>
      <w:r w:rsidR="0E70F004" w:rsidRPr="7FE7C8A4">
        <w:rPr>
          <w:lang w:val="en-GB"/>
        </w:rPr>
        <w:t>cyber-</w:t>
      </w:r>
      <w:r w:rsidR="006F744C" w:rsidRPr="7FE7C8A4">
        <w:rPr>
          <w:lang w:val="en-GB"/>
        </w:rPr>
        <w:t xml:space="preserve">attacks </w:t>
      </w:r>
      <w:r w:rsidR="006F744C">
        <w:rPr>
          <w:lang w:val="en-GB"/>
        </w:rPr>
        <w:t>targeting</w:t>
      </w:r>
      <w:r w:rsidRPr="7FE7C8A4">
        <w:rPr>
          <w:lang w:val="en-GB"/>
        </w:rPr>
        <w:t xml:space="preserve"> critical infrastructure, financial systems and personal data.</w:t>
      </w:r>
    </w:p>
    <w:p w14:paraId="3B0CBBD5" w14:textId="1974407C" w:rsidR="2421314A" w:rsidRDefault="2421314A" w:rsidP="00D75841">
      <w:r w:rsidRPr="7FE7C8A4">
        <w:rPr>
          <w:lang w:val="en-GB"/>
        </w:rPr>
        <w:t>Cyber threats have become more frequent, sophisticated and disruptive, affecting both private organisations and public services. In response, regulators across the European Union have implemented stronger legal frameworks requiring organisations to adopt proactive cybersecurity strategies. GDPR focuses primarily on the protection of personal data and individual privacy rights. NIS2 strengthens cybersecurity requirements for essential and important sectors such as energy, healthcare, transport and digital infrastructure. DORA focuses specifically on financial services, ensuring that financial institutions can maintain operational continuity even during major ICT disruptions. Although these regulations address different areas, they collectively emphasise strong governance, risk management and resilience.</w:t>
      </w:r>
    </w:p>
    <w:p w14:paraId="1D4419E2" w14:textId="28C7FE9E" w:rsidR="2421314A" w:rsidRDefault="2421314A" w:rsidP="00D75841">
      <w:r w:rsidRPr="7FE7C8A4">
        <w:rPr>
          <w:lang w:val="en-GB"/>
        </w:rPr>
        <w:t>The existence of multiple regulatory frameworks creates a fragmented compliance landscape for organisations operating across sectors or jurisdictions. Each regulation introduces different reporting timelines, governance expectations and technical controls. For example, GDPR requires organisations to notify supervisory authorities of personal data breaches within 72 hours. NIS2 requires an initial incident notification within 24 hours followed by a detailed report within 72 hours and a final report within one month. DORA introduces centralised reporting requirements for ICT-related incidents affecting financial services. These differing timelines and reporting obligations increase complexity for organisations attempting to maintain compliance.</w:t>
      </w:r>
    </w:p>
    <w:p w14:paraId="1E937031" w14:textId="575A6DFA" w:rsidR="2421314A" w:rsidRDefault="2421314A" w:rsidP="00D75841">
      <w:r w:rsidRPr="7FE7C8A4">
        <w:rPr>
          <w:lang w:val="en-GB"/>
        </w:rPr>
        <w:t>Despite this fragmentation, the core cybersecurity principles underlying these regulations are closely aligned. Organisations can therefore benefit from implementing unified security frameworks that address common requirements across multiple regulations simultaneously. This paper critically evaluates how GDPR, NIS2 and DORA reshape organisational cybersecurity strategies and proposes a unified, risk-based compliance model supported by automation, continuous monitoring and strong governance structures. By aligning regulatory obligations with internationally recognised standards such as ISO/IEC 27001 and the NIST Cybersecurity Framework, organisations can transform regulatory compliance into a driver of operational resilience and long-term security.</w:t>
      </w:r>
    </w:p>
    <w:p w14:paraId="7853643B" w14:textId="056448ED" w:rsidR="2421314A" w:rsidRPr="00330BC9" w:rsidRDefault="7F90FFD5" w:rsidP="78D2F05E">
      <w:pPr>
        <w:pStyle w:val="Heading1"/>
        <w:rPr>
          <w:color w:val="548DD4" w:themeColor="text2" w:themeTint="99"/>
          <w:lang w:val="en-GB"/>
        </w:rPr>
      </w:pPr>
      <w:bookmarkStart w:id="4" w:name="_Toc1176216643"/>
      <w:bookmarkStart w:id="5" w:name="_Toc1385504841"/>
      <w:bookmarkStart w:id="6" w:name="_Toc290712391"/>
      <w:r w:rsidRPr="04A5443A">
        <w:rPr>
          <w:lang w:val="en-GB"/>
        </w:rPr>
        <w:t>2. Overview of Key Regulations</w:t>
      </w:r>
      <w:bookmarkEnd w:id="4"/>
      <w:bookmarkEnd w:id="5"/>
      <w:bookmarkEnd w:id="6"/>
    </w:p>
    <w:p w14:paraId="62622009" w14:textId="61D06010" w:rsidR="00315698" w:rsidRPr="00315698" w:rsidRDefault="00315698" w:rsidP="00173C1A">
      <w:pPr>
        <w:rPr>
          <w:lang w:val="en-GB"/>
        </w:rPr>
      </w:pPr>
      <w:r w:rsidRPr="00315698">
        <w:rPr>
          <w:noProof/>
          <w:lang w:val="en-GB"/>
        </w:rPr>
        <w:drawing>
          <wp:inline distT="0" distB="0" distL="0" distR="0" wp14:anchorId="120227E6" wp14:editId="0D4B1036">
            <wp:extent cx="3200400" cy="4616450"/>
            <wp:effectExtent l="0" t="0" r="0" b="0"/>
            <wp:docPr id="263584907" name="Picture 3">
              <a:extLst xmlns:a="http://schemas.openxmlformats.org/drawingml/2006/main">
                <a:ext uri="{FF2B5EF4-FFF2-40B4-BE49-F238E27FC236}">
                  <a16:creationId xmlns:a16="http://schemas.microsoft.com/office/drawing/2014/main" id="{628268E5-ED46-43C6-AB42-35874C1761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439666" name=""/>
                    <pic:cNvPicPr/>
                  </pic:nvPicPr>
                  <pic:blipFill>
                    <a:blip r:embed="rId12"/>
                    <a:stretch>
                      <a:fillRect/>
                    </a:stretch>
                  </pic:blipFill>
                  <pic:spPr>
                    <a:xfrm>
                      <a:off x="0" y="0"/>
                      <a:ext cx="3200400" cy="4616450"/>
                    </a:xfrm>
                    <a:prstGeom prst="rect">
                      <a:avLst/>
                    </a:prstGeom>
                  </pic:spPr>
                </pic:pic>
              </a:graphicData>
            </a:graphic>
          </wp:inline>
        </w:drawing>
      </w:r>
    </w:p>
    <w:p w14:paraId="2D5C0AF3" w14:textId="7B7B4338" w:rsidR="2421314A" w:rsidRPr="00907A38" w:rsidRDefault="7F90FFD5" w:rsidP="78D2F05E">
      <w:pPr>
        <w:pStyle w:val="Heading2"/>
        <w:rPr>
          <w:sz w:val="28"/>
          <w:szCs w:val="28"/>
        </w:rPr>
      </w:pPr>
      <w:bookmarkStart w:id="7" w:name="_Toc137506871"/>
      <w:bookmarkStart w:id="8" w:name="_Toc2059382768"/>
      <w:bookmarkStart w:id="9" w:name="_Toc1222577517"/>
      <w:r w:rsidRPr="04A5443A">
        <w:rPr>
          <w:lang w:val="en-GB"/>
        </w:rPr>
        <w:t>A. GDPR: Data Protection and Accountability</w:t>
      </w:r>
      <w:bookmarkEnd w:id="7"/>
      <w:bookmarkEnd w:id="8"/>
      <w:bookmarkEnd w:id="9"/>
    </w:p>
    <w:p w14:paraId="5B43354D" w14:textId="092C3E3F" w:rsidR="2421314A" w:rsidRDefault="2421314A" w:rsidP="7FE7C8A4">
      <w:pPr>
        <w:spacing w:before="240" w:after="240"/>
      </w:pPr>
      <w:r w:rsidRPr="7FE7C8A4">
        <w:rPr>
          <w:lang w:val="en-GB"/>
        </w:rPr>
        <w:t xml:space="preserve">The General Data Protection Regulation </w:t>
      </w:r>
      <w:r w:rsidR="54952F5A" w:rsidRPr="7FE7C8A4">
        <w:rPr>
          <w:lang w:val="en-GB"/>
        </w:rPr>
        <w:t>“</w:t>
      </w:r>
      <w:r w:rsidRPr="7FE7C8A4">
        <w:rPr>
          <w:lang w:val="en-GB"/>
        </w:rPr>
        <w:t>GDPR</w:t>
      </w:r>
      <w:r w:rsidR="63F064CF" w:rsidRPr="7FE7C8A4">
        <w:rPr>
          <w:lang w:val="en-GB"/>
        </w:rPr>
        <w:t>”</w:t>
      </w:r>
      <w:r w:rsidRPr="7FE7C8A4">
        <w:rPr>
          <w:lang w:val="en-GB"/>
        </w:rPr>
        <w:t xml:space="preserve"> forms the foundation of data protection law within the European Union and establishes strict requirements for organisations that process personal data</w:t>
      </w:r>
      <w:r w:rsidR="00C95C52">
        <w:rPr>
          <w:lang w:val="en-GB"/>
        </w:rPr>
        <w:t xml:space="preserve"> [1]</w:t>
      </w:r>
      <w:r w:rsidRPr="7FE7C8A4">
        <w:rPr>
          <w:lang w:val="en-GB"/>
        </w:rPr>
        <w:t>. Although GDPR is primarily focused on protecting individual privacy rights rather than cybersecurity directly, it strongly influences security practices because it requires organisations to implement appropriate technical and organisational measures to protect personal data. Organisations must also conduct risk assessments, maintain documentation of processing activities and demonstrate accountability for how personal data is handled.</w:t>
      </w:r>
    </w:p>
    <w:p w14:paraId="0E05646A" w14:textId="33EB8195" w:rsidR="2421314A" w:rsidRDefault="2421314A" w:rsidP="7FE7C8A4">
      <w:pPr>
        <w:spacing w:before="240" w:after="240"/>
      </w:pPr>
      <w:r w:rsidRPr="7FE7C8A4">
        <w:rPr>
          <w:lang w:val="en-GB"/>
        </w:rPr>
        <w:t>Several core principles underpin GDPR compliance. These include data minimisation, which requires organisations to collect only the data necessary for specific purposes, and purpose limitation, which ensures that personal data is used only for clearly defined objectives. GDPR also emphasises the security of processing, requiring organisations to protect the confidentiality, integrity and availability of personal data. Accountability and documentation requirements ensure that organisations can demonstrate compliance during regulatory audits. In addition, GDPR strengthens the rights of data subjects, allowing individuals to access, correct or delete their personal data</w:t>
      </w:r>
      <w:r w:rsidR="00E272B4">
        <w:rPr>
          <w:lang w:val="en-GB"/>
        </w:rPr>
        <w:t xml:space="preserve"> [2]</w:t>
      </w:r>
      <w:r w:rsidRPr="7FE7C8A4">
        <w:rPr>
          <w:lang w:val="en-GB"/>
        </w:rPr>
        <w:t>.</w:t>
      </w:r>
    </w:p>
    <w:p w14:paraId="503606EF" w14:textId="1F726946" w:rsidR="2421314A" w:rsidRDefault="2421314A" w:rsidP="7FE7C8A4">
      <w:pPr>
        <w:spacing w:before="240" w:after="240"/>
      </w:pPr>
      <w:r w:rsidRPr="7FE7C8A4">
        <w:rPr>
          <w:lang w:val="en-GB"/>
        </w:rPr>
        <w:t>One of the most significant compliance requirements under GDPR is breach notification. Organisations must report personal data breaches to the relevant supervisory authority within 72 hours unless the breach is unlikely to result in risk to individuals. This requirement encourages organisations to implement strong detection and monitoring capabilities so that incidents can be identified and reported quickly.</w:t>
      </w:r>
    </w:p>
    <w:p w14:paraId="15A8C9CE" w14:textId="128167FF" w:rsidR="2421314A" w:rsidRDefault="7F90FFD5" w:rsidP="78D2F05E">
      <w:pPr>
        <w:pStyle w:val="Heading2"/>
        <w:rPr>
          <w:sz w:val="28"/>
          <w:szCs w:val="28"/>
          <w:lang w:val="en-GB"/>
        </w:rPr>
      </w:pPr>
      <w:bookmarkStart w:id="10" w:name="_Toc1420633051"/>
      <w:bookmarkStart w:id="11" w:name="_Toc863464185"/>
      <w:bookmarkStart w:id="12" w:name="_Toc1028601407"/>
      <w:r w:rsidRPr="04A5443A">
        <w:rPr>
          <w:lang w:val="en-GB"/>
        </w:rPr>
        <w:t>B. NIS2: Cybersecurity for Critical and Important Entities</w:t>
      </w:r>
      <w:bookmarkEnd w:id="10"/>
      <w:bookmarkEnd w:id="11"/>
      <w:bookmarkEnd w:id="12"/>
    </w:p>
    <w:p w14:paraId="10BE95B2" w14:textId="6FB3E709" w:rsidR="2421314A" w:rsidRDefault="2421314A" w:rsidP="7FE7C8A4">
      <w:pPr>
        <w:spacing w:before="240" w:after="240"/>
      </w:pPr>
      <w:r w:rsidRPr="7FE7C8A4">
        <w:rPr>
          <w:lang w:val="en-GB"/>
        </w:rPr>
        <w:t xml:space="preserve">The Network and Information Security Directive 2 </w:t>
      </w:r>
      <w:r w:rsidR="6807B3BE" w:rsidRPr="7FE7C8A4">
        <w:rPr>
          <w:lang w:val="en-GB"/>
        </w:rPr>
        <w:t>“</w:t>
      </w:r>
      <w:r w:rsidRPr="7FE7C8A4">
        <w:rPr>
          <w:lang w:val="en-GB"/>
        </w:rPr>
        <w:t>NIS2</w:t>
      </w:r>
      <w:r w:rsidR="3B9854DF" w:rsidRPr="7FE7C8A4">
        <w:rPr>
          <w:lang w:val="en-GB"/>
        </w:rPr>
        <w:t>”</w:t>
      </w:r>
      <w:r w:rsidRPr="7FE7C8A4">
        <w:rPr>
          <w:lang w:val="en-GB"/>
        </w:rPr>
        <w:t xml:space="preserve"> significantly </w:t>
      </w:r>
      <w:r w:rsidR="7A76D29C" w:rsidRPr="7FE7C8A4">
        <w:rPr>
          <w:lang w:val="en-GB"/>
        </w:rPr>
        <w:t>expand</w:t>
      </w:r>
      <w:r w:rsidRPr="7FE7C8A4">
        <w:rPr>
          <w:lang w:val="en-GB"/>
        </w:rPr>
        <w:t xml:space="preserve"> cybersecurity obligations across a wide range of sectors. Unlike GDPR, which focuses on personal data protection, NIS2 targets the resilience of essential and important services such as energy, healthcare, digital infrastructure, transport and public administration. The directive aims to strengthen cybersecurity across the European Union by introducing stricter risk management requirements and improving incident reporting mechanisms.</w:t>
      </w:r>
    </w:p>
    <w:p w14:paraId="273CB02F" w14:textId="2E7F0D08" w:rsidR="2421314A" w:rsidRDefault="2421314A" w:rsidP="7FE7C8A4">
      <w:pPr>
        <w:spacing w:before="240" w:after="240"/>
      </w:pPr>
      <w:r w:rsidRPr="7FE7C8A4">
        <w:rPr>
          <w:lang w:val="en-GB"/>
        </w:rPr>
        <w:t>Under NIS2, organisations must implement comprehensive risk management measures designed to protect network and information systems from cyber threats</w:t>
      </w:r>
      <w:r w:rsidR="00C44D0C">
        <w:rPr>
          <w:lang w:val="en-GB"/>
        </w:rPr>
        <w:t xml:space="preserve"> [3]</w:t>
      </w:r>
      <w:r w:rsidRPr="7FE7C8A4">
        <w:rPr>
          <w:lang w:val="en-GB"/>
        </w:rPr>
        <w:t>. These measures include incident detection capabilities, business continuity planning, disaster recovery strategies and supply-chain security controls. The directive also emphasises leadership accountability by requiring senior management to oversee cybersecurity strategies and approve risk management frameworks</w:t>
      </w:r>
      <w:r w:rsidR="00905AD7">
        <w:rPr>
          <w:lang w:val="en-GB"/>
        </w:rPr>
        <w:t xml:space="preserve"> [4]</w:t>
      </w:r>
      <w:r w:rsidRPr="7FE7C8A4">
        <w:rPr>
          <w:lang w:val="en-GB"/>
        </w:rPr>
        <w:t>.</w:t>
      </w:r>
    </w:p>
    <w:p w14:paraId="671E3DC5" w14:textId="3AF8F7D6" w:rsidR="2421314A" w:rsidRDefault="2421314A" w:rsidP="7FE7C8A4">
      <w:pPr>
        <w:spacing w:before="240" w:after="240"/>
      </w:pPr>
      <w:r w:rsidRPr="7FE7C8A4">
        <w:rPr>
          <w:lang w:val="en-GB"/>
        </w:rPr>
        <w:t>NIS2 introduces strict reporting timelines that require organisations to notify regulators rapidly when incidents occur. Organisations must submit an initial notification within 24 hours, followed by a detailed report within 72 hours and a final incident report within one month. These requirements encourage organisations to develop strong monitoring systems capable of detecting incidents quickly and collecting the information required for regulatory reporting.</w:t>
      </w:r>
    </w:p>
    <w:p w14:paraId="3CE4CC46" w14:textId="40BD6F07" w:rsidR="2421314A" w:rsidRDefault="7F90FFD5" w:rsidP="78D2F05E">
      <w:pPr>
        <w:pStyle w:val="Heading2"/>
      </w:pPr>
      <w:bookmarkStart w:id="13" w:name="_Toc530040427"/>
      <w:bookmarkStart w:id="14" w:name="_Toc738884563"/>
      <w:bookmarkStart w:id="15" w:name="_Toc525385185"/>
      <w:r w:rsidRPr="04A5443A">
        <w:rPr>
          <w:lang w:val="en-GB"/>
        </w:rPr>
        <w:t>C. DORA: Digital Operational Resilience in Financial Services</w:t>
      </w:r>
      <w:bookmarkEnd w:id="13"/>
      <w:bookmarkEnd w:id="14"/>
      <w:bookmarkEnd w:id="15"/>
      <w:r w:rsidR="3592A1E5" w:rsidRPr="04A5443A">
        <w:rPr>
          <w:lang w:val="en-GB"/>
        </w:rPr>
        <w:t xml:space="preserve">  </w:t>
      </w:r>
    </w:p>
    <w:p w14:paraId="5E2F12FD" w14:textId="36B3D1C0" w:rsidR="2421314A" w:rsidRDefault="2421314A" w:rsidP="7FE7C8A4">
      <w:pPr>
        <w:spacing w:before="240" w:after="240"/>
      </w:pPr>
      <w:r w:rsidRPr="7FE7C8A4">
        <w:rPr>
          <w:lang w:val="en-GB"/>
        </w:rPr>
        <w:t xml:space="preserve">The Digital Operational Resilience Act </w:t>
      </w:r>
      <w:r w:rsidR="41F5847A" w:rsidRPr="7FE7C8A4">
        <w:rPr>
          <w:lang w:val="en-GB"/>
        </w:rPr>
        <w:t>“</w:t>
      </w:r>
      <w:r w:rsidRPr="7FE7C8A4">
        <w:rPr>
          <w:lang w:val="en-GB"/>
        </w:rPr>
        <w:t>DORA</w:t>
      </w:r>
      <w:r w:rsidR="5F8CE0E2" w:rsidRPr="7FE7C8A4">
        <w:rPr>
          <w:lang w:val="en-GB"/>
        </w:rPr>
        <w:t>”</w:t>
      </w:r>
      <w:r w:rsidRPr="7FE7C8A4">
        <w:rPr>
          <w:lang w:val="en-GB"/>
        </w:rPr>
        <w:t xml:space="preserve"> focuses specifically on the financial sector and aims to strengthen the ability of financial institutions to withstand and recover from ICT disruptions. Financial organisations rely heavily on digital systems and third-party technology providers, making them particularly vulnerable to </w:t>
      </w:r>
      <w:r w:rsidR="287794C3" w:rsidRPr="7FE7C8A4">
        <w:rPr>
          <w:lang w:val="en-GB"/>
        </w:rPr>
        <w:t>cyber-attacks</w:t>
      </w:r>
      <w:r w:rsidRPr="7FE7C8A4">
        <w:rPr>
          <w:lang w:val="en-GB"/>
        </w:rPr>
        <w:t xml:space="preserve"> and operational failures. DORA addresses this challenge by establishing comprehensive requirements for ICT risk management, resilience testing and third-party risk oversight</w:t>
      </w:r>
      <w:r w:rsidR="00BF5DE0">
        <w:rPr>
          <w:lang w:val="en-GB"/>
        </w:rPr>
        <w:t xml:space="preserve"> [5]</w:t>
      </w:r>
      <w:r w:rsidRPr="7FE7C8A4">
        <w:rPr>
          <w:lang w:val="en-GB"/>
        </w:rPr>
        <w:t>.</w:t>
      </w:r>
    </w:p>
    <w:p w14:paraId="30585D55" w14:textId="7E1457FD" w:rsidR="2421314A" w:rsidRDefault="2421314A" w:rsidP="7FE7C8A4">
      <w:pPr>
        <w:spacing w:before="240" w:after="240"/>
      </w:pPr>
      <w:r w:rsidRPr="7FE7C8A4">
        <w:rPr>
          <w:lang w:val="en-GB"/>
        </w:rPr>
        <w:t xml:space="preserve">DORA requires financial institutions to implement structured ICT risk management frameworks that identify, assess and mitigate technology-related risks. Organisations must also conduct regular resilience testing, including advanced threat-led penetration testing, to ensure that their systems can withstand sophisticated </w:t>
      </w:r>
      <w:r w:rsidR="16E21D7E" w:rsidRPr="7FE7C8A4">
        <w:rPr>
          <w:lang w:val="en-GB"/>
        </w:rPr>
        <w:t>cyber-attacks</w:t>
      </w:r>
      <w:r w:rsidRPr="7FE7C8A4">
        <w:rPr>
          <w:lang w:val="en-GB"/>
        </w:rPr>
        <w:t>. In addition, DORA emphasises the importance of managing risks associated with third-party ICT providers, such as cloud service providers or software vendors</w:t>
      </w:r>
      <w:r w:rsidR="000602CE">
        <w:rPr>
          <w:lang w:val="en-GB"/>
        </w:rPr>
        <w:t xml:space="preserve"> [6]</w:t>
      </w:r>
      <w:r w:rsidRPr="7FE7C8A4">
        <w:rPr>
          <w:lang w:val="en-GB"/>
        </w:rPr>
        <w:t>.</w:t>
      </w:r>
    </w:p>
    <w:p w14:paraId="260D1CAA" w14:textId="45F2C102" w:rsidR="2421314A" w:rsidRDefault="2421314A" w:rsidP="78D2F05E">
      <w:pPr>
        <w:spacing w:before="240" w:after="240"/>
      </w:pPr>
      <w:r w:rsidRPr="78D2F05E">
        <w:rPr>
          <w:lang w:val="en-GB"/>
        </w:rPr>
        <w:t>Incident reporting is another critical component of DORA compliance. Financial institutions must report significant ICT incidents to regulators through centralised reporting mechanisms. The objective is to ensure rapid regulatory awareness of disruptions that could threaten financial stability or customer trust. By strengthening operational resilience across the financial sector, DORA aims to reduce systemic risks and maintain confidence in digital financial services.</w:t>
      </w:r>
    </w:p>
    <w:p w14:paraId="34793FA8" w14:textId="7A79D012" w:rsidR="2421314A" w:rsidRDefault="7F90FFD5" w:rsidP="78D2F05E">
      <w:pPr>
        <w:pStyle w:val="Heading1"/>
        <w:rPr>
          <w:lang w:val="en-GB"/>
        </w:rPr>
      </w:pPr>
      <w:bookmarkStart w:id="16" w:name="_Toc1258935162"/>
      <w:bookmarkStart w:id="17" w:name="_Toc347898358"/>
      <w:bookmarkStart w:id="18" w:name="_Toc1976841983"/>
      <w:r w:rsidRPr="04A5443A">
        <w:rPr>
          <w:lang w:val="en-GB"/>
        </w:rPr>
        <w:t>3. Common Requirements Across GDPR, NIS2 and DORA</w:t>
      </w:r>
      <w:bookmarkEnd w:id="16"/>
      <w:bookmarkEnd w:id="17"/>
    </w:p>
    <w:p w14:paraId="12ACFCAA" w14:textId="0995A66B" w:rsidR="2421314A" w:rsidRDefault="00EA21A6" w:rsidP="7FE7C8A4">
      <w:pPr>
        <w:pStyle w:val="Heading2"/>
        <w:spacing w:before="299" w:after="299"/>
        <w:rPr>
          <w:sz w:val="28"/>
          <w:szCs w:val="28"/>
          <w:lang w:val="en-GB"/>
        </w:rPr>
      </w:pPr>
      <w:r>
        <w:rPr>
          <w:noProof/>
        </w:rPr>
        <w:drawing>
          <wp:inline distT="0" distB="0" distL="0" distR="0" wp14:anchorId="0380BCCA" wp14:editId="59C8E3DE">
            <wp:extent cx="3200400" cy="3385430"/>
            <wp:effectExtent l="0" t="0" r="0" b="5715"/>
            <wp:docPr id="1905911335" name="Picture 1">
              <a:extLst xmlns:a="http://schemas.openxmlformats.org/drawingml/2006/main">
                <a:ext uri="{FF2B5EF4-FFF2-40B4-BE49-F238E27FC236}">
                  <a16:creationId xmlns:a16="http://schemas.microsoft.com/office/drawing/2014/main" id="{68F75AA7-FFF4-4AAC-B1B4-A1F97C8B0F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007543" name=""/>
                    <pic:cNvPicPr/>
                  </pic:nvPicPr>
                  <pic:blipFill>
                    <a:blip r:embed="rId13"/>
                    <a:stretch>
                      <a:fillRect/>
                    </a:stretch>
                  </pic:blipFill>
                  <pic:spPr>
                    <a:xfrm>
                      <a:off x="0" y="0"/>
                      <a:ext cx="3200400" cy="3385430"/>
                    </a:xfrm>
                    <a:prstGeom prst="rect">
                      <a:avLst/>
                    </a:prstGeom>
                  </pic:spPr>
                </pic:pic>
              </a:graphicData>
            </a:graphic>
          </wp:inline>
        </w:drawing>
      </w:r>
      <w:bookmarkEnd w:id="18"/>
    </w:p>
    <w:p w14:paraId="1FE55561" w14:textId="5A76A807" w:rsidR="2421314A" w:rsidRDefault="2421314A" w:rsidP="7FE7C8A4">
      <w:pPr>
        <w:spacing w:before="240" w:after="240"/>
      </w:pPr>
      <w:r w:rsidRPr="7FE7C8A4">
        <w:rPr>
          <w:lang w:val="en-GB"/>
        </w:rPr>
        <w:t>Although GDPR, NIS2 and DORA address different sectors and objectives, they share several common cybersecurity principles. These shared requirements provide an opportunity for organisations to develop unified security strategies rather than separate compliance programmes. Key overlapping requirements include risk-based governance, incident detection and reporting, supply-chain security, continuous monitoring and leadership accountability.</w:t>
      </w:r>
    </w:p>
    <w:p w14:paraId="1FB5C7AC" w14:textId="60AA66A0" w:rsidR="2421314A" w:rsidRDefault="2421314A" w:rsidP="7FE7C8A4">
      <w:pPr>
        <w:spacing w:before="240" w:after="240"/>
      </w:pPr>
      <w:r w:rsidRPr="535EFA4F">
        <w:rPr>
          <w:lang w:val="en-GB"/>
        </w:rPr>
        <w:t xml:space="preserve">Risk-based governance is a central principle across all three regulations. Organisations are expected to identify critical assets, assess potential risks and implement controls proportionate to those risks. Incident detection and reporting capabilities are also essential, as regulators require organisations to report security incidents within defined timelines. Supply-chain security has become increasingly important as </w:t>
      </w:r>
      <w:r w:rsidR="7A44DF52" w:rsidRPr="535EFA4F">
        <w:rPr>
          <w:lang w:val="en-GB"/>
        </w:rPr>
        <w:t>cyber-attacks</w:t>
      </w:r>
      <w:r w:rsidRPr="535EFA4F">
        <w:rPr>
          <w:lang w:val="en-GB"/>
        </w:rPr>
        <w:t xml:space="preserve"> frequently originate through third-party suppliers or service providers</w:t>
      </w:r>
      <w:r w:rsidR="00DC649E" w:rsidRPr="535EFA4F">
        <w:rPr>
          <w:lang w:val="en-GB"/>
        </w:rPr>
        <w:t xml:space="preserve"> [</w:t>
      </w:r>
      <w:r w:rsidR="00135838" w:rsidRPr="535EFA4F">
        <w:rPr>
          <w:lang w:val="en-GB"/>
        </w:rPr>
        <w:t>7</w:t>
      </w:r>
      <w:r w:rsidR="00DC649E" w:rsidRPr="535EFA4F">
        <w:rPr>
          <w:lang w:val="en-GB"/>
        </w:rPr>
        <w:t>]</w:t>
      </w:r>
      <w:r w:rsidRPr="535EFA4F">
        <w:rPr>
          <w:lang w:val="en-GB"/>
        </w:rPr>
        <w:t xml:space="preserve">. </w:t>
      </w:r>
      <w:r w:rsidR="008D1E52" w:rsidRPr="535EFA4F">
        <w:rPr>
          <w:lang w:val="en-GB"/>
        </w:rPr>
        <w:t xml:space="preserve"> </w:t>
      </w:r>
      <w:r w:rsidRPr="535EFA4F">
        <w:rPr>
          <w:lang w:val="en-GB"/>
        </w:rPr>
        <w:t>Continuous monitoring ensures that security controls remain effective over time, while leadership accountability ensures that cybersecurity is treated as a strategic business risk rather than solely a technical issue.</w:t>
      </w:r>
    </w:p>
    <w:p w14:paraId="397945A7" w14:textId="3E8285D5" w:rsidR="2421314A" w:rsidRDefault="2421314A" w:rsidP="7FE7C8A4">
      <w:pPr>
        <w:spacing w:before="240" w:after="240"/>
      </w:pPr>
      <w:r w:rsidRPr="7FE7C8A4">
        <w:rPr>
          <w:lang w:val="en-GB"/>
        </w:rPr>
        <w:t>By recognising these shared requirements, organisations can implement a single integrated control framework that addresses multiple regulatory obligations simultaneously.</w:t>
      </w:r>
    </w:p>
    <w:p w14:paraId="33516CEF" w14:textId="1014CD2A" w:rsidR="2421314A" w:rsidRPr="00907A38" w:rsidRDefault="7F90FFD5" w:rsidP="04A5443A">
      <w:pPr>
        <w:pStyle w:val="Heading1"/>
        <w:rPr>
          <w:lang w:val="en-GB"/>
        </w:rPr>
      </w:pPr>
      <w:bookmarkStart w:id="19" w:name="_Toc1706648697"/>
      <w:bookmarkStart w:id="20" w:name="_Toc941385800"/>
      <w:bookmarkStart w:id="21" w:name="_Toc750513305"/>
      <w:r w:rsidRPr="04A5443A">
        <w:rPr>
          <w:lang w:val="en-GB"/>
        </w:rPr>
        <w:t>4. Anticipating Threats: Proactive Risk Management</w:t>
      </w:r>
      <w:bookmarkEnd w:id="19"/>
      <w:bookmarkEnd w:id="20"/>
      <w:bookmarkEnd w:id="21"/>
    </w:p>
    <w:p w14:paraId="478539E5" w14:textId="09329C61" w:rsidR="2421314A" w:rsidRDefault="2421314A" w:rsidP="7FE7C8A4">
      <w:pPr>
        <w:spacing w:before="240" w:after="240"/>
      </w:pPr>
      <w:r w:rsidRPr="7FE7C8A4">
        <w:rPr>
          <w:lang w:val="en-GB"/>
        </w:rPr>
        <w:t>Anticipating cyber threats requires organisations to move beyond reactive security practices and adopt proactive risk management strategies. Effective risk management begins with identifying critical assets, assessing vulnerabilities and evaluating potential impacts on business operations</w:t>
      </w:r>
      <w:r w:rsidR="00E72E01">
        <w:rPr>
          <w:lang w:val="en-GB"/>
        </w:rPr>
        <w:t xml:space="preserve"> [8]</w:t>
      </w:r>
      <w:r w:rsidRPr="7FE7C8A4">
        <w:rPr>
          <w:lang w:val="en-GB"/>
        </w:rPr>
        <w:t>. Both NIS2 and DORA require organisations to maintain formal risk management processes supported by documented policies and controls.</w:t>
      </w:r>
    </w:p>
    <w:p w14:paraId="04240E1B" w14:textId="54A5F157" w:rsidR="2421314A" w:rsidRDefault="2421314A" w:rsidP="7FE7C8A4">
      <w:pPr>
        <w:spacing w:before="240" w:after="240"/>
      </w:pPr>
      <w:r w:rsidRPr="7FE7C8A4">
        <w:rPr>
          <w:lang w:val="en-GB"/>
        </w:rPr>
        <w:t>A mature risk management approach typically includes asset inventories that identify critical systems and data resources, as well as classification processes that determine the sensitivity of information assets. Threat modelling techniques can be used to identify potential attack scenarios, while vulnerability scanning tools help detect weaknesses in systems before they can be exploited</w:t>
      </w:r>
      <w:r w:rsidR="004F05D2">
        <w:rPr>
          <w:lang w:val="en-GB"/>
        </w:rPr>
        <w:t xml:space="preserve"> [9]</w:t>
      </w:r>
      <w:r w:rsidRPr="7FE7C8A4">
        <w:rPr>
          <w:lang w:val="en-GB"/>
        </w:rPr>
        <w:t>. Risk registers link identified threats to business processes and help organisations prioritise remediation efforts. Regular board-level reviews ensure that risk management strategies remain aligned with organisational objectives.</w:t>
      </w:r>
    </w:p>
    <w:p w14:paraId="3CCDFA2D" w14:textId="3E036BBE" w:rsidR="2421314A" w:rsidRDefault="2421314A" w:rsidP="7FE7C8A4">
      <w:pPr>
        <w:spacing w:before="240" w:after="240"/>
      </w:pPr>
      <w:r w:rsidRPr="7FE7C8A4">
        <w:rPr>
          <w:lang w:val="en-GB"/>
        </w:rPr>
        <w:t xml:space="preserve">Supply-chain risk management is another critical aspect of anticipating cyber threats. Many modern </w:t>
      </w:r>
      <w:r w:rsidR="4EEC8452" w:rsidRPr="7FE7C8A4">
        <w:rPr>
          <w:lang w:val="en-GB"/>
        </w:rPr>
        <w:t>cyber-attacks</w:t>
      </w:r>
      <w:r w:rsidRPr="7FE7C8A4">
        <w:rPr>
          <w:lang w:val="en-GB"/>
        </w:rPr>
        <w:t xml:space="preserve"> exploit vulnerabilities within third-party suppliers rather than directly targeting the primary organisation</w:t>
      </w:r>
      <w:r w:rsidR="00430252">
        <w:rPr>
          <w:lang w:val="en-GB"/>
        </w:rPr>
        <w:t xml:space="preserve"> </w:t>
      </w:r>
      <w:r w:rsidR="00565E8E">
        <w:rPr>
          <w:lang w:val="en-GB"/>
        </w:rPr>
        <w:t>[</w:t>
      </w:r>
      <w:r w:rsidR="00D47A77">
        <w:rPr>
          <w:lang w:val="en-GB"/>
        </w:rPr>
        <w:t>10</w:t>
      </w:r>
      <w:r w:rsidR="00565E8E">
        <w:rPr>
          <w:lang w:val="en-GB"/>
        </w:rPr>
        <w:t>]</w:t>
      </w:r>
      <w:r w:rsidRPr="7FE7C8A4">
        <w:rPr>
          <w:lang w:val="en-GB"/>
        </w:rPr>
        <w:t>. Both NIS2 and DORA therefore require organisations to monitor vendor security practices and include security requirements in contractual agreements. Effective supply-chain security strategies include vendor risk assessments, continuous monitoring of supplier security posture and incident notification clauses that require suppliers to report security breaches promptly.</w:t>
      </w:r>
    </w:p>
    <w:p w14:paraId="70C8978A" w14:textId="65730808" w:rsidR="2421314A" w:rsidRDefault="2421314A" w:rsidP="7FE7C8A4">
      <w:pPr>
        <w:spacing w:before="240" w:after="240"/>
      </w:pPr>
      <w:r w:rsidRPr="7FE7C8A4">
        <w:rPr>
          <w:lang w:val="en-GB"/>
        </w:rPr>
        <w:t>Automation and threat intelligence can further enhance proactive risk management. Automated monitoring tools can collect security data continuously and identify emerging threats in real time. Threat intelligence feeds provide information about new vulnerabilities, attack techniques and malicious actors. By integrating these capabilities into risk management processes, organisations can detect potential threats earlier and respond before significant damage occurs.</w:t>
      </w:r>
    </w:p>
    <w:p w14:paraId="07A3B447" w14:textId="744DE910" w:rsidR="2421314A" w:rsidRPr="004A12CF" w:rsidRDefault="7F90FFD5" w:rsidP="04A5443A">
      <w:pPr>
        <w:pStyle w:val="Heading1"/>
        <w:rPr>
          <w:lang w:val="en-GB"/>
        </w:rPr>
      </w:pPr>
      <w:bookmarkStart w:id="22" w:name="_Toc1193392827"/>
      <w:bookmarkStart w:id="23" w:name="_Toc505879322"/>
      <w:bookmarkStart w:id="24" w:name="_Toc364760122"/>
      <w:r w:rsidRPr="04A5443A">
        <w:rPr>
          <w:lang w:val="en-GB"/>
        </w:rPr>
        <w:t>5. Protecting Systems and Data</w:t>
      </w:r>
      <w:bookmarkEnd w:id="22"/>
      <w:bookmarkEnd w:id="23"/>
      <w:bookmarkEnd w:id="24"/>
    </w:p>
    <w:p w14:paraId="746D1C51" w14:textId="6771772B" w:rsidR="2421314A" w:rsidRDefault="2421314A" w:rsidP="7FE7C8A4">
      <w:pPr>
        <w:spacing w:before="240" w:after="240"/>
      </w:pPr>
      <w:r w:rsidRPr="7FE7C8A4">
        <w:rPr>
          <w:lang w:val="en-GB"/>
        </w:rPr>
        <w:t>Protecting organisational systems and data requires layered security controls supported by well-defined governance structures. International standards such as ISO/IEC 27001 and the NIST Cybersecurity Framework provide structured approaches for implementing these controls while supporting regulatory compliance</w:t>
      </w:r>
      <w:r w:rsidR="0081518E">
        <w:rPr>
          <w:lang w:val="en-GB"/>
        </w:rPr>
        <w:t xml:space="preserve"> [11]</w:t>
      </w:r>
      <w:r w:rsidRPr="7FE7C8A4">
        <w:rPr>
          <w:lang w:val="en-GB"/>
        </w:rPr>
        <w:t>. These frameworks define security policies, roles and responsibilities that help organisations manage cybersecurity risks effectively.</w:t>
      </w:r>
    </w:p>
    <w:p w14:paraId="5521F5D2" w14:textId="32F1557F" w:rsidR="2421314A" w:rsidRDefault="2421314A" w:rsidP="7FE7C8A4">
      <w:pPr>
        <w:spacing w:before="240" w:after="240"/>
      </w:pPr>
      <w:r w:rsidRPr="7FE7C8A4">
        <w:rPr>
          <w:lang w:val="en-GB"/>
        </w:rPr>
        <w:t xml:space="preserve">Key technical security controls include encryption, access management, network segmentation and multi-factor authentication. Encryption protects sensitive data during storage and transmission, while strong access controls ensure that only authorised individuals can access critical systems. Network segmentation limits the spread of </w:t>
      </w:r>
      <w:r w:rsidR="029BA00E" w:rsidRPr="7FE7C8A4">
        <w:rPr>
          <w:lang w:val="en-GB"/>
        </w:rPr>
        <w:t>cyber-attacks</w:t>
      </w:r>
      <w:r w:rsidRPr="7FE7C8A4">
        <w:rPr>
          <w:lang w:val="en-GB"/>
        </w:rPr>
        <w:t xml:space="preserve"> by separating sensitive systems from less secure networks. Multi-factor authentication adds an additional layer of protection by requiring users to provide multiple forms of verification before accessing systems.</w:t>
      </w:r>
    </w:p>
    <w:p w14:paraId="3C099855" w14:textId="6CA37449" w:rsidR="2421314A" w:rsidRDefault="2421314A" w:rsidP="7FE7C8A4">
      <w:pPr>
        <w:spacing w:before="240" w:after="240"/>
      </w:pPr>
      <w:r w:rsidRPr="7FE7C8A4">
        <w:rPr>
          <w:lang w:val="en-GB"/>
        </w:rPr>
        <w:t>Security by design and default is another important principle promoted by modern regulations. This approach ensures that security considerations are integrated into system development processes from the earliest stages. Secure software development practices, privacy impact assessments and configuration hardening help reduce vulnerabilities before systems are deployed. Continuous testing and security reviews ensure that security controls remain effective throughout the system lifecycle.</w:t>
      </w:r>
    </w:p>
    <w:p w14:paraId="28653791" w14:textId="52F26C88" w:rsidR="2421314A" w:rsidRDefault="2421314A" w:rsidP="00045676">
      <w:r w:rsidRPr="7FE7C8A4">
        <w:rPr>
          <w:lang w:val="en-GB"/>
        </w:rPr>
        <w:t>Governance and leadership accountability play a critical role in ensuring that security strategies are implemented effectively. NIS2 introduces explicit board-level responsibility for cybersecurity, requiring senior management to approve risk strategies, allocate resources and review compliance evidence. By integrating cybersecurity into corporate governance structures, organisations ensure that security decisions align with broader business objectives.</w:t>
      </w:r>
    </w:p>
    <w:p w14:paraId="0A1655C4" w14:textId="001140FA" w:rsidR="2421314A" w:rsidRPr="008F1BEC" w:rsidRDefault="7F90FFD5" w:rsidP="78D2F05E">
      <w:pPr>
        <w:pStyle w:val="Heading1"/>
        <w:rPr>
          <w:color w:val="548DD4" w:themeColor="text2" w:themeTint="99"/>
        </w:rPr>
      </w:pPr>
      <w:bookmarkStart w:id="25" w:name="_Toc2057885584"/>
      <w:bookmarkStart w:id="26" w:name="_Toc493472263"/>
      <w:r w:rsidRPr="04A5443A">
        <w:rPr>
          <w:lang w:val="en-GB"/>
        </w:rPr>
        <w:t>6. Detecting Incidents Through Continuous Monitoring</w:t>
      </w:r>
      <w:bookmarkEnd w:id="25"/>
      <w:bookmarkEnd w:id="26"/>
    </w:p>
    <w:p w14:paraId="67728AF4" w14:textId="39EFBE11" w:rsidR="2421314A" w:rsidRDefault="2421314A" w:rsidP="00045676">
      <w:pPr>
        <w:rPr>
          <w:lang w:val="en-GB"/>
        </w:rPr>
      </w:pPr>
      <w:r w:rsidRPr="7FE7C8A4">
        <w:rPr>
          <w:lang w:val="en-GB"/>
        </w:rPr>
        <w:t xml:space="preserve">Effective detection capabilities are essential for identifying cyber incidents before they escalate into major disruptions. Continuous monitoring systems provide real-time visibility into network activity and system behaviour. Many organisations use Security Information and Event Management </w:t>
      </w:r>
      <w:r w:rsidR="653DFB99" w:rsidRPr="7FE7C8A4">
        <w:rPr>
          <w:lang w:val="en-GB"/>
        </w:rPr>
        <w:t>“</w:t>
      </w:r>
      <w:r w:rsidRPr="7FE7C8A4">
        <w:rPr>
          <w:lang w:val="en-GB"/>
        </w:rPr>
        <w:t>SIEM</w:t>
      </w:r>
      <w:r w:rsidR="0D932687" w:rsidRPr="7FE7C8A4">
        <w:rPr>
          <w:lang w:val="en-GB"/>
        </w:rPr>
        <w:t>”</w:t>
      </w:r>
      <w:r w:rsidRPr="7FE7C8A4">
        <w:rPr>
          <w:lang w:val="en-GB"/>
        </w:rPr>
        <w:t xml:space="preserve"> platforms or Extended Detection and Response </w:t>
      </w:r>
      <w:r w:rsidR="1089C9BC" w:rsidRPr="7FE7C8A4">
        <w:rPr>
          <w:lang w:val="en-GB"/>
        </w:rPr>
        <w:t>“</w:t>
      </w:r>
      <w:r w:rsidRPr="7FE7C8A4">
        <w:rPr>
          <w:lang w:val="en-GB"/>
        </w:rPr>
        <w:t>XDR</w:t>
      </w:r>
      <w:r w:rsidR="49725088" w:rsidRPr="7FE7C8A4">
        <w:rPr>
          <w:lang w:val="en-GB"/>
        </w:rPr>
        <w:t>”</w:t>
      </w:r>
      <w:r w:rsidRPr="7FE7C8A4">
        <w:rPr>
          <w:lang w:val="en-GB"/>
        </w:rPr>
        <w:t xml:space="preserve"> tools to collect and analyse security data from multiple sources</w:t>
      </w:r>
      <w:r w:rsidR="00F4125B">
        <w:rPr>
          <w:lang w:val="en-GB"/>
        </w:rPr>
        <w:t xml:space="preserve"> [1</w:t>
      </w:r>
      <w:r w:rsidR="00916439">
        <w:rPr>
          <w:lang w:val="en-GB"/>
        </w:rPr>
        <w:t>2</w:t>
      </w:r>
      <w:r w:rsidR="00F4125B">
        <w:rPr>
          <w:lang w:val="en-GB"/>
        </w:rPr>
        <w:t>]</w:t>
      </w:r>
      <w:r w:rsidRPr="7FE7C8A4">
        <w:rPr>
          <w:lang w:val="en-GB"/>
        </w:rPr>
        <w:t>.</w:t>
      </w:r>
    </w:p>
    <w:p w14:paraId="29E58941" w14:textId="7DA610E5" w:rsidR="2421314A" w:rsidRDefault="2421314A" w:rsidP="00045676">
      <w:r w:rsidRPr="7FE7C8A4">
        <w:rPr>
          <w:lang w:val="en-GB"/>
        </w:rPr>
        <w:t xml:space="preserve">These monitoring platforms aggregate logs from servers, applications, network devices and security tools. Advanced analytics techniques, including behavioural analysis and anomaly detection, help identify suspicious activity that may indicate a </w:t>
      </w:r>
      <w:r w:rsidR="1EF8D703" w:rsidRPr="7FE7C8A4">
        <w:rPr>
          <w:lang w:val="en-GB"/>
        </w:rPr>
        <w:t>cyber-attack</w:t>
      </w:r>
      <w:r w:rsidRPr="7FE7C8A4">
        <w:rPr>
          <w:lang w:val="en-GB"/>
        </w:rPr>
        <w:t>. Intrusion detection systems monitor network traffic for known attack signatures, while automated alerting mechanisms notify security teams when potential threats are detected.</w:t>
      </w:r>
    </w:p>
    <w:p w14:paraId="6C4A001C" w14:textId="39119E6D" w:rsidR="2421314A" w:rsidRDefault="2421314A" w:rsidP="00045676">
      <w:r w:rsidRPr="7FE7C8A4">
        <w:rPr>
          <w:lang w:val="en-GB"/>
        </w:rPr>
        <w:t>Incident classification and reporting processes are also essential for regulatory compliance. Organisations must define severity levels for different types of incidents and establish clear workflows for reporting them. Because regulations such as GDPR, NIS2 and DORA impose different reporting timelines, automated incident management platforms can help organisations coordinate responses and ensure timely reporting to regulators.</w:t>
      </w:r>
    </w:p>
    <w:p w14:paraId="46E15E24" w14:textId="673D83CB" w:rsidR="2421314A" w:rsidRDefault="2421314A" w:rsidP="00045676">
      <w:r w:rsidRPr="7FE7C8A4">
        <w:rPr>
          <w:lang w:val="en-GB"/>
        </w:rPr>
        <w:t xml:space="preserve">Regular testing and simulation exercises further improve detection and response capabilities. DORA requires financial institutions to conduct resilience testing, including threat-led penetration testing. These exercises simulate realistic </w:t>
      </w:r>
      <w:r w:rsidR="4A0D2394" w:rsidRPr="7FE7C8A4">
        <w:rPr>
          <w:lang w:val="en-GB"/>
        </w:rPr>
        <w:t>cyber-attacks</w:t>
      </w:r>
      <w:r w:rsidRPr="7FE7C8A4">
        <w:rPr>
          <w:lang w:val="en-GB"/>
        </w:rPr>
        <w:t xml:space="preserve"> to evaluate how effectively organisations can detect and respond to threats.</w:t>
      </w:r>
    </w:p>
    <w:p w14:paraId="6D35A2AE" w14:textId="7DD9A570" w:rsidR="2421314A" w:rsidRDefault="7F90FFD5" w:rsidP="78D2F05E">
      <w:pPr>
        <w:pStyle w:val="Heading1"/>
        <w:rPr>
          <w:lang w:val="en-GB"/>
        </w:rPr>
      </w:pPr>
      <w:bookmarkStart w:id="27" w:name="_Toc1012251757"/>
      <w:bookmarkStart w:id="28" w:name="_Toc255365869"/>
      <w:bookmarkStart w:id="29" w:name="_Toc2112358692"/>
      <w:r w:rsidRPr="04A5443A">
        <w:rPr>
          <w:lang w:val="en-GB"/>
        </w:rPr>
        <w:t>7. Responding and Recovering from Cyber Incidents</w:t>
      </w:r>
      <w:bookmarkEnd w:id="27"/>
      <w:bookmarkEnd w:id="28"/>
      <w:bookmarkEnd w:id="29"/>
    </w:p>
    <w:p w14:paraId="5B0F4FB6" w14:textId="2A7E92E5" w:rsidR="009645D1" w:rsidRDefault="003456CD" w:rsidP="009645D1">
      <w:pPr>
        <w:rPr>
          <w:lang w:val="en-GB"/>
        </w:rPr>
      </w:pPr>
      <w:r w:rsidRPr="003456CD">
        <w:rPr>
          <w:noProof/>
          <w:lang w:val="en-GB"/>
        </w:rPr>
        <w:drawing>
          <wp:inline distT="0" distB="0" distL="0" distR="0" wp14:anchorId="54D636AE" wp14:editId="66454C98">
            <wp:extent cx="3200400" cy="4694349"/>
            <wp:effectExtent l="0" t="0" r="0" b="0"/>
            <wp:docPr id="1603452956" name="Picture 2">
              <a:extLst xmlns:a="http://schemas.openxmlformats.org/drawingml/2006/main">
                <a:ext uri="{FF2B5EF4-FFF2-40B4-BE49-F238E27FC236}">
                  <a16:creationId xmlns:a16="http://schemas.microsoft.com/office/drawing/2014/main" id="{3BE8C7DE-4368-4C50-9E55-FC57DC5A22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481657" name=""/>
                    <pic:cNvPicPr/>
                  </pic:nvPicPr>
                  <pic:blipFill>
                    <a:blip r:embed="rId14"/>
                    <a:stretch>
                      <a:fillRect/>
                    </a:stretch>
                  </pic:blipFill>
                  <pic:spPr>
                    <a:xfrm>
                      <a:off x="0" y="0"/>
                      <a:ext cx="3206576" cy="4703408"/>
                    </a:xfrm>
                    <a:prstGeom prst="rect">
                      <a:avLst/>
                    </a:prstGeom>
                  </pic:spPr>
                </pic:pic>
              </a:graphicData>
            </a:graphic>
          </wp:inline>
        </w:drawing>
      </w:r>
    </w:p>
    <w:p w14:paraId="2A803522" w14:textId="77777777" w:rsidR="009645D1" w:rsidRDefault="009645D1" w:rsidP="009645D1">
      <w:pPr>
        <w:rPr>
          <w:lang w:val="en-GB"/>
        </w:rPr>
      </w:pPr>
    </w:p>
    <w:p w14:paraId="638D0EF1" w14:textId="4942225C" w:rsidR="2421314A" w:rsidRDefault="2421314A" w:rsidP="00A63CA5">
      <w:r w:rsidRPr="7FE7C8A4">
        <w:rPr>
          <w:lang w:val="en-GB"/>
        </w:rPr>
        <w:t>When cyber incidents occur, organisations must respond quickly to contain damage and restore normal operations. All three regulations require</w:t>
      </w:r>
      <w:r w:rsidR="00B92AE4">
        <w:rPr>
          <w:lang w:val="en-GB"/>
        </w:rPr>
        <w:t xml:space="preserve"> </w:t>
      </w:r>
      <w:r w:rsidRPr="7FE7C8A4">
        <w:rPr>
          <w:lang w:val="en-GB"/>
        </w:rPr>
        <w:t>organisations to maintain documented incident response plans that define roles, responsibilities and communication procedures. Effective incident response processes include containment strategies to prevent the spread of attacks, eradication procedures to remove malicious software and evidence preservation practices to support forensic investigations.</w:t>
      </w:r>
    </w:p>
    <w:p w14:paraId="5656A869" w14:textId="3560F34A" w:rsidR="2421314A" w:rsidRDefault="2421314A" w:rsidP="00A63CA5">
      <w:r w:rsidRPr="7FE7C8A4">
        <w:rPr>
          <w:lang w:val="en-GB"/>
        </w:rPr>
        <w:t>Business continuity and disaster recovery planning are also critical components of operational resilience. Organisations must ensure that essential services remain available even during major disruptions. Strategies such as data backups, redundant systems and failover infrastructure enable organisations to restore operations quickly after incidents. Recovery time objectives define how quickly systems must be restored, while crisis management teams coordinate organisational responses during emergencies.</w:t>
      </w:r>
    </w:p>
    <w:p w14:paraId="29F6D111" w14:textId="0E0472D3" w:rsidR="2421314A" w:rsidRDefault="2421314A" w:rsidP="009B270D">
      <w:r w:rsidRPr="7FE7C8A4">
        <w:rPr>
          <w:lang w:val="en-GB"/>
        </w:rPr>
        <w:t>Post-incident reviews help organisations learn from security incidents and improve their security controls. By analysing root causes and identifying weaknesses in existing processes, organisations can implement corrective measures that reduce the likelihood of similar incidents in the future</w:t>
      </w:r>
      <w:r w:rsidR="00A21404">
        <w:rPr>
          <w:lang w:val="en-GB"/>
        </w:rPr>
        <w:t xml:space="preserve"> </w:t>
      </w:r>
      <w:r w:rsidR="004E0F6A">
        <w:rPr>
          <w:lang w:val="en-GB"/>
        </w:rPr>
        <w:t>[</w:t>
      </w:r>
      <w:r w:rsidR="00532320">
        <w:rPr>
          <w:lang w:val="en-GB"/>
        </w:rPr>
        <w:t>13</w:t>
      </w:r>
      <w:r w:rsidR="004E0F6A">
        <w:rPr>
          <w:lang w:val="en-GB"/>
        </w:rPr>
        <w:t>]</w:t>
      </w:r>
      <w:r w:rsidRPr="7FE7C8A4">
        <w:rPr>
          <w:lang w:val="en-GB"/>
        </w:rPr>
        <w:t>.</w:t>
      </w:r>
    </w:p>
    <w:p w14:paraId="5073E8A8" w14:textId="74262D1D" w:rsidR="2421314A" w:rsidRPr="002B2372" w:rsidRDefault="7F90FFD5" w:rsidP="78D2F05E">
      <w:pPr>
        <w:pStyle w:val="Heading1"/>
        <w:rPr>
          <w:color w:val="548DD4" w:themeColor="text2" w:themeTint="99"/>
        </w:rPr>
      </w:pPr>
      <w:bookmarkStart w:id="30" w:name="_Toc677405984"/>
      <w:bookmarkStart w:id="31" w:name="_Toc581371743"/>
      <w:r w:rsidRPr="04A5443A">
        <w:rPr>
          <w:lang w:val="en-GB"/>
        </w:rPr>
        <w:t>8. Challenges of a Fragmented Compliance Landscape</w:t>
      </w:r>
      <w:bookmarkEnd w:id="30"/>
      <w:bookmarkEnd w:id="31"/>
    </w:p>
    <w:p w14:paraId="25880C75" w14:textId="2963ED8B" w:rsidR="2421314A" w:rsidRDefault="2421314A" w:rsidP="009B270D">
      <w:r w:rsidRPr="7FE7C8A4">
        <w:rPr>
          <w:lang w:val="en-GB"/>
        </w:rPr>
        <w:t>Despite their benefits, overlapping regulations create significant challenges for organisations. One major challenge is regulatory complexity. Different reporting timelines, sector-specific requirements and governance expectations can increase administrative burden and create confusion about compliance responsibilities. Organisations may inadvertently duplicate controls when attempting to satisfy multiple regulatory frameworks.</w:t>
      </w:r>
    </w:p>
    <w:p w14:paraId="4F1B357A" w14:textId="2B2F4CA4" w:rsidR="2421314A" w:rsidRDefault="2421314A" w:rsidP="009B270D">
      <w:r w:rsidRPr="7FE7C8A4">
        <w:rPr>
          <w:lang w:val="en-GB"/>
        </w:rPr>
        <w:t>Resource constraints present another challenge, particularly for small and medium-sized organisations that may lack the expertise or financial resources required for advanced cybersecurity capabilities. Supply-chain dependencies also introduce risks that organisations cannot fully control. Even when internal security controls are strong, vulnerabilities within third-party suppliers can lead to regulatory breaches.</w:t>
      </w:r>
    </w:p>
    <w:p w14:paraId="276B0969" w14:textId="64A8FF0C" w:rsidR="2421314A" w:rsidRDefault="2421314A" w:rsidP="009B270D">
      <w:r w:rsidRPr="7FE7C8A4">
        <w:rPr>
          <w:lang w:val="en-GB"/>
        </w:rPr>
        <w:t>Finally, modern regulations increasingly require organisations to provide real-time evidence of compliance rather than relying solely on static documentation. Continuous monitoring and automated reporting capabilities are therefore becoming essential for demonstrating regulatory compliance</w:t>
      </w:r>
      <w:r w:rsidR="00532320">
        <w:rPr>
          <w:lang w:val="en-GB"/>
        </w:rPr>
        <w:t xml:space="preserve"> </w:t>
      </w:r>
      <w:r w:rsidR="00D17E86">
        <w:rPr>
          <w:lang w:val="en-GB"/>
        </w:rPr>
        <w:t>[1</w:t>
      </w:r>
      <w:r w:rsidR="00A21404">
        <w:rPr>
          <w:lang w:val="en-GB"/>
        </w:rPr>
        <w:t>4</w:t>
      </w:r>
      <w:r w:rsidR="00D17E86">
        <w:rPr>
          <w:lang w:val="en-GB"/>
        </w:rPr>
        <w:t>]</w:t>
      </w:r>
      <w:r w:rsidRPr="7FE7C8A4">
        <w:rPr>
          <w:lang w:val="en-GB"/>
        </w:rPr>
        <w:t>.</w:t>
      </w:r>
    </w:p>
    <w:p w14:paraId="74A783EA" w14:textId="3FD6D531" w:rsidR="2421314A" w:rsidRPr="00396065" w:rsidRDefault="7F90FFD5" w:rsidP="78D2F05E">
      <w:pPr>
        <w:pStyle w:val="Heading1"/>
        <w:rPr>
          <w:color w:val="548DD4" w:themeColor="text2" w:themeTint="99"/>
        </w:rPr>
      </w:pPr>
      <w:bookmarkStart w:id="32" w:name="_Toc2010098001"/>
      <w:bookmarkStart w:id="33" w:name="_Toc373796105"/>
      <w:r w:rsidRPr="04A5443A">
        <w:rPr>
          <w:lang w:val="en-GB"/>
        </w:rPr>
        <w:t>9. Building an Integrated Compliance and Resilience Model</w:t>
      </w:r>
      <w:bookmarkEnd w:id="32"/>
      <w:bookmarkEnd w:id="33"/>
    </w:p>
    <w:p w14:paraId="2C0037A6" w14:textId="0BACF4D7" w:rsidR="2421314A" w:rsidRDefault="2421314A" w:rsidP="009B270D">
      <w:r w:rsidRPr="7FE7C8A4">
        <w:rPr>
          <w:lang w:val="en-GB"/>
        </w:rPr>
        <w:t>To address regulatory complexity, organisations should adopt integrated compliance models based on unified control frameworks. Implementing an Information Security Management System aligned with ISO/IEC 27001 provides a structured approach for managing cybersecurity risks while supporting compliance with multiple regulations. Unified frameworks reduce duplication of controls, simplify audits and ensure consistent governance across the organisation.</w:t>
      </w:r>
    </w:p>
    <w:p w14:paraId="57DCA306" w14:textId="0BB92198" w:rsidR="2421314A" w:rsidRDefault="2421314A" w:rsidP="009B270D">
      <w:r w:rsidRPr="7FE7C8A4">
        <w:rPr>
          <w:lang w:val="en-GB"/>
        </w:rPr>
        <w:t>A risk-based approach is essential for prioritising security investments. Rather than focusing solely on regulatory checklists, organisations should evaluate the potential business impact of cyber incidents and allocate resources accordingly. Critical systems and data assets should receive the highest level of protection.</w:t>
      </w:r>
    </w:p>
    <w:p w14:paraId="38597AEB" w14:textId="49602901" w:rsidR="2421314A" w:rsidRDefault="2421314A" w:rsidP="009B270D">
      <w:r w:rsidRPr="7FE7C8A4">
        <w:rPr>
          <w:lang w:val="en-GB"/>
        </w:rPr>
        <w:t>Automation and continuous compliance technologies can significantly improve regulatory compliance. Automated tools can monitor systems continuously, collect compliance evidence and enforce security policies. These technologies enable organisations to detect security incidents more quickly and respond within regulatory reporting timelines.</w:t>
      </w:r>
    </w:p>
    <w:p w14:paraId="4E0FA2FC" w14:textId="2E6D681E" w:rsidR="2421314A" w:rsidRPr="00642C46" w:rsidRDefault="2421314A" w:rsidP="009B270D">
      <w:r w:rsidRPr="7FE7C8A4">
        <w:rPr>
          <w:lang w:val="en-GB"/>
        </w:rPr>
        <w:t xml:space="preserve">Finally, developing a strong security culture is essential for maintaining effective cybersecurity practices. Human error remains one of the leading causes of security breaches. Regular training programmes can improve employee awareness of security risks, encourage responsible data handling practices and ensure that incidents are reported </w:t>
      </w:r>
      <w:r w:rsidRPr="00642C46">
        <w:rPr>
          <w:lang w:val="en-GB"/>
        </w:rPr>
        <w:t>promptly</w:t>
      </w:r>
      <w:r w:rsidR="00E471C3" w:rsidRPr="00642C46">
        <w:rPr>
          <w:lang w:val="en-GB"/>
        </w:rPr>
        <w:t xml:space="preserve"> </w:t>
      </w:r>
      <w:r w:rsidR="00204B60" w:rsidRPr="00642C46">
        <w:rPr>
          <w:lang w:val="en-GB"/>
        </w:rPr>
        <w:t>[1</w:t>
      </w:r>
      <w:r w:rsidR="00A21404" w:rsidRPr="00642C46">
        <w:rPr>
          <w:lang w:val="en-GB"/>
        </w:rPr>
        <w:t>5</w:t>
      </w:r>
      <w:r w:rsidR="00204B60" w:rsidRPr="00642C46">
        <w:rPr>
          <w:lang w:val="en-GB"/>
        </w:rPr>
        <w:t>]</w:t>
      </w:r>
      <w:r w:rsidRPr="00642C46">
        <w:rPr>
          <w:lang w:val="en-GB"/>
        </w:rPr>
        <w:t>.</w:t>
      </w:r>
    </w:p>
    <w:p w14:paraId="555F3635" w14:textId="2CF7BB7E" w:rsidR="2421314A" w:rsidRPr="0095001C" w:rsidRDefault="7F90FFD5" w:rsidP="78D2F05E">
      <w:pPr>
        <w:pStyle w:val="Heading1"/>
        <w:rPr>
          <w:color w:val="548DD4" w:themeColor="text2" w:themeTint="99"/>
        </w:rPr>
      </w:pPr>
      <w:bookmarkStart w:id="34" w:name="_Toc880938387"/>
      <w:bookmarkStart w:id="35" w:name="_Toc2046573201"/>
      <w:r w:rsidRPr="04A5443A">
        <w:rPr>
          <w:lang w:val="en-GB"/>
        </w:rPr>
        <w:t>10. Critical Evaluation</w:t>
      </w:r>
      <w:bookmarkEnd w:id="34"/>
      <w:bookmarkEnd w:id="35"/>
    </w:p>
    <w:p w14:paraId="454CC4C9" w14:textId="2F562725" w:rsidR="2421314A" w:rsidRDefault="2421314A" w:rsidP="009B270D">
      <w:r w:rsidRPr="7FE7C8A4">
        <w:rPr>
          <w:lang w:val="en-GB"/>
        </w:rPr>
        <w:t>GDPR, NIS2 and DORA collectively strengthen cybersecurity governance across the European Union by establishing clear legal obligations for risk management, incident reporting and operational resilience. However, the existence of multiple regulations also introduces complexity tha</w:t>
      </w:r>
      <w:r w:rsidR="00F929E8">
        <w:rPr>
          <w:lang w:val="en-GB"/>
        </w:rPr>
        <w:t xml:space="preserve">t </w:t>
      </w:r>
      <w:r w:rsidRPr="7FE7C8A4">
        <w:rPr>
          <w:lang w:val="en-GB"/>
        </w:rPr>
        <w:t>organisations must manage carefully. Organisations that treat compliance purely as a legal obligation may prioritise documentation over meaningful security improvements.</w:t>
      </w:r>
    </w:p>
    <w:p w14:paraId="57F7FF75" w14:textId="4BAFE5C8" w:rsidR="2421314A" w:rsidRDefault="2421314A" w:rsidP="00D353BC">
      <w:r w:rsidRPr="7FE7C8A4">
        <w:rPr>
          <w:lang w:val="en-GB"/>
        </w:rPr>
        <w:t>In contrast, organisations that adopt integrated security frameworks, automation and risk-based controls can transform regulatory compliance into a strategic advantage. Stronger enforcement mechanisms, including financial penalties and management liability, encourage organisations to invest in robust cybersecurity capabilities. Academic research indicates that multi-layered regulatory enforcement improves compliance outcomes compared with weaker regulatory frameworks.</w:t>
      </w:r>
    </w:p>
    <w:p w14:paraId="1100A2B0" w14:textId="05732658" w:rsidR="2421314A" w:rsidRDefault="2421314A" w:rsidP="00D353BC">
      <w:r w:rsidRPr="7FE7C8A4">
        <w:rPr>
          <w:lang w:val="en-GB"/>
        </w:rPr>
        <w:t>Nevertheless, smaller organisations may struggle to meet these requirements due to limited resources and expertise. Greater regulatory harmonisation and the adoption of shared security frameworks could help reduce duplication and improve the overall effectiveness of cybersecurity regulation.</w:t>
      </w:r>
      <w:r w:rsidR="00840BFA">
        <w:rPr>
          <w:lang w:val="en-GB"/>
        </w:rPr>
        <w:t>[1</w:t>
      </w:r>
      <w:r w:rsidR="00642C46">
        <w:rPr>
          <w:lang w:val="en-GB"/>
        </w:rPr>
        <w:t>6</w:t>
      </w:r>
      <w:r w:rsidR="00840BFA">
        <w:rPr>
          <w:lang w:val="en-GB"/>
        </w:rPr>
        <w:t>]</w:t>
      </w:r>
    </w:p>
    <w:p w14:paraId="20BD943C" w14:textId="77777777" w:rsidR="00A26C5D" w:rsidRDefault="7F90FFD5" w:rsidP="78D2F05E">
      <w:pPr>
        <w:pStyle w:val="Heading1"/>
        <w:rPr>
          <w:lang w:val="en-GB"/>
        </w:rPr>
      </w:pPr>
      <w:bookmarkStart w:id="36" w:name="_Toc1359250308"/>
      <w:bookmarkStart w:id="37" w:name="_Toc530807818"/>
      <w:bookmarkStart w:id="38" w:name="_Toc490739473"/>
      <w:r w:rsidRPr="04A5443A">
        <w:rPr>
          <w:lang w:val="en-GB"/>
        </w:rPr>
        <w:t>11. Conclusion</w:t>
      </w:r>
      <w:bookmarkEnd w:id="36"/>
      <w:bookmarkEnd w:id="37"/>
      <w:bookmarkEnd w:id="38"/>
    </w:p>
    <w:p w14:paraId="4EF2C4DC" w14:textId="23196828" w:rsidR="007F6FAB" w:rsidRDefault="2421314A" w:rsidP="00B055A6">
      <w:pPr>
        <w:rPr>
          <w:lang w:val="en-GB"/>
        </w:rPr>
      </w:pPr>
      <w:r w:rsidRPr="00162F3B">
        <w:rPr>
          <w:lang w:val="en-GB"/>
        </w:rPr>
        <w:t>GDPR, NIS2 and DORA collectively represent a significant shift in how cybersecurity is managed within modern organisations. Cybersecurity is no longer viewed solely as a technical issue but as a strategic governance responsibility that requires leadership involvement and organisational commitment. Although the regulatory landscape may appear fragmented, the core principles underlying these regulations are closely aligned.</w:t>
      </w:r>
    </w:p>
    <w:p w14:paraId="763CDE57" w14:textId="4E6C8707" w:rsidR="2421314A" w:rsidRPr="00DD5C92" w:rsidRDefault="2421314A" w:rsidP="00B055A6">
      <w:r w:rsidRPr="00DD5C92">
        <w:rPr>
          <w:lang w:val="en-GB"/>
        </w:rPr>
        <w:t>Organisations can build resilient security environments by implementing unified information security management frameworks, adopting risk-based governance strategies and integrating automation and continuous monitoring capabilities. Strong governance structures, security-by-design practices and regular resilience testing further strengthen organisational security posture.</w:t>
      </w:r>
    </w:p>
    <w:p w14:paraId="446AB6FF" w14:textId="77777777" w:rsidR="004E7BB3" w:rsidRDefault="2421314A" w:rsidP="00B055A6">
      <w:pPr>
        <w:rPr>
          <w:rStyle w:val="eop"/>
          <w:sz w:val="28"/>
          <w:szCs w:val="28"/>
        </w:rPr>
      </w:pPr>
      <w:r w:rsidRPr="7FE7C8A4">
        <w:rPr>
          <w:lang w:val="en-GB"/>
        </w:rPr>
        <w:t>When implemented effectively, regulatory compliance becomes more than a legal obligation. It becomes a catalyst for improving organisational resilience, strengthening stakeholder trust and ensuring the long-term stability of digital systems in an increasingly complex threat landscape.</w:t>
      </w:r>
      <w:r w:rsidR="00551DCB" w:rsidRPr="00721826">
        <w:rPr>
          <w:rStyle w:val="eop"/>
          <w:sz w:val="28"/>
          <w:szCs w:val="28"/>
        </w:rPr>
        <w:t> </w:t>
      </w:r>
    </w:p>
    <w:p w14:paraId="57CAF182" w14:textId="26B7E34B" w:rsidR="00CB093D" w:rsidRPr="00494BD7" w:rsidRDefault="572A5844" w:rsidP="78D2F05E">
      <w:pPr>
        <w:pStyle w:val="Heading1"/>
        <w:rPr>
          <w:color w:val="548DD4" w:themeColor="text2" w:themeTint="99"/>
        </w:rPr>
      </w:pPr>
      <w:bookmarkStart w:id="39" w:name="_Toc555419743"/>
      <w:bookmarkStart w:id="40" w:name="_Toc750801821"/>
      <w:r>
        <w:t>References</w:t>
      </w:r>
      <w:bookmarkEnd w:id="39"/>
      <w:bookmarkEnd w:id="40"/>
      <w:r w:rsidR="42880C78">
        <w:t xml:space="preserve"> </w:t>
      </w:r>
    </w:p>
    <w:p w14:paraId="6C281845" w14:textId="77777777" w:rsidR="00EF25DC" w:rsidRPr="00D00875" w:rsidRDefault="00EF25DC" w:rsidP="00173C1A">
      <w:r w:rsidRPr="00D00875">
        <w:t xml:space="preserve">[1] European Union, </w:t>
      </w:r>
      <w:r w:rsidRPr="00D00875">
        <w:rPr>
          <w:rStyle w:val="Strong"/>
          <w:b w:val="0"/>
          <w:bCs w:val="0"/>
        </w:rPr>
        <w:t>“Regulation (EU) 2016/679 – General Data Protection Regulation (GDPR)”</w:t>
      </w:r>
      <w:r w:rsidRPr="00D00875">
        <w:t>, Official Journal of the European Union, updated guidance, 2020.</w:t>
      </w:r>
    </w:p>
    <w:p w14:paraId="59380C92" w14:textId="77777777" w:rsidR="00EF25DC" w:rsidRPr="00D00875" w:rsidRDefault="00EF25DC" w:rsidP="00173C1A">
      <w:r w:rsidRPr="00D00875">
        <w:t xml:space="preserve">[2] European Data Protection Board, </w:t>
      </w:r>
      <w:r w:rsidRPr="00D00875">
        <w:rPr>
          <w:rStyle w:val="Strong"/>
          <w:b w:val="0"/>
          <w:bCs w:val="0"/>
        </w:rPr>
        <w:t>Guidelines on Data Protection by Design and by Default</w:t>
      </w:r>
      <w:r w:rsidRPr="00D00875">
        <w:t>, Brussels, 2020.</w:t>
      </w:r>
    </w:p>
    <w:p w14:paraId="56472078" w14:textId="77777777" w:rsidR="00EF25DC" w:rsidRPr="00D00875" w:rsidRDefault="00EF25DC" w:rsidP="00173C1A">
      <w:r w:rsidRPr="00D00875">
        <w:t xml:space="preserve">[3] European Parliament and Council, </w:t>
      </w:r>
      <w:r w:rsidRPr="00D00875">
        <w:rPr>
          <w:rStyle w:val="Strong"/>
          <w:b w:val="0"/>
          <w:bCs w:val="0"/>
        </w:rPr>
        <w:t>Directive (EU) 2022/2555 on Measures for a High Common Level of Cybersecurity across the</w:t>
      </w:r>
      <w:r w:rsidRPr="00D00875">
        <w:rPr>
          <w:rStyle w:val="Strong"/>
        </w:rPr>
        <w:t xml:space="preserve"> </w:t>
      </w:r>
      <w:r w:rsidRPr="00D00875">
        <w:rPr>
          <w:rStyle w:val="Strong"/>
          <w:b w:val="0"/>
          <w:bCs w:val="0"/>
        </w:rPr>
        <w:t>Union (NIS2)</w:t>
      </w:r>
      <w:r w:rsidRPr="00D00875">
        <w:t>, 2022.</w:t>
      </w:r>
    </w:p>
    <w:p w14:paraId="01B576DC" w14:textId="77777777" w:rsidR="00EF25DC" w:rsidRPr="00D00875" w:rsidRDefault="00EF25DC" w:rsidP="00173C1A">
      <w:r w:rsidRPr="00D00875">
        <w:t xml:space="preserve">[4] ENISA, </w:t>
      </w:r>
      <w:r w:rsidRPr="00D00875">
        <w:rPr>
          <w:rStyle w:val="Strong"/>
          <w:b w:val="0"/>
          <w:bCs w:val="0"/>
        </w:rPr>
        <w:t>NIS2 Directive Implementation</w:t>
      </w:r>
      <w:r w:rsidRPr="00D00875">
        <w:rPr>
          <w:rStyle w:val="Strong"/>
        </w:rPr>
        <w:t xml:space="preserve"> </w:t>
      </w:r>
      <w:r w:rsidRPr="00D00875">
        <w:rPr>
          <w:rStyle w:val="Strong"/>
          <w:b w:val="0"/>
          <w:bCs w:val="0"/>
        </w:rPr>
        <w:t>Guidance</w:t>
      </w:r>
      <w:r w:rsidRPr="00D00875">
        <w:t>, European Union Agency for Cybersecurity, 2023.</w:t>
      </w:r>
    </w:p>
    <w:p w14:paraId="299D928A" w14:textId="77777777" w:rsidR="00EF25DC" w:rsidRPr="00D00875" w:rsidRDefault="00EF25DC" w:rsidP="00173C1A">
      <w:r w:rsidRPr="00D00875">
        <w:t xml:space="preserve">[5] European Union, </w:t>
      </w:r>
      <w:r w:rsidRPr="00D00875">
        <w:rPr>
          <w:rStyle w:val="Strong"/>
          <w:b w:val="0"/>
          <w:bCs w:val="0"/>
        </w:rPr>
        <w:t>Regulation (EU) 2022/2554 on Digital Operational Resilience for the</w:t>
      </w:r>
      <w:r w:rsidRPr="00D00875">
        <w:rPr>
          <w:rStyle w:val="Strong"/>
        </w:rPr>
        <w:t xml:space="preserve"> </w:t>
      </w:r>
      <w:r w:rsidRPr="00D00875">
        <w:rPr>
          <w:rStyle w:val="Strong"/>
          <w:b w:val="0"/>
          <w:bCs w:val="0"/>
        </w:rPr>
        <w:t>Financial Sector (DORA)</w:t>
      </w:r>
      <w:r w:rsidRPr="00D00875">
        <w:t>, 2022.</w:t>
      </w:r>
    </w:p>
    <w:p w14:paraId="1D0B8FF4" w14:textId="77777777" w:rsidR="00EF25DC" w:rsidRPr="00D00875" w:rsidRDefault="00EF25DC" w:rsidP="00173C1A">
      <w:r w:rsidRPr="00D00875">
        <w:t xml:space="preserve">[6] European Supervisory Authorities, </w:t>
      </w:r>
      <w:r w:rsidRPr="00D00875">
        <w:rPr>
          <w:rStyle w:val="Strong"/>
          <w:b w:val="0"/>
          <w:bCs w:val="0"/>
        </w:rPr>
        <w:t>DORA Technical Standards on ICT Risk Management</w:t>
      </w:r>
      <w:r w:rsidRPr="00D00875">
        <w:t>, 2024.</w:t>
      </w:r>
    </w:p>
    <w:p w14:paraId="5F9E499F" w14:textId="77777777" w:rsidR="00EF25DC" w:rsidRPr="00D00875" w:rsidRDefault="00EF25DC" w:rsidP="00173C1A">
      <w:r w:rsidRPr="00D00875">
        <w:t xml:space="preserve">[7] A. Bouveret, </w:t>
      </w:r>
      <w:r w:rsidRPr="00D00875">
        <w:rPr>
          <w:rStyle w:val="Strong"/>
          <w:b w:val="0"/>
          <w:bCs w:val="0"/>
        </w:rPr>
        <w:t>“Cyber Risk and Financial Stability: Implications of the Digital Operational</w:t>
      </w:r>
      <w:r w:rsidRPr="00D00875">
        <w:rPr>
          <w:rStyle w:val="Strong"/>
        </w:rPr>
        <w:t xml:space="preserve"> </w:t>
      </w:r>
      <w:r w:rsidRPr="00D00875">
        <w:rPr>
          <w:rStyle w:val="Strong"/>
          <w:b w:val="0"/>
          <w:bCs w:val="0"/>
        </w:rPr>
        <w:t>Resilience Act,”</w:t>
      </w:r>
      <w:r w:rsidRPr="00D00875">
        <w:t xml:space="preserve"> IMF Working Paper, 2021.</w:t>
      </w:r>
    </w:p>
    <w:p w14:paraId="567B4BA0" w14:textId="77777777" w:rsidR="00EF25DC" w:rsidRPr="00D00875" w:rsidRDefault="00EF25DC" w:rsidP="00173C1A">
      <w:r w:rsidRPr="00D00875">
        <w:t xml:space="preserve">[8] NIST, </w:t>
      </w:r>
      <w:r w:rsidRPr="00D00875">
        <w:rPr>
          <w:rStyle w:val="Strong"/>
          <w:b w:val="0"/>
          <w:bCs w:val="0"/>
        </w:rPr>
        <w:t>NIST Cybersecurity Framework 2.0</w:t>
      </w:r>
      <w:r w:rsidRPr="00D00875">
        <w:t>, National Institute of Standards and Technology, 2024.</w:t>
      </w:r>
    </w:p>
    <w:p w14:paraId="5311246C" w14:textId="77777777" w:rsidR="00EF25DC" w:rsidRPr="00D00875" w:rsidRDefault="00EF25DC" w:rsidP="00173C1A">
      <w:r w:rsidRPr="00D00875">
        <w:t xml:space="preserve">[9] ENISA, </w:t>
      </w:r>
      <w:r w:rsidRPr="00D00875">
        <w:rPr>
          <w:rStyle w:val="Strong"/>
          <w:b w:val="0"/>
          <w:bCs w:val="0"/>
        </w:rPr>
        <w:t>Threat Landscape Report 2023</w:t>
      </w:r>
      <w:r w:rsidRPr="00D00875">
        <w:t>, European Union Agency for Cybersecurity, 2023.</w:t>
      </w:r>
    </w:p>
    <w:p w14:paraId="53AF2145" w14:textId="77777777" w:rsidR="00EF25DC" w:rsidRPr="00D00875" w:rsidRDefault="00EF25DC" w:rsidP="00173C1A">
      <w:r w:rsidRPr="00D00875">
        <w:t xml:space="preserve">[10] M. Boyens et al., </w:t>
      </w:r>
      <w:r w:rsidRPr="00D00875">
        <w:rPr>
          <w:rStyle w:val="Strong"/>
          <w:b w:val="0"/>
          <w:bCs w:val="0"/>
        </w:rPr>
        <w:t>“Supply Chain Risk Management Practices for Federal Information</w:t>
      </w:r>
      <w:r w:rsidRPr="00D00875">
        <w:rPr>
          <w:rStyle w:val="Strong"/>
        </w:rPr>
        <w:t xml:space="preserve"> </w:t>
      </w:r>
      <w:r w:rsidRPr="00D00875">
        <w:rPr>
          <w:rStyle w:val="Strong"/>
          <w:b w:val="0"/>
          <w:bCs w:val="0"/>
        </w:rPr>
        <w:t>Systems,”</w:t>
      </w:r>
      <w:r w:rsidRPr="00D00875">
        <w:t xml:space="preserve"> NIST Special Publication 800-161 Rev.1, 2022.</w:t>
      </w:r>
    </w:p>
    <w:p w14:paraId="009C2C56" w14:textId="77777777" w:rsidR="00EF25DC" w:rsidRPr="00D00875" w:rsidRDefault="00EF25DC" w:rsidP="00173C1A">
      <w:r w:rsidRPr="00D00875">
        <w:t xml:space="preserve">[11] ISO, </w:t>
      </w:r>
      <w:r w:rsidRPr="00D00875">
        <w:rPr>
          <w:rStyle w:val="Strong"/>
          <w:b w:val="0"/>
          <w:bCs w:val="0"/>
        </w:rPr>
        <w:t>ISO/IEC 27001:2022 Information</w:t>
      </w:r>
      <w:r w:rsidRPr="00D00875">
        <w:rPr>
          <w:rStyle w:val="Strong"/>
        </w:rPr>
        <w:t xml:space="preserve"> </w:t>
      </w:r>
      <w:r w:rsidRPr="00D00875">
        <w:rPr>
          <w:rStyle w:val="Strong"/>
          <w:b w:val="0"/>
          <w:bCs w:val="0"/>
        </w:rPr>
        <w:t>Security Management Systems</w:t>
      </w:r>
      <w:r w:rsidRPr="00D00875">
        <w:t>, International Organization for Standardization, 2022.</w:t>
      </w:r>
    </w:p>
    <w:p w14:paraId="025D91AC" w14:textId="77777777" w:rsidR="00EF25DC" w:rsidRPr="00D00875" w:rsidRDefault="00EF25DC" w:rsidP="00173C1A">
      <w:r w:rsidRPr="00D00875">
        <w:t xml:space="preserve">[12] Gartner, </w:t>
      </w:r>
      <w:r w:rsidRPr="00D00875">
        <w:rPr>
          <w:rStyle w:val="Strong"/>
          <w:b w:val="0"/>
          <w:bCs w:val="0"/>
        </w:rPr>
        <w:t>Security Information and Event</w:t>
      </w:r>
      <w:r w:rsidRPr="00D00875">
        <w:rPr>
          <w:rStyle w:val="Strong"/>
        </w:rPr>
        <w:t xml:space="preserve"> </w:t>
      </w:r>
      <w:r w:rsidRPr="00D00875">
        <w:rPr>
          <w:rStyle w:val="Strong"/>
          <w:b w:val="0"/>
          <w:bCs w:val="0"/>
        </w:rPr>
        <w:t>Management Market Guide</w:t>
      </w:r>
      <w:r w:rsidRPr="00D00875">
        <w:t>, 2024.</w:t>
      </w:r>
    </w:p>
    <w:p w14:paraId="0395B708" w14:textId="4E091267" w:rsidR="00D20D23" w:rsidRPr="00E30E61" w:rsidRDefault="00D20D23" w:rsidP="00173C1A">
      <w:pPr>
        <w:rPr>
          <w:rFonts w:ascii="Aptos Display" w:hAnsi="Aptos Display"/>
        </w:rPr>
      </w:pPr>
      <w:r w:rsidRPr="00E30E61">
        <w:rPr>
          <w:rFonts w:ascii="Aptos Display" w:hAnsi="Aptos Display"/>
        </w:rPr>
        <w:t>[1</w:t>
      </w:r>
      <w:r w:rsidR="004C6BE0" w:rsidRPr="00E30E61">
        <w:rPr>
          <w:rFonts w:ascii="Aptos Display" w:hAnsi="Aptos Display"/>
        </w:rPr>
        <w:t>3</w:t>
      </w:r>
      <w:r w:rsidRPr="00E30E61">
        <w:rPr>
          <w:rFonts w:ascii="Aptos Display" w:hAnsi="Aptos Display"/>
        </w:rPr>
        <w:t xml:space="preserve">] European Commission, </w:t>
      </w:r>
      <w:r w:rsidRPr="00E30E61">
        <w:rPr>
          <w:rStyle w:val="Emphasis"/>
          <w:rFonts w:ascii="Aptos Display" w:hAnsi="Aptos Display"/>
        </w:rPr>
        <w:t>Directive (EU) 2022/2555 on measures for a high common level of cybersecurity across the Union (NIS2 Directive)</w:t>
      </w:r>
      <w:r w:rsidRPr="00E30E61">
        <w:rPr>
          <w:rFonts w:ascii="Aptos Display" w:hAnsi="Aptos Display"/>
        </w:rPr>
        <w:t>, Brussels, Belgium, 2022.</w:t>
      </w:r>
    </w:p>
    <w:p w14:paraId="4AD80760" w14:textId="0C4BE046" w:rsidR="00FE0359" w:rsidRDefault="00355202" w:rsidP="00173C1A">
      <w:pPr>
        <w:rPr>
          <w:rFonts w:ascii="Aptos Display" w:hAnsi="Aptos Display"/>
        </w:rPr>
      </w:pPr>
      <w:r w:rsidRPr="00E471C3">
        <w:rPr>
          <w:rFonts w:ascii="Aptos Display" w:hAnsi="Aptos Display"/>
        </w:rPr>
        <w:t>[</w:t>
      </w:r>
      <w:r w:rsidR="00466B2D" w:rsidRPr="00E471C3">
        <w:rPr>
          <w:rFonts w:ascii="Aptos Display" w:hAnsi="Aptos Display"/>
        </w:rPr>
        <w:t>1</w:t>
      </w:r>
      <w:r w:rsidR="004C6BE0">
        <w:rPr>
          <w:rFonts w:ascii="Aptos Display" w:hAnsi="Aptos Display"/>
        </w:rPr>
        <w:t>4</w:t>
      </w:r>
      <w:r w:rsidRPr="00E471C3">
        <w:rPr>
          <w:rFonts w:ascii="Aptos Display" w:hAnsi="Aptos Display"/>
        </w:rPr>
        <w:t xml:space="preserve">] Information Commissioner’s Office (ICO), </w:t>
      </w:r>
      <w:r w:rsidRPr="00E471C3">
        <w:rPr>
          <w:rStyle w:val="Emphasis"/>
          <w:rFonts w:ascii="Aptos Display" w:hAnsi="Aptos Display"/>
        </w:rPr>
        <w:t>Guide to the General Data Protection Regulation (GDPR)</w:t>
      </w:r>
      <w:r w:rsidRPr="00E471C3">
        <w:rPr>
          <w:rFonts w:ascii="Aptos Display" w:hAnsi="Aptos Display"/>
        </w:rPr>
        <w:t>, London, U.K., 2024</w:t>
      </w:r>
      <w:r>
        <w:t>.</w:t>
      </w:r>
    </w:p>
    <w:p w14:paraId="419D1F98" w14:textId="2FA92637" w:rsidR="00D70508" w:rsidRPr="00B70349" w:rsidRDefault="00D70508" w:rsidP="00173C1A">
      <w:pPr>
        <w:rPr>
          <w:rFonts w:ascii="Aptos Display" w:hAnsi="Aptos Display"/>
        </w:rPr>
      </w:pPr>
      <w:r w:rsidRPr="00B70349">
        <w:rPr>
          <w:rFonts w:ascii="Aptos Display" w:hAnsi="Aptos Display"/>
        </w:rPr>
        <w:t>[</w:t>
      </w:r>
      <w:r w:rsidR="00AE77D9" w:rsidRPr="00B70349">
        <w:rPr>
          <w:rFonts w:ascii="Aptos Display" w:hAnsi="Aptos Display"/>
        </w:rPr>
        <w:t>1</w:t>
      </w:r>
      <w:r w:rsidR="004C6BE0">
        <w:rPr>
          <w:rFonts w:ascii="Aptos Display" w:hAnsi="Aptos Display"/>
        </w:rPr>
        <w:t>5</w:t>
      </w:r>
      <w:r w:rsidRPr="00B70349">
        <w:rPr>
          <w:rFonts w:ascii="Aptos Display" w:hAnsi="Aptos Display"/>
        </w:rPr>
        <w:t xml:space="preserve">] European Commission, </w:t>
      </w:r>
      <w:r w:rsidRPr="00B70349">
        <w:rPr>
          <w:rStyle w:val="Emphasis"/>
          <w:rFonts w:ascii="Aptos Display" w:hAnsi="Aptos Display"/>
        </w:rPr>
        <w:t>Directive (EU) 2022/2555 on measures for a high common level of cybersecurity across the Union (NIS2 Directive)</w:t>
      </w:r>
      <w:r w:rsidRPr="00B70349">
        <w:rPr>
          <w:rFonts w:ascii="Aptos Display" w:hAnsi="Aptos Display"/>
        </w:rPr>
        <w:t xml:space="preserve">, Brussels, Belgium, 2022. </w:t>
      </w:r>
    </w:p>
    <w:p w14:paraId="3BB36CBF" w14:textId="3587AFBA" w:rsidR="00EF25DC" w:rsidRPr="00B70349" w:rsidRDefault="052F97BB" w:rsidP="00173C1A">
      <w:pPr>
        <w:rPr>
          <w:rFonts w:ascii="Aptos Display" w:hAnsi="Aptos Display"/>
        </w:rPr>
      </w:pPr>
      <w:r w:rsidRPr="04A5443A">
        <w:rPr>
          <w:rFonts w:ascii="Aptos Display" w:hAnsi="Aptos Display"/>
        </w:rPr>
        <w:t>[</w:t>
      </w:r>
      <w:r w:rsidR="6263550A" w:rsidRPr="04A5443A">
        <w:rPr>
          <w:rFonts w:ascii="Aptos Display" w:hAnsi="Aptos Display"/>
        </w:rPr>
        <w:t>1</w:t>
      </w:r>
      <w:r w:rsidR="61EE1EAF" w:rsidRPr="04A5443A">
        <w:rPr>
          <w:rFonts w:ascii="Aptos Display" w:hAnsi="Aptos Display"/>
        </w:rPr>
        <w:t>6</w:t>
      </w:r>
      <w:r w:rsidRPr="04A5443A">
        <w:rPr>
          <w:rFonts w:ascii="Aptos Display" w:hAnsi="Aptos Display"/>
        </w:rPr>
        <w:t xml:space="preserve">] Information Commissioner’s Office (ICO), </w:t>
      </w:r>
      <w:r w:rsidRPr="04A5443A">
        <w:rPr>
          <w:rStyle w:val="Emphasis"/>
          <w:rFonts w:ascii="Aptos Display" w:hAnsi="Aptos Display"/>
        </w:rPr>
        <w:t>Guide to the General Data Protection Regulation (GDPR)</w:t>
      </w:r>
      <w:r w:rsidRPr="04A5443A">
        <w:rPr>
          <w:rFonts w:ascii="Aptos Display" w:hAnsi="Aptos Display"/>
        </w:rPr>
        <w:t>, London, U.K., 2024.</w:t>
      </w:r>
    </w:p>
    <w:p w14:paraId="55147073" w14:textId="77777777" w:rsidR="00212518" w:rsidRDefault="00212518"/>
    <w:p w14:paraId="63198B78" w14:textId="77777777" w:rsidR="00212518" w:rsidRDefault="00212518"/>
    <w:p w14:paraId="6BFD3111" w14:textId="77777777" w:rsidR="00212518" w:rsidRDefault="00212518"/>
    <w:p w14:paraId="0284E6F4" w14:textId="77777777" w:rsidR="00212518" w:rsidRDefault="00212518"/>
    <w:p w14:paraId="00520243" w14:textId="77777777" w:rsidR="00212518" w:rsidRDefault="00212518"/>
    <w:p w14:paraId="1E9C249B" w14:textId="77777777" w:rsidR="00212518" w:rsidRDefault="00212518"/>
    <w:p w14:paraId="7C01BA9B" w14:textId="77777777" w:rsidR="00212518" w:rsidRDefault="00212518"/>
    <w:p w14:paraId="66F0B592" w14:textId="77777777" w:rsidR="00931F06" w:rsidRDefault="00212518" w:rsidP="004327D6">
      <w:pPr>
        <w:rPr>
          <w:rFonts w:ascii="Aptos Display" w:eastAsia="Times New Roman" w:hAnsi="Aptos Display" w:cs="Times New Roman"/>
          <w:lang w:val="en-GB" w:eastAsia="en-GB"/>
        </w:rPr>
        <w:sectPr w:rsidR="00931F06" w:rsidSect="00034616">
          <w:headerReference w:type="default" r:id="rId15"/>
          <w:footerReference w:type="default" r:id="rId16"/>
          <w:headerReference w:type="first" r:id="rId17"/>
          <w:footerReference w:type="first" r:id="rId18"/>
          <w:pgSz w:w="12240" w:h="15840"/>
          <w:pgMar w:top="720" w:right="720" w:bottom="720" w:left="720" w:header="720" w:footer="720" w:gutter="0"/>
          <w:cols w:num="2" w:space="720"/>
          <w:titlePg/>
          <w:docGrid w:linePitch="360"/>
        </w:sectPr>
      </w:pPr>
      <w:r w:rsidRPr="04A5443A">
        <w:rPr>
          <w:rFonts w:ascii="Aptos Display" w:eastAsia="Times New Roman" w:hAnsi="Aptos Display" w:cs="Times New Roman"/>
          <w:lang w:val="en-GB" w:eastAsia="en-GB"/>
        </w:rPr>
        <w:br w:type="column"/>
      </w:r>
    </w:p>
    <w:p w14:paraId="2E022B95" w14:textId="77777777" w:rsidR="004327D6" w:rsidRPr="00435E41" w:rsidRDefault="004327D6" w:rsidP="004327D6">
      <w:pPr>
        <w:rPr>
          <w:rFonts w:ascii="Aptos Display" w:eastAsia="Times New Roman" w:hAnsi="Aptos Display" w:cs="Times New Roman"/>
          <w:color w:val="0070C0"/>
          <w:lang w:val="en-GB" w:eastAsia="en-GB"/>
        </w:rPr>
      </w:pPr>
      <w:r w:rsidRPr="00435E41">
        <w:rPr>
          <w:rFonts w:ascii="Aptos Display" w:eastAsia="Times New Roman" w:hAnsi="Aptos Display" w:cs="Times New Roman"/>
          <w:b/>
          <w:bCs/>
          <w:color w:val="0070C0"/>
          <w:lang w:val="en-GB" w:eastAsia="en-GB"/>
        </w:rPr>
        <w:t>Task</w:t>
      </w:r>
      <w:r w:rsidRPr="00435E41">
        <w:rPr>
          <w:rFonts w:ascii="Arial" w:eastAsia="Times New Roman" w:hAnsi="Arial" w:cs="Arial"/>
          <w:b/>
          <w:bCs/>
          <w:color w:val="0070C0"/>
          <w:lang w:val="en-GB" w:eastAsia="en-GB"/>
        </w:rPr>
        <w:t> </w:t>
      </w:r>
      <w:r w:rsidRPr="00435E41">
        <w:rPr>
          <w:rFonts w:ascii="Aptos Display" w:eastAsia="Times New Roman" w:hAnsi="Aptos Display" w:cs="Times New Roman"/>
          <w:b/>
          <w:bCs/>
          <w:color w:val="0070C0"/>
          <w:lang w:val="en-GB" w:eastAsia="en-GB"/>
        </w:rPr>
        <w:t>2:</w:t>
      </w:r>
      <w:r w:rsidRPr="00435E41">
        <w:rPr>
          <w:rFonts w:ascii="Arial" w:eastAsia="Times New Roman" w:hAnsi="Arial" w:cs="Arial"/>
          <w:b/>
          <w:bCs/>
          <w:color w:val="0070C0"/>
          <w:lang w:val="en-GB" w:eastAsia="en-GB"/>
        </w:rPr>
        <w:t> </w:t>
      </w:r>
      <w:r w:rsidRPr="00435E41">
        <w:rPr>
          <w:rFonts w:ascii="Aptos Display" w:eastAsia="Times New Roman" w:hAnsi="Aptos Display" w:cs="Times New Roman"/>
          <w:b/>
          <w:bCs/>
          <w:color w:val="0070C0"/>
          <w:lang w:val="en-GB" w:eastAsia="en-GB"/>
        </w:rPr>
        <w:t>Zero-Trust Security Programme for Medi Trust Analytics Ltd.</w:t>
      </w:r>
      <w:r w:rsidRPr="00435E41">
        <w:rPr>
          <w:rFonts w:ascii="Aptos Display" w:eastAsia="Times New Roman" w:hAnsi="Aptos Display" w:cs="Times New Roman"/>
          <w:color w:val="0070C0"/>
          <w:lang w:val="en-GB" w:eastAsia="en-GB"/>
        </w:rPr>
        <w:t> </w:t>
      </w:r>
    </w:p>
    <w:p w14:paraId="244EC76D"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color w:val="0070C0"/>
          <w:lang w:val="en-GB" w:eastAsia="en-GB"/>
        </w:rPr>
        <w:t> </w:t>
      </w:r>
    </w:p>
    <w:p w14:paraId="341CE65D" w14:textId="4003C9C0" w:rsidR="004327D6" w:rsidRPr="004327D6" w:rsidRDefault="004327D6" w:rsidP="00931F06">
      <w:pPr>
        <w:rPr>
          <w:rFonts w:ascii="Aptos Display" w:eastAsia="Times New Roman" w:hAnsi="Aptos Display" w:cs="Times New Roman"/>
          <w:color w:val="0070C0"/>
          <w:lang w:val="en-GB" w:eastAsia="en-GB"/>
        </w:rPr>
      </w:pPr>
      <w:r w:rsidRPr="004327D6">
        <w:rPr>
          <w:rFonts w:ascii="Arial" w:eastAsia="Times New Roman" w:hAnsi="Arial" w:cs="Arial"/>
          <w:color w:val="0070C0"/>
          <w:lang w:eastAsia="en-GB"/>
        </w:rPr>
        <w:t>​​</w:t>
      </w:r>
      <w:r w:rsidRPr="004327D6">
        <w:rPr>
          <w:rFonts w:ascii="Aptos Display" w:eastAsia="Times New Roman" w:hAnsi="Aptos Display" w:cs="Times New Roman"/>
          <w:b/>
          <w:bCs/>
          <w:color w:val="0070C0"/>
          <w:lang w:val="en-GB" w:eastAsia="en-GB"/>
        </w:rPr>
        <w:t>Table of Contents</w:t>
      </w:r>
      <w:r w:rsidRPr="004327D6">
        <w:rPr>
          <w:rFonts w:ascii="Aptos Display" w:eastAsia="Times New Roman" w:hAnsi="Aptos Display" w:cs="Times New Roman"/>
          <w:color w:val="0070C0"/>
          <w:lang w:val="en-GB" w:eastAsia="en-GB"/>
        </w:rPr>
        <w:t> </w:t>
      </w:r>
    </w:p>
    <w:p w14:paraId="53BE57A0"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color w:val="0070C0"/>
          <w:lang w:val="en-GB" w:eastAsia="en-GB"/>
        </w:rPr>
        <w:t> </w:t>
      </w:r>
    </w:p>
    <w:p w14:paraId="483466CC"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Abstract</w:t>
      </w:r>
      <w:r w:rsidRPr="004327D6">
        <w:rPr>
          <w:rFonts w:ascii="Aptos Display" w:eastAsia="Times New Roman" w:hAnsi="Aptos Display" w:cs="Times New Roman"/>
          <w:color w:val="0070C0"/>
          <w:lang w:val="en-GB" w:eastAsia="en-GB"/>
        </w:rPr>
        <w:t> </w:t>
      </w:r>
    </w:p>
    <w:p w14:paraId="1D58798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This report presents a Zero-Trust security strategy for Medi Trust, addressing cybersecurity challenges in cloud-based healthcare and AI environments. It critically integrates governance, organisational structure, policies and technical controls aligned with NIST CSF 2.0, GDPR, NIS2, and DORA. The approach emphasises continuous verification, least-privilege access and proactive risk management across identity, cloud, software development and supply-chain domains. Key mechanisms include SIEM monitoring, secure CI/CD pipelines, SaaS security controls, and incident response planning. While Zero-Trust enhances resilience and regulatory compliance, the report highlights operational complexity and resource demands, concluding that integrated frameworks and automation are essential for achieving effective, scalable cybersecurity outcomes.</w:t>
      </w:r>
      <w:r w:rsidRPr="004327D6">
        <w:rPr>
          <w:rFonts w:ascii="Aptos Display" w:eastAsia="Times New Roman" w:hAnsi="Aptos Display" w:cs="Times New Roman"/>
          <w:lang w:val="en-GB" w:eastAsia="en-GB"/>
        </w:rPr>
        <w:t> </w:t>
      </w:r>
    </w:p>
    <w:p w14:paraId="6639F1B9"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1. Introduction</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57FB3852"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Medi Trust Analytics Ltd is expanding into the European healthcare market and must comply with strict cybersecurity, operational resilience, and data protection regulations, particularly the General Data Protection Regulation “GDPR”, the Digital Operational Resilience Act “DORA” and the Network and Information Security Directive “NIS2”. The organisation develops AI-driven healthcare analytics platforms that process extremely sensitive medical information, including electronic patient records, diagnostic imaging, AI training datasets, and real-time IoT patient monitoring data. In addition, Medi Trust operates within a hybrid workforce environment where developers, researchers and analysts collaborate remotely and rely heavily on multi-cloud platforms and external research partners. While this architecture enables innovation and scalability, it also significantly expands the organisation’s attack surface.</w:t>
      </w:r>
      <w:r w:rsidRPr="004327D6">
        <w:rPr>
          <w:rFonts w:ascii="Aptos Display" w:eastAsia="Times New Roman" w:hAnsi="Aptos Display" w:cs="Times New Roman"/>
          <w:lang w:val="en-GB" w:eastAsia="en-GB"/>
        </w:rPr>
        <w:t> </w:t>
      </w:r>
    </w:p>
    <w:p w14:paraId="5BAC9421"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The processing of sensitive healthcare data introduces a range of cybersecurity risks. These include unauthorised access to patient records, manipulation or theft of AI training datasets, compromise of open-source software dependencies used in machine learning models, cloud infrastructure misconfigurations and ransomware attacks targeting intellectual property or clinical systems. Healthcare organisations are particularly attractive targets for cybercriminals because of the high value of medical data and the critical nature of healthcare services. A successful cyber-attack could therefore disrupt clinical decision systems, compromise patient privacy and undermine trust among healthcare providers and regulatory authorities. </w:t>
      </w:r>
    </w:p>
    <w:p w14:paraId="06BB96E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To mitigate these risks, Medi Trust requires a comprehensive cybersecurity strategy aligned with modern regulatory expectations and advanced security architectures. A Zero-Trust security programme provides an appropriate approach because it assumes that no user, device, application should be trusted by default. Instead, all access requests must be continuously verified, authorised, and monitored. This model is particularly suitable for cloud-based and hybrid environments where traditional perimeter-based security is insufficient. The Zero-Trust approach also aligns with regulatory expectations under GDPR, NIS2 and DORA, which emphasise strong identity management, risk-based security controls, and operational resilience. </w:t>
      </w:r>
    </w:p>
    <w:p w14:paraId="6597BD87"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This report proposes a forward-looking security architecture for Medi Trust that integrates organisational governance, security policies, regulatory compliance frameworks, risk management processes, and modern protection technologies. The design emphasises Zero-Trust identity verification, secure cloud architecture, supply-chain security, and incident response capabilities. By adopting this integrated approach, Medi Trust can protect sensitive healthcare data, comply with European regulatory requirements, and maintain trust with hospitals, clinicians and research partners while continuing to innovate in AI-driven healthcare technologies. </w:t>
      </w:r>
    </w:p>
    <w:p w14:paraId="094EE00E"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31F61DCD"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2. Zero-Trust Security Strategy</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49E21B76"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The Zero-Trust security model is built on the fundamental assumption that cyber-attacks can originate from both external and internal sources. Traditional security architectures relied on perimeter defenses such as firewalls and virtual private networks, which assumed that users within the corporate network could be trusted. However, modern digital environments include remote workers, cloud services, and third-party integrations that make network boundaries difficult to define. Zero-Trust addresses this challenge by eliminating implicit trust and requiring continuous verification of all users, devices, and applications [1].</w:t>
      </w:r>
      <w:r w:rsidRPr="004327D6">
        <w:rPr>
          <w:rFonts w:ascii="Aptos Display" w:eastAsia="Times New Roman" w:hAnsi="Aptos Display" w:cs="Times New Roman"/>
          <w:lang w:val="en-GB" w:eastAsia="en-GB"/>
        </w:rPr>
        <w:t> </w:t>
      </w:r>
    </w:p>
    <w:p w14:paraId="02445D7B"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The model is based on three core principles. The first principle is explicit verification, which requires every access request to be authenticated and authorised using strong identity controls such as multi-factor authentication, device health verification, and contextual access policies. The second principle is the privilege of access, which ensures that users and services receive only the minimum level of access required to perform their tasks. Limiting privileges reduces the potential impact of compromised accounts and prevents attackers from moving laterally across systems. The third principle is the assumption of breach, which recognises that cyber-attacks may eventually bypass preventative controls. Continuous monitoring, segmentation, and behavioral analytics are therefore used to detect suspicious activity and contain attacks quickly.</w:t>
      </w:r>
      <w:r w:rsidRPr="004327D6">
        <w:rPr>
          <w:rFonts w:ascii="Aptos Display" w:eastAsia="Times New Roman" w:hAnsi="Aptos Display" w:cs="Times New Roman"/>
          <w:lang w:val="en-GB" w:eastAsia="en-GB"/>
        </w:rPr>
        <w:t> </w:t>
      </w:r>
    </w:p>
    <w:p w14:paraId="13C2E278"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For Medi Trust, the Zero-Trust model must be implemented across several critical technology domains. Identity and access management systems will control authentication for employees, developers, and external partners. Cloud workloads and software-as-a-service platforms will require secure identity federation and access monitoring. AI development pipelines must include secure coding practices, dependency scanning and access restrictions to protect proprietary machine learning models. IoT medical data ingestion systems must authenticate devices and validate data integrity before they enter clinical analytics platforms. Third-party integrations with research partners or healthcare providers must also be carefully monitored to prevent unauthorized access or data leakage.</w:t>
      </w:r>
      <w:r w:rsidRPr="004327D6">
        <w:rPr>
          <w:rFonts w:ascii="Aptos Display" w:eastAsia="Times New Roman" w:hAnsi="Aptos Display" w:cs="Times New Roman"/>
          <w:lang w:val="en-GB" w:eastAsia="en-GB"/>
        </w:rPr>
        <w:t> </w:t>
      </w:r>
    </w:p>
    <w:p w14:paraId="3676E492"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By applying Zero-Trust principles across these domains, Medi Trust can protect sensitive patient information, safeguard AI intellectual property and maintain secure collaboration with external partners. The architecture also supports regulatory compliance by enforcing strong authentication, access controls, and monitoring mechanisms required under GDPR, NIS2, and DORA.</w:t>
      </w:r>
      <w:r w:rsidRPr="004327D6">
        <w:rPr>
          <w:rFonts w:ascii="Aptos Display" w:eastAsia="Times New Roman" w:hAnsi="Aptos Display" w:cs="Times New Roman"/>
          <w:lang w:val="en-GB" w:eastAsia="en-GB"/>
        </w:rPr>
        <w:t> </w:t>
      </w:r>
    </w:p>
    <w:p w14:paraId="0A2B90C1"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445CFC2D"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3E432FCD" w14:textId="4D7EF1FC"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drawing>
          <wp:inline distT="0" distB="0" distL="0" distR="0" wp14:anchorId="2589015C" wp14:editId="30447666">
            <wp:extent cx="3200400" cy="2397125"/>
            <wp:effectExtent l="0" t="0" r="0" b="3175"/>
            <wp:docPr id="86923932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00400" cy="2397125"/>
                    </a:xfrm>
                    <a:prstGeom prst="rect">
                      <a:avLst/>
                    </a:prstGeom>
                    <a:noFill/>
                    <a:ln>
                      <a:noFill/>
                    </a:ln>
                  </pic:spPr>
                </pic:pic>
              </a:graphicData>
            </a:graphic>
          </wp:inline>
        </w:drawing>
      </w:r>
      <w:r w:rsidRPr="004327D6">
        <w:rPr>
          <w:rFonts w:ascii="Aptos Display" w:eastAsia="Times New Roman" w:hAnsi="Aptos Display" w:cs="Times New Roman"/>
          <w:lang w:val="en-GB" w:eastAsia="en-GB"/>
        </w:rPr>
        <w:t> </w:t>
      </w:r>
    </w:p>
    <w:p w14:paraId="328DA311"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7EB5839C"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val="en-GB" w:eastAsia="en-GB"/>
        </w:rPr>
        <w:t>Information Security Unit Organisational Structure</w:t>
      </w:r>
      <w:r w:rsidRPr="004327D6">
        <w:rPr>
          <w:rFonts w:ascii="Aptos Display" w:eastAsia="Times New Roman" w:hAnsi="Aptos Display" w:cs="Times New Roman"/>
          <w:color w:val="0070C0"/>
          <w:lang w:val="en-GB" w:eastAsia="en-GB"/>
        </w:rPr>
        <w:t> </w:t>
      </w:r>
    </w:p>
    <w:tbl>
      <w:tblPr>
        <w:tblW w:w="0" w:type="dxa"/>
        <w:tblCellSpacing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80"/>
        <w:gridCol w:w="5730"/>
        <w:gridCol w:w="1980"/>
      </w:tblGrid>
      <w:tr w:rsidR="004327D6" w:rsidRPr="004327D6" w14:paraId="4E8F52C4" w14:textId="77777777">
        <w:trPr>
          <w:tblCellSpacing w:w="15" w:type="dxa"/>
        </w:trPr>
        <w:tc>
          <w:tcPr>
            <w:tcW w:w="3135" w:type="dxa"/>
            <w:tcBorders>
              <w:top w:val="single" w:sz="6" w:space="0" w:color="auto"/>
              <w:left w:val="single" w:sz="6" w:space="0" w:color="auto"/>
              <w:bottom w:val="single" w:sz="6" w:space="0" w:color="auto"/>
              <w:right w:val="single" w:sz="6" w:space="0" w:color="auto"/>
            </w:tcBorders>
            <w:vAlign w:val="center"/>
            <w:hideMark/>
          </w:tcPr>
          <w:p w14:paraId="1486FFF8"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Role </w:t>
            </w:r>
          </w:p>
        </w:tc>
        <w:tc>
          <w:tcPr>
            <w:tcW w:w="5700" w:type="dxa"/>
            <w:tcBorders>
              <w:top w:val="single" w:sz="6" w:space="0" w:color="auto"/>
              <w:left w:val="single" w:sz="6" w:space="0" w:color="auto"/>
              <w:bottom w:val="single" w:sz="6" w:space="0" w:color="auto"/>
              <w:right w:val="single" w:sz="6" w:space="0" w:color="auto"/>
            </w:tcBorders>
            <w:vAlign w:val="center"/>
            <w:hideMark/>
          </w:tcPr>
          <w:p w14:paraId="1A169028"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Key Responsibilities </w:t>
            </w:r>
          </w:p>
        </w:tc>
        <w:tc>
          <w:tcPr>
            <w:tcW w:w="1935" w:type="dxa"/>
            <w:tcBorders>
              <w:top w:val="single" w:sz="6" w:space="0" w:color="auto"/>
              <w:left w:val="single" w:sz="6" w:space="0" w:color="auto"/>
              <w:bottom w:val="single" w:sz="6" w:space="0" w:color="auto"/>
              <w:right w:val="single" w:sz="6" w:space="0" w:color="auto"/>
            </w:tcBorders>
            <w:vAlign w:val="center"/>
            <w:hideMark/>
          </w:tcPr>
          <w:p w14:paraId="6EA517CF"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Related Security Domain </w:t>
            </w:r>
          </w:p>
        </w:tc>
      </w:tr>
      <w:tr w:rsidR="004327D6" w:rsidRPr="004327D6" w14:paraId="287EA6D6" w14:textId="77777777">
        <w:trPr>
          <w:tblCellSpacing w:w="15" w:type="dxa"/>
        </w:trPr>
        <w:tc>
          <w:tcPr>
            <w:tcW w:w="3135" w:type="dxa"/>
            <w:tcBorders>
              <w:top w:val="single" w:sz="6" w:space="0" w:color="auto"/>
              <w:left w:val="single" w:sz="6" w:space="0" w:color="auto"/>
              <w:bottom w:val="single" w:sz="6" w:space="0" w:color="auto"/>
              <w:right w:val="single" w:sz="6" w:space="0" w:color="auto"/>
            </w:tcBorders>
            <w:vAlign w:val="center"/>
            <w:hideMark/>
          </w:tcPr>
          <w:p w14:paraId="6B66F8B3"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Chief Information Security Officer (CISO) </w:t>
            </w:r>
          </w:p>
        </w:tc>
        <w:tc>
          <w:tcPr>
            <w:tcW w:w="5700" w:type="dxa"/>
            <w:tcBorders>
              <w:top w:val="single" w:sz="6" w:space="0" w:color="auto"/>
              <w:left w:val="single" w:sz="6" w:space="0" w:color="auto"/>
              <w:bottom w:val="single" w:sz="6" w:space="0" w:color="auto"/>
              <w:right w:val="single" w:sz="6" w:space="0" w:color="auto"/>
            </w:tcBorders>
            <w:vAlign w:val="center"/>
            <w:hideMark/>
          </w:tcPr>
          <w:p w14:paraId="685FE083"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Defines cybersecurity strategy, oversees governance, reports risks to leadership </w:t>
            </w:r>
          </w:p>
        </w:tc>
        <w:tc>
          <w:tcPr>
            <w:tcW w:w="1935" w:type="dxa"/>
            <w:tcBorders>
              <w:top w:val="nil"/>
              <w:left w:val="nil"/>
              <w:bottom w:val="nil"/>
              <w:right w:val="nil"/>
            </w:tcBorders>
            <w:vAlign w:val="center"/>
            <w:hideMark/>
          </w:tcPr>
          <w:p w14:paraId="4134FA9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Security Governance </w:t>
            </w:r>
          </w:p>
        </w:tc>
      </w:tr>
      <w:tr w:rsidR="004327D6" w:rsidRPr="004327D6" w14:paraId="45609AEB" w14:textId="77777777">
        <w:trPr>
          <w:tblCellSpacing w:w="15" w:type="dxa"/>
        </w:trPr>
        <w:tc>
          <w:tcPr>
            <w:tcW w:w="3135" w:type="dxa"/>
            <w:tcBorders>
              <w:top w:val="single" w:sz="6" w:space="0" w:color="auto"/>
              <w:left w:val="single" w:sz="6" w:space="0" w:color="auto"/>
              <w:bottom w:val="single" w:sz="6" w:space="0" w:color="auto"/>
              <w:right w:val="single" w:sz="6" w:space="0" w:color="auto"/>
            </w:tcBorders>
            <w:vAlign w:val="center"/>
            <w:hideMark/>
          </w:tcPr>
          <w:p w14:paraId="1DD31EC2"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Cloud Security Architect </w:t>
            </w:r>
          </w:p>
        </w:tc>
        <w:tc>
          <w:tcPr>
            <w:tcW w:w="5700" w:type="dxa"/>
            <w:tcBorders>
              <w:top w:val="single" w:sz="6" w:space="0" w:color="auto"/>
              <w:left w:val="single" w:sz="6" w:space="0" w:color="auto"/>
              <w:bottom w:val="single" w:sz="6" w:space="0" w:color="auto"/>
              <w:right w:val="single" w:sz="6" w:space="0" w:color="auto"/>
            </w:tcBorders>
            <w:vAlign w:val="center"/>
            <w:hideMark/>
          </w:tcPr>
          <w:p w14:paraId="474FC91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Designs secure multi-cloud infrastructure, manages CSPM tools and identity controls </w:t>
            </w:r>
          </w:p>
        </w:tc>
        <w:tc>
          <w:tcPr>
            <w:tcW w:w="1935" w:type="dxa"/>
            <w:tcBorders>
              <w:top w:val="nil"/>
              <w:left w:val="nil"/>
              <w:bottom w:val="nil"/>
              <w:right w:val="nil"/>
            </w:tcBorders>
            <w:vAlign w:val="center"/>
            <w:hideMark/>
          </w:tcPr>
          <w:p w14:paraId="5AE2AF01"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Cloud Security </w:t>
            </w:r>
          </w:p>
        </w:tc>
      </w:tr>
      <w:tr w:rsidR="004327D6" w:rsidRPr="004327D6" w14:paraId="2A9D0F29" w14:textId="77777777">
        <w:trPr>
          <w:tblCellSpacing w:w="15" w:type="dxa"/>
        </w:trPr>
        <w:tc>
          <w:tcPr>
            <w:tcW w:w="3135" w:type="dxa"/>
            <w:tcBorders>
              <w:top w:val="single" w:sz="6" w:space="0" w:color="auto"/>
              <w:left w:val="single" w:sz="6" w:space="0" w:color="auto"/>
              <w:bottom w:val="single" w:sz="6" w:space="0" w:color="auto"/>
              <w:right w:val="single" w:sz="6" w:space="0" w:color="auto"/>
            </w:tcBorders>
            <w:vAlign w:val="center"/>
            <w:hideMark/>
          </w:tcPr>
          <w:p w14:paraId="2624163E"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Development Security Lead </w:t>
            </w:r>
          </w:p>
        </w:tc>
        <w:tc>
          <w:tcPr>
            <w:tcW w:w="5700" w:type="dxa"/>
            <w:tcBorders>
              <w:top w:val="single" w:sz="6" w:space="0" w:color="auto"/>
              <w:left w:val="single" w:sz="6" w:space="0" w:color="auto"/>
              <w:bottom w:val="single" w:sz="6" w:space="0" w:color="auto"/>
              <w:right w:val="single" w:sz="6" w:space="0" w:color="auto"/>
            </w:tcBorders>
            <w:vAlign w:val="center"/>
            <w:hideMark/>
          </w:tcPr>
          <w:p w14:paraId="51761F71"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Implements secure coding, software composition analysis and CI/CD security </w:t>
            </w:r>
          </w:p>
        </w:tc>
        <w:tc>
          <w:tcPr>
            <w:tcW w:w="1935" w:type="dxa"/>
            <w:tcBorders>
              <w:top w:val="nil"/>
              <w:left w:val="nil"/>
              <w:bottom w:val="nil"/>
              <w:right w:val="nil"/>
            </w:tcBorders>
            <w:vAlign w:val="center"/>
            <w:hideMark/>
          </w:tcPr>
          <w:p w14:paraId="3BA1008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Application Security </w:t>
            </w:r>
          </w:p>
        </w:tc>
      </w:tr>
      <w:tr w:rsidR="004327D6" w:rsidRPr="004327D6" w14:paraId="526FAD4E" w14:textId="77777777">
        <w:trPr>
          <w:tblCellSpacing w:w="15" w:type="dxa"/>
        </w:trPr>
        <w:tc>
          <w:tcPr>
            <w:tcW w:w="3135" w:type="dxa"/>
            <w:tcBorders>
              <w:top w:val="single" w:sz="6" w:space="0" w:color="auto"/>
              <w:left w:val="single" w:sz="6" w:space="0" w:color="auto"/>
              <w:bottom w:val="single" w:sz="6" w:space="0" w:color="auto"/>
              <w:right w:val="single" w:sz="6" w:space="0" w:color="auto"/>
            </w:tcBorders>
            <w:vAlign w:val="center"/>
            <w:hideMark/>
          </w:tcPr>
          <w:p w14:paraId="665B5782"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Security Operations Manager </w:t>
            </w:r>
          </w:p>
        </w:tc>
        <w:tc>
          <w:tcPr>
            <w:tcW w:w="5700" w:type="dxa"/>
            <w:tcBorders>
              <w:top w:val="single" w:sz="6" w:space="0" w:color="auto"/>
              <w:left w:val="single" w:sz="6" w:space="0" w:color="auto"/>
              <w:bottom w:val="single" w:sz="6" w:space="0" w:color="auto"/>
              <w:right w:val="single" w:sz="6" w:space="0" w:color="auto"/>
            </w:tcBorders>
            <w:vAlign w:val="center"/>
            <w:hideMark/>
          </w:tcPr>
          <w:p w14:paraId="5938F83B"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Manages SIEM, EDR, threat detection and incident response operations </w:t>
            </w:r>
          </w:p>
        </w:tc>
        <w:tc>
          <w:tcPr>
            <w:tcW w:w="1935" w:type="dxa"/>
            <w:tcBorders>
              <w:top w:val="nil"/>
              <w:left w:val="nil"/>
              <w:bottom w:val="nil"/>
              <w:right w:val="nil"/>
            </w:tcBorders>
            <w:vAlign w:val="center"/>
            <w:hideMark/>
          </w:tcPr>
          <w:p w14:paraId="7997DFBF"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Security Operations </w:t>
            </w:r>
          </w:p>
        </w:tc>
      </w:tr>
      <w:tr w:rsidR="004327D6" w:rsidRPr="004327D6" w14:paraId="58B3BB25" w14:textId="77777777">
        <w:trPr>
          <w:tblCellSpacing w:w="15" w:type="dxa"/>
        </w:trPr>
        <w:tc>
          <w:tcPr>
            <w:tcW w:w="3135" w:type="dxa"/>
            <w:tcBorders>
              <w:top w:val="single" w:sz="6" w:space="0" w:color="auto"/>
              <w:left w:val="single" w:sz="6" w:space="0" w:color="auto"/>
              <w:bottom w:val="single" w:sz="6" w:space="0" w:color="auto"/>
              <w:right w:val="single" w:sz="6" w:space="0" w:color="auto"/>
            </w:tcBorders>
            <w:vAlign w:val="center"/>
            <w:hideMark/>
          </w:tcPr>
          <w:p w14:paraId="21585A3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Governance, Risk and Compliance Manager </w:t>
            </w:r>
          </w:p>
        </w:tc>
        <w:tc>
          <w:tcPr>
            <w:tcW w:w="5700" w:type="dxa"/>
            <w:tcBorders>
              <w:top w:val="single" w:sz="6" w:space="0" w:color="auto"/>
              <w:left w:val="single" w:sz="6" w:space="0" w:color="auto"/>
              <w:bottom w:val="single" w:sz="6" w:space="0" w:color="auto"/>
              <w:right w:val="single" w:sz="6" w:space="0" w:color="auto"/>
            </w:tcBorders>
            <w:vAlign w:val="center"/>
            <w:hideMark/>
          </w:tcPr>
          <w:p w14:paraId="5588968A"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Maintains risk registers, manages compliance with GDPR, NIS2 and DORA </w:t>
            </w:r>
          </w:p>
        </w:tc>
        <w:tc>
          <w:tcPr>
            <w:tcW w:w="1935" w:type="dxa"/>
            <w:tcBorders>
              <w:top w:val="nil"/>
              <w:left w:val="nil"/>
              <w:bottom w:val="nil"/>
              <w:right w:val="nil"/>
            </w:tcBorders>
            <w:vAlign w:val="center"/>
            <w:hideMark/>
          </w:tcPr>
          <w:p w14:paraId="74040153"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Compliance &amp; Risk </w:t>
            </w:r>
          </w:p>
        </w:tc>
      </w:tr>
      <w:tr w:rsidR="004327D6" w:rsidRPr="004327D6" w14:paraId="78F23B51" w14:textId="77777777">
        <w:trPr>
          <w:tblCellSpacing w:w="15" w:type="dxa"/>
        </w:trPr>
        <w:tc>
          <w:tcPr>
            <w:tcW w:w="3135" w:type="dxa"/>
            <w:tcBorders>
              <w:top w:val="nil"/>
              <w:left w:val="nil"/>
              <w:bottom w:val="nil"/>
              <w:right w:val="nil"/>
            </w:tcBorders>
            <w:vAlign w:val="center"/>
            <w:hideMark/>
          </w:tcPr>
          <w:p w14:paraId="021F6D2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Data Protection Officer (DPO) </w:t>
            </w:r>
          </w:p>
        </w:tc>
        <w:tc>
          <w:tcPr>
            <w:tcW w:w="5700" w:type="dxa"/>
            <w:tcBorders>
              <w:top w:val="nil"/>
              <w:left w:val="nil"/>
              <w:bottom w:val="nil"/>
              <w:right w:val="nil"/>
            </w:tcBorders>
            <w:vAlign w:val="center"/>
            <w:hideMark/>
          </w:tcPr>
          <w:p w14:paraId="0AAB74E5"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Ensures lawful processing of patient data and GDPR compliance </w:t>
            </w:r>
          </w:p>
        </w:tc>
        <w:tc>
          <w:tcPr>
            <w:tcW w:w="1935" w:type="dxa"/>
            <w:tcBorders>
              <w:top w:val="nil"/>
              <w:left w:val="nil"/>
              <w:bottom w:val="nil"/>
              <w:right w:val="nil"/>
            </w:tcBorders>
            <w:vAlign w:val="center"/>
            <w:hideMark/>
          </w:tcPr>
          <w:p w14:paraId="6EB0351B"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Data Protection </w:t>
            </w:r>
          </w:p>
        </w:tc>
      </w:tr>
      <w:tr w:rsidR="004327D6" w:rsidRPr="004327D6" w14:paraId="483FB91B" w14:textId="77777777">
        <w:trPr>
          <w:tblCellSpacing w:w="15" w:type="dxa"/>
        </w:trPr>
        <w:tc>
          <w:tcPr>
            <w:tcW w:w="3135" w:type="dxa"/>
            <w:tcBorders>
              <w:top w:val="nil"/>
              <w:left w:val="nil"/>
              <w:bottom w:val="nil"/>
              <w:right w:val="nil"/>
            </w:tcBorders>
            <w:vAlign w:val="center"/>
            <w:hideMark/>
          </w:tcPr>
          <w:p w14:paraId="7FDA8058"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Third-Party Risk Analyst </w:t>
            </w:r>
          </w:p>
        </w:tc>
        <w:tc>
          <w:tcPr>
            <w:tcW w:w="5700" w:type="dxa"/>
            <w:tcBorders>
              <w:top w:val="nil"/>
              <w:left w:val="nil"/>
              <w:bottom w:val="nil"/>
              <w:right w:val="nil"/>
            </w:tcBorders>
            <w:vAlign w:val="center"/>
            <w:hideMark/>
          </w:tcPr>
          <w:p w14:paraId="7C7A9BCA"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Evaluates suppliers, cloud providers and research partners for security risks </w:t>
            </w:r>
          </w:p>
        </w:tc>
        <w:tc>
          <w:tcPr>
            <w:tcW w:w="1935" w:type="dxa"/>
            <w:tcBorders>
              <w:top w:val="nil"/>
              <w:left w:val="nil"/>
              <w:bottom w:val="nil"/>
              <w:right w:val="nil"/>
            </w:tcBorders>
            <w:vAlign w:val="center"/>
            <w:hideMark/>
          </w:tcPr>
          <w:p w14:paraId="06B77CE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Supply-Chain Security </w:t>
            </w:r>
          </w:p>
        </w:tc>
      </w:tr>
    </w:tbl>
    <w:p w14:paraId="4FAD1F11"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3F8DBC5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3B7F6EC2"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22C8ECCF"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3. Organizational Structure</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11317CFF" w14:textId="4007B58A"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drawing>
          <wp:inline distT="0" distB="0" distL="0" distR="0" wp14:anchorId="1405FCD1" wp14:editId="50469D27">
            <wp:extent cx="3200400" cy="2753360"/>
            <wp:effectExtent l="0" t="0" r="0" b="8890"/>
            <wp:docPr id="6863283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00400" cy="2753360"/>
                    </a:xfrm>
                    <a:prstGeom prst="rect">
                      <a:avLst/>
                    </a:prstGeom>
                    <a:noFill/>
                    <a:ln>
                      <a:noFill/>
                    </a:ln>
                  </pic:spPr>
                </pic:pic>
              </a:graphicData>
            </a:graphic>
          </wp:inline>
        </w:drawing>
      </w:r>
      <w:r w:rsidRPr="004327D6">
        <w:rPr>
          <w:rFonts w:ascii="Aptos Display" w:eastAsia="Times New Roman" w:hAnsi="Aptos Display" w:cs="Times New Roman"/>
          <w:lang w:val="en-GB" w:eastAsia="en-GB"/>
        </w:rPr>
        <w:t> </w:t>
      </w:r>
    </w:p>
    <w:p w14:paraId="3294F42A"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1767CB93"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The organisational structure enhanced by integrating Cloud Security Architecture and DevSecOps practices. Cloud Security ensures secure configuration and monitoring of cloud-based systems, while DevSecOps embeds security controls into the software development lifecycle. Together, these components strengthen operational resilience and support compliance with GDPR, NIS2 and DORA.”</w:t>
      </w:r>
      <w:r w:rsidRPr="004327D6">
        <w:rPr>
          <w:rFonts w:ascii="Aptos Display" w:eastAsia="Times New Roman" w:hAnsi="Aptos Display" w:cs="Times New Roman"/>
          <w:lang w:val="en-GB" w:eastAsia="en-GB"/>
        </w:rPr>
        <w:t> </w:t>
      </w:r>
    </w:p>
    <w:p w14:paraId="03F9717D"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3.1 Proposed Structure</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13838CE6"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Implementing an effective cybersecurity strategy requires clear governance structures and defined responsibilities. Medi Trust should establish a dedicated Information Security Unit responsible for managing cybersecurity operations, regulatory compliance and risk management. A structured organisational framework ensures accountability and enables the integration of security practices into cloud architecture, software development, and operational processes.</w:t>
      </w:r>
      <w:r w:rsidRPr="004327D6">
        <w:rPr>
          <w:rFonts w:ascii="Aptos Display" w:eastAsia="Times New Roman" w:hAnsi="Aptos Display" w:cs="Times New Roman"/>
          <w:lang w:val="en-GB" w:eastAsia="en-GB"/>
        </w:rPr>
        <w:t> </w:t>
      </w:r>
    </w:p>
    <w:p w14:paraId="38C107C8"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At the leadership level, a Chief Information Security Officer (CISO) should oversee the organisation’s overall security strategy. The CISO is responsible for defining cybersecurity policies, ensuring compliance with regulatory requirements and reporting security risks to executive leadership and the board. The role also involves coordinating security investments and aligning cybersecurity objectives with business goals. </w:t>
      </w:r>
    </w:p>
    <w:p w14:paraId="60544E48"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A Cloud Security Architect should design and maintain secure multi-cloud infrastructure. This role includes implementing Cloud Security Posture Management tools, defining identity access controls and ensuring that SaaS platforms are configured securely. Because Medi Trust relies heavily on cloud platforms to process healthcare data and train AI models, secure cloud architecture is essential for protecting sensitive workloads. </w:t>
      </w:r>
    </w:p>
    <w:p w14:paraId="1D4C1D1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A Development Security Lead should integrate security practices into the AI development lifecycle. Responsibilities include secure coding standards, software composition analysis to detect vulnerable open-source dependencies and the implementation of secure continuous integration and continuous deployment pipelines. This role ensures that security is embedded within software development processes rather than applied only after systems are deployed. </w:t>
      </w:r>
    </w:p>
    <w:p w14:paraId="0C03C0CA"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Operational security activities should be managed by a Security Operations Manager who oversees threat detection, monitoring and incident response. This function typically includes the management of Security Information and Event Management systems, Endpoint Detection and Response platforms and automated incident response tools. </w:t>
      </w:r>
    </w:p>
    <w:p w14:paraId="0707ADEC"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A Governance, Risk and Compliance Manager is responsible for aligning organisational policies with regulatory requirements such as GDPR, NIS2 and DORA. This role maintains risk registers, coordinates security audits, and ensures that compliance evidence is documented. </w:t>
      </w:r>
    </w:p>
    <w:p w14:paraId="4CA7F47A"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In addition, a Data Protection Officer must oversee GDPR compliance and ensure that patient data is processed lawfully and securely. A Third-Party Risk Analyst should evaluate the cybersecurity posture of suppliers, research partners and cloud providers to ensure that external dependencies do not introduce additional vulnerabilities. </w:t>
      </w:r>
    </w:p>
    <w:p w14:paraId="625AB992"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This organisational structure ensures that cybersecurity responsibilities are clearly defined while embedding security expertise into cloud architecture, software development, and regulatory compliance processes [2]. </w:t>
      </w:r>
    </w:p>
    <w:p w14:paraId="4D8DFA4B"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4. Policies and Procedures</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5AC7EA6F"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Effective security governance requires clearly defined policies and procedures that guide employee behaviors and technical controls. For Medi Trust, several critical policies must be implemented to address risks associated with AI development, SaaS platforms, and hybrid working environments.</w:t>
      </w:r>
      <w:r w:rsidRPr="004327D6">
        <w:rPr>
          <w:rFonts w:ascii="Aptos Display" w:eastAsia="Times New Roman" w:hAnsi="Aptos Display" w:cs="Times New Roman"/>
          <w:lang w:val="en-GB" w:eastAsia="en-GB"/>
        </w:rPr>
        <w:t> </w:t>
      </w:r>
    </w:p>
    <w:p w14:paraId="42798056"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4A3D3F2E"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val="en-GB" w:eastAsia="en-GB"/>
        </w:rPr>
        <w:t>Security Policies Implemented by Medi Trust</w:t>
      </w:r>
      <w:r w:rsidRPr="004327D6">
        <w:rPr>
          <w:rFonts w:ascii="Aptos Display" w:eastAsia="Times New Roman" w:hAnsi="Aptos Display" w:cs="Times New Roman"/>
          <w:color w:val="0070C0"/>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90"/>
        <w:gridCol w:w="3465"/>
        <w:gridCol w:w="4815"/>
      </w:tblGrid>
      <w:tr w:rsidR="004327D6" w:rsidRPr="004327D6" w14:paraId="3E9E2E2D" w14:textId="77777777">
        <w:tc>
          <w:tcPr>
            <w:tcW w:w="2490" w:type="dxa"/>
            <w:tcBorders>
              <w:top w:val="single" w:sz="6" w:space="0" w:color="auto"/>
              <w:left w:val="single" w:sz="6" w:space="0" w:color="auto"/>
              <w:bottom w:val="single" w:sz="6" w:space="0" w:color="auto"/>
              <w:right w:val="single" w:sz="6" w:space="0" w:color="auto"/>
            </w:tcBorders>
            <w:hideMark/>
          </w:tcPr>
          <w:p w14:paraId="2AAD9CAE"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Policy </w:t>
            </w:r>
          </w:p>
        </w:tc>
        <w:tc>
          <w:tcPr>
            <w:tcW w:w="3465" w:type="dxa"/>
            <w:tcBorders>
              <w:top w:val="single" w:sz="6" w:space="0" w:color="auto"/>
              <w:left w:val="single" w:sz="6" w:space="0" w:color="auto"/>
              <w:bottom w:val="single" w:sz="6" w:space="0" w:color="auto"/>
              <w:right w:val="single" w:sz="6" w:space="0" w:color="auto"/>
            </w:tcBorders>
            <w:hideMark/>
          </w:tcPr>
          <w:p w14:paraId="6160984D"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Purpose </w:t>
            </w:r>
          </w:p>
        </w:tc>
        <w:tc>
          <w:tcPr>
            <w:tcW w:w="4815" w:type="dxa"/>
            <w:tcBorders>
              <w:top w:val="single" w:sz="6" w:space="0" w:color="auto"/>
              <w:left w:val="single" w:sz="6" w:space="0" w:color="auto"/>
              <w:bottom w:val="single" w:sz="6" w:space="0" w:color="auto"/>
              <w:right w:val="single" w:sz="6" w:space="0" w:color="auto"/>
            </w:tcBorders>
            <w:hideMark/>
          </w:tcPr>
          <w:p w14:paraId="51BF9AB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Key Controls </w:t>
            </w:r>
          </w:p>
        </w:tc>
      </w:tr>
      <w:tr w:rsidR="004327D6" w:rsidRPr="004327D6" w14:paraId="3B8E08F9" w14:textId="77777777">
        <w:tc>
          <w:tcPr>
            <w:tcW w:w="2490" w:type="dxa"/>
            <w:tcBorders>
              <w:top w:val="single" w:sz="6" w:space="0" w:color="auto"/>
              <w:left w:val="single" w:sz="6" w:space="0" w:color="auto"/>
              <w:bottom w:val="single" w:sz="6" w:space="0" w:color="auto"/>
              <w:right w:val="single" w:sz="6" w:space="0" w:color="auto"/>
            </w:tcBorders>
            <w:hideMark/>
          </w:tcPr>
          <w:p w14:paraId="555E3ED3"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AI Usage Policy </w:t>
            </w:r>
          </w:p>
        </w:tc>
        <w:tc>
          <w:tcPr>
            <w:tcW w:w="3465" w:type="dxa"/>
            <w:tcBorders>
              <w:top w:val="single" w:sz="6" w:space="0" w:color="auto"/>
              <w:left w:val="single" w:sz="6" w:space="0" w:color="auto"/>
              <w:bottom w:val="single" w:sz="6" w:space="0" w:color="auto"/>
              <w:right w:val="single" w:sz="6" w:space="0" w:color="auto"/>
            </w:tcBorders>
            <w:hideMark/>
          </w:tcPr>
          <w:p w14:paraId="1B9D13A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Protect AI models and training datasets </w:t>
            </w:r>
          </w:p>
        </w:tc>
        <w:tc>
          <w:tcPr>
            <w:tcW w:w="4815" w:type="dxa"/>
            <w:tcBorders>
              <w:top w:val="single" w:sz="6" w:space="0" w:color="auto"/>
              <w:left w:val="single" w:sz="6" w:space="0" w:color="auto"/>
              <w:bottom w:val="single" w:sz="6" w:space="0" w:color="auto"/>
              <w:right w:val="single" w:sz="6" w:space="0" w:color="auto"/>
            </w:tcBorders>
            <w:hideMark/>
          </w:tcPr>
          <w:p w14:paraId="740694F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Data validation, RBAC access control, monitoring for model manipulation </w:t>
            </w:r>
          </w:p>
        </w:tc>
      </w:tr>
      <w:tr w:rsidR="004327D6" w:rsidRPr="004327D6" w14:paraId="248C3E50" w14:textId="77777777">
        <w:tc>
          <w:tcPr>
            <w:tcW w:w="2490" w:type="dxa"/>
            <w:tcBorders>
              <w:top w:val="single" w:sz="6" w:space="0" w:color="auto"/>
              <w:left w:val="single" w:sz="6" w:space="0" w:color="auto"/>
              <w:bottom w:val="single" w:sz="6" w:space="0" w:color="auto"/>
              <w:right w:val="single" w:sz="6" w:space="0" w:color="auto"/>
            </w:tcBorders>
            <w:hideMark/>
          </w:tcPr>
          <w:p w14:paraId="52FAFD51"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Secure SaaS Configuration Policy </w:t>
            </w:r>
          </w:p>
        </w:tc>
        <w:tc>
          <w:tcPr>
            <w:tcW w:w="3465" w:type="dxa"/>
            <w:tcBorders>
              <w:top w:val="single" w:sz="6" w:space="0" w:color="auto"/>
              <w:left w:val="single" w:sz="6" w:space="0" w:color="auto"/>
              <w:bottom w:val="single" w:sz="6" w:space="0" w:color="auto"/>
              <w:right w:val="single" w:sz="6" w:space="0" w:color="auto"/>
            </w:tcBorders>
            <w:hideMark/>
          </w:tcPr>
          <w:p w14:paraId="01D4E37F"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Prevent misconfiguration of cloud applications </w:t>
            </w:r>
          </w:p>
        </w:tc>
        <w:tc>
          <w:tcPr>
            <w:tcW w:w="4815" w:type="dxa"/>
            <w:tcBorders>
              <w:top w:val="single" w:sz="6" w:space="0" w:color="auto"/>
              <w:left w:val="single" w:sz="6" w:space="0" w:color="auto"/>
              <w:bottom w:val="single" w:sz="6" w:space="0" w:color="auto"/>
              <w:right w:val="single" w:sz="6" w:space="0" w:color="auto"/>
            </w:tcBorders>
            <w:hideMark/>
          </w:tcPr>
          <w:p w14:paraId="5F28352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SSO authentication, MFA, CASB monitoring, API logging </w:t>
            </w:r>
          </w:p>
        </w:tc>
      </w:tr>
      <w:tr w:rsidR="004327D6" w:rsidRPr="004327D6" w14:paraId="508D2D6B" w14:textId="77777777">
        <w:tc>
          <w:tcPr>
            <w:tcW w:w="2490" w:type="dxa"/>
            <w:tcBorders>
              <w:top w:val="single" w:sz="6" w:space="0" w:color="auto"/>
              <w:left w:val="single" w:sz="6" w:space="0" w:color="auto"/>
              <w:bottom w:val="single" w:sz="6" w:space="0" w:color="auto"/>
              <w:right w:val="single" w:sz="6" w:space="0" w:color="auto"/>
            </w:tcBorders>
            <w:hideMark/>
          </w:tcPr>
          <w:p w14:paraId="333F5A6E"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BYOD Policy </w:t>
            </w:r>
          </w:p>
        </w:tc>
        <w:tc>
          <w:tcPr>
            <w:tcW w:w="3465" w:type="dxa"/>
            <w:tcBorders>
              <w:top w:val="single" w:sz="6" w:space="0" w:color="auto"/>
              <w:left w:val="single" w:sz="6" w:space="0" w:color="auto"/>
              <w:bottom w:val="single" w:sz="6" w:space="0" w:color="auto"/>
              <w:right w:val="single" w:sz="6" w:space="0" w:color="auto"/>
            </w:tcBorders>
            <w:hideMark/>
          </w:tcPr>
          <w:p w14:paraId="207CFFDC"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Secure employee-owned devices in hybrid work </w:t>
            </w:r>
          </w:p>
        </w:tc>
        <w:tc>
          <w:tcPr>
            <w:tcW w:w="4815" w:type="dxa"/>
            <w:tcBorders>
              <w:top w:val="single" w:sz="6" w:space="0" w:color="auto"/>
              <w:left w:val="single" w:sz="6" w:space="0" w:color="auto"/>
              <w:bottom w:val="single" w:sz="6" w:space="0" w:color="auto"/>
              <w:right w:val="single" w:sz="6" w:space="0" w:color="auto"/>
            </w:tcBorders>
            <w:hideMark/>
          </w:tcPr>
          <w:p w14:paraId="767062DA"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Device registration, MDM enforcement, encryption, remote wipe </w:t>
            </w:r>
          </w:p>
        </w:tc>
      </w:tr>
    </w:tbl>
    <w:p w14:paraId="5314552F"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4E14DAD1"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111B6F9A"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4.1 AI Usage Policy</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64951B18"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An AI usage policy is necessary to protect machine learning systems and training data. AI models are vulnerable to attacks such as data poisoning, where malicious inputs manipulate training datasets, and model theft, where attackers attempt to replicate proprietary algorithms. The policy should therefore require that only approved and anonymised datasets are used for AI training, and that data integrity validation mechanisms verify dataset authenticity. Access to AI models should be restricted using role-based access control, while monitoring systems should analyses model outputs to detect abnormal behaviors that could indicate manipulation or exploitation. The policy must also prohibit the use of sensitive patient data in external AI tools that are not controlled by the organization.</w:t>
      </w:r>
      <w:r w:rsidRPr="004327D6">
        <w:rPr>
          <w:rFonts w:ascii="Aptos Display" w:eastAsia="Times New Roman" w:hAnsi="Aptos Display" w:cs="Times New Roman"/>
          <w:lang w:val="en-GB" w:eastAsia="en-GB"/>
        </w:rPr>
        <w:t> </w:t>
      </w:r>
    </w:p>
    <w:p w14:paraId="473D51BE"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1675C0B1" w14:textId="2FC871F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drawing>
          <wp:inline distT="0" distB="0" distL="0" distR="0" wp14:anchorId="44C0A1F6" wp14:editId="1664B034">
            <wp:extent cx="3200400" cy="2877820"/>
            <wp:effectExtent l="0" t="0" r="0" b="0"/>
            <wp:docPr id="20589221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00400" cy="2877820"/>
                    </a:xfrm>
                    <a:prstGeom prst="rect">
                      <a:avLst/>
                    </a:prstGeom>
                    <a:noFill/>
                    <a:ln>
                      <a:noFill/>
                    </a:ln>
                  </pic:spPr>
                </pic:pic>
              </a:graphicData>
            </a:graphic>
          </wp:inline>
        </w:drawing>
      </w:r>
      <w:r w:rsidRPr="004327D6">
        <w:rPr>
          <w:rFonts w:ascii="Aptos Display" w:eastAsia="Times New Roman" w:hAnsi="Aptos Display" w:cs="Times New Roman"/>
          <w:lang w:val="en-GB" w:eastAsia="en-GB"/>
        </w:rPr>
        <w:t> </w:t>
      </w:r>
    </w:p>
    <w:p w14:paraId="3E6DF18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1AD7E731"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67CD1525"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4.2 Secure SaaS Configuration Policy</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41B11E2F"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Because Medi Trust relies on multiple SaaS platforms for collaboration and development, a secure SaaS configuration policy is also essential. Misconfigured cloud applications can expose sensitive information to unauthorised users. The policy should therefore require single sign-on authentication with phishing-resistant multi-factor authentication, enforce least-privilege access for SaaS applications and enable detailed logging of user activity and API access. Security tools such as Cloud Access Security Brokers and SaaS Security Posture Management platforms should monitor configurations and detect potential vulnerabilities. Regular security reviews should also be conducted to ensure compliance with internal security standards.</w:t>
      </w:r>
      <w:r w:rsidRPr="004327D6">
        <w:rPr>
          <w:rFonts w:ascii="Aptos Display" w:eastAsia="Times New Roman" w:hAnsi="Aptos Display" w:cs="Times New Roman"/>
          <w:lang w:val="en-GB" w:eastAsia="en-GB"/>
        </w:rPr>
        <w:t> </w:t>
      </w:r>
    </w:p>
    <w:p w14:paraId="42DFC093" w14:textId="150E9E7D"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drawing>
          <wp:inline distT="0" distB="0" distL="0" distR="0" wp14:anchorId="2D123183" wp14:editId="2DA7AFC3">
            <wp:extent cx="3200400" cy="2277110"/>
            <wp:effectExtent l="0" t="0" r="0" b="8890"/>
            <wp:docPr id="16726941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00400" cy="2277110"/>
                    </a:xfrm>
                    <a:prstGeom prst="rect">
                      <a:avLst/>
                    </a:prstGeom>
                    <a:noFill/>
                    <a:ln>
                      <a:noFill/>
                    </a:ln>
                  </pic:spPr>
                </pic:pic>
              </a:graphicData>
            </a:graphic>
          </wp:inline>
        </w:drawing>
      </w:r>
      <w:r w:rsidRPr="004327D6">
        <w:rPr>
          <w:rFonts w:ascii="Aptos Display" w:eastAsia="Times New Roman" w:hAnsi="Aptos Display" w:cs="Times New Roman"/>
          <w:lang w:val="en-GB" w:eastAsia="en-GB"/>
        </w:rPr>
        <w:t> </w:t>
      </w:r>
    </w:p>
    <w:p w14:paraId="1CEB9687"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14FA8BB1"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4.3 BYOD Policy for Hybrid Workforce</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6ACDC63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Hybrid working environments introduce additional security risks through employee-owned devices and remote access. A Bring-Your-Own-Device policy should therefore establish clear security requirements for personal devices used to access organisational systems. Devices must be registered and verified through compliance checks, while mobile device management systems enforce encryption and remote wipe capabilities. Local storage of patient data should be prohibited to prevent data leakage. Secure network access should be provided through Zero-Trust Network Access technologies rather than traditional VPNs, and endpoint detection tools should monitor all devices for malicious activity.</w:t>
      </w:r>
      <w:r w:rsidRPr="004327D6">
        <w:rPr>
          <w:rFonts w:ascii="Aptos Display" w:eastAsia="Times New Roman" w:hAnsi="Aptos Display" w:cs="Times New Roman"/>
          <w:lang w:val="en-GB" w:eastAsia="en-GB"/>
        </w:rPr>
        <w:t> </w:t>
      </w:r>
    </w:p>
    <w:p w14:paraId="733904D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Together, these policies ensure that organisational behaviors and technical controls align with regulatory requirements and Zero-Trust security principles.</w:t>
      </w:r>
      <w:r w:rsidRPr="004327D6">
        <w:rPr>
          <w:rFonts w:ascii="Aptos Display" w:eastAsia="Times New Roman" w:hAnsi="Aptos Display" w:cs="Times New Roman"/>
          <w:lang w:val="en-GB" w:eastAsia="en-GB"/>
        </w:rPr>
        <w:t> </w:t>
      </w:r>
    </w:p>
    <w:p w14:paraId="6D7A969F"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12F143BB"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5. Governance and Strategy</w:t>
      </w:r>
      <w:r w:rsidRPr="004327D6">
        <w:rPr>
          <w:rFonts w:ascii="Arial" w:eastAsia="Times New Roman" w:hAnsi="Arial" w:cs="Arial"/>
          <w:b/>
          <w:bCs/>
          <w:color w:val="0070C0"/>
          <w:lang w:eastAsia="en-GB"/>
        </w:rPr>
        <w:t> </w:t>
      </w:r>
      <w:r w:rsidRPr="004327D6">
        <w:rPr>
          <w:rFonts w:ascii="Aptos Display" w:eastAsia="Times New Roman" w:hAnsi="Aptos Display" w:cs="Aptos Display"/>
          <w:b/>
          <w:bCs/>
          <w:color w:val="0070C0"/>
          <w:lang w:eastAsia="en-GB"/>
        </w:rPr>
        <w:t>“</w:t>
      </w:r>
      <w:r w:rsidRPr="004327D6">
        <w:rPr>
          <w:rFonts w:ascii="Aptos Display" w:eastAsia="Times New Roman" w:hAnsi="Aptos Display" w:cs="Times New Roman"/>
          <w:b/>
          <w:bCs/>
          <w:color w:val="0070C0"/>
          <w:lang w:eastAsia="en-GB"/>
        </w:rPr>
        <w:t>NIST CSF 2.0 Aligned</w:t>
      </w:r>
      <w:r w:rsidRPr="004327D6">
        <w:rPr>
          <w:rFonts w:ascii="Aptos Display" w:eastAsia="Times New Roman" w:hAnsi="Aptos Display" w:cs="Aptos Display"/>
          <w:b/>
          <w:bCs/>
          <w:color w:val="0070C0"/>
          <w:lang w:eastAsia="en-GB"/>
        </w:rPr>
        <w:t>”</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4CC01B0C"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val="en-GB" w:eastAsia="en-GB"/>
        </w:rPr>
        <w:t>NIST Cybersecurity Framework 2.0 Alignment</w:t>
      </w:r>
      <w:r w:rsidRPr="004327D6">
        <w:rPr>
          <w:rFonts w:ascii="Aptos Display" w:eastAsia="Times New Roman" w:hAnsi="Aptos Display" w:cs="Times New Roman"/>
          <w:color w:val="0070C0"/>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15"/>
        <w:gridCol w:w="6555"/>
      </w:tblGrid>
      <w:tr w:rsidR="004327D6" w:rsidRPr="004327D6" w14:paraId="299F1272" w14:textId="77777777">
        <w:tc>
          <w:tcPr>
            <w:tcW w:w="1815" w:type="dxa"/>
            <w:tcBorders>
              <w:top w:val="single" w:sz="6" w:space="0" w:color="auto"/>
              <w:left w:val="single" w:sz="6" w:space="0" w:color="auto"/>
              <w:bottom w:val="single" w:sz="6" w:space="0" w:color="auto"/>
              <w:right w:val="single" w:sz="6" w:space="0" w:color="auto"/>
            </w:tcBorders>
            <w:hideMark/>
          </w:tcPr>
          <w:p w14:paraId="00DA8B75"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NIST CSF Function </w:t>
            </w:r>
          </w:p>
        </w:tc>
        <w:tc>
          <w:tcPr>
            <w:tcW w:w="6555" w:type="dxa"/>
            <w:tcBorders>
              <w:top w:val="single" w:sz="6" w:space="0" w:color="auto"/>
              <w:left w:val="single" w:sz="6" w:space="0" w:color="auto"/>
              <w:bottom w:val="single" w:sz="6" w:space="0" w:color="auto"/>
              <w:right w:val="single" w:sz="6" w:space="0" w:color="auto"/>
            </w:tcBorders>
            <w:hideMark/>
          </w:tcPr>
          <w:p w14:paraId="5B24B0CA"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Medi Trust Implementation </w:t>
            </w:r>
          </w:p>
        </w:tc>
      </w:tr>
      <w:tr w:rsidR="004327D6" w:rsidRPr="004327D6" w14:paraId="180ED1B5" w14:textId="77777777">
        <w:tc>
          <w:tcPr>
            <w:tcW w:w="1815" w:type="dxa"/>
            <w:tcBorders>
              <w:top w:val="single" w:sz="6" w:space="0" w:color="auto"/>
              <w:left w:val="single" w:sz="6" w:space="0" w:color="auto"/>
              <w:bottom w:val="single" w:sz="6" w:space="0" w:color="auto"/>
              <w:right w:val="single" w:sz="6" w:space="0" w:color="auto"/>
            </w:tcBorders>
            <w:hideMark/>
          </w:tcPr>
          <w:p w14:paraId="56937548"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Govern </w:t>
            </w:r>
          </w:p>
        </w:tc>
        <w:tc>
          <w:tcPr>
            <w:tcW w:w="6555" w:type="dxa"/>
            <w:tcBorders>
              <w:top w:val="single" w:sz="6" w:space="0" w:color="auto"/>
              <w:left w:val="single" w:sz="6" w:space="0" w:color="auto"/>
              <w:bottom w:val="single" w:sz="6" w:space="0" w:color="auto"/>
              <w:right w:val="single" w:sz="6" w:space="0" w:color="auto"/>
            </w:tcBorders>
            <w:hideMark/>
          </w:tcPr>
          <w:p w14:paraId="72072B23"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Security leadership structure, policies, risk management strategy </w:t>
            </w:r>
          </w:p>
        </w:tc>
      </w:tr>
      <w:tr w:rsidR="004327D6" w:rsidRPr="004327D6" w14:paraId="3EF11824" w14:textId="77777777">
        <w:tc>
          <w:tcPr>
            <w:tcW w:w="1815" w:type="dxa"/>
            <w:tcBorders>
              <w:top w:val="single" w:sz="6" w:space="0" w:color="auto"/>
              <w:left w:val="single" w:sz="6" w:space="0" w:color="auto"/>
              <w:bottom w:val="single" w:sz="6" w:space="0" w:color="auto"/>
              <w:right w:val="single" w:sz="6" w:space="0" w:color="auto"/>
            </w:tcBorders>
            <w:hideMark/>
          </w:tcPr>
          <w:p w14:paraId="0B8FC72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Identify </w:t>
            </w:r>
          </w:p>
        </w:tc>
        <w:tc>
          <w:tcPr>
            <w:tcW w:w="6555" w:type="dxa"/>
            <w:tcBorders>
              <w:top w:val="single" w:sz="6" w:space="0" w:color="auto"/>
              <w:left w:val="single" w:sz="6" w:space="0" w:color="auto"/>
              <w:bottom w:val="single" w:sz="6" w:space="0" w:color="auto"/>
              <w:right w:val="single" w:sz="6" w:space="0" w:color="auto"/>
            </w:tcBorders>
            <w:hideMark/>
          </w:tcPr>
          <w:p w14:paraId="25D6DD36"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Asset inventory of AI systems, cloud workloads and IoT data </w:t>
            </w:r>
          </w:p>
        </w:tc>
      </w:tr>
      <w:tr w:rsidR="004327D6" w:rsidRPr="004327D6" w14:paraId="4A764B05" w14:textId="77777777">
        <w:tc>
          <w:tcPr>
            <w:tcW w:w="1815" w:type="dxa"/>
            <w:tcBorders>
              <w:top w:val="single" w:sz="6" w:space="0" w:color="auto"/>
              <w:left w:val="single" w:sz="6" w:space="0" w:color="auto"/>
              <w:bottom w:val="single" w:sz="6" w:space="0" w:color="auto"/>
              <w:right w:val="single" w:sz="6" w:space="0" w:color="auto"/>
            </w:tcBorders>
            <w:hideMark/>
          </w:tcPr>
          <w:p w14:paraId="4237E768"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Protect </w:t>
            </w:r>
          </w:p>
        </w:tc>
        <w:tc>
          <w:tcPr>
            <w:tcW w:w="6555" w:type="dxa"/>
            <w:tcBorders>
              <w:top w:val="single" w:sz="6" w:space="0" w:color="auto"/>
              <w:left w:val="single" w:sz="6" w:space="0" w:color="auto"/>
              <w:bottom w:val="single" w:sz="6" w:space="0" w:color="auto"/>
              <w:right w:val="single" w:sz="6" w:space="0" w:color="auto"/>
            </w:tcBorders>
            <w:hideMark/>
          </w:tcPr>
          <w:p w14:paraId="75B561CF"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Zero-Trust access, encryption, secure CI/CD pipelines </w:t>
            </w:r>
          </w:p>
        </w:tc>
      </w:tr>
      <w:tr w:rsidR="004327D6" w:rsidRPr="004327D6" w14:paraId="1516DAB7" w14:textId="77777777">
        <w:tc>
          <w:tcPr>
            <w:tcW w:w="1815" w:type="dxa"/>
            <w:tcBorders>
              <w:top w:val="single" w:sz="6" w:space="0" w:color="auto"/>
              <w:left w:val="single" w:sz="6" w:space="0" w:color="auto"/>
              <w:bottom w:val="single" w:sz="6" w:space="0" w:color="auto"/>
              <w:right w:val="single" w:sz="6" w:space="0" w:color="auto"/>
            </w:tcBorders>
            <w:hideMark/>
          </w:tcPr>
          <w:p w14:paraId="3728CC5E"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Detect </w:t>
            </w:r>
          </w:p>
        </w:tc>
        <w:tc>
          <w:tcPr>
            <w:tcW w:w="6555" w:type="dxa"/>
            <w:tcBorders>
              <w:top w:val="single" w:sz="6" w:space="0" w:color="auto"/>
              <w:left w:val="single" w:sz="6" w:space="0" w:color="auto"/>
              <w:bottom w:val="single" w:sz="6" w:space="0" w:color="auto"/>
              <w:right w:val="single" w:sz="6" w:space="0" w:color="auto"/>
            </w:tcBorders>
            <w:hideMark/>
          </w:tcPr>
          <w:p w14:paraId="33350BEA"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SIEM monitoring, behavioural analytics and cloud logging </w:t>
            </w:r>
          </w:p>
        </w:tc>
      </w:tr>
      <w:tr w:rsidR="004327D6" w:rsidRPr="004327D6" w14:paraId="75F50BE0" w14:textId="77777777">
        <w:tc>
          <w:tcPr>
            <w:tcW w:w="1815" w:type="dxa"/>
            <w:tcBorders>
              <w:top w:val="single" w:sz="6" w:space="0" w:color="auto"/>
              <w:left w:val="single" w:sz="6" w:space="0" w:color="auto"/>
              <w:bottom w:val="single" w:sz="6" w:space="0" w:color="auto"/>
              <w:right w:val="single" w:sz="6" w:space="0" w:color="auto"/>
            </w:tcBorders>
            <w:hideMark/>
          </w:tcPr>
          <w:p w14:paraId="28D155A1"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Respond </w:t>
            </w:r>
          </w:p>
        </w:tc>
        <w:tc>
          <w:tcPr>
            <w:tcW w:w="6555" w:type="dxa"/>
            <w:tcBorders>
              <w:top w:val="single" w:sz="6" w:space="0" w:color="auto"/>
              <w:left w:val="single" w:sz="6" w:space="0" w:color="auto"/>
              <w:bottom w:val="single" w:sz="6" w:space="0" w:color="auto"/>
              <w:right w:val="single" w:sz="6" w:space="0" w:color="auto"/>
            </w:tcBorders>
            <w:hideMark/>
          </w:tcPr>
          <w:p w14:paraId="01CECF58"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Incident response plans aligned with NIS2 and DORA </w:t>
            </w:r>
          </w:p>
        </w:tc>
      </w:tr>
      <w:tr w:rsidR="004327D6" w:rsidRPr="004327D6" w14:paraId="27E00789" w14:textId="77777777">
        <w:tc>
          <w:tcPr>
            <w:tcW w:w="1815" w:type="dxa"/>
            <w:tcBorders>
              <w:top w:val="single" w:sz="6" w:space="0" w:color="auto"/>
              <w:left w:val="single" w:sz="6" w:space="0" w:color="auto"/>
              <w:bottom w:val="single" w:sz="6" w:space="0" w:color="auto"/>
              <w:right w:val="single" w:sz="6" w:space="0" w:color="auto"/>
            </w:tcBorders>
            <w:hideMark/>
          </w:tcPr>
          <w:p w14:paraId="54D59752"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Recover </w:t>
            </w:r>
          </w:p>
        </w:tc>
        <w:tc>
          <w:tcPr>
            <w:tcW w:w="6555" w:type="dxa"/>
            <w:tcBorders>
              <w:top w:val="single" w:sz="6" w:space="0" w:color="auto"/>
              <w:left w:val="single" w:sz="6" w:space="0" w:color="auto"/>
              <w:bottom w:val="single" w:sz="6" w:space="0" w:color="auto"/>
              <w:right w:val="single" w:sz="6" w:space="0" w:color="auto"/>
            </w:tcBorders>
            <w:hideMark/>
          </w:tcPr>
          <w:p w14:paraId="211B1ACE"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Backup restoration, disaster recovery procedures and resilience testing </w:t>
            </w:r>
          </w:p>
        </w:tc>
      </w:tr>
    </w:tbl>
    <w:p w14:paraId="588DDD2C"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556AC8FC"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Medi Trust’s cybersecurity strategy should align with the NIST Cybersecurity Framework 2.0, which provides a structured model for managing cybersecurity risk. The framework includes several core functions that guide governance, protection, and incident management activities [6].</w:t>
      </w:r>
      <w:r w:rsidRPr="004327D6">
        <w:rPr>
          <w:rFonts w:ascii="Aptos Display" w:eastAsia="Times New Roman" w:hAnsi="Aptos Display" w:cs="Times New Roman"/>
          <w:lang w:val="en-GB" w:eastAsia="en-GB"/>
        </w:rPr>
        <w:t> </w:t>
      </w:r>
    </w:p>
    <w:p w14:paraId="7CAD49E1"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5.1 Govern</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1EF830E1"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The governance function defines security roles, responsibilities, organisational policies. Cybersecurity objectives must be aligned with broader business goals such as protecting patient trust, maintaining service availability, and supporting expansion into European markets. Risk tolerance levels should also be defined to guide investment in security controls [6].</w:t>
      </w:r>
      <w:r w:rsidRPr="004327D6">
        <w:rPr>
          <w:rFonts w:ascii="Aptos Display" w:eastAsia="Times New Roman" w:hAnsi="Aptos Display" w:cs="Times New Roman"/>
          <w:lang w:val="en-GB" w:eastAsia="en-GB"/>
        </w:rPr>
        <w:t> </w:t>
      </w:r>
    </w:p>
    <w:p w14:paraId="3277F032"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5.2 Identify</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3E467A71"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The identification function involves maintaining accurate inventories of organisational assets, including AI models, cloud workloads, medical data sources, and IoT monitoring systems. Risk assessments and data classification processes help identify which assets require the highest level of protection [7].</w:t>
      </w:r>
      <w:r w:rsidRPr="004327D6">
        <w:rPr>
          <w:rFonts w:ascii="Aptos Display" w:eastAsia="Times New Roman" w:hAnsi="Aptos Display" w:cs="Times New Roman"/>
          <w:lang w:val="en-GB" w:eastAsia="en-GB"/>
        </w:rPr>
        <w:t> </w:t>
      </w:r>
    </w:p>
    <w:p w14:paraId="30D41772"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5.3 Protect</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53943473"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Protection mechanisms include Zero-Trust identity management, encryption of sensitive data during storage and transmission, and the implementation of secure CI/CD pipelines. Detection capabilities rely on centralised [8]. monitoring systems that analyze logs and identify abnormal behaviors. Incident response procedures must define how security teams investigate and contain attacks while meeting regulatory reporting timelines. Finally, recovery strategies ensure that critical services can be restored quickly following disruptions [9].</w:t>
      </w:r>
      <w:r w:rsidRPr="004327D6">
        <w:rPr>
          <w:rFonts w:ascii="Aptos Display" w:eastAsia="Times New Roman" w:hAnsi="Aptos Display" w:cs="Times New Roman"/>
          <w:lang w:val="en-GB" w:eastAsia="en-GB"/>
        </w:rPr>
        <w:t> </w:t>
      </w:r>
    </w:p>
    <w:p w14:paraId="77ACF6EA"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By aligning security governance with the NIST framework, Medi Trust can ensure that cybersecurity processes support regulatory compliance and long-term business growth.</w:t>
      </w:r>
      <w:r w:rsidRPr="004327D6">
        <w:rPr>
          <w:rFonts w:ascii="Aptos Display" w:eastAsia="Times New Roman" w:hAnsi="Aptos Display" w:cs="Times New Roman"/>
          <w:lang w:val="en-GB" w:eastAsia="en-GB"/>
        </w:rPr>
        <w:t> </w:t>
      </w:r>
    </w:p>
    <w:p w14:paraId="418978BA"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5.4 Detect</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51E94C04"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The Detec</w:t>
      </w:r>
      <w:r w:rsidRPr="004327D6">
        <w:rPr>
          <w:rFonts w:ascii="Aptos Display" w:eastAsia="Times New Roman" w:hAnsi="Aptos Display" w:cs="Times New Roman"/>
          <w:b/>
          <w:bCs/>
          <w:lang w:eastAsia="en-GB"/>
        </w:rPr>
        <w:t>t</w:t>
      </w:r>
      <w:r w:rsidRPr="004327D6">
        <w:rPr>
          <w:rFonts w:ascii="Aptos Display" w:eastAsia="Times New Roman" w:hAnsi="Aptos Display" w:cs="Times New Roman"/>
          <w:lang w:eastAsia="en-GB"/>
        </w:rPr>
        <w:t> function focuses on identifying cybersecurity incidents as early as possible so that they can be contained before causing significant damage. For Medi Trust, this will involve deploying a Security Information</w:t>
      </w:r>
      <w:r w:rsidRPr="004327D6">
        <w:rPr>
          <w:rFonts w:ascii="Aptos Display" w:eastAsia="Times New Roman" w:hAnsi="Aptos Display" w:cs="Times New Roman"/>
          <w:b/>
          <w:bCs/>
          <w:lang w:eastAsia="en-GB"/>
        </w:rPr>
        <w:t> </w:t>
      </w:r>
      <w:r w:rsidRPr="004327D6">
        <w:rPr>
          <w:rFonts w:ascii="Aptos Display" w:eastAsia="Times New Roman" w:hAnsi="Aptos Display" w:cs="Times New Roman"/>
          <w:lang w:eastAsia="en-GB"/>
        </w:rPr>
        <w:t>and</w:t>
      </w:r>
      <w:r w:rsidRPr="004327D6">
        <w:rPr>
          <w:rFonts w:ascii="Aptos Display" w:eastAsia="Times New Roman" w:hAnsi="Aptos Display" w:cs="Times New Roman"/>
          <w:b/>
          <w:bCs/>
          <w:lang w:eastAsia="en-GB"/>
        </w:rPr>
        <w:t> </w:t>
      </w:r>
      <w:r w:rsidRPr="004327D6">
        <w:rPr>
          <w:rFonts w:ascii="Aptos Display" w:eastAsia="Times New Roman" w:hAnsi="Aptos Display" w:cs="Times New Roman"/>
          <w:lang w:eastAsia="en-GB"/>
        </w:rPr>
        <w:t>Event Management (SIEM) system integrated with behavioural analytics. A SIEM platform collects and centralises security logs from multiple sources such as cloud platforms, servers, applications, network devices, and endpoint security tools. By analysing this data in real time, the SIEM system can identify suspicious patterns that may indicate a cyber-attack, such as unusual login attempts, abnormal file access, or unexpected system behavior. Behavioral analytics strengthens detection by learning normal user and system behavior over time and then alerting security teams when activity deviates from this baseline.</w:t>
      </w:r>
      <w:r w:rsidRPr="004327D6">
        <w:rPr>
          <w:rFonts w:ascii="Aptos Display" w:eastAsia="Times New Roman" w:hAnsi="Aptos Display" w:cs="Times New Roman"/>
          <w:lang w:val="en-GB" w:eastAsia="en-GB"/>
        </w:rPr>
        <w:t> </w:t>
      </w:r>
    </w:p>
    <w:p w14:paraId="7E16042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In addition, Medi Trust must continuously monitor cloud logs and AI model access because sensitive healthcare data and machine learning models are stored and processed within cloud environments. Cloud monitoring tools can track actions such as user authentication attempts, configuration changes, data transfers, and API requests. Any unusual activity, such as access from unfamiliar locations, excessive data downloads or unauthorised modifications to AI training datasets, should trigger alerts for investigation. Monitoring access to AI models is particularly important because attackers may attempt to steal or manipulate proprietary algorithms. By combining SIEM monitoring, behavioural analytics and detailed cloud logging, Medi Trust can detect threats quickly and respond before they disrupt healthcare services or compromise patient data [10].</w:t>
      </w:r>
      <w:r w:rsidRPr="004327D6">
        <w:rPr>
          <w:rFonts w:ascii="Aptos Display" w:eastAsia="Times New Roman" w:hAnsi="Aptos Display" w:cs="Times New Roman"/>
          <w:lang w:val="en-GB" w:eastAsia="en-GB"/>
        </w:rPr>
        <w:t> </w:t>
      </w:r>
    </w:p>
    <w:p w14:paraId="2DA93530"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5.5 Respond</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4F6A4C2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The Respond function focuses on taking quick and organised action when a cybersecurity incident is detected. Medi Trust must create a clear incident response plan that defines how security teams identify, contain, and manage cyber incidents. The plan should include defined roles and responsibilities, communication procedures and steps for investigating and resolving security events. </w:t>
      </w:r>
    </w:p>
    <w:p w14:paraId="3BF751B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The response process must also align with NIS2 and DORA reporting requirements. Under NIS2, organisations must send an initial incident notification within 24 hours, followed by a detailed report within 72 hours and a final</w:t>
      </w:r>
      <w:r w:rsidRPr="004327D6">
        <w:rPr>
          <w:rFonts w:ascii="Aptos Display" w:eastAsia="Times New Roman" w:hAnsi="Aptos Display" w:cs="Times New Roman"/>
          <w:b/>
          <w:bCs/>
          <w:lang w:val="en-GB" w:eastAsia="en-GB"/>
        </w:rPr>
        <w:t> </w:t>
      </w:r>
      <w:r w:rsidRPr="004327D6">
        <w:rPr>
          <w:rFonts w:ascii="Aptos Display" w:eastAsia="Times New Roman" w:hAnsi="Aptos Display" w:cs="Times New Roman"/>
          <w:lang w:val="en-GB" w:eastAsia="en-GB"/>
        </w:rPr>
        <w:t>report within one month. DORA also requires organisations to report significant ICT-related incidents to regulators and maintain records of disruptions affecting services. </w:t>
      </w:r>
    </w:p>
    <w:p w14:paraId="1A0707D7"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To support these timelines, Medi Trust should use automated security tools such as SIEM and incident management systems to quickly classify incidents, trigger alerts, guide response actions. This ensures that attacks are contained rapidly, affected systems are secured and regulators are informed within the required time limits. </w:t>
      </w:r>
    </w:p>
    <w:p w14:paraId="1AC49095"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01EB76EE"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5.6 Recover</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413E30EC"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 By aligning security governance with the NIST framework, Medi Trust can ensure that cybersecurity processes support regulatory compliance and long-term business growth [12].</w:t>
      </w:r>
      <w:r w:rsidRPr="004327D6">
        <w:rPr>
          <w:rFonts w:ascii="Aptos Display" w:eastAsia="Times New Roman" w:hAnsi="Aptos Display" w:cs="Times New Roman"/>
          <w:lang w:val="en-GB" w:eastAsia="en-GB"/>
        </w:rPr>
        <w:t> </w:t>
      </w:r>
    </w:p>
    <w:p w14:paraId="09E7AAE0"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6. Compliance with DORA and NIS2</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17931564"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Compliance with European regulatory frameworks requires structured operational resilience and incident reporting processes. DORA focuses on ensuring that financial and digital service providers can withstand ICT disruptions, while NIS2 emphasises cybersecurity resilience across critical sectors. Although Medi Trust operates within healthcare, its cloud-based analytics services and AI platforms must still demonstrate strong operational resilience. [13]</w:t>
      </w:r>
      <w:r w:rsidRPr="004327D6">
        <w:rPr>
          <w:rFonts w:ascii="Aptos Display" w:eastAsia="Times New Roman" w:hAnsi="Aptos Display" w:cs="Times New Roman"/>
          <w:lang w:val="en-GB" w:eastAsia="en-GB"/>
        </w:rPr>
        <w:t> </w:t>
      </w:r>
    </w:p>
    <w:p w14:paraId="00A851C8"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6.1 DORA Operational Resilience</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54561ED3"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To meet DORA requirements, Medi Trust must implement comprehensive ICT risk management frameworks, monitor third-party cloud providers, and conduct resilience testing such as threat-led penetration tests. Business continuity plans must ensure that healthcare analytics platforms remain available during cyber incidents or infrastructure failures. Centralised incident reporting mechanisms must also be established to provide regulators with timely information about disruptions [14]</w:t>
      </w:r>
      <w:r w:rsidRPr="004327D6">
        <w:rPr>
          <w:rFonts w:ascii="Aptos Display" w:eastAsia="Times New Roman" w:hAnsi="Aptos Display" w:cs="Times New Roman"/>
          <w:lang w:val="en-GB" w:eastAsia="en-GB"/>
        </w:rPr>
        <w:t> </w:t>
      </w:r>
    </w:p>
    <w:p w14:paraId="06E97533"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4541DDB9" w14:textId="77777777" w:rsidR="004327D6" w:rsidRPr="004327D6" w:rsidRDefault="004327D6" w:rsidP="004327D6">
      <w:pPr>
        <w:rPr>
          <w:rFonts w:ascii="Aptos Display" w:eastAsia="Times New Roman" w:hAnsi="Aptos Display" w:cs="Times New Roman"/>
          <w:lang w:val="en-GB" w:eastAsia="en-GB"/>
        </w:rPr>
      </w:pPr>
      <w:r w:rsidRPr="004327D6">
        <w:rPr>
          <w:rFonts w:ascii="Arial" w:eastAsia="Times New Roman" w:hAnsi="Arial" w:cs="Arial"/>
          <w:lang w:val="en-GB" w:eastAsia="en-GB"/>
        </w:rPr>
        <w:t> </w:t>
      </w:r>
      <w:r w:rsidRPr="004327D6">
        <w:rPr>
          <w:rFonts w:ascii="Aptos Display" w:eastAsia="Times New Roman" w:hAnsi="Aptos Display" w:cs="Times New Roman"/>
          <w:lang w:val="en-GB" w:eastAsia="en-GB"/>
        </w:rPr>
        <w:t> </w:t>
      </w:r>
    </w:p>
    <w:p w14:paraId="0AE3E4E4"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val="en-GB" w:eastAsia="en-GB"/>
        </w:rPr>
        <w:t>6.2 NIS2 Incident Reporting</w:t>
      </w:r>
      <w:r w:rsidRPr="004327D6">
        <w:rPr>
          <w:rFonts w:ascii="Arial" w:eastAsia="Times New Roman" w:hAnsi="Arial" w:cs="Arial"/>
          <w:b/>
          <w:bCs/>
          <w:color w:val="0070C0"/>
          <w:lang w:val="en-GB" w:eastAsia="en-GB"/>
        </w:rPr>
        <w:t> </w:t>
      </w:r>
      <w:r w:rsidRPr="004327D6">
        <w:rPr>
          <w:rFonts w:ascii="Aptos Display" w:eastAsia="Times New Roman" w:hAnsi="Aptos Display" w:cs="Times New Roman"/>
          <w:color w:val="0070C0"/>
          <w:lang w:val="en-GB" w:eastAsia="en-GB"/>
        </w:rPr>
        <w:t> </w:t>
      </w:r>
    </w:p>
    <w:p w14:paraId="63D0BAC5"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NIS2 introduces strict reporting timelines that organisations must follow when reporting cybersecurity incidents. An initial notification must be submitted within 24 hours, followed by a detailed report within 72 hours and a final report within one month. To meet these requirements efficiently, Medi Trust should implement automated incident classification capabilities within its security monitoring systems so that regulatory reporting workflows are triggered automatically when incidents are detected [15].</w:t>
      </w:r>
      <w:r w:rsidRPr="004327D6">
        <w:rPr>
          <w:rFonts w:ascii="Aptos Display" w:eastAsia="Times New Roman" w:hAnsi="Aptos Display" w:cs="Times New Roman"/>
          <w:lang w:val="en-GB" w:eastAsia="en-GB"/>
        </w:rPr>
        <w:t> </w:t>
      </w:r>
    </w:p>
    <w:p w14:paraId="5999FD65"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7. Risk Management </w:t>
      </w:r>
      <w:r w:rsidRPr="004327D6">
        <w:rPr>
          <w:rFonts w:ascii="Aptos Display" w:eastAsia="Times New Roman" w:hAnsi="Aptos Display" w:cs="Times New Roman"/>
          <w:color w:val="0070C0"/>
          <w:lang w:val="en-GB" w:eastAsia="en-GB"/>
        </w:rPr>
        <w:t> </w:t>
      </w:r>
    </w:p>
    <w:p w14:paraId="039ADFC4"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Risk management processes must address vulnerabilities across the software supply chain and cloud infrastructure. AI systems depend heavily on open-source libraries and external datasets, which may introduce security risks if not properly monitored. Threat actors may attempt to poison training datasets, introduce malicious code through compromised libraries, and manipulate CI/CD pipelines to distribute infected software [16].</w:t>
      </w:r>
      <w:r w:rsidRPr="004327D6">
        <w:rPr>
          <w:rFonts w:ascii="Aptos Display" w:eastAsia="Times New Roman" w:hAnsi="Aptos Display" w:cs="Times New Roman"/>
          <w:lang w:val="en-GB" w:eastAsia="en-GB"/>
        </w:rPr>
        <w:t> </w:t>
      </w:r>
    </w:p>
    <w:p w14:paraId="67870E09"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7.1 Software Supply Chain Risks</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43325313"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Mitigation strategies include software composition analysis tools that detect vulnerable dependencies, code signing mechanisms that verify software integrity, secure build environments that prevent unauthorised modifications to source code. Continuous vulnerability scanning should also monitor software dependencies and alert developers to newly discovered vulnerabilities [17].</w:t>
      </w:r>
      <w:r w:rsidRPr="004327D6">
        <w:rPr>
          <w:rFonts w:ascii="Aptos Display" w:eastAsia="Times New Roman" w:hAnsi="Aptos Display" w:cs="Times New Roman"/>
          <w:lang w:val="en-GB" w:eastAsia="en-GB"/>
        </w:rPr>
        <w:t> </w:t>
      </w:r>
    </w:p>
    <w:p w14:paraId="7CA9D7A4" w14:textId="77777777" w:rsidR="004327D6" w:rsidRPr="004327D6" w:rsidRDefault="004327D6" w:rsidP="004327D6">
      <w:pPr>
        <w:rPr>
          <w:rFonts w:ascii="Aptos Display" w:eastAsia="Times New Roman" w:hAnsi="Aptos Display" w:cs="Times New Roman"/>
          <w:lang w:val="en-GB" w:eastAsia="en-GB"/>
        </w:rPr>
      </w:pPr>
      <w:r w:rsidRPr="004327D6">
        <w:rPr>
          <w:rFonts w:ascii="Arial" w:eastAsia="Times New Roman" w:hAnsi="Arial" w:cs="Arial"/>
          <w:lang w:val="en-GB" w:eastAsia="en-GB"/>
        </w:rPr>
        <w:t> </w:t>
      </w:r>
      <w:r w:rsidRPr="004327D6">
        <w:rPr>
          <w:rFonts w:ascii="Aptos Display" w:eastAsia="Times New Roman" w:hAnsi="Aptos Display" w:cs="Times New Roman"/>
          <w:lang w:val="en-GB" w:eastAsia="en-GB"/>
        </w:rPr>
        <w:t> </w:t>
      </w:r>
    </w:p>
    <w:p w14:paraId="1AC2A352"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7.2 Cloud Misconfiguration Risks</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38003444"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Cloud misconfiguration is another common risk in multi-cloud environments. Incorrect access permissions or exposed storage buckets can unintentionally reveal sensitive information. Cloud Security Posture Management tools should therefore monitor cloud infrastructure continuously and detect configuration errors. Identity and access management policies must enforce least privilege permissions for cloud resources to minimise exposure [18].</w:t>
      </w:r>
      <w:r w:rsidRPr="004327D6">
        <w:rPr>
          <w:rFonts w:ascii="Aptos Display" w:eastAsia="Times New Roman" w:hAnsi="Aptos Display" w:cs="Times New Roman"/>
          <w:lang w:val="en-GB" w:eastAsia="en-GB"/>
        </w:rPr>
        <w:t> </w:t>
      </w:r>
    </w:p>
    <w:p w14:paraId="7AE1E65F"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color w:val="0070C0"/>
          <w:lang w:val="en-GB" w:eastAsia="en-GB"/>
        </w:rPr>
        <w:t> </w:t>
      </w:r>
    </w:p>
    <w:p w14:paraId="474FCA44"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8. Protection Mechanisms </w:t>
      </w:r>
      <w:r w:rsidRPr="004327D6">
        <w:rPr>
          <w:rFonts w:ascii="Aptos Display" w:eastAsia="Times New Roman" w:hAnsi="Aptos Display" w:cs="Times New Roman"/>
          <w:color w:val="0070C0"/>
          <w:lang w:val="en-GB" w:eastAsia="en-GB"/>
        </w:rPr>
        <w:t> </w:t>
      </w:r>
    </w:p>
    <w:p w14:paraId="5B0F6100"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val="en-GB" w:eastAsia="en-GB"/>
        </w:rPr>
        <w:t>Cybersecurity Protection Technologies</w:t>
      </w:r>
      <w:r w:rsidRPr="004327D6">
        <w:rPr>
          <w:rFonts w:ascii="Aptos Display" w:eastAsia="Times New Roman" w:hAnsi="Aptos Display" w:cs="Times New Roman"/>
          <w:color w:val="0070C0"/>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00"/>
        <w:gridCol w:w="5460"/>
      </w:tblGrid>
      <w:tr w:rsidR="004327D6" w:rsidRPr="004327D6" w14:paraId="28EFB32A" w14:textId="77777777">
        <w:tc>
          <w:tcPr>
            <w:tcW w:w="2700" w:type="dxa"/>
            <w:tcBorders>
              <w:top w:val="single" w:sz="6" w:space="0" w:color="auto"/>
              <w:left w:val="single" w:sz="6" w:space="0" w:color="auto"/>
              <w:bottom w:val="single" w:sz="6" w:space="0" w:color="auto"/>
              <w:right w:val="single" w:sz="6" w:space="0" w:color="auto"/>
            </w:tcBorders>
            <w:hideMark/>
          </w:tcPr>
          <w:p w14:paraId="78093615"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Security Technology </w:t>
            </w:r>
          </w:p>
        </w:tc>
        <w:tc>
          <w:tcPr>
            <w:tcW w:w="5460" w:type="dxa"/>
            <w:tcBorders>
              <w:top w:val="single" w:sz="6" w:space="0" w:color="auto"/>
              <w:left w:val="single" w:sz="6" w:space="0" w:color="auto"/>
              <w:bottom w:val="single" w:sz="6" w:space="0" w:color="auto"/>
              <w:right w:val="single" w:sz="6" w:space="0" w:color="auto"/>
            </w:tcBorders>
            <w:hideMark/>
          </w:tcPr>
          <w:p w14:paraId="146CB1DA"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Function </w:t>
            </w:r>
          </w:p>
        </w:tc>
      </w:tr>
      <w:tr w:rsidR="004327D6" w:rsidRPr="004327D6" w14:paraId="398D4A3D" w14:textId="77777777">
        <w:tc>
          <w:tcPr>
            <w:tcW w:w="2700" w:type="dxa"/>
            <w:tcBorders>
              <w:top w:val="single" w:sz="6" w:space="0" w:color="auto"/>
              <w:left w:val="single" w:sz="6" w:space="0" w:color="auto"/>
              <w:bottom w:val="single" w:sz="6" w:space="0" w:color="auto"/>
              <w:right w:val="single" w:sz="6" w:space="0" w:color="auto"/>
            </w:tcBorders>
            <w:hideMark/>
          </w:tcPr>
          <w:p w14:paraId="0EB92A3A"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Multi-Factor Authentication </w:t>
            </w:r>
          </w:p>
        </w:tc>
        <w:tc>
          <w:tcPr>
            <w:tcW w:w="5460" w:type="dxa"/>
            <w:tcBorders>
              <w:top w:val="single" w:sz="6" w:space="0" w:color="auto"/>
              <w:left w:val="single" w:sz="6" w:space="0" w:color="auto"/>
              <w:bottom w:val="single" w:sz="6" w:space="0" w:color="auto"/>
              <w:right w:val="single" w:sz="6" w:space="0" w:color="auto"/>
            </w:tcBorders>
            <w:hideMark/>
          </w:tcPr>
          <w:p w14:paraId="7095AFFC"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Prevents credential theft attacks </w:t>
            </w:r>
          </w:p>
        </w:tc>
      </w:tr>
      <w:tr w:rsidR="004327D6" w:rsidRPr="004327D6" w14:paraId="3B2D9BA3" w14:textId="77777777">
        <w:tc>
          <w:tcPr>
            <w:tcW w:w="2700" w:type="dxa"/>
            <w:tcBorders>
              <w:top w:val="single" w:sz="6" w:space="0" w:color="auto"/>
              <w:left w:val="single" w:sz="6" w:space="0" w:color="auto"/>
              <w:bottom w:val="single" w:sz="6" w:space="0" w:color="auto"/>
              <w:right w:val="single" w:sz="6" w:space="0" w:color="auto"/>
            </w:tcBorders>
            <w:hideMark/>
          </w:tcPr>
          <w:p w14:paraId="7C65CB04"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Zero-Trust Network Access </w:t>
            </w:r>
          </w:p>
        </w:tc>
        <w:tc>
          <w:tcPr>
            <w:tcW w:w="5460" w:type="dxa"/>
            <w:tcBorders>
              <w:top w:val="single" w:sz="6" w:space="0" w:color="auto"/>
              <w:left w:val="single" w:sz="6" w:space="0" w:color="auto"/>
              <w:bottom w:val="single" w:sz="6" w:space="0" w:color="auto"/>
              <w:right w:val="single" w:sz="6" w:space="0" w:color="auto"/>
            </w:tcBorders>
            <w:hideMark/>
          </w:tcPr>
          <w:p w14:paraId="682A55E2"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Secures remote access without relying on VPN </w:t>
            </w:r>
          </w:p>
        </w:tc>
      </w:tr>
      <w:tr w:rsidR="004327D6" w:rsidRPr="004327D6" w14:paraId="6EEBC79B" w14:textId="77777777">
        <w:tc>
          <w:tcPr>
            <w:tcW w:w="2700" w:type="dxa"/>
            <w:tcBorders>
              <w:top w:val="single" w:sz="6" w:space="0" w:color="auto"/>
              <w:left w:val="single" w:sz="6" w:space="0" w:color="auto"/>
              <w:bottom w:val="single" w:sz="6" w:space="0" w:color="auto"/>
              <w:right w:val="single" w:sz="6" w:space="0" w:color="auto"/>
            </w:tcBorders>
            <w:hideMark/>
          </w:tcPr>
          <w:p w14:paraId="5FB8A291"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SIEM </w:t>
            </w:r>
          </w:p>
        </w:tc>
        <w:tc>
          <w:tcPr>
            <w:tcW w:w="5460" w:type="dxa"/>
            <w:tcBorders>
              <w:top w:val="single" w:sz="6" w:space="0" w:color="auto"/>
              <w:left w:val="single" w:sz="6" w:space="0" w:color="auto"/>
              <w:bottom w:val="single" w:sz="6" w:space="0" w:color="auto"/>
              <w:right w:val="single" w:sz="6" w:space="0" w:color="auto"/>
            </w:tcBorders>
            <w:hideMark/>
          </w:tcPr>
          <w:p w14:paraId="4941732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Collects and analyses logs to detect threats </w:t>
            </w:r>
          </w:p>
        </w:tc>
      </w:tr>
      <w:tr w:rsidR="004327D6" w:rsidRPr="004327D6" w14:paraId="4FADAD36" w14:textId="77777777">
        <w:tc>
          <w:tcPr>
            <w:tcW w:w="2700" w:type="dxa"/>
            <w:tcBorders>
              <w:top w:val="single" w:sz="6" w:space="0" w:color="auto"/>
              <w:left w:val="single" w:sz="6" w:space="0" w:color="auto"/>
              <w:bottom w:val="single" w:sz="6" w:space="0" w:color="auto"/>
              <w:right w:val="single" w:sz="6" w:space="0" w:color="auto"/>
            </w:tcBorders>
            <w:hideMark/>
          </w:tcPr>
          <w:p w14:paraId="66556BBC"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EDR </w:t>
            </w:r>
          </w:p>
        </w:tc>
        <w:tc>
          <w:tcPr>
            <w:tcW w:w="5460" w:type="dxa"/>
            <w:tcBorders>
              <w:top w:val="single" w:sz="6" w:space="0" w:color="auto"/>
              <w:left w:val="single" w:sz="6" w:space="0" w:color="auto"/>
              <w:bottom w:val="single" w:sz="6" w:space="0" w:color="auto"/>
              <w:right w:val="single" w:sz="6" w:space="0" w:color="auto"/>
            </w:tcBorders>
            <w:hideMark/>
          </w:tcPr>
          <w:p w14:paraId="7612F0D2"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Monitors endpoints for malicious activity </w:t>
            </w:r>
          </w:p>
        </w:tc>
      </w:tr>
      <w:tr w:rsidR="004327D6" w:rsidRPr="004327D6" w14:paraId="0462869F" w14:textId="77777777">
        <w:tc>
          <w:tcPr>
            <w:tcW w:w="2700" w:type="dxa"/>
            <w:tcBorders>
              <w:top w:val="single" w:sz="6" w:space="0" w:color="auto"/>
              <w:left w:val="single" w:sz="6" w:space="0" w:color="auto"/>
              <w:bottom w:val="single" w:sz="6" w:space="0" w:color="auto"/>
              <w:right w:val="single" w:sz="6" w:space="0" w:color="auto"/>
            </w:tcBorders>
            <w:hideMark/>
          </w:tcPr>
          <w:p w14:paraId="54DAD372"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SOAR </w:t>
            </w:r>
          </w:p>
        </w:tc>
        <w:tc>
          <w:tcPr>
            <w:tcW w:w="5460" w:type="dxa"/>
            <w:tcBorders>
              <w:top w:val="single" w:sz="6" w:space="0" w:color="auto"/>
              <w:left w:val="single" w:sz="6" w:space="0" w:color="auto"/>
              <w:bottom w:val="single" w:sz="6" w:space="0" w:color="auto"/>
              <w:right w:val="single" w:sz="6" w:space="0" w:color="auto"/>
            </w:tcBorders>
            <w:hideMark/>
          </w:tcPr>
          <w:p w14:paraId="69EEACA8"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Automates incident response actions </w:t>
            </w:r>
          </w:p>
        </w:tc>
      </w:tr>
      <w:tr w:rsidR="004327D6" w:rsidRPr="004327D6" w14:paraId="590CAC18" w14:textId="77777777">
        <w:tc>
          <w:tcPr>
            <w:tcW w:w="2700" w:type="dxa"/>
            <w:tcBorders>
              <w:top w:val="single" w:sz="6" w:space="0" w:color="auto"/>
              <w:left w:val="single" w:sz="6" w:space="0" w:color="auto"/>
              <w:bottom w:val="single" w:sz="6" w:space="0" w:color="auto"/>
              <w:right w:val="single" w:sz="6" w:space="0" w:color="auto"/>
            </w:tcBorders>
            <w:hideMark/>
          </w:tcPr>
          <w:p w14:paraId="52D33037"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CASB </w:t>
            </w:r>
          </w:p>
        </w:tc>
        <w:tc>
          <w:tcPr>
            <w:tcW w:w="5460" w:type="dxa"/>
            <w:tcBorders>
              <w:top w:val="single" w:sz="6" w:space="0" w:color="auto"/>
              <w:left w:val="single" w:sz="6" w:space="0" w:color="auto"/>
              <w:bottom w:val="single" w:sz="6" w:space="0" w:color="auto"/>
              <w:right w:val="single" w:sz="6" w:space="0" w:color="auto"/>
            </w:tcBorders>
            <w:hideMark/>
          </w:tcPr>
          <w:p w14:paraId="0AED9F8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Monitors and secures SaaS platform usage </w:t>
            </w:r>
          </w:p>
        </w:tc>
      </w:tr>
      <w:tr w:rsidR="004327D6" w:rsidRPr="004327D6" w14:paraId="5FAF87BF" w14:textId="77777777">
        <w:tc>
          <w:tcPr>
            <w:tcW w:w="2700" w:type="dxa"/>
            <w:tcBorders>
              <w:top w:val="single" w:sz="6" w:space="0" w:color="auto"/>
              <w:left w:val="single" w:sz="6" w:space="0" w:color="auto"/>
              <w:bottom w:val="single" w:sz="6" w:space="0" w:color="auto"/>
              <w:right w:val="single" w:sz="6" w:space="0" w:color="auto"/>
            </w:tcBorders>
            <w:hideMark/>
          </w:tcPr>
          <w:p w14:paraId="5632F035"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DLP </w:t>
            </w:r>
          </w:p>
        </w:tc>
        <w:tc>
          <w:tcPr>
            <w:tcW w:w="5460" w:type="dxa"/>
            <w:tcBorders>
              <w:top w:val="single" w:sz="6" w:space="0" w:color="auto"/>
              <w:left w:val="single" w:sz="6" w:space="0" w:color="auto"/>
              <w:bottom w:val="single" w:sz="6" w:space="0" w:color="auto"/>
              <w:right w:val="single" w:sz="6" w:space="0" w:color="auto"/>
            </w:tcBorders>
            <w:hideMark/>
          </w:tcPr>
          <w:p w14:paraId="7B35F2C6"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Prevents unauthorised sharing of sensitive healthcare data </w:t>
            </w:r>
          </w:p>
        </w:tc>
      </w:tr>
    </w:tbl>
    <w:p w14:paraId="6BF780ED"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1119FC7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2CF5FD6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To strengthen its cybersecurity posture, Medi Trust should implement a range of modern protection technologies that support Zero-Trust architecture. Phishing-resistant multi-factor authentication using hardware security keys can prevent credential-based attacks. Zero-Trust Network Access systems replace traditional VPN connections and verify device security posture before granting access to internal applications. </w:t>
      </w:r>
    </w:p>
    <w:p w14:paraId="7406178D"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Cloud Security Posture Management tools provide continuous monitoring of cloud configurations, while Security Information and Event Management platforms collect and analyse logs from multiple systems to detect suspicious behaviour. Automated response technologies such as Security Orchestration, Automation and Response platforms can isolate compromised systems and trigger remediation processes automatically. </w:t>
      </w:r>
    </w:p>
    <w:p w14:paraId="28C2679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Endpoint Detection and Response solutions should monitor all employee devices for malicious activity. Data Loss Prevention tools protect sensitive healthcare information from unauthorised sharing, while Cloud Access Security Brokers provide visibility into SaaS usage. Secrets management platforms should securely store API keys and credentials used by applications and cloud services. </w:t>
      </w:r>
    </w:p>
    <w:p w14:paraId="450D174C"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These technologies collectively reduce the organisation’s attack surface while enabling rapid detection and response to cyber threats [19]. </w:t>
      </w:r>
    </w:p>
    <w:p w14:paraId="224399B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166D2341"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rial" w:eastAsia="Times New Roman" w:hAnsi="Arial" w:cs="Arial"/>
          <w:color w:val="0070C0"/>
          <w:lang w:val="en-GB" w:eastAsia="en-GB"/>
        </w:rPr>
        <w:t> </w:t>
      </w:r>
      <w:r w:rsidRPr="004327D6">
        <w:rPr>
          <w:rFonts w:ascii="Aptos Display" w:eastAsia="Times New Roman" w:hAnsi="Aptos Display" w:cs="Times New Roman"/>
          <w:b/>
          <w:bCs/>
          <w:color w:val="0070C0"/>
          <w:lang w:val="en-GB" w:eastAsia="en-GB"/>
        </w:rPr>
        <w:t>9. Contingency Planning: Ransomware Scenario</w:t>
      </w:r>
      <w:r w:rsidRPr="004327D6">
        <w:rPr>
          <w:rFonts w:ascii="Arial" w:eastAsia="Times New Roman" w:hAnsi="Arial" w:cs="Arial"/>
          <w:b/>
          <w:bCs/>
          <w:color w:val="0070C0"/>
          <w:lang w:val="en-GB" w:eastAsia="en-GB"/>
        </w:rPr>
        <w:t> </w:t>
      </w:r>
      <w:r w:rsidRPr="004327D6">
        <w:rPr>
          <w:rFonts w:ascii="Aptos Display" w:eastAsia="Times New Roman" w:hAnsi="Aptos Display" w:cs="Times New Roman"/>
          <w:color w:val="0070C0"/>
          <w:lang w:val="en-GB" w:eastAsia="en-GB"/>
        </w:rPr>
        <w:t> </w:t>
      </w:r>
    </w:p>
    <w:p w14:paraId="73EE2E4E"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9.1 Attack Scenario</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1373614C"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Despite strong preventative controls, organisations must prepare for potential cyber incidents such as ransomware attacks. A plausible scenario for Medi Trust involves attackers compromising developer credentials and deploying ransomware that encrypts AI training datasets and source code repositories. Such an attack could disrupt machine learning development processes and delay healthcare analytics services [20].</w:t>
      </w:r>
      <w:r w:rsidRPr="004327D6">
        <w:rPr>
          <w:rFonts w:ascii="Aptos Display" w:eastAsia="Times New Roman" w:hAnsi="Aptos Display" w:cs="Times New Roman"/>
          <w:lang w:val="en-GB" w:eastAsia="en-GB"/>
        </w:rPr>
        <w:t> </w:t>
      </w:r>
    </w:p>
    <w:p w14:paraId="4C6856EF"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Encrypting AI training datasets ensures that sensitive data is converted into an unreadable format that can only be accessed by authorised users with the correct decryption keys. This protects patient information from unauthorised access, reduces the risk of data breaches, and supports compliance with regulations such as GDPR, NIS2 and DORA. </w:t>
      </w:r>
      <w:r w:rsidRPr="004327D6">
        <w:rPr>
          <w:rFonts w:ascii="Aptos Display" w:eastAsia="Times New Roman" w:hAnsi="Aptos Display" w:cs="Times New Roman"/>
          <w:lang w:val="en-GB" w:eastAsia="en-GB"/>
        </w:rPr>
        <w:t> </w:t>
      </w:r>
    </w:p>
    <w:p w14:paraId="59DBDCC0"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9.2 Response Plan</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62B087FE"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Detection mechanisms such as endpoint detection systems would identify abnormal encryption behaviour and automatically isolate affected systems from the network. Incident response teams would disable compromised accounts; segment affected cloud workloads and block malicious network traffic to contain the attack. </w:t>
      </w:r>
    </w:p>
    <w:p w14:paraId="295DF7BD"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Once containment is achieved, malware removal and vulnerability patching processes would eliminate the attacker’s access. Recovery procedures would restore encrypted data from immutable backups and rebuild compromised CI/CD pipelines. AI model integrity checks would verify that training datasets and algorithms have not been manipulated [21]. </w:t>
      </w:r>
    </w:p>
    <w:p w14:paraId="14F5C6AF"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Communication procedures would ensure that regulators and partners are informed of the incident in accordance with NIS2 and DORA reporting requirements. Regular testing of backup and recovery procedures ensures that the organisation can restore operations quickly following disruptions. </w:t>
      </w:r>
    </w:p>
    <w:p w14:paraId="33D3E3D1"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62D7A443"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05C5884B"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b/>
          <w:bCs/>
          <w:color w:val="0070C0"/>
          <w:lang w:eastAsia="en-GB"/>
        </w:rPr>
        <w:t>10. Strategic Benefits of the Zero-Trust Programmer</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060A5295"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Implementing a comprehensive Zero-Trust security program provides several strategic benefits for Medi Trust. The architecture protects sensitive patient data and proprietary AI models while ensuring compliance with GDPR, NIS2, and DORA regulatory requirements. Secure development practices strengthen the integrity of the AI development lifecycle, reducing the risk of compromised software components.</w:t>
      </w:r>
      <w:r w:rsidRPr="004327D6">
        <w:rPr>
          <w:rFonts w:ascii="Aptos Display" w:eastAsia="Times New Roman" w:hAnsi="Aptos Display" w:cs="Times New Roman"/>
          <w:lang w:val="en-GB" w:eastAsia="en-GB"/>
        </w:rPr>
        <w:t> </w:t>
      </w:r>
    </w:p>
    <w:p w14:paraId="550ECD7C"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Enhanced supply-chain security reduces exposure to third-party vulnerabilities, while automated monitoring and incident response capabilities improve operational resilience. These improvements increase trust among healthcare providers, research institutions, and regulatory authorities that rely on Medi Trust’s platforms.</w:t>
      </w:r>
      <w:r w:rsidRPr="004327D6">
        <w:rPr>
          <w:rFonts w:ascii="Aptos Display" w:eastAsia="Times New Roman" w:hAnsi="Aptos Display" w:cs="Times New Roman"/>
          <w:lang w:val="en-GB" w:eastAsia="en-GB"/>
        </w:rPr>
        <w:t> </w:t>
      </w:r>
    </w:p>
    <w:p w14:paraId="33EDE018"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Most importantly, cybersecurity becomes an enabler of innovation rather than an obstacle. A secure digital infrastructure allows Medi Trust to expand confidently into European markets while maintaining the integrity and reliability of its AI-driven healthcare solutions [22].</w:t>
      </w:r>
      <w:r w:rsidRPr="004327D6">
        <w:rPr>
          <w:rFonts w:ascii="Aptos Display" w:eastAsia="Times New Roman" w:hAnsi="Aptos Display" w:cs="Times New Roman"/>
          <w:lang w:val="en-GB" w:eastAsia="en-GB"/>
        </w:rPr>
        <w:t> </w:t>
      </w:r>
    </w:p>
    <w:p w14:paraId="47BACE96"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6494307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241485F3"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ptos Display" w:eastAsia="Times New Roman" w:hAnsi="Aptos Display" w:cs="Times New Roman"/>
          <w:b/>
          <w:bCs/>
          <w:color w:val="0070C0"/>
          <w:lang w:eastAsia="en-GB"/>
        </w:rPr>
        <w:t>11. Conclusion</w:t>
      </w:r>
      <w:r w:rsidRPr="004327D6">
        <w:rPr>
          <w:rFonts w:ascii="Arial" w:eastAsia="Times New Roman" w:hAnsi="Arial" w:cs="Arial"/>
          <w:b/>
          <w:bCs/>
          <w:color w:val="0070C0"/>
          <w:lang w:eastAsia="en-GB"/>
        </w:rPr>
        <w:t> </w:t>
      </w:r>
      <w:r w:rsidRPr="004327D6">
        <w:rPr>
          <w:rFonts w:ascii="Aptos Display" w:eastAsia="Times New Roman" w:hAnsi="Aptos Display" w:cs="Times New Roman"/>
          <w:color w:val="0070C0"/>
          <w:lang w:val="en-GB" w:eastAsia="en-GB"/>
        </w:rPr>
        <w:t> </w:t>
      </w:r>
    </w:p>
    <w:p w14:paraId="426375A6"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Implementing a comprehensive Zero-Trust security programmed provides several strategic benefits for Medi Trust. The architecture protects sensitive patient data and proprietary AI models while ensuring compliance with GDPR, NIS2, and DORA regulatory requirements. Secure development practices strengthen the integrity of the AI development lifecycle, reducing the risk of compromised software components.</w:t>
      </w:r>
      <w:r w:rsidRPr="004327D6">
        <w:rPr>
          <w:rFonts w:ascii="Aptos Display" w:eastAsia="Times New Roman" w:hAnsi="Aptos Display" w:cs="Times New Roman"/>
          <w:lang w:val="en-GB" w:eastAsia="en-GB"/>
        </w:rPr>
        <w:t> </w:t>
      </w:r>
    </w:p>
    <w:p w14:paraId="7CA527E2"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Enhanced supply-chain security reduces exposure to third-party vulnerabilities, while automated monitoring and incident response capabilities improve operational resilience. These improvements increase trust among healthcare providers, research institutions, and regulatory authorities that rely on Medi Trust’s platforms.</w:t>
      </w:r>
      <w:r w:rsidRPr="004327D6">
        <w:rPr>
          <w:rFonts w:ascii="Aptos Display" w:eastAsia="Times New Roman" w:hAnsi="Aptos Display" w:cs="Times New Roman"/>
          <w:lang w:val="en-GB" w:eastAsia="en-GB"/>
        </w:rPr>
        <w:t> </w:t>
      </w:r>
    </w:p>
    <w:p w14:paraId="66F80D5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Most importantly, cybersecurity becomes an enabler of innovation rather than an obstacle. A secure digital infrastructure allows Medi Trust to expand confidently into European markets while maintaining the integrity and reliability of its AI-driven healthcare solutions.</w:t>
      </w:r>
      <w:r w:rsidRPr="004327D6">
        <w:rPr>
          <w:rFonts w:ascii="Aptos Display" w:eastAsia="Times New Roman" w:hAnsi="Aptos Display" w:cs="Times New Roman"/>
          <w:lang w:val="en-GB" w:eastAsia="en-GB"/>
        </w:rPr>
        <w:t> </w:t>
      </w:r>
    </w:p>
    <w:p w14:paraId="5525001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val="en-GB" w:eastAsia="en-GB"/>
        </w:rPr>
        <w:t> </w:t>
      </w:r>
    </w:p>
    <w:p w14:paraId="0781A716" w14:textId="77777777" w:rsidR="004327D6" w:rsidRPr="004327D6" w:rsidRDefault="004327D6" w:rsidP="004327D6">
      <w:pPr>
        <w:rPr>
          <w:rFonts w:ascii="Aptos Display" w:eastAsia="Times New Roman" w:hAnsi="Aptos Display" w:cs="Times New Roman"/>
          <w:color w:val="0070C0"/>
          <w:lang w:val="en-GB" w:eastAsia="en-GB"/>
        </w:rPr>
      </w:pPr>
      <w:r w:rsidRPr="004327D6">
        <w:rPr>
          <w:rFonts w:ascii="Arial" w:eastAsia="Times New Roman" w:hAnsi="Arial" w:cs="Arial"/>
          <w:b/>
          <w:bCs/>
          <w:color w:val="0070C0"/>
          <w:lang w:eastAsia="en-GB"/>
        </w:rPr>
        <w:t> </w:t>
      </w:r>
      <w:r w:rsidRPr="004327D6">
        <w:rPr>
          <w:rFonts w:ascii="Aptos Display" w:eastAsia="Times New Roman" w:hAnsi="Aptos Display" w:cs="Times New Roman"/>
          <w:b/>
          <w:bCs/>
          <w:color w:val="0070C0"/>
          <w:lang w:eastAsia="en-GB"/>
        </w:rPr>
        <w:t>References</w:t>
      </w:r>
      <w:r w:rsidRPr="004327D6">
        <w:rPr>
          <w:rFonts w:ascii="Aptos Display" w:eastAsia="Times New Roman" w:hAnsi="Aptos Display" w:cs="Aptos Display"/>
          <w:b/>
          <w:bCs/>
          <w:color w:val="0070C0"/>
          <w:lang w:eastAsia="en-GB"/>
        </w:rPr>
        <w:t>   </w:t>
      </w:r>
      <w:r w:rsidRPr="004327D6">
        <w:rPr>
          <w:rFonts w:ascii="Aptos Display" w:eastAsia="Times New Roman" w:hAnsi="Aptos Display" w:cs="Times New Roman"/>
          <w:color w:val="0070C0"/>
          <w:lang w:val="en-GB" w:eastAsia="en-GB"/>
        </w:rPr>
        <w:t> </w:t>
      </w:r>
    </w:p>
    <w:p w14:paraId="13F3AEF7"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[1] National Institute of Standards and Technology, </w:t>
      </w:r>
      <w:r w:rsidRPr="004327D6">
        <w:rPr>
          <w:rFonts w:ascii="Aptos Display" w:eastAsia="Times New Roman" w:hAnsi="Aptos Display" w:cs="Times New Roman"/>
          <w:i/>
          <w:iCs/>
          <w:lang w:eastAsia="en-GB"/>
        </w:rPr>
        <w:t>Zero Trust Architecture</w:t>
      </w:r>
      <w:r w:rsidRPr="004327D6">
        <w:rPr>
          <w:rFonts w:ascii="Aptos Display" w:eastAsia="Times New Roman" w:hAnsi="Aptos Display" w:cs="Times New Roman"/>
          <w:lang w:eastAsia="en-GB"/>
        </w:rPr>
        <w:t>, NIST Special Publication 800-207, Gaithersburg, MD, USA, 2020.</w:t>
      </w:r>
      <w:r w:rsidRPr="004327D6">
        <w:rPr>
          <w:rFonts w:ascii="Aptos Display" w:eastAsia="Times New Roman" w:hAnsi="Aptos Display" w:cs="Times New Roman"/>
          <w:lang w:val="en-GB" w:eastAsia="en-GB"/>
        </w:rPr>
        <w:t> </w:t>
      </w:r>
    </w:p>
    <w:p w14:paraId="068C0783"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[2] ISACA, </w:t>
      </w:r>
      <w:r w:rsidRPr="004327D6">
        <w:rPr>
          <w:rFonts w:ascii="Aptos Display" w:eastAsia="Times New Roman" w:hAnsi="Aptos Display" w:cs="Times New Roman"/>
          <w:i/>
          <w:iCs/>
          <w:lang w:eastAsia="en-GB"/>
        </w:rPr>
        <w:t>State of Cybersecurity 2022: Global Update on Workforce Efforts, Resources and Cyberoperations</w:t>
      </w:r>
      <w:r w:rsidRPr="004327D6">
        <w:rPr>
          <w:rFonts w:ascii="Aptos Display" w:eastAsia="Times New Roman" w:hAnsi="Aptos Display" w:cs="Times New Roman"/>
          <w:lang w:eastAsia="en-GB"/>
        </w:rPr>
        <w:t>, Schaumburg, IL, USA, 2022.</w:t>
      </w:r>
      <w:r w:rsidRPr="004327D6">
        <w:rPr>
          <w:rFonts w:ascii="Aptos Display" w:eastAsia="Times New Roman" w:hAnsi="Aptos Display" w:cs="Times New Roman"/>
          <w:lang w:val="en-GB" w:eastAsia="en-GB"/>
        </w:rPr>
        <w:t> </w:t>
      </w:r>
    </w:p>
    <w:p w14:paraId="4508CE88"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[3] European Union Agency for Cybersecurity (ENISA), </w:t>
      </w:r>
      <w:r w:rsidRPr="004327D6">
        <w:rPr>
          <w:rFonts w:ascii="Aptos Display" w:eastAsia="Times New Roman" w:hAnsi="Aptos Display" w:cs="Times New Roman"/>
          <w:i/>
          <w:iCs/>
          <w:lang w:eastAsia="en-GB"/>
        </w:rPr>
        <w:t>Cloud Security Guidance for Critical Sectors</w:t>
      </w:r>
      <w:r w:rsidRPr="004327D6">
        <w:rPr>
          <w:rFonts w:ascii="Aptos Display" w:eastAsia="Times New Roman" w:hAnsi="Aptos Display" w:cs="Times New Roman"/>
          <w:lang w:eastAsia="en-GB"/>
        </w:rPr>
        <w:t>, Brussels, Belgium, 2023.</w:t>
      </w:r>
      <w:r w:rsidRPr="004327D6">
        <w:rPr>
          <w:rFonts w:ascii="Aptos Display" w:eastAsia="Times New Roman" w:hAnsi="Aptos Display" w:cs="Times New Roman"/>
          <w:lang w:val="en-GB" w:eastAsia="en-GB"/>
        </w:rPr>
        <w:t> </w:t>
      </w:r>
    </w:p>
    <w:p w14:paraId="7DE81C1B"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[4] N. Paper not et al., “Machine Learning Security: Threats and Countermeasures,” </w:t>
      </w:r>
      <w:r w:rsidRPr="004327D6">
        <w:rPr>
          <w:rFonts w:ascii="Aptos Display" w:eastAsia="Times New Roman" w:hAnsi="Aptos Display" w:cs="Times New Roman"/>
          <w:i/>
          <w:iCs/>
          <w:lang w:eastAsia="en-GB"/>
        </w:rPr>
        <w:t>IEEE Security &amp; Privacy</w:t>
      </w:r>
      <w:r w:rsidRPr="004327D6">
        <w:rPr>
          <w:rFonts w:ascii="Aptos Display" w:eastAsia="Times New Roman" w:hAnsi="Aptos Display" w:cs="Times New Roman"/>
          <w:lang w:eastAsia="en-GB"/>
        </w:rPr>
        <w:t>, vol. 19, no. 3, pp. 56-64, 2021.</w:t>
      </w:r>
      <w:r w:rsidRPr="004327D6">
        <w:rPr>
          <w:rFonts w:ascii="Aptos Display" w:eastAsia="Times New Roman" w:hAnsi="Aptos Display" w:cs="Times New Roman"/>
          <w:lang w:val="en-GB" w:eastAsia="en-GB"/>
        </w:rPr>
        <w:t> </w:t>
      </w:r>
    </w:p>
    <w:p w14:paraId="4C8B3CCE"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[5] National Institute of Standards and Technology, </w:t>
      </w:r>
      <w:r w:rsidRPr="004327D6">
        <w:rPr>
          <w:rFonts w:ascii="Aptos Display" w:eastAsia="Times New Roman" w:hAnsi="Aptos Display" w:cs="Times New Roman"/>
          <w:i/>
          <w:iCs/>
          <w:lang w:eastAsia="en-GB"/>
        </w:rPr>
        <w:t>Zero Trust Architecture</w:t>
      </w:r>
      <w:r w:rsidRPr="004327D6">
        <w:rPr>
          <w:rFonts w:ascii="Aptos Display" w:eastAsia="Times New Roman" w:hAnsi="Aptos Display" w:cs="Times New Roman"/>
          <w:lang w:eastAsia="en-GB"/>
        </w:rPr>
        <w:t>, NIST SP 800-207, Gaithersburg, MD, USA, 2020.</w:t>
      </w:r>
      <w:r w:rsidRPr="004327D6">
        <w:rPr>
          <w:rFonts w:ascii="Aptos Display" w:eastAsia="Times New Roman" w:hAnsi="Aptos Display" w:cs="Times New Roman"/>
          <w:lang w:val="en-GB" w:eastAsia="en-GB"/>
        </w:rPr>
        <w:t> </w:t>
      </w:r>
    </w:p>
    <w:p w14:paraId="14A89490"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[6] European Union Agency for Cybersecurity (ENISA), </w:t>
      </w:r>
      <w:r w:rsidRPr="004327D6">
        <w:rPr>
          <w:rFonts w:ascii="Aptos Display" w:eastAsia="Times New Roman" w:hAnsi="Aptos Display" w:cs="Times New Roman"/>
          <w:i/>
          <w:iCs/>
          <w:lang w:eastAsia="en-GB"/>
        </w:rPr>
        <w:t>Cloud Security Guidance for Critical Sectors</w:t>
      </w:r>
      <w:r w:rsidRPr="004327D6">
        <w:rPr>
          <w:rFonts w:ascii="Aptos Display" w:eastAsia="Times New Roman" w:hAnsi="Aptos Display" w:cs="Times New Roman"/>
          <w:lang w:eastAsia="en-GB"/>
        </w:rPr>
        <w:t>, Brussels, Belgium, 2023.</w:t>
      </w:r>
      <w:r w:rsidRPr="004327D6">
        <w:rPr>
          <w:rFonts w:ascii="Aptos Display" w:eastAsia="Times New Roman" w:hAnsi="Aptos Display" w:cs="Times New Roman"/>
          <w:lang w:val="en-GB" w:eastAsia="en-GB"/>
        </w:rPr>
        <w:t> </w:t>
      </w:r>
    </w:p>
    <w:p w14:paraId="2258171B"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[7] OWASP Foundation, </w:t>
      </w:r>
      <w:r w:rsidRPr="004327D6">
        <w:rPr>
          <w:rFonts w:ascii="Aptos Display" w:eastAsia="Times New Roman" w:hAnsi="Aptos Display" w:cs="Times New Roman"/>
          <w:i/>
          <w:iCs/>
          <w:lang w:eastAsia="en-GB"/>
        </w:rPr>
        <w:t>Top 10 Risks for Large Language Models and AI Systems</w:t>
      </w:r>
      <w:r w:rsidRPr="004327D6">
        <w:rPr>
          <w:rFonts w:ascii="Aptos Display" w:eastAsia="Times New Roman" w:hAnsi="Aptos Display" w:cs="Times New Roman"/>
          <w:lang w:eastAsia="en-GB"/>
        </w:rPr>
        <w:t>, 2024.</w:t>
      </w:r>
      <w:r w:rsidRPr="004327D6">
        <w:rPr>
          <w:rFonts w:ascii="Aptos Display" w:eastAsia="Times New Roman" w:hAnsi="Aptos Display" w:cs="Times New Roman"/>
          <w:lang w:val="en-GB" w:eastAsia="en-GB"/>
        </w:rPr>
        <w:t> </w:t>
      </w:r>
    </w:p>
    <w:p w14:paraId="287B2287"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[8] European Union Agency for Cybersecurity (ENISA), </w:t>
      </w:r>
      <w:r w:rsidRPr="004327D6">
        <w:rPr>
          <w:rFonts w:ascii="Aptos Display" w:eastAsia="Times New Roman" w:hAnsi="Aptos Display" w:cs="Times New Roman"/>
          <w:i/>
          <w:iCs/>
          <w:lang w:eastAsia="en-GB"/>
        </w:rPr>
        <w:t>ENISA Threat Landscape 2024</w:t>
      </w:r>
      <w:r w:rsidRPr="004327D6">
        <w:rPr>
          <w:rFonts w:ascii="Aptos Display" w:eastAsia="Times New Roman" w:hAnsi="Aptos Display" w:cs="Times New Roman"/>
          <w:lang w:eastAsia="en-GB"/>
        </w:rPr>
        <w:t>, Brussels, Belgium, 2024.</w:t>
      </w:r>
      <w:r w:rsidRPr="004327D6">
        <w:rPr>
          <w:rFonts w:ascii="Aptos Display" w:eastAsia="Times New Roman" w:hAnsi="Aptos Display" w:cs="Times New Roman"/>
          <w:lang w:val="en-GB" w:eastAsia="en-GB"/>
        </w:rPr>
        <w:t> </w:t>
      </w:r>
    </w:p>
    <w:p w14:paraId="16E865F8"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[9] European Union Agency for Cybersecurity (ENISA), </w:t>
      </w:r>
      <w:r w:rsidRPr="004327D6">
        <w:rPr>
          <w:rFonts w:ascii="Aptos Display" w:eastAsia="Times New Roman" w:hAnsi="Aptos Display" w:cs="Times New Roman"/>
          <w:i/>
          <w:iCs/>
          <w:lang w:eastAsia="en-GB"/>
        </w:rPr>
        <w:t>ENISA Threat Landscape 2024</w:t>
      </w:r>
      <w:r w:rsidRPr="004327D6">
        <w:rPr>
          <w:rFonts w:ascii="Aptos Display" w:eastAsia="Times New Roman" w:hAnsi="Aptos Display" w:cs="Times New Roman"/>
          <w:lang w:eastAsia="en-GB"/>
        </w:rPr>
        <w:t>, Brussels, Belgium, 2024.</w:t>
      </w:r>
      <w:r w:rsidRPr="004327D6">
        <w:rPr>
          <w:rFonts w:ascii="Aptos Display" w:eastAsia="Times New Roman" w:hAnsi="Aptos Display" w:cs="Times New Roman"/>
          <w:lang w:val="en-GB" w:eastAsia="en-GB"/>
        </w:rPr>
        <w:t> </w:t>
      </w:r>
    </w:p>
    <w:p w14:paraId="6C9C952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[10] ISO/IEC, </w:t>
      </w:r>
      <w:r w:rsidRPr="004327D6">
        <w:rPr>
          <w:rFonts w:ascii="Aptos Display" w:eastAsia="Times New Roman" w:hAnsi="Aptos Display" w:cs="Times New Roman"/>
          <w:i/>
          <w:iCs/>
          <w:lang w:eastAsia="en-GB"/>
        </w:rPr>
        <w:t>ISO/IEC 22301: Business Continuity Management Systems</w:t>
      </w:r>
      <w:r w:rsidRPr="004327D6">
        <w:rPr>
          <w:rFonts w:ascii="Aptos Display" w:eastAsia="Times New Roman" w:hAnsi="Aptos Display" w:cs="Times New Roman"/>
          <w:lang w:eastAsia="en-GB"/>
        </w:rPr>
        <w:t>, Geneva, Switzerland, 2020.</w:t>
      </w:r>
      <w:r w:rsidRPr="004327D6">
        <w:rPr>
          <w:rFonts w:ascii="Aptos Display" w:eastAsia="Times New Roman" w:hAnsi="Aptos Display" w:cs="Times New Roman"/>
          <w:lang w:val="en-GB" w:eastAsia="en-GB"/>
        </w:rPr>
        <w:t> </w:t>
      </w:r>
    </w:p>
    <w:p w14:paraId="4E133D54"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[11] National Institute of Standards and Technology, </w:t>
      </w:r>
      <w:r w:rsidRPr="004327D6">
        <w:rPr>
          <w:rFonts w:ascii="Aptos Display" w:eastAsia="Times New Roman" w:hAnsi="Aptos Display" w:cs="Times New Roman"/>
          <w:i/>
          <w:iCs/>
          <w:lang w:eastAsia="en-GB"/>
        </w:rPr>
        <w:t>Zero Trust Architecture</w:t>
      </w:r>
      <w:r w:rsidRPr="004327D6">
        <w:rPr>
          <w:rFonts w:ascii="Aptos Display" w:eastAsia="Times New Roman" w:hAnsi="Aptos Display" w:cs="Times New Roman"/>
          <w:lang w:eastAsia="en-GB"/>
        </w:rPr>
        <w:t>, NIST SP 800-207, Gaithersburg, MD, USA, 2020.</w:t>
      </w:r>
      <w:r w:rsidRPr="004327D6">
        <w:rPr>
          <w:rFonts w:ascii="Aptos Display" w:eastAsia="Times New Roman" w:hAnsi="Aptos Display" w:cs="Times New Roman"/>
          <w:lang w:val="en-GB" w:eastAsia="en-GB"/>
        </w:rPr>
        <w:t> </w:t>
      </w:r>
    </w:p>
    <w:p w14:paraId="5324AE0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[12] European Commission, </w:t>
      </w:r>
      <w:r w:rsidRPr="004327D6">
        <w:rPr>
          <w:rFonts w:ascii="Aptos Display" w:eastAsia="Times New Roman" w:hAnsi="Aptos Display" w:cs="Times New Roman"/>
          <w:i/>
          <w:iCs/>
          <w:lang w:eastAsia="en-GB"/>
        </w:rPr>
        <w:t>Directive (EU) 2022/2555 on measures for a high common level of cybersecurity across the Union (NIS2 Directive)</w:t>
      </w:r>
      <w:r w:rsidRPr="004327D6">
        <w:rPr>
          <w:rFonts w:ascii="Aptos Display" w:eastAsia="Times New Roman" w:hAnsi="Aptos Display" w:cs="Times New Roman"/>
          <w:lang w:eastAsia="en-GB"/>
        </w:rPr>
        <w:t>, Brussels, Belgium, 2022.</w:t>
      </w:r>
      <w:r w:rsidRPr="004327D6">
        <w:rPr>
          <w:rFonts w:ascii="Aptos Display" w:eastAsia="Times New Roman" w:hAnsi="Aptos Display" w:cs="Times New Roman"/>
          <w:lang w:val="en-GB" w:eastAsia="en-GB"/>
        </w:rPr>
        <w:t> </w:t>
      </w:r>
    </w:p>
    <w:p w14:paraId="41356609"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[13] European Commission, </w:t>
      </w:r>
      <w:r w:rsidRPr="004327D6">
        <w:rPr>
          <w:rFonts w:ascii="Aptos Display" w:eastAsia="Times New Roman" w:hAnsi="Aptos Display" w:cs="Times New Roman"/>
          <w:i/>
          <w:iCs/>
          <w:lang w:eastAsia="en-GB"/>
        </w:rPr>
        <w:t>Regulation (EU) 2022/2554 on Digital Operational Resilience for the Financial Sector (DORA)</w:t>
      </w:r>
      <w:r w:rsidRPr="004327D6">
        <w:rPr>
          <w:rFonts w:ascii="Aptos Display" w:eastAsia="Times New Roman" w:hAnsi="Aptos Display" w:cs="Times New Roman"/>
          <w:lang w:eastAsia="en-GB"/>
        </w:rPr>
        <w:t>, Brussels, Belgium, 2022.</w:t>
      </w:r>
      <w:r w:rsidRPr="004327D6">
        <w:rPr>
          <w:rFonts w:ascii="Aptos Display" w:eastAsia="Times New Roman" w:hAnsi="Aptos Display" w:cs="Times New Roman"/>
          <w:lang w:val="en-GB" w:eastAsia="en-GB"/>
        </w:rPr>
        <w:t> </w:t>
      </w:r>
    </w:p>
    <w:p w14:paraId="38984E26"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[14] National Institute of Standards and Technology, </w:t>
      </w:r>
      <w:r w:rsidRPr="004327D6">
        <w:rPr>
          <w:rFonts w:ascii="Aptos Display" w:eastAsia="Times New Roman" w:hAnsi="Aptos Display" w:cs="Times New Roman"/>
          <w:i/>
          <w:iCs/>
          <w:lang w:eastAsia="en-GB"/>
        </w:rPr>
        <w:t>NIST Cybersecurity Framework 2.0</w:t>
      </w:r>
      <w:r w:rsidRPr="004327D6">
        <w:rPr>
          <w:rFonts w:ascii="Aptos Display" w:eastAsia="Times New Roman" w:hAnsi="Aptos Display" w:cs="Times New Roman"/>
          <w:lang w:eastAsia="en-GB"/>
        </w:rPr>
        <w:t>, Gaithersburg, MD, USA, 2024.</w:t>
      </w:r>
      <w:r w:rsidRPr="004327D6">
        <w:rPr>
          <w:rFonts w:ascii="Aptos Display" w:eastAsia="Times New Roman" w:hAnsi="Aptos Display" w:cs="Times New Roman"/>
          <w:lang w:val="en-GB" w:eastAsia="en-GB"/>
        </w:rPr>
        <w:t> </w:t>
      </w:r>
    </w:p>
    <w:p w14:paraId="45FACA57"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[15] S. Shackleford, </w:t>
      </w:r>
      <w:r w:rsidRPr="004327D6">
        <w:rPr>
          <w:rFonts w:ascii="Aptos Display" w:eastAsia="Times New Roman" w:hAnsi="Aptos Display" w:cs="Times New Roman"/>
          <w:i/>
          <w:iCs/>
          <w:lang w:eastAsia="en-GB"/>
        </w:rPr>
        <w:t>Cybersecurity Governance and Risk Management</w:t>
      </w:r>
      <w:r w:rsidRPr="004327D6">
        <w:rPr>
          <w:rFonts w:ascii="Aptos Display" w:eastAsia="Times New Roman" w:hAnsi="Aptos Display" w:cs="Times New Roman"/>
          <w:lang w:eastAsia="en-GB"/>
        </w:rPr>
        <w:t>, Cambridge University Press, 2021.</w:t>
      </w:r>
      <w:r w:rsidRPr="004327D6">
        <w:rPr>
          <w:rFonts w:ascii="Aptos Display" w:eastAsia="Times New Roman" w:hAnsi="Aptos Display" w:cs="Times New Roman"/>
          <w:lang w:val="en-GB" w:eastAsia="en-GB"/>
        </w:rPr>
        <w:t> </w:t>
      </w:r>
    </w:p>
    <w:p w14:paraId="413150D5"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[16] ISO/IEC, </w:t>
      </w:r>
      <w:r w:rsidRPr="004327D6">
        <w:rPr>
          <w:rFonts w:ascii="Aptos Display" w:eastAsia="Times New Roman" w:hAnsi="Aptos Display" w:cs="Times New Roman"/>
          <w:i/>
          <w:iCs/>
          <w:lang w:eastAsia="en-GB"/>
        </w:rPr>
        <w:t>ISO/IEC 22301: Business Continuity Management Systems</w:t>
      </w:r>
      <w:r w:rsidRPr="004327D6">
        <w:rPr>
          <w:rFonts w:ascii="Aptos Display" w:eastAsia="Times New Roman" w:hAnsi="Aptos Display" w:cs="Times New Roman"/>
          <w:lang w:eastAsia="en-GB"/>
        </w:rPr>
        <w:t>, Geneva, Switzerland, 2020.</w:t>
      </w:r>
      <w:r w:rsidRPr="004327D6">
        <w:rPr>
          <w:rFonts w:ascii="Aptos Display" w:eastAsia="Times New Roman" w:hAnsi="Aptos Display" w:cs="Times New Roman"/>
          <w:lang w:val="en-GB" w:eastAsia="en-GB"/>
        </w:rPr>
        <w:t> </w:t>
      </w:r>
    </w:p>
    <w:p w14:paraId="1BF6E46E" w14:textId="77777777" w:rsidR="004327D6" w:rsidRPr="004327D6" w:rsidRDefault="004327D6" w:rsidP="004327D6">
      <w:pPr>
        <w:rPr>
          <w:rFonts w:ascii="Aptos Display" w:eastAsia="Times New Roman" w:hAnsi="Aptos Display" w:cs="Times New Roman"/>
          <w:lang w:val="en-GB" w:eastAsia="en-GB"/>
        </w:rPr>
      </w:pPr>
      <w:r w:rsidRPr="004327D6">
        <w:rPr>
          <w:rFonts w:ascii="Aptos Display" w:eastAsia="Times New Roman" w:hAnsi="Aptos Display" w:cs="Times New Roman"/>
          <w:lang w:eastAsia="en-GB"/>
        </w:rPr>
        <w:t>[17] Linux Foundation, </w:t>
      </w:r>
      <w:r w:rsidRPr="004327D6">
        <w:rPr>
          <w:rFonts w:ascii="Aptos Display" w:eastAsia="Times New Roman" w:hAnsi="Aptos Display" w:cs="Times New Roman"/>
          <w:i/>
          <w:iCs/>
          <w:lang w:eastAsia="en-GB"/>
        </w:rPr>
        <w:t>Open-Source Security and Software Supply Chain Report</w:t>
      </w:r>
      <w:r w:rsidRPr="004327D6">
        <w:rPr>
          <w:rFonts w:ascii="Aptos Display" w:eastAsia="Times New Roman" w:hAnsi="Aptos Display" w:cs="Times New Roman"/>
          <w:lang w:eastAsia="en-GB"/>
        </w:rPr>
        <w:t>, 2023.</w:t>
      </w:r>
      <w:r w:rsidRPr="004327D6">
        <w:rPr>
          <w:rFonts w:ascii="Aptos Display" w:eastAsia="Times New Roman" w:hAnsi="Aptos Display" w:cs="Times New Roman"/>
          <w:lang w:val="en-GB" w:eastAsia="en-GB"/>
        </w:rPr>
        <w:t> </w:t>
      </w:r>
    </w:p>
    <w:p w14:paraId="3F060C9E" w14:textId="69A61CC3" w:rsidR="00212518" w:rsidRDefault="00212518" w:rsidP="04A5443A">
      <w:pPr>
        <w:rPr>
          <w:rFonts w:ascii="Aptos Display" w:eastAsia="Times New Roman" w:hAnsi="Aptos Display" w:cs="Times New Roman"/>
          <w:lang w:val="en-GB" w:eastAsia="en-GB"/>
        </w:rPr>
      </w:pPr>
    </w:p>
    <w:p w14:paraId="3B7296C7" w14:textId="77777777" w:rsidR="00931F06" w:rsidRDefault="00931F06">
      <w:pPr>
        <w:sectPr w:rsidR="00931F06" w:rsidSect="00931F06">
          <w:type w:val="continuous"/>
          <w:pgSz w:w="12240" w:h="15840"/>
          <w:pgMar w:top="720" w:right="720" w:bottom="720" w:left="720" w:header="720" w:footer="720" w:gutter="0"/>
          <w:cols w:space="720"/>
          <w:titlePg/>
          <w:docGrid w:linePitch="360"/>
        </w:sectPr>
      </w:pPr>
    </w:p>
    <w:p w14:paraId="13862A86" w14:textId="77777777" w:rsidR="00212518" w:rsidRDefault="00212518"/>
    <w:sectPr w:rsidR="00212518" w:rsidSect="00931F06">
      <w:type w:val="continuous"/>
      <w:pgSz w:w="12240" w:h="15840"/>
      <w:pgMar w:top="720" w:right="720" w:bottom="720" w:left="720" w:header="720" w:footer="720" w:gutter="0"/>
      <w:cols w:num="2"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D707B" w14:textId="77777777" w:rsidR="000E3FE2" w:rsidRDefault="000E3FE2" w:rsidP="00D70508">
      <w:pPr>
        <w:spacing w:after="0" w:line="240" w:lineRule="auto"/>
      </w:pPr>
      <w:r>
        <w:separator/>
      </w:r>
    </w:p>
  </w:endnote>
  <w:endnote w:type="continuationSeparator" w:id="0">
    <w:p w14:paraId="6601D1CE" w14:textId="77777777" w:rsidR="000E3FE2" w:rsidRDefault="000E3FE2" w:rsidP="00D70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600"/>
      <w:gridCol w:w="3600"/>
      <w:gridCol w:w="3600"/>
    </w:tblGrid>
    <w:tr w:rsidR="78D2F05E" w14:paraId="4770C9E5" w14:textId="77777777" w:rsidTr="04A5443A">
      <w:trPr>
        <w:trHeight w:val="300"/>
      </w:trPr>
      <w:tc>
        <w:tcPr>
          <w:tcW w:w="3600" w:type="dxa"/>
        </w:tcPr>
        <w:p w14:paraId="30B1A05F" w14:textId="3562D2A8" w:rsidR="78D2F05E" w:rsidRDefault="78D2F05E" w:rsidP="78D2F05E">
          <w:pPr>
            <w:pStyle w:val="Header"/>
            <w:ind w:left="-115"/>
          </w:pPr>
        </w:p>
      </w:tc>
      <w:tc>
        <w:tcPr>
          <w:tcW w:w="3600" w:type="dxa"/>
        </w:tcPr>
        <w:p w14:paraId="1D4EEDE3" w14:textId="6C2E5B1F" w:rsidR="78D2F05E" w:rsidRDefault="78D2F05E" w:rsidP="78D2F05E">
          <w:pPr>
            <w:pStyle w:val="Header"/>
            <w:jc w:val="center"/>
          </w:pPr>
          <w:r>
            <w:fldChar w:fldCharType="begin"/>
          </w:r>
          <w:r>
            <w:instrText>PAGE</w:instrText>
          </w:r>
          <w:r>
            <w:fldChar w:fldCharType="separate"/>
          </w:r>
          <w:r w:rsidR="004327D6">
            <w:rPr>
              <w:noProof/>
            </w:rPr>
            <w:t>2</w:t>
          </w:r>
          <w:r>
            <w:fldChar w:fldCharType="end"/>
          </w:r>
        </w:p>
      </w:tc>
      <w:tc>
        <w:tcPr>
          <w:tcW w:w="3600" w:type="dxa"/>
        </w:tcPr>
        <w:p w14:paraId="1ABF0108" w14:textId="650DF52E" w:rsidR="78D2F05E" w:rsidRDefault="78D2F05E" w:rsidP="78D2F05E">
          <w:pPr>
            <w:pStyle w:val="Header"/>
            <w:ind w:right="-115"/>
            <w:jc w:val="right"/>
          </w:pPr>
        </w:p>
      </w:tc>
    </w:tr>
  </w:tbl>
  <w:p w14:paraId="4BA327E3" w14:textId="70DC0473" w:rsidR="78D2F05E" w:rsidRDefault="78D2F05E" w:rsidP="78D2F0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600"/>
      <w:gridCol w:w="3600"/>
      <w:gridCol w:w="3600"/>
    </w:tblGrid>
    <w:tr w:rsidR="04A5443A" w14:paraId="42D94928" w14:textId="77777777" w:rsidTr="04A5443A">
      <w:trPr>
        <w:trHeight w:val="300"/>
      </w:trPr>
      <w:tc>
        <w:tcPr>
          <w:tcW w:w="3600" w:type="dxa"/>
        </w:tcPr>
        <w:p w14:paraId="66B2E06E" w14:textId="6231727F" w:rsidR="04A5443A" w:rsidRDefault="04A5443A" w:rsidP="04A5443A">
          <w:pPr>
            <w:pStyle w:val="Header"/>
            <w:ind w:left="-115"/>
          </w:pPr>
        </w:p>
      </w:tc>
      <w:tc>
        <w:tcPr>
          <w:tcW w:w="3600" w:type="dxa"/>
        </w:tcPr>
        <w:p w14:paraId="28AF8F9A" w14:textId="3F4B8A59" w:rsidR="04A5443A" w:rsidRDefault="04A5443A" w:rsidP="04A5443A">
          <w:pPr>
            <w:pStyle w:val="Header"/>
            <w:jc w:val="center"/>
          </w:pPr>
        </w:p>
      </w:tc>
      <w:tc>
        <w:tcPr>
          <w:tcW w:w="3600" w:type="dxa"/>
        </w:tcPr>
        <w:p w14:paraId="777F4C9D" w14:textId="2117BC74" w:rsidR="04A5443A" w:rsidRDefault="04A5443A" w:rsidP="04A5443A">
          <w:pPr>
            <w:pStyle w:val="Header"/>
            <w:ind w:right="-115"/>
            <w:jc w:val="right"/>
          </w:pPr>
        </w:p>
      </w:tc>
    </w:tr>
  </w:tbl>
  <w:p w14:paraId="02CFBB32" w14:textId="29EC3238" w:rsidR="04A5443A" w:rsidRDefault="04A5443A" w:rsidP="04A54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8721E" w14:textId="77777777" w:rsidR="000E3FE2" w:rsidRDefault="000E3FE2" w:rsidP="00D70508">
      <w:pPr>
        <w:spacing w:after="0" w:line="240" w:lineRule="auto"/>
      </w:pPr>
      <w:r>
        <w:separator/>
      </w:r>
    </w:p>
  </w:footnote>
  <w:footnote w:type="continuationSeparator" w:id="0">
    <w:p w14:paraId="7CC9C7B6" w14:textId="77777777" w:rsidR="000E3FE2" w:rsidRDefault="000E3FE2" w:rsidP="00D705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600"/>
      <w:gridCol w:w="3600"/>
      <w:gridCol w:w="3600"/>
    </w:tblGrid>
    <w:tr w:rsidR="78D2F05E" w14:paraId="2788FA13" w14:textId="77777777" w:rsidTr="78D2F05E">
      <w:trPr>
        <w:trHeight w:val="300"/>
      </w:trPr>
      <w:tc>
        <w:tcPr>
          <w:tcW w:w="3600" w:type="dxa"/>
        </w:tcPr>
        <w:p w14:paraId="46D28399" w14:textId="438C7DC8" w:rsidR="78D2F05E" w:rsidRDefault="78D2F05E" w:rsidP="78D2F05E">
          <w:pPr>
            <w:pStyle w:val="Header"/>
            <w:ind w:left="-115"/>
          </w:pPr>
        </w:p>
      </w:tc>
      <w:tc>
        <w:tcPr>
          <w:tcW w:w="3600" w:type="dxa"/>
        </w:tcPr>
        <w:p w14:paraId="4D794F94" w14:textId="016E9A0E" w:rsidR="78D2F05E" w:rsidRDefault="78D2F05E" w:rsidP="78D2F05E">
          <w:pPr>
            <w:pStyle w:val="Header"/>
            <w:jc w:val="center"/>
          </w:pPr>
        </w:p>
      </w:tc>
      <w:tc>
        <w:tcPr>
          <w:tcW w:w="3600" w:type="dxa"/>
        </w:tcPr>
        <w:p w14:paraId="773D0743" w14:textId="734F8A23" w:rsidR="78D2F05E" w:rsidRDefault="78D2F05E" w:rsidP="78D2F05E">
          <w:pPr>
            <w:pStyle w:val="Header"/>
            <w:ind w:right="-115"/>
            <w:jc w:val="right"/>
          </w:pPr>
        </w:p>
      </w:tc>
    </w:tr>
  </w:tbl>
  <w:p w14:paraId="2542016A" w14:textId="7130A3E7" w:rsidR="78D2F05E" w:rsidRDefault="78D2F05E" w:rsidP="78D2F0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600"/>
      <w:gridCol w:w="3600"/>
      <w:gridCol w:w="3600"/>
    </w:tblGrid>
    <w:tr w:rsidR="04A5443A" w14:paraId="135BCD4C" w14:textId="77777777" w:rsidTr="04A5443A">
      <w:trPr>
        <w:trHeight w:val="300"/>
      </w:trPr>
      <w:tc>
        <w:tcPr>
          <w:tcW w:w="3600" w:type="dxa"/>
        </w:tcPr>
        <w:p w14:paraId="759A2872" w14:textId="75C93217" w:rsidR="04A5443A" w:rsidRDefault="04A5443A" w:rsidP="04A5443A">
          <w:pPr>
            <w:pStyle w:val="Header"/>
            <w:ind w:left="-115"/>
          </w:pPr>
        </w:p>
      </w:tc>
      <w:tc>
        <w:tcPr>
          <w:tcW w:w="3600" w:type="dxa"/>
        </w:tcPr>
        <w:p w14:paraId="32A4ADD1" w14:textId="3B2B2A5D" w:rsidR="04A5443A" w:rsidRDefault="04A5443A" w:rsidP="04A5443A">
          <w:pPr>
            <w:pStyle w:val="Header"/>
            <w:jc w:val="center"/>
          </w:pPr>
        </w:p>
      </w:tc>
      <w:tc>
        <w:tcPr>
          <w:tcW w:w="3600" w:type="dxa"/>
        </w:tcPr>
        <w:p w14:paraId="1D2CC4DA" w14:textId="2A61CC56" w:rsidR="04A5443A" w:rsidRDefault="04A5443A" w:rsidP="04A5443A">
          <w:pPr>
            <w:pStyle w:val="Header"/>
            <w:ind w:right="-115"/>
            <w:jc w:val="right"/>
          </w:pPr>
        </w:p>
      </w:tc>
    </w:tr>
  </w:tbl>
  <w:p w14:paraId="0BB32BD3" w14:textId="7464F8AF" w:rsidR="04A5443A" w:rsidRDefault="04A5443A" w:rsidP="04A5443A">
    <w:pPr>
      <w:pStyle w:val="Header"/>
    </w:pPr>
  </w:p>
</w:hdr>
</file>

<file path=word/intelligence2.xml><?xml version="1.0" encoding="utf-8"?>
<int2:intelligence xmlns:int2="http://schemas.microsoft.com/office/intelligence/2020/intelligence" xmlns:oel="http://schemas.microsoft.com/office/2019/extlst">
  <int2:observations>
    <int2:textHash int2:hashCode="Lc2N33sVWiUhTo" int2:id="2g1sGttC">
      <int2:state int2:value="Rejected" int2:type="spell"/>
    </int2:textHash>
    <int2:textHash int2:hashCode="ttizCeQywtW+d4" int2:id="G3oUnt4i">
      <int2:state int2:value="Rejected" int2:type="spell"/>
    </int2:textHash>
    <int2:textHash int2:hashCode="AXmYCf7mcC5a6G" int2:id="HYv47XD7">
      <int2:state int2:value="Rejected" int2:type="spell"/>
    </int2:textHash>
    <int2:textHash int2:hashCode="aG+z44WpgrTp0l" int2:id="JtXApGao">
      <int2:state int2:value="Rejected" int2:type="spell"/>
    </int2:textHash>
    <int2:textHash int2:hashCode="JgtY6hJIkityHB" int2:id="Ltnb0cHi">
      <int2:state int2:value="Rejected" int2:type="spell"/>
    </int2:textHash>
    <int2:textHash int2:hashCode="Pjf2COixPlAuCt" int2:id="Mqbnrhjf">
      <int2:state int2:value="Rejected" int2:type="spell"/>
    </int2:textHash>
    <int2:textHash int2:hashCode="2jMLhirpmPDIeX" int2:id="PQ2kmwoT">
      <int2:state int2:value="Rejected" int2:type="spell"/>
    </int2:textHash>
    <int2:textHash int2:hashCode="5XDRCdvPuC+WfK" int2:id="Qq1uRfNS">
      <int2:state int2:value="Rejected" int2:type="spell"/>
    </int2:textHash>
    <int2:textHash int2:hashCode="kByidkXaRxGvMx" int2:id="Rkz41gLj">
      <int2:state int2:value="Rejected" int2:type="spell"/>
    </int2:textHash>
    <int2:textHash int2:hashCode="v3jXqOAVqWKVSe" int2:id="S7Ow8NIN">
      <int2:state int2:value="Rejected" int2:type="spell"/>
    </int2:textHash>
    <int2:textHash int2:hashCode="p6bvyTFe/Wggmh" int2:id="WBhsUghL">
      <int2:state int2:value="Rejected" int2:type="spell"/>
    </int2:textHash>
    <int2:textHash int2:hashCode="ni8UUdXdlt6RIo" int2:id="WVh3hZr0">
      <int2:state int2:value="Rejected" int2:type="spell"/>
    </int2:textHash>
    <int2:textHash int2:hashCode="m/C6mGJeQTWOW1" int2:id="YUe3GykQ">
      <int2:state int2:value="Rejected" int2:type="spell"/>
    </int2:textHash>
    <int2:textHash int2:hashCode="QgmNU58P0unWdN" int2:id="gMFgna90">
      <int2:state int2:value="Rejected" int2:type="spell"/>
    </int2:textHash>
    <int2:textHash int2:hashCode="PLZtS9B8ew8ND3" int2:id="hlOIhS5m">
      <int2:state int2:value="Rejected" int2:type="spell"/>
    </int2:textHash>
    <int2:textHash int2:hashCode="doycEd9dSooA39" int2:id="jy8o83KH">
      <int2:state int2:value="Rejected" int2:type="spell"/>
    </int2:textHash>
    <int2:textHash int2:hashCode="7OmYag+MLKaTRs" int2:id="nBlyelHL">
      <int2:state int2:value="Rejected" int2:type="spell"/>
    </int2:textHash>
    <int2:textHash int2:hashCode="xcgb3EeIup7nN2" int2:id="oGEnk5rU">
      <int2:state int2:value="Rejected" int2:type="spell"/>
    </int2:textHash>
    <int2:textHash int2:hashCode="k8aR7RAqO8jEyr" int2:id="pOner1A4">
      <int2:state int2:value="Rejected" int2:type="spell"/>
    </int2:textHash>
    <int2:textHash int2:hashCode="3wTSHDHjryRTLY" int2:id="paxbQmC1">
      <int2:state int2:value="Rejected" int2:type="spell"/>
    </int2:textHash>
    <int2:textHash int2:hashCode="5Enmre1OMXR4jB" int2:id="qcwYe1cx">
      <int2:state int2:value="Rejected" int2:type="spell"/>
    </int2:textHash>
    <int2:textHash int2:hashCode="4/DZkKKP7dNG05" int2:id="swYOdpvI">
      <int2:state int2:value="Rejected" int2:type="spell"/>
    </int2:textHash>
    <int2:textHash int2:hashCode="NT12h6See3qwhk" int2:id="vO4bgtZM">
      <int2:state int2:value="Rejected" int2:type="spell"/>
    </int2:textHash>
    <int2:textHash int2:hashCode="kv4UVae7TQCfC0" int2:id="wFVIeYE1">
      <int2:state int2:value="Rejected" int2:type="spell"/>
    </int2:textHash>
    <int2:textHash int2:hashCode="AqfgSyRHC4nxz9" int2:id="yF6D2F53">
      <int2:state int2:value="Rejected" int2:type="spell"/>
    </int2:textHash>
    <int2:textHash int2:hashCode="SlYFDncvjWIs3o" int2:id="zoDuWpOm">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1"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2"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3"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4"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5"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01098712">
    <w:abstractNumId w:val="5"/>
  </w:num>
  <w:num w:numId="2" w16cid:durableId="1331907767">
    <w:abstractNumId w:val="2"/>
  </w:num>
  <w:num w:numId="3" w16cid:durableId="1610309623">
    <w:abstractNumId w:val="1"/>
  </w:num>
  <w:num w:numId="4" w16cid:durableId="2016221999">
    <w:abstractNumId w:val="3"/>
  </w:num>
  <w:num w:numId="5" w16cid:durableId="768042175">
    <w:abstractNumId w:val="0"/>
  </w:num>
  <w:num w:numId="6" w16cid:durableId="989094383">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11DF"/>
    <w:rsid w:val="00014FEA"/>
    <w:rsid w:val="00021761"/>
    <w:rsid w:val="00031CC6"/>
    <w:rsid w:val="00034616"/>
    <w:rsid w:val="00035DF5"/>
    <w:rsid w:val="00045676"/>
    <w:rsid w:val="0005402F"/>
    <w:rsid w:val="00054D0D"/>
    <w:rsid w:val="00055482"/>
    <w:rsid w:val="000602CE"/>
    <w:rsid w:val="0006063C"/>
    <w:rsid w:val="00065763"/>
    <w:rsid w:val="00080548"/>
    <w:rsid w:val="00082A8B"/>
    <w:rsid w:val="00084F56"/>
    <w:rsid w:val="00090085"/>
    <w:rsid w:val="000913F6"/>
    <w:rsid w:val="00092C0A"/>
    <w:rsid w:val="000940AC"/>
    <w:rsid w:val="000A44F9"/>
    <w:rsid w:val="000B3CAF"/>
    <w:rsid w:val="000B5DD7"/>
    <w:rsid w:val="000C34C0"/>
    <w:rsid w:val="000C7488"/>
    <w:rsid w:val="000D3912"/>
    <w:rsid w:val="000E3FE2"/>
    <w:rsid w:val="00101176"/>
    <w:rsid w:val="001039F9"/>
    <w:rsid w:val="00113212"/>
    <w:rsid w:val="00135838"/>
    <w:rsid w:val="00143800"/>
    <w:rsid w:val="0015074B"/>
    <w:rsid w:val="00162F3B"/>
    <w:rsid w:val="001707FB"/>
    <w:rsid w:val="00173C1A"/>
    <w:rsid w:val="00183395"/>
    <w:rsid w:val="001A5FE0"/>
    <w:rsid w:val="001B1019"/>
    <w:rsid w:val="001B6303"/>
    <w:rsid w:val="001D4594"/>
    <w:rsid w:val="001D67E1"/>
    <w:rsid w:val="001E3C5F"/>
    <w:rsid w:val="002001E2"/>
    <w:rsid w:val="00204B60"/>
    <w:rsid w:val="00212518"/>
    <w:rsid w:val="00216F60"/>
    <w:rsid w:val="00222E15"/>
    <w:rsid w:val="00237EAA"/>
    <w:rsid w:val="00242E83"/>
    <w:rsid w:val="00254102"/>
    <w:rsid w:val="002623F2"/>
    <w:rsid w:val="00263B44"/>
    <w:rsid w:val="0029639D"/>
    <w:rsid w:val="002B2372"/>
    <w:rsid w:val="002D04F3"/>
    <w:rsid w:val="002D37F0"/>
    <w:rsid w:val="002D43A3"/>
    <w:rsid w:val="002E292C"/>
    <w:rsid w:val="002E44CD"/>
    <w:rsid w:val="002F2103"/>
    <w:rsid w:val="002F61F2"/>
    <w:rsid w:val="0030025F"/>
    <w:rsid w:val="00301AC9"/>
    <w:rsid w:val="00304554"/>
    <w:rsid w:val="00315698"/>
    <w:rsid w:val="00324DAD"/>
    <w:rsid w:val="00326F90"/>
    <w:rsid w:val="00330BC9"/>
    <w:rsid w:val="0033328B"/>
    <w:rsid w:val="00340E3F"/>
    <w:rsid w:val="003456CD"/>
    <w:rsid w:val="00351328"/>
    <w:rsid w:val="00355202"/>
    <w:rsid w:val="0036206E"/>
    <w:rsid w:val="0037585E"/>
    <w:rsid w:val="00376577"/>
    <w:rsid w:val="00396065"/>
    <w:rsid w:val="0039715C"/>
    <w:rsid w:val="003A2F98"/>
    <w:rsid w:val="003B0103"/>
    <w:rsid w:val="003B26B1"/>
    <w:rsid w:val="003C5BB9"/>
    <w:rsid w:val="003E5C51"/>
    <w:rsid w:val="003F6776"/>
    <w:rsid w:val="003F71D2"/>
    <w:rsid w:val="00403A98"/>
    <w:rsid w:val="004143F2"/>
    <w:rsid w:val="00430252"/>
    <w:rsid w:val="004327D6"/>
    <w:rsid w:val="00434DE9"/>
    <w:rsid w:val="00435E41"/>
    <w:rsid w:val="00451BD2"/>
    <w:rsid w:val="00451CDD"/>
    <w:rsid w:val="00457141"/>
    <w:rsid w:val="00457C5F"/>
    <w:rsid w:val="00466B2D"/>
    <w:rsid w:val="00476A76"/>
    <w:rsid w:val="00494BD7"/>
    <w:rsid w:val="00496548"/>
    <w:rsid w:val="004A0E9E"/>
    <w:rsid w:val="004A11EC"/>
    <w:rsid w:val="004A12CF"/>
    <w:rsid w:val="004A1D83"/>
    <w:rsid w:val="004B5057"/>
    <w:rsid w:val="004B5D84"/>
    <w:rsid w:val="004C065A"/>
    <w:rsid w:val="004C2BE4"/>
    <w:rsid w:val="004C6856"/>
    <w:rsid w:val="004C6BE0"/>
    <w:rsid w:val="004E0F6A"/>
    <w:rsid w:val="004E3419"/>
    <w:rsid w:val="004E6350"/>
    <w:rsid w:val="004E7BB3"/>
    <w:rsid w:val="004F05D2"/>
    <w:rsid w:val="004F5575"/>
    <w:rsid w:val="00524AEA"/>
    <w:rsid w:val="00532320"/>
    <w:rsid w:val="00542B9E"/>
    <w:rsid w:val="0055088A"/>
    <w:rsid w:val="00551DCB"/>
    <w:rsid w:val="00552AE5"/>
    <w:rsid w:val="00556C79"/>
    <w:rsid w:val="00565E8E"/>
    <w:rsid w:val="005B478A"/>
    <w:rsid w:val="005C46A7"/>
    <w:rsid w:val="005D5C96"/>
    <w:rsid w:val="005E648F"/>
    <w:rsid w:val="005E736E"/>
    <w:rsid w:val="00606B10"/>
    <w:rsid w:val="00611BF4"/>
    <w:rsid w:val="0062267D"/>
    <w:rsid w:val="0062689B"/>
    <w:rsid w:val="00632874"/>
    <w:rsid w:val="00635BC6"/>
    <w:rsid w:val="00642C46"/>
    <w:rsid w:val="006508BF"/>
    <w:rsid w:val="006605DB"/>
    <w:rsid w:val="006709C6"/>
    <w:rsid w:val="00673BCC"/>
    <w:rsid w:val="00675C7C"/>
    <w:rsid w:val="00690146"/>
    <w:rsid w:val="006909DC"/>
    <w:rsid w:val="00694EB9"/>
    <w:rsid w:val="006A0B72"/>
    <w:rsid w:val="006A0E73"/>
    <w:rsid w:val="006B0B8D"/>
    <w:rsid w:val="006C1548"/>
    <w:rsid w:val="006C7A04"/>
    <w:rsid w:val="006C7D01"/>
    <w:rsid w:val="006D211D"/>
    <w:rsid w:val="006D7BE4"/>
    <w:rsid w:val="006E1620"/>
    <w:rsid w:val="006F744C"/>
    <w:rsid w:val="00707FEA"/>
    <w:rsid w:val="00721826"/>
    <w:rsid w:val="007321DD"/>
    <w:rsid w:val="0073249C"/>
    <w:rsid w:val="0073275D"/>
    <w:rsid w:val="007571D0"/>
    <w:rsid w:val="00761278"/>
    <w:rsid w:val="00767AED"/>
    <w:rsid w:val="0079394B"/>
    <w:rsid w:val="007A074A"/>
    <w:rsid w:val="007A23E6"/>
    <w:rsid w:val="007A349C"/>
    <w:rsid w:val="007A6BA6"/>
    <w:rsid w:val="007A7CFC"/>
    <w:rsid w:val="007C046E"/>
    <w:rsid w:val="007C7558"/>
    <w:rsid w:val="007D0A66"/>
    <w:rsid w:val="007D3F74"/>
    <w:rsid w:val="007E1E40"/>
    <w:rsid w:val="007E240C"/>
    <w:rsid w:val="007E596D"/>
    <w:rsid w:val="007F5799"/>
    <w:rsid w:val="007F6FAB"/>
    <w:rsid w:val="0081518E"/>
    <w:rsid w:val="0081559A"/>
    <w:rsid w:val="00825CB1"/>
    <w:rsid w:val="008260AF"/>
    <w:rsid w:val="00840B8B"/>
    <w:rsid w:val="00840BFA"/>
    <w:rsid w:val="00842169"/>
    <w:rsid w:val="008513CA"/>
    <w:rsid w:val="0086049F"/>
    <w:rsid w:val="008666CF"/>
    <w:rsid w:val="00872ED0"/>
    <w:rsid w:val="0087302D"/>
    <w:rsid w:val="008765D2"/>
    <w:rsid w:val="00885D49"/>
    <w:rsid w:val="00885ED3"/>
    <w:rsid w:val="008A1A6D"/>
    <w:rsid w:val="008A2123"/>
    <w:rsid w:val="008A6CEF"/>
    <w:rsid w:val="008B5399"/>
    <w:rsid w:val="008C4386"/>
    <w:rsid w:val="008D1E52"/>
    <w:rsid w:val="008E646C"/>
    <w:rsid w:val="008F1BEC"/>
    <w:rsid w:val="008F66E0"/>
    <w:rsid w:val="00900A83"/>
    <w:rsid w:val="00905AD7"/>
    <w:rsid w:val="009070A6"/>
    <w:rsid w:val="00907A38"/>
    <w:rsid w:val="009146DA"/>
    <w:rsid w:val="00916439"/>
    <w:rsid w:val="009246C5"/>
    <w:rsid w:val="00931F06"/>
    <w:rsid w:val="00935BE8"/>
    <w:rsid w:val="00943FD5"/>
    <w:rsid w:val="0095001C"/>
    <w:rsid w:val="009645D1"/>
    <w:rsid w:val="00975598"/>
    <w:rsid w:val="00980385"/>
    <w:rsid w:val="00981A8A"/>
    <w:rsid w:val="00993EDC"/>
    <w:rsid w:val="009A3798"/>
    <w:rsid w:val="009B270D"/>
    <w:rsid w:val="009C4787"/>
    <w:rsid w:val="009C62A9"/>
    <w:rsid w:val="009E7E71"/>
    <w:rsid w:val="009F0970"/>
    <w:rsid w:val="00A03436"/>
    <w:rsid w:val="00A21168"/>
    <w:rsid w:val="00A21404"/>
    <w:rsid w:val="00A26C5D"/>
    <w:rsid w:val="00A26E70"/>
    <w:rsid w:val="00A3559F"/>
    <w:rsid w:val="00A44A33"/>
    <w:rsid w:val="00A45106"/>
    <w:rsid w:val="00A63CA5"/>
    <w:rsid w:val="00A70853"/>
    <w:rsid w:val="00A70EF7"/>
    <w:rsid w:val="00A75114"/>
    <w:rsid w:val="00A756DC"/>
    <w:rsid w:val="00AA1D8D"/>
    <w:rsid w:val="00AD264C"/>
    <w:rsid w:val="00AD6888"/>
    <w:rsid w:val="00AD743D"/>
    <w:rsid w:val="00AE77D9"/>
    <w:rsid w:val="00AF757B"/>
    <w:rsid w:val="00B02C0F"/>
    <w:rsid w:val="00B055A6"/>
    <w:rsid w:val="00B13592"/>
    <w:rsid w:val="00B13F6E"/>
    <w:rsid w:val="00B21D85"/>
    <w:rsid w:val="00B35261"/>
    <w:rsid w:val="00B47730"/>
    <w:rsid w:val="00B61D0C"/>
    <w:rsid w:val="00B70349"/>
    <w:rsid w:val="00B73FE6"/>
    <w:rsid w:val="00B82D46"/>
    <w:rsid w:val="00B9197F"/>
    <w:rsid w:val="00B92AE4"/>
    <w:rsid w:val="00BB4B3B"/>
    <w:rsid w:val="00BC5063"/>
    <w:rsid w:val="00BC7CCA"/>
    <w:rsid w:val="00BD3C9B"/>
    <w:rsid w:val="00BE08FD"/>
    <w:rsid w:val="00BE177F"/>
    <w:rsid w:val="00BE58EC"/>
    <w:rsid w:val="00BF1E34"/>
    <w:rsid w:val="00BF5DE0"/>
    <w:rsid w:val="00C21AB7"/>
    <w:rsid w:val="00C44D0C"/>
    <w:rsid w:val="00C4545C"/>
    <w:rsid w:val="00C525E3"/>
    <w:rsid w:val="00C64045"/>
    <w:rsid w:val="00C776E4"/>
    <w:rsid w:val="00C86690"/>
    <w:rsid w:val="00C95C52"/>
    <w:rsid w:val="00C96A54"/>
    <w:rsid w:val="00CA2B36"/>
    <w:rsid w:val="00CA63F3"/>
    <w:rsid w:val="00CB0664"/>
    <w:rsid w:val="00CB093D"/>
    <w:rsid w:val="00CB4A3A"/>
    <w:rsid w:val="00CC06ED"/>
    <w:rsid w:val="00CE0134"/>
    <w:rsid w:val="00CE7539"/>
    <w:rsid w:val="00CF717B"/>
    <w:rsid w:val="00D00875"/>
    <w:rsid w:val="00D01895"/>
    <w:rsid w:val="00D17E86"/>
    <w:rsid w:val="00D20D23"/>
    <w:rsid w:val="00D353BC"/>
    <w:rsid w:val="00D35541"/>
    <w:rsid w:val="00D40DB1"/>
    <w:rsid w:val="00D45772"/>
    <w:rsid w:val="00D45C82"/>
    <w:rsid w:val="00D47A77"/>
    <w:rsid w:val="00D61E33"/>
    <w:rsid w:val="00D70508"/>
    <w:rsid w:val="00D74369"/>
    <w:rsid w:val="00D75841"/>
    <w:rsid w:val="00D80516"/>
    <w:rsid w:val="00D856ED"/>
    <w:rsid w:val="00D8740E"/>
    <w:rsid w:val="00D955B4"/>
    <w:rsid w:val="00D97F50"/>
    <w:rsid w:val="00DB6269"/>
    <w:rsid w:val="00DC52E2"/>
    <w:rsid w:val="00DC649E"/>
    <w:rsid w:val="00DD0014"/>
    <w:rsid w:val="00DD0B6D"/>
    <w:rsid w:val="00DD56DC"/>
    <w:rsid w:val="00DD5C92"/>
    <w:rsid w:val="00DD7589"/>
    <w:rsid w:val="00DF53F7"/>
    <w:rsid w:val="00DF7418"/>
    <w:rsid w:val="00E06BC2"/>
    <w:rsid w:val="00E15CDE"/>
    <w:rsid w:val="00E17E42"/>
    <w:rsid w:val="00E272B4"/>
    <w:rsid w:val="00E30E61"/>
    <w:rsid w:val="00E37EB1"/>
    <w:rsid w:val="00E471C3"/>
    <w:rsid w:val="00E72E01"/>
    <w:rsid w:val="00E83B98"/>
    <w:rsid w:val="00E95F61"/>
    <w:rsid w:val="00E97CB1"/>
    <w:rsid w:val="00EA21A6"/>
    <w:rsid w:val="00EB0AF2"/>
    <w:rsid w:val="00EB3830"/>
    <w:rsid w:val="00EB6BE4"/>
    <w:rsid w:val="00EC69DB"/>
    <w:rsid w:val="00ECC5E0"/>
    <w:rsid w:val="00ED173D"/>
    <w:rsid w:val="00EE293A"/>
    <w:rsid w:val="00EE5524"/>
    <w:rsid w:val="00EF19A6"/>
    <w:rsid w:val="00EF25DC"/>
    <w:rsid w:val="00F000B3"/>
    <w:rsid w:val="00F120CF"/>
    <w:rsid w:val="00F23188"/>
    <w:rsid w:val="00F3094E"/>
    <w:rsid w:val="00F368CE"/>
    <w:rsid w:val="00F4125B"/>
    <w:rsid w:val="00F500A4"/>
    <w:rsid w:val="00F56114"/>
    <w:rsid w:val="00F82694"/>
    <w:rsid w:val="00F8513F"/>
    <w:rsid w:val="00F904F9"/>
    <w:rsid w:val="00F929E8"/>
    <w:rsid w:val="00F9746C"/>
    <w:rsid w:val="00F97D4C"/>
    <w:rsid w:val="00FA2197"/>
    <w:rsid w:val="00FA2E49"/>
    <w:rsid w:val="00FC2241"/>
    <w:rsid w:val="00FC693F"/>
    <w:rsid w:val="00FD2B7D"/>
    <w:rsid w:val="00FD572B"/>
    <w:rsid w:val="00FD6499"/>
    <w:rsid w:val="00FE0359"/>
    <w:rsid w:val="00FE230F"/>
    <w:rsid w:val="00FF137D"/>
    <w:rsid w:val="00FF56AF"/>
    <w:rsid w:val="00FF6B5F"/>
    <w:rsid w:val="029BA00E"/>
    <w:rsid w:val="03227BA9"/>
    <w:rsid w:val="034EC174"/>
    <w:rsid w:val="03A05C27"/>
    <w:rsid w:val="04773DF1"/>
    <w:rsid w:val="04A5443A"/>
    <w:rsid w:val="05048471"/>
    <w:rsid w:val="052F97BB"/>
    <w:rsid w:val="06544C69"/>
    <w:rsid w:val="06869B46"/>
    <w:rsid w:val="07C51D54"/>
    <w:rsid w:val="0808186C"/>
    <w:rsid w:val="0853C8F1"/>
    <w:rsid w:val="09C7C07D"/>
    <w:rsid w:val="0BB79A9D"/>
    <w:rsid w:val="0C2B4B91"/>
    <w:rsid w:val="0CADDFCF"/>
    <w:rsid w:val="0D19A8DB"/>
    <w:rsid w:val="0D932687"/>
    <w:rsid w:val="0E0D6A04"/>
    <w:rsid w:val="0E70F004"/>
    <w:rsid w:val="0FBF844B"/>
    <w:rsid w:val="0FEA4C84"/>
    <w:rsid w:val="107E03C4"/>
    <w:rsid w:val="1089C9BC"/>
    <w:rsid w:val="10FFC4E8"/>
    <w:rsid w:val="135C58C3"/>
    <w:rsid w:val="14319D73"/>
    <w:rsid w:val="1591CD22"/>
    <w:rsid w:val="1684D713"/>
    <w:rsid w:val="16AC1B04"/>
    <w:rsid w:val="16E21D7E"/>
    <w:rsid w:val="170890E1"/>
    <w:rsid w:val="179127BD"/>
    <w:rsid w:val="17CAC4C9"/>
    <w:rsid w:val="18531D0A"/>
    <w:rsid w:val="18A230C0"/>
    <w:rsid w:val="1905A8FC"/>
    <w:rsid w:val="1A1845B9"/>
    <w:rsid w:val="1BAE4376"/>
    <w:rsid w:val="1C0CBDC3"/>
    <w:rsid w:val="1C273D4A"/>
    <w:rsid w:val="1C6BE50E"/>
    <w:rsid w:val="1D760D7C"/>
    <w:rsid w:val="1DA75CC2"/>
    <w:rsid w:val="1E60826C"/>
    <w:rsid w:val="1EA5BAEB"/>
    <w:rsid w:val="1EF8D703"/>
    <w:rsid w:val="20898FE8"/>
    <w:rsid w:val="21D44471"/>
    <w:rsid w:val="22D8D887"/>
    <w:rsid w:val="2421314A"/>
    <w:rsid w:val="24C728BA"/>
    <w:rsid w:val="282D2CD9"/>
    <w:rsid w:val="287794C3"/>
    <w:rsid w:val="28CB9E14"/>
    <w:rsid w:val="2970D9F7"/>
    <w:rsid w:val="2C303B91"/>
    <w:rsid w:val="2C7EDF18"/>
    <w:rsid w:val="2DB5024A"/>
    <w:rsid w:val="2E358DDB"/>
    <w:rsid w:val="2EA2A775"/>
    <w:rsid w:val="2F574939"/>
    <w:rsid w:val="2FB63E4C"/>
    <w:rsid w:val="30C43827"/>
    <w:rsid w:val="318E6F0B"/>
    <w:rsid w:val="32644914"/>
    <w:rsid w:val="32A57160"/>
    <w:rsid w:val="3465FD34"/>
    <w:rsid w:val="354DBC92"/>
    <w:rsid w:val="3592A1E5"/>
    <w:rsid w:val="35AA3808"/>
    <w:rsid w:val="35D4E4E7"/>
    <w:rsid w:val="3656C70E"/>
    <w:rsid w:val="36C4665B"/>
    <w:rsid w:val="375C9EAA"/>
    <w:rsid w:val="3AB7D12A"/>
    <w:rsid w:val="3B4A9ECD"/>
    <w:rsid w:val="3B9854DF"/>
    <w:rsid w:val="3BC465E7"/>
    <w:rsid w:val="3DA4515A"/>
    <w:rsid w:val="3DE86CBB"/>
    <w:rsid w:val="3EE443CA"/>
    <w:rsid w:val="3F081356"/>
    <w:rsid w:val="412B49E2"/>
    <w:rsid w:val="419132ED"/>
    <w:rsid w:val="41F5847A"/>
    <w:rsid w:val="423445D3"/>
    <w:rsid w:val="42710427"/>
    <w:rsid w:val="42880C78"/>
    <w:rsid w:val="4305CCB4"/>
    <w:rsid w:val="43A6F354"/>
    <w:rsid w:val="43D7F2DE"/>
    <w:rsid w:val="4444CAF4"/>
    <w:rsid w:val="44635331"/>
    <w:rsid w:val="44CC4F36"/>
    <w:rsid w:val="470AD9EA"/>
    <w:rsid w:val="484A6D37"/>
    <w:rsid w:val="486DB272"/>
    <w:rsid w:val="492639DC"/>
    <w:rsid w:val="49725088"/>
    <w:rsid w:val="4A0D2394"/>
    <w:rsid w:val="4AA767FD"/>
    <w:rsid w:val="4AD11737"/>
    <w:rsid w:val="4BC106A6"/>
    <w:rsid w:val="4D0A9C2A"/>
    <w:rsid w:val="4DB764E1"/>
    <w:rsid w:val="4E3C0560"/>
    <w:rsid w:val="4E936256"/>
    <w:rsid w:val="4EC61081"/>
    <w:rsid w:val="4EEC8452"/>
    <w:rsid w:val="4F2B7524"/>
    <w:rsid w:val="4F5F052A"/>
    <w:rsid w:val="4FABBDDA"/>
    <w:rsid w:val="4FBD3307"/>
    <w:rsid w:val="50CF0996"/>
    <w:rsid w:val="50E59B1C"/>
    <w:rsid w:val="51491D1F"/>
    <w:rsid w:val="51D5C162"/>
    <w:rsid w:val="5347A4B9"/>
    <w:rsid w:val="535EFA4F"/>
    <w:rsid w:val="54952F5A"/>
    <w:rsid w:val="56555563"/>
    <w:rsid w:val="572A5844"/>
    <w:rsid w:val="57F47A97"/>
    <w:rsid w:val="58DFFA9E"/>
    <w:rsid w:val="5A7F9C58"/>
    <w:rsid w:val="5AF3A0AE"/>
    <w:rsid w:val="5BA56EF5"/>
    <w:rsid w:val="5C9CF17C"/>
    <w:rsid w:val="5D5B2019"/>
    <w:rsid w:val="5F8CE0E2"/>
    <w:rsid w:val="6148273F"/>
    <w:rsid w:val="61DD0F24"/>
    <w:rsid w:val="61EE1EAF"/>
    <w:rsid w:val="6263550A"/>
    <w:rsid w:val="63AAD4AB"/>
    <w:rsid w:val="63D763B4"/>
    <w:rsid w:val="63F064CF"/>
    <w:rsid w:val="653DFB99"/>
    <w:rsid w:val="660CB656"/>
    <w:rsid w:val="66F296A5"/>
    <w:rsid w:val="67D68621"/>
    <w:rsid w:val="6807B3BE"/>
    <w:rsid w:val="68387670"/>
    <w:rsid w:val="68D17C51"/>
    <w:rsid w:val="68DD7E24"/>
    <w:rsid w:val="69C02FED"/>
    <w:rsid w:val="6A309375"/>
    <w:rsid w:val="6A5C1A6E"/>
    <w:rsid w:val="6A7364C9"/>
    <w:rsid w:val="6B7DD37D"/>
    <w:rsid w:val="6C233699"/>
    <w:rsid w:val="6D04E579"/>
    <w:rsid w:val="6FC6D8D8"/>
    <w:rsid w:val="6FF7F920"/>
    <w:rsid w:val="711FF545"/>
    <w:rsid w:val="71BB5F6F"/>
    <w:rsid w:val="77037F21"/>
    <w:rsid w:val="7737A8A4"/>
    <w:rsid w:val="77B0BB8A"/>
    <w:rsid w:val="77C825C1"/>
    <w:rsid w:val="78D2F05E"/>
    <w:rsid w:val="78ED46F5"/>
    <w:rsid w:val="790C7504"/>
    <w:rsid w:val="7A44DF52"/>
    <w:rsid w:val="7A76D29C"/>
    <w:rsid w:val="7A9DEA13"/>
    <w:rsid w:val="7AE36F76"/>
    <w:rsid w:val="7B21164A"/>
    <w:rsid w:val="7B6764A2"/>
    <w:rsid w:val="7F4DFCB8"/>
    <w:rsid w:val="7F5EEC63"/>
    <w:rsid w:val="7F8D4515"/>
    <w:rsid w:val="7F90FFD5"/>
    <w:rsid w:val="7FE7C8A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0BA827"/>
  <w14:defaultImageDpi w14:val="300"/>
  <w15:docId w15:val="{80CEF029-5ED0-4EF0-B5E2-DFCFA739F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4"/>
      </w:numPr>
      <w:contextualSpacing/>
    </w:pPr>
  </w:style>
  <w:style w:type="paragraph" w:styleId="ListBullet3">
    <w:name w:val="List Bullet 3"/>
    <w:basedOn w:val="Normal"/>
    <w:uiPriority w:val="99"/>
    <w:unhideWhenUsed/>
    <w:rsid w:val="00326F90"/>
    <w:pPr>
      <w:numPr>
        <w:numId w:val="2"/>
      </w:numPr>
      <w:contextualSpacing/>
    </w:pPr>
  </w:style>
  <w:style w:type="paragraph" w:styleId="ListNumber">
    <w:name w:val="List Number"/>
    <w:basedOn w:val="Normal"/>
    <w:uiPriority w:val="99"/>
    <w:unhideWhenUsed/>
    <w:rsid w:val="00326F90"/>
    <w:pPr>
      <w:numPr>
        <w:numId w:val="6"/>
      </w:numPr>
      <w:contextualSpacing/>
    </w:pPr>
  </w:style>
  <w:style w:type="paragraph" w:styleId="ListNumber2">
    <w:name w:val="List Number 2"/>
    <w:basedOn w:val="Normal"/>
    <w:uiPriority w:val="99"/>
    <w:unhideWhenUsed/>
    <w:rsid w:val="0029639D"/>
    <w:pPr>
      <w:numPr>
        <w:numId w:val="3"/>
      </w:numPr>
      <w:contextualSpacing/>
    </w:pPr>
  </w:style>
  <w:style w:type="paragraph" w:styleId="ListNumber3">
    <w:name w:val="List Number 3"/>
    <w:basedOn w:val="Normal"/>
    <w:uiPriority w:val="99"/>
    <w:unhideWhenUsed/>
    <w:rsid w:val="0029639D"/>
    <w:pPr>
      <w:numPr>
        <w:numId w:val="5"/>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paragraph" w:customStyle="1" w:styleId="paragraph">
    <w:name w:val="paragraph"/>
    <w:basedOn w:val="Normal"/>
    <w:rsid w:val="00340E3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340E3F"/>
  </w:style>
  <w:style w:type="character" w:customStyle="1" w:styleId="eop">
    <w:name w:val="eop"/>
    <w:basedOn w:val="DefaultParagraphFont"/>
    <w:rsid w:val="00340E3F"/>
  </w:style>
  <w:style w:type="character" w:customStyle="1" w:styleId="scxw180174245">
    <w:name w:val="scxw180174245"/>
    <w:basedOn w:val="DefaultParagraphFont"/>
    <w:rsid w:val="00D01895"/>
  </w:style>
  <w:style w:type="character" w:customStyle="1" w:styleId="wacimagecontainer">
    <w:name w:val="wacimagecontainer"/>
    <w:basedOn w:val="DefaultParagraphFont"/>
    <w:rsid w:val="00551DCB"/>
  </w:style>
  <w:style w:type="character" w:customStyle="1" w:styleId="scxw261747703">
    <w:name w:val="scxw261747703"/>
    <w:basedOn w:val="DefaultParagraphFont"/>
    <w:rsid w:val="00993EDC"/>
  </w:style>
  <w:style w:type="paragraph" w:styleId="NormalWeb">
    <w:name w:val="Normal (Web)"/>
    <w:basedOn w:val="Normal"/>
    <w:uiPriority w:val="99"/>
    <w:semiHidden/>
    <w:unhideWhenUsed/>
    <w:rsid w:val="003E5C5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customStyle="1" w:styleId="ColorfulShading-Accent11">
    <w:name w:val="Colorful Shading - Accent 11"/>
    <w:basedOn w:val="TableNormal"/>
    <w:uiPriority w:val="71"/>
    <w:rsid w:val="003E5C51"/>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customStyle="1" w:styleId="ColorfulShading-Accent21">
    <w:name w:val="Colorful Shading - Accent 21"/>
    <w:basedOn w:val="TableNormal"/>
    <w:uiPriority w:val="71"/>
    <w:rsid w:val="003E5C51"/>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customStyle="1" w:styleId="ColorfulShading-Accent31">
    <w:name w:val="Colorful Shading - Accent 31"/>
    <w:basedOn w:val="TableNormal"/>
    <w:uiPriority w:val="71"/>
    <w:rsid w:val="003E5C51"/>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customStyle="1" w:styleId="ColorfulShading-Accent41">
    <w:name w:val="Colorful Shading - Accent 41"/>
    <w:basedOn w:val="TableNormal"/>
    <w:uiPriority w:val="71"/>
    <w:rsid w:val="003E5C51"/>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customStyle="1" w:styleId="ColorfulShading-Accent51">
    <w:name w:val="Colorful Shading - Accent 51"/>
    <w:basedOn w:val="TableNormal"/>
    <w:uiPriority w:val="71"/>
    <w:rsid w:val="003E5C51"/>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customStyle="1" w:styleId="ColorfulShading-Accent61">
    <w:name w:val="Colorful Shading - Accent 61"/>
    <w:basedOn w:val="TableNormal"/>
    <w:uiPriority w:val="71"/>
    <w:rsid w:val="003E5C51"/>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customStyle="1" w:styleId="ColorfulList-Accent11">
    <w:name w:val="Colorful List - Accent 11"/>
    <w:basedOn w:val="TableNormal"/>
    <w:uiPriority w:val="72"/>
    <w:rsid w:val="003E5C51"/>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customStyle="1" w:styleId="ColorfulList-Accent21">
    <w:name w:val="Colorful List - Accent 21"/>
    <w:basedOn w:val="TableNormal"/>
    <w:uiPriority w:val="72"/>
    <w:rsid w:val="003E5C51"/>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customStyle="1" w:styleId="ColorfulList-Accent31">
    <w:name w:val="Colorful List - Accent 31"/>
    <w:basedOn w:val="TableNormal"/>
    <w:uiPriority w:val="72"/>
    <w:rsid w:val="003E5C51"/>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customStyle="1" w:styleId="ColorfulList-Accent41">
    <w:name w:val="Colorful List - Accent 41"/>
    <w:basedOn w:val="TableNormal"/>
    <w:uiPriority w:val="72"/>
    <w:rsid w:val="003E5C51"/>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customStyle="1" w:styleId="ColorfulList-Accent51">
    <w:name w:val="Colorful List - Accent 51"/>
    <w:basedOn w:val="TableNormal"/>
    <w:uiPriority w:val="72"/>
    <w:rsid w:val="003E5C51"/>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customStyle="1" w:styleId="ColorfulList-Accent61">
    <w:name w:val="Colorful List - Accent 61"/>
    <w:basedOn w:val="TableNormal"/>
    <w:uiPriority w:val="72"/>
    <w:rsid w:val="003E5C51"/>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customStyle="1" w:styleId="ColorfulGrid-Accent11">
    <w:name w:val="Colorful Grid - Accent 11"/>
    <w:basedOn w:val="TableNormal"/>
    <w:uiPriority w:val="73"/>
    <w:rsid w:val="003E5C5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customStyle="1" w:styleId="ColorfulGrid-Accent21">
    <w:name w:val="Colorful Grid - Accent 21"/>
    <w:basedOn w:val="TableNormal"/>
    <w:uiPriority w:val="73"/>
    <w:rsid w:val="003E5C5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customStyle="1" w:styleId="ColorfulGrid-Accent31">
    <w:name w:val="Colorful Grid - Accent 31"/>
    <w:basedOn w:val="TableNormal"/>
    <w:uiPriority w:val="73"/>
    <w:rsid w:val="003E5C5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customStyle="1" w:styleId="ColorfulGrid-Accent41">
    <w:name w:val="Colorful Grid - Accent 41"/>
    <w:basedOn w:val="TableNormal"/>
    <w:uiPriority w:val="73"/>
    <w:rsid w:val="003E5C5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customStyle="1" w:styleId="ColorfulGrid-Accent51">
    <w:name w:val="Colorful Grid - Accent 51"/>
    <w:basedOn w:val="TableNormal"/>
    <w:uiPriority w:val="73"/>
    <w:rsid w:val="003E5C5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customStyle="1" w:styleId="ColorfulGrid-Accent61">
    <w:name w:val="Colorful Grid - Accent 61"/>
    <w:basedOn w:val="TableNormal"/>
    <w:uiPriority w:val="73"/>
    <w:rsid w:val="003E5C5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78D2F05E"/>
    <w:rPr>
      <w:color w:val="0000FF"/>
      <w:u w:val="single"/>
    </w:rPr>
  </w:style>
  <w:style w:type="paragraph" w:styleId="TOC1">
    <w:name w:val="toc 1"/>
    <w:basedOn w:val="Normal"/>
    <w:next w:val="Normal"/>
    <w:uiPriority w:val="39"/>
    <w:unhideWhenUsed/>
    <w:rsid w:val="78D2F05E"/>
    <w:pPr>
      <w:spacing w:after="100"/>
    </w:pPr>
  </w:style>
  <w:style w:type="paragraph" w:styleId="TOC2">
    <w:name w:val="toc 2"/>
    <w:basedOn w:val="Normal"/>
    <w:next w:val="Normal"/>
    <w:uiPriority w:val="39"/>
    <w:unhideWhenUsed/>
    <w:rsid w:val="78D2F05E"/>
    <w:pPr>
      <w:spacing w:after="100"/>
      <w:ind w:left="220"/>
    </w:pPr>
  </w:style>
  <w:style w:type="paragraph" w:styleId="TOC3">
    <w:name w:val="toc 3"/>
    <w:basedOn w:val="Normal"/>
    <w:next w:val="Normal"/>
    <w:uiPriority w:val="39"/>
    <w:unhideWhenUsed/>
    <w:rsid w:val="78D2F05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2.xm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8c299e8ad931271a6720e87e7e2ef53">
  <xsd:schema xmlns:xsd="http://www.w3.org/2001/XMLSchema" xmlns:xs="http://www.w3.org/2001/XMLSchema" xmlns:p="http://schemas.microsoft.com/office/2006/metadata/properties" xmlns:ns3="0085e1a2-9cbf-4b92-866b-21f3c89040b6" targetNamespace="http://schemas.microsoft.com/office/2006/metadata/properties" ma:root="true" ma:fieldsID="afd5d941e4da134346e4e6ee9dcc866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E1C8B726-731B-40D0-9EB4-4A4CAECDA1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3ABE3F-AE2A-46FB-B353-B4E65A5A8722}">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0B117097-B131-455D-A828-9764FE625B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Pages>
  <Words>8483</Words>
  <Characters>48359</Characters>
  <Application>Microsoft Office Word</Application>
  <DocSecurity>4</DocSecurity>
  <Lines>402</Lines>
  <Paragraphs>113</Paragraphs>
  <ScaleCrop>false</ScaleCrop>
  <Manager/>
  <Company/>
  <LinksUpToDate>false</LinksUpToDate>
  <CharactersWithSpaces>56729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Adefemi Adetunji (2408970)</cp:lastModifiedBy>
  <cp:revision>310</cp:revision>
  <dcterms:created xsi:type="dcterms:W3CDTF">2026-02-27T04:10:00Z</dcterms:created>
  <dcterms:modified xsi:type="dcterms:W3CDTF">2026-03-27T16:33:00Z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