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B9E1" w14:textId="11B2C96F" w:rsidR="0020113F" w:rsidRPr="003124CF" w:rsidRDefault="00DF2ED8" w:rsidP="003124CF">
      <w:pPr>
        <w:spacing w:line="360" w:lineRule="auto"/>
        <w:jc w:val="both"/>
        <w:rPr>
          <w:rFonts w:ascii="Arial" w:hAnsi="Arial" w:cs="Arial"/>
          <w:u w:val="single"/>
        </w:rPr>
      </w:pPr>
      <w:r w:rsidRPr="003124CF">
        <w:rPr>
          <w:rFonts w:ascii="Arial" w:hAnsi="Arial" w:cs="Arial"/>
          <w:u w:val="single"/>
        </w:rPr>
        <w:t>Reference List</w:t>
      </w:r>
    </w:p>
    <w:p w14:paraId="2F3C3027" w14:textId="77777777" w:rsidR="006E34E3" w:rsidRDefault="006E34E3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D71F812" w14:textId="61B9C80B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Anzar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 xml:space="preserve">, C. MacGregor, A. Rosenberg, G. Porter, L. &amp;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Lepps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>, H. (2016) ‘Ad Brake: Primary school children’s perceptions of unhealthy food advertising on TV’, </w:t>
      </w:r>
      <w:r w:rsidRPr="00B05B26">
        <w:rPr>
          <w:rFonts w:ascii="Arial" w:hAnsi="Arial" w:cs="Arial"/>
          <w:i/>
          <w:iCs/>
          <w:color w:val="222222"/>
        </w:rPr>
        <w:t>Cancer Research UK: London, UK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. </w:t>
      </w:r>
    </w:p>
    <w:p w14:paraId="6FFD097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84681E9" w14:textId="658665D2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Bandura, A. Freeman, W.H. and Lightsey, R. (1999) Self-efficacy: The exercise of control.</w:t>
      </w:r>
    </w:p>
    <w:p w14:paraId="26CB8791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73F2AA66" w14:textId="59622FAB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proofErr w:type="spellStart"/>
      <w:r w:rsidRPr="00B05B26">
        <w:rPr>
          <w:rFonts w:ascii="Arial" w:hAnsi="Arial" w:cs="Arial"/>
        </w:rPr>
        <w:t>Bbc</w:t>
      </w:r>
      <w:proofErr w:type="spellEnd"/>
      <w:r w:rsidRPr="00B05B26">
        <w:rPr>
          <w:rFonts w:ascii="Arial" w:hAnsi="Arial" w:cs="Arial"/>
        </w:rPr>
        <w:t xml:space="preserve"> News (2019) </w:t>
      </w:r>
      <w:r w:rsidRPr="00B05B26">
        <w:rPr>
          <w:rFonts w:ascii="Arial" w:hAnsi="Arial" w:cs="Arial"/>
          <w:i/>
          <w:iCs/>
        </w:rPr>
        <w:t xml:space="preserve">Severely obese Welsh children numbers reach 1,000, figures show. </w:t>
      </w:r>
      <w:r w:rsidRPr="00B05B26">
        <w:rPr>
          <w:rFonts w:ascii="Arial" w:hAnsi="Arial" w:cs="Arial"/>
        </w:rPr>
        <w:t xml:space="preserve">Available at: </w:t>
      </w:r>
      <w:hyperlink r:id="rId6" w:history="1">
        <w:r w:rsidRPr="00B05B26">
          <w:rPr>
            <w:rStyle w:val="Hyperlink"/>
            <w:rFonts w:ascii="Arial" w:hAnsi="Arial" w:cs="Arial"/>
          </w:rPr>
          <w:t>https://www.bbc.co.uk/news/uk-wales-47483203</w:t>
        </w:r>
      </w:hyperlink>
      <w:r w:rsidRPr="00B05B26">
        <w:rPr>
          <w:rFonts w:ascii="Arial" w:hAnsi="Arial" w:cs="Arial"/>
        </w:rPr>
        <w:t xml:space="preserve"> (Accessed: 30th April 2020).</w:t>
      </w:r>
    </w:p>
    <w:p w14:paraId="08740FE6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3F7FF454" w14:textId="691C9459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Cason-Wilkerson, R. Goldberg, S. Albright, K. Allison, M. and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Haemer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>, M. (2015) ‘Factors influencing healthy lifestyle changes: a qualitative look at low-income families engaged in treatment for overweight children’,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Childhood Obesity</w:t>
      </w:r>
      <w:r w:rsidRPr="00B05B26">
        <w:rPr>
          <w:rFonts w:ascii="Arial" w:hAnsi="Arial" w:cs="Arial"/>
          <w:color w:val="222222"/>
          <w:shd w:val="clear" w:color="auto" w:fill="FFFFFF"/>
        </w:rPr>
        <w:t>,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11</w:t>
      </w:r>
      <w:r w:rsidRPr="00B05B26">
        <w:rPr>
          <w:rFonts w:ascii="Arial" w:hAnsi="Arial" w:cs="Arial"/>
          <w:color w:val="222222"/>
          <w:shd w:val="clear" w:color="auto" w:fill="FFFFFF"/>
        </w:rPr>
        <w:t>(2), pp.170-176.</w:t>
      </w:r>
      <w:r w:rsidRPr="00B05B26">
        <w:rPr>
          <w:rFonts w:ascii="Arial" w:hAnsi="Arial" w:cs="Arial"/>
        </w:rPr>
        <w:t xml:space="preserve"> (Accessed: 22nd April 2020) DOI: </w:t>
      </w:r>
      <w:hyperlink r:id="rId7" w:history="1">
        <w:r w:rsidRPr="00B05B26">
          <w:rPr>
            <w:rStyle w:val="Hyperlink"/>
            <w:rFonts w:ascii="Arial" w:hAnsi="Arial" w:cs="Arial"/>
            <w:u w:val="none"/>
          </w:rPr>
          <w:t>https://doi.org/10.1089/chi.2014.0147</w:t>
        </w:r>
      </w:hyperlink>
      <w:r w:rsidRPr="00B05B26">
        <w:rPr>
          <w:rFonts w:ascii="Arial" w:hAnsi="Arial" w:cs="Arial"/>
        </w:rPr>
        <w:t xml:space="preserve">. </w:t>
      </w:r>
    </w:p>
    <w:p w14:paraId="7EBCCAF6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2ACD1C4C" w14:textId="67929DCE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Chesham, R.A. Booth, J.N. Sweeney, E.L. Ryde, G.C.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Gorely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 xml:space="preserve">, T. Brooks, N.E. and Moran, C.N. (2018) ‘The Daily Mile makes primary school children more active, less sedentary and improves their fitness and body composition: a quasi-experimental pilot study’, </w:t>
      </w:r>
      <w:r w:rsidRPr="00B05B26">
        <w:rPr>
          <w:rFonts w:ascii="Arial" w:hAnsi="Arial" w:cs="Arial"/>
          <w:i/>
          <w:iCs/>
          <w:color w:val="222222"/>
        </w:rPr>
        <w:t>BMC medicine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16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(1), p.64. (Accessed: 27th April 2020) DOI: </w:t>
      </w:r>
      <w:hyperlink r:id="rId8" w:history="1">
        <w:r w:rsidRPr="00B05B26">
          <w:rPr>
            <w:rStyle w:val="Hyperlink"/>
            <w:rFonts w:ascii="Arial" w:hAnsi="Arial" w:cs="Arial"/>
            <w:color w:val="8E2555"/>
          </w:rPr>
          <w:t>https://doi.org/10.1186/s12916-018-1049-z</w:t>
        </w:r>
      </w:hyperlink>
      <w:r w:rsidRPr="00B05B26">
        <w:rPr>
          <w:rFonts w:ascii="Arial" w:hAnsi="Arial" w:cs="Arial"/>
        </w:rPr>
        <w:t>.</w:t>
      </w:r>
    </w:p>
    <w:p w14:paraId="7E33A14B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19C36B06" w14:textId="2BC34B7C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Dahlgren, G. and Whitehead, M. (1991) </w:t>
      </w:r>
      <w:r w:rsidRPr="00B05B26">
        <w:rPr>
          <w:rFonts w:ascii="Arial" w:hAnsi="Arial" w:cs="Arial"/>
          <w:i/>
          <w:iCs/>
        </w:rPr>
        <w:t>Policies and Strategies to Promote Social Equality in Health.</w:t>
      </w:r>
      <w:r w:rsidRPr="00B05B26">
        <w:rPr>
          <w:rFonts w:ascii="Arial" w:hAnsi="Arial" w:cs="Arial"/>
        </w:rPr>
        <w:t xml:space="preserve"> Stockholm: Institute for the Futures Studies. </w:t>
      </w:r>
    </w:p>
    <w:p w14:paraId="60F02D9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78ED8FBB" w14:textId="1DBFC4DE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Dani, J. Burrill, C. and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Demmig</w:t>
      </w:r>
      <w:proofErr w:type="spellEnd"/>
      <w:r w:rsidRPr="00B05B26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B05B26">
        <w:rPr>
          <w:rFonts w:ascii="Arial" w:hAnsi="Arial" w:cs="Arial"/>
          <w:color w:val="222222"/>
          <w:shd w:val="clear" w:color="auto" w:fill="FFFFFF"/>
        </w:rPr>
        <w:t>Adams, B. (2005) ‘The remarkable role of nutrition in learning and behaviour’, </w:t>
      </w:r>
      <w:r w:rsidRPr="00B05B26">
        <w:rPr>
          <w:rFonts w:ascii="Arial" w:hAnsi="Arial" w:cs="Arial"/>
          <w:i/>
          <w:iCs/>
          <w:color w:val="222222"/>
        </w:rPr>
        <w:t>Nutrition &amp; Food Science</w:t>
      </w:r>
      <w:r w:rsidRPr="00B05B26">
        <w:rPr>
          <w:rFonts w:ascii="Arial" w:hAnsi="Arial" w:cs="Arial"/>
          <w:color w:val="222222"/>
          <w:shd w:val="clear" w:color="auto" w:fill="FFFFFF"/>
        </w:rPr>
        <w:t>.</w:t>
      </w:r>
    </w:p>
    <w:p w14:paraId="6C5B17C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4CAFEEDF" w14:textId="791316B5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Education Wales (2019) </w:t>
      </w:r>
      <w:r w:rsidRPr="00B05B26">
        <w:rPr>
          <w:rFonts w:ascii="Arial" w:hAnsi="Arial" w:cs="Arial"/>
          <w:i/>
          <w:iCs/>
        </w:rPr>
        <w:t>Support for Children and Young People with Autistic Spectrum Disorder (ASD) in educational settings,</w:t>
      </w:r>
      <w:r w:rsidRPr="00B05B26">
        <w:rPr>
          <w:rFonts w:ascii="Arial" w:hAnsi="Arial" w:cs="Arial"/>
        </w:rPr>
        <w:t xml:space="preserve"> Wales: Welsh Government. Available at: </w:t>
      </w:r>
      <w:hyperlink r:id="rId9" w:history="1">
        <w:r w:rsidRPr="00B05B26">
          <w:rPr>
            <w:rStyle w:val="Hyperlink"/>
            <w:rFonts w:ascii="Arial" w:hAnsi="Arial" w:cs="Arial"/>
          </w:rPr>
          <w:t>https://gov.wales/sites/default/files/publications/2019-01/ways-of-</w:t>
        </w:r>
        <w:r w:rsidRPr="00B05B26">
          <w:rPr>
            <w:rStyle w:val="Hyperlink"/>
            <w:rFonts w:ascii="Arial" w:hAnsi="Arial" w:cs="Arial"/>
          </w:rPr>
          <w:lastRenderedPageBreak/>
          <w:t>supporting-learners-with-autistic-spectrum-disorder-asd.pdf</w:t>
        </w:r>
      </w:hyperlink>
      <w:r w:rsidRPr="00B05B26">
        <w:rPr>
          <w:rFonts w:ascii="Arial" w:hAnsi="Arial" w:cs="Arial"/>
        </w:rPr>
        <w:t xml:space="preserve"> (Accessed: 5th May 2020). </w:t>
      </w:r>
    </w:p>
    <w:p w14:paraId="0CAABBC4" w14:textId="77777777" w:rsidR="006E34E3" w:rsidRDefault="006E34E3" w:rsidP="00C84FEC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46BB742" w14:textId="3310200F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i/>
          <w:iCs/>
        </w:rPr>
        <w:t xml:space="preserve">Equality Act 2010. </w:t>
      </w:r>
      <w:r w:rsidRPr="00B05B26">
        <w:rPr>
          <w:rFonts w:ascii="Arial" w:hAnsi="Arial" w:cs="Arial"/>
        </w:rPr>
        <w:t xml:space="preserve">Available at: </w:t>
      </w:r>
      <w:hyperlink r:id="rId10" w:history="1">
        <w:r w:rsidRPr="00B05B26">
          <w:rPr>
            <w:rStyle w:val="Hyperlink"/>
            <w:rFonts w:ascii="Arial" w:hAnsi="Arial" w:cs="Arial"/>
          </w:rPr>
          <w:t>https://www.gov.uk/guidance/equality-act-2010-guidance</w:t>
        </w:r>
      </w:hyperlink>
      <w:r w:rsidRPr="00B05B26">
        <w:rPr>
          <w:rFonts w:ascii="Arial" w:hAnsi="Arial" w:cs="Arial"/>
        </w:rPr>
        <w:t xml:space="preserve"> (Accessed: 28th April 2020). </w:t>
      </w:r>
    </w:p>
    <w:p w14:paraId="7EBCE825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03621514" w14:textId="7DAD5C5A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Estyn (2019) </w:t>
      </w:r>
      <w:r w:rsidRPr="00B05B26">
        <w:rPr>
          <w:rFonts w:ascii="Arial" w:hAnsi="Arial" w:cs="Arial"/>
          <w:i/>
          <w:iCs/>
        </w:rPr>
        <w:t xml:space="preserve">School impact on pupils’ health and wellbeing, </w:t>
      </w:r>
      <w:r w:rsidRPr="00B05B26">
        <w:rPr>
          <w:rFonts w:ascii="Arial" w:hAnsi="Arial" w:cs="Arial"/>
        </w:rPr>
        <w:t xml:space="preserve">Wales: Welsh Government. Available at: </w:t>
      </w:r>
      <w:hyperlink r:id="rId11" w:history="1">
        <w:r w:rsidRPr="00B05B26">
          <w:rPr>
            <w:rStyle w:val="Hyperlink"/>
            <w:rFonts w:ascii="Arial" w:hAnsi="Arial" w:cs="Arial"/>
          </w:rPr>
          <w:t>https://www.estyn.gov.wales/sites/www.estyn.gov.wales/files/documents/Healthy%20and%20Happy%20report%20En_0.pdf</w:t>
        </w:r>
      </w:hyperlink>
      <w:r w:rsidRPr="00B05B26">
        <w:rPr>
          <w:rFonts w:ascii="Arial" w:hAnsi="Arial" w:cs="Arial"/>
        </w:rPr>
        <w:t xml:space="preserve"> (Accessed: 5th May 2020).</w:t>
      </w:r>
    </w:p>
    <w:p w14:paraId="42F5F480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4CF5949" w14:textId="3022D299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Eun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>, B. (2019) ‘Adopting a stance: Bandura and Vygotsky on professional development’, </w:t>
      </w:r>
      <w:r w:rsidRPr="00B05B26">
        <w:rPr>
          <w:rFonts w:ascii="Arial" w:hAnsi="Arial" w:cs="Arial"/>
          <w:i/>
          <w:iCs/>
          <w:color w:val="222222"/>
        </w:rPr>
        <w:t>Research in Education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105</w:t>
      </w:r>
      <w:r w:rsidRPr="00B05B26">
        <w:rPr>
          <w:rFonts w:ascii="Arial" w:hAnsi="Arial" w:cs="Arial"/>
          <w:color w:val="222222"/>
          <w:shd w:val="clear" w:color="auto" w:fill="FFFFFF"/>
        </w:rPr>
        <w:t>(1), pp.74-88.</w:t>
      </w:r>
      <w:r w:rsidRPr="00B05B26">
        <w:rPr>
          <w:rFonts w:ascii="Arial" w:hAnsi="Arial" w:cs="Arial"/>
        </w:rPr>
        <w:t xml:space="preserve"> (Accessed: 26th April 2020) DOI: </w:t>
      </w:r>
      <w:hyperlink r:id="rId12" w:history="1">
        <w:r w:rsidRPr="00B05B26">
          <w:rPr>
            <w:rStyle w:val="Hyperlink"/>
            <w:rFonts w:ascii="Arial" w:hAnsi="Arial" w:cs="Arial"/>
            <w:color w:val="006ACC"/>
            <w:u w:val="none"/>
          </w:rPr>
          <w:t>https://doi-org.ezproxy.uwtsd.ac.uk/10.1177/0034523718793431</w:t>
        </w:r>
      </w:hyperlink>
      <w:r w:rsidRPr="00B05B26">
        <w:rPr>
          <w:rFonts w:ascii="Arial" w:hAnsi="Arial" w:cs="Arial"/>
        </w:rPr>
        <w:t xml:space="preserve">. </w:t>
      </w:r>
    </w:p>
    <w:p w14:paraId="694D4CD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01A12821" w14:textId="70B19FD3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</w:rPr>
      </w:pPr>
      <w:r w:rsidRPr="00B05B26">
        <w:rPr>
          <w:rFonts w:ascii="Arial" w:hAnsi="Arial" w:cs="Arial"/>
          <w:color w:val="222222"/>
        </w:rPr>
        <w:t>Gonzalez-</w:t>
      </w:r>
      <w:proofErr w:type="spellStart"/>
      <w:r w:rsidRPr="00B05B26">
        <w:rPr>
          <w:rFonts w:ascii="Arial" w:hAnsi="Arial" w:cs="Arial"/>
          <w:color w:val="222222"/>
        </w:rPr>
        <w:t>DeHass</w:t>
      </w:r>
      <w:proofErr w:type="spellEnd"/>
      <w:r w:rsidRPr="00B05B26">
        <w:rPr>
          <w:rFonts w:ascii="Arial" w:hAnsi="Arial" w:cs="Arial"/>
          <w:color w:val="222222"/>
        </w:rPr>
        <w:t xml:space="preserve">, A.R. and Willems, P.P. (2003) ‘Examining the underutilization of parent involvement in the schools’, </w:t>
      </w:r>
      <w:r w:rsidRPr="00B05B26">
        <w:rPr>
          <w:rFonts w:ascii="Arial" w:hAnsi="Arial" w:cs="Arial"/>
          <w:i/>
          <w:iCs/>
          <w:color w:val="222222"/>
        </w:rPr>
        <w:t>School Community Journal</w:t>
      </w:r>
      <w:r w:rsidRPr="00B05B26">
        <w:rPr>
          <w:rFonts w:ascii="Arial" w:hAnsi="Arial" w:cs="Arial"/>
          <w:color w:val="222222"/>
        </w:rPr>
        <w:t>, </w:t>
      </w:r>
      <w:r w:rsidRPr="00B05B26">
        <w:rPr>
          <w:rFonts w:ascii="Arial" w:hAnsi="Arial" w:cs="Arial"/>
          <w:i/>
          <w:iCs/>
          <w:color w:val="222222"/>
        </w:rPr>
        <w:t>13</w:t>
      </w:r>
      <w:r w:rsidRPr="00B05B26">
        <w:rPr>
          <w:rFonts w:ascii="Arial" w:hAnsi="Arial" w:cs="Arial"/>
          <w:color w:val="222222"/>
        </w:rPr>
        <w:t xml:space="preserve">(1), p.85 (Accessed: 25th April 2020) Available at: </w:t>
      </w:r>
      <w:hyperlink r:id="rId13" w:history="1">
        <w:r w:rsidRPr="00B05B26">
          <w:rPr>
            <w:rStyle w:val="Hyperlink"/>
            <w:rFonts w:ascii="Arial" w:hAnsi="Arial" w:cs="Arial"/>
          </w:rPr>
          <w:t>https://pdfs.semanticscholar.org/c0b1/075b97d9c9eafd03d93abc8f3b8cb120401b.pdf</w:t>
        </w:r>
      </w:hyperlink>
      <w:r w:rsidRPr="00B05B26">
        <w:rPr>
          <w:rFonts w:ascii="Arial" w:hAnsi="Arial" w:cs="Arial"/>
          <w:color w:val="222222"/>
        </w:rPr>
        <w:t xml:space="preserve">. </w:t>
      </w:r>
    </w:p>
    <w:p w14:paraId="51391F4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1E8D2EF7" w14:textId="558B0484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Halpenny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>, A.M. and Pettersen, J. (2013) </w:t>
      </w:r>
      <w:r w:rsidRPr="00B05B26">
        <w:rPr>
          <w:rFonts w:ascii="Arial" w:hAnsi="Arial" w:cs="Arial"/>
          <w:i/>
          <w:iCs/>
          <w:color w:val="222222"/>
        </w:rPr>
        <w:t>Introducing Piaget: A guide for practitioners and students in early years education</w:t>
      </w:r>
      <w:r w:rsidRPr="00B05B26">
        <w:rPr>
          <w:rFonts w:ascii="Arial" w:hAnsi="Arial" w:cs="Arial"/>
          <w:color w:val="222222"/>
          <w:shd w:val="clear" w:color="auto" w:fill="FFFFFF"/>
        </w:rPr>
        <w:t>. Routledge.</w:t>
      </w:r>
    </w:p>
    <w:p w14:paraId="2F211060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294F7D52" w14:textId="1772EDFF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proofErr w:type="spellStart"/>
      <w:r w:rsidRPr="00B05B26">
        <w:rPr>
          <w:rFonts w:ascii="Arial" w:hAnsi="Arial" w:cs="Arial"/>
        </w:rPr>
        <w:t>Harcombe</w:t>
      </w:r>
      <w:proofErr w:type="spellEnd"/>
      <w:r w:rsidRPr="00B05B26">
        <w:rPr>
          <w:rFonts w:ascii="Arial" w:hAnsi="Arial" w:cs="Arial"/>
        </w:rPr>
        <w:t xml:space="preserve">, Z. (2010) </w:t>
      </w:r>
      <w:r w:rsidRPr="00B05B26">
        <w:rPr>
          <w:rFonts w:ascii="Arial" w:hAnsi="Arial" w:cs="Arial"/>
          <w:i/>
          <w:iCs/>
        </w:rPr>
        <w:t>The Obesity Epidemic: What caused it? How can we stop it?</w:t>
      </w:r>
      <w:r w:rsidRPr="00B05B26">
        <w:rPr>
          <w:rFonts w:ascii="Arial" w:hAnsi="Arial" w:cs="Arial"/>
        </w:rPr>
        <w:t xml:space="preserve"> Columbus.</w:t>
      </w:r>
    </w:p>
    <w:p w14:paraId="585E9E4A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9876B9F" w14:textId="227E0A52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Hughes, K. Bellis, M.A. Hardcastle, K.A.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Sethi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 xml:space="preserve">, D. Butchart, A.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Mikton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>, C. Jones, L. and Dunne, M.P. (2017) ‘The effect of multiple adverse childhood experiences on health: a systematic review and meta-analysis’, </w:t>
      </w:r>
      <w:r w:rsidRPr="00B05B26">
        <w:rPr>
          <w:rFonts w:ascii="Arial" w:hAnsi="Arial" w:cs="Arial"/>
          <w:i/>
          <w:iCs/>
          <w:color w:val="222222"/>
        </w:rPr>
        <w:t>The Lancet Public Health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2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(8), pp.356-366 </w:t>
      </w:r>
      <w:r w:rsidRPr="00B05B26">
        <w:rPr>
          <w:rFonts w:ascii="Arial" w:hAnsi="Arial" w:cs="Arial"/>
        </w:rPr>
        <w:t>(Accessed: 11th May 2020)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 DOI: </w:t>
      </w:r>
      <w:hyperlink r:id="rId14" w:tgtFrame="_blank" w:tooltip="Persistent link using digital object identifier" w:history="1">
        <w:r w:rsidRPr="00B05B26">
          <w:rPr>
            <w:rStyle w:val="Hyperlink"/>
            <w:rFonts w:ascii="Arial" w:hAnsi="Arial" w:cs="Arial"/>
            <w:color w:val="0C7DBB"/>
            <w:u w:val="none"/>
          </w:rPr>
          <w:t>https://doi.org/10.1016/S2468-2667(17)30118-4</w:t>
        </w:r>
      </w:hyperlink>
      <w:r w:rsidRPr="00B05B26">
        <w:rPr>
          <w:rFonts w:ascii="Arial" w:hAnsi="Arial" w:cs="Arial"/>
        </w:rPr>
        <w:t>.</w:t>
      </w:r>
    </w:p>
    <w:p w14:paraId="21DD6CB0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B389722" w14:textId="40EB670E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lastRenderedPageBreak/>
        <w:t>Lovell, N. and Bibby, J. (2018) What makes us healthy? An introduction to the social determinants of health.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color w:val="222222"/>
        </w:rPr>
        <w:t xml:space="preserve">The Health Foundation: London. Available at: </w:t>
      </w:r>
      <w:hyperlink r:id="rId15" w:history="1">
        <w:r w:rsidRPr="00B05B26">
          <w:rPr>
            <w:rStyle w:val="Hyperlink"/>
            <w:rFonts w:ascii="Arial" w:hAnsi="Arial" w:cs="Arial"/>
          </w:rPr>
          <w:t>https://www.health.org.uk/sites/default/files/What-makes-us-healthy-quick-guide.pdf</w:t>
        </w:r>
      </w:hyperlink>
      <w:r w:rsidRPr="00B05B26">
        <w:rPr>
          <w:rFonts w:ascii="Arial" w:hAnsi="Arial" w:cs="Arial"/>
          <w:color w:val="222222"/>
        </w:rPr>
        <w:t xml:space="preserve"> (Accessed: 24th April 2020). </w:t>
      </w:r>
    </w:p>
    <w:p w14:paraId="39F5505E" w14:textId="77777777" w:rsidR="006E34E3" w:rsidRDefault="006E34E3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150A9F6A" w14:textId="0CF1F94A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Malden, S. and Doi, L. (2019) ‘The Daily Mile: teachers’ perspectives of the barriers and facilitators to the delivery of a school-based physical activity intervention’, </w:t>
      </w:r>
      <w:r w:rsidRPr="00B05B26">
        <w:rPr>
          <w:rFonts w:ascii="Arial" w:hAnsi="Arial" w:cs="Arial"/>
          <w:i/>
          <w:iCs/>
          <w:color w:val="222222"/>
        </w:rPr>
        <w:t>BMJ open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9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(3), p.e027169 (Accessed: 24th April 2020) DOI: </w:t>
      </w:r>
      <w:hyperlink r:id="rId16" w:tgtFrame="_new" w:history="1">
        <w:r w:rsidRPr="00B05B26">
          <w:rPr>
            <w:rStyle w:val="Hyperlink"/>
            <w:rFonts w:ascii="Arial" w:hAnsi="Arial" w:cs="Arial"/>
            <w:color w:val="2A6EBB"/>
            <w:u w:val="none"/>
          </w:rPr>
          <w:t>http://dx.doi.org/10.1136/bmjopen-2018-027169</w:t>
        </w:r>
      </w:hyperlink>
      <w:r w:rsidRPr="00B05B26">
        <w:rPr>
          <w:rFonts w:ascii="Arial" w:hAnsi="Arial" w:cs="Arial"/>
        </w:rPr>
        <w:t>.</w:t>
      </w:r>
    </w:p>
    <w:p w14:paraId="6BFDC16A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5392517D" w14:textId="469F654B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Marmot, M. (2002) ‘The influence of income on health: views of an epidemiologist’, </w:t>
      </w:r>
      <w:r w:rsidRPr="00B05B26">
        <w:rPr>
          <w:rFonts w:ascii="Arial" w:hAnsi="Arial" w:cs="Arial"/>
          <w:i/>
          <w:iCs/>
          <w:color w:val="222222"/>
        </w:rPr>
        <w:t>Health affairs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21</w:t>
      </w:r>
      <w:r w:rsidRPr="00B05B26">
        <w:rPr>
          <w:rFonts w:ascii="Arial" w:hAnsi="Arial" w:cs="Arial"/>
          <w:color w:val="222222"/>
          <w:shd w:val="clear" w:color="auto" w:fill="FFFFFF"/>
        </w:rPr>
        <w:t>(2), pp.31-46.</w:t>
      </w:r>
      <w:r w:rsidRPr="00B05B26">
        <w:rPr>
          <w:rFonts w:ascii="Arial" w:hAnsi="Arial" w:cs="Arial"/>
        </w:rPr>
        <w:t xml:space="preserve"> (Accessed: 4th May 2020).  DOI: </w:t>
      </w:r>
      <w:r w:rsidRPr="00B05B26">
        <w:rPr>
          <w:rFonts w:ascii="Arial" w:hAnsi="Arial" w:cs="Arial"/>
        </w:rPr>
        <w:br/>
      </w:r>
      <w:hyperlink r:id="rId17" w:history="1">
        <w:r w:rsidRPr="00B05B26">
          <w:rPr>
            <w:rStyle w:val="Hyperlink"/>
            <w:rFonts w:ascii="Arial" w:hAnsi="Arial" w:cs="Arial"/>
            <w:shd w:val="clear" w:color="auto" w:fill="FFFFFF"/>
          </w:rPr>
          <w:t>https://doi.org/10.1377/hlthaff.21.2.31</w:t>
        </w:r>
      </w:hyperlink>
      <w:r w:rsidRPr="00B05B26">
        <w:rPr>
          <w:rFonts w:ascii="Arial" w:hAnsi="Arial" w:cs="Arial"/>
        </w:rPr>
        <w:t xml:space="preserve">. </w:t>
      </w:r>
    </w:p>
    <w:p w14:paraId="5CBE13F4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2F4D1A27" w14:textId="00F1F12E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Marmot, M. and Bell, R. (2012) ‘Fair society, healthy lives’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Public health</w:t>
      </w:r>
      <w:r w:rsidRPr="00B05B26">
        <w:rPr>
          <w:rFonts w:ascii="Arial" w:hAnsi="Arial" w:cs="Arial"/>
          <w:color w:val="222222"/>
          <w:shd w:val="clear" w:color="auto" w:fill="FFFFFF"/>
        </w:rPr>
        <w:t>,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126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gramStart"/>
      <w:r w:rsidRPr="00B05B26">
        <w:rPr>
          <w:rFonts w:ascii="Arial" w:hAnsi="Arial" w:cs="Arial"/>
          <w:color w:val="222222"/>
          <w:shd w:val="clear" w:color="auto" w:fill="FFFFFF"/>
        </w:rPr>
        <w:t>pp.S</w:t>
      </w:r>
      <w:proofErr w:type="gramEnd"/>
      <w:r w:rsidRPr="00B05B26">
        <w:rPr>
          <w:rFonts w:ascii="Arial" w:hAnsi="Arial" w:cs="Arial"/>
          <w:color w:val="222222"/>
          <w:shd w:val="clear" w:color="auto" w:fill="FFFFFF"/>
        </w:rPr>
        <w:t>4-S10.</w:t>
      </w:r>
      <w:r w:rsidRPr="00B05B26">
        <w:rPr>
          <w:rFonts w:ascii="Arial" w:hAnsi="Arial" w:cs="Arial"/>
        </w:rPr>
        <w:t xml:space="preserve"> (Accessed: 20th April 2020).</w:t>
      </w:r>
    </w:p>
    <w:p w14:paraId="2421182D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3BF119AB" w14:textId="031051DC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National Health Service (2019) </w:t>
      </w:r>
      <w:r w:rsidRPr="00B05B26">
        <w:rPr>
          <w:rFonts w:ascii="Arial" w:hAnsi="Arial" w:cs="Arial"/>
          <w:i/>
          <w:iCs/>
        </w:rPr>
        <w:t xml:space="preserve">The Eatwell Guide. </w:t>
      </w:r>
      <w:r w:rsidRPr="00B05B26">
        <w:rPr>
          <w:rFonts w:ascii="Arial" w:hAnsi="Arial" w:cs="Arial"/>
        </w:rPr>
        <w:t xml:space="preserve">Available at: </w:t>
      </w:r>
      <w:hyperlink r:id="rId18" w:history="1">
        <w:r w:rsidRPr="00B05B26">
          <w:rPr>
            <w:rStyle w:val="Hyperlink"/>
            <w:rFonts w:ascii="Arial" w:hAnsi="Arial" w:cs="Arial"/>
          </w:rPr>
          <w:t>https://www.nhs.uk/live-well/eat-well/the-eatwell-guide/</w:t>
        </w:r>
      </w:hyperlink>
      <w:r w:rsidRPr="00B05B26">
        <w:rPr>
          <w:rFonts w:ascii="Arial" w:hAnsi="Arial" w:cs="Arial"/>
        </w:rPr>
        <w:t xml:space="preserve"> (Accessed: 7th May 2020).</w:t>
      </w:r>
    </w:p>
    <w:p w14:paraId="0A1ADC4B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2B72843F" w14:textId="24A9331E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Poston, B. (2009) ‘Maslow’s hierarchy of needs’ </w:t>
      </w:r>
      <w:r w:rsidRPr="00B05B26">
        <w:rPr>
          <w:rFonts w:ascii="Arial" w:hAnsi="Arial" w:cs="Arial"/>
          <w:i/>
          <w:iCs/>
          <w:color w:val="222222"/>
        </w:rPr>
        <w:t>Surgical technologist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41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(8), pp.347-353. (Accessed: 3rd May 2020) Available at: </w:t>
      </w:r>
      <w:hyperlink r:id="rId19" w:history="1">
        <w:r w:rsidRPr="00B05B26">
          <w:rPr>
            <w:rStyle w:val="Hyperlink"/>
            <w:rFonts w:ascii="Arial" w:hAnsi="Arial" w:cs="Arial"/>
            <w:shd w:val="clear" w:color="auto" w:fill="FFFFFF"/>
          </w:rPr>
          <w:t>http://www.ast.org/pdf/308.pdf</w:t>
        </w:r>
      </w:hyperlink>
      <w:r w:rsidRPr="00B05B26">
        <w:rPr>
          <w:rFonts w:ascii="Arial" w:hAnsi="Arial" w:cs="Arial"/>
          <w:color w:val="222222"/>
          <w:shd w:val="clear" w:color="auto" w:fill="FFFFFF"/>
        </w:rPr>
        <w:t xml:space="preserve"> . </w:t>
      </w:r>
    </w:p>
    <w:p w14:paraId="6A78BA4C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63483788" w14:textId="4381ED48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Public Health Wales (2016) </w:t>
      </w:r>
      <w:r w:rsidRPr="00B05B26">
        <w:rPr>
          <w:rFonts w:ascii="Arial" w:hAnsi="Arial" w:cs="Arial"/>
          <w:i/>
          <w:iCs/>
        </w:rPr>
        <w:t xml:space="preserve">Welsh Adverse Childhood Experiences (ACE) Study, </w:t>
      </w:r>
      <w:r w:rsidRPr="00B05B26">
        <w:rPr>
          <w:rFonts w:ascii="Arial" w:hAnsi="Arial" w:cs="Arial"/>
        </w:rPr>
        <w:t xml:space="preserve">Wales: Public Health Wales NHS Trust. Available at: </w:t>
      </w:r>
      <w:hyperlink r:id="rId20" w:history="1">
        <w:r w:rsidRPr="00B05B26">
          <w:rPr>
            <w:rStyle w:val="Hyperlink"/>
            <w:rFonts w:ascii="Arial" w:hAnsi="Arial" w:cs="Arial"/>
          </w:rPr>
          <w:t>http://www.wales.nhs.uk/sitesplus/documents/888/ACE%20Chronic%20Disease%20report%20%289%29%20%282%29.pdf</w:t>
        </w:r>
      </w:hyperlink>
      <w:r w:rsidRPr="00B05B26">
        <w:rPr>
          <w:rFonts w:ascii="Arial" w:hAnsi="Arial" w:cs="Arial"/>
        </w:rPr>
        <w:t xml:space="preserve"> (Accessed: 4th May 2020). </w:t>
      </w:r>
    </w:p>
    <w:p w14:paraId="0D835007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648743A8" w14:textId="348FD8F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Public Health Wales Observatory (2019) </w:t>
      </w:r>
      <w:r w:rsidRPr="00B05B26">
        <w:rPr>
          <w:rFonts w:ascii="Arial" w:hAnsi="Arial" w:cs="Arial"/>
          <w:i/>
          <w:iCs/>
        </w:rPr>
        <w:t>Obesity in Wales(2019)</w:t>
      </w:r>
      <w:r w:rsidRPr="00B05B26">
        <w:rPr>
          <w:rFonts w:ascii="Arial" w:hAnsi="Arial" w:cs="Arial"/>
        </w:rPr>
        <w:t xml:space="preserve"> Available at: </w:t>
      </w:r>
      <w:hyperlink r:id="rId21" w:history="1">
        <w:r w:rsidRPr="00B05B26">
          <w:rPr>
            <w:rStyle w:val="Hyperlink"/>
            <w:rFonts w:ascii="Arial" w:hAnsi="Arial" w:cs="Arial"/>
          </w:rPr>
          <w:t>http://www.publichealthwalesobservatory.wales.nhs.uk/obesityinwales</w:t>
        </w:r>
      </w:hyperlink>
      <w:r w:rsidRPr="00B05B26">
        <w:rPr>
          <w:rFonts w:ascii="Arial" w:hAnsi="Arial" w:cs="Arial"/>
        </w:rPr>
        <w:t xml:space="preserve"> (Accessed: 21st April 2020). </w:t>
      </w:r>
    </w:p>
    <w:p w14:paraId="39B2EA99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343B6969" w14:textId="01A1DD49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lastRenderedPageBreak/>
        <w:t xml:space="preserve">Public Health Wales Observatory, WG. (2019) </w:t>
      </w:r>
      <w:r w:rsidRPr="00B05B26">
        <w:rPr>
          <w:rFonts w:ascii="Arial" w:hAnsi="Arial" w:cs="Arial"/>
          <w:i/>
          <w:iCs/>
        </w:rPr>
        <w:t xml:space="preserve">Obesity in Wales, </w:t>
      </w:r>
      <w:r w:rsidRPr="00B05B26">
        <w:rPr>
          <w:rFonts w:ascii="Arial" w:hAnsi="Arial" w:cs="Arial"/>
        </w:rPr>
        <w:t xml:space="preserve">Wales. Available at: </w:t>
      </w:r>
      <w:hyperlink r:id="rId22" w:history="1">
        <w:r w:rsidRPr="00B05B26">
          <w:rPr>
            <w:rStyle w:val="Hyperlink"/>
            <w:rFonts w:ascii="Arial" w:hAnsi="Arial" w:cs="Arial"/>
          </w:rPr>
          <w:t>http://www.publichealthwalesobservatory.wales.nhs.uk/sitesplus/documents/1208/ObesityInWales%5FReport2018%5Fv1.pdf</w:t>
        </w:r>
      </w:hyperlink>
      <w:r w:rsidRPr="00B05B26">
        <w:rPr>
          <w:rFonts w:ascii="Arial" w:hAnsi="Arial" w:cs="Arial"/>
        </w:rPr>
        <w:t xml:space="preserve"> (Accessed: 24th April 2020)</w:t>
      </w:r>
    </w:p>
    <w:p w14:paraId="40BCB30D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6647B1C4" w14:textId="1FDEC873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Royal College of Paediatrics and Child Health (No Date) </w:t>
      </w:r>
      <w:r w:rsidRPr="00B05B26">
        <w:rPr>
          <w:rFonts w:ascii="Arial" w:hAnsi="Arial" w:cs="Arial"/>
          <w:i/>
          <w:iCs/>
        </w:rPr>
        <w:t xml:space="preserve">About Childhood obesity. </w:t>
      </w:r>
      <w:r w:rsidRPr="00B05B26">
        <w:rPr>
          <w:rFonts w:ascii="Arial" w:hAnsi="Arial" w:cs="Arial"/>
        </w:rPr>
        <w:t xml:space="preserve">Available at: </w:t>
      </w:r>
      <w:hyperlink r:id="rId23" w:history="1">
        <w:r w:rsidRPr="00B05B26">
          <w:rPr>
            <w:rStyle w:val="Hyperlink"/>
            <w:rFonts w:ascii="Arial" w:hAnsi="Arial" w:cs="Arial"/>
          </w:rPr>
          <w:t>https://www.rcpch.ac.uk/key-topics/nutrition-obesity/about-childhood-obesity</w:t>
        </w:r>
      </w:hyperlink>
      <w:r w:rsidRPr="00B05B26">
        <w:rPr>
          <w:rFonts w:ascii="Arial" w:hAnsi="Arial" w:cs="Arial"/>
        </w:rPr>
        <w:t xml:space="preserve"> (Accessed: 25th April 2020). </w:t>
      </w:r>
    </w:p>
    <w:p w14:paraId="677B9720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Statham, J. and Chase, E. (2010) Childhood wellbeing: A brief overview. </w:t>
      </w:r>
      <w:r w:rsidRPr="00B05B26">
        <w:rPr>
          <w:rFonts w:ascii="Arial" w:hAnsi="Arial" w:cs="Arial"/>
          <w:i/>
          <w:iCs/>
          <w:color w:val="222222"/>
        </w:rPr>
        <w:t>Loughborough: Childhood Wellbeing Research Centre.</w:t>
      </w:r>
    </w:p>
    <w:p w14:paraId="541CC158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B61882F" w14:textId="222DDA4F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Stewart, L. (2015) ‘Childhood obesity’, </w:t>
      </w:r>
      <w:r w:rsidRPr="00B05B26">
        <w:rPr>
          <w:rFonts w:ascii="Arial" w:hAnsi="Arial" w:cs="Arial"/>
          <w:i/>
          <w:iCs/>
          <w:color w:val="222222"/>
        </w:rPr>
        <w:t>Medicine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43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(2), pp.108-111. (Accessed: 22nd April 2020) DOI: </w:t>
      </w:r>
      <w:hyperlink r:id="rId24" w:tgtFrame="_blank" w:tooltip="Persistent link using digital object identifier" w:history="1">
        <w:r w:rsidRPr="00B05B26">
          <w:rPr>
            <w:rStyle w:val="Hyperlink"/>
            <w:rFonts w:ascii="Arial" w:hAnsi="Arial" w:cs="Arial"/>
            <w:color w:val="0C7DBB"/>
            <w:u w:val="none"/>
          </w:rPr>
          <w:t>https://doi.org/10.1016/j.mpmed.2014.11.014</w:t>
        </w:r>
      </w:hyperlink>
      <w:r w:rsidRPr="00B05B26">
        <w:rPr>
          <w:rFonts w:ascii="Arial" w:hAnsi="Arial" w:cs="Arial"/>
        </w:rPr>
        <w:t xml:space="preserve">. </w:t>
      </w:r>
    </w:p>
    <w:p w14:paraId="16DF0FAA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37B23995" w14:textId="6E323318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The Daily Mile (No Date) </w:t>
      </w:r>
      <w:r w:rsidRPr="00B05B26">
        <w:rPr>
          <w:rFonts w:ascii="Arial" w:hAnsi="Arial" w:cs="Arial"/>
          <w:i/>
          <w:iCs/>
        </w:rPr>
        <w:t>Core Principles.</w:t>
      </w:r>
      <w:r w:rsidRPr="00B05B26">
        <w:rPr>
          <w:rFonts w:ascii="Arial" w:hAnsi="Arial" w:cs="Arial"/>
        </w:rPr>
        <w:t xml:space="preserve"> Available at: </w:t>
      </w:r>
      <w:hyperlink r:id="rId25" w:history="1">
        <w:r w:rsidRPr="00B05B26">
          <w:rPr>
            <w:rStyle w:val="Hyperlink"/>
            <w:rFonts w:ascii="Arial" w:hAnsi="Arial" w:cs="Arial"/>
          </w:rPr>
          <w:t>https://thedailymile.co.uk/steps-to-success/</w:t>
        </w:r>
      </w:hyperlink>
      <w:r w:rsidRPr="00B05B26">
        <w:rPr>
          <w:rFonts w:ascii="Arial" w:hAnsi="Arial" w:cs="Arial"/>
        </w:rPr>
        <w:t xml:space="preserve"> (Accessed: 4th May 2020).</w:t>
      </w:r>
    </w:p>
    <w:p w14:paraId="78FFD6A3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4B57E00C" w14:textId="0668AEA0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The Foundation for Peripheral </w:t>
      </w:r>
      <w:proofErr w:type="spellStart"/>
      <w:r w:rsidRPr="00B05B26">
        <w:rPr>
          <w:rFonts w:ascii="Arial" w:hAnsi="Arial" w:cs="Arial"/>
        </w:rPr>
        <w:t>Neaurophathy</w:t>
      </w:r>
      <w:proofErr w:type="spellEnd"/>
      <w:r w:rsidRPr="00B05B26">
        <w:rPr>
          <w:rFonts w:ascii="Arial" w:hAnsi="Arial" w:cs="Arial"/>
        </w:rPr>
        <w:t xml:space="preserve"> (2016) </w:t>
      </w:r>
      <w:r w:rsidRPr="00B05B26">
        <w:rPr>
          <w:rFonts w:ascii="Arial" w:hAnsi="Arial" w:cs="Arial"/>
          <w:i/>
          <w:iCs/>
        </w:rPr>
        <w:t xml:space="preserve">Maintaining a Healthy Lifestyle. </w:t>
      </w:r>
      <w:r w:rsidRPr="00B05B26">
        <w:rPr>
          <w:rFonts w:ascii="Arial" w:hAnsi="Arial" w:cs="Arial"/>
        </w:rPr>
        <w:t xml:space="preserve">Available at: </w:t>
      </w:r>
      <w:hyperlink r:id="rId26" w:history="1">
        <w:r w:rsidRPr="00B05B26">
          <w:rPr>
            <w:rStyle w:val="Hyperlink"/>
            <w:rFonts w:ascii="Arial" w:hAnsi="Arial" w:cs="Arial"/>
          </w:rPr>
          <w:t>https://www.foundationforpn.org/living-well/lifestyle/</w:t>
        </w:r>
      </w:hyperlink>
      <w:r w:rsidRPr="00B05B26">
        <w:rPr>
          <w:rFonts w:ascii="Arial" w:hAnsi="Arial" w:cs="Arial"/>
        </w:rPr>
        <w:t xml:space="preserve"> (Accessed: 1st May 2020).</w:t>
      </w:r>
    </w:p>
    <w:p w14:paraId="0E1763C8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053AFAD0" w14:textId="09DA12FF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UNICEF (No Date) </w:t>
      </w:r>
      <w:r w:rsidRPr="00B05B26">
        <w:rPr>
          <w:rFonts w:ascii="Arial" w:hAnsi="Arial" w:cs="Arial"/>
          <w:i/>
          <w:iCs/>
        </w:rPr>
        <w:t xml:space="preserve">How we protect children’s rights. </w:t>
      </w:r>
      <w:r w:rsidRPr="00B05B26">
        <w:rPr>
          <w:rFonts w:ascii="Arial" w:hAnsi="Arial" w:cs="Arial"/>
        </w:rPr>
        <w:t>Available at:</w:t>
      </w:r>
      <w:r w:rsidRPr="00B05B26">
        <w:rPr>
          <w:rFonts w:ascii="Arial" w:hAnsi="Arial" w:cs="Arial"/>
          <w:i/>
          <w:iCs/>
        </w:rPr>
        <w:t xml:space="preserve"> </w:t>
      </w:r>
      <w:hyperlink r:id="rId27" w:history="1">
        <w:r w:rsidRPr="00B05B26">
          <w:rPr>
            <w:rStyle w:val="Hyperlink"/>
            <w:rFonts w:ascii="Arial" w:hAnsi="Arial" w:cs="Arial"/>
          </w:rPr>
          <w:t>https://www.unicef.org.uk/child-rights-partners/wp-content/uploads/sites/3/2016/08/CRC_summary_leaflet_Child_Rights_Partners_web_final.pdf</w:t>
        </w:r>
      </w:hyperlink>
      <w:r w:rsidRPr="00B05B26">
        <w:rPr>
          <w:rFonts w:ascii="Arial" w:hAnsi="Arial" w:cs="Arial"/>
        </w:rPr>
        <w:t xml:space="preserve"> (Accessed: 6th May 2020).</w:t>
      </w:r>
    </w:p>
    <w:p w14:paraId="01A4F47C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2B4B7DB" w14:textId="325BAA6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i/>
          <w:iCs/>
        </w:rPr>
        <w:t xml:space="preserve">Well-being of Future Generations (Wales) Act 2015. </w:t>
      </w:r>
      <w:r w:rsidRPr="00B05B26">
        <w:rPr>
          <w:rFonts w:ascii="Arial" w:hAnsi="Arial" w:cs="Arial"/>
        </w:rPr>
        <w:t>Available at:</w:t>
      </w:r>
      <w:hyperlink r:id="rId28" w:history="1">
        <w:r w:rsidRPr="00B05B26">
          <w:rPr>
            <w:rStyle w:val="Hyperlink"/>
            <w:rFonts w:ascii="Arial" w:hAnsi="Arial" w:cs="Arial"/>
          </w:rPr>
          <w:t>https://futuregenerations.wales/about-us/future-generations-act/</w:t>
        </w:r>
      </w:hyperlink>
      <w:r w:rsidRPr="00B05B26">
        <w:rPr>
          <w:rFonts w:ascii="Arial" w:hAnsi="Arial" w:cs="Arial"/>
        </w:rPr>
        <w:t xml:space="preserve"> (Accessed: 4th May 2020). </w:t>
      </w:r>
    </w:p>
    <w:p w14:paraId="365A5EEF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29FE328A" w14:textId="3043DBF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Welsh Government (2014) </w:t>
      </w:r>
      <w:r w:rsidRPr="00B05B26">
        <w:rPr>
          <w:rFonts w:ascii="Arial" w:hAnsi="Arial" w:cs="Arial"/>
          <w:i/>
          <w:iCs/>
        </w:rPr>
        <w:t>Free breakfast in primary schools,</w:t>
      </w:r>
      <w:r w:rsidRPr="00B05B26">
        <w:rPr>
          <w:rFonts w:ascii="Arial" w:hAnsi="Arial" w:cs="Arial"/>
        </w:rPr>
        <w:t xml:space="preserve"> Wales: Welsh Government. Available at: </w:t>
      </w:r>
      <w:hyperlink r:id="rId29" w:history="1">
        <w:r w:rsidRPr="00B05B26">
          <w:rPr>
            <w:rStyle w:val="Hyperlink"/>
            <w:rFonts w:ascii="Arial" w:hAnsi="Arial" w:cs="Arial"/>
          </w:rPr>
          <w:t>https://gov.wales/sites/default/files/publications/2018-12/free-breakfast-in-primary-schools-statutory-guidance-for-local-authorities-and-governing-bodies.pdf</w:t>
        </w:r>
      </w:hyperlink>
      <w:r w:rsidRPr="00B05B26">
        <w:rPr>
          <w:rFonts w:ascii="Arial" w:hAnsi="Arial" w:cs="Arial"/>
        </w:rPr>
        <w:t xml:space="preserve"> (Accessed: 28th April 2020). </w:t>
      </w:r>
    </w:p>
    <w:p w14:paraId="3B938984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17E593C7" w14:textId="43F8D1C0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lastRenderedPageBreak/>
        <w:t xml:space="preserve">Welsh Government (2015) Foundation Phase Framework, Wales: Welsh Government. Available at: </w:t>
      </w:r>
      <w:hyperlink r:id="rId30" w:history="1">
        <w:r w:rsidRPr="00B05B26">
          <w:rPr>
            <w:rStyle w:val="Hyperlink"/>
            <w:rFonts w:ascii="Arial" w:hAnsi="Arial" w:cs="Arial"/>
          </w:rPr>
          <w:t>https://hwb.gov.wales/storage/d5d8e39c-b534-40cb-a3f5-7e2e126d8077/foundation-phase-framework.pdf</w:t>
        </w:r>
      </w:hyperlink>
      <w:r w:rsidRPr="00B05B26">
        <w:rPr>
          <w:rFonts w:ascii="Arial" w:hAnsi="Arial" w:cs="Arial"/>
        </w:rPr>
        <w:t xml:space="preserve"> (Accessed: 30th April 2020). </w:t>
      </w:r>
    </w:p>
    <w:p w14:paraId="39DB74EA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5D63033F" w14:textId="260F73D5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Welsh Government (2017) </w:t>
      </w:r>
      <w:r w:rsidRPr="00B05B26">
        <w:rPr>
          <w:rFonts w:ascii="Arial" w:hAnsi="Arial" w:cs="Arial"/>
          <w:i/>
          <w:iCs/>
        </w:rPr>
        <w:t>Families First Programme Guidance</w:t>
      </w:r>
      <w:r w:rsidRPr="00B05B26">
        <w:rPr>
          <w:rFonts w:ascii="Arial" w:hAnsi="Arial" w:cs="Arial"/>
        </w:rPr>
        <w:t xml:space="preserve">, Wales: Welsh Government. Available at: </w:t>
      </w:r>
      <w:hyperlink r:id="rId31" w:history="1">
        <w:r w:rsidRPr="00B05B26">
          <w:rPr>
            <w:rStyle w:val="Hyperlink"/>
            <w:rFonts w:ascii="Arial" w:hAnsi="Arial" w:cs="Arial"/>
          </w:rPr>
          <w:t>https://gov.wales/sites/default/files/publications/2019-07/families-first-guidance-for-local-authoriti</w:t>
        </w:r>
        <w:r w:rsidRPr="00B05B26">
          <w:rPr>
            <w:rStyle w:val="Hyperlink"/>
            <w:rFonts w:ascii="Arial" w:hAnsi="Arial" w:cs="Arial"/>
          </w:rPr>
          <w:t>e</w:t>
        </w:r>
        <w:r w:rsidRPr="00B05B26">
          <w:rPr>
            <w:rStyle w:val="Hyperlink"/>
            <w:rFonts w:ascii="Arial" w:hAnsi="Arial" w:cs="Arial"/>
          </w:rPr>
          <w:t>s_0.pdf</w:t>
        </w:r>
      </w:hyperlink>
      <w:r w:rsidRPr="00B05B26">
        <w:rPr>
          <w:rFonts w:ascii="Arial" w:hAnsi="Arial" w:cs="Arial"/>
        </w:rPr>
        <w:t xml:space="preserve"> (Accessed: 20th April 2020). </w:t>
      </w:r>
    </w:p>
    <w:p w14:paraId="413E1D4A" w14:textId="77777777" w:rsidR="006E34E3" w:rsidRDefault="006E34E3" w:rsidP="00C84FEC">
      <w:pPr>
        <w:spacing w:line="360" w:lineRule="auto"/>
        <w:jc w:val="both"/>
        <w:rPr>
          <w:rFonts w:ascii="Arial" w:hAnsi="Arial" w:cs="Arial"/>
        </w:rPr>
      </w:pPr>
    </w:p>
    <w:p w14:paraId="3A806C71" w14:textId="131900BD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Welsh Government (2017) </w:t>
      </w:r>
      <w:r w:rsidRPr="00B05B26">
        <w:rPr>
          <w:rFonts w:ascii="Arial" w:hAnsi="Arial" w:cs="Arial"/>
          <w:i/>
          <w:iCs/>
        </w:rPr>
        <w:t xml:space="preserve">Flying Start Health Programme Guidance, </w:t>
      </w:r>
      <w:r w:rsidRPr="00B05B26">
        <w:rPr>
          <w:rFonts w:ascii="Arial" w:hAnsi="Arial" w:cs="Arial"/>
        </w:rPr>
        <w:t xml:space="preserve">Wales: Welsh Government. Available at: </w:t>
      </w:r>
      <w:hyperlink r:id="rId32" w:history="1">
        <w:r w:rsidRPr="00B05B26">
          <w:rPr>
            <w:rStyle w:val="Hyperlink"/>
            <w:rFonts w:ascii="Arial" w:hAnsi="Arial" w:cs="Arial"/>
          </w:rPr>
          <w:t>https://gov.wales/sites/default/files/publications/2019-07/flying-</w:t>
        </w:r>
        <w:r w:rsidRPr="00B05B26">
          <w:rPr>
            <w:rStyle w:val="Hyperlink"/>
            <w:rFonts w:ascii="Arial" w:hAnsi="Arial" w:cs="Arial"/>
          </w:rPr>
          <w:t>s</w:t>
        </w:r>
        <w:r w:rsidRPr="00B05B26">
          <w:rPr>
            <w:rStyle w:val="Hyperlink"/>
            <w:rFonts w:ascii="Arial" w:hAnsi="Arial" w:cs="Arial"/>
          </w:rPr>
          <w:t>tart-health-programme-guidance_0.pdf</w:t>
        </w:r>
      </w:hyperlink>
      <w:r w:rsidRPr="00B05B26">
        <w:rPr>
          <w:rFonts w:ascii="Arial" w:hAnsi="Arial" w:cs="Arial"/>
        </w:rPr>
        <w:t xml:space="preserve"> (Accessed: 20th April 2020). </w:t>
      </w:r>
    </w:p>
    <w:p w14:paraId="17F858D9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6BCCFBBF" w14:textId="33211A3D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Welsh Government (2017) </w:t>
      </w:r>
      <w:r w:rsidRPr="00B05B26">
        <w:rPr>
          <w:rFonts w:ascii="Arial" w:hAnsi="Arial" w:cs="Arial"/>
          <w:i/>
          <w:iCs/>
        </w:rPr>
        <w:t xml:space="preserve">Supporting learners with healthcare needs, </w:t>
      </w:r>
      <w:r w:rsidRPr="00B05B26">
        <w:rPr>
          <w:rFonts w:ascii="Arial" w:hAnsi="Arial" w:cs="Arial"/>
        </w:rPr>
        <w:t xml:space="preserve">Wales: Welsh Government. Available at: </w:t>
      </w:r>
      <w:hyperlink r:id="rId33" w:history="1">
        <w:r w:rsidRPr="00B05B26">
          <w:rPr>
            <w:rStyle w:val="Hyperlink"/>
            <w:rFonts w:ascii="Arial" w:hAnsi="Arial" w:cs="Arial"/>
          </w:rPr>
          <w:t>https://gov.wales/sites/default/files/publications/2018-12/supporting-learners-with-healthcare-needs.pdf</w:t>
        </w:r>
      </w:hyperlink>
      <w:r w:rsidRPr="00B05B26">
        <w:rPr>
          <w:rFonts w:ascii="Arial" w:hAnsi="Arial" w:cs="Arial"/>
        </w:rPr>
        <w:t xml:space="preserve"> (Accessed: 8th May 2020).</w:t>
      </w:r>
    </w:p>
    <w:p w14:paraId="0796ACAA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</w:p>
    <w:p w14:paraId="31E2C047" w14:textId="2D7549A3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</w:rPr>
        <w:t xml:space="preserve">Welsh Government (2020) </w:t>
      </w:r>
      <w:r w:rsidRPr="00B05B26">
        <w:rPr>
          <w:rFonts w:ascii="Arial" w:hAnsi="Arial" w:cs="Arial"/>
          <w:i/>
          <w:iCs/>
        </w:rPr>
        <w:t xml:space="preserve">Developing a vision for curriculum design, </w:t>
      </w:r>
      <w:r w:rsidRPr="00B05B26">
        <w:rPr>
          <w:rFonts w:ascii="Arial" w:hAnsi="Arial" w:cs="Arial"/>
        </w:rPr>
        <w:t xml:space="preserve">Wales: Welsh Government. Available at: </w:t>
      </w:r>
      <w:hyperlink r:id="rId34" w:anchor="curriculum-design-and-the-four-purposes" w:history="1">
        <w:r w:rsidRPr="00B05B26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B05B26">
        <w:rPr>
          <w:rFonts w:ascii="Arial" w:hAnsi="Arial" w:cs="Arial"/>
        </w:rPr>
        <w:t xml:space="preserve"> (Accessed: 27th April 2020).</w:t>
      </w:r>
    </w:p>
    <w:p w14:paraId="2713C9AE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2F7413A" w14:textId="3A6A9CF2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>Wickham, S. Anwar, E. Barr, B. Law, C. and Taylor-Robinson, D. (2016) ‘Poverty and child health in the UK: using evidence for action’,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Archives of disease in childhood</w:t>
      </w:r>
      <w:r w:rsidRPr="00B05B26">
        <w:rPr>
          <w:rFonts w:ascii="Arial" w:hAnsi="Arial" w:cs="Arial"/>
          <w:color w:val="222222"/>
          <w:shd w:val="clear" w:color="auto" w:fill="FFFFFF"/>
        </w:rPr>
        <w:t>,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B05B26">
        <w:rPr>
          <w:rFonts w:ascii="Arial" w:hAnsi="Arial" w:cs="Arial"/>
          <w:i/>
          <w:iCs/>
          <w:color w:val="222222"/>
        </w:rPr>
        <w:t>101</w:t>
      </w:r>
      <w:r w:rsidRPr="00B05B26">
        <w:rPr>
          <w:rFonts w:ascii="Arial" w:hAnsi="Arial" w:cs="Arial"/>
          <w:color w:val="222222"/>
          <w:shd w:val="clear" w:color="auto" w:fill="FFFFFF"/>
        </w:rPr>
        <w:t>(8), pp.759-766.</w:t>
      </w:r>
      <w:r w:rsidRPr="00B05B26">
        <w:rPr>
          <w:rFonts w:ascii="Arial" w:hAnsi="Arial" w:cs="Arial"/>
        </w:rPr>
        <w:t xml:space="preserve"> (Accessed: 22nd April 2020)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 DOI: </w:t>
      </w:r>
      <w:hyperlink r:id="rId35" w:tgtFrame="_new" w:history="1">
        <w:r w:rsidRPr="00B05B26">
          <w:rPr>
            <w:rStyle w:val="Hyperlink"/>
            <w:rFonts w:ascii="Arial" w:hAnsi="Arial" w:cs="Arial"/>
            <w:color w:val="2A6EBB"/>
            <w:u w:val="none"/>
          </w:rPr>
          <w:t>http://dx.doi.org/10.1136/archdischild-2014-306746</w:t>
        </w:r>
      </w:hyperlink>
      <w:r w:rsidRPr="00B05B26">
        <w:rPr>
          <w:rFonts w:ascii="Arial" w:hAnsi="Arial" w:cs="Arial"/>
        </w:rPr>
        <w:t>.</w:t>
      </w:r>
    </w:p>
    <w:p w14:paraId="7E0A0884" w14:textId="77777777" w:rsidR="0090566F" w:rsidRPr="00B05B26" w:rsidRDefault="0090566F" w:rsidP="00C84FE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428E3B51" w14:textId="3D2CE2EA" w:rsidR="0090566F" w:rsidRPr="00B05B26" w:rsidRDefault="0090566F" w:rsidP="00C84FEC">
      <w:pPr>
        <w:spacing w:line="360" w:lineRule="auto"/>
        <w:jc w:val="both"/>
        <w:rPr>
          <w:rFonts w:ascii="Arial" w:hAnsi="Arial" w:cs="Arial"/>
        </w:rPr>
      </w:pPr>
      <w:r w:rsidRPr="00B05B26">
        <w:rPr>
          <w:rFonts w:ascii="Arial" w:hAnsi="Arial" w:cs="Arial"/>
          <w:color w:val="222222"/>
          <w:shd w:val="clear" w:color="auto" w:fill="FFFFFF"/>
        </w:rPr>
        <w:t xml:space="preserve">Zanganeh, M. </w:t>
      </w:r>
      <w:proofErr w:type="spellStart"/>
      <w:r w:rsidRPr="00B05B26">
        <w:rPr>
          <w:rFonts w:ascii="Arial" w:hAnsi="Arial" w:cs="Arial"/>
          <w:color w:val="222222"/>
          <w:shd w:val="clear" w:color="auto" w:fill="FFFFFF"/>
        </w:rPr>
        <w:t>Adab</w:t>
      </w:r>
      <w:proofErr w:type="spellEnd"/>
      <w:r w:rsidRPr="00B05B26">
        <w:rPr>
          <w:rFonts w:ascii="Arial" w:hAnsi="Arial" w:cs="Arial"/>
          <w:color w:val="222222"/>
          <w:shd w:val="clear" w:color="auto" w:fill="FFFFFF"/>
        </w:rPr>
        <w:t xml:space="preserve">, P. Li, B. and Frew, E. (2019) ‘A systematic review of methods, study quality, and results of economic evaluation for childhood and adolescent obesity intervention’, </w:t>
      </w:r>
      <w:r w:rsidRPr="00B05B26">
        <w:rPr>
          <w:rFonts w:ascii="Arial" w:hAnsi="Arial" w:cs="Arial"/>
          <w:i/>
          <w:iCs/>
          <w:color w:val="222222"/>
        </w:rPr>
        <w:t>International journal of environmental research and public health</w:t>
      </w:r>
      <w:r w:rsidRPr="00B05B26">
        <w:rPr>
          <w:rFonts w:ascii="Arial" w:hAnsi="Arial" w:cs="Arial"/>
          <w:color w:val="222222"/>
          <w:shd w:val="clear" w:color="auto" w:fill="FFFFFF"/>
        </w:rPr>
        <w:t>, </w:t>
      </w:r>
      <w:r w:rsidRPr="00B05B26">
        <w:rPr>
          <w:rFonts w:ascii="Arial" w:hAnsi="Arial" w:cs="Arial"/>
          <w:i/>
          <w:iCs/>
          <w:color w:val="222222"/>
        </w:rPr>
        <w:t>16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(3), p.485. </w:t>
      </w:r>
      <w:r w:rsidRPr="00B05B26">
        <w:rPr>
          <w:rFonts w:ascii="Arial" w:hAnsi="Arial" w:cs="Arial"/>
        </w:rPr>
        <w:t xml:space="preserve">(Accessed: 20th April 2020) </w:t>
      </w:r>
      <w:r w:rsidRPr="00B05B26">
        <w:rPr>
          <w:rFonts w:ascii="Arial" w:hAnsi="Arial" w:cs="Arial"/>
          <w:color w:val="222222"/>
          <w:shd w:val="clear" w:color="auto" w:fill="FFFFFF"/>
        </w:rPr>
        <w:t xml:space="preserve">DOI: </w:t>
      </w:r>
      <w:r w:rsidRPr="00B05B2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36" w:history="1">
        <w:r w:rsidRPr="00B05B26">
          <w:rPr>
            <w:rStyle w:val="Hyperlink"/>
            <w:rFonts w:ascii="Arial" w:hAnsi="Arial" w:cs="Arial"/>
            <w:b/>
            <w:bCs/>
          </w:rPr>
          <w:t>https://doi.org/10.3390/ijerph16030485</w:t>
        </w:r>
      </w:hyperlink>
      <w:r w:rsidRPr="00B05B26">
        <w:rPr>
          <w:rFonts w:ascii="Arial" w:hAnsi="Arial" w:cs="Arial"/>
        </w:rPr>
        <w:t>.</w:t>
      </w:r>
    </w:p>
    <w:sectPr w:rsidR="0090566F" w:rsidRPr="00B05B26" w:rsidSect="00093CF4">
      <w:headerReference w:type="default" r:id="rId37"/>
      <w:footerReference w:type="even" r:id="rId38"/>
      <w:footerReference w:type="default" r:id="rId3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0D4D1" w14:textId="77777777" w:rsidR="00811418" w:rsidRDefault="00811418" w:rsidP="00DB35A0">
      <w:r>
        <w:separator/>
      </w:r>
    </w:p>
  </w:endnote>
  <w:endnote w:type="continuationSeparator" w:id="0">
    <w:p w14:paraId="2FDB7ECF" w14:textId="77777777" w:rsidR="00811418" w:rsidRDefault="00811418" w:rsidP="00DB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7360047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513AA0" w14:textId="7257A815" w:rsidR="00DB35A0" w:rsidRDefault="00DB35A0" w:rsidP="00832E2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617EFB" w14:textId="77777777" w:rsidR="00DB35A0" w:rsidRDefault="00DB35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906474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A05427" w14:textId="2CA8F0C1" w:rsidR="00DB35A0" w:rsidRDefault="00DB35A0" w:rsidP="00832E2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CAA81E" w14:textId="77777777" w:rsidR="00DB35A0" w:rsidRDefault="00DB35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5A1464" w14:textId="77777777" w:rsidR="00811418" w:rsidRDefault="00811418" w:rsidP="00DB35A0">
      <w:r>
        <w:separator/>
      </w:r>
    </w:p>
  </w:footnote>
  <w:footnote w:type="continuationSeparator" w:id="0">
    <w:p w14:paraId="51673ADF" w14:textId="77777777" w:rsidR="00811418" w:rsidRDefault="00811418" w:rsidP="00DB3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FE663" w14:textId="6028798C" w:rsidR="00DB35A0" w:rsidRDefault="00DB35A0" w:rsidP="00DB35A0">
    <w:pPr>
      <w:pStyle w:val="Header"/>
      <w:jc w:val="both"/>
      <w:rPr>
        <w:rFonts w:ascii="Arial" w:hAnsi="Arial" w:cs="Arial"/>
      </w:rPr>
    </w:pPr>
    <w:r>
      <w:rPr>
        <w:rFonts w:ascii="Arial" w:hAnsi="Arial" w:cs="Arial"/>
      </w:rPr>
      <w:t>EAEE5003</w:t>
    </w:r>
    <w:r>
      <w:rPr>
        <w:rFonts w:ascii="Arial" w:hAnsi="Arial" w:cs="Arial"/>
      </w:rPr>
      <w:tab/>
    </w:r>
    <w:r>
      <w:rPr>
        <w:rFonts w:ascii="Arial" w:hAnsi="Arial" w:cs="Arial"/>
      </w:rPr>
      <w:tab/>
      <w:t>1904573</w:t>
    </w:r>
  </w:p>
  <w:p w14:paraId="0BCBD4A4" w14:textId="77777777" w:rsidR="00DB35A0" w:rsidRPr="00DB35A0" w:rsidRDefault="00DB35A0" w:rsidP="00DB35A0">
    <w:pPr>
      <w:pStyle w:val="Header"/>
      <w:jc w:val="both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D8"/>
    <w:rsid w:val="000426B9"/>
    <w:rsid w:val="00093CF4"/>
    <w:rsid w:val="00114FD8"/>
    <w:rsid w:val="0012098C"/>
    <w:rsid w:val="00193E20"/>
    <w:rsid w:val="001C2D18"/>
    <w:rsid w:val="001F03FF"/>
    <w:rsid w:val="0020113F"/>
    <w:rsid w:val="0022285F"/>
    <w:rsid w:val="00305CF6"/>
    <w:rsid w:val="003124CF"/>
    <w:rsid w:val="00353147"/>
    <w:rsid w:val="003532BD"/>
    <w:rsid w:val="00354645"/>
    <w:rsid w:val="003D50A0"/>
    <w:rsid w:val="00431EE5"/>
    <w:rsid w:val="004809F7"/>
    <w:rsid w:val="00480B71"/>
    <w:rsid w:val="004B2C1B"/>
    <w:rsid w:val="004E67A4"/>
    <w:rsid w:val="00510D9A"/>
    <w:rsid w:val="00634967"/>
    <w:rsid w:val="00642B37"/>
    <w:rsid w:val="006577EC"/>
    <w:rsid w:val="0067409E"/>
    <w:rsid w:val="006C54F9"/>
    <w:rsid w:val="006E0488"/>
    <w:rsid w:val="006E34E3"/>
    <w:rsid w:val="007038CD"/>
    <w:rsid w:val="00716957"/>
    <w:rsid w:val="00756B43"/>
    <w:rsid w:val="007A32EF"/>
    <w:rsid w:val="007C48E1"/>
    <w:rsid w:val="007D6FAF"/>
    <w:rsid w:val="007E78A2"/>
    <w:rsid w:val="00811418"/>
    <w:rsid w:val="00875DC0"/>
    <w:rsid w:val="008A5D5C"/>
    <w:rsid w:val="008D7062"/>
    <w:rsid w:val="008E786F"/>
    <w:rsid w:val="0090566F"/>
    <w:rsid w:val="00944526"/>
    <w:rsid w:val="00946B35"/>
    <w:rsid w:val="00955B95"/>
    <w:rsid w:val="009740E2"/>
    <w:rsid w:val="009C6B0B"/>
    <w:rsid w:val="00A63453"/>
    <w:rsid w:val="00A66859"/>
    <w:rsid w:val="00A85FCF"/>
    <w:rsid w:val="00AA5207"/>
    <w:rsid w:val="00AD73E3"/>
    <w:rsid w:val="00AE6157"/>
    <w:rsid w:val="00B05B26"/>
    <w:rsid w:val="00B172A2"/>
    <w:rsid w:val="00B35A17"/>
    <w:rsid w:val="00BB0901"/>
    <w:rsid w:val="00BB2C78"/>
    <w:rsid w:val="00C26E57"/>
    <w:rsid w:val="00C84FEC"/>
    <w:rsid w:val="00CA1D54"/>
    <w:rsid w:val="00CF0201"/>
    <w:rsid w:val="00D53AC4"/>
    <w:rsid w:val="00DB35A0"/>
    <w:rsid w:val="00DC4863"/>
    <w:rsid w:val="00DF2ED8"/>
    <w:rsid w:val="00DF59EB"/>
    <w:rsid w:val="00E21B5C"/>
    <w:rsid w:val="00E268B5"/>
    <w:rsid w:val="00E4332A"/>
    <w:rsid w:val="00E81BD9"/>
    <w:rsid w:val="00EC1A10"/>
    <w:rsid w:val="00F55CF5"/>
    <w:rsid w:val="00F57D06"/>
    <w:rsid w:val="00F61FE6"/>
    <w:rsid w:val="00F8185B"/>
    <w:rsid w:val="00FB660A"/>
    <w:rsid w:val="00FD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466A"/>
  <w15:chartTrackingRefBased/>
  <w15:docId w15:val="{8D87A6F2-5AD5-DC4B-9C2B-42C63672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E20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10D9A"/>
  </w:style>
  <w:style w:type="character" w:styleId="Hyperlink">
    <w:name w:val="Hyperlink"/>
    <w:basedOn w:val="DefaultParagraphFont"/>
    <w:uiPriority w:val="99"/>
    <w:unhideWhenUsed/>
    <w:rsid w:val="00510D9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33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3E2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35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5A0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B35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5A0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DB3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dfs.semanticscholar.org/c0b1/075b97d9c9eafd03d93abc8f3b8cb120401b.pdf" TargetMode="External"/><Relationship Id="rId18" Type="http://schemas.openxmlformats.org/officeDocument/2006/relationships/hyperlink" Target="https://www.nhs.uk/live-well/eat-well/the-eatwell-guide/" TargetMode="External"/><Relationship Id="rId26" Type="http://schemas.openxmlformats.org/officeDocument/2006/relationships/hyperlink" Target="https://www.foundationforpn.org/living-well/lifestyle/" TargetMode="External"/><Relationship Id="rId39" Type="http://schemas.openxmlformats.org/officeDocument/2006/relationships/footer" Target="footer2.xml"/><Relationship Id="rId21" Type="http://schemas.openxmlformats.org/officeDocument/2006/relationships/hyperlink" Target="http://www.publichealthwalesobservatory.wales.nhs.uk/obesityinwales" TargetMode="External"/><Relationship Id="rId34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hyperlink" Target="https://doi.org/10.1089/chi.2014.0147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x.doi.org/10.1136/bmjopen-2018-027169" TargetMode="External"/><Relationship Id="rId20" Type="http://schemas.openxmlformats.org/officeDocument/2006/relationships/hyperlink" Target="http://www.wales.nhs.uk/sitesplus/documents/888/ACE%20Chronic%20Disease%20report%20%289%29%20%282%29.pdf" TargetMode="External"/><Relationship Id="rId29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47483203" TargetMode="External"/><Relationship Id="rId11" Type="http://schemas.openxmlformats.org/officeDocument/2006/relationships/hyperlink" Target="https://www.estyn.gov.wales/sites/www.estyn.gov.wales/files/documents/Healthy%20and%20Happy%20report%20En_0.pdf" TargetMode="External"/><Relationship Id="rId24" Type="http://schemas.openxmlformats.org/officeDocument/2006/relationships/hyperlink" Target="https://doi.org/10.1016/j.mpmed.2014.11.014" TargetMode="External"/><Relationship Id="rId32" Type="http://schemas.openxmlformats.org/officeDocument/2006/relationships/hyperlink" Target="https://gov.wales/sites/default/files/publications/2019-07/flying-start-health-programme-guidance_0.pdf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health.org.uk/sites/default/files/What-makes-us-healthy-quick-guide.pdf" TargetMode="External"/><Relationship Id="rId23" Type="http://schemas.openxmlformats.org/officeDocument/2006/relationships/hyperlink" Target="https://www.rcpch.ac.uk/key-topics/nutrition-obesity/about-childhood-obesity" TargetMode="External"/><Relationship Id="rId28" Type="http://schemas.openxmlformats.org/officeDocument/2006/relationships/hyperlink" Target="https://futuregenerations.wales/about-us/future-generations-act/" TargetMode="External"/><Relationship Id="rId36" Type="http://schemas.openxmlformats.org/officeDocument/2006/relationships/hyperlink" Target="https://doi.org/10.3390/ijerph16030485" TargetMode="External"/><Relationship Id="rId10" Type="http://schemas.openxmlformats.org/officeDocument/2006/relationships/hyperlink" Target="https://www.gov.uk/guidance/equality-act-2010-guidance" TargetMode="External"/><Relationship Id="rId19" Type="http://schemas.openxmlformats.org/officeDocument/2006/relationships/hyperlink" Target="http://www.ast.org/pdf/308.pdf" TargetMode="External"/><Relationship Id="rId31" Type="http://schemas.openxmlformats.org/officeDocument/2006/relationships/hyperlink" Target="https://gov.wales/sites/default/files/publications/2019-07/families-first-guidance-for-local-authorities_0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9-01/ways-of-supporting-learners-with-autistic-spectrum-disorder-asd.pdf" TargetMode="External"/><Relationship Id="rId14" Type="http://schemas.openxmlformats.org/officeDocument/2006/relationships/hyperlink" Target="https://doi.org/10.1016/S2468-2667(17)30118-4" TargetMode="External"/><Relationship Id="rId22" Type="http://schemas.openxmlformats.org/officeDocument/2006/relationships/hyperlink" Target="http://www.publichealthwalesobservatory.wales.nhs.uk/sitesplus/documents/1208/ObesityInWales%5FReport2018%5Fv1.pdf" TargetMode="External"/><Relationship Id="rId27" Type="http://schemas.openxmlformats.org/officeDocument/2006/relationships/hyperlink" Target="https://www.unicef.org.uk/child-rights-partners/wp-content/uploads/sites/3/2016/08/CRC_summary_leaflet_Child_Rights_Partners_web_final.pdf" TargetMode="External"/><Relationship Id="rId30" Type="http://schemas.openxmlformats.org/officeDocument/2006/relationships/hyperlink" Target="https://hwb.gov.wales/storage/d5d8e39c-b534-40cb-a3f5-7e2e126d8077/foundation-phase-framework.pdf" TargetMode="External"/><Relationship Id="rId35" Type="http://schemas.openxmlformats.org/officeDocument/2006/relationships/hyperlink" Target="http://dx.doi.org/10.1136/archdischild-2014-306746" TargetMode="External"/><Relationship Id="rId8" Type="http://schemas.openxmlformats.org/officeDocument/2006/relationships/hyperlink" Target="https://doi.org/10.1186/s12916-018-1049-z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oi-org.ezproxy.uwtsd.ac.uk/10.1177%2F0034523718793431" TargetMode="External"/><Relationship Id="rId17" Type="http://schemas.openxmlformats.org/officeDocument/2006/relationships/hyperlink" Target="https://doi.org/10.1377/hlthaff.21.2.31" TargetMode="External"/><Relationship Id="rId25" Type="http://schemas.openxmlformats.org/officeDocument/2006/relationships/hyperlink" Target="https://thedailymile.co.uk/steps-to-success/" TargetMode="External"/><Relationship Id="rId33" Type="http://schemas.openxmlformats.org/officeDocument/2006/relationships/hyperlink" Target="https://gov.wales/sites/default/files/publications/2018-12/supporting-learners-with-healthcare-needs.pdf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2905</TotalTime>
  <Pages>5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Jones (1904573)</dc:creator>
  <cp:keywords/>
  <dc:description/>
  <cp:lastModifiedBy>Lauren Jones (1904573)</cp:lastModifiedBy>
  <cp:revision>45</cp:revision>
  <cp:lastPrinted>2020-05-12T22:20:00Z</cp:lastPrinted>
  <dcterms:created xsi:type="dcterms:W3CDTF">2020-04-23T12:52:00Z</dcterms:created>
  <dcterms:modified xsi:type="dcterms:W3CDTF">2020-05-14T18:41:00Z</dcterms:modified>
</cp:coreProperties>
</file>