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94A8FCD" w14:textId="606E3019" w:rsidR="00224049" w:rsidRDefault="00224049" w:rsidP="00224049">
      <w:pPr>
        <w:tabs>
          <w:tab w:val="left" w:pos="6540"/>
        </w:tabs>
        <w:spacing w:line="360" w:lineRule="auto"/>
        <w:rPr>
          <w:rFonts w:ascii="Arial" w:hAnsi="Arial" w:cs="Arial"/>
          <w:b/>
          <w:bCs/>
          <w:sz w:val="28"/>
          <w:szCs w:val="28"/>
          <w:lang w:val="nl-NL"/>
        </w:rPr>
      </w:pPr>
      <w:r w:rsidRPr="00594FAC">
        <w:rPr>
          <w:rFonts w:ascii="Arial" w:hAnsi="Arial" w:cs="Arial"/>
          <w:noProof/>
        </w:rPr>
        <w:drawing>
          <wp:anchor distT="0" distB="0" distL="114300" distR="114300" simplePos="0" relativeHeight="251659264" behindDoc="0" locked="0" layoutInCell="1" allowOverlap="1" wp14:anchorId="7E3821A5" wp14:editId="68239790">
            <wp:simplePos x="0" y="0"/>
            <wp:positionH relativeFrom="column">
              <wp:posOffset>-85061</wp:posOffset>
            </wp:positionH>
            <wp:positionV relativeFrom="paragraph">
              <wp:posOffset>119</wp:posOffset>
            </wp:positionV>
            <wp:extent cx="1809750" cy="723900"/>
            <wp:effectExtent l="0" t="0" r="0" b="0"/>
            <wp:wrapSquare wrapText="bothSides"/>
            <wp:docPr id="1" name="Picture 1" descr="Discover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iscover University of Wales Trinity Saint David"/>
                    <pic:cNvPicPr>
                      <a:picLocks noChangeAspect="1" noChangeArrowheads="1"/>
                    </pic:cNvPicPr>
                  </pic:nvPicPr>
                  <pic:blipFill>
                    <a:blip r:embed="rId5" r:link="rId6">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pic:spPr>
                </pic:pic>
              </a:graphicData>
            </a:graphic>
            <wp14:sizeRelH relativeFrom="page">
              <wp14:pctWidth>0</wp14:pctWidth>
            </wp14:sizeRelH>
            <wp14:sizeRelV relativeFrom="page">
              <wp14:pctHeight>0</wp14:pctHeight>
            </wp14:sizeRelV>
          </wp:anchor>
        </w:drawing>
      </w:r>
    </w:p>
    <w:p w14:paraId="2E03C69E" w14:textId="77777777" w:rsidR="00224049" w:rsidRDefault="00224049" w:rsidP="00224049">
      <w:pPr>
        <w:tabs>
          <w:tab w:val="left" w:pos="6540"/>
        </w:tabs>
        <w:spacing w:line="360" w:lineRule="auto"/>
        <w:rPr>
          <w:rFonts w:ascii="Arial" w:hAnsi="Arial" w:cs="Arial"/>
          <w:b/>
          <w:bCs/>
          <w:sz w:val="28"/>
          <w:szCs w:val="28"/>
          <w:lang w:val="nl-NL"/>
        </w:rPr>
      </w:pPr>
    </w:p>
    <w:p w14:paraId="5764343C" w14:textId="77777777" w:rsidR="00224049" w:rsidRDefault="00224049" w:rsidP="00224049">
      <w:pPr>
        <w:tabs>
          <w:tab w:val="left" w:pos="6540"/>
        </w:tabs>
        <w:spacing w:line="360" w:lineRule="auto"/>
        <w:rPr>
          <w:rFonts w:ascii="Arial" w:hAnsi="Arial" w:cs="Arial"/>
          <w:b/>
          <w:bCs/>
          <w:sz w:val="28"/>
          <w:szCs w:val="28"/>
          <w:lang w:val="nl-NL"/>
        </w:rPr>
      </w:pPr>
    </w:p>
    <w:p w14:paraId="4736FEC6" w14:textId="426BCD54" w:rsidR="00224049" w:rsidRPr="00594FAC" w:rsidRDefault="00224049" w:rsidP="00224049">
      <w:pPr>
        <w:tabs>
          <w:tab w:val="left" w:pos="6540"/>
        </w:tabs>
        <w:spacing w:line="360" w:lineRule="auto"/>
        <w:rPr>
          <w:rFonts w:ascii="Arial" w:hAnsi="Arial" w:cs="Arial"/>
          <w:sz w:val="28"/>
          <w:szCs w:val="28"/>
          <w:lang w:val="nl-NL"/>
        </w:rPr>
      </w:pPr>
      <w:r w:rsidRPr="00594FAC">
        <w:rPr>
          <w:rFonts w:ascii="Arial" w:hAnsi="Arial" w:cs="Arial"/>
          <w:b/>
          <w:bCs/>
          <w:sz w:val="28"/>
          <w:szCs w:val="28"/>
          <w:lang w:val="nl-NL"/>
        </w:rPr>
        <w:t>Student name</w:t>
      </w:r>
      <w:r w:rsidRPr="00594FAC">
        <w:rPr>
          <w:rFonts w:ascii="Arial" w:hAnsi="Arial" w:cs="Arial"/>
          <w:sz w:val="28"/>
          <w:szCs w:val="28"/>
          <w:lang w:val="nl-NL"/>
        </w:rPr>
        <w:t>:</w:t>
      </w:r>
      <w:r w:rsidR="00EF0296">
        <w:rPr>
          <w:rFonts w:ascii="Arial" w:hAnsi="Arial" w:cs="Arial"/>
          <w:sz w:val="28"/>
          <w:szCs w:val="28"/>
          <w:lang w:val="nl-NL"/>
        </w:rPr>
        <w:t xml:space="preserve"> Marcelina Musteata</w:t>
      </w:r>
    </w:p>
    <w:p w14:paraId="4D398B51" w14:textId="15C2EF20" w:rsidR="00224049" w:rsidRPr="00594FAC" w:rsidRDefault="00224049" w:rsidP="00224049">
      <w:pPr>
        <w:tabs>
          <w:tab w:val="left" w:pos="6540"/>
        </w:tabs>
        <w:spacing w:line="360" w:lineRule="auto"/>
        <w:rPr>
          <w:rFonts w:ascii="Arial" w:hAnsi="Arial" w:cs="Arial"/>
          <w:sz w:val="28"/>
          <w:szCs w:val="28"/>
          <w:lang w:val="nl-NL"/>
        </w:rPr>
      </w:pPr>
      <w:r w:rsidRPr="00594FAC">
        <w:rPr>
          <w:rFonts w:ascii="Arial" w:hAnsi="Arial" w:cs="Arial"/>
          <w:b/>
          <w:bCs/>
          <w:sz w:val="28"/>
          <w:szCs w:val="28"/>
          <w:lang w:val="nl-NL"/>
        </w:rPr>
        <w:t>Student ID</w:t>
      </w:r>
      <w:r w:rsidRPr="00594FAC">
        <w:rPr>
          <w:rFonts w:ascii="Arial" w:hAnsi="Arial" w:cs="Arial"/>
          <w:sz w:val="28"/>
          <w:szCs w:val="28"/>
          <w:lang w:val="nl-NL"/>
        </w:rPr>
        <w:t>:</w:t>
      </w:r>
      <w:r w:rsidR="00EF0296">
        <w:rPr>
          <w:rFonts w:ascii="Arial" w:hAnsi="Arial" w:cs="Arial"/>
          <w:sz w:val="28"/>
          <w:szCs w:val="28"/>
          <w:lang w:val="nl-NL"/>
        </w:rPr>
        <w:t xml:space="preserve"> 2415793</w:t>
      </w:r>
    </w:p>
    <w:p w14:paraId="33A28F5F" w14:textId="7BE8516E" w:rsidR="00224049" w:rsidRPr="00594FAC" w:rsidRDefault="00224049" w:rsidP="00224049">
      <w:pPr>
        <w:tabs>
          <w:tab w:val="left" w:pos="6540"/>
        </w:tabs>
        <w:spacing w:line="360" w:lineRule="auto"/>
        <w:rPr>
          <w:rFonts w:ascii="Arial" w:hAnsi="Arial" w:cs="Arial"/>
          <w:sz w:val="28"/>
          <w:szCs w:val="28"/>
          <w:lang w:val="nl-NL"/>
        </w:rPr>
      </w:pPr>
      <w:r w:rsidRPr="00594FAC">
        <w:rPr>
          <w:rFonts w:ascii="Arial" w:hAnsi="Arial" w:cs="Arial"/>
          <w:b/>
          <w:bCs/>
          <w:sz w:val="28"/>
          <w:szCs w:val="28"/>
          <w:lang w:val="nl-NL"/>
        </w:rPr>
        <w:t>Module name</w:t>
      </w:r>
      <w:r w:rsidRPr="00594FAC">
        <w:rPr>
          <w:rFonts w:ascii="Arial" w:hAnsi="Arial" w:cs="Arial"/>
          <w:sz w:val="28"/>
          <w:szCs w:val="28"/>
          <w:lang w:val="nl-NL"/>
        </w:rPr>
        <w:t xml:space="preserve">: </w:t>
      </w:r>
      <w:r w:rsidRPr="00224049">
        <w:rPr>
          <w:rFonts w:ascii="Arial" w:hAnsi="Arial" w:cs="Arial"/>
          <w:sz w:val="28"/>
          <w:szCs w:val="28"/>
          <w:lang w:val="nl-NL"/>
        </w:rPr>
        <w:t xml:space="preserve">Changemakers: Building </w:t>
      </w:r>
      <w:proofErr w:type="spellStart"/>
      <w:r w:rsidRPr="00224049">
        <w:rPr>
          <w:rFonts w:ascii="Arial" w:hAnsi="Arial" w:cs="Arial"/>
          <w:sz w:val="28"/>
          <w:szCs w:val="28"/>
          <w:lang w:val="nl-NL"/>
        </w:rPr>
        <w:t>Your</w:t>
      </w:r>
      <w:proofErr w:type="spellEnd"/>
      <w:r w:rsidRPr="00224049">
        <w:rPr>
          <w:rFonts w:ascii="Arial" w:hAnsi="Arial" w:cs="Arial"/>
          <w:sz w:val="28"/>
          <w:szCs w:val="28"/>
          <w:lang w:val="nl-NL"/>
        </w:rPr>
        <w:t xml:space="preserve"> Brand </w:t>
      </w:r>
      <w:proofErr w:type="spellStart"/>
      <w:r w:rsidRPr="00224049">
        <w:rPr>
          <w:rFonts w:ascii="Arial" w:hAnsi="Arial" w:cs="Arial"/>
          <w:sz w:val="28"/>
          <w:szCs w:val="28"/>
          <w:lang w:val="nl-NL"/>
        </w:rPr>
        <w:t>for</w:t>
      </w:r>
      <w:proofErr w:type="spellEnd"/>
      <w:r w:rsidRPr="00224049">
        <w:rPr>
          <w:rFonts w:ascii="Arial" w:hAnsi="Arial" w:cs="Arial"/>
          <w:sz w:val="28"/>
          <w:szCs w:val="28"/>
          <w:lang w:val="nl-NL"/>
        </w:rPr>
        <w:t xml:space="preserve"> </w:t>
      </w:r>
      <w:proofErr w:type="spellStart"/>
      <w:r w:rsidRPr="00224049">
        <w:rPr>
          <w:rFonts w:ascii="Arial" w:hAnsi="Arial" w:cs="Arial"/>
          <w:sz w:val="28"/>
          <w:szCs w:val="28"/>
          <w:lang w:val="nl-NL"/>
        </w:rPr>
        <w:t>Sustainable</w:t>
      </w:r>
      <w:proofErr w:type="spellEnd"/>
      <w:r w:rsidRPr="00224049">
        <w:rPr>
          <w:rFonts w:ascii="Arial" w:hAnsi="Arial" w:cs="Arial"/>
          <w:sz w:val="28"/>
          <w:szCs w:val="28"/>
          <w:lang w:val="nl-NL"/>
        </w:rPr>
        <w:t xml:space="preserve"> </w:t>
      </w:r>
      <w:proofErr w:type="spellStart"/>
      <w:r w:rsidRPr="00224049">
        <w:rPr>
          <w:rFonts w:ascii="Arial" w:hAnsi="Arial" w:cs="Arial"/>
          <w:sz w:val="28"/>
          <w:szCs w:val="28"/>
          <w:lang w:val="nl-NL"/>
        </w:rPr>
        <w:t>Employment</w:t>
      </w:r>
      <w:proofErr w:type="spellEnd"/>
    </w:p>
    <w:p w14:paraId="7E630D65" w14:textId="662AB441" w:rsidR="00224049" w:rsidRPr="00821FD2" w:rsidRDefault="00224049" w:rsidP="00224049">
      <w:pPr>
        <w:tabs>
          <w:tab w:val="left" w:pos="6540"/>
        </w:tabs>
        <w:spacing w:line="360" w:lineRule="auto"/>
        <w:rPr>
          <w:rFonts w:ascii="Arial" w:hAnsi="Arial" w:cs="Arial"/>
          <w:sz w:val="28"/>
          <w:szCs w:val="28"/>
          <w:lang w:val="fr-FR"/>
        </w:rPr>
      </w:pPr>
      <w:r w:rsidRPr="00821FD2">
        <w:rPr>
          <w:rFonts w:ascii="Arial" w:hAnsi="Arial" w:cs="Arial"/>
          <w:b/>
          <w:bCs/>
          <w:sz w:val="28"/>
          <w:szCs w:val="28"/>
          <w:lang w:val="fr-FR"/>
        </w:rPr>
        <w:t xml:space="preserve">Module </w:t>
      </w:r>
      <w:r w:rsidR="00EF0296" w:rsidRPr="00821FD2">
        <w:rPr>
          <w:rFonts w:ascii="Arial" w:hAnsi="Arial" w:cs="Arial"/>
          <w:b/>
          <w:bCs/>
          <w:sz w:val="28"/>
          <w:szCs w:val="28"/>
          <w:lang w:val="fr-FR"/>
        </w:rPr>
        <w:t>code</w:t>
      </w:r>
      <w:r w:rsidR="00EF0296" w:rsidRPr="00821FD2">
        <w:rPr>
          <w:rFonts w:ascii="Arial" w:hAnsi="Arial" w:cs="Arial"/>
          <w:sz w:val="28"/>
          <w:szCs w:val="28"/>
          <w:lang w:val="fr-FR"/>
        </w:rPr>
        <w:t xml:space="preserve"> :</w:t>
      </w:r>
      <w:r>
        <w:rPr>
          <w:rFonts w:ascii="Arial" w:hAnsi="Arial" w:cs="Arial"/>
          <w:sz w:val="28"/>
          <w:szCs w:val="28"/>
          <w:lang w:val="fr-FR"/>
        </w:rPr>
        <w:t xml:space="preserve"> </w:t>
      </w:r>
      <w:r w:rsidRPr="00224049">
        <w:rPr>
          <w:rFonts w:ascii="Arial" w:hAnsi="Arial" w:cs="Arial"/>
          <w:sz w:val="28"/>
          <w:szCs w:val="28"/>
          <w:lang w:val="fr-FR"/>
        </w:rPr>
        <w:t>BMHP5015</w:t>
      </w:r>
    </w:p>
    <w:p w14:paraId="3905CC62" w14:textId="06A2FF91" w:rsidR="00224049" w:rsidRDefault="00224049" w:rsidP="00224049">
      <w:pPr>
        <w:tabs>
          <w:tab w:val="left" w:pos="6540"/>
        </w:tabs>
        <w:spacing w:line="360" w:lineRule="auto"/>
        <w:rPr>
          <w:rFonts w:ascii="Arial" w:hAnsi="Arial" w:cs="Arial"/>
          <w:sz w:val="28"/>
          <w:szCs w:val="28"/>
          <w:lang w:val="fr-FR"/>
        </w:rPr>
      </w:pPr>
      <w:proofErr w:type="spellStart"/>
      <w:r w:rsidRPr="00821FD2">
        <w:rPr>
          <w:rFonts w:ascii="Arial" w:hAnsi="Arial" w:cs="Arial"/>
          <w:b/>
          <w:bCs/>
          <w:sz w:val="28"/>
          <w:szCs w:val="28"/>
          <w:lang w:val="fr-FR"/>
        </w:rPr>
        <w:t>Lecturer</w:t>
      </w:r>
      <w:proofErr w:type="spellEnd"/>
      <w:r w:rsidRPr="00821FD2">
        <w:rPr>
          <w:rFonts w:ascii="Arial" w:hAnsi="Arial" w:cs="Arial"/>
          <w:b/>
          <w:bCs/>
          <w:sz w:val="28"/>
          <w:szCs w:val="28"/>
          <w:lang w:val="fr-FR"/>
        </w:rPr>
        <w:t xml:space="preserve"> </w:t>
      </w:r>
      <w:proofErr w:type="spellStart"/>
      <w:proofErr w:type="gramStart"/>
      <w:r w:rsidRPr="00821FD2">
        <w:rPr>
          <w:rFonts w:ascii="Arial" w:hAnsi="Arial" w:cs="Arial"/>
          <w:b/>
          <w:bCs/>
          <w:sz w:val="28"/>
          <w:szCs w:val="28"/>
          <w:lang w:val="fr-FR"/>
        </w:rPr>
        <w:t>name</w:t>
      </w:r>
      <w:proofErr w:type="spellEnd"/>
      <w:r w:rsidRPr="00821FD2">
        <w:rPr>
          <w:rFonts w:ascii="Arial" w:hAnsi="Arial" w:cs="Arial"/>
          <w:sz w:val="28"/>
          <w:szCs w:val="28"/>
          <w:lang w:val="fr-FR"/>
        </w:rPr>
        <w:t>:</w:t>
      </w:r>
      <w:proofErr w:type="gramEnd"/>
      <w:r w:rsidR="00EF0296">
        <w:rPr>
          <w:rFonts w:ascii="Arial" w:hAnsi="Arial" w:cs="Arial"/>
          <w:sz w:val="28"/>
          <w:szCs w:val="28"/>
          <w:lang w:val="fr-FR"/>
        </w:rPr>
        <w:t xml:space="preserve"> Caroline Salami </w:t>
      </w:r>
    </w:p>
    <w:p w14:paraId="7DF6F7EE" w14:textId="77777777" w:rsidR="00224049" w:rsidRDefault="00224049" w:rsidP="00224049">
      <w:pPr>
        <w:tabs>
          <w:tab w:val="left" w:pos="6540"/>
        </w:tabs>
        <w:spacing w:line="360" w:lineRule="auto"/>
        <w:rPr>
          <w:rFonts w:ascii="Arial" w:hAnsi="Arial" w:cs="Arial"/>
          <w:sz w:val="28"/>
          <w:szCs w:val="28"/>
          <w:lang w:val="fr-FR"/>
        </w:rPr>
      </w:pPr>
    </w:p>
    <w:p w14:paraId="3A4FF120" w14:textId="77777777" w:rsidR="00224049" w:rsidRDefault="00224049" w:rsidP="00224049">
      <w:pPr>
        <w:tabs>
          <w:tab w:val="left" w:pos="6540"/>
        </w:tabs>
        <w:spacing w:line="360" w:lineRule="auto"/>
        <w:rPr>
          <w:rFonts w:ascii="Arial" w:hAnsi="Arial" w:cs="Arial"/>
          <w:sz w:val="28"/>
          <w:szCs w:val="28"/>
          <w:lang w:val="fr-FR"/>
        </w:rPr>
      </w:pPr>
    </w:p>
    <w:p w14:paraId="2A1603A8" w14:textId="77777777" w:rsidR="00224049" w:rsidRDefault="00224049" w:rsidP="00224049">
      <w:pPr>
        <w:tabs>
          <w:tab w:val="left" w:pos="6540"/>
        </w:tabs>
        <w:spacing w:line="360" w:lineRule="auto"/>
        <w:rPr>
          <w:rFonts w:ascii="Arial" w:hAnsi="Arial" w:cs="Arial"/>
          <w:sz w:val="28"/>
          <w:szCs w:val="28"/>
          <w:lang w:val="fr-FR"/>
        </w:rPr>
      </w:pPr>
    </w:p>
    <w:p w14:paraId="22E0C286" w14:textId="77777777" w:rsidR="00224049" w:rsidRDefault="00224049" w:rsidP="00224049">
      <w:pPr>
        <w:tabs>
          <w:tab w:val="left" w:pos="6540"/>
        </w:tabs>
        <w:spacing w:line="360" w:lineRule="auto"/>
        <w:rPr>
          <w:rFonts w:ascii="Arial" w:hAnsi="Arial" w:cs="Arial"/>
          <w:sz w:val="28"/>
          <w:szCs w:val="28"/>
          <w:lang w:val="fr-FR"/>
        </w:rPr>
      </w:pPr>
    </w:p>
    <w:p w14:paraId="68CA2BBD" w14:textId="77777777" w:rsidR="00224049" w:rsidRDefault="00224049" w:rsidP="00224049">
      <w:pPr>
        <w:tabs>
          <w:tab w:val="left" w:pos="6540"/>
        </w:tabs>
        <w:spacing w:line="360" w:lineRule="auto"/>
        <w:rPr>
          <w:rFonts w:ascii="Arial" w:hAnsi="Arial" w:cs="Arial"/>
          <w:sz w:val="28"/>
          <w:szCs w:val="28"/>
          <w:lang w:val="fr-FR"/>
        </w:rPr>
      </w:pPr>
    </w:p>
    <w:p w14:paraId="33B01852" w14:textId="77777777" w:rsidR="00224049" w:rsidRDefault="00224049" w:rsidP="00224049">
      <w:pPr>
        <w:tabs>
          <w:tab w:val="left" w:pos="6540"/>
        </w:tabs>
        <w:spacing w:line="360" w:lineRule="auto"/>
        <w:rPr>
          <w:rFonts w:ascii="Arial" w:hAnsi="Arial" w:cs="Arial"/>
          <w:sz w:val="28"/>
          <w:szCs w:val="28"/>
          <w:lang w:val="fr-FR"/>
        </w:rPr>
      </w:pPr>
    </w:p>
    <w:p w14:paraId="2965CFD9" w14:textId="77777777" w:rsidR="00224049" w:rsidRDefault="00224049" w:rsidP="00224049">
      <w:pPr>
        <w:tabs>
          <w:tab w:val="left" w:pos="6540"/>
        </w:tabs>
        <w:spacing w:line="360" w:lineRule="auto"/>
        <w:rPr>
          <w:rFonts w:ascii="Arial" w:hAnsi="Arial" w:cs="Arial"/>
          <w:sz w:val="28"/>
          <w:szCs w:val="28"/>
          <w:lang w:val="fr-FR"/>
        </w:rPr>
      </w:pPr>
    </w:p>
    <w:p w14:paraId="5102348C" w14:textId="77777777" w:rsidR="00224049" w:rsidRDefault="00224049" w:rsidP="00224049">
      <w:pPr>
        <w:tabs>
          <w:tab w:val="left" w:pos="6540"/>
        </w:tabs>
        <w:spacing w:line="360" w:lineRule="auto"/>
        <w:rPr>
          <w:rFonts w:ascii="Arial" w:hAnsi="Arial" w:cs="Arial"/>
          <w:sz w:val="28"/>
          <w:szCs w:val="28"/>
          <w:lang w:val="fr-FR"/>
        </w:rPr>
      </w:pPr>
    </w:p>
    <w:p w14:paraId="1795FEA0" w14:textId="77777777" w:rsidR="00224049" w:rsidRDefault="00224049" w:rsidP="00224049">
      <w:pPr>
        <w:tabs>
          <w:tab w:val="left" w:pos="6540"/>
        </w:tabs>
        <w:spacing w:line="360" w:lineRule="auto"/>
        <w:rPr>
          <w:rFonts w:ascii="Arial" w:hAnsi="Arial" w:cs="Arial"/>
          <w:sz w:val="28"/>
          <w:szCs w:val="28"/>
          <w:lang w:val="fr-FR"/>
        </w:rPr>
      </w:pPr>
    </w:p>
    <w:p w14:paraId="2F5D6ADD" w14:textId="77777777" w:rsidR="00224049" w:rsidRDefault="00224049" w:rsidP="00224049">
      <w:pPr>
        <w:tabs>
          <w:tab w:val="left" w:pos="6540"/>
        </w:tabs>
        <w:spacing w:line="360" w:lineRule="auto"/>
        <w:rPr>
          <w:rFonts w:ascii="Arial" w:hAnsi="Arial" w:cs="Arial"/>
          <w:sz w:val="28"/>
          <w:szCs w:val="28"/>
          <w:lang w:val="fr-FR"/>
        </w:rPr>
      </w:pPr>
    </w:p>
    <w:p w14:paraId="0AE9F267" w14:textId="77777777" w:rsidR="00224049" w:rsidRPr="00821FD2" w:rsidRDefault="00224049" w:rsidP="00224049">
      <w:pPr>
        <w:tabs>
          <w:tab w:val="left" w:pos="6540"/>
        </w:tabs>
        <w:spacing w:line="360" w:lineRule="auto"/>
        <w:rPr>
          <w:rFonts w:ascii="Arial" w:hAnsi="Arial" w:cs="Arial"/>
          <w:sz w:val="28"/>
          <w:szCs w:val="28"/>
          <w:lang w:val="fr-FR"/>
        </w:rPr>
      </w:pPr>
    </w:p>
    <w:sdt>
      <w:sdtPr>
        <w:rPr>
          <w:rFonts w:asciiTheme="minorHAnsi" w:eastAsiaTheme="minorHAnsi" w:hAnsiTheme="minorHAnsi" w:cstheme="minorBidi"/>
          <w:b w:val="0"/>
          <w:bCs w:val="0"/>
          <w:color w:val="auto"/>
          <w:kern w:val="2"/>
          <w:sz w:val="24"/>
          <w:szCs w:val="24"/>
          <w:lang w:val="en-GB"/>
          <w14:ligatures w14:val="standardContextual"/>
        </w:rPr>
        <w:id w:val="-434519050"/>
        <w:docPartObj>
          <w:docPartGallery w:val="Table of Contents"/>
          <w:docPartUnique/>
        </w:docPartObj>
      </w:sdtPr>
      <w:sdtEndPr>
        <w:rPr>
          <w:noProof/>
        </w:rPr>
      </w:sdtEndPr>
      <w:sdtContent>
        <w:p w14:paraId="248786BA" w14:textId="33100D8D" w:rsidR="00224049" w:rsidRDefault="00224049">
          <w:pPr>
            <w:pStyle w:val="TOCHeading"/>
          </w:pPr>
          <w:r>
            <w:t>Table of Contents</w:t>
          </w:r>
        </w:p>
        <w:p w14:paraId="5A02A497" w14:textId="48A1637E" w:rsidR="00224049" w:rsidRDefault="00224049">
          <w:pPr>
            <w:pStyle w:val="TOC1"/>
            <w:tabs>
              <w:tab w:val="right" w:leader="dot" w:pos="9016"/>
            </w:tabs>
            <w:rPr>
              <w:noProof/>
            </w:rPr>
          </w:pPr>
          <w:r>
            <w:rPr>
              <w:b w:val="0"/>
              <w:bCs w:val="0"/>
            </w:rPr>
            <w:fldChar w:fldCharType="begin"/>
          </w:r>
          <w:r>
            <w:instrText xml:space="preserve"> TOC \o "1-3" \h \z \u </w:instrText>
          </w:r>
          <w:r>
            <w:rPr>
              <w:b w:val="0"/>
              <w:bCs w:val="0"/>
            </w:rPr>
            <w:fldChar w:fldCharType="separate"/>
          </w:r>
          <w:hyperlink w:anchor="_Toc232630591" w:history="1">
            <w:r w:rsidRPr="00B11F4C">
              <w:rPr>
                <w:rStyle w:val="Hyperlink"/>
                <w:noProof/>
              </w:rPr>
              <w:t>Introduction</w:t>
            </w:r>
            <w:r>
              <w:rPr>
                <w:noProof/>
                <w:webHidden/>
              </w:rPr>
              <w:tab/>
            </w:r>
            <w:r>
              <w:rPr>
                <w:noProof/>
                <w:webHidden/>
              </w:rPr>
              <w:fldChar w:fldCharType="begin"/>
            </w:r>
            <w:r>
              <w:rPr>
                <w:noProof/>
                <w:webHidden/>
              </w:rPr>
              <w:instrText xml:space="preserve"> PAGEREF _Toc232630591 \h </w:instrText>
            </w:r>
            <w:r>
              <w:rPr>
                <w:noProof/>
                <w:webHidden/>
              </w:rPr>
            </w:r>
            <w:r>
              <w:rPr>
                <w:noProof/>
                <w:webHidden/>
              </w:rPr>
              <w:fldChar w:fldCharType="separate"/>
            </w:r>
            <w:r>
              <w:rPr>
                <w:noProof/>
                <w:webHidden/>
              </w:rPr>
              <w:t>3</w:t>
            </w:r>
            <w:r>
              <w:rPr>
                <w:noProof/>
                <w:webHidden/>
              </w:rPr>
              <w:fldChar w:fldCharType="end"/>
            </w:r>
          </w:hyperlink>
        </w:p>
        <w:p w14:paraId="32710EFF" w14:textId="6F2278FB" w:rsidR="00224049" w:rsidRDefault="00224049">
          <w:pPr>
            <w:pStyle w:val="TOC1"/>
            <w:tabs>
              <w:tab w:val="right" w:leader="dot" w:pos="9016"/>
            </w:tabs>
            <w:rPr>
              <w:noProof/>
            </w:rPr>
          </w:pPr>
          <w:hyperlink w:anchor="_Toc232630592" w:history="1">
            <w:r w:rsidRPr="00B11F4C">
              <w:rPr>
                <w:rStyle w:val="Hyperlink"/>
                <w:noProof/>
              </w:rPr>
              <w:t>Reflection on Unit 1: Brand You</w:t>
            </w:r>
            <w:r>
              <w:rPr>
                <w:noProof/>
                <w:webHidden/>
              </w:rPr>
              <w:tab/>
            </w:r>
            <w:r>
              <w:rPr>
                <w:noProof/>
                <w:webHidden/>
              </w:rPr>
              <w:fldChar w:fldCharType="begin"/>
            </w:r>
            <w:r>
              <w:rPr>
                <w:noProof/>
                <w:webHidden/>
              </w:rPr>
              <w:instrText xml:space="preserve"> PAGEREF _Toc232630592 \h </w:instrText>
            </w:r>
            <w:r>
              <w:rPr>
                <w:noProof/>
                <w:webHidden/>
              </w:rPr>
            </w:r>
            <w:r>
              <w:rPr>
                <w:noProof/>
                <w:webHidden/>
              </w:rPr>
              <w:fldChar w:fldCharType="separate"/>
            </w:r>
            <w:r>
              <w:rPr>
                <w:noProof/>
                <w:webHidden/>
              </w:rPr>
              <w:t>3</w:t>
            </w:r>
            <w:r>
              <w:rPr>
                <w:noProof/>
                <w:webHidden/>
              </w:rPr>
              <w:fldChar w:fldCharType="end"/>
            </w:r>
          </w:hyperlink>
        </w:p>
        <w:p w14:paraId="365913D2" w14:textId="5C7916C5" w:rsidR="00224049" w:rsidRDefault="00224049">
          <w:pPr>
            <w:pStyle w:val="TOC1"/>
            <w:tabs>
              <w:tab w:val="right" w:leader="dot" w:pos="9016"/>
            </w:tabs>
            <w:rPr>
              <w:noProof/>
            </w:rPr>
          </w:pPr>
          <w:hyperlink w:anchor="_Toc232630593" w:history="1">
            <w:r w:rsidRPr="00B11F4C">
              <w:rPr>
                <w:rStyle w:val="Hyperlink"/>
                <w:noProof/>
              </w:rPr>
              <w:t>Reflection on Unit 2: It’s a Small World</w:t>
            </w:r>
            <w:r>
              <w:rPr>
                <w:noProof/>
                <w:webHidden/>
              </w:rPr>
              <w:tab/>
            </w:r>
            <w:r>
              <w:rPr>
                <w:noProof/>
                <w:webHidden/>
              </w:rPr>
              <w:fldChar w:fldCharType="begin"/>
            </w:r>
            <w:r>
              <w:rPr>
                <w:noProof/>
                <w:webHidden/>
              </w:rPr>
              <w:instrText xml:space="preserve"> PAGEREF _Toc232630593 \h </w:instrText>
            </w:r>
            <w:r>
              <w:rPr>
                <w:noProof/>
                <w:webHidden/>
              </w:rPr>
            </w:r>
            <w:r>
              <w:rPr>
                <w:noProof/>
                <w:webHidden/>
              </w:rPr>
              <w:fldChar w:fldCharType="separate"/>
            </w:r>
            <w:r>
              <w:rPr>
                <w:noProof/>
                <w:webHidden/>
              </w:rPr>
              <w:t>5</w:t>
            </w:r>
            <w:r>
              <w:rPr>
                <w:noProof/>
                <w:webHidden/>
              </w:rPr>
              <w:fldChar w:fldCharType="end"/>
            </w:r>
          </w:hyperlink>
        </w:p>
        <w:p w14:paraId="125A2833" w14:textId="39CDC75C" w:rsidR="00224049" w:rsidRDefault="00224049">
          <w:pPr>
            <w:pStyle w:val="TOC1"/>
            <w:tabs>
              <w:tab w:val="right" w:leader="dot" w:pos="9016"/>
            </w:tabs>
            <w:rPr>
              <w:noProof/>
            </w:rPr>
          </w:pPr>
          <w:hyperlink w:anchor="_Toc232630594" w:history="1">
            <w:r w:rsidRPr="00B11F4C">
              <w:rPr>
                <w:rStyle w:val="Hyperlink"/>
                <w:noProof/>
              </w:rPr>
              <w:t>Unit 3: Opportunity Knocks</w:t>
            </w:r>
            <w:r>
              <w:rPr>
                <w:noProof/>
                <w:webHidden/>
              </w:rPr>
              <w:tab/>
            </w:r>
            <w:r>
              <w:rPr>
                <w:noProof/>
                <w:webHidden/>
              </w:rPr>
              <w:fldChar w:fldCharType="begin"/>
            </w:r>
            <w:r>
              <w:rPr>
                <w:noProof/>
                <w:webHidden/>
              </w:rPr>
              <w:instrText xml:space="preserve"> PAGEREF _Toc232630594 \h </w:instrText>
            </w:r>
            <w:r>
              <w:rPr>
                <w:noProof/>
                <w:webHidden/>
              </w:rPr>
            </w:r>
            <w:r>
              <w:rPr>
                <w:noProof/>
                <w:webHidden/>
              </w:rPr>
              <w:fldChar w:fldCharType="separate"/>
            </w:r>
            <w:r>
              <w:rPr>
                <w:noProof/>
                <w:webHidden/>
              </w:rPr>
              <w:t>6</w:t>
            </w:r>
            <w:r>
              <w:rPr>
                <w:noProof/>
                <w:webHidden/>
              </w:rPr>
              <w:fldChar w:fldCharType="end"/>
            </w:r>
          </w:hyperlink>
        </w:p>
        <w:p w14:paraId="27C4D5E4" w14:textId="7B6B647C" w:rsidR="00224049" w:rsidRDefault="00224049">
          <w:pPr>
            <w:pStyle w:val="TOC1"/>
            <w:tabs>
              <w:tab w:val="right" w:leader="dot" w:pos="9016"/>
            </w:tabs>
            <w:rPr>
              <w:noProof/>
            </w:rPr>
          </w:pPr>
          <w:hyperlink w:anchor="_Toc232630595" w:history="1">
            <w:r w:rsidRPr="00B11F4C">
              <w:rPr>
                <w:rStyle w:val="Hyperlink"/>
                <w:noProof/>
              </w:rPr>
              <w:t>Unit 4: The Pursuit of Happiness</w:t>
            </w:r>
            <w:r>
              <w:rPr>
                <w:noProof/>
                <w:webHidden/>
              </w:rPr>
              <w:tab/>
            </w:r>
            <w:r>
              <w:rPr>
                <w:noProof/>
                <w:webHidden/>
              </w:rPr>
              <w:fldChar w:fldCharType="begin"/>
            </w:r>
            <w:r>
              <w:rPr>
                <w:noProof/>
                <w:webHidden/>
              </w:rPr>
              <w:instrText xml:space="preserve"> PAGEREF _Toc232630595 \h </w:instrText>
            </w:r>
            <w:r>
              <w:rPr>
                <w:noProof/>
                <w:webHidden/>
              </w:rPr>
            </w:r>
            <w:r>
              <w:rPr>
                <w:noProof/>
                <w:webHidden/>
              </w:rPr>
              <w:fldChar w:fldCharType="separate"/>
            </w:r>
            <w:r>
              <w:rPr>
                <w:noProof/>
                <w:webHidden/>
              </w:rPr>
              <w:t>7</w:t>
            </w:r>
            <w:r>
              <w:rPr>
                <w:noProof/>
                <w:webHidden/>
              </w:rPr>
              <w:fldChar w:fldCharType="end"/>
            </w:r>
          </w:hyperlink>
        </w:p>
        <w:p w14:paraId="454E497E" w14:textId="7825C905" w:rsidR="00224049" w:rsidRDefault="00224049">
          <w:pPr>
            <w:pStyle w:val="TOC1"/>
            <w:tabs>
              <w:tab w:val="right" w:leader="dot" w:pos="9016"/>
            </w:tabs>
            <w:rPr>
              <w:noProof/>
            </w:rPr>
          </w:pPr>
          <w:hyperlink w:anchor="_Toc232630596" w:history="1">
            <w:r w:rsidRPr="00B11F4C">
              <w:rPr>
                <w:rStyle w:val="Hyperlink"/>
                <w:noProof/>
              </w:rPr>
              <w:t>Conclusion</w:t>
            </w:r>
            <w:r>
              <w:rPr>
                <w:noProof/>
                <w:webHidden/>
              </w:rPr>
              <w:tab/>
            </w:r>
            <w:r>
              <w:rPr>
                <w:noProof/>
                <w:webHidden/>
              </w:rPr>
              <w:fldChar w:fldCharType="begin"/>
            </w:r>
            <w:r>
              <w:rPr>
                <w:noProof/>
                <w:webHidden/>
              </w:rPr>
              <w:instrText xml:space="preserve"> PAGEREF _Toc232630596 \h </w:instrText>
            </w:r>
            <w:r>
              <w:rPr>
                <w:noProof/>
                <w:webHidden/>
              </w:rPr>
            </w:r>
            <w:r>
              <w:rPr>
                <w:noProof/>
                <w:webHidden/>
              </w:rPr>
              <w:fldChar w:fldCharType="separate"/>
            </w:r>
            <w:r>
              <w:rPr>
                <w:noProof/>
                <w:webHidden/>
              </w:rPr>
              <w:t>8</w:t>
            </w:r>
            <w:r>
              <w:rPr>
                <w:noProof/>
                <w:webHidden/>
              </w:rPr>
              <w:fldChar w:fldCharType="end"/>
            </w:r>
          </w:hyperlink>
        </w:p>
        <w:p w14:paraId="6766536B" w14:textId="23B496CD" w:rsidR="00224049" w:rsidRDefault="00224049">
          <w:pPr>
            <w:pStyle w:val="TOC1"/>
            <w:tabs>
              <w:tab w:val="right" w:leader="dot" w:pos="9016"/>
            </w:tabs>
            <w:rPr>
              <w:noProof/>
            </w:rPr>
          </w:pPr>
          <w:hyperlink w:anchor="_Toc232630597" w:history="1">
            <w:r w:rsidRPr="00B11F4C">
              <w:rPr>
                <w:rStyle w:val="Hyperlink"/>
                <w:noProof/>
              </w:rPr>
              <w:t>References</w:t>
            </w:r>
            <w:r>
              <w:rPr>
                <w:noProof/>
                <w:webHidden/>
              </w:rPr>
              <w:tab/>
            </w:r>
            <w:r>
              <w:rPr>
                <w:noProof/>
                <w:webHidden/>
              </w:rPr>
              <w:fldChar w:fldCharType="begin"/>
            </w:r>
            <w:r>
              <w:rPr>
                <w:noProof/>
                <w:webHidden/>
              </w:rPr>
              <w:instrText xml:space="preserve"> PAGEREF _Toc232630597 \h </w:instrText>
            </w:r>
            <w:r>
              <w:rPr>
                <w:noProof/>
                <w:webHidden/>
              </w:rPr>
            </w:r>
            <w:r>
              <w:rPr>
                <w:noProof/>
                <w:webHidden/>
              </w:rPr>
              <w:fldChar w:fldCharType="separate"/>
            </w:r>
            <w:r>
              <w:rPr>
                <w:noProof/>
                <w:webHidden/>
              </w:rPr>
              <w:t>9</w:t>
            </w:r>
            <w:r>
              <w:rPr>
                <w:noProof/>
                <w:webHidden/>
              </w:rPr>
              <w:fldChar w:fldCharType="end"/>
            </w:r>
          </w:hyperlink>
        </w:p>
        <w:p w14:paraId="3670BFD6" w14:textId="4C05229F" w:rsidR="00224049" w:rsidRDefault="00224049" w:rsidP="00224049">
          <w:r>
            <w:rPr>
              <w:b/>
              <w:bCs/>
              <w:noProof/>
            </w:rPr>
            <w:fldChar w:fldCharType="end"/>
          </w:r>
        </w:p>
      </w:sdtContent>
    </w:sdt>
    <w:p w14:paraId="1FFF7167" w14:textId="77777777" w:rsidR="00224049" w:rsidRDefault="00224049" w:rsidP="00852341">
      <w:pPr>
        <w:pStyle w:val="Heading1"/>
        <w:spacing w:line="360" w:lineRule="auto"/>
      </w:pPr>
    </w:p>
    <w:p w14:paraId="2605DAA6" w14:textId="77777777" w:rsidR="00224049" w:rsidRDefault="00224049" w:rsidP="00852341">
      <w:pPr>
        <w:pStyle w:val="Heading1"/>
        <w:spacing w:line="360" w:lineRule="auto"/>
      </w:pPr>
    </w:p>
    <w:p w14:paraId="63B67B92" w14:textId="77777777" w:rsidR="00224049" w:rsidRDefault="00224049" w:rsidP="00852341">
      <w:pPr>
        <w:pStyle w:val="Heading1"/>
        <w:spacing w:line="360" w:lineRule="auto"/>
      </w:pPr>
    </w:p>
    <w:p w14:paraId="66A8CC78" w14:textId="77777777" w:rsidR="00224049" w:rsidRDefault="00224049" w:rsidP="00852341">
      <w:pPr>
        <w:pStyle w:val="Heading1"/>
        <w:spacing w:line="360" w:lineRule="auto"/>
      </w:pPr>
    </w:p>
    <w:p w14:paraId="783DC808" w14:textId="77777777" w:rsidR="00224049" w:rsidRDefault="00224049" w:rsidP="00224049"/>
    <w:p w14:paraId="497101D9" w14:textId="77777777" w:rsidR="00224049" w:rsidRDefault="00224049" w:rsidP="00852341">
      <w:pPr>
        <w:pStyle w:val="Heading1"/>
        <w:spacing w:line="360" w:lineRule="auto"/>
      </w:pPr>
    </w:p>
    <w:p w14:paraId="5EC08951" w14:textId="77777777" w:rsidR="00224049" w:rsidRDefault="00224049" w:rsidP="00224049"/>
    <w:p w14:paraId="25E1DA27" w14:textId="37194032" w:rsidR="00977346" w:rsidRDefault="00977346" w:rsidP="00852341">
      <w:pPr>
        <w:pStyle w:val="Heading1"/>
        <w:spacing w:line="360" w:lineRule="auto"/>
      </w:pPr>
      <w:bookmarkStart w:id="0" w:name="_Toc232630591"/>
      <w:r>
        <w:lastRenderedPageBreak/>
        <w:t>Introduction</w:t>
      </w:r>
      <w:bookmarkEnd w:id="0"/>
    </w:p>
    <w:p w14:paraId="6B6EEDC8" w14:textId="4E0192B9" w:rsidR="00977346" w:rsidRDefault="00977346" w:rsidP="00977346">
      <w:pPr>
        <w:spacing w:line="360" w:lineRule="auto"/>
      </w:pPr>
      <w:r>
        <w:t xml:space="preserve">The Changemakers: Building Your Brand for Sustainable Employment module has provided insights into the knowledge, skills, and behaviours needed to be part of sustainable employment in the contemporary workforce. In the four units - Brand You, </w:t>
      </w:r>
      <w:proofErr w:type="gramStart"/>
      <w:r>
        <w:t>It's</w:t>
      </w:r>
      <w:proofErr w:type="gramEnd"/>
      <w:r>
        <w:t xml:space="preserve"> a Small World, Opportunity Knocks and The Pursuit of Happiness were </w:t>
      </w:r>
      <w:r w:rsidR="00852341">
        <w:t xml:space="preserve">taught </w:t>
      </w:r>
      <w:r>
        <w:t>key topics such as personal branding, professional networking, career adaptability, opportunity recognition, resilience, and wellbeing. In a world of changing job opportunities, people are increasingly responsible for their own career growth and continuous learning. Personal branding has been found to improve a person's employability and career success by effectively communicating their skills, values, and professional identity (</w:t>
      </w:r>
      <w:proofErr w:type="spellStart"/>
      <w:r>
        <w:t>Gorbatov</w:t>
      </w:r>
      <w:proofErr w:type="spellEnd"/>
      <w:r>
        <w:t xml:space="preserve"> et al., 2019; </w:t>
      </w:r>
      <w:proofErr w:type="spellStart"/>
      <w:r>
        <w:t>Gorbatov</w:t>
      </w:r>
      <w:proofErr w:type="spellEnd"/>
      <w:r>
        <w:t xml:space="preserve"> et al., 2024). Moreover, professionalism, trust, reflective practice and ongoing development are key aspects of effective practice identified in professional standards of health and social care in the UK</w:t>
      </w:r>
      <w:r w:rsidR="00852341">
        <w:t xml:space="preserve"> (Nursing and Midwifery Council, 2018). </w:t>
      </w:r>
    </w:p>
    <w:p w14:paraId="51C447A0" w14:textId="4C78D427" w:rsidR="00DD29FD" w:rsidRDefault="00977346" w:rsidP="00977346">
      <w:pPr>
        <w:spacing w:line="360" w:lineRule="auto"/>
      </w:pPr>
      <w:r>
        <w:t xml:space="preserve">This portfolio demonstrates learning from each unit and considers the application of these to health and social care. It shows how developing a strong professional identity and building effective networks, recognising opportunities and maintaining wellbeing can support the development of being a competent, adaptable and resilient practitioner (Nursing and Midwifery Council, n.d.; Royal College of Nursing, 2025). </w:t>
      </w:r>
    </w:p>
    <w:p w14:paraId="3A12BF4E" w14:textId="77777777" w:rsidR="005D75F1" w:rsidRDefault="005D75F1" w:rsidP="00977346">
      <w:pPr>
        <w:spacing w:line="360" w:lineRule="auto"/>
      </w:pPr>
    </w:p>
    <w:p w14:paraId="066B9D96" w14:textId="33222501" w:rsidR="005D75F1" w:rsidRDefault="005D75F1" w:rsidP="005D75F1">
      <w:pPr>
        <w:pStyle w:val="Heading1"/>
        <w:spacing w:line="360" w:lineRule="auto"/>
      </w:pPr>
      <w:bookmarkStart w:id="1" w:name="_Toc232630592"/>
      <w:r>
        <w:t>Reflection on Unit 1: Brand You</w:t>
      </w:r>
      <w:bookmarkEnd w:id="1"/>
    </w:p>
    <w:p w14:paraId="7BB68068" w14:textId="1277DBB7" w:rsidR="005D75F1" w:rsidRDefault="005D75F1" w:rsidP="005D75F1">
      <w:pPr>
        <w:spacing w:line="360" w:lineRule="auto"/>
      </w:pPr>
      <w:r>
        <w:t xml:space="preserve">Unit 1, Brand You, helped me think about my identity as an individual and as a professional, and how my personal and professional awareness, ambition and employability skills help towards achieving success in the work of Health and Social Care. The topics Ambition is Critical, What Drives You? and Boundaryless Careers and Boundaryless Skills helped me to understand the significance of acknowledging my strengths, values and career aspirations. I understood that, in addition to qualifications, </w:t>
      </w:r>
      <w:r>
        <w:lastRenderedPageBreak/>
        <w:t>career development takes place when I can communicate my skills, experiences and professional values to others.</w:t>
      </w:r>
    </w:p>
    <w:p w14:paraId="12B96812" w14:textId="639C6B99" w:rsidR="005D75F1" w:rsidRDefault="005D75F1" w:rsidP="005D75F1">
      <w:pPr>
        <w:spacing w:line="360" w:lineRule="auto"/>
      </w:pPr>
      <w:r>
        <w:t xml:space="preserve">The most beneficial part of this unit was learning about personal branding. Prior to the activities, I thought of personal branding primarily in terms of marketing and social media. I then learnt that personal branding is about sharing a clear and authentic professional image, because of skills, values and behaviours. </w:t>
      </w:r>
      <w:proofErr w:type="spellStart"/>
      <w:r>
        <w:t>Gorbatov</w:t>
      </w:r>
      <w:proofErr w:type="spellEnd"/>
      <w:r>
        <w:t xml:space="preserve">, </w:t>
      </w:r>
      <w:proofErr w:type="spellStart"/>
      <w:r>
        <w:t>Khapova</w:t>
      </w:r>
      <w:proofErr w:type="spellEnd"/>
      <w:r>
        <w:t xml:space="preserve"> and </w:t>
      </w:r>
      <w:proofErr w:type="spellStart"/>
      <w:r>
        <w:t>Lysova</w:t>
      </w:r>
      <w:proofErr w:type="spellEnd"/>
      <w:r>
        <w:t xml:space="preserve"> (2019) conducted a study to investigate the positive relationship between personal branding and perceived employability and career satisfaction, as it allows individuals to add value to their employers and professional networks. Additionally, new studies indicate that showing what you're good at and speaking up is a crucial factor in advancing one's career in today's business environment.</w:t>
      </w:r>
    </w:p>
    <w:p w14:paraId="682C69B7" w14:textId="3D083BE9" w:rsidR="005D75F1" w:rsidRDefault="005D75F1" w:rsidP="005D75F1">
      <w:pPr>
        <w:spacing w:line="360" w:lineRule="auto"/>
      </w:pPr>
      <w:r>
        <w:t xml:space="preserve">Another good thing about the unit is that it boosted my self-awareness. Reflecting on personal strengths has helped me understand the positive attributes that include my ability to be empathetic to others, communicate and have a drive to learn, while reflecting on areas for development has enabled me to recognise that I lack confidence and leadership skills. The learning can be mapped onto the Johari Window model by Luft and Ingham, which proposes that self-awareness can be raised by reflecting on oneself and seeking input from others. The model emphasises that there are “blind spots” for individuals that can only be identified through constructive feedback to enable personal growth and development (Garratt, 2024). </w:t>
      </w:r>
    </w:p>
    <w:p w14:paraId="61A6D63F" w14:textId="0D939170" w:rsidR="005D75F1" w:rsidRDefault="005D75F1" w:rsidP="005D75F1">
      <w:pPr>
        <w:spacing w:line="360" w:lineRule="auto"/>
      </w:pPr>
      <w:r>
        <w:t>In health and social care, self-awareness is an especially vital competence since workers are expected to be aware of the impact of their attitudes, behaviours and communications on service users and colleagues (Harley, 2026). Studies indicate that self-awareness can enhance reflective practice, profession and effective team working in health care (Ramani et al., 2017).</w:t>
      </w:r>
    </w:p>
    <w:p w14:paraId="36634257" w14:textId="16D985CE" w:rsidR="00977346" w:rsidRDefault="005D75F1" w:rsidP="00977346">
      <w:pPr>
        <w:spacing w:line="360" w:lineRule="auto"/>
      </w:pPr>
      <w:r>
        <w:t xml:space="preserve">The skills I have </w:t>
      </w:r>
      <w:r w:rsidR="00A41C96">
        <w:t>learnt</w:t>
      </w:r>
      <w:r>
        <w:t xml:space="preserve"> will assist me in my future career within health and social care to become a more confident, reflective and employable practitioner.</w:t>
      </w:r>
    </w:p>
    <w:p w14:paraId="1154ACE2" w14:textId="77777777" w:rsidR="00707F40" w:rsidRDefault="00707F40" w:rsidP="00977346">
      <w:pPr>
        <w:spacing w:line="360" w:lineRule="auto"/>
      </w:pPr>
    </w:p>
    <w:p w14:paraId="3417AB4C" w14:textId="5755169A" w:rsidR="00A41C96" w:rsidRDefault="00707F40" w:rsidP="00977346">
      <w:pPr>
        <w:spacing w:line="360" w:lineRule="auto"/>
      </w:pPr>
      <w:r>
        <w:rPr>
          <w:noProof/>
        </w:rPr>
        <w:lastRenderedPageBreak/>
        <w:drawing>
          <wp:inline distT="0" distB="0" distL="0" distR="0" wp14:anchorId="7650F200" wp14:editId="2618D9F8">
            <wp:extent cx="5731510" cy="3727450"/>
            <wp:effectExtent l="0" t="0" r="0" b="6350"/>
            <wp:docPr id="457780765"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7780765" name="Picture 1" descr="A screenshot of a computer&#10;&#10;Description automatically generated"/>
                    <pic:cNvPicPr/>
                  </pic:nvPicPr>
                  <pic:blipFill>
                    <a:blip r:embed="rId7" cstate="print">
                      <a:extLst>
                        <a:ext uri="{28A0092B-C50C-407E-A947-70E740481C1C}">
                          <a14:useLocalDpi xmlns:a14="http://schemas.microsoft.com/office/drawing/2010/main" val="0"/>
                        </a:ext>
                      </a:extLst>
                    </a:blip>
                    <a:stretch>
                      <a:fillRect/>
                    </a:stretch>
                  </pic:blipFill>
                  <pic:spPr>
                    <a:xfrm>
                      <a:off x="0" y="0"/>
                      <a:ext cx="5731510" cy="3727450"/>
                    </a:xfrm>
                    <a:prstGeom prst="rect">
                      <a:avLst/>
                    </a:prstGeom>
                  </pic:spPr>
                </pic:pic>
              </a:graphicData>
            </a:graphic>
          </wp:inline>
        </w:drawing>
      </w:r>
    </w:p>
    <w:p w14:paraId="3B51DF6B" w14:textId="4500E5AA" w:rsidR="00707F40" w:rsidRDefault="00707F40" w:rsidP="00977346">
      <w:pPr>
        <w:spacing w:line="360" w:lineRule="auto"/>
      </w:pPr>
      <w:r>
        <w:rPr>
          <w:noProof/>
        </w:rPr>
        <w:drawing>
          <wp:inline distT="0" distB="0" distL="0" distR="0" wp14:anchorId="4E7780A0" wp14:editId="1F980587">
            <wp:extent cx="5731510" cy="3727450"/>
            <wp:effectExtent l="0" t="0" r="0" b="6350"/>
            <wp:docPr id="1077177828" name="Picture 2"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77177828" name="Picture 2" descr="A screenshot of a computer&#10;&#10;Description automatically generated"/>
                    <pic:cNvPicPr/>
                  </pic:nvPicPr>
                  <pic:blipFill>
                    <a:blip r:embed="rId8" cstate="print">
                      <a:extLst>
                        <a:ext uri="{28A0092B-C50C-407E-A947-70E740481C1C}">
                          <a14:useLocalDpi xmlns:a14="http://schemas.microsoft.com/office/drawing/2010/main" val="0"/>
                        </a:ext>
                      </a:extLst>
                    </a:blip>
                    <a:stretch>
                      <a:fillRect/>
                    </a:stretch>
                  </pic:blipFill>
                  <pic:spPr>
                    <a:xfrm>
                      <a:off x="0" y="0"/>
                      <a:ext cx="5731510" cy="3727450"/>
                    </a:xfrm>
                    <a:prstGeom prst="rect">
                      <a:avLst/>
                    </a:prstGeom>
                  </pic:spPr>
                </pic:pic>
              </a:graphicData>
            </a:graphic>
          </wp:inline>
        </w:drawing>
      </w:r>
    </w:p>
    <w:p w14:paraId="6EEA7808" w14:textId="77777777" w:rsidR="00707F40" w:rsidRDefault="00707F40" w:rsidP="00977346">
      <w:pPr>
        <w:spacing w:line="360" w:lineRule="auto"/>
      </w:pPr>
    </w:p>
    <w:p w14:paraId="7E8CB371" w14:textId="77777777" w:rsidR="00A41C96" w:rsidRDefault="00A41C96" w:rsidP="00977346">
      <w:pPr>
        <w:spacing w:line="360" w:lineRule="auto"/>
      </w:pPr>
    </w:p>
    <w:p w14:paraId="2DA5E917" w14:textId="5E71E21B" w:rsidR="00A41C96" w:rsidRDefault="008A31E3" w:rsidP="00090235">
      <w:pPr>
        <w:pStyle w:val="Heading1"/>
        <w:spacing w:line="360" w:lineRule="auto"/>
      </w:pPr>
      <w:bookmarkStart w:id="2" w:name="_Toc232630593"/>
      <w:r>
        <w:lastRenderedPageBreak/>
        <w:t>Reflection on Unit 2: It’s a Small World</w:t>
      </w:r>
      <w:bookmarkEnd w:id="2"/>
    </w:p>
    <w:p w14:paraId="66BD94FD" w14:textId="226ADE05" w:rsidR="008A31E3" w:rsidRDefault="008A31E3" w:rsidP="008A31E3">
      <w:pPr>
        <w:spacing w:line="360" w:lineRule="auto"/>
      </w:pPr>
      <w:r>
        <w:t>It's a Small World in Unit 2 dealt with the value of networks, diversity and professional relationships in today's working life. The topics of No One is an Island, Variety is the Spice of Life, Network Society and Making Connections helped me to understand the importance of social and professional networks on career development and the effective practice of health and social care.</w:t>
      </w:r>
    </w:p>
    <w:p w14:paraId="1666D75C" w14:textId="62E1A904" w:rsidR="008A31E3" w:rsidRDefault="008A31E3" w:rsidP="008A31E3">
      <w:pPr>
        <w:spacing w:line="360" w:lineRule="auto"/>
      </w:pPr>
      <w:r>
        <w:t xml:space="preserve">Networking was one of the main concepts to be discussed in this unit. Before attending the activities, I had not seen networking as a way of obtaining work opportunities. But I have discovered networking to be another means of gaining knowledge, providing support and professional development. </w:t>
      </w:r>
      <w:proofErr w:type="spellStart"/>
      <w:r>
        <w:t>Granovetter</w:t>
      </w:r>
      <w:proofErr w:type="spellEnd"/>
      <w:r>
        <w:t xml:space="preserve"> (1973) states that “weak ties”, </w:t>
      </w:r>
      <w:proofErr w:type="gramStart"/>
      <w:r w:rsidR="00090235">
        <w:t>similar to</w:t>
      </w:r>
      <w:proofErr w:type="gramEnd"/>
      <w:r>
        <w:t xml:space="preserve"> acquaintanceships and professional contacts, can also provide access to new information and chances that might not be found through close personal ties. This theory motivated me to see how valuable it was to form connections with professionals from various healthcare environments. Multidisciplinary working is key in delivering person centred care; practitioners need to be able to work effectively with colleagues from other professions and organisations in the NHS (NHS England, 2023).</w:t>
      </w:r>
    </w:p>
    <w:p w14:paraId="4FEF35DF" w14:textId="47717BFC" w:rsidR="008A31E3" w:rsidRDefault="008A31E3" w:rsidP="008A31E3">
      <w:pPr>
        <w:spacing w:line="360" w:lineRule="auto"/>
      </w:pPr>
      <w:r>
        <w:t xml:space="preserve">As a result of the topic Variety is the Spice of Life, my awareness of diversity and cultural competence has increased. People are becoming more diverse, and healthcare practitioners need to be aware of the impact of cultural beliefs, values and experiences on health behaviours and expectations of care. </w:t>
      </w:r>
      <w:proofErr w:type="spellStart"/>
      <w:r>
        <w:t>Campinha</w:t>
      </w:r>
      <w:proofErr w:type="spellEnd"/>
      <w:r>
        <w:t>-Bacote (2002) defines cultural competence as a continuum of cultural awareness, knowledge, skill and encounters. I knew that having cultural competence in health care was crucial to help mitigate health inequities and promote inclusive health care. This is in line with equality, diversity and inclusion in health services, a commitment of NHS England.</w:t>
      </w:r>
    </w:p>
    <w:p w14:paraId="50178099" w14:textId="39B3A8B6" w:rsidR="008A31E3" w:rsidRDefault="008A31E3" w:rsidP="008A31E3">
      <w:pPr>
        <w:spacing w:line="360" w:lineRule="auto"/>
      </w:pPr>
      <w:r>
        <w:t xml:space="preserve">The concept of the Network Society was introduced to me by this topic, which led me to the theory of Castells (2010), who states that modern society is organised increasingly via digital and social networks. This allowed me to develop an awareness of the role of technology in communication, information dissemination and collaboration among professionals. Digital technologies </w:t>
      </w:r>
      <w:r w:rsidR="00090235">
        <w:t>such as</w:t>
      </w:r>
      <w:r>
        <w:t xml:space="preserve"> electronic patient records, online </w:t>
      </w:r>
      <w:r>
        <w:lastRenderedPageBreak/>
        <w:t>professional communities and telehealth services have revolutionised communication in health and social care, and how care is delivered.</w:t>
      </w:r>
    </w:p>
    <w:p w14:paraId="3F069630" w14:textId="3AA50A8D" w:rsidR="00707F40" w:rsidRDefault="00707F40" w:rsidP="008A31E3">
      <w:pPr>
        <w:spacing w:line="360" w:lineRule="auto"/>
      </w:pPr>
      <w:r>
        <w:rPr>
          <w:noProof/>
        </w:rPr>
        <w:drawing>
          <wp:inline distT="0" distB="0" distL="0" distR="0" wp14:anchorId="6892A06E" wp14:editId="1566B0C4">
            <wp:extent cx="5731510" cy="3727450"/>
            <wp:effectExtent l="0" t="0" r="0" b="6350"/>
            <wp:docPr id="513098075" name="Picture 3"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3098075" name="Picture 3" descr="A screenshot of a computer&#10;&#10;Description automatically generated"/>
                    <pic:cNvPicPr/>
                  </pic:nvPicPr>
                  <pic:blipFill>
                    <a:blip r:embed="rId9" cstate="print">
                      <a:extLst>
                        <a:ext uri="{28A0092B-C50C-407E-A947-70E740481C1C}">
                          <a14:useLocalDpi xmlns:a14="http://schemas.microsoft.com/office/drawing/2010/main" val="0"/>
                        </a:ext>
                      </a:extLst>
                    </a:blip>
                    <a:stretch>
                      <a:fillRect/>
                    </a:stretch>
                  </pic:blipFill>
                  <pic:spPr>
                    <a:xfrm>
                      <a:off x="0" y="0"/>
                      <a:ext cx="5731510" cy="3727450"/>
                    </a:xfrm>
                    <a:prstGeom prst="rect">
                      <a:avLst/>
                    </a:prstGeom>
                  </pic:spPr>
                </pic:pic>
              </a:graphicData>
            </a:graphic>
          </wp:inline>
        </w:drawing>
      </w:r>
    </w:p>
    <w:p w14:paraId="76306541" w14:textId="4EFCB0B9" w:rsidR="00707F40" w:rsidRDefault="00707F40" w:rsidP="008A31E3">
      <w:pPr>
        <w:spacing w:line="360" w:lineRule="auto"/>
      </w:pPr>
      <w:r>
        <w:rPr>
          <w:noProof/>
        </w:rPr>
        <w:drawing>
          <wp:inline distT="0" distB="0" distL="0" distR="0" wp14:anchorId="4F147FAC" wp14:editId="15B9D680">
            <wp:extent cx="5731510" cy="3727450"/>
            <wp:effectExtent l="0" t="0" r="0" b="6350"/>
            <wp:docPr id="863111427" name="Picture 4"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63111427" name="Picture 4" descr="A screenshot of a computer&#10;&#10;Description automatically generated"/>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731510" cy="3727450"/>
                    </a:xfrm>
                    <a:prstGeom prst="rect">
                      <a:avLst/>
                    </a:prstGeom>
                  </pic:spPr>
                </pic:pic>
              </a:graphicData>
            </a:graphic>
          </wp:inline>
        </w:drawing>
      </w:r>
    </w:p>
    <w:p w14:paraId="43BFF2BE" w14:textId="77777777" w:rsidR="00090235" w:rsidRDefault="00090235" w:rsidP="008A31E3">
      <w:pPr>
        <w:spacing w:line="360" w:lineRule="auto"/>
      </w:pPr>
    </w:p>
    <w:p w14:paraId="120EECB3" w14:textId="1515F6A3" w:rsidR="00090235" w:rsidRDefault="002E14FD" w:rsidP="00D04597">
      <w:pPr>
        <w:pStyle w:val="Heading1"/>
        <w:spacing w:line="360" w:lineRule="auto"/>
      </w:pPr>
      <w:bookmarkStart w:id="3" w:name="_Toc232630594"/>
      <w:r>
        <w:lastRenderedPageBreak/>
        <w:t>Unit 3: Opportunity Knocks</w:t>
      </w:r>
      <w:bookmarkEnd w:id="3"/>
    </w:p>
    <w:p w14:paraId="5B760B04" w14:textId="47C15E9C" w:rsidR="002E14FD" w:rsidRDefault="002E14FD" w:rsidP="002E14FD">
      <w:pPr>
        <w:spacing w:line="360" w:lineRule="auto"/>
      </w:pPr>
      <w:r>
        <w:t>Opportunity Knocks Unit 3 got me out of my comfort zone, and I creatively brainstormed opportunities and made sure that they are not only found but can be created through preparation, reflection and personal effort. In the topics Creating Your Own Luck, Understanding Career Opportunities, and Open Doors and Me.com, I gained a better understanding of how planning and being adaptable and visible in the professional world are factors to success.</w:t>
      </w:r>
    </w:p>
    <w:p w14:paraId="1D4705F7" w14:textId="02DF6DC7" w:rsidR="002E14FD" w:rsidRDefault="002E14FD" w:rsidP="002E14FD">
      <w:pPr>
        <w:spacing w:line="360" w:lineRule="auto"/>
      </w:pPr>
      <w:r>
        <w:t>The most interesting idea that came up in this unit was 'making your own luck'. Prior to activities, I thought that there was very little opportunity to pursue a career depending on internal factors. But I have realised that a person can improve their odds with new skills, networking and being open to new experiences. This notion is corroborated by the Planned Happenstance Theory of Mitchell, which emphasises that a person's career may be open to new opportunities when he or she exhibits curiosity, flexibility, and persistence. This theory was very useful when I reflected on it because I realised how important it is to take the initiative in my career in health and social care (Mitchell et al., 2011).</w:t>
      </w:r>
    </w:p>
    <w:p w14:paraId="07937EF5" w14:textId="163B50D7" w:rsidR="002E14FD" w:rsidRDefault="002E14FD" w:rsidP="002E14FD">
      <w:pPr>
        <w:spacing w:line="360" w:lineRule="auto"/>
      </w:pPr>
      <w:r>
        <w:t xml:space="preserve">I was prompted to reflect on my career goals and what it would take to get there by the topic Identifying Career Opportunities. I learned that only when setting realistic goals can one turn dreams into actions. This learning could be related to the SMART approach to goal setting by Doran (1981), which encourages specific, measurable, achievable, relevant and time-bound goals. The SMART goals supported me </w:t>
      </w:r>
      <w:r w:rsidR="00D04597">
        <w:t>i</w:t>
      </w:r>
      <w:r>
        <w:t>n focusing on the actions that I could take, including further placement experience, improved communication skills and ongoing professional development.</w:t>
      </w:r>
    </w:p>
    <w:p w14:paraId="4BA7424C" w14:textId="6A34360D" w:rsidR="002E14FD" w:rsidRDefault="002E14FD" w:rsidP="002E14FD">
      <w:pPr>
        <w:spacing w:line="360" w:lineRule="auto"/>
      </w:pPr>
      <w:r>
        <w:t>The last topic, Me.com, emphasised the increasing significance of having a professional online presence</w:t>
      </w:r>
      <w:r w:rsidR="00D04597">
        <w:t xml:space="preserve"> (</w:t>
      </w:r>
      <w:proofErr w:type="spellStart"/>
      <w:r w:rsidR="00D04597">
        <w:t>Leedham</w:t>
      </w:r>
      <w:proofErr w:type="spellEnd"/>
      <w:r w:rsidR="00D04597">
        <w:t>-Green et al., 2020)</w:t>
      </w:r>
      <w:r>
        <w:t>. I learned that there were more digital platforms being used to evaluate job candidates and that it is important to have a professional online persona. In health and social care, professionalism, integrity and accountability need to be shown both on and off the internet, as would be expected by the professional regulatory bodies, such as the NMC (2018).</w:t>
      </w:r>
      <w:r w:rsidR="00707F40">
        <w:rPr>
          <w:noProof/>
        </w:rPr>
        <w:lastRenderedPageBreak/>
        <w:drawing>
          <wp:inline distT="0" distB="0" distL="0" distR="0" wp14:anchorId="700A71F1" wp14:editId="02E13BA5">
            <wp:extent cx="5731510" cy="3727450"/>
            <wp:effectExtent l="0" t="0" r="0" b="6350"/>
            <wp:docPr id="1128586981" name="Picture 6"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28586981" name="Picture 6" descr="A screenshot of a computer&#10;&#10;Description automatically generated"/>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731510" cy="3727450"/>
                    </a:xfrm>
                    <a:prstGeom prst="rect">
                      <a:avLst/>
                    </a:prstGeom>
                  </pic:spPr>
                </pic:pic>
              </a:graphicData>
            </a:graphic>
          </wp:inline>
        </w:drawing>
      </w:r>
      <w:r w:rsidR="00707F40">
        <w:rPr>
          <w:noProof/>
        </w:rPr>
        <w:drawing>
          <wp:inline distT="0" distB="0" distL="0" distR="0" wp14:anchorId="3E605CCF" wp14:editId="41C6CE32">
            <wp:extent cx="5731510" cy="3727450"/>
            <wp:effectExtent l="0" t="0" r="0" b="6350"/>
            <wp:docPr id="405006006" name="Picture 5"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5006006" name="Picture 5" descr="A screenshot of a computer&#10;&#10;Description automatically generated"/>
                    <pic:cNvPicPr/>
                  </pic:nvPicPr>
                  <pic:blipFill>
                    <a:blip r:embed="rId12" cstate="print">
                      <a:extLst>
                        <a:ext uri="{28A0092B-C50C-407E-A947-70E740481C1C}">
                          <a14:useLocalDpi xmlns:a14="http://schemas.microsoft.com/office/drawing/2010/main" val="0"/>
                        </a:ext>
                      </a:extLst>
                    </a:blip>
                    <a:stretch>
                      <a:fillRect/>
                    </a:stretch>
                  </pic:blipFill>
                  <pic:spPr>
                    <a:xfrm>
                      <a:off x="0" y="0"/>
                      <a:ext cx="5731510" cy="3727450"/>
                    </a:xfrm>
                    <a:prstGeom prst="rect">
                      <a:avLst/>
                    </a:prstGeom>
                  </pic:spPr>
                </pic:pic>
              </a:graphicData>
            </a:graphic>
          </wp:inline>
        </w:drawing>
      </w:r>
    </w:p>
    <w:p w14:paraId="7A66224D" w14:textId="77777777" w:rsidR="00D04597" w:rsidRDefault="00D04597" w:rsidP="002E14FD">
      <w:pPr>
        <w:spacing w:line="360" w:lineRule="auto"/>
      </w:pPr>
    </w:p>
    <w:p w14:paraId="73DEC575" w14:textId="21A3380B" w:rsidR="00D04597" w:rsidRDefault="004C3339" w:rsidP="00801577">
      <w:pPr>
        <w:pStyle w:val="Heading1"/>
        <w:spacing w:line="360" w:lineRule="auto"/>
      </w:pPr>
      <w:bookmarkStart w:id="4" w:name="_Toc232630595"/>
      <w:r>
        <w:lastRenderedPageBreak/>
        <w:t>Unit 4: The Pursuit of Happiness</w:t>
      </w:r>
      <w:bookmarkEnd w:id="4"/>
    </w:p>
    <w:p w14:paraId="5D5D3C10" w14:textId="472BBE7F" w:rsidR="004C3339" w:rsidRDefault="004C3339" w:rsidP="004C3339">
      <w:pPr>
        <w:spacing w:line="360" w:lineRule="auto"/>
      </w:pPr>
      <w:r>
        <w:t>Unit 4 focused on The Pursuit of Happiness, which allowed me to introspect on how well, resilient and future oriented I am in my personal life. I have developed my understanding of the importance of positive thinking, resilience and professional support in the context of personal and professional success in health and social care through the topics Future Me, Passion and Perseverance, Plan, Prepare, Perform and Career Role Models.</w:t>
      </w:r>
    </w:p>
    <w:p w14:paraId="1F4CA082" w14:textId="3B294258" w:rsidR="004C3339" w:rsidRDefault="004C3339" w:rsidP="004C3339">
      <w:pPr>
        <w:spacing w:line="360" w:lineRule="auto"/>
      </w:pPr>
      <w:r>
        <w:t>The theme Future Me helped me to think about my education and what I was learning, and what might be holding me back from reaching my objectives. I know that sometimes when things are difficult, I question my own capabilities. This activity was a great reminder to me of the value of having a growth mindset. Dweck (2006) states that people with a growth mindset think that their skills are developed through work, study and persistence. This idea came to me at a time when I was thinking more about challenges as opportunities for growth and not as an obstacle to success.</w:t>
      </w:r>
    </w:p>
    <w:p w14:paraId="59B65FA3" w14:textId="352B61D6" w:rsidR="004C3339" w:rsidRDefault="004C3339" w:rsidP="004C3339">
      <w:pPr>
        <w:spacing w:line="360" w:lineRule="auto"/>
      </w:pPr>
      <w:r>
        <w:t>The Passion and Perseverance topic was about perseverance and coping with setbacks. There are times when working in health and social care can be emotionally challenging, and I discovered that being resilient is a key skill to help maintain wellbeing and to be effective in the workplace. Robertson et al. (2015) recommend that resilience can help healthcare practitioners respond with a positive attitude to the challenges they may face in the workplace and minimise the risk of burnout. Through this topic, I became aware that it is important to seek support, to have positive relationships and good coping strategies.</w:t>
      </w:r>
    </w:p>
    <w:p w14:paraId="447FC3D6" w14:textId="77777777" w:rsidR="004C3339" w:rsidRDefault="004C3339" w:rsidP="004C3339">
      <w:pPr>
        <w:spacing w:line="360" w:lineRule="auto"/>
      </w:pPr>
    </w:p>
    <w:p w14:paraId="3BF432F1" w14:textId="6A04D6CA" w:rsidR="004C3339" w:rsidRDefault="004C3339" w:rsidP="004C3339">
      <w:pPr>
        <w:spacing w:line="360" w:lineRule="auto"/>
      </w:pPr>
      <w:r>
        <w:t>The words plan, prepare, and perform were introduced in the topic, and the concept of an antifragile mindset was first introduced. Some people grow stronger from misfortune than from happiness, according to Taleb (2012). This provoked me to rethink what I knew about resilience and to embrace change to grow myself. In health and social care, policies, technologies and needs for services are often in constant change – so developing adaptability is crucial.</w:t>
      </w:r>
    </w:p>
    <w:p w14:paraId="43FB8A41" w14:textId="22531D0C" w:rsidR="004C3339" w:rsidRDefault="004C3339" w:rsidP="004C3339">
      <w:pPr>
        <w:spacing w:line="360" w:lineRule="auto"/>
      </w:pPr>
      <w:r>
        <w:lastRenderedPageBreak/>
        <w:t>Lastly, Career Role Models emphasised the importance of mentorship and career advice. Bandura (1977) proposed a theory called social learning theory, which posits that people learn by observing and imitating others' behaviour. To think about positive role modelling in the health care field helped me to value the impact that the experienced practitioner can have on professional development and career goals.</w:t>
      </w:r>
    </w:p>
    <w:p w14:paraId="2F6C7105" w14:textId="2E444AD0" w:rsidR="00707F40" w:rsidRDefault="00707F40" w:rsidP="004C3339">
      <w:pPr>
        <w:spacing w:line="360" w:lineRule="auto"/>
      </w:pPr>
      <w:r>
        <w:rPr>
          <w:noProof/>
        </w:rPr>
        <w:drawing>
          <wp:inline distT="0" distB="0" distL="0" distR="0" wp14:anchorId="0CF6E681" wp14:editId="559149BD">
            <wp:extent cx="5731510" cy="3727450"/>
            <wp:effectExtent l="0" t="0" r="0" b="6350"/>
            <wp:docPr id="22843686" name="Picture 7"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843686" name="Picture 7" descr="A screenshot of a computer&#10;&#10;Description automatically generated"/>
                    <pic:cNvPicPr/>
                  </pic:nvPicPr>
                  <pic:blipFill>
                    <a:blip r:embed="rId13" cstate="print">
                      <a:extLst>
                        <a:ext uri="{28A0092B-C50C-407E-A947-70E740481C1C}">
                          <a14:useLocalDpi xmlns:a14="http://schemas.microsoft.com/office/drawing/2010/main" val="0"/>
                        </a:ext>
                      </a:extLst>
                    </a:blip>
                    <a:stretch>
                      <a:fillRect/>
                    </a:stretch>
                  </pic:blipFill>
                  <pic:spPr>
                    <a:xfrm>
                      <a:off x="0" y="0"/>
                      <a:ext cx="5731510" cy="3727450"/>
                    </a:xfrm>
                    <a:prstGeom prst="rect">
                      <a:avLst/>
                    </a:prstGeom>
                  </pic:spPr>
                </pic:pic>
              </a:graphicData>
            </a:graphic>
          </wp:inline>
        </w:drawing>
      </w:r>
    </w:p>
    <w:p w14:paraId="5686A46B" w14:textId="37E52224" w:rsidR="00707F40" w:rsidRDefault="00707F40" w:rsidP="004C3339">
      <w:pPr>
        <w:spacing w:line="360" w:lineRule="auto"/>
      </w:pPr>
      <w:r>
        <w:rPr>
          <w:noProof/>
        </w:rPr>
        <w:lastRenderedPageBreak/>
        <w:drawing>
          <wp:inline distT="0" distB="0" distL="0" distR="0" wp14:anchorId="6C5B7DF1" wp14:editId="5519B067">
            <wp:extent cx="5731510" cy="3727450"/>
            <wp:effectExtent l="0" t="0" r="0" b="6350"/>
            <wp:docPr id="1795738968" name="Picture 9"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95738968" name="Picture 9" descr="A screenshot of a computer&#10;&#10;Description automatically generated"/>
                    <pic:cNvPicPr/>
                  </pic:nvPicPr>
                  <pic:blipFill>
                    <a:blip r:embed="rId14" cstate="print">
                      <a:extLst>
                        <a:ext uri="{28A0092B-C50C-407E-A947-70E740481C1C}">
                          <a14:useLocalDpi xmlns:a14="http://schemas.microsoft.com/office/drawing/2010/main" val="0"/>
                        </a:ext>
                      </a:extLst>
                    </a:blip>
                    <a:stretch>
                      <a:fillRect/>
                    </a:stretch>
                  </pic:blipFill>
                  <pic:spPr>
                    <a:xfrm>
                      <a:off x="0" y="0"/>
                      <a:ext cx="5731510" cy="3727450"/>
                    </a:xfrm>
                    <a:prstGeom prst="rect">
                      <a:avLst/>
                    </a:prstGeom>
                  </pic:spPr>
                </pic:pic>
              </a:graphicData>
            </a:graphic>
          </wp:inline>
        </w:drawing>
      </w:r>
    </w:p>
    <w:p w14:paraId="4FFEAE25" w14:textId="3A9E5764" w:rsidR="00707F40" w:rsidRDefault="00707F40" w:rsidP="004C3339">
      <w:pPr>
        <w:spacing w:line="360" w:lineRule="auto"/>
      </w:pPr>
      <w:r>
        <w:rPr>
          <w:noProof/>
        </w:rPr>
        <w:drawing>
          <wp:inline distT="0" distB="0" distL="0" distR="0" wp14:anchorId="678B6D45" wp14:editId="75D05A00">
            <wp:extent cx="5731510" cy="3727450"/>
            <wp:effectExtent l="0" t="0" r="0" b="6350"/>
            <wp:docPr id="703342215" name="Picture 8"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03342215" name="Picture 8" descr="A screenshot of a computer&#10;&#10;Description automatically generated"/>
                    <pic:cNvPicPr/>
                  </pic:nvPicPr>
                  <pic:blipFill>
                    <a:blip r:embed="rId15" cstate="print">
                      <a:extLst>
                        <a:ext uri="{28A0092B-C50C-407E-A947-70E740481C1C}">
                          <a14:useLocalDpi xmlns:a14="http://schemas.microsoft.com/office/drawing/2010/main" val="0"/>
                        </a:ext>
                      </a:extLst>
                    </a:blip>
                    <a:stretch>
                      <a:fillRect/>
                    </a:stretch>
                  </pic:blipFill>
                  <pic:spPr>
                    <a:xfrm>
                      <a:off x="0" y="0"/>
                      <a:ext cx="5731510" cy="3727450"/>
                    </a:xfrm>
                    <a:prstGeom prst="rect">
                      <a:avLst/>
                    </a:prstGeom>
                  </pic:spPr>
                </pic:pic>
              </a:graphicData>
            </a:graphic>
          </wp:inline>
        </w:drawing>
      </w:r>
    </w:p>
    <w:p w14:paraId="2885D3A5" w14:textId="701420B6" w:rsidR="00707F40" w:rsidRDefault="00707F40" w:rsidP="004C3339">
      <w:pPr>
        <w:spacing w:line="360" w:lineRule="auto"/>
      </w:pPr>
      <w:r>
        <w:rPr>
          <w:noProof/>
        </w:rPr>
        <w:lastRenderedPageBreak/>
        <w:drawing>
          <wp:inline distT="0" distB="0" distL="0" distR="0" wp14:anchorId="4F37E678" wp14:editId="1294E98C">
            <wp:extent cx="5731510" cy="3727450"/>
            <wp:effectExtent l="0" t="0" r="0" b="6350"/>
            <wp:docPr id="56109533" name="Picture 10"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109533" name="Picture 10" descr="A screenshot of a computer&#10;&#10;Description automatically generated"/>
                    <pic:cNvPicPr/>
                  </pic:nvPicPr>
                  <pic:blipFill>
                    <a:blip r:embed="rId16" cstate="print">
                      <a:extLst>
                        <a:ext uri="{28A0092B-C50C-407E-A947-70E740481C1C}">
                          <a14:useLocalDpi xmlns:a14="http://schemas.microsoft.com/office/drawing/2010/main" val="0"/>
                        </a:ext>
                      </a:extLst>
                    </a:blip>
                    <a:stretch>
                      <a:fillRect/>
                    </a:stretch>
                  </pic:blipFill>
                  <pic:spPr>
                    <a:xfrm>
                      <a:off x="0" y="0"/>
                      <a:ext cx="5731510" cy="3727450"/>
                    </a:xfrm>
                    <a:prstGeom prst="rect">
                      <a:avLst/>
                    </a:prstGeom>
                  </pic:spPr>
                </pic:pic>
              </a:graphicData>
            </a:graphic>
          </wp:inline>
        </w:drawing>
      </w:r>
    </w:p>
    <w:p w14:paraId="553C5C7E" w14:textId="7A121AA6" w:rsidR="00145E3D" w:rsidRDefault="00145E3D" w:rsidP="004C3339">
      <w:pPr>
        <w:spacing w:line="360" w:lineRule="auto"/>
      </w:pPr>
      <w:r>
        <w:rPr>
          <w:noProof/>
        </w:rPr>
        <w:drawing>
          <wp:inline distT="0" distB="0" distL="0" distR="0" wp14:anchorId="23954433" wp14:editId="589BD1B9">
            <wp:extent cx="5731510" cy="3727450"/>
            <wp:effectExtent l="0" t="0" r="0" b="6350"/>
            <wp:docPr id="1253167001"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53167001" name="Picture 1" descr="A screenshot of a computer&#10;&#10;Description automatically generated"/>
                    <pic:cNvPicPr/>
                  </pic:nvPicPr>
                  <pic:blipFill>
                    <a:blip r:embed="rId17" cstate="print">
                      <a:extLst>
                        <a:ext uri="{28A0092B-C50C-407E-A947-70E740481C1C}">
                          <a14:useLocalDpi xmlns:a14="http://schemas.microsoft.com/office/drawing/2010/main" val="0"/>
                        </a:ext>
                      </a:extLst>
                    </a:blip>
                    <a:stretch>
                      <a:fillRect/>
                    </a:stretch>
                  </pic:blipFill>
                  <pic:spPr>
                    <a:xfrm>
                      <a:off x="0" y="0"/>
                      <a:ext cx="5731510" cy="3727450"/>
                    </a:xfrm>
                    <a:prstGeom prst="rect">
                      <a:avLst/>
                    </a:prstGeom>
                  </pic:spPr>
                </pic:pic>
              </a:graphicData>
            </a:graphic>
          </wp:inline>
        </w:drawing>
      </w:r>
    </w:p>
    <w:p w14:paraId="7A5F7B41" w14:textId="77777777" w:rsidR="00707F40" w:rsidRDefault="00707F40" w:rsidP="004C3339">
      <w:pPr>
        <w:spacing w:line="360" w:lineRule="auto"/>
      </w:pPr>
    </w:p>
    <w:p w14:paraId="368B7F5B" w14:textId="0DC7D00D" w:rsidR="00801577" w:rsidRDefault="00801577" w:rsidP="00224049">
      <w:pPr>
        <w:pStyle w:val="Heading1"/>
        <w:spacing w:line="360" w:lineRule="auto"/>
      </w:pPr>
      <w:bookmarkStart w:id="5" w:name="_Toc232630596"/>
      <w:r>
        <w:lastRenderedPageBreak/>
        <w:t>Conclusion</w:t>
      </w:r>
      <w:bookmarkEnd w:id="5"/>
    </w:p>
    <w:p w14:paraId="2212B8FD" w14:textId="79C220E6" w:rsidR="00801577" w:rsidRDefault="00224049" w:rsidP="00977346">
      <w:pPr>
        <w:spacing w:line="360" w:lineRule="auto"/>
      </w:pPr>
      <w:r w:rsidRPr="00224049">
        <w:t>To summarise, the Changemakers: Building Your Brand for Sustainable Employment module has helped me broaden my knowledge, skills and behaviours relating to sustainable employment in health and social care. In Unit 1, my self-awareness increased, as well as understood how to use my personal brand and professional identity to enhance my employability. In Unit 1, I have been developing an increased level of self-awareness and gained an insight into how the use of personal brand and professional identity can enhance employability (</w:t>
      </w:r>
      <w:proofErr w:type="spellStart"/>
      <w:r w:rsidRPr="00224049">
        <w:t>Gorbatov</w:t>
      </w:r>
      <w:proofErr w:type="spellEnd"/>
      <w:r w:rsidRPr="00224049">
        <w:t xml:space="preserve">, </w:t>
      </w:r>
      <w:proofErr w:type="spellStart"/>
      <w:r w:rsidRPr="00224049">
        <w:t>Khapova</w:t>
      </w:r>
      <w:proofErr w:type="spellEnd"/>
      <w:r w:rsidRPr="00224049">
        <w:t xml:space="preserve"> and </w:t>
      </w:r>
      <w:proofErr w:type="spellStart"/>
      <w:r w:rsidRPr="00224049">
        <w:t>Lysova</w:t>
      </w:r>
      <w:proofErr w:type="spellEnd"/>
      <w:r w:rsidRPr="00224049">
        <w:t>, 2019). Further, my learning in Unit 2 expanded my awareness and understanding of networking, diversity and cultural competence and the importance of collaborative working and professional relationships to deliver person-centred care (</w:t>
      </w:r>
      <w:proofErr w:type="spellStart"/>
      <w:r w:rsidRPr="00224049">
        <w:t>Granovetter</w:t>
      </w:r>
      <w:proofErr w:type="spellEnd"/>
      <w:r w:rsidRPr="00224049">
        <w:t xml:space="preserve">, 1973; </w:t>
      </w:r>
      <w:proofErr w:type="spellStart"/>
      <w:r w:rsidRPr="00224049">
        <w:t>Campinha</w:t>
      </w:r>
      <w:proofErr w:type="spellEnd"/>
      <w:r w:rsidRPr="00224049">
        <w:t xml:space="preserve">-Bacote, 2002). In Unit 3, I was encouraged to be proactive in my career development by identifying opportunities, setting goals and creating a professional online presence (Mitchell, Levin and </w:t>
      </w:r>
      <w:proofErr w:type="spellStart"/>
      <w:r w:rsidRPr="00224049">
        <w:t>Krumboltz</w:t>
      </w:r>
      <w:proofErr w:type="spellEnd"/>
      <w:r w:rsidRPr="00224049">
        <w:t>, 1999; Doran, 1981). Last, but not least, Unit 4 reinforced my understanding of resilience, wellbeing and lifelong learning and how it is important to have a growth mindset and seek help from mentors and role models (Dweck, 2006; Taleb, 2012). In general, this portfolio has allowed me to think critically of my own personal and professional growth and to gain useful insights which will help to inform my future career as an effective, flexible and reflective health and social care worker.</w:t>
      </w:r>
    </w:p>
    <w:p w14:paraId="4E0C2F3E" w14:textId="77777777" w:rsidR="00707F40" w:rsidRDefault="00707F40" w:rsidP="00977346">
      <w:pPr>
        <w:spacing w:line="360" w:lineRule="auto"/>
      </w:pPr>
    </w:p>
    <w:p w14:paraId="48FDC91C" w14:textId="77777777" w:rsidR="005D75F1" w:rsidRDefault="005D75F1" w:rsidP="00977346">
      <w:pPr>
        <w:spacing w:line="360" w:lineRule="auto"/>
      </w:pPr>
    </w:p>
    <w:p w14:paraId="2FB0CD5B" w14:textId="77777777" w:rsidR="005D75F1" w:rsidRDefault="005D75F1" w:rsidP="00977346">
      <w:pPr>
        <w:spacing w:line="360" w:lineRule="auto"/>
      </w:pPr>
    </w:p>
    <w:p w14:paraId="6BF40BC1" w14:textId="77777777" w:rsidR="00145E3D" w:rsidRDefault="00145E3D" w:rsidP="00801577">
      <w:pPr>
        <w:pStyle w:val="Heading1"/>
        <w:spacing w:line="360" w:lineRule="auto"/>
      </w:pPr>
      <w:bookmarkStart w:id="6" w:name="_Toc232630597"/>
    </w:p>
    <w:p w14:paraId="451BDA8B" w14:textId="77777777" w:rsidR="00145E3D" w:rsidRDefault="00145E3D" w:rsidP="00801577">
      <w:pPr>
        <w:pStyle w:val="Heading1"/>
        <w:spacing w:line="360" w:lineRule="auto"/>
      </w:pPr>
    </w:p>
    <w:p w14:paraId="16D2B2A5" w14:textId="5E141FFB" w:rsidR="00977346" w:rsidRDefault="00977346" w:rsidP="00801577">
      <w:pPr>
        <w:pStyle w:val="Heading1"/>
        <w:spacing w:line="360" w:lineRule="auto"/>
      </w:pPr>
      <w:r>
        <w:t>References</w:t>
      </w:r>
      <w:bookmarkEnd w:id="6"/>
    </w:p>
    <w:p w14:paraId="316F27A2" w14:textId="69A4A5CD" w:rsidR="00801577" w:rsidRDefault="00801577" w:rsidP="00977346">
      <w:pPr>
        <w:spacing w:line="360" w:lineRule="auto"/>
      </w:pPr>
      <w:r>
        <w:t xml:space="preserve">Bandura, A. (1977) </w:t>
      </w:r>
      <w:r w:rsidRPr="00801577">
        <w:rPr>
          <w:i/>
          <w:iCs/>
        </w:rPr>
        <w:t>Social Learning Theory</w:t>
      </w:r>
      <w:r>
        <w:t xml:space="preserve">. NY: General Learning Press. Available at </w:t>
      </w:r>
      <w:hyperlink r:id="rId18" w:history="1">
        <w:r w:rsidRPr="00CB455E">
          <w:rPr>
            <w:rStyle w:val="Hyperlink"/>
          </w:rPr>
          <w:t>https://www.asecib.ase.ro/mps/Bandura_SocialLearningTheory.pdf</w:t>
        </w:r>
      </w:hyperlink>
      <w:r>
        <w:t xml:space="preserve"> </w:t>
      </w:r>
    </w:p>
    <w:p w14:paraId="7B7DBDB4" w14:textId="21E38A05" w:rsidR="002E14FD" w:rsidRDefault="008A31E3" w:rsidP="00977346">
      <w:pPr>
        <w:spacing w:line="360" w:lineRule="auto"/>
      </w:pPr>
      <w:proofErr w:type="spellStart"/>
      <w:r>
        <w:t>Campinha</w:t>
      </w:r>
      <w:proofErr w:type="spellEnd"/>
      <w:r>
        <w:t>-Bacote, J. (2002) ‘</w:t>
      </w:r>
      <w:r w:rsidRPr="008A31E3">
        <w:t>The Process of Cultural Competence in the Delivery of Healthcare Services: a model of care</w:t>
      </w:r>
      <w:r>
        <w:t xml:space="preserve">’. </w:t>
      </w:r>
      <w:r w:rsidRPr="008A31E3">
        <w:rPr>
          <w:i/>
          <w:iCs/>
        </w:rPr>
        <w:t>Journal of Transcultural Nursing</w:t>
      </w:r>
      <w:r>
        <w:t xml:space="preserve">, </w:t>
      </w:r>
      <w:r w:rsidRPr="008A31E3">
        <w:t xml:space="preserve">13(3):181-4; discussion 200-1. </w:t>
      </w:r>
      <w:proofErr w:type="spellStart"/>
      <w:r w:rsidRPr="008A31E3">
        <w:t>doi</w:t>
      </w:r>
      <w:proofErr w:type="spellEnd"/>
      <w:r w:rsidRPr="008A31E3">
        <w:t>: 10.1177/10459602013003003</w:t>
      </w:r>
      <w:r>
        <w:t xml:space="preserve">. Available at </w:t>
      </w:r>
      <w:hyperlink r:id="rId19" w:history="1">
        <w:r w:rsidRPr="00CB455E">
          <w:rPr>
            <w:rStyle w:val="Hyperlink"/>
          </w:rPr>
          <w:t>https://pubmed.ncbi.nlm.nih.gov/12113146/</w:t>
        </w:r>
      </w:hyperlink>
      <w:r>
        <w:t xml:space="preserve"> </w:t>
      </w:r>
    </w:p>
    <w:p w14:paraId="33D708F4" w14:textId="0E10B9F8" w:rsidR="008A31E3" w:rsidRDefault="008A31E3" w:rsidP="00977346">
      <w:pPr>
        <w:spacing w:line="360" w:lineRule="auto"/>
      </w:pPr>
      <w:r>
        <w:t xml:space="preserve">Castells, M. (2009) </w:t>
      </w:r>
      <w:r w:rsidRPr="008A31E3">
        <w:rPr>
          <w:i/>
          <w:iCs/>
        </w:rPr>
        <w:t>The Rise of the Network Society</w:t>
      </w:r>
      <w:r>
        <w:t>. Hoboken, NJ: Wiley-Blackwell</w:t>
      </w:r>
    </w:p>
    <w:p w14:paraId="476F19A6" w14:textId="40E3007C" w:rsidR="002E14FD" w:rsidRDefault="002E14FD" w:rsidP="002E14FD">
      <w:pPr>
        <w:spacing w:line="360" w:lineRule="auto"/>
      </w:pPr>
      <w:r>
        <w:t xml:space="preserve">Doran, G.T. (1981) ‘There’s a SMART Way to Write Management’s Goals and Objectives’. </w:t>
      </w:r>
      <w:r w:rsidRPr="002E14FD">
        <w:rPr>
          <w:i/>
          <w:iCs/>
        </w:rPr>
        <w:t>Journal of Management Review</w:t>
      </w:r>
      <w:r>
        <w:t xml:space="preserve">, 70, 35-36. Available at </w:t>
      </w:r>
      <w:hyperlink r:id="rId20" w:history="1">
        <w:r w:rsidRPr="00CB455E">
          <w:rPr>
            <w:rStyle w:val="Hyperlink"/>
          </w:rPr>
          <w:t>https://community.mis.temple.edu/mis0855002fall2015/files/2015/10/S.M.A.R.T-Way-Management-Review.pdf</w:t>
        </w:r>
      </w:hyperlink>
      <w:r>
        <w:t xml:space="preserve"> </w:t>
      </w:r>
    </w:p>
    <w:p w14:paraId="779323CA" w14:textId="11B5706A" w:rsidR="004C3339" w:rsidRDefault="004C3339" w:rsidP="002E14FD">
      <w:pPr>
        <w:spacing w:line="360" w:lineRule="auto"/>
      </w:pPr>
      <w:r>
        <w:t xml:space="preserve">Dweck, C. S. (2006) </w:t>
      </w:r>
      <w:r w:rsidRPr="004C3339">
        <w:rPr>
          <w:i/>
          <w:iCs/>
        </w:rPr>
        <w:t>Mindset: The New Psychology of Success</w:t>
      </w:r>
      <w:r>
        <w:t>. NY: Random House</w:t>
      </w:r>
    </w:p>
    <w:p w14:paraId="7DCCA1F3" w14:textId="2E6DCFF4" w:rsidR="002E14FD" w:rsidRDefault="005D75F1" w:rsidP="00977346">
      <w:pPr>
        <w:spacing w:line="360" w:lineRule="auto"/>
      </w:pPr>
      <w:r>
        <w:t>Garratt, J. (2024) ‘</w:t>
      </w:r>
      <w:r w:rsidRPr="005D75F1">
        <w:t>The Johari Window</w:t>
      </w:r>
      <w:r>
        <w:t xml:space="preserve">’. </w:t>
      </w:r>
      <w:r w:rsidRPr="005D75F1">
        <w:rPr>
          <w:i/>
          <w:iCs/>
        </w:rPr>
        <w:t>Psych Safety</w:t>
      </w:r>
      <w:r>
        <w:t xml:space="preserve">. 16 August. Available at </w:t>
      </w:r>
      <w:hyperlink r:id="rId21" w:history="1">
        <w:r w:rsidRPr="00CB455E">
          <w:rPr>
            <w:rStyle w:val="Hyperlink"/>
          </w:rPr>
          <w:t>https://psychsafety.com/the-johari-window</w:t>
        </w:r>
      </w:hyperlink>
      <w:r>
        <w:t xml:space="preserve"> </w:t>
      </w:r>
    </w:p>
    <w:p w14:paraId="475451F5" w14:textId="2B6DD849" w:rsidR="00977346" w:rsidRDefault="00977346" w:rsidP="00977346">
      <w:pPr>
        <w:spacing w:line="360" w:lineRule="auto"/>
      </w:pPr>
      <w:proofErr w:type="spellStart"/>
      <w:r>
        <w:t>Gorbatov</w:t>
      </w:r>
      <w:proofErr w:type="spellEnd"/>
      <w:r>
        <w:t xml:space="preserve">, S., </w:t>
      </w:r>
      <w:proofErr w:type="spellStart"/>
      <w:r>
        <w:t>Khapova</w:t>
      </w:r>
      <w:proofErr w:type="spellEnd"/>
      <w:r>
        <w:t xml:space="preserve">, S. N., and </w:t>
      </w:r>
      <w:proofErr w:type="spellStart"/>
      <w:r>
        <w:t>Lysova</w:t>
      </w:r>
      <w:proofErr w:type="spellEnd"/>
      <w:r>
        <w:t>, E. I. (2019) ‘</w:t>
      </w:r>
      <w:r w:rsidRPr="00977346">
        <w:t>Get Noticed to Get Ahead: The Impact of Personal Branding on Career Success</w:t>
      </w:r>
      <w:r>
        <w:t xml:space="preserve">’. </w:t>
      </w:r>
      <w:r w:rsidRPr="00977346">
        <w:rPr>
          <w:i/>
          <w:iCs/>
        </w:rPr>
        <w:t>Frontiers in Psychology</w:t>
      </w:r>
      <w:r>
        <w:t xml:space="preserve">. </w:t>
      </w:r>
      <w:r w:rsidRPr="00977346">
        <w:t xml:space="preserve">10:2662. </w:t>
      </w:r>
      <w:proofErr w:type="spellStart"/>
      <w:r w:rsidRPr="00977346">
        <w:t>doi</w:t>
      </w:r>
      <w:proofErr w:type="spellEnd"/>
      <w:r w:rsidRPr="00977346">
        <w:t>: 10.3389/fpsyg.2019.02662</w:t>
      </w:r>
      <w:r>
        <w:t xml:space="preserve">. Available at </w:t>
      </w:r>
      <w:hyperlink r:id="rId22" w:history="1">
        <w:r w:rsidRPr="00CB455E">
          <w:rPr>
            <w:rStyle w:val="Hyperlink"/>
          </w:rPr>
          <w:t>https://pmc.ncbi.nlm.nih.gov/articles/PMC6913621</w:t>
        </w:r>
      </w:hyperlink>
      <w:r>
        <w:t xml:space="preserve"> </w:t>
      </w:r>
    </w:p>
    <w:p w14:paraId="747ECE45" w14:textId="4FB75E52" w:rsidR="00977346" w:rsidRDefault="00977346" w:rsidP="00977346">
      <w:pPr>
        <w:spacing w:line="360" w:lineRule="auto"/>
      </w:pPr>
      <w:proofErr w:type="spellStart"/>
      <w:r>
        <w:t>Gorbatov</w:t>
      </w:r>
      <w:proofErr w:type="spellEnd"/>
      <w:r>
        <w:t xml:space="preserve">, S., </w:t>
      </w:r>
      <w:proofErr w:type="spellStart"/>
      <w:r>
        <w:t>Oostrom</w:t>
      </w:r>
      <w:proofErr w:type="spellEnd"/>
      <w:r>
        <w:t xml:space="preserve">, J. K., and </w:t>
      </w:r>
      <w:proofErr w:type="spellStart"/>
      <w:r>
        <w:t>Khapova</w:t>
      </w:r>
      <w:proofErr w:type="spellEnd"/>
      <w:r>
        <w:t>, S. N. (2023) ‘</w:t>
      </w:r>
      <w:r w:rsidRPr="00977346">
        <w:t>Work does not speak for itself: examining the incremental validity of personal branding in predicting knowledge workers’ employability</w:t>
      </w:r>
      <w:r>
        <w:t xml:space="preserve">’. </w:t>
      </w:r>
      <w:r w:rsidRPr="00977346">
        <w:rPr>
          <w:i/>
          <w:iCs/>
        </w:rPr>
        <w:t>European Journal of Work and Organizational Psychology</w:t>
      </w:r>
      <w:r>
        <w:t xml:space="preserve">, Volume 33 - Issue 1: New frontiers in employability research: Towards a contextualized </w:t>
      </w:r>
      <w:r>
        <w:lastRenderedPageBreak/>
        <w:t xml:space="preserve">perspective of employability development. Available at </w:t>
      </w:r>
      <w:hyperlink r:id="rId23" w:history="1">
        <w:r w:rsidRPr="00CB455E">
          <w:rPr>
            <w:rStyle w:val="Hyperlink"/>
          </w:rPr>
          <w:t>https://www.tandfonline.com/doi/full/10.1080/1359432X.2023.2276533</w:t>
        </w:r>
      </w:hyperlink>
      <w:r>
        <w:t xml:space="preserve"> </w:t>
      </w:r>
    </w:p>
    <w:p w14:paraId="4D3D22CA" w14:textId="2BDC7432" w:rsidR="008A31E3" w:rsidRDefault="008A31E3" w:rsidP="008A31E3">
      <w:pPr>
        <w:spacing w:line="360" w:lineRule="auto"/>
      </w:pPr>
      <w:proofErr w:type="spellStart"/>
      <w:r>
        <w:t>Granovetter</w:t>
      </w:r>
      <w:proofErr w:type="spellEnd"/>
      <w:r>
        <w:t>, M. S. (1973) ‘</w:t>
      </w:r>
      <w:r w:rsidRPr="008A31E3">
        <w:t>The Strength of Weak Ties</w:t>
      </w:r>
      <w:r>
        <w:t xml:space="preserve">’. </w:t>
      </w:r>
      <w:r w:rsidRPr="008A31E3">
        <w:rPr>
          <w:i/>
          <w:iCs/>
        </w:rPr>
        <w:t>American Journal of Sociology</w:t>
      </w:r>
      <w:r>
        <w:t xml:space="preserve">, Vol. 78, No. 6, pp. 1360-1380 (21 pages). Available at </w:t>
      </w:r>
      <w:hyperlink r:id="rId24" w:history="1">
        <w:r w:rsidRPr="00CB455E">
          <w:rPr>
            <w:rStyle w:val="Hyperlink"/>
          </w:rPr>
          <w:t>https://www.jstor.org/stable/2776392</w:t>
        </w:r>
      </w:hyperlink>
      <w:r>
        <w:t xml:space="preserve"> </w:t>
      </w:r>
    </w:p>
    <w:p w14:paraId="3CA12291" w14:textId="2A1B081A" w:rsidR="005D75F1" w:rsidRDefault="005D75F1" w:rsidP="00977346">
      <w:pPr>
        <w:spacing w:line="360" w:lineRule="auto"/>
      </w:pPr>
      <w:r>
        <w:t>Harley, J. (2026) ‘</w:t>
      </w:r>
      <w:r w:rsidRPr="005D75F1">
        <w:t>Enhancing professional practice and nurse leadership by cultivating self-awareness.</w:t>
      </w:r>
      <w:r>
        <w:t xml:space="preserve">’. </w:t>
      </w:r>
      <w:r w:rsidRPr="005D75F1">
        <w:rPr>
          <w:i/>
          <w:iCs/>
        </w:rPr>
        <w:t>Nursing Management</w:t>
      </w:r>
      <w:r>
        <w:t xml:space="preserve">, </w:t>
      </w:r>
      <w:r w:rsidRPr="005D75F1">
        <w:t xml:space="preserve">v. 33, n. 2, p. 33, </w:t>
      </w:r>
      <w:proofErr w:type="spellStart"/>
      <w:r w:rsidRPr="005D75F1">
        <w:t>doi</w:t>
      </w:r>
      <w:proofErr w:type="spellEnd"/>
      <w:r w:rsidRPr="005D75F1">
        <w:t>. 10.7748/</w:t>
      </w:r>
      <w:proofErr w:type="gramStart"/>
      <w:r w:rsidRPr="005D75F1">
        <w:t>nm.2026.e</w:t>
      </w:r>
      <w:proofErr w:type="gramEnd"/>
      <w:r w:rsidRPr="005D75F1">
        <w:t>2186</w:t>
      </w:r>
      <w:r>
        <w:t xml:space="preserve">. Available at </w:t>
      </w:r>
      <w:hyperlink r:id="rId25" w:history="1">
        <w:r w:rsidRPr="00CB455E">
          <w:rPr>
            <w:rStyle w:val="Hyperlink"/>
          </w:rPr>
          <w:t>https://pubmed.ncbi.nlm.nih.gov/41630485/</w:t>
        </w:r>
      </w:hyperlink>
      <w:r>
        <w:t xml:space="preserve"> </w:t>
      </w:r>
    </w:p>
    <w:p w14:paraId="6D5830FA" w14:textId="19C35D4D" w:rsidR="00D04597" w:rsidRDefault="00D04597" w:rsidP="00977346">
      <w:pPr>
        <w:spacing w:line="360" w:lineRule="auto"/>
      </w:pPr>
      <w:proofErr w:type="spellStart"/>
      <w:r>
        <w:t>Leedham</w:t>
      </w:r>
      <w:proofErr w:type="spellEnd"/>
      <w:r>
        <w:t xml:space="preserve">-Green, K., Knight, A., and </w:t>
      </w:r>
      <w:proofErr w:type="spellStart"/>
      <w:r>
        <w:t>Iedema</w:t>
      </w:r>
      <w:proofErr w:type="spellEnd"/>
      <w:r>
        <w:t>, R. (2020) ‘</w:t>
      </w:r>
      <w:r w:rsidRPr="00D04597">
        <w:t>Developing Professional Identity in Health Professional Students</w:t>
      </w:r>
      <w:r>
        <w:t xml:space="preserve">’. </w:t>
      </w:r>
      <w:r w:rsidRPr="00D04597">
        <w:rPr>
          <w:i/>
          <w:iCs/>
        </w:rPr>
        <w:t>Clinical Education for the Health Professions</w:t>
      </w:r>
      <w:r>
        <w:t xml:space="preserve">, pp. 1-21. Available at </w:t>
      </w:r>
      <w:hyperlink r:id="rId26" w:history="1">
        <w:r w:rsidRPr="00CB455E">
          <w:rPr>
            <w:rStyle w:val="Hyperlink"/>
          </w:rPr>
          <w:t>https://link.springer.com/rwe/10.1007/978-981-13-6106-7_46-1</w:t>
        </w:r>
      </w:hyperlink>
      <w:r>
        <w:t xml:space="preserve"> </w:t>
      </w:r>
    </w:p>
    <w:p w14:paraId="535F84CC" w14:textId="5357D7C6" w:rsidR="002E14FD" w:rsidRDefault="002E14FD" w:rsidP="002E14FD">
      <w:pPr>
        <w:spacing w:line="360" w:lineRule="auto"/>
      </w:pPr>
      <w:r>
        <w:t xml:space="preserve">Mitchell, K. E., Levi, S. A., and </w:t>
      </w:r>
      <w:proofErr w:type="spellStart"/>
      <w:r>
        <w:t>Krumboltz</w:t>
      </w:r>
      <w:proofErr w:type="spellEnd"/>
      <w:r>
        <w:t>, J. D. (2011) ‘</w:t>
      </w:r>
      <w:r w:rsidRPr="002E14FD">
        <w:t>Planned Happenstance: Constructing Unexpected Career Opportunities</w:t>
      </w:r>
      <w:r>
        <w:t xml:space="preserve">’. </w:t>
      </w:r>
      <w:r w:rsidRPr="002E14FD">
        <w:rPr>
          <w:i/>
          <w:iCs/>
        </w:rPr>
        <w:t xml:space="preserve">Journal of </w:t>
      </w:r>
      <w:proofErr w:type="spellStart"/>
      <w:r w:rsidRPr="002E14FD">
        <w:rPr>
          <w:i/>
          <w:iCs/>
        </w:rPr>
        <w:t>Counseling</w:t>
      </w:r>
      <w:proofErr w:type="spellEnd"/>
      <w:r w:rsidRPr="002E14FD">
        <w:rPr>
          <w:i/>
          <w:iCs/>
        </w:rPr>
        <w:t xml:space="preserve"> &amp; Development</w:t>
      </w:r>
      <w:r>
        <w:t xml:space="preserve">, Volume 77, Issue2, Pages 115-124. Available at </w:t>
      </w:r>
      <w:hyperlink r:id="rId27" w:history="1">
        <w:r w:rsidRPr="00CB455E">
          <w:rPr>
            <w:rStyle w:val="Hyperlink"/>
          </w:rPr>
          <w:t>https://doi.org/10.1002/j.1556-6676.1999.tb02431.x</w:t>
        </w:r>
      </w:hyperlink>
    </w:p>
    <w:p w14:paraId="22F35140" w14:textId="4CCE8102" w:rsidR="008A31E3" w:rsidRDefault="008A31E3" w:rsidP="00977346">
      <w:pPr>
        <w:spacing w:line="360" w:lineRule="auto"/>
      </w:pPr>
      <w:r>
        <w:t xml:space="preserve">NHS England (2023) </w:t>
      </w:r>
      <w:r w:rsidRPr="008A31E3">
        <w:rPr>
          <w:i/>
          <w:iCs/>
        </w:rPr>
        <w:t>NHS Long Term Workforce Plan</w:t>
      </w:r>
      <w:r>
        <w:t xml:space="preserve">. 30 June. Available at </w:t>
      </w:r>
      <w:hyperlink r:id="rId28" w:history="1">
        <w:r w:rsidRPr="00CB455E">
          <w:rPr>
            <w:rStyle w:val="Hyperlink"/>
          </w:rPr>
          <w:t>https://www.england.nhs.uk/long-read/nhs-long-term-workforce-plan-2/</w:t>
        </w:r>
      </w:hyperlink>
      <w:r>
        <w:t xml:space="preserve"> </w:t>
      </w:r>
    </w:p>
    <w:p w14:paraId="22ABFC24" w14:textId="4A70182C" w:rsidR="00977346" w:rsidRDefault="00977346" w:rsidP="00977346">
      <w:pPr>
        <w:spacing w:line="360" w:lineRule="auto"/>
      </w:pPr>
      <w:r>
        <w:t xml:space="preserve">Nursing &amp; Midwifery Council (n.d.) </w:t>
      </w:r>
      <w:r w:rsidRPr="00977346">
        <w:rPr>
          <w:i/>
          <w:iCs/>
        </w:rPr>
        <w:t>Enabling professionalism in nursing and midwifery practice</w:t>
      </w:r>
      <w:r>
        <w:t xml:space="preserve">. Available at </w:t>
      </w:r>
      <w:hyperlink r:id="rId29" w:history="1">
        <w:r w:rsidRPr="00CB455E">
          <w:rPr>
            <w:rStyle w:val="Hyperlink"/>
          </w:rPr>
          <w:t>https://www.nmc.org.uk/globalassets/sitedocuments/other-publications/enabling-professionalism.pdf</w:t>
        </w:r>
      </w:hyperlink>
      <w:r>
        <w:t xml:space="preserve"> </w:t>
      </w:r>
    </w:p>
    <w:p w14:paraId="02FF72E9" w14:textId="48F023B8" w:rsidR="008A31E3" w:rsidRDefault="00977346" w:rsidP="00977346">
      <w:pPr>
        <w:spacing w:line="360" w:lineRule="auto"/>
      </w:pPr>
      <w:r>
        <w:t xml:space="preserve">Nursing &amp; Midwifery Council (2018) </w:t>
      </w:r>
      <w:r w:rsidRPr="00977346">
        <w:rPr>
          <w:i/>
          <w:iCs/>
        </w:rPr>
        <w:t>The Code</w:t>
      </w:r>
      <w:r>
        <w:t xml:space="preserve">. Available at </w:t>
      </w:r>
      <w:hyperlink r:id="rId30" w:history="1">
        <w:r w:rsidRPr="00CB455E">
          <w:rPr>
            <w:rStyle w:val="Hyperlink"/>
          </w:rPr>
          <w:t>https://www.nmc.org.uk/globalassets/sitedocuments/nmc-publications/nmc-code.pdf</w:t>
        </w:r>
      </w:hyperlink>
      <w:r>
        <w:t xml:space="preserve"> </w:t>
      </w:r>
    </w:p>
    <w:p w14:paraId="4A9F26E1" w14:textId="34E944E6" w:rsidR="005D75F1" w:rsidRDefault="005D75F1" w:rsidP="00977346">
      <w:pPr>
        <w:spacing w:line="360" w:lineRule="auto"/>
      </w:pPr>
      <w:r>
        <w:t xml:space="preserve">Ramani, S., </w:t>
      </w:r>
      <w:proofErr w:type="spellStart"/>
      <w:r w:rsidRPr="005D75F1">
        <w:t>Könings</w:t>
      </w:r>
      <w:proofErr w:type="spellEnd"/>
      <w:r>
        <w:t>, K., Mann, K. V., and van der Vleuten, C. (2017) ‘</w:t>
      </w:r>
      <w:r w:rsidRPr="005D75F1">
        <w:t>Uncovering the unknown: A grounded theory study exploring the impact of self-awareness on the culture of feedback in residency education</w:t>
      </w:r>
      <w:r>
        <w:t xml:space="preserve">’. </w:t>
      </w:r>
      <w:r w:rsidRPr="005D75F1">
        <w:rPr>
          <w:i/>
          <w:iCs/>
        </w:rPr>
        <w:t>Medical Teacher</w:t>
      </w:r>
      <w:r>
        <w:t xml:space="preserve">, </w:t>
      </w:r>
      <w:r w:rsidRPr="005D75F1">
        <w:t xml:space="preserve">39(10):1065-1073.  </w:t>
      </w:r>
      <w:proofErr w:type="spellStart"/>
      <w:r w:rsidRPr="005D75F1">
        <w:t>doi</w:t>
      </w:r>
      <w:proofErr w:type="spellEnd"/>
      <w:r w:rsidRPr="005D75F1">
        <w:t>: 10.1080/0142159X.2017.1353071</w:t>
      </w:r>
      <w:r>
        <w:t xml:space="preserve">. Available at </w:t>
      </w:r>
      <w:hyperlink r:id="rId31" w:history="1">
        <w:r w:rsidRPr="00CB455E">
          <w:rPr>
            <w:rStyle w:val="Hyperlink"/>
          </w:rPr>
          <w:t>https://pubmed.ncbi.nlm.nih.gov/28741446/</w:t>
        </w:r>
      </w:hyperlink>
      <w:r>
        <w:t xml:space="preserve"> </w:t>
      </w:r>
    </w:p>
    <w:p w14:paraId="474B0D19" w14:textId="0264D38B" w:rsidR="004C3339" w:rsidRDefault="004C3339" w:rsidP="004C3339">
      <w:pPr>
        <w:spacing w:line="360" w:lineRule="auto"/>
      </w:pPr>
      <w:r>
        <w:lastRenderedPageBreak/>
        <w:t>Robertson, I. T., Cooper, C. L., Sarkar, M., and Curran, T. (2015) ‘</w:t>
      </w:r>
      <w:r w:rsidRPr="004C3339">
        <w:t>Resilience training in the workplace from 2003 to 2014: A systematic review</w:t>
      </w:r>
      <w:r>
        <w:t xml:space="preserve">’. </w:t>
      </w:r>
      <w:r w:rsidRPr="004C3339">
        <w:rPr>
          <w:i/>
          <w:iCs/>
        </w:rPr>
        <w:t>Journal of Occupational and Organizational Psychology,</w:t>
      </w:r>
      <w:r>
        <w:t xml:space="preserve"> Volume 88, Issue3, Special Issue: Designing and evaluating resource</w:t>
      </w:r>
      <w:r>
        <w:rPr>
          <w:rFonts w:ascii="Cambria Math" w:hAnsi="Cambria Math" w:cs="Cambria Math"/>
        </w:rPr>
        <w:t>‐</w:t>
      </w:r>
      <w:r>
        <w:t>oriented interventions to enhance employee well</w:t>
      </w:r>
      <w:r>
        <w:rPr>
          <w:rFonts w:ascii="Cambria Math" w:hAnsi="Cambria Math" w:cs="Cambria Math"/>
        </w:rPr>
        <w:t>‐</w:t>
      </w:r>
      <w:r>
        <w:t xml:space="preserve">being and health. Available at </w:t>
      </w:r>
      <w:hyperlink r:id="rId32" w:history="1">
        <w:r w:rsidRPr="00CB455E">
          <w:rPr>
            <w:rStyle w:val="Hyperlink"/>
          </w:rPr>
          <w:t>https://bpspsychub.onlinelibrary.wiley.com/doi/abs/10.1111/joop.12120</w:t>
        </w:r>
      </w:hyperlink>
      <w:r>
        <w:t xml:space="preserve"> </w:t>
      </w:r>
    </w:p>
    <w:p w14:paraId="71D9BD02" w14:textId="17E4FD58" w:rsidR="00977346" w:rsidRDefault="00977346" w:rsidP="00977346">
      <w:pPr>
        <w:spacing w:line="360" w:lineRule="auto"/>
      </w:pPr>
      <w:r>
        <w:t xml:space="preserve">Royal College of Nursing (2025) </w:t>
      </w:r>
      <w:r w:rsidRPr="00977346">
        <w:rPr>
          <w:i/>
          <w:iCs/>
        </w:rPr>
        <w:t>The definition and principles of nursing</w:t>
      </w:r>
      <w:r>
        <w:t xml:space="preserve">. 11 November. Available at </w:t>
      </w:r>
      <w:hyperlink r:id="rId33" w:history="1">
        <w:r w:rsidRPr="00CB455E">
          <w:rPr>
            <w:rStyle w:val="Hyperlink"/>
          </w:rPr>
          <w:t>https://www.rcn.org.uk/Professional-Development/Definition-and-principles-of-nursing</w:t>
        </w:r>
      </w:hyperlink>
      <w:r>
        <w:t xml:space="preserve"> </w:t>
      </w:r>
    </w:p>
    <w:p w14:paraId="6FE43ABC" w14:textId="08B94886" w:rsidR="00801577" w:rsidRDefault="00801577" w:rsidP="00977346">
      <w:pPr>
        <w:spacing w:line="360" w:lineRule="auto"/>
      </w:pPr>
      <w:proofErr w:type="spellStart"/>
      <w:r>
        <w:t>Talebm</w:t>
      </w:r>
      <w:proofErr w:type="spellEnd"/>
      <w:r>
        <w:t xml:space="preserve"> N. N. (2012) </w:t>
      </w:r>
      <w:r w:rsidRPr="00801577">
        <w:rPr>
          <w:i/>
          <w:iCs/>
        </w:rPr>
        <w:t>Antifragile: Things That Gain from Disorder</w:t>
      </w:r>
      <w:r>
        <w:t>. NY: Random House</w:t>
      </w:r>
    </w:p>
    <w:sectPr w:rsidR="0080157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2FF" w:usb1="42002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77346"/>
    <w:rsid w:val="00090235"/>
    <w:rsid w:val="00145E3D"/>
    <w:rsid w:val="00224049"/>
    <w:rsid w:val="002E14FD"/>
    <w:rsid w:val="004C3339"/>
    <w:rsid w:val="005B5A24"/>
    <w:rsid w:val="005D75F1"/>
    <w:rsid w:val="00707F40"/>
    <w:rsid w:val="00801577"/>
    <w:rsid w:val="00852341"/>
    <w:rsid w:val="008A31E3"/>
    <w:rsid w:val="00903707"/>
    <w:rsid w:val="00977346"/>
    <w:rsid w:val="00A41C96"/>
    <w:rsid w:val="00B023BA"/>
    <w:rsid w:val="00D04597"/>
    <w:rsid w:val="00D8369F"/>
    <w:rsid w:val="00DD29FD"/>
    <w:rsid w:val="00E327C8"/>
    <w:rsid w:val="00EF029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7863E899"/>
  <w15:chartTrackingRefBased/>
  <w15:docId w15:val="{E2CAB3D3-FF6F-6E49-8F31-4965F15AE0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7734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97734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97734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7734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7734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7734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7734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7734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7734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7734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97734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7734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7734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7734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7734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7734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7734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77346"/>
    <w:rPr>
      <w:rFonts w:eastAsiaTheme="majorEastAsia" w:cstheme="majorBidi"/>
      <w:color w:val="272727" w:themeColor="text1" w:themeTint="D8"/>
    </w:rPr>
  </w:style>
  <w:style w:type="paragraph" w:styleId="Title">
    <w:name w:val="Title"/>
    <w:basedOn w:val="Normal"/>
    <w:next w:val="Normal"/>
    <w:link w:val="TitleChar"/>
    <w:uiPriority w:val="10"/>
    <w:qFormat/>
    <w:rsid w:val="0097734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7734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7734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7734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77346"/>
    <w:pPr>
      <w:spacing w:before="160"/>
      <w:jc w:val="center"/>
    </w:pPr>
    <w:rPr>
      <w:i/>
      <w:iCs/>
      <w:color w:val="404040" w:themeColor="text1" w:themeTint="BF"/>
    </w:rPr>
  </w:style>
  <w:style w:type="character" w:customStyle="1" w:styleId="QuoteChar">
    <w:name w:val="Quote Char"/>
    <w:basedOn w:val="DefaultParagraphFont"/>
    <w:link w:val="Quote"/>
    <w:uiPriority w:val="29"/>
    <w:rsid w:val="00977346"/>
    <w:rPr>
      <w:i/>
      <w:iCs/>
      <w:color w:val="404040" w:themeColor="text1" w:themeTint="BF"/>
    </w:rPr>
  </w:style>
  <w:style w:type="paragraph" w:styleId="ListParagraph">
    <w:name w:val="List Paragraph"/>
    <w:basedOn w:val="Normal"/>
    <w:uiPriority w:val="34"/>
    <w:qFormat/>
    <w:rsid w:val="00977346"/>
    <w:pPr>
      <w:ind w:left="720"/>
      <w:contextualSpacing/>
    </w:pPr>
  </w:style>
  <w:style w:type="character" w:styleId="IntenseEmphasis">
    <w:name w:val="Intense Emphasis"/>
    <w:basedOn w:val="DefaultParagraphFont"/>
    <w:uiPriority w:val="21"/>
    <w:qFormat/>
    <w:rsid w:val="00977346"/>
    <w:rPr>
      <w:i/>
      <w:iCs/>
      <w:color w:val="0F4761" w:themeColor="accent1" w:themeShade="BF"/>
    </w:rPr>
  </w:style>
  <w:style w:type="paragraph" w:styleId="IntenseQuote">
    <w:name w:val="Intense Quote"/>
    <w:basedOn w:val="Normal"/>
    <w:next w:val="Normal"/>
    <w:link w:val="IntenseQuoteChar"/>
    <w:uiPriority w:val="30"/>
    <w:qFormat/>
    <w:rsid w:val="0097734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77346"/>
    <w:rPr>
      <w:i/>
      <w:iCs/>
      <w:color w:val="0F4761" w:themeColor="accent1" w:themeShade="BF"/>
    </w:rPr>
  </w:style>
  <w:style w:type="character" w:styleId="IntenseReference">
    <w:name w:val="Intense Reference"/>
    <w:basedOn w:val="DefaultParagraphFont"/>
    <w:uiPriority w:val="32"/>
    <w:qFormat/>
    <w:rsid w:val="00977346"/>
    <w:rPr>
      <w:b/>
      <w:bCs/>
      <w:smallCaps/>
      <w:color w:val="0F4761" w:themeColor="accent1" w:themeShade="BF"/>
      <w:spacing w:val="5"/>
    </w:rPr>
  </w:style>
  <w:style w:type="character" w:styleId="Hyperlink">
    <w:name w:val="Hyperlink"/>
    <w:basedOn w:val="DefaultParagraphFont"/>
    <w:uiPriority w:val="99"/>
    <w:unhideWhenUsed/>
    <w:rsid w:val="00977346"/>
    <w:rPr>
      <w:color w:val="467886" w:themeColor="hyperlink"/>
      <w:u w:val="single"/>
    </w:rPr>
  </w:style>
  <w:style w:type="character" w:styleId="UnresolvedMention">
    <w:name w:val="Unresolved Mention"/>
    <w:basedOn w:val="DefaultParagraphFont"/>
    <w:uiPriority w:val="99"/>
    <w:semiHidden/>
    <w:unhideWhenUsed/>
    <w:rsid w:val="00977346"/>
    <w:rPr>
      <w:color w:val="605E5C"/>
      <w:shd w:val="clear" w:color="auto" w:fill="E1DFDD"/>
    </w:rPr>
  </w:style>
  <w:style w:type="paragraph" w:styleId="TOCHeading">
    <w:name w:val="TOC Heading"/>
    <w:basedOn w:val="Heading1"/>
    <w:next w:val="Normal"/>
    <w:uiPriority w:val="39"/>
    <w:unhideWhenUsed/>
    <w:qFormat/>
    <w:rsid w:val="00224049"/>
    <w:pPr>
      <w:spacing w:before="480" w:after="0" w:line="276" w:lineRule="auto"/>
      <w:outlineLvl w:val="9"/>
    </w:pPr>
    <w:rPr>
      <w:b/>
      <w:bCs/>
      <w:kern w:val="0"/>
      <w:sz w:val="28"/>
      <w:szCs w:val="28"/>
      <w:lang w:val="en-US"/>
      <w14:ligatures w14:val="none"/>
    </w:rPr>
  </w:style>
  <w:style w:type="paragraph" w:styleId="TOC1">
    <w:name w:val="toc 1"/>
    <w:basedOn w:val="Normal"/>
    <w:next w:val="Normal"/>
    <w:autoRedefine/>
    <w:uiPriority w:val="39"/>
    <w:unhideWhenUsed/>
    <w:rsid w:val="00224049"/>
    <w:pPr>
      <w:spacing w:before="360" w:after="360"/>
    </w:pPr>
    <w:rPr>
      <w:b/>
      <w:bCs/>
      <w:caps/>
      <w:sz w:val="22"/>
      <w:szCs w:val="22"/>
      <w:u w:val="single"/>
    </w:rPr>
  </w:style>
  <w:style w:type="paragraph" w:styleId="TOC2">
    <w:name w:val="toc 2"/>
    <w:basedOn w:val="Normal"/>
    <w:next w:val="Normal"/>
    <w:autoRedefine/>
    <w:uiPriority w:val="39"/>
    <w:semiHidden/>
    <w:unhideWhenUsed/>
    <w:rsid w:val="00224049"/>
    <w:pPr>
      <w:spacing w:after="0"/>
    </w:pPr>
    <w:rPr>
      <w:b/>
      <w:bCs/>
      <w:smallCaps/>
      <w:sz w:val="22"/>
      <w:szCs w:val="22"/>
    </w:rPr>
  </w:style>
  <w:style w:type="paragraph" w:styleId="TOC3">
    <w:name w:val="toc 3"/>
    <w:basedOn w:val="Normal"/>
    <w:next w:val="Normal"/>
    <w:autoRedefine/>
    <w:uiPriority w:val="39"/>
    <w:semiHidden/>
    <w:unhideWhenUsed/>
    <w:rsid w:val="00224049"/>
    <w:pPr>
      <w:spacing w:after="0"/>
    </w:pPr>
    <w:rPr>
      <w:smallCaps/>
      <w:sz w:val="22"/>
      <w:szCs w:val="22"/>
    </w:rPr>
  </w:style>
  <w:style w:type="paragraph" w:styleId="TOC4">
    <w:name w:val="toc 4"/>
    <w:basedOn w:val="Normal"/>
    <w:next w:val="Normal"/>
    <w:autoRedefine/>
    <w:uiPriority w:val="39"/>
    <w:semiHidden/>
    <w:unhideWhenUsed/>
    <w:rsid w:val="00224049"/>
    <w:pPr>
      <w:spacing w:after="0"/>
    </w:pPr>
    <w:rPr>
      <w:sz w:val="22"/>
      <w:szCs w:val="22"/>
    </w:rPr>
  </w:style>
  <w:style w:type="paragraph" w:styleId="TOC5">
    <w:name w:val="toc 5"/>
    <w:basedOn w:val="Normal"/>
    <w:next w:val="Normal"/>
    <w:autoRedefine/>
    <w:uiPriority w:val="39"/>
    <w:semiHidden/>
    <w:unhideWhenUsed/>
    <w:rsid w:val="00224049"/>
    <w:pPr>
      <w:spacing w:after="0"/>
    </w:pPr>
    <w:rPr>
      <w:sz w:val="22"/>
      <w:szCs w:val="22"/>
    </w:rPr>
  </w:style>
  <w:style w:type="paragraph" w:styleId="TOC6">
    <w:name w:val="toc 6"/>
    <w:basedOn w:val="Normal"/>
    <w:next w:val="Normal"/>
    <w:autoRedefine/>
    <w:uiPriority w:val="39"/>
    <w:semiHidden/>
    <w:unhideWhenUsed/>
    <w:rsid w:val="00224049"/>
    <w:pPr>
      <w:spacing w:after="0"/>
    </w:pPr>
    <w:rPr>
      <w:sz w:val="22"/>
      <w:szCs w:val="22"/>
    </w:rPr>
  </w:style>
  <w:style w:type="paragraph" w:styleId="TOC7">
    <w:name w:val="toc 7"/>
    <w:basedOn w:val="Normal"/>
    <w:next w:val="Normal"/>
    <w:autoRedefine/>
    <w:uiPriority w:val="39"/>
    <w:semiHidden/>
    <w:unhideWhenUsed/>
    <w:rsid w:val="00224049"/>
    <w:pPr>
      <w:spacing w:after="0"/>
    </w:pPr>
    <w:rPr>
      <w:sz w:val="22"/>
      <w:szCs w:val="22"/>
    </w:rPr>
  </w:style>
  <w:style w:type="paragraph" w:styleId="TOC8">
    <w:name w:val="toc 8"/>
    <w:basedOn w:val="Normal"/>
    <w:next w:val="Normal"/>
    <w:autoRedefine/>
    <w:uiPriority w:val="39"/>
    <w:semiHidden/>
    <w:unhideWhenUsed/>
    <w:rsid w:val="00224049"/>
    <w:pPr>
      <w:spacing w:after="0"/>
    </w:pPr>
    <w:rPr>
      <w:sz w:val="22"/>
      <w:szCs w:val="22"/>
    </w:rPr>
  </w:style>
  <w:style w:type="paragraph" w:styleId="TOC9">
    <w:name w:val="toc 9"/>
    <w:basedOn w:val="Normal"/>
    <w:next w:val="Normal"/>
    <w:autoRedefine/>
    <w:uiPriority w:val="39"/>
    <w:semiHidden/>
    <w:unhideWhenUsed/>
    <w:rsid w:val="00224049"/>
    <w:pPr>
      <w:spacing w:after="0"/>
    </w:pPr>
    <w:rPr>
      <w:sz w:val="22"/>
      <w:szCs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9772046">
      <w:bodyDiv w:val="1"/>
      <w:marLeft w:val="0"/>
      <w:marRight w:val="0"/>
      <w:marTop w:val="0"/>
      <w:marBottom w:val="0"/>
      <w:divBdr>
        <w:top w:val="none" w:sz="0" w:space="0" w:color="auto"/>
        <w:left w:val="none" w:sz="0" w:space="0" w:color="auto"/>
        <w:bottom w:val="none" w:sz="0" w:space="0" w:color="auto"/>
        <w:right w:val="none" w:sz="0" w:space="0" w:color="auto"/>
      </w:divBdr>
      <w:divsChild>
        <w:div w:id="130100080">
          <w:marLeft w:val="0"/>
          <w:marRight w:val="0"/>
          <w:marTop w:val="120"/>
          <w:marBottom w:val="120"/>
          <w:divBdr>
            <w:top w:val="none" w:sz="0" w:space="0" w:color="auto"/>
            <w:left w:val="none" w:sz="0" w:space="0" w:color="auto"/>
            <w:bottom w:val="none" w:sz="0" w:space="0" w:color="auto"/>
            <w:right w:val="none" w:sz="0" w:space="0" w:color="auto"/>
          </w:divBdr>
        </w:div>
      </w:divsChild>
    </w:div>
    <w:div w:id="36785930">
      <w:bodyDiv w:val="1"/>
      <w:marLeft w:val="0"/>
      <w:marRight w:val="0"/>
      <w:marTop w:val="0"/>
      <w:marBottom w:val="0"/>
      <w:divBdr>
        <w:top w:val="none" w:sz="0" w:space="0" w:color="auto"/>
        <w:left w:val="none" w:sz="0" w:space="0" w:color="auto"/>
        <w:bottom w:val="none" w:sz="0" w:space="0" w:color="auto"/>
        <w:right w:val="none" w:sz="0" w:space="0" w:color="auto"/>
      </w:divBdr>
    </w:div>
    <w:div w:id="51999635">
      <w:bodyDiv w:val="1"/>
      <w:marLeft w:val="0"/>
      <w:marRight w:val="0"/>
      <w:marTop w:val="0"/>
      <w:marBottom w:val="0"/>
      <w:divBdr>
        <w:top w:val="none" w:sz="0" w:space="0" w:color="auto"/>
        <w:left w:val="none" w:sz="0" w:space="0" w:color="auto"/>
        <w:bottom w:val="none" w:sz="0" w:space="0" w:color="auto"/>
        <w:right w:val="none" w:sz="0" w:space="0" w:color="auto"/>
      </w:divBdr>
      <w:divsChild>
        <w:div w:id="357899119">
          <w:marLeft w:val="0"/>
          <w:marRight w:val="0"/>
          <w:marTop w:val="0"/>
          <w:marBottom w:val="0"/>
          <w:divBdr>
            <w:top w:val="none" w:sz="0" w:space="0" w:color="auto"/>
            <w:left w:val="none" w:sz="0" w:space="0" w:color="auto"/>
            <w:bottom w:val="none" w:sz="0" w:space="0" w:color="auto"/>
            <w:right w:val="none" w:sz="0" w:space="0" w:color="auto"/>
          </w:divBdr>
        </w:div>
      </w:divsChild>
    </w:div>
    <w:div w:id="237642881">
      <w:bodyDiv w:val="1"/>
      <w:marLeft w:val="0"/>
      <w:marRight w:val="0"/>
      <w:marTop w:val="0"/>
      <w:marBottom w:val="0"/>
      <w:divBdr>
        <w:top w:val="none" w:sz="0" w:space="0" w:color="auto"/>
        <w:left w:val="none" w:sz="0" w:space="0" w:color="auto"/>
        <w:bottom w:val="none" w:sz="0" w:space="0" w:color="auto"/>
        <w:right w:val="none" w:sz="0" w:space="0" w:color="auto"/>
      </w:divBdr>
      <w:divsChild>
        <w:div w:id="773980354">
          <w:marLeft w:val="0"/>
          <w:marRight w:val="0"/>
          <w:marTop w:val="0"/>
          <w:marBottom w:val="0"/>
          <w:divBdr>
            <w:top w:val="none" w:sz="0" w:space="0" w:color="auto"/>
            <w:left w:val="none" w:sz="0" w:space="0" w:color="auto"/>
            <w:bottom w:val="none" w:sz="0" w:space="0" w:color="auto"/>
            <w:right w:val="none" w:sz="0" w:space="0" w:color="auto"/>
          </w:divBdr>
        </w:div>
      </w:divsChild>
    </w:div>
    <w:div w:id="297614411">
      <w:bodyDiv w:val="1"/>
      <w:marLeft w:val="0"/>
      <w:marRight w:val="0"/>
      <w:marTop w:val="0"/>
      <w:marBottom w:val="0"/>
      <w:divBdr>
        <w:top w:val="none" w:sz="0" w:space="0" w:color="auto"/>
        <w:left w:val="none" w:sz="0" w:space="0" w:color="auto"/>
        <w:bottom w:val="none" w:sz="0" w:space="0" w:color="auto"/>
        <w:right w:val="none" w:sz="0" w:space="0" w:color="auto"/>
      </w:divBdr>
    </w:div>
    <w:div w:id="483200737">
      <w:bodyDiv w:val="1"/>
      <w:marLeft w:val="0"/>
      <w:marRight w:val="0"/>
      <w:marTop w:val="0"/>
      <w:marBottom w:val="0"/>
      <w:divBdr>
        <w:top w:val="none" w:sz="0" w:space="0" w:color="auto"/>
        <w:left w:val="none" w:sz="0" w:space="0" w:color="auto"/>
        <w:bottom w:val="none" w:sz="0" w:space="0" w:color="auto"/>
        <w:right w:val="none" w:sz="0" w:space="0" w:color="auto"/>
      </w:divBdr>
    </w:div>
    <w:div w:id="639191407">
      <w:bodyDiv w:val="1"/>
      <w:marLeft w:val="0"/>
      <w:marRight w:val="0"/>
      <w:marTop w:val="0"/>
      <w:marBottom w:val="0"/>
      <w:divBdr>
        <w:top w:val="none" w:sz="0" w:space="0" w:color="auto"/>
        <w:left w:val="none" w:sz="0" w:space="0" w:color="auto"/>
        <w:bottom w:val="none" w:sz="0" w:space="0" w:color="auto"/>
        <w:right w:val="none" w:sz="0" w:space="0" w:color="auto"/>
      </w:divBdr>
    </w:div>
    <w:div w:id="728502363">
      <w:bodyDiv w:val="1"/>
      <w:marLeft w:val="0"/>
      <w:marRight w:val="0"/>
      <w:marTop w:val="0"/>
      <w:marBottom w:val="0"/>
      <w:divBdr>
        <w:top w:val="none" w:sz="0" w:space="0" w:color="auto"/>
        <w:left w:val="none" w:sz="0" w:space="0" w:color="auto"/>
        <w:bottom w:val="none" w:sz="0" w:space="0" w:color="auto"/>
        <w:right w:val="none" w:sz="0" w:space="0" w:color="auto"/>
      </w:divBdr>
      <w:divsChild>
        <w:div w:id="790247616">
          <w:marLeft w:val="0"/>
          <w:marRight w:val="0"/>
          <w:marTop w:val="0"/>
          <w:marBottom w:val="0"/>
          <w:divBdr>
            <w:top w:val="none" w:sz="0" w:space="0" w:color="auto"/>
            <w:left w:val="none" w:sz="0" w:space="0" w:color="auto"/>
            <w:bottom w:val="none" w:sz="0" w:space="0" w:color="auto"/>
            <w:right w:val="none" w:sz="0" w:space="0" w:color="auto"/>
          </w:divBdr>
        </w:div>
        <w:div w:id="748383474">
          <w:marLeft w:val="0"/>
          <w:marRight w:val="0"/>
          <w:marTop w:val="0"/>
          <w:marBottom w:val="0"/>
          <w:divBdr>
            <w:top w:val="none" w:sz="0" w:space="0" w:color="auto"/>
            <w:left w:val="none" w:sz="0" w:space="0" w:color="auto"/>
            <w:bottom w:val="none" w:sz="0" w:space="0" w:color="auto"/>
            <w:right w:val="none" w:sz="0" w:space="0" w:color="auto"/>
          </w:divBdr>
        </w:div>
      </w:divsChild>
    </w:div>
    <w:div w:id="772701011">
      <w:bodyDiv w:val="1"/>
      <w:marLeft w:val="0"/>
      <w:marRight w:val="0"/>
      <w:marTop w:val="0"/>
      <w:marBottom w:val="0"/>
      <w:divBdr>
        <w:top w:val="none" w:sz="0" w:space="0" w:color="auto"/>
        <w:left w:val="none" w:sz="0" w:space="0" w:color="auto"/>
        <w:bottom w:val="none" w:sz="0" w:space="0" w:color="auto"/>
        <w:right w:val="none" w:sz="0" w:space="0" w:color="auto"/>
      </w:divBdr>
    </w:div>
    <w:div w:id="793839087">
      <w:bodyDiv w:val="1"/>
      <w:marLeft w:val="0"/>
      <w:marRight w:val="0"/>
      <w:marTop w:val="0"/>
      <w:marBottom w:val="0"/>
      <w:divBdr>
        <w:top w:val="none" w:sz="0" w:space="0" w:color="auto"/>
        <w:left w:val="none" w:sz="0" w:space="0" w:color="auto"/>
        <w:bottom w:val="none" w:sz="0" w:space="0" w:color="auto"/>
        <w:right w:val="none" w:sz="0" w:space="0" w:color="auto"/>
      </w:divBdr>
    </w:div>
    <w:div w:id="901915872">
      <w:bodyDiv w:val="1"/>
      <w:marLeft w:val="0"/>
      <w:marRight w:val="0"/>
      <w:marTop w:val="0"/>
      <w:marBottom w:val="0"/>
      <w:divBdr>
        <w:top w:val="none" w:sz="0" w:space="0" w:color="auto"/>
        <w:left w:val="none" w:sz="0" w:space="0" w:color="auto"/>
        <w:bottom w:val="none" w:sz="0" w:space="0" w:color="auto"/>
        <w:right w:val="none" w:sz="0" w:space="0" w:color="auto"/>
      </w:divBdr>
      <w:divsChild>
        <w:div w:id="716441110">
          <w:marLeft w:val="0"/>
          <w:marRight w:val="0"/>
          <w:marTop w:val="120"/>
          <w:marBottom w:val="120"/>
          <w:divBdr>
            <w:top w:val="none" w:sz="0" w:space="0" w:color="auto"/>
            <w:left w:val="none" w:sz="0" w:space="0" w:color="auto"/>
            <w:bottom w:val="none" w:sz="0" w:space="0" w:color="auto"/>
            <w:right w:val="none" w:sz="0" w:space="0" w:color="auto"/>
          </w:divBdr>
        </w:div>
        <w:div w:id="223611889">
          <w:marLeft w:val="0"/>
          <w:marRight w:val="0"/>
          <w:marTop w:val="120"/>
          <w:marBottom w:val="120"/>
          <w:divBdr>
            <w:top w:val="none" w:sz="0" w:space="0" w:color="auto"/>
            <w:left w:val="none" w:sz="0" w:space="0" w:color="auto"/>
            <w:bottom w:val="none" w:sz="0" w:space="0" w:color="auto"/>
            <w:right w:val="none" w:sz="0" w:space="0" w:color="auto"/>
          </w:divBdr>
        </w:div>
      </w:divsChild>
    </w:div>
    <w:div w:id="1132479589">
      <w:bodyDiv w:val="1"/>
      <w:marLeft w:val="0"/>
      <w:marRight w:val="0"/>
      <w:marTop w:val="0"/>
      <w:marBottom w:val="0"/>
      <w:divBdr>
        <w:top w:val="none" w:sz="0" w:space="0" w:color="auto"/>
        <w:left w:val="none" w:sz="0" w:space="0" w:color="auto"/>
        <w:bottom w:val="none" w:sz="0" w:space="0" w:color="auto"/>
        <w:right w:val="none" w:sz="0" w:space="0" w:color="auto"/>
      </w:divBdr>
    </w:div>
    <w:div w:id="1218735397">
      <w:bodyDiv w:val="1"/>
      <w:marLeft w:val="0"/>
      <w:marRight w:val="0"/>
      <w:marTop w:val="0"/>
      <w:marBottom w:val="0"/>
      <w:divBdr>
        <w:top w:val="none" w:sz="0" w:space="0" w:color="auto"/>
        <w:left w:val="none" w:sz="0" w:space="0" w:color="auto"/>
        <w:bottom w:val="none" w:sz="0" w:space="0" w:color="auto"/>
        <w:right w:val="none" w:sz="0" w:space="0" w:color="auto"/>
      </w:divBdr>
      <w:divsChild>
        <w:div w:id="1284925475">
          <w:marLeft w:val="0"/>
          <w:marRight w:val="0"/>
          <w:marTop w:val="120"/>
          <w:marBottom w:val="120"/>
          <w:divBdr>
            <w:top w:val="none" w:sz="0" w:space="0" w:color="auto"/>
            <w:left w:val="none" w:sz="0" w:space="0" w:color="auto"/>
            <w:bottom w:val="none" w:sz="0" w:space="0" w:color="auto"/>
            <w:right w:val="none" w:sz="0" w:space="0" w:color="auto"/>
          </w:divBdr>
        </w:div>
        <w:div w:id="779759032">
          <w:marLeft w:val="0"/>
          <w:marRight w:val="0"/>
          <w:marTop w:val="120"/>
          <w:marBottom w:val="120"/>
          <w:divBdr>
            <w:top w:val="none" w:sz="0" w:space="0" w:color="auto"/>
            <w:left w:val="none" w:sz="0" w:space="0" w:color="auto"/>
            <w:bottom w:val="none" w:sz="0" w:space="0" w:color="auto"/>
            <w:right w:val="none" w:sz="0" w:space="0" w:color="auto"/>
          </w:divBdr>
        </w:div>
        <w:div w:id="72942294">
          <w:marLeft w:val="0"/>
          <w:marRight w:val="0"/>
          <w:marTop w:val="120"/>
          <w:marBottom w:val="120"/>
          <w:divBdr>
            <w:top w:val="none" w:sz="0" w:space="0" w:color="auto"/>
            <w:left w:val="none" w:sz="0" w:space="0" w:color="auto"/>
            <w:bottom w:val="none" w:sz="0" w:space="0" w:color="auto"/>
            <w:right w:val="none" w:sz="0" w:space="0" w:color="auto"/>
          </w:divBdr>
        </w:div>
        <w:div w:id="1732072435">
          <w:marLeft w:val="0"/>
          <w:marRight w:val="0"/>
          <w:marTop w:val="120"/>
          <w:marBottom w:val="120"/>
          <w:divBdr>
            <w:top w:val="none" w:sz="0" w:space="0" w:color="auto"/>
            <w:left w:val="none" w:sz="0" w:space="0" w:color="auto"/>
            <w:bottom w:val="none" w:sz="0" w:space="0" w:color="auto"/>
            <w:right w:val="none" w:sz="0" w:space="0" w:color="auto"/>
          </w:divBdr>
        </w:div>
        <w:div w:id="805851684">
          <w:marLeft w:val="0"/>
          <w:marRight w:val="0"/>
          <w:marTop w:val="120"/>
          <w:marBottom w:val="120"/>
          <w:divBdr>
            <w:top w:val="none" w:sz="0" w:space="0" w:color="auto"/>
            <w:left w:val="none" w:sz="0" w:space="0" w:color="auto"/>
            <w:bottom w:val="none" w:sz="0" w:space="0" w:color="auto"/>
            <w:right w:val="none" w:sz="0" w:space="0" w:color="auto"/>
          </w:divBdr>
        </w:div>
      </w:divsChild>
    </w:div>
    <w:div w:id="1244602349">
      <w:bodyDiv w:val="1"/>
      <w:marLeft w:val="0"/>
      <w:marRight w:val="0"/>
      <w:marTop w:val="0"/>
      <w:marBottom w:val="0"/>
      <w:divBdr>
        <w:top w:val="none" w:sz="0" w:space="0" w:color="auto"/>
        <w:left w:val="none" w:sz="0" w:space="0" w:color="auto"/>
        <w:bottom w:val="none" w:sz="0" w:space="0" w:color="auto"/>
        <w:right w:val="none" w:sz="0" w:space="0" w:color="auto"/>
      </w:divBdr>
    </w:div>
    <w:div w:id="1269891796">
      <w:bodyDiv w:val="1"/>
      <w:marLeft w:val="0"/>
      <w:marRight w:val="0"/>
      <w:marTop w:val="0"/>
      <w:marBottom w:val="0"/>
      <w:divBdr>
        <w:top w:val="none" w:sz="0" w:space="0" w:color="auto"/>
        <w:left w:val="none" w:sz="0" w:space="0" w:color="auto"/>
        <w:bottom w:val="none" w:sz="0" w:space="0" w:color="auto"/>
        <w:right w:val="none" w:sz="0" w:space="0" w:color="auto"/>
      </w:divBdr>
    </w:div>
    <w:div w:id="1315987858">
      <w:bodyDiv w:val="1"/>
      <w:marLeft w:val="0"/>
      <w:marRight w:val="0"/>
      <w:marTop w:val="0"/>
      <w:marBottom w:val="0"/>
      <w:divBdr>
        <w:top w:val="none" w:sz="0" w:space="0" w:color="auto"/>
        <w:left w:val="none" w:sz="0" w:space="0" w:color="auto"/>
        <w:bottom w:val="none" w:sz="0" w:space="0" w:color="auto"/>
        <w:right w:val="none" w:sz="0" w:space="0" w:color="auto"/>
      </w:divBdr>
    </w:div>
    <w:div w:id="1456559908">
      <w:bodyDiv w:val="1"/>
      <w:marLeft w:val="0"/>
      <w:marRight w:val="0"/>
      <w:marTop w:val="0"/>
      <w:marBottom w:val="0"/>
      <w:divBdr>
        <w:top w:val="none" w:sz="0" w:space="0" w:color="auto"/>
        <w:left w:val="none" w:sz="0" w:space="0" w:color="auto"/>
        <w:bottom w:val="none" w:sz="0" w:space="0" w:color="auto"/>
        <w:right w:val="none" w:sz="0" w:space="0" w:color="auto"/>
      </w:divBdr>
      <w:divsChild>
        <w:div w:id="1610970074">
          <w:marLeft w:val="0"/>
          <w:marRight w:val="0"/>
          <w:marTop w:val="120"/>
          <w:marBottom w:val="120"/>
          <w:divBdr>
            <w:top w:val="none" w:sz="0" w:space="0" w:color="auto"/>
            <w:left w:val="none" w:sz="0" w:space="0" w:color="auto"/>
            <w:bottom w:val="none" w:sz="0" w:space="0" w:color="auto"/>
            <w:right w:val="none" w:sz="0" w:space="0" w:color="auto"/>
          </w:divBdr>
        </w:div>
        <w:div w:id="789202568">
          <w:marLeft w:val="0"/>
          <w:marRight w:val="0"/>
          <w:marTop w:val="120"/>
          <w:marBottom w:val="120"/>
          <w:divBdr>
            <w:top w:val="none" w:sz="0" w:space="0" w:color="auto"/>
            <w:left w:val="none" w:sz="0" w:space="0" w:color="auto"/>
            <w:bottom w:val="none" w:sz="0" w:space="0" w:color="auto"/>
            <w:right w:val="none" w:sz="0" w:space="0" w:color="auto"/>
          </w:divBdr>
        </w:div>
        <w:div w:id="2049648032">
          <w:marLeft w:val="0"/>
          <w:marRight w:val="0"/>
          <w:marTop w:val="120"/>
          <w:marBottom w:val="120"/>
          <w:divBdr>
            <w:top w:val="none" w:sz="0" w:space="0" w:color="auto"/>
            <w:left w:val="none" w:sz="0" w:space="0" w:color="auto"/>
            <w:bottom w:val="none" w:sz="0" w:space="0" w:color="auto"/>
            <w:right w:val="none" w:sz="0" w:space="0" w:color="auto"/>
          </w:divBdr>
        </w:div>
        <w:div w:id="163127777">
          <w:marLeft w:val="0"/>
          <w:marRight w:val="0"/>
          <w:marTop w:val="120"/>
          <w:marBottom w:val="120"/>
          <w:divBdr>
            <w:top w:val="none" w:sz="0" w:space="0" w:color="auto"/>
            <w:left w:val="none" w:sz="0" w:space="0" w:color="auto"/>
            <w:bottom w:val="none" w:sz="0" w:space="0" w:color="auto"/>
            <w:right w:val="none" w:sz="0" w:space="0" w:color="auto"/>
          </w:divBdr>
        </w:div>
        <w:div w:id="869680632">
          <w:marLeft w:val="0"/>
          <w:marRight w:val="0"/>
          <w:marTop w:val="120"/>
          <w:marBottom w:val="120"/>
          <w:divBdr>
            <w:top w:val="none" w:sz="0" w:space="0" w:color="auto"/>
            <w:left w:val="none" w:sz="0" w:space="0" w:color="auto"/>
            <w:bottom w:val="none" w:sz="0" w:space="0" w:color="auto"/>
            <w:right w:val="none" w:sz="0" w:space="0" w:color="auto"/>
          </w:divBdr>
        </w:div>
      </w:divsChild>
    </w:div>
    <w:div w:id="1487474476">
      <w:bodyDiv w:val="1"/>
      <w:marLeft w:val="0"/>
      <w:marRight w:val="0"/>
      <w:marTop w:val="0"/>
      <w:marBottom w:val="0"/>
      <w:divBdr>
        <w:top w:val="none" w:sz="0" w:space="0" w:color="auto"/>
        <w:left w:val="none" w:sz="0" w:space="0" w:color="auto"/>
        <w:bottom w:val="none" w:sz="0" w:space="0" w:color="auto"/>
        <w:right w:val="none" w:sz="0" w:space="0" w:color="auto"/>
      </w:divBdr>
    </w:div>
    <w:div w:id="1540241177">
      <w:bodyDiv w:val="1"/>
      <w:marLeft w:val="0"/>
      <w:marRight w:val="0"/>
      <w:marTop w:val="0"/>
      <w:marBottom w:val="0"/>
      <w:divBdr>
        <w:top w:val="none" w:sz="0" w:space="0" w:color="auto"/>
        <w:left w:val="none" w:sz="0" w:space="0" w:color="auto"/>
        <w:bottom w:val="none" w:sz="0" w:space="0" w:color="auto"/>
        <w:right w:val="none" w:sz="0" w:space="0" w:color="auto"/>
      </w:divBdr>
    </w:div>
    <w:div w:id="1660384470">
      <w:bodyDiv w:val="1"/>
      <w:marLeft w:val="0"/>
      <w:marRight w:val="0"/>
      <w:marTop w:val="0"/>
      <w:marBottom w:val="0"/>
      <w:divBdr>
        <w:top w:val="none" w:sz="0" w:space="0" w:color="auto"/>
        <w:left w:val="none" w:sz="0" w:space="0" w:color="auto"/>
        <w:bottom w:val="none" w:sz="0" w:space="0" w:color="auto"/>
        <w:right w:val="none" w:sz="0" w:space="0" w:color="auto"/>
      </w:divBdr>
    </w:div>
    <w:div w:id="1781877426">
      <w:bodyDiv w:val="1"/>
      <w:marLeft w:val="0"/>
      <w:marRight w:val="0"/>
      <w:marTop w:val="0"/>
      <w:marBottom w:val="0"/>
      <w:divBdr>
        <w:top w:val="none" w:sz="0" w:space="0" w:color="auto"/>
        <w:left w:val="none" w:sz="0" w:space="0" w:color="auto"/>
        <w:bottom w:val="none" w:sz="0" w:space="0" w:color="auto"/>
        <w:right w:val="none" w:sz="0" w:space="0" w:color="auto"/>
      </w:divBdr>
    </w:div>
    <w:div w:id="1823617143">
      <w:bodyDiv w:val="1"/>
      <w:marLeft w:val="0"/>
      <w:marRight w:val="0"/>
      <w:marTop w:val="0"/>
      <w:marBottom w:val="0"/>
      <w:divBdr>
        <w:top w:val="none" w:sz="0" w:space="0" w:color="auto"/>
        <w:left w:val="none" w:sz="0" w:space="0" w:color="auto"/>
        <w:bottom w:val="none" w:sz="0" w:space="0" w:color="auto"/>
        <w:right w:val="none" w:sz="0" w:space="0" w:color="auto"/>
      </w:divBdr>
    </w:div>
    <w:div w:id="1847742183">
      <w:bodyDiv w:val="1"/>
      <w:marLeft w:val="0"/>
      <w:marRight w:val="0"/>
      <w:marTop w:val="0"/>
      <w:marBottom w:val="0"/>
      <w:divBdr>
        <w:top w:val="none" w:sz="0" w:space="0" w:color="auto"/>
        <w:left w:val="none" w:sz="0" w:space="0" w:color="auto"/>
        <w:bottom w:val="none" w:sz="0" w:space="0" w:color="auto"/>
        <w:right w:val="none" w:sz="0" w:space="0" w:color="auto"/>
      </w:divBdr>
    </w:div>
    <w:div w:id="1850832564">
      <w:bodyDiv w:val="1"/>
      <w:marLeft w:val="0"/>
      <w:marRight w:val="0"/>
      <w:marTop w:val="0"/>
      <w:marBottom w:val="0"/>
      <w:divBdr>
        <w:top w:val="none" w:sz="0" w:space="0" w:color="auto"/>
        <w:left w:val="none" w:sz="0" w:space="0" w:color="auto"/>
        <w:bottom w:val="none" w:sz="0" w:space="0" w:color="auto"/>
        <w:right w:val="none" w:sz="0" w:space="0" w:color="auto"/>
      </w:divBdr>
      <w:divsChild>
        <w:div w:id="1216040065">
          <w:marLeft w:val="0"/>
          <w:marRight w:val="0"/>
          <w:marTop w:val="0"/>
          <w:marBottom w:val="0"/>
          <w:divBdr>
            <w:top w:val="none" w:sz="0" w:space="0" w:color="auto"/>
            <w:left w:val="none" w:sz="0" w:space="0" w:color="auto"/>
            <w:bottom w:val="none" w:sz="0" w:space="0" w:color="auto"/>
            <w:right w:val="none" w:sz="0" w:space="0" w:color="auto"/>
          </w:divBdr>
        </w:div>
        <w:div w:id="126092204">
          <w:marLeft w:val="0"/>
          <w:marRight w:val="0"/>
          <w:marTop w:val="0"/>
          <w:marBottom w:val="0"/>
          <w:divBdr>
            <w:top w:val="none" w:sz="0" w:space="0" w:color="auto"/>
            <w:left w:val="none" w:sz="0" w:space="0" w:color="auto"/>
            <w:bottom w:val="none" w:sz="0" w:space="0" w:color="auto"/>
            <w:right w:val="none" w:sz="0" w:space="0" w:color="auto"/>
          </w:divBdr>
        </w:div>
      </w:divsChild>
    </w:div>
    <w:div w:id="1856843173">
      <w:bodyDiv w:val="1"/>
      <w:marLeft w:val="0"/>
      <w:marRight w:val="0"/>
      <w:marTop w:val="0"/>
      <w:marBottom w:val="0"/>
      <w:divBdr>
        <w:top w:val="none" w:sz="0" w:space="0" w:color="auto"/>
        <w:left w:val="none" w:sz="0" w:space="0" w:color="auto"/>
        <w:bottom w:val="none" w:sz="0" w:space="0" w:color="auto"/>
        <w:right w:val="none" w:sz="0" w:space="0" w:color="auto"/>
      </w:divBdr>
    </w:div>
    <w:div w:id="1879662144">
      <w:bodyDiv w:val="1"/>
      <w:marLeft w:val="0"/>
      <w:marRight w:val="0"/>
      <w:marTop w:val="0"/>
      <w:marBottom w:val="0"/>
      <w:divBdr>
        <w:top w:val="none" w:sz="0" w:space="0" w:color="auto"/>
        <w:left w:val="none" w:sz="0" w:space="0" w:color="auto"/>
        <w:bottom w:val="none" w:sz="0" w:space="0" w:color="auto"/>
        <w:right w:val="none" w:sz="0" w:space="0" w:color="auto"/>
      </w:divBdr>
    </w:div>
    <w:div w:id="1912231032">
      <w:bodyDiv w:val="1"/>
      <w:marLeft w:val="0"/>
      <w:marRight w:val="0"/>
      <w:marTop w:val="0"/>
      <w:marBottom w:val="0"/>
      <w:divBdr>
        <w:top w:val="none" w:sz="0" w:space="0" w:color="auto"/>
        <w:left w:val="none" w:sz="0" w:space="0" w:color="auto"/>
        <w:bottom w:val="none" w:sz="0" w:space="0" w:color="auto"/>
        <w:right w:val="none" w:sz="0" w:space="0" w:color="auto"/>
      </w:divBdr>
      <w:divsChild>
        <w:div w:id="1193231873">
          <w:marLeft w:val="0"/>
          <w:marRight w:val="0"/>
          <w:marTop w:val="120"/>
          <w:marBottom w:val="120"/>
          <w:divBdr>
            <w:top w:val="none" w:sz="0" w:space="0" w:color="auto"/>
            <w:left w:val="none" w:sz="0" w:space="0" w:color="auto"/>
            <w:bottom w:val="none" w:sz="0" w:space="0" w:color="auto"/>
            <w:right w:val="none" w:sz="0" w:space="0" w:color="auto"/>
          </w:divBdr>
        </w:div>
        <w:div w:id="1043791949">
          <w:marLeft w:val="0"/>
          <w:marRight w:val="0"/>
          <w:marTop w:val="120"/>
          <w:marBottom w:val="120"/>
          <w:divBdr>
            <w:top w:val="none" w:sz="0" w:space="0" w:color="auto"/>
            <w:left w:val="none" w:sz="0" w:space="0" w:color="auto"/>
            <w:bottom w:val="none" w:sz="0" w:space="0" w:color="auto"/>
            <w:right w:val="none" w:sz="0" w:space="0" w:color="auto"/>
          </w:divBdr>
        </w:div>
        <w:div w:id="585580369">
          <w:marLeft w:val="0"/>
          <w:marRight w:val="0"/>
          <w:marTop w:val="120"/>
          <w:marBottom w:val="120"/>
          <w:divBdr>
            <w:top w:val="none" w:sz="0" w:space="0" w:color="auto"/>
            <w:left w:val="none" w:sz="0" w:space="0" w:color="auto"/>
            <w:bottom w:val="none" w:sz="0" w:space="0" w:color="auto"/>
            <w:right w:val="none" w:sz="0" w:space="0" w:color="auto"/>
          </w:divBdr>
        </w:div>
        <w:div w:id="695541505">
          <w:marLeft w:val="0"/>
          <w:marRight w:val="0"/>
          <w:marTop w:val="120"/>
          <w:marBottom w:val="120"/>
          <w:divBdr>
            <w:top w:val="none" w:sz="0" w:space="0" w:color="auto"/>
            <w:left w:val="none" w:sz="0" w:space="0" w:color="auto"/>
            <w:bottom w:val="none" w:sz="0" w:space="0" w:color="auto"/>
            <w:right w:val="none" w:sz="0" w:space="0" w:color="auto"/>
          </w:divBdr>
        </w:div>
      </w:divsChild>
    </w:div>
    <w:div w:id="1981955906">
      <w:bodyDiv w:val="1"/>
      <w:marLeft w:val="0"/>
      <w:marRight w:val="0"/>
      <w:marTop w:val="0"/>
      <w:marBottom w:val="0"/>
      <w:divBdr>
        <w:top w:val="none" w:sz="0" w:space="0" w:color="auto"/>
        <w:left w:val="none" w:sz="0" w:space="0" w:color="auto"/>
        <w:bottom w:val="none" w:sz="0" w:space="0" w:color="auto"/>
        <w:right w:val="none" w:sz="0" w:space="0" w:color="auto"/>
      </w:divBdr>
      <w:divsChild>
        <w:div w:id="618342028">
          <w:marLeft w:val="0"/>
          <w:marRight w:val="0"/>
          <w:marTop w:val="120"/>
          <w:marBottom w:val="120"/>
          <w:divBdr>
            <w:top w:val="none" w:sz="0" w:space="0" w:color="auto"/>
            <w:left w:val="none" w:sz="0" w:space="0" w:color="auto"/>
            <w:bottom w:val="none" w:sz="0" w:space="0" w:color="auto"/>
            <w:right w:val="none" w:sz="0" w:space="0" w:color="auto"/>
          </w:divBdr>
        </w:div>
        <w:div w:id="1778862605">
          <w:marLeft w:val="0"/>
          <w:marRight w:val="0"/>
          <w:marTop w:val="120"/>
          <w:marBottom w:val="120"/>
          <w:divBdr>
            <w:top w:val="none" w:sz="0" w:space="0" w:color="auto"/>
            <w:left w:val="none" w:sz="0" w:space="0" w:color="auto"/>
            <w:bottom w:val="none" w:sz="0" w:space="0" w:color="auto"/>
            <w:right w:val="none" w:sz="0" w:space="0" w:color="auto"/>
          </w:divBdr>
        </w:div>
        <w:div w:id="1710446660">
          <w:marLeft w:val="0"/>
          <w:marRight w:val="0"/>
          <w:marTop w:val="120"/>
          <w:marBottom w:val="120"/>
          <w:divBdr>
            <w:top w:val="none" w:sz="0" w:space="0" w:color="auto"/>
            <w:left w:val="none" w:sz="0" w:space="0" w:color="auto"/>
            <w:bottom w:val="none" w:sz="0" w:space="0" w:color="auto"/>
            <w:right w:val="none" w:sz="0" w:space="0" w:color="auto"/>
          </w:divBdr>
        </w:div>
        <w:div w:id="1274551778">
          <w:marLeft w:val="0"/>
          <w:marRight w:val="0"/>
          <w:marTop w:val="120"/>
          <w:marBottom w:val="12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8.png"/><Relationship Id="rId18" Type="http://schemas.openxmlformats.org/officeDocument/2006/relationships/hyperlink" Target="https://www.asecib.ase.ro/mps/Bandura_SocialLearningTheory.pdf" TargetMode="External"/><Relationship Id="rId26" Type="http://schemas.openxmlformats.org/officeDocument/2006/relationships/hyperlink" Target="https://link.springer.com/rwe/10.1007/978-981-13-6106-7_46-1" TargetMode="External"/><Relationship Id="rId3" Type="http://schemas.openxmlformats.org/officeDocument/2006/relationships/settings" Target="settings.xml"/><Relationship Id="rId21" Type="http://schemas.openxmlformats.org/officeDocument/2006/relationships/hyperlink" Target="https://psychsafety.com/the-johari-window" TargetMode="External"/><Relationship Id="rId34" Type="http://schemas.openxmlformats.org/officeDocument/2006/relationships/fontTable" Target="fontTable.xml"/><Relationship Id="rId7" Type="http://schemas.openxmlformats.org/officeDocument/2006/relationships/image" Target="media/image2.png"/><Relationship Id="rId12" Type="http://schemas.openxmlformats.org/officeDocument/2006/relationships/image" Target="media/image7.png"/><Relationship Id="rId17" Type="http://schemas.openxmlformats.org/officeDocument/2006/relationships/image" Target="media/image12.png"/><Relationship Id="rId25" Type="http://schemas.openxmlformats.org/officeDocument/2006/relationships/hyperlink" Target="https://pubmed.ncbi.nlm.nih.gov/41630485/" TargetMode="External"/><Relationship Id="rId33" Type="http://schemas.openxmlformats.org/officeDocument/2006/relationships/hyperlink" Target="https://www.rcn.org.uk/Professional-Development/Definition-and-principles-of-nursing" TargetMode="External"/><Relationship Id="rId2" Type="http://schemas.openxmlformats.org/officeDocument/2006/relationships/styles" Target="styles.xml"/><Relationship Id="rId16" Type="http://schemas.openxmlformats.org/officeDocument/2006/relationships/image" Target="media/image11.png"/><Relationship Id="rId20" Type="http://schemas.openxmlformats.org/officeDocument/2006/relationships/hyperlink" Target="https://community.mis.temple.edu/mis0855002fall2015/files/2015/10/S.M.A.R.T-Way-Management-Review.pdf" TargetMode="External"/><Relationship Id="rId29" Type="http://schemas.openxmlformats.org/officeDocument/2006/relationships/hyperlink" Target="https://www.nmc.org.uk/globalassets/sitedocuments/other-publications/enabling-professionalism.pdf" TargetMode="External"/><Relationship Id="rId1" Type="http://schemas.openxmlformats.org/officeDocument/2006/relationships/customXml" Target="../customXml/item1.xml"/><Relationship Id="rId6" Type="http://schemas.openxmlformats.org/officeDocument/2006/relationships/image" Target="cid:image001.png@01D0EA4A.2BD679A0" TargetMode="External"/><Relationship Id="rId11" Type="http://schemas.openxmlformats.org/officeDocument/2006/relationships/image" Target="media/image6.png"/><Relationship Id="rId24" Type="http://schemas.openxmlformats.org/officeDocument/2006/relationships/hyperlink" Target="https://www.jstor.org/stable/2776392" TargetMode="External"/><Relationship Id="rId32" Type="http://schemas.openxmlformats.org/officeDocument/2006/relationships/hyperlink" Target="https://bpspsychub.onlinelibrary.wiley.com/doi/abs/10.1111/joop.12120" TargetMode="External"/><Relationship Id="rId5" Type="http://schemas.openxmlformats.org/officeDocument/2006/relationships/image" Target="media/image1.png"/><Relationship Id="rId15" Type="http://schemas.openxmlformats.org/officeDocument/2006/relationships/image" Target="media/image10.png"/><Relationship Id="rId23" Type="http://schemas.openxmlformats.org/officeDocument/2006/relationships/hyperlink" Target="https://www.tandfonline.com/doi/full/10.1080/1359432X.2023.2276533" TargetMode="External"/><Relationship Id="rId28" Type="http://schemas.openxmlformats.org/officeDocument/2006/relationships/hyperlink" Target="https://www.england.nhs.uk/long-read/nhs-long-term-workforce-plan-2/" TargetMode="External"/><Relationship Id="rId10" Type="http://schemas.openxmlformats.org/officeDocument/2006/relationships/image" Target="media/image5.png"/><Relationship Id="rId19" Type="http://schemas.openxmlformats.org/officeDocument/2006/relationships/hyperlink" Target="https://pubmed.ncbi.nlm.nih.gov/12113146/" TargetMode="External"/><Relationship Id="rId31" Type="http://schemas.openxmlformats.org/officeDocument/2006/relationships/hyperlink" Target="https://pubmed.ncbi.nlm.nih.gov/28741446/" TargetMode="External"/><Relationship Id="rId4" Type="http://schemas.openxmlformats.org/officeDocument/2006/relationships/webSettings" Target="webSettings.xml"/><Relationship Id="rId9" Type="http://schemas.openxmlformats.org/officeDocument/2006/relationships/image" Target="media/image4.png"/><Relationship Id="rId14" Type="http://schemas.openxmlformats.org/officeDocument/2006/relationships/image" Target="media/image9.png"/><Relationship Id="rId22" Type="http://schemas.openxmlformats.org/officeDocument/2006/relationships/hyperlink" Target="https://pmc.ncbi.nlm.nih.gov/articles/PMC6913621" TargetMode="External"/><Relationship Id="rId27" Type="http://schemas.openxmlformats.org/officeDocument/2006/relationships/hyperlink" Target="https://doi.org/10.1002/j.1556-6676.1999.tb02431.x" TargetMode="External"/><Relationship Id="rId30" Type="http://schemas.openxmlformats.org/officeDocument/2006/relationships/hyperlink" Target="https://www.nmc.org.uk/globalassets/sitedocuments/nmc-publications/nmc-code.pdf" TargetMode="External"/><Relationship Id="rId35" Type="http://schemas.openxmlformats.org/officeDocument/2006/relationships/theme" Target="theme/theme1.xml"/><Relationship Id="rId8"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664F580-8B70-DD4C-85B4-DF700A93F6D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33</TotalTime>
  <Pages>17</Pages>
  <Words>2856</Words>
  <Characters>16284</Characters>
  <Application>Microsoft Office Word</Application>
  <DocSecurity>0</DocSecurity>
  <Lines>135</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19102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PG-Cristea, Lorena</dc:creator>
  <cp:keywords/>
  <dc:description/>
  <cp:lastModifiedBy>marcelamusteata88@yahoo.com</cp:lastModifiedBy>
  <cp:revision>5</cp:revision>
  <dcterms:created xsi:type="dcterms:W3CDTF">2026-06-21T17:04:00Z</dcterms:created>
  <dcterms:modified xsi:type="dcterms:W3CDTF">2026-07-30T11:26:00Z</dcterms:modified>
</cp:coreProperties>
</file>