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AFFB4" w14:textId="77777777" w:rsidR="00314198" w:rsidRDefault="00314198" w:rsidP="00314198">
      <w:pPr>
        <w:pStyle w:val="NormalWeb"/>
        <w:ind w:left="-180" w:right="-334"/>
      </w:pPr>
      <w:r>
        <w:rPr>
          <w:noProof/>
        </w:rPr>
        <w:drawing>
          <wp:inline distT="0" distB="0" distL="0" distR="0" wp14:anchorId="4BF6CFC1" wp14:editId="568D0756">
            <wp:extent cx="1907540" cy="63563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bwMode="auto">
                    <a:xfrm>
                      <a:off x="0" y="0"/>
                      <a:ext cx="1907540" cy="635635"/>
                    </a:xfrm>
                    <a:prstGeom prst="rect">
                      <a:avLst/>
                    </a:prstGeom>
                    <a:noFill/>
                  </pic:spPr>
                </pic:pic>
              </a:graphicData>
            </a:graphic>
          </wp:inline>
        </w:drawing>
      </w:r>
    </w:p>
    <w:p w14:paraId="7910A32F" w14:textId="77777777" w:rsidR="00314198" w:rsidRDefault="00314198" w:rsidP="00314198">
      <w:pPr>
        <w:pStyle w:val="NormalWeb"/>
        <w:ind w:left="-180" w:right="-334"/>
      </w:pPr>
    </w:p>
    <w:p w14:paraId="0E513997" w14:textId="77777777" w:rsidR="00314198" w:rsidRDefault="00314198" w:rsidP="00314198">
      <w:pPr>
        <w:pStyle w:val="NormalWeb"/>
        <w:ind w:left="-180" w:right="-334"/>
      </w:pPr>
    </w:p>
    <w:p w14:paraId="5D1AFE8A" w14:textId="77777777" w:rsidR="00314198" w:rsidRDefault="00314198" w:rsidP="00314198">
      <w:pPr>
        <w:pStyle w:val="NormalWeb"/>
        <w:ind w:left="-180" w:right="-334"/>
        <w:jc w:val="center"/>
      </w:pPr>
      <w:r>
        <w:rPr>
          <w:rFonts w:ascii="Arial" w:hAnsi="Arial"/>
          <w:b/>
          <w:sz w:val="28"/>
          <w:szCs w:val="28"/>
        </w:rPr>
        <w:t xml:space="preserve">Postgraduate/Distance Learning </w:t>
      </w:r>
    </w:p>
    <w:p w14:paraId="6FA3E62C" w14:textId="77777777" w:rsidR="00314198" w:rsidRDefault="00314198" w:rsidP="00314198">
      <w:pPr>
        <w:pStyle w:val="NormalWeb"/>
        <w:ind w:left="-180" w:right="-334"/>
        <w:jc w:val="center"/>
        <w:rPr>
          <w:rFonts w:ascii="Arial" w:hAnsi="Arial"/>
          <w:b/>
          <w:sz w:val="28"/>
          <w:szCs w:val="28"/>
        </w:rPr>
      </w:pPr>
      <w:r>
        <w:rPr>
          <w:rFonts w:ascii="Arial" w:hAnsi="Arial"/>
          <w:b/>
          <w:sz w:val="28"/>
          <w:szCs w:val="28"/>
        </w:rPr>
        <w:t>Assignment coversheet &amp; feedback form</w:t>
      </w:r>
    </w:p>
    <w:p w14:paraId="7DC2115A" w14:textId="77777777" w:rsidR="00314198" w:rsidRDefault="00314198" w:rsidP="00314198">
      <w:pPr>
        <w:rPr>
          <w:rFonts w:ascii="Arial" w:hAnsi="Arial"/>
          <w:sz w:val="28"/>
          <w:szCs w:val="28"/>
        </w:rPr>
      </w:pPr>
    </w:p>
    <w:p w14:paraId="1920B524" w14:textId="77777777" w:rsidR="00314198" w:rsidRDefault="00314198" w:rsidP="00314198">
      <w:pPr>
        <w:pStyle w:val="Heading3"/>
        <w:jc w:val="center"/>
      </w:pPr>
      <w:r>
        <w:t xml:space="preserve">THIS SHEET MUST BE THE FIRST PAGE OF THE ASSIGNMENT YOU ARE </w:t>
      </w:r>
      <w:proofErr w:type="gramStart"/>
      <w:r>
        <w:t>SUBMITTING  (</w:t>
      </w:r>
      <w:proofErr w:type="gramEnd"/>
      <w:r>
        <w:t>DO NOT SEND AS A SEPARATE FILE)</w:t>
      </w:r>
    </w:p>
    <w:p w14:paraId="16D1DAE8" w14:textId="77777777" w:rsidR="00314198" w:rsidRDefault="00314198" w:rsidP="00314198">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314198" w14:paraId="061BA567" w14:textId="77777777" w:rsidTr="00612325">
        <w:trPr>
          <w:trHeight w:val="614"/>
        </w:trPr>
        <w:tc>
          <w:tcPr>
            <w:tcW w:w="8856" w:type="dxa"/>
            <w:gridSpan w:val="5"/>
          </w:tcPr>
          <w:p w14:paraId="0BC7ABEF" w14:textId="77777777" w:rsidR="00314198" w:rsidRDefault="00314198" w:rsidP="00612325">
            <w:pPr>
              <w:pStyle w:val="NormalWeb"/>
              <w:ind w:right="34"/>
            </w:pPr>
            <w:r>
              <w:rPr>
                <w:rFonts w:ascii="Arial" w:hAnsi="Arial"/>
                <w:b/>
                <w:sz w:val="22"/>
                <w:szCs w:val="22"/>
              </w:rPr>
              <w:t>For completion by the student</w:t>
            </w:r>
            <w:r>
              <w:rPr>
                <w:rFonts w:ascii="Arial" w:hAnsi="Arial"/>
                <w:sz w:val="22"/>
                <w:szCs w:val="22"/>
              </w:rPr>
              <w:t>:</w:t>
            </w:r>
          </w:p>
        </w:tc>
      </w:tr>
      <w:tr w:rsidR="00314198" w14:paraId="3D5309D7" w14:textId="77777777" w:rsidTr="00612325">
        <w:trPr>
          <w:trHeight w:val="718"/>
        </w:trPr>
        <w:tc>
          <w:tcPr>
            <w:tcW w:w="8856" w:type="dxa"/>
            <w:gridSpan w:val="5"/>
          </w:tcPr>
          <w:p w14:paraId="6DA50F05" w14:textId="77777777" w:rsidR="00314198" w:rsidRDefault="00314198" w:rsidP="00612325">
            <w:pPr>
              <w:pStyle w:val="NormalWeb"/>
              <w:ind w:right="34"/>
              <w:rPr>
                <w:rFonts w:ascii="Arial" w:hAnsi="Arial"/>
                <w:sz w:val="22"/>
                <w:szCs w:val="22"/>
              </w:rPr>
            </w:pPr>
            <w:r>
              <w:rPr>
                <w:rFonts w:ascii="Arial" w:hAnsi="Arial"/>
                <w:sz w:val="22"/>
                <w:szCs w:val="22"/>
              </w:rPr>
              <w:t xml:space="preserve">Student Name: </w:t>
            </w:r>
            <w:proofErr w:type="gramStart"/>
            <w:r>
              <w:rPr>
                <w:rFonts w:ascii="Arial" w:hAnsi="Arial"/>
                <w:sz w:val="22"/>
                <w:szCs w:val="22"/>
              </w:rPr>
              <w:t>Christine  Allen</w:t>
            </w:r>
            <w:proofErr w:type="gramEnd"/>
          </w:p>
          <w:p w14:paraId="703E3244" w14:textId="77777777" w:rsidR="00314198" w:rsidRDefault="00314198" w:rsidP="00612325">
            <w:pPr>
              <w:pStyle w:val="NormalWeb"/>
              <w:ind w:right="34"/>
              <w:rPr>
                <w:rFonts w:ascii="Arial" w:hAnsi="Arial"/>
                <w:sz w:val="22"/>
                <w:szCs w:val="22"/>
              </w:rPr>
            </w:pPr>
          </w:p>
          <w:p w14:paraId="1D1B59DC" w14:textId="77777777" w:rsidR="00314198" w:rsidRDefault="00314198" w:rsidP="00612325">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hyperlink r:id="rId7" w:history="1">
              <w:r w:rsidRPr="00DA0EDB">
                <w:rPr>
                  <w:rStyle w:val="Hyperlink"/>
                  <w:rFonts w:ascii="Arial" w:eastAsiaTheme="majorEastAsia" w:hAnsi="Arial" w:cs="Arial"/>
                  <w:sz w:val="22"/>
                  <w:szCs w:val="22"/>
                </w:rPr>
                <w:t>2008524@student.uwtsd.ac.uk</w:t>
              </w:r>
            </w:hyperlink>
          </w:p>
        </w:tc>
      </w:tr>
      <w:tr w:rsidR="00314198" w14:paraId="3EE7F552" w14:textId="77777777" w:rsidTr="00612325">
        <w:trPr>
          <w:trHeight w:val="849"/>
        </w:trPr>
        <w:tc>
          <w:tcPr>
            <w:tcW w:w="4788" w:type="dxa"/>
          </w:tcPr>
          <w:p w14:paraId="35AD4A6F" w14:textId="77777777" w:rsidR="00314198" w:rsidRDefault="00314198" w:rsidP="00612325">
            <w:pPr>
              <w:pStyle w:val="NormalWeb"/>
              <w:ind w:right="34"/>
              <w:rPr>
                <w:rFonts w:ascii="Arial" w:hAnsi="Arial"/>
                <w:sz w:val="22"/>
                <w:szCs w:val="22"/>
              </w:rPr>
            </w:pPr>
            <w:r>
              <w:rPr>
                <w:rFonts w:ascii="Arial" w:hAnsi="Arial"/>
                <w:sz w:val="22"/>
                <w:szCs w:val="22"/>
              </w:rPr>
              <w:t>Module code:</w:t>
            </w:r>
            <w:r w:rsidRPr="00166616">
              <w:rPr>
                <w:rFonts w:ascii="Arial" w:hAnsi="Arial" w:cs="Arial"/>
                <w:sz w:val="22"/>
                <w:szCs w:val="22"/>
              </w:rPr>
              <w:t xml:space="preserve"> H</w:t>
            </w:r>
            <w:r w:rsidRPr="00166616">
              <w:rPr>
                <w:rFonts w:ascii="Arial" w:hAnsi="Arial" w:cs="Arial"/>
              </w:rPr>
              <w:t>PCA7028</w:t>
            </w:r>
          </w:p>
          <w:p w14:paraId="540D492F" w14:textId="77777777" w:rsidR="00314198" w:rsidRDefault="00314198" w:rsidP="00612325">
            <w:pPr>
              <w:pStyle w:val="NormalWeb"/>
              <w:ind w:right="34"/>
              <w:rPr>
                <w:rFonts w:ascii="Arial" w:hAnsi="Arial"/>
                <w:sz w:val="22"/>
                <w:szCs w:val="22"/>
              </w:rPr>
            </w:pPr>
          </w:p>
          <w:p w14:paraId="1CBD6725" w14:textId="77777777" w:rsidR="00314198" w:rsidRDefault="00314198" w:rsidP="00612325">
            <w:pPr>
              <w:pStyle w:val="NormalWeb"/>
              <w:ind w:right="34"/>
              <w:rPr>
                <w:rFonts w:ascii="Arial" w:hAnsi="Arial"/>
                <w:sz w:val="22"/>
                <w:szCs w:val="22"/>
              </w:rPr>
            </w:pPr>
            <w:r>
              <w:rPr>
                <w:rFonts w:ascii="Arial" w:hAnsi="Arial"/>
                <w:sz w:val="22"/>
                <w:szCs w:val="22"/>
              </w:rPr>
              <w:t>Module title: Sacred Skies</w:t>
            </w:r>
          </w:p>
          <w:p w14:paraId="292AAC77" w14:textId="77777777" w:rsidR="00314198" w:rsidRDefault="00314198" w:rsidP="00612325">
            <w:pPr>
              <w:pStyle w:val="NormalWeb"/>
              <w:ind w:right="34"/>
              <w:rPr>
                <w:rFonts w:ascii="Arial" w:hAnsi="Arial"/>
                <w:sz w:val="22"/>
                <w:szCs w:val="22"/>
              </w:rPr>
            </w:pPr>
          </w:p>
          <w:p w14:paraId="652729A5" w14:textId="77777777" w:rsidR="00314198" w:rsidRDefault="00314198" w:rsidP="00612325">
            <w:pPr>
              <w:pStyle w:val="NormalWeb"/>
              <w:ind w:right="34"/>
            </w:pPr>
          </w:p>
        </w:tc>
        <w:tc>
          <w:tcPr>
            <w:tcW w:w="2266" w:type="dxa"/>
            <w:gridSpan w:val="3"/>
          </w:tcPr>
          <w:p w14:paraId="2A7585AB" w14:textId="77777777" w:rsidR="00314198" w:rsidRDefault="00314198" w:rsidP="00612325">
            <w:pPr>
              <w:pStyle w:val="NormalWeb"/>
              <w:ind w:right="34"/>
              <w:rPr>
                <w:rFonts w:ascii="Arial" w:hAnsi="Arial"/>
                <w:sz w:val="22"/>
                <w:szCs w:val="22"/>
              </w:rPr>
            </w:pPr>
            <w:r>
              <w:rPr>
                <w:rFonts w:ascii="Arial" w:hAnsi="Arial"/>
                <w:sz w:val="22"/>
                <w:szCs w:val="22"/>
              </w:rPr>
              <w:t>Student ID number:</w:t>
            </w:r>
          </w:p>
          <w:p w14:paraId="7995CC15" w14:textId="77777777" w:rsidR="00314198" w:rsidRDefault="00314198" w:rsidP="00612325">
            <w:pPr>
              <w:pStyle w:val="NormalWeb"/>
              <w:ind w:right="34"/>
            </w:pPr>
            <w:r>
              <w:rPr>
                <w:rFonts w:ascii="Arial" w:hAnsi="Arial" w:cs="Arial"/>
                <w:sz w:val="22"/>
                <w:szCs w:val="22"/>
              </w:rPr>
              <w:t>2008524</w:t>
            </w:r>
          </w:p>
        </w:tc>
        <w:tc>
          <w:tcPr>
            <w:tcW w:w="1802" w:type="dxa"/>
          </w:tcPr>
          <w:p w14:paraId="02C32F1A" w14:textId="77777777" w:rsidR="00314198" w:rsidRDefault="00314198" w:rsidP="00612325">
            <w:pPr>
              <w:pStyle w:val="NormalWeb"/>
              <w:ind w:right="34"/>
            </w:pPr>
            <w:r>
              <w:rPr>
                <w:rFonts w:ascii="Arial" w:hAnsi="Arial"/>
                <w:sz w:val="22"/>
                <w:szCs w:val="22"/>
              </w:rPr>
              <w:t>Educational support needs:</w:t>
            </w:r>
          </w:p>
          <w:p w14:paraId="14F2BA76" w14:textId="77777777" w:rsidR="00314198" w:rsidRDefault="00314198" w:rsidP="00612325">
            <w:pPr>
              <w:pStyle w:val="NormalWeb"/>
              <w:ind w:right="34"/>
            </w:pPr>
            <w:r>
              <w:rPr>
                <w:rFonts w:ascii="Arial" w:hAnsi="Arial"/>
                <w:sz w:val="22"/>
                <w:szCs w:val="22"/>
              </w:rPr>
              <w:t>Yes</w:t>
            </w:r>
          </w:p>
        </w:tc>
      </w:tr>
      <w:tr w:rsidR="00314198" w14:paraId="6B69631F" w14:textId="77777777" w:rsidTr="00612325">
        <w:trPr>
          <w:trHeight w:val="1139"/>
        </w:trPr>
        <w:tc>
          <w:tcPr>
            <w:tcW w:w="8856" w:type="dxa"/>
            <w:gridSpan w:val="5"/>
          </w:tcPr>
          <w:p w14:paraId="63BB1AF6" w14:textId="77777777" w:rsidR="00314198" w:rsidRPr="00D34E8C" w:rsidRDefault="00314198" w:rsidP="00612325">
            <w:pPr>
              <w:pStyle w:val="Title"/>
              <w:spacing w:line="360" w:lineRule="auto"/>
              <w:rPr>
                <w:rFonts w:ascii="Arial" w:hAnsi="Arial" w:cs="Arial"/>
                <w:sz w:val="24"/>
                <w:szCs w:val="24"/>
              </w:rPr>
            </w:pPr>
            <w:r w:rsidRPr="00D34E8C">
              <w:rPr>
                <w:rFonts w:ascii="Arial" w:hAnsi="Arial" w:cs="Arial"/>
                <w:sz w:val="24"/>
                <w:szCs w:val="24"/>
              </w:rPr>
              <w:t>Assignment title:</w:t>
            </w:r>
            <w:r w:rsidRPr="00D34E8C">
              <w:rPr>
                <w:rFonts w:ascii="Arial" w:hAnsi="Arial" w:cs="Arial"/>
                <w:sz w:val="72"/>
                <w:szCs w:val="72"/>
              </w:rPr>
              <w:t xml:space="preserve"> </w:t>
            </w:r>
            <w:r w:rsidRPr="00D34E8C">
              <w:rPr>
                <w:rFonts w:ascii="Arial" w:hAnsi="Arial" w:cs="Arial"/>
                <w:sz w:val="24"/>
                <w:szCs w:val="24"/>
              </w:rPr>
              <w:t xml:space="preserve">ASSIGNMENT 2: A Critical Examination of the Sky in Relation to Material Culture – A Measurement Based on a Physical Site  </w:t>
            </w:r>
          </w:p>
          <w:p w14:paraId="1C0636D8" w14:textId="77777777" w:rsidR="00314198" w:rsidRDefault="00314198" w:rsidP="00612325">
            <w:pPr>
              <w:pStyle w:val="NormalWeb"/>
              <w:ind w:right="34"/>
            </w:pPr>
          </w:p>
          <w:p w14:paraId="3572D064" w14:textId="77777777" w:rsidR="00314198" w:rsidRDefault="00314198" w:rsidP="00612325">
            <w:pPr>
              <w:pStyle w:val="NormalWeb"/>
              <w:ind w:right="34"/>
              <w:rPr>
                <w:rFonts w:ascii="Arial" w:hAnsi="Arial"/>
                <w:sz w:val="22"/>
                <w:szCs w:val="22"/>
              </w:rPr>
            </w:pPr>
          </w:p>
          <w:p w14:paraId="10B15097" w14:textId="77777777" w:rsidR="00314198" w:rsidRDefault="00314198" w:rsidP="00612325">
            <w:pPr>
              <w:pStyle w:val="NormalWeb"/>
              <w:ind w:right="34"/>
              <w:rPr>
                <w:rFonts w:ascii="Arial" w:hAnsi="Arial"/>
                <w:sz w:val="22"/>
                <w:szCs w:val="22"/>
              </w:rPr>
            </w:pPr>
          </w:p>
          <w:p w14:paraId="7D6D7689" w14:textId="77777777" w:rsidR="00314198" w:rsidRDefault="00314198" w:rsidP="00612325">
            <w:pPr>
              <w:pStyle w:val="NormalWeb"/>
              <w:ind w:right="34"/>
            </w:pPr>
            <w:r>
              <w:rPr>
                <w:rFonts w:ascii="Arial" w:hAnsi="Arial"/>
                <w:sz w:val="22"/>
                <w:szCs w:val="22"/>
              </w:rPr>
              <w:t>Assignment due date: 4</w:t>
            </w:r>
            <w:r w:rsidRPr="00EF69F1">
              <w:rPr>
                <w:rFonts w:ascii="Arial" w:hAnsi="Arial"/>
                <w:sz w:val="22"/>
                <w:szCs w:val="22"/>
                <w:vertAlign w:val="superscript"/>
              </w:rPr>
              <w:t>th</w:t>
            </w:r>
            <w:r>
              <w:rPr>
                <w:rFonts w:ascii="Arial" w:hAnsi="Arial"/>
                <w:sz w:val="22"/>
                <w:szCs w:val="22"/>
              </w:rPr>
              <w:t xml:space="preserve"> May 2023</w:t>
            </w:r>
          </w:p>
        </w:tc>
      </w:tr>
      <w:tr w:rsidR="00314198" w14:paraId="0F349A7B" w14:textId="77777777" w:rsidTr="00612325">
        <w:trPr>
          <w:trHeight w:val="978"/>
        </w:trPr>
        <w:tc>
          <w:tcPr>
            <w:tcW w:w="8856" w:type="dxa"/>
            <w:gridSpan w:val="5"/>
            <w:tcBorders>
              <w:bottom w:val="single" w:sz="4" w:space="0" w:color="000000"/>
            </w:tcBorders>
          </w:tcPr>
          <w:p w14:paraId="450C981E" w14:textId="77777777" w:rsidR="00314198" w:rsidRDefault="00314198" w:rsidP="00612325">
            <w:r>
              <w:rPr>
                <w:rFonts w:ascii="Arial" w:hAnsi="Arial"/>
              </w:rPr>
              <w:t>This assignment is for the   4</w:t>
            </w:r>
            <w:proofErr w:type="gramStart"/>
            <w:r>
              <w:rPr>
                <w:rFonts w:ascii="Arial" w:hAnsi="Arial"/>
                <w:vertAlign w:val="superscript"/>
              </w:rPr>
              <w:t>th</w:t>
            </w:r>
            <w:r>
              <w:rPr>
                <w:rFonts w:ascii="Arial" w:hAnsi="Arial"/>
              </w:rPr>
              <w:t xml:space="preserve"> </w:t>
            </w:r>
            <w:r>
              <w:rPr>
                <w:rFonts w:ascii="Arial" w:hAnsi="Arial"/>
                <w:b/>
              </w:rPr>
              <w:t xml:space="preserve"> </w:t>
            </w:r>
            <w:r>
              <w:rPr>
                <w:rFonts w:ascii="Arial" w:hAnsi="Arial"/>
              </w:rPr>
              <w:t>module</w:t>
            </w:r>
            <w:proofErr w:type="gramEnd"/>
            <w:r>
              <w:rPr>
                <w:rFonts w:ascii="Arial" w:hAnsi="Arial"/>
              </w:rPr>
              <w:t xml:space="preserve"> of the degree</w:t>
            </w:r>
          </w:p>
        </w:tc>
      </w:tr>
      <w:tr w:rsidR="00314198" w14:paraId="1AFB23B5" w14:textId="77777777" w:rsidTr="00612325">
        <w:trPr>
          <w:trHeight w:val="978"/>
        </w:trPr>
        <w:tc>
          <w:tcPr>
            <w:tcW w:w="8856" w:type="dxa"/>
            <w:gridSpan w:val="5"/>
            <w:shd w:val="clear" w:color="auto" w:fill="D9D9D9"/>
          </w:tcPr>
          <w:p w14:paraId="70172384" w14:textId="77777777" w:rsidR="00314198" w:rsidRDefault="00314198" w:rsidP="00612325">
            <w:pPr>
              <w:pStyle w:val="NormalWeb"/>
              <w:ind w:right="34"/>
            </w:pPr>
            <w:r>
              <w:rPr>
                <w:rFonts w:ascii="Arial" w:hAnsi="Arial"/>
                <w:sz w:val="22"/>
                <w:szCs w:val="22"/>
              </w:rPr>
              <w:t>I confirm that this is my original work and that I have adhered to the University policy on plagiarism.</w:t>
            </w:r>
          </w:p>
          <w:p w14:paraId="42BA800E" w14:textId="77777777" w:rsidR="00314198" w:rsidRDefault="00314198" w:rsidP="00612325">
            <w:pPr>
              <w:pStyle w:val="NormalWeb"/>
              <w:ind w:right="34"/>
              <w:rPr>
                <w:rFonts w:ascii="Arial" w:hAnsi="Arial"/>
                <w:sz w:val="22"/>
                <w:szCs w:val="22"/>
              </w:rPr>
            </w:pPr>
            <w:r>
              <w:rPr>
                <w:rFonts w:ascii="Arial" w:hAnsi="Arial"/>
                <w:sz w:val="22"/>
                <w:szCs w:val="22"/>
              </w:rPr>
              <w:t>Signed …………Christine Allen…………………………………………………</w:t>
            </w:r>
          </w:p>
          <w:p w14:paraId="07CF71BB" w14:textId="77777777" w:rsidR="00314198" w:rsidRDefault="00314198" w:rsidP="00612325">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□x</w:t>
            </w:r>
          </w:p>
          <w:p w14:paraId="3C4AC1D7" w14:textId="77777777" w:rsidR="00314198" w:rsidRDefault="00314198" w:rsidP="00612325">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314198" w14:paraId="4834071E" w14:textId="77777777" w:rsidTr="00612325">
        <w:trPr>
          <w:trHeight w:val="3972"/>
        </w:trPr>
        <w:tc>
          <w:tcPr>
            <w:tcW w:w="8856" w:type="dxa"/>
            <w:gridSpan w:val="5"/>
          </w:tcPr>
          <w:p w14:paraId="2F959EFC" w14:textId="77777777" w:rsidR="00314198" w:rsidRDefault="00314198" w:rsidP="00612325">
            <w:pPr>
              <w:rPr>
                <w:rFonts w:ascii="Arial" w:hAnsi="Arial"/>
                <w:b/>
              </w:rPr>
            </w:pPr>
          </w:p>
          <w:p w14:paraId="1A010749" w14:textId="77777777" w:rsidR="00314198" w:rsidRDefault="00314198" w:rsidP="00612325">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314198" w14:paraId="0210A6B7" w14:textId="77777777" w:rsidTr="00612325">
              <w:tc>
                <w:tcPr>
                  <w:tcW w:w="6970" w:type="dxa"/>
                </w:tcPr>
                <w:p w14:paraId="348137EA" w14:textId="77777777" w:rsidR="00314198" w:rsidRDefault="00314198" w:rsidP="00612325">
                  <w:pPr>
                    <w:rPr>
                      <w:rFonts w:ascii="Arial" w:hAnsi="Arial"/>
                      <w:sz w:val="20"/>
                      <w:szCs w:val="20"/>
                    </w:rPr>
                  </w:pPr>
                </w:p>
                <w:p w14:paraId="5C4ACEEB" w14:textId="77777777" w:rsidR="00314198" w:rsidRDefault="00314198" w:rsidP="00612325">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3CF0EF14" w14:textId="77777777" w:rsidR="00314198" w:rsidRDefault="00314198" w:rsidP="00612325">
                  <w:pPr>
                    <w:rPr>
                      <w:rFonts w:ascii="Arial" w:hAnsi="Arial"/>
                      <w:sz w:val="20"/>
                      <w:szCs w:val="20"/>
                    </w:rPr>
                  </w:pPr>
                </w:p>
              </w:tc>
            </w:tr>
            <w:tr w:rsidR="00314198" w14:paraId="44459378" w14:textId="77777777" w:rsidTr="00612325">
              <w:tc>
                <w:tcPr>
                  <w:tcW w:w="6970" w:type="dxa"/>
                </w:tcPr>
                <w:p w14:paraId="53D862CA" w14:textId="77777777" w:rsidR="00314198" w:rsidRDefault="00314198" w:rsidP="00612325">
                  <w:pPr>
                    <w:rPr>
                      <w:rFonts w:ascii="Arial" w:hAnsi="Arial"/>
                      <w:sz w:val="20"/>
                      <w:szCs w:val="20"/>
                    </w:rPr>
                  </w:pPr>
                </w:p>
                <w:p w14:paraId="2F52D4F3" w14:textId="77777777" w:rsidR="00314198" w:rsidRDefault="00314198" w:rsidP="00612325">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17C03889" w14:textId="77777777" w:rsidR="00314198" w:rsidRDefault="00314198" w:rsidP="00612325">
                  <w:pPr>
                    <w:rPr>
                      <w:rFonts w:ascii="Arial" w:hAnsi="Arial"/>
                      <w:sz w:val="20"/>
                      <w:szCs w:val="20"/>
                    </w:rPr>
                  </w:pPr>
                </w:p>
              </w:tc>
            </w:tr>
            <w:tr w:rsidR="00314198" w14:paraId="5EA2643D" w14:textId="77777777" w:rsidTr="00612325">
              <w:tc>
                <w:tcPr>
                  <w:tcW w:w="6970" w:type="dxa"/>
                </w:tcPr>
                <w:p w14:paraId="3C37492C" w14:textId="77777777" w:rsidR="00314198" w:rsidRDefault="00314198" w:rsidP="00612325">
                  <w:pPr>
                    <w:rPr>
                      <w:rFonts w:ascii="Arial" w:hAnsi="Arial"/>
                      <w:sz w:val="20"/>
                      <w:szCs w:val="20"/>
                    </w:rPr>
                  </w:pPr>
                </w:p>
                <w:p w14:paraId="2FFEEA03" w14:textId="77777777" w:rsidR="00314198" w:rsidRDefault="00314198" w:rsidP="00612325">
                  <w:pPr>
                    <w:rPr>
                      <w:rFonts w:ascii="Arial" w:hAnsi="Arial"/>
                      <w:sz w:val="20"/>
                      <w:szCs w:val="20"/>
                    </w:rPr>
                  </w:pPr>
                  <w:r>
                    <w:rPr>
                      <w:rFonts w:ascii="Arial" w:hAnsi="Arial"/>
                      <w:sz w:val="20"/>
                      <w:szCs w:val="20"/>
                    </w:rPr>
                    <w:t>External Examiner’s mark (if relevant)</w:t>
                  </w:r>
                </w:p>
              </w:tc>
              <w:tc>
                <w:tcPr>
                  <w:tcW w:w="1660" w:type="dxa"/>
                </w:tcPr>
                <w:p w14:paraId="61644470" w14:textId="77777777" w:rsidR="00314198" w:rsidRDefault="00314198" w:rsidP="00612325">
                  <w:pPr>
                    <w:rPr>
                      <w:rFonts w:ascii="Arial" w:hAnsi="Arial"/>
                      <w:sz w:val="20"/>
                      <w:szCs w:val="20"/>
                    </w:rPr>
                  </w:pPr>
                </w:p>
              </w:tc>
            </w:tr>
            <w:tr w:rsidR="00314198" w14:paraId="090D1EDC" w14:textId="77777777" w:rsidTr="00612325">
              <w:tc>
                <w:tcPr>
                  <w:tcW w:w="6970" w:type="dxa"/>
                </w:tcPr>
                <w:p w14:paraId="16EC530D" w14:textId="77777777" w:rsidR="00314198" w:rsidRDefault="00314198" w:rsidP="00612325">
                  <w:pPr>
                    <w:rPr>
                      <w:rFonts w:ascii="Arial" w:hAnsi="Arial"/>
                      <w:sz w:val="20"/>
                      <w:szCs w:val="20"/>
                    </w:rPr>
                  </w:pPr>
                </w:p>
                <w:p w14:paraId="033AD9DE" w14:textId="77777777" w:rsidR="00314198" w:rsidRDefault="00314198" w:rsidP="00612325">
                  <w:r>
                    <w:rPr>
                      <w:rFonts w:ascii="Arial" w:hAnsi="Arial"/>
                      <w:b/>
                      <w:sz w:val="20"/>
                      <w:szCs w:val="20"/>
                    </w:rPr>
                    <w:t>Final Mark</w:t>
                  </w:r>
                </w:p>
                <w:p w14:paraId="03C4B959" w14:textId="77777777" w:rsidR="00314198" w:rsidRDefault="00314198" w:rsidP="00612325">
                  <w:pPr>
                    <w:rPr>
                      <w:rFonts w:ascii="Arial" w:hAnsi="Arial"/>
                      <w:sz w:val="20"/>
                      <w:szCs w:val="20"/>
                    </w:rPr>
                  </w:pPr>
                </w:p>
              </w:tc>
              <w:tc>
                <w:tcPr>
                  <w:tcW w:w="1660" w:type="dxa"/>
                </w:tcPr>
                <w:p w14:paraId="2D073871" w14:textId="77777777" w:rsidR="00314198" w:rsidRDefault="00314198" w:rsidP="00612325">
                  <w:pPr>
                    <w:rPr>
                      <w:rFonts w:ascii="Arial" w:hAnsi="Arial"/>
                      <w:sz w:val="20"/>
                      <w:szCs w:val="20"/>
                    </w:rPr>
                  </w:pPr>
                </w:p>
              </w:tc>
            </w:tr>
          </w:tbl>
          <w:p w14:paraId="5765A404" w14:textId="77777777" w:rsidR="00314198" w:rsidRDefault="00314198" w:rsidP="00612325">
            <w:pPr>
              <w:pStyle w:val="NormalWeb"/>
              <w:ind w:left="142" w:right="34"/>
              <w:rPr>
                <w:rFonts w:ascii="Arial" w:hAnsi="Arial"/>
                <w:b/>
                <w:sz w:val="22"/>
                <w:szCs w:val="22"/>
              </w:rPr>
            </w:pPr>
          </w:p>
          <w:p w14:paraId="71521796" w14:textId="77777777" w:rsidR="00314198" w:rsidRDefault="00314198" w:rsidP="00612325">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755FCDD3" w14:textId="77777777" w:rsidR="00314198" w:rsidRDefault="00314198" w:rsidP="00612325">
            <w:pPr>
              <w:pStyle w:val="NormalWeb"/>
              <w:rPr>
                <w:rFonts w:ascii="Arial" w:hAnsi="Arial"/>
                <w:b/>
                <w:sz w:val="22"/>
                <w:szCs w:val="22"/>
              </w:rPr>
            </w:pPr>
          </w:p>
          <w:p w14:paraId="77680D10" w14:textId="77777777" w:rsidR="00314198" w:rsidRDefault="00314198" w:rsidP="00612325">
            <w:pPr>
              <w:pStyle w:val="NormalWeb"/>
              <w:rPr>
                <w:rFonts w:ascii="Arial" w:hAnsi="Arial"/>
                <w:b/>
                <w:sz w:val="22"/>
                <w:szCs w:val="22"/>
              </w:rPr>
            </w:pPr>
          </w:p>
          <w:p w14:paraId="6DCA10ED" w14:textId="77777777" w:rsidR="00314198" w:rsidRDefault="00314198" w:rsidP="00612325">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7BF84683" w14:textId="77777777" w:rsidR="00314198" w:rsidRDefault="00314198" w:rsidP="00612325">
            <w:pPr>
              <w:pStyle w:val="NormalWeb"/>
              <w:rPr>
                <w:rFonts w:ascii="Arial" w:hAnsi="Arial"/>
                <w:b/>
                <w:sz w:val="22"/>
                <w:szCs w:val="22"/>
              </w:rPr>
            </w:pPr>
          </w:p>
          <w:p w14:paraId="7EB5F783" w14:textId="77777777" w:rsidR="00314198" w:rsidRDefault="00314198" w:rsidP="00612325">
            <w:pPr>
              <w:pStyle w:val="NormalWeb"/>
              <w:rPr>
                <w:rFonts w:ascii="Arial" w:hAnsi="Arial"/>
                <w:b/>
                <w:sz w:val="22"/>
                <w:szCs w:val="22"/>
              </w:rPr>
            </w:pPr>
          </w:p>
          <w:p w14:paraId="25E55A65" w14:textId="77777777" w:rsidR="00314198" w:rsidRDefault="00314198" w:rsidP="00612325">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6AC9ADA1" w14:textId="77777777" w:rsidR="00314198" w:rsidRDefault="00314198" w:rsidP="00612325">
            <w:pPr>
              <w:pStyle w:val="NormalWeb"/>
              <w:rPr>
                <w:rFonts w:ascii="Arial" w:hAnsi="Arial"/>
                <w:sz w:val="22"/>
                <w:szCs w:val="22"/>
              </w:rPr>
            </w:pPr>
            <w:r>
              <w:rPr>
                <w:rFonts w:ascii="Arial" w:hAnsi="Arial"/>
                <w:sz w:val="22"/>
                <w:szCs w:val="22"/>
              </w:rPr>
              <w:t>Comments:</w:t>
            </w:r>
          </w:p>
          <w:p w14:paraId="5616EAA1" w14:textId="77777777" w:rsidR="00314198" w:rsidRDefault="00314198" w:rsidP="00612325">
            <w:pPr>
              <w:pStyle w:val="NormalWeb"/>
            </w:pPr>
          </w:p>
        </w:tc>
      </w:tr>
      <w:tr w:rsidR="00314198" w14:paraId="207BE671" w14:textId="77777777" w:rsidTr="00612325">
        <w:trPr>
          <w:trHeight w:val="492"/>
        </w:trPr>
        <w:tc>
          <w:tcPr>
            <w:tcW w:w="6768" w:type="dxa"/>
            <w:gridSpan w:val="3"/>
          </w:tcPr>
          <w:p w14:paraId="0F01E191" w14:textId="77777777" w:rsidR="00314198" w:rsidRDefault="00314198" w:rsidP="00612325">
            <w:pPr>
              <w:pStyle w:val="NormalWeb"/>
              <w:ind w:left="142" w:right="34"/>
            </w:pPr>
            <w:r>
              <w:rPr>
                <w:rFonts w:ascii="Arial" w:hAnsi="Arial"/>
                <w:sz w:val="22"/>
                <w:szCs w:val="22"/>
              </w:rPr>
              <w:t>Marker’s signature:</w:t>
            </w:r>
          </w:p>
        </w:tc>
        <w:tc>
          <w:tcPr>
            <w:tcW w:w="2088" w:type="dxa"/>
            <w:gridSpan w:val="2"/>
          </w:tcPr>
          <w:p w14:paraId="56373F15" w14:textId="77777777" w:rsidR="00314198" w:rsidRDefault="00314198" w:rsidP="00612325">
            <w:pPr>
              <w:pStyle w:val="NormalWeb"/>
              <w:ind w:left="142" w:right="34"/>
            </w:pPr>
            <w:r>
              <w:rPr>
                <w:rFonts w:ascii="Arial" w:hAnsi="Arial"/>
                <w:sz w:val="22"/>
                <w:szCs w:val="22"/>
              </w:rPr>
              <w:t>Date:</w:t>
            </w:r>
          </w:p>
        </w:tc>
      </w:tr>
      <w:tr w:rsidR="00314198" w14:paraId="4087E661" w14:textId="77777777" w:rsidTr="00612325">
        <w:tc>
          <w:tcPr>
            <w:tcW w:w="8856" w:type="dxa"/>
            <w:gridSpan w:val="5"/>
          </w:tcPr>
          <w:p w14:paraId="4C444069" w14:textId="77777777" w:rsidR="00314198" w:rsidRDefault="00314198" w:rsidP="00612325">
            <w:pPr>
              <w:pStyle w:val="NormalWeb"/>
              <w:ind w:right="-334"/>
              <w:rPr>
                <w:rFonts w:ascii="Arial" w:hAnsi="Arial"/>
                <w:i/>
                <w:sz w:val="22"/>
                <w:szCs w:val="22"/>
              </w:rPr>
            </w:pPr>
          </w:p>
          <w:p w14:paraId="7167E14C" w14:textId="77777777" w:rsidR="00314198" w:rsidRDefault="00314198" w:rsidP="00612325">
            <w:pPr>
              <w:pStyle w:val="NormalWeb"/>
              <w:ind w:right="-334"/>
            </w:pPr>
            <w:r>
              <w:rPr>
                <w:rFonts w:ascii="Arial" w:hAnsi="Arial"/>
                <w:b/>
                <w:sz w:val="22"/>
                <w:szCs w:val="22"/>
              </w:rPr>
              <w:t>For completion by Marker 2/Moderator:</w:t>
            </w:r>
          </w:p>
          <w:p w14:paraId="393B02B1" w14:textId="77777777" w:rsidR="00314198" w:rsidRDefault="00314198" w:rsidP="00612325">
            <w:pPr>
              <w:pStyle w:val="NormalWeb"/>
              <w:ind w:right="-334"/>
              <w:rPr>
                <w:rFonts w:ascii="Arial" w:hAnsi="Arial"/>
                <w:b/>
                <w:sz w:val="22"/>
                <w:szCs w:val="22"/>
              </w:rPr>
            </w:pPr>
          </w:p>
          <w:p w14:paraId="27E3114D" w14:textId="77777777" w:rsidR="00314198" w:rsidRDefault="00314198" w:rsidP="00612325">
            <w:pPr>
              <w:pStyle w:val="NormalWeb"/>
              <w:ind w:right="-334"/>
            </w:pPr>
            <w:r>
              <w:rPr>
                <w:rFonts w:ascii="Arial" w:hAnsi="Arial"/>
                <w:sz w:val="22"/>
                <w:szCs w:val="22"/>
              </w:rPr>
              <w:t>Comments:</w:t>
            </w:r>
          </w:p>
          <w:p w14:paraId="4D1B7803" w14:textId="77777777" w:rsidR="00314198" w:rsidRDefault="00314198" w:rsidP="00612325">
            <w:pPr>
              <w:pStyle w:val="NormalWeb"/>
              <w:ind w:right="-334"/>
              <w:rPr>
                <w:rFonts w:ascii="Arial" w:hAnsi="Arial"/>
                <w:sz w:val="22"/>
                <w:szCs w:val="22"/>
              </w:rPr>
            </w:pPr>
          </w:p>
          <w:p w14:paraId="31D7D80B" w14:textId="77777777" w:rsidR="00314198" w:rsidRDefault="00314198" w:rsidP="00612325">
            <w:pPr>
              <w:pStyle w:val="NormalWeb"/>
              <w:ind w:right="-334"/>
              <w:rPr>
                <w:rFonts w:ascii="Arial" w:hAnsi="Arial"/>
                <w:sz w:val="22"/>
                <w:szCs w:val="22"/>
              </w:rPr>
            </w:pPr>
          </w:p>
        </w:tc>
      </w:tr>
      <w:tr w:rsidR="00314198" w14:paraId="1F61438A" w14:textId="77777777" w:rsidTr="00612325">
        <w:trPr>
          <w:trHeight w:val="720"/>
        </w:trPr>
        <w:tc>
          <w:tcPr>
            <w:tcW w:w="5211" w:type="dxa"/>
            <w:gridSpan w:val="2"/>
          </w:tcPr>
          <w:p w14:paraId="389DDC8C" w14:textId="77777777" w:rsidR="00314198" w:rsidRDefault="00314198" w:rsidP="00612325">
            <w:pPr>
              <w:pStyle w:val="NormalWeb"/>
              <w:ind w:right="-334"/>
            </w:pPr>
            <w:r>
              <w:rPr>
                <w:rFonts w:ascii="Arial" w:hAnsi="Arial"/>
                <w:sz w:val="22"/>
                <w:szCs w:val="22"/>
              </w:rPr>
              <w:t>Marker’s Signature:</w:t>
            </w:r>
          </w:p>
        </w:tc>
        <w:tc>
          <w:tcPr>
            <w:tcW w:w="3645" w:type="dxa"/>
            <w:gridSpan w:val="3"/>
          </w:tcPr>
          <w:p w14:paraId="1B22C160" w14:textId="77777777" w:rsidR="00314198" w:rsidRDefault="00314198" w:rsidP="00612325">
            <w:pPr>
              <w:pStyle w:val="NormalWeb"/>
              <w:ind w:right="-334"/>
            </w:pPr>
            <w:r>
              <w:rPr>
                <w:rFonts w:ascii="Arial" w:hAnsi="Arial"/>
                <w:sz w:val="22"/>
                <w:szCs w:val="22"/>
              </w:rPr>
              <w:t>Date:</w:t>
            </w:r>
          </w:p>
        </w:tc>
      </w:tr>
      <w:tr w:rsidR="00314198" w14:paraId="36C3383B" w14:textId="77777777" w:rsidTr="00612325">
        <w:trPr>
          <w:trHeight w:val="720"/>
        </w:trPr>
        <w:tc>
          <w:tcPr>
            <w:tcW w:w="8856" w:type="dxa"/>
            <w:gridSpan w:val="5"/>
          </w:tcPr>
          <w:p w14:paraId="7168B96E" w14:textId="77777777" w:rsidR="00314198" w:rsidRDefault="00314198" w:rsidP="00612325">
            <w:r>
              <w:rPr>
                <w:rFonts w:ascii="Arial" w:hAnsi="Arial"/>
                <w:b/>
              </w:rPr>
              <w:t>External Examiner’s comments (if relevant)</w:t>
            </w:r>
          </w:p>
          <w:p w14:paraId="599EA8EB" w14:textId="77777777" w:rsidR="00314198" w:rsidRDefault="00314198" w:rsidP="00612325">
            <w:pPr>
              <w:pStyle w:val="NormalWeb"/>
              <w:ind w:right="-334"/>
              <w:rPr>
                <w:rFonts w:ascii="Arial" w:hAnsi="Arial"/>
                <w:sz w:val="22"/>
                <w:szCs w:val="22"/>
              </w:rPr>
            </w:pPr>
          </w:p>
        </w:tc>
      </w:tr>
      <w:tr w:rsidR="00314198" w14:paraId="789A9DAC" w14:textId="77777777" w:rsidTr="00612325">
        <w:trPr>
          <w:trHeight w:val="720"/>
        </w:trPr>
        <w:tc>
          <w:tcPr>
            <w:tcW w:w="5211" w:type="dxa"/>
            <w:gridSpan w:val="2"/>
          </w:tcPr>
          <w:p w14:paraId="7A5108BF" w14:textId="77777777" w:rsidR="00314198" w:rsidRDefault="00314198" w:rsidP="00612325">
            <w:r>
              <w:rPr>
                <w:rFonts w:ascii="Arial" w:hAnsi="Arial"/>
              </w:rPr>
              <w:t>External Examiner’s Signature:</w:t>
            </w:r>
          </w:p>
        </w:tc>
        <w:tc>
          <w:tcPr>
            <w:tcW w:w="3645" w:type="dxa"/>
            <w:gridSpan w:val="3"/>
          </w:tcPr>
          <w:p w14:paraId="11C97503" w14:textId="77777777" w:rsidR="00314198" w:rsidRDefault="00314198" w:rsidP="00612325">
            <w:r>
              <w:rPr>
                <w:rFonts w:ascii="Arial" w:hAnsi="Arial"/>
              </w:rPr>
              <w:t>Date:</w:t>
            </w:r>
          </w:p>
        </w:tc>
      </w:tr>
    </w:tbl>
    <w:p w14:paraId="5E9FC86B" w14:textId="77777777" w:rsidR="00314198" w:rsidRDefault="00314198" w:rsidP="00314198">
      <w:pPr>
        <w:pStyle w:val="NormalWeb"/>
        <w:ind w:right="-334"/>
        <w:rPr>
          <w:rFonts w:ascii="Trebuchet MS" w:hAnsi="Trebuchet MS"/>
          <w:sz w:val="24"/>
          <w:szCs w:val="24"/>
        </w:rPr>
      </w:pPr>
    </w:p>
    <w:p w14:paraId="32D8914E" w14:textId="77777777" w:rsidR="00314198" w:rsidRDefault="00314198" w:rsidP="00314198">
      <w:pPr>
        <w:pStyle w:val="Title"/>
        <w:spacing w:line="360" w:lineRule="auto"/>
        <w:jc w:val="center"/>
      </w:pPr>
    </w:p>
    <w:p w14:paraId="394B2E69" w14:textId="77777777" w:rsidR="00314198" w:rsidRPr="00A1012F" w:rsidRDefault="00314198" w:rsidP="00314198"/>
    <w:p w14:paraId="14403A27" w14:textId="77777777" w:rsidR="00314198" w:rsidRDefault="00314198" w:rsidP="00314198">
      <w:pPr>
        <w:pStyle w:val="Title"/>
        <w:spacing w:line="360" w:lineRule="auto"/>
        <w:jc w:val="center"/>
      </w:pPr>
      <w:r>
        <w:lastRenderedPageBreak/>
        <w:t xml:space="preserve">ASSIGNMENT 2: </w:t>
      </w:r>
    </w:p>
    <w:p w14:paraId="679CF249" w14:textId="43C4DF5F" w:rsidR="00314198" w:rsidRDefault="00314198" w:rsidP="00314198">
      <w:pPr>
        <w:jc w:val="center"/>
      </w:pPr>
      <w:r w:rsidRPr="00397C41">
        <w:rPr>
          <w:sz w:val="48"/>
          <w:szCs w:val="48"/>
        </w:rPr>
        <w:t>A Critical Examination of the Sky in Relation to Material Culture – A Measurement Based on a Physical Site</w:t>
      </w:r>
    </w:p>
    <w:p w14:paraId="16514F33" w14:textId="57DD80A4" w:rsidR="00297498" w:rsidRDefault="00297498" w:rsidP="00297498">
      <w:pPr>
        <w:jc w:val="right"/>
      </w:pPr>
      <w:r>
        <w:t>Word Count 4</w:t>
      </w:r>
      <w:r w:rsidR="00B6075E">
        <w:t>860</w:t>
      </w:r>
    </w:p>
    <w:p w14:paraId="01C4635E" w14:textId="77777777" w:rsidR="00314198" w:rsidRDefault="00314198" w:rsidP="00297498">
      <w:pPr>
        <w:pStyle w:val="Heading1"/>
        <w:spacing w:line="360" w:lineRule="auto"/>
        <w:rPr>
          <w:b/>
          <w:bCs/>
          <w:color w:val="auto"/>
        </w:rPr>
      </w:pPr>
    </w:p>
    <w:p w14:paraId="225FEE35" w14:textId="25351DC9" w:rsidR="00297498" w:rsidRPr="00297498" w:rsidRDefault="00297498" w:rsidP="00297498">
      <w:pPr>
        <w:pStyle w:val="Heading1"/>
        <w:spacing w:line="360" w:lineRule="auto"/>
        <w:rPr>
          <w:b/>
          <w:bCs/>
          <w:color w:val="auto"/>
        </w:rPr>
      </w:pPr>
      <w:r w:rsidRPr="00297498">
        <w:rPr>
          <w:b/>
          <w:bCs/>
          <w:color w:val="auto"/>
        </w:rPr>
        <w:t xml:space="preserve">Introduction </w:t>
      </w:r>
    </w:p>
    <w:p w14:paraId="55422B96" w14:textId="77D56D14" w:rsidR="00297498" w:rsidRDefault="00297498" w:rsidP="00297498">
      <w:pPr>
        <w:spacing w:line="360" w:lineRule="auto"/>
      </w:pPr>
      <w:r w:rsidRPr="00297498">
        <w:rPr>
          <w:sz w:val="24"/>
          <w:szCs w:val="24"/>
        </w:rPr>
        <w:t>Churches in England are often assumed to have been constructed along specific alignments.</w:t>
      </w:r>
      <w:r w:rsidRPr="00297498">
        <w:rPr>
          <w:rStyle w:val="FootnoteReference"/>
          <w:sz w:val="24"/>
          <w:szCs w:val="24"/>
        </w:rPr>
        <w:footnoteReference w:id="1"/>
      </w:r>
      <w:r w:rsidRPr="00297498">
        <w:rPr>
          <w:sz w:val="24"/>
          <w:szCs w:val="24"/>
        </w:rPr>
        <w:t xml:space="preserve"> Monastic life in medieval times revolved around daily ritual and the holy days of the liturgical calendar and a deep understanding of astronomical cycles ensured religious observances were practised at the correct time.</w:t>
      </w:r>
      <w:r w:rsidRPr="00297498">
        <w:rPr>
          <w:rStyle w:val="FootnoteReference"/>
          <w:sz w:val="24"/>
          <w:szCs w:val="24"/>
        </w:rPr>
        <w:footnoteReference w:id="2"/>
      </w:r>
      <w:r w:rsidRPr="00297498">
        <w:rPr>
          <w:sz w:val="24"/>
          <w:szCs w:val="24"/>
        </w:rPr>
        <w:t xml:space="preserve"> Researchers have questioned whether ecclesiastical structures were built in ways that physically embodied their astronomical knowledge</w:t>
      </w:r>
      <w:r w:rsidR="003A7DD4">
        <w:rPr>
          <w:sz w:val="24"/>
          <w:szCs w:val="24"/>
        </w:rPr>
        <w:t xml:space="preserve"> and beliefs</w:t>
      </w:r>
      <w:r w:rsidRPr="00297498">
        <w:rPr>
          <w:sz w:val="24"/>
          <w:szCs w:val="24"/>
        </w:rPr>
        <w:t>. From a rocky hilltop above Morecambe Bay, St Patrick’s Chapel in Heysham has been looking out towards the distant horizon for over a thousand years. By taking the eye upward from the land and the sea, to embrace, also, a study of ‘the heavens and the celestial bodies’, Silva suggested it is possible to gain a deeper understanding of the role that the sky played in the lives of those who walked the land before us.</w:t>
      </w:r>
      <w:r w:rsidRPr="00297498">
        <w:rPr>
          <w:rStyle w:val="FootnoteReference"/>
          <w:sz w:val="24"/>
          <w:szCs w:val="24"/>
        </w:rPr>
        <w:footnoteReference w:id="3"/>
      </w:r>
      <w:r w:rsidRPr="00297498">
        <w:rPr>
          <w:sz w:val="24"/>
          <w:szCs w:val="24"/>
        </w:rPr>
        <w:t xml:space="preserve"> This essay describes fieldwork undertaken at St Patrick’s Chapel in Heysham and explores whether the orientation of the building suggests any intentional celestial alignment. This study questions whether the chapel was orientated towards sunrise on the equinox (Hinton, 2010; Caval, 2018), or orientation towards sunset </w:t>
      </w:r>
      <w:r w:rsidRPr="00297498">
        <w:rPr>
          <w:sz w:val="28"/>
          <w:szCs w:val="28"/>
        </w:rPr>
        <w:t>(</w:t>
      </w:r>
      <w:r w:rsidRPr="00297498">
        <w:rPr>
          <w:rFonts w:cstheme="minorHAnsi"/>
          <w:sz w:val="24"/>
          <w:szCs w:val="24"/>
        </w:rPr>
        <w:t xml:space="preserve">Brady, Gunzburg and Silva, 2021) and whether it aligns to any </w:t>
      </w:r>
      <w:r w:rsidRPr="00297498">
        <w:rPr>
          <w:sz w:val="24"/>
          <w:szCs w:val="24"/>
        </w:rPr>
        <w:t>liturgically significant day</w:t>
      </w:r>
      <w:r w:rsidRPr="00D1134E">
        <w:t>.</w:t>
      </w:r>
    </w:p>
    <w:p w14:paraId="26FA449F" w14:textId="77777777" w:rsidR="00297498" w:rsidRDefault="00297498" w:rsidP="00297498">
      <w:pPr>
        <w:spacing w:line="360" w:lineRule="auto"/>
      </w:pPr>
    </w:p>
    <w:p w14:paraId="668F0C81" w14:textId="77777777" w:rsidR="00297498" w:rsidRPr="00297498" w:rsidRDefault="00297498" w:rsidP="00297498">
      <w:pPr>
        <w:pStyle w:val="Heading1"/>
        <w:spacing w:line="360" w:lineRule="auto"/>
        <w:rPr>
          <w:b/>
          <w:bCs/>
          <w:color w:val="auto"/>
        </w:rPr>
      </w:pPr>
      <w:r w:rsidRPr="00297498">
        <w:rPr>
          <w:b/>
          <w:bCs/>
          <w:color w:val="auto"/>
        </w:rPr>
        <w:t xml:space="preserve">Literature Review </w:t>
      </w:r>
    </w:p>
    <w:p w14:paraId="18DFAA1A" w14:textId="4713F089" w:rsidR="00297498" w:rsidRPr="00297498" w:rsidRDefault="00297498" w:rsidP="00297498">
      <w:pPr>
        <w:spacing w:line="360" w:lineRule="auto"/>
        <w:rPr>
          <w:sz w:val="24"/>
          <w:szCs w:val="24"/>
          <w:lang w:val="en-US"/>
        </w:rPr>
      </w:pPr>
      <w:r w:rsidRPr="00297498">
        <w:rPr>
          <w:sz w:val="24"/>
          <w:szCs w:val="24"/>
          <w:lang w:val="en-US"/>
        </w:rPr>
        <w:t>Silva wrote that,</w:t>
      </w:r>
      <w:r w:rsidRPr="00297498">
        <w:rPr>
          <w:sz w:val="24"/>
          <w:szCs w:val="24"/>
        </w:rPr>
        <w:t xml:space="preserve"> ‘the sky was an important resource and an equally significant component of their world-views and social lives’ for past societies.</w:t>
      </w:r>
      <w:r w:rsidRPr="00297498">
        <w:rPr>
          <w:rStyle w:val="FootnoteReference"/>
          <w:sz w:val="24"/>
          <w:szCs w:val="24"/>
          <w:lang w:val="en-US"/>
        </w:rPr>
        <w:footnoteReference w:id="4"/>
      </w:r>
      <w:r w:rsidRPr="00297498">
        <w:rPr>
          <w:sz w:val="24"/>
          <w:szCs w:val="24"/>
        </w:rPr>
        <w:t xml:space="preserve"> Defining archaeoastronomy as ‘the study of how people have understood, conceptualized and used the phenomena in the sky and what role the sky played in their cultures, by analysing their material remains,’</w:t>
      </w:r>
      <w:r w:rsidRPr="00297498">
        <w:rPr>
          <w:rStyle w:val="FootnoteReference"/>
          <w:sz w:val="24"/>
          <w:szCs w:val="24"/>
        </w:rPr>
        <w:footnoteReference w:id="5"/>
      </w:r>
      <w:r w:rsidRPr="00297498">
        <w:rPr>
          <w:sz w:val="24"/>
          <w:szCs w:val="24"/>
        </w:rPr>
        <w:t xml:space="preserve"> he suggests it offers insights into the way people embraced the sky in their beliefs and daily lives.</w:t>
      </w:r>
      <w:r w:rsidRPr="00297498">
        <w:rPr>
          <w:rStyle w:val="FootnoteReference"/>
          <w:sz w:val="24"/>
          <w:szCs w:val="24"/>
        </w:rPr>
        <w:footnoteReference w:id="6"/>
      </w:r>
      <w:r w:rsidRPr="00297498">
        <w:rPr>
          <w:sz w:val="24"/>
          <w:szCs w:val="24"/>
        </w:rPr>
        <w:t xml:space="preserve"> McCluskey (2015) noted that </w:t>
      </w:r>
      <w:r w:rsidRPr="00297498">
        <w:rPr>
          <w:sz w:val="24"/>
          <w:szCs w:val="24"/>
          <w:lang w:val="en-US"/>
        </w:rPr>
        <w:t>medieval monastic life depended on knowledge of the movement of the sky’s objects in order to identify the precise times for prayer and ritual. Medieval monastics may also have created physical manifestations of that relationship with the heavens as medieval churches appear to have been constructed along specific axial alignments</w:t>
      </w:r>
      <w:r w:rsidRPr="00297498">
        <w:rPr>
          <w:sz w:val="24"/>
          <w:szCs w:val="24"/>
        </w:rPr>
        <w:t xml:space="preserve"> (Hoare and Sweet, 2000; Hinton, 2010; McCluskey, 2015; Caval, 2018; Moskvina, 2020), suggesting that monastic life was embracing the sky in significant ways, as Silva suggested.</w:t>
      </w:r>
    </w:p>
    <w:p w14:paraId="578D56E0" w14:textId="77777777" w:rsidR="00297498" w:rsidRPr="00297498" w:rsidRDefault="00297498" w:rsidP="00297498">
      <w:pPr>
        <w:spacing w:line="360" w:lineRule="auto"/>
        <w:rPr>
          <w:sz w:val="24"/>
          <w:szCs w:val="24"/>
          <w:lang w:val="en-US"/>
        </w:rPr>
      </w:pPr>
    </w:p>
    <w:p w14:paraId="644AA863" w14:textId="69E25487" w:rsidR="00297498" w:rsidRPr="00297498" w:rsidRDefault="00297498" w:rsidP="00297498">
      <w:pPr>
        <w:spacing w:line="360" w:lineRule="auto"/>
        <w:rPr>
          <w:sz w:val="24"/>
          <w:szCs w:val="24"/>
          <w:lang w:val="en-US"/>
        </w:rPr>
      </w:pPr>
      <w:r w:rsidRPr="00297498">
        <w:rPr>
          <w:sz w:val="24"/>
          <w:szCs w:val="24"/>
          <w:lang w:val="en-US"/>
        </w:rPr>
        <w:t xml:space="preserve">Medieval </w:t>
      </w:r>
      <w:r w:rsidRPr="00297498">
        <w:rPr>
          <w:sz w:val="24"/>
          <w:szCs w:val="24"/>
        </w:rPr>
        <w:t xml:space="preserve">churches are believed to orientate east. Various studies have sought to verify this assumption </w:t>
      </w:r>
      <w:bookmarkStart w:id="1" w:name="_Hlk133658164"/>
      <w:r w:rsidRPr="00297498">
        <w:rPr>
          <w:sz w:val="24"/>
          <w:szCs w:val="24"/>
        </w:rPr>
        <w:t>(</w:t>
      </w:r>
      <w:r w:rsidR="003A7DD4">
        <w:rPr>
          <w:sz w:val="24"/>
          <w:szCs w:val="24"/>
        </w:rPr>
        <w:t xml:space="preserve">e.g., </w:t>
      </w:r>
      <w:r w:rsidRPr="00297498">
        <w:rPr>
          <w:sz w:val="24"/>
          <w:szCs w:val="24"/>
        </w:rPr>
        <w:t xml:space="preserve">Hinton, 2010; Caval, 2018). </w:t>
      </w:r>
      <w:bookmarkEnd w:id="1"/>
      <w:r w:rsidRPr="00297498">
        <w:rPr>
          <w:sz w:val="24"/>
          <w:szCs w:val="24"/>
        </w:rPr>
        <w:t>The tradition of orientating sacred buildings towards the east in Europe can be traced back to ancient times,</w:t>
      </w:r>
      <w:r w:rsidRPr="00297498">
        <w:rPr>
          <w:rStyle w:val="FootnoteReference"/>
          <w:sz w:val="24"/>
          <w:szCs w:val="24"/>
        </w:rPr>
        <w:footnoteReference w:id="7"/>
      </w:r>
      <w:r w:rsidRPr="00297498">
        <w:rPr>
          <w:sz w:val="24"/>
          <w:szCs w:val="24"/>
        </w:rPr>
        <w:t xml:space="preserve"> and in AD 325 the Ecumenical Council of Nicaea formalised the practice within Christianity by decreeing that churches should face east.</w:t>
      </w:r>
      <w:r w:rsidRPr="00297498">
        <w:rPr>
          <w:rStyle w:val="FootnoteReference"/>
          <w:sz w:val="24"/>
          <w:szCs w:val="24"/>
        </w:rPr>
        <w:footnoteReference w:id="8"/>
      </w:r>
      <w:r w:rsidRPr="00297498">
        <w:rPr>
          <w:sz w:val="24"/>
          <w:szCs w:val="24"/>
        </w:rPr>
        <w:t xml:space="preserve"> In his work </w:t>
      </w:r>
      <w:r w:rsidRPr="00297498">
        <w:rPr>
          <w:i/>
          <w:iCs/>
          <w:sz w:val="24"/>
          <w:szCs w:val="24"/>
        </w:rPr>
        <w:t>Etymologiae</w:t>
      </w:r>
      <w:r w:rsidRPr="00297498">
        <w:rPr>
          <w:sz w:val="24"/>
          <w:szCs w:val="24"/>
        </w:rPr>
        <w:t>, Isidore of Seville, AD 560 -636, suggested that altars be positioned towards the east and entrances be placed in the west in churches.</w:t>
      </w:r>
      <w:r w:rsidRPr="00297498">
        <w:rPr>
          <w:rStyle w:val="FootnoteReference"/>
          <w:sz w:val="24"/>
          <w:szCs w:val="24"/>
        </w:rPr>
        <w:footnoteReference w:id="9"/>
      </w:r>
      <w:r w:rsidRPr="00297498">
        <w:rPr>
          <w:sz w:val="24"/>
          <w:szCs w:val="24"/>
        </w:rPr>
        <w:t xml:space="preserve"> Isidore was writing shortly before the construction of St Patrick’s Chapel</w:t>
      </w:r>
      <w:r w:rsidRPr="00297498">
        <w:rPr>
          <w:rStyle w:val="FootnoteReference"/>
          <w:sz w:val="24"/>
          <w:szCs w:val="24"/>
        </w:rPr>
        <w:footnoteReference w:id="10"/>
      </w:r>
      <w:r w:rsidRPr="00297498">
        <w:rPr>
          <w:sz w:val="24"/>
          <w:szCs w:val="24"/>
        </w:rPr>
        <w:t xml:space="preserve">, so it </w:t>
      </w:r>
      <w:r w:rsidRPr="00297498">
        <w:rPr>
          <w:sz w:val="24"/>
          <w:szCs w:val="24"/>
        </w:rPr>
        <w:lastRenderedPageBreak/>
        <w:t xml:space="preserve">raises questions about whether the builders of St Patrick’s Chapel orientated the building according to Isidore’s suggestions. </w:t>
      </w:r>
    </w:p>
    <w:p w14:paraId="1F2AD614" w14:textId="77777777" w:rsidR="00297498" w:rsidRPr="00297498" w:rsidRDefault="00297498" w:rsidP="00297498">
      <w:pPr>
        <w:spacing w:line="360" w:lineRule="auto"/>
        <w:rPr>
          <w:sz w:val="24"/>
          <w:szCs w:val="24"/>
        </w:rPr>
      </w:pPr>
    </w:p>
    <w:p w14:paraId="49637743" w14:textId="36819CEE" w:rsidR="00297498" w:rsidRPr="00297498" w:rsidRDefault="00297498" w:rsidP="00297498">
      <w:pPr>
        <w:spacing w:line="360" w:lineRule="auto"/>
        <w:rPr>
          <w:color w:val="FF0000"/>
          <w:sz w:val="24"/>
          <w:szCs w:val="24"/>
        </w:rPr>
      </w:pPr>
      <w:r w:rsidRPr="00297498">
        <w:rPr>
          <w:sz w:val="24"/>
          <w:szCs w:val="24"/>
        </w:rPr>
        <w:t xml:space="preserve">While much research has focused on churches’ alignment with sunrise, Brady, </w:t>
      </w:r>
      <w:proofErr w:type="gramStart"/>
      <w:r w:rsidRPr="00297498">
        <w:rPr>
          <w:sz w:val="24"/>
          <w:szCs w:val="24"/>
        </w:rPr>
        <w:t>Gunzburg</w:t>
      </w:r>
      <w:proofErr w:type="gramEnd"/>
      <w:r w:rsidRPr="00297498">
        <w:rPr>
          <w:sz w:val="24"/>
          <w:szCs w:val="24"/>
        </w:rPr>
        <w:t xml:space="preserve"> and Silva’s research into Cistercian abbeys found possible significant alignments with sunset.</w:t>
      </w:r>
      <w:r w:rsidRPr="00297498">
        <w:rPr>
          <w:rStyle w:val="FootnoteReference"/>
          <w:sz w:val="24"/>
          <w:szCs w:val="24"/>
        </w:rPr>
        <w:footnoteReference w:id="11"/>
      </w:r>
      <w:r w:rsidRPr="00297498">
        <w:rPr>
          <w:sz w:val="24"/>
          <w:szCs w:val="24"/>
        </w:rPr>
        <w:t xml:space="preserve"> In particular, they identified notable numbers of the abbeys appeared to align with Michaelmas</w:t>
      </w:r>
      <w:r w:rsidR="00BB3375">
        <w:rPr>
          <w:sz w:val="24"/>
          <w:szCs w:val="24"/>
        </w:rPr>
        <w:t xml:space="preserve"> and/or the equinox</w:t>
      </w:r>
      <w:r w:rsidRPr="00297498">
        <w:rPr>
          <w:sz w:val="24"/>
          <w:szCs w:val="24"/>
        </w:rPr>
        <w:t xml:space="preserve"> on their western entrance.</w:t>
      </w:r>
      <w:r w:rsidRPr="00297498">
        <w:rPr>
          <w:rStyle w:val="FootnoteReference"/>
          <w:sz w:val="24"/>
          <w:szCs w:val="24"/>
        </w:rPr>
        <w:footnoteReference w:id="12"/>
      </w:r>
      <w:r w:rsidRPr="00297498">
        <w:rPr>
          <w:sz w:val="24"/>
          <w:szCs w:val="24"/>
        </w:rPr>
        <w:t xml:space="preserve"> Their findings were echoed by Caval’s study of medieval churches in Slovenia. Caval investigated alignments with calendar and natural festivals and found a number of churches combined alignment towards both the liturgical calendar in its east-facing orientation and the natural, celestial cycles of the equinox on the west-facing orientation.</w:t>
      </w:r>
      <w:r w:rsidRPr="00297498">
        <w:rPr>
          <w:rStyle w:val="FootnoteReference"/>
          <w:sz w:val="24"/>
          <w:szCs w:val="24"/>
        </w:rPr>
        <w:footnoteReference w:id="13"/>
      </w:r>
      <w:r w:rsidRPr="00297498">
        <w:rPr>
          <w:sz w:val="24"/>
          <w:szCs w:val="24"/>
        </w:rPr>
        <w:t xml:space="preserve"> As Caval noted, ‘These churches exemplify eternal calendars, i.e. astronomical cycles in real time as well as official time reckoning, i.e. Julian calendar.’</w:t>
      </w:r>
      <w:r w:rsidRPr="00297498">
        <w:rPr>
          <w:rStyle w:val="FootnoteReference"/>
          <w:sz w:val="24"/>
          <w:szCs w:val="24"/>
        </w:rPr>
        <w:footnoteReference w:id="14"/>
      </w:r>
      <w:r w:rsidRPr="00297498">
        <w:rPr>
          <w:sz w:val="24"/>
          <w:szCs w:val="24"/>
        </w:rPr>
        <w:t xml:space="preserve"> The suggestion of west-facing orientations may be relevant to St Patrick’s Chapel as it overlooks the western coastline, hinting that the western-facing end of the church might have a significant alignment. </w:t>
      </w:r>
    </w:p>
    <w:p w14:paraId="07E30F73" w14:textId="77777777" w:rsidR="00297498" w:rsidRPr="00297498" w:rsidRDefault="00297498" w:rsidP="00297498">
      <w:pPr>
        <w:spacing w:line="360" w:lineRule="auto"/>
        <w:rPr>
          <w:sz w:val="24"/>
          <w:szCs w:val="24"/>
        </w:rPr>
      </w:pPr>
    </w:p>
    <w:p w14:paraId="2CD4548B" w14:textId="77777777" w:rsidR="00297498" w:rsidRPr="00297498" w:rsidRDefault="00297498" w:rsidP="00297498">
      <w:pPr>
        <w:spacing w:line="360" w:lineRule="auto"/>
        <w:rPr>
          <w:sz w:val="24"/>
          <w:szCs w:val="24"/>
        </w:rPr>
      </w:pPr>
      <w:r w:rsidRPr="00297498">
        <w:rPr>
          <w:sz w:val="24"/>
          <w:szCs w:val="24"/>
        </w:rPr>
        <w:t>Other studies, such as Hinton (2006), have explored the significance of patronal saints in the sunrise orientation of churches. However, McCluskey largely dismissed the idea that medieval builders oriented their church towards the sunrise on the day of their patronal saints because he believes that (</w:t>
      </w:r>
      <w:proofErr w:type="spellStart"/>
      <w:r w:rsidRPr="00297498">
        <w:rPr>
          <w:sz w:val="24"/>
          <w:szCs w:val="24"/>
        </w:rPr>
        <w:t>i</w:t>
      </w:r>
      <w:proofErr w:type="spellEnd"/>
      <w:r w:rsidRPr="00297498">
        <w:rPr>
          <w:sz w:val="24"/>
          <w:szCs w:val="24"/>
        </w:rPr>
        <w:t>) medieval texts do not mention such alignments and (ii) the evidence of measurements in surviving medieval churches would show a very wide range of orientations reflecting the diversity of patron saints.</w:t>
      </w:r>
      <w:r w:rsidRPr="00297498">
        <w:rPr>
          <w:rStyle w:val="FootnoteReference"/>
          <w:sz w:val="24"/>
          <w:szCs w:val="24"/>
        </w:rPr>
        <w:footnoteReference w:id="15"/>
      </w:r>
      <w:r w:rsidRPr="00297498">
        <w:rPr>
          <w:sz w:val="24"/>
          <w:szCs w:val="24"/>
        </w:rPr>
        <w:t xml:space="preserve"> Nevertheless, despite his </w:t>
      </w:r>
      <w:r w:rsidRPr="00297498">
        <w:rPr>
          <w:sz w:val="24"/>
          <w:szCs w:val="24"/>
        </w:rPr>
        <w:lastRenderedPageBreak/>
        <w:t>reservations, McCluskey’s own data found that churches dedicated to All Saints were prominent in his findings and appeared to be linked to equinoctial orientation – a link he believed might be associated with the theme of universality, i.e. the universality of the concept of al All Saints dedication and the universality of the vernal equinox.</w:t>
      </w:r>
      <w:r w:rsidRPr="00297498">
        <w:rPr>
          <w:rStyle w:val="FootnoteReference"/>
          <w:sz w:val="24"/>
          <w:szCs w:val="24"/>
        </w:rPr>
        <w:footnoteReference w:id="16"/>
      </w:r>
      <w:r w:rsidRPr="00297498">
        <w:rPr>
          <w:sz w:val="24"/>
          <w:szCs w:val="24"/>
        </w:rPr>
        <w:t xml:space="preserve"> </w:t>
      </w:r>
    </w:p>
    <w:p w14:paraId="68BC20F3" w14:textId="77777777" w:rsidR="00297498" w:rsidRPr="00297498" w:rsidRDefault="00297498" w:rsidP="00297498">
      <w:pPr>
        <w:spacing w:line="360" w:lineRule="auto"/>
        <w:rPr>
          <w:sz w:val="24"/>
          <w:szCs w:val="24"/>
        </w:rPr>
      </w:pPr>
    </w:p>
    <w:p w14:paraId="1448FCEC" w14:textId="77777777" w:rsidR="00297498" w:rsidRPr="00297498" w:rsidRDefault="00297498" w:rsidP="00297498">
      <w:pPr>
        <w:spacing w:line="360" w:lineRule="auto"/>
        <w:rPr>
          <w:sz w:val="24"/>
          <w:szCs w:val="24"/>
        </w:rPr>
      </w:pPr>
      <w:r w:rsidRPr="00297498">
        <w:rPr>
          <w:sz w:val="24"/>
          <w:szCs w:val="24"/>
        </w:rPr>
        <w:t>Noting the challenges of investigating potential alignments of material remains, Ruggles advised caution when assigning meaning to astronomical data gathered at very old sites because a lack of empirically-sound records from that period or location can mean it is not possible to fully understand the significance of the information collected.</w:t>
      </w:r>
      <w:r w:rsidRPr="00297498">
        <w:rPr>
          <w:rStyle w:val="FootnoteReference"/>
          <w:sz w:val="24"/>
          <w:szCs w:val="24"/>
        </w:rPr>
        <w:footnoteReference w:id="17"/>
      </w:r>
      <w:r w:rsidRPr="00297498">
        <w:rPr>
          <w:sz w:val="24"/>
          <w:szCs w:val="24"/>
        </w:rPr>
        <w:t xml:space="preserve"> This may be true of St Patrick’s Chapel as records of early medieval culture in the area are sparse and even the building itself cannot be accurately dated (see Background below). The orientation of St Patrick’s Chapel has been surveyed previously. Moskvina survey revealed the chapel appears to have axial alignment but may not follow common Anglo-Saxon axial alignment patterns and may be more significantly aligned with the site’s rock-cut graves.</w:t>
      </w:r>
      <w:r w:rsidRPr="00297498">
        <w:rPr>
          <w:rStyle w:val="FootnoteReference"/>
          <w:sz w:val="24"/>
          <w:szCs w:val="24"/>
        </w:rPr>
        <w:footnoteReference w:id="18"/>
      </w:r>
      <w:r w:rsidRPr="00297498">
        <w:rPr>
          <w:sz w:val="24"/>
          <w:szCs w:val="24"/>
        </w:rPr>
        <w:t xml:space="preserve"> </w:t>
      </w:r>
    </w:p>
    <w:p w14:paraId="4F1B99C3" w14:textId="77777777" w:rsidR="00297498" w:rsidRPr="00297498" w:rsidRDefault="00297498" w:rsidP="00297498">
      <w:pPr>
        <w:spacing w:line="360" w:lineRule="auto"/>
        <w:rPr>
          <w:sz w:val="24"/>
          <w:szCs w:val="24"/>
        </w:rPr>
      </w:pPr>
    </w:p>
    <w:p w14:paraId="70E6B83C" w14:textId="77777777" w:rsidR="00297498" w:rsidRPr="00297498" w:rsidRDefault="00297498" w:rsidP="00297498">
      <w:pPr>
        <w:spacing w:line="360" w:lineRule="auto"/>
        <w:rPr>
          <w:sz w:val="24"/>
          <w:szCs w:val="24"/>
        </w:rPr>
      </w:pPr>
      <w:r w:rsidRPr="00297498">
        <w:rPr>
          <w:sz w:val="24"/>
          <w:szCs w:val="24"/>
        </w:rPr>
        <w:t xml:space="preserve">This study will seek to establish whether the chapel was constructed according to Isidore’s decree with the altar facing east and the entrance to the west, and whether the westward orientation appears to have been significant (Brady, </w:t>
      </w:r>
      <w:proofErr w:type="gramStart"/>
      <w:r w:rsidRPr="00297498">
        <w:rPr>
          <w:sz w:val="24"/>
          <w:szCs w:val="24"/>
        </w:rPr>
        <w:t>Gunzburg</w:t>
      </w:r>
      <w:proofErr w:type="gramEnd"/>
      <w:r w:rsidRPr="00297498">
        <w:rPr>
          <w:sz w:val="24"/>
          <w:szCs w:val="24"/>
        </w:rPr>
        <w:t xml:space="preserve"> and Silva, 2021). While seeking to avoid making assumptions about structural alignments that may emerge and recognising such alignments may have been unintentional (Ruggles, 2015), this study will also measure the orientations of the chapel with the rock-cut graves (Moskvina, 2020). The next section examines the history of St Patrick’s Chapel.</w:t>
      </w:r>
    </w:p>
    <w:p w14:paraId="78551466" w14:textId="77777777" w:rsidR="00297498" w:rsidRPr="00297498" w:rsidRDefault="00297498" w:rsidP="00297498">
      <w:pPr>
        <w:pStyle w:val="Heading1"/>
        <w:spacing w:line="360" w:lineRule="auto"/>
        <w:rPr>
          <w:b/>
          <w:bCs/>
          <w:color w:val="auto"/>
        </w:rPr>
      </w:pPr>
      <w:r w:rsidRPr="00297498">
        <w:rPr>
          <w:b/>
          <w:bCs/>
          <w:color w:val="auto"/>
        </w:rPr>
        <w:lastRenderedPageBreak/>
        <w:t>Background</w:t>
      </w:r>
    </w:p>
    <w:p w14:paraId="72FC8EAE" w14:textId="77777777" w:rsidR="00297498" w:rsidRPr="00297498" w:rsidRDefault="00297498" w:rsidP="00297498">
      <w:pPr>
        <w:pStyle w:val="Heading2"/>
        <w:spacing w:line="360" w:lineRule="auto"/>
        <w:rPr>
          <w:b/>
          <w:bCs/>
          <w:color w:val="auto"/>
        </w:rPr>
      </w:pPr>
      <w:r w:rsidRPr="00297498">
        <w:rPr>
          <w:b/>
          <w:bCs/>
          <w:color w:val="auto"/>
        </w:rPr>
        <w:t>Location</w:t>
      </w:r>
    </w:p>
    <w:p w14:paraId="5DFA8C57" w14:textId="77777777" w:rsidR="00297498" w:rsidRPr="00297498" w:rsidRDefault="00297498" w:rsidP="00297498">
      <w:pPr>
        <w:spacing w:line="360" w:lineRule="auto"/>
        <w:rPr>
          <w:sz w:val="24"/>
          <w:szCs w:val="24"/>
        </w:rPr>
      </w:pPr>
      <w:r w:rsidRPr="00297498">
        <w:rPr>
          <w:sz w:val="24"/>
          <w:szCs w:val="24"/>
        </w:rPr>
        <w:t>St Patrick’s Chapel sits on the Heysham rocks overlooking the mouth of Morecambe Bay on the north Lancashire coast. Morecambe lies north of Heysham, beyond which, the eye is drawn to the rounded hills of Furness and, behind them, to the rugged fells of the Lake District.</w:t>
      </w:r>
      <w:r w:rsidRPr="00297498">
        <w:rPr>
          <w:color w:val="FF0000"/>
          <w:sz w:val="24"/>
          <w:szCs w:val="24"/>
        </w:rPr>
        <w:t xml:space="preserve"> </w:t>
      </w:r>
    </w:p>
    <w:p w14:paraId="130A5B44" w14:textId="77777777" w:rsidR="00314198" w:rsidRDefault="00314198" w:rsidP="00297498">
      <w:pPr>
        <w:pStyle w:val="Heading2"/>
        <w:spacing w:line="360" w:lineRule="auto"/>
        <w:rPr>
          <w:b/>
          <w:bCs/>
          <w:color w:val="auto"/>
        </w:rPr>
      </w:pPr>
    </w:p>
    <w:p w14:paraId="04173566" w14:textId="653DE86C" w:rsidR="00297498" w:rsidRPr="00297498" w:rsidRDefault="00297498" w:rsidP="00297498">
      <w:pPr>
        <w:pStyle w:val="Heading2"/>
        <w:spacing w:line="360" w:lineRule="auto"/>
        <w:rPr>
          <w:b/>
          <w:bCs/>
          <w:color w:val="auto"/>
        </w:rPr>
      </w:pPr>
      <w:r w:rsidRPr="00297498">
        <w:rPr>
          <w:b/>
          <w:bCs/>
          <w:color w:val="auto"/>
        </w:rPr>
        <w:t>Site</w:t>
      </w:r>
    </w:p>
    <w:p w14:paraId="0968360B" w14:textId="77777777" w:rsidR="00297498" w:rsidRPr="00297498" w:rsidRDefault="00297498" w:rsidP="00297498">
      <w:pPr>
        <w:spacing w:line="360" w:lineRule="auto"/>
        <w:rPr>
          <w:sz w:val="24"/>
          <w:szCs w:val="24"/>
        </w:rPr>
      </w:pPr>
      <w:r w:rsidRPr="00297498">
        <w:rPr>
          <w:sz w:val="24"/>
          <w:szCs w:val="24"/>
        </w:rPr>
        <w:t xml:space="preserve">The site comprises two church buildings – the ruins of St Patrick’s Chapel on the rocks above the sea and, nestled into a wooded hollow below the chapel, St Peter’s Church.  Only three walls remain of the chapel, the sea-facing side now being completely open to the elements. The Chapel has no windows, but it does have an arched doorway on the south-facing wall. Nearby lie six rock-hewn graves and accompanying post holes. Two more rock-cut graves lie further off. </w:t>
      </w:r>
    </w:p>
    <w:p w14:paraId="7DEDE902" w14:textId="77777777" w:rsidR="00297498" w:rsidRPr="00297498" w:rsidRDefault="00297498" w:rsidP="00297498">
      <w:pPr>
        <w:spacing w:line="360" w:lineRule="auto"/>
        <w:rPr>
          <w:sz w:val="24"/>
          <w:szCs w:val="24"/>
        </w:rPr>
      </w:pPr>
    </w:p>
    <w:p w14:paraId="2B10E797" w14:textId="62054B4C" w:rsidR="00297498" w:rsidRPr="00297498" w:rsidRDefault="00297498" w:rsidP="00297498">
      <w:pPr>
        <w:spacing w:line="360" w:lineRule="auto"/>
        <w:rPr>
          <w:sz w:val="24"/>
          <w:szCs w:val="24"/>
        </w:rPr>
      </w:pPr>
      <w:r w:rsidRPr="00297498">
        <w:rPr>
          <w:sz w:val="24"/>
          <w:szCs w:val="24"/>
        </w:rPr>
        <w:t>Unlike the chapel, St Peter’s Church is still in use. Its graveyard contains the shaft of a carved stone cross, known as the Churchyard Cross, believed to come from the chapel site,</w:t>
      </w:r>
      <w:r w:rsidRPr="00297498">
        <w:rPr>
          <w:rStyle w:val="FootnoteReference"/>
          <w:sz w:val="24"/>
          <w:szCs w:val="24"/>
        </w:rPr>
        <w:footnoteReference w:id="19"/>
      </w:r>
      <w:r w:rsidRPr="00297498">
        <w:rPr>
          <w:sz w:val="24"/>
          <w:szCs w:val="24"/>
        </w:rPr>
        <w:t xml:space="preserve"> </w:t>
      </w:r>
      <w:r w:rsidR="00BB3375" w:rsidRPr="00297498">
        <w:rPr>
          <w:sz w:val="24"/>
          <w:szCs w:val="24"/>
        </w:rPr>
        <w:t>and</w:t>
      </w:r>
      <w:r w:rsidRPr="00297498">
        <w:rPr>
          <w:sz w:val="24"/>
          <w:szCs w:val="24"/>
        </w:rPr>
        <w:t xml:space="preserve"> stores an </w:t>
      </w:r>
      <w:r w:rsidR="00BB3375" w:rsidRPr="00297498">
        <w:rPr>
          <w:sz w:val="24"/>
          <w:szCs w:val="24"/>
        </w:rPr>
        <w:t>ornately carved</w:t>
      </w:r>
      <w:r w:rsidRPr="00297498">
        <w:rPr>
          <w:sz w:val="24"/>
          <w:szCs w:val="24"/>
        </w:rPr>
        <w:t xml:space="preserve"> Viking hogback stone, brought in from the graveyard for preservation purposes.</w:t>
      </w:r>
      <w:r w:rsidRPr="00297498">
        <w:rPr>
          <w:rStyle w:val="FootnoteReference"/>
          <w:sz w:val="24"/>
          <w:szCs w:val="24"/>
        </w:rPr>
        <w:footnoteReference w:id="20"/>
      </w:r>
      <w:r w:rsidRPr="00297498">
        <w:rPr>
          <w:sz w:val="24"/>
          <w:szCs w:val="24"/>
        </w:rPr>
        <w:t xml:space="preserve"> While providing a fascinating backdrop to the study of St Patrick’s Chapel, St Peter’s Church and its stone artefacts lie beyond the scope of this project.</w:t>
      </w:r>
    </w:p>
    <w:p w14:paraId="42915B0E" w14:textId="77777777" w:rsidR="00297498" w:rsidRDefault="00297498" w:rsidP="00297498">
      <w:pPr>
        <w:pStyle w:val="Heading2"/>
        <w:spacing w:line="360" w:lineRule="auto"/>
      </w:pPr>
    </w:p>
    <w:p w14:paraId="5D5F01B3" w14:textId="77777777" w:rsidR="00297498" w:rsidRPr="00297498" w:rsidRDefault="00297498" w:rsidP="00297498">
      <w:pPr>
        <w:pStyle w:val="Heading2"/>
        <w:spacing w:line="360" w:lineRule="auto"/>
        <w:rPr>
          <w:b/>
          <w:bCs/>
          <w:color w:val="auto"/>
        </w:rPr>
      </w:pPr>
      <w:r w:rsidRPr="00297498">
        <w:rPr>
          <w:b/>
          <w:bCs/>
          <w:color w:val="auto"/>
        </w:rPr>
        <w:t>Chronology</w:t>
      </w:r>
    </w:p>
    <w:p w14:paraId="20D11329" w14:textId="77777777" w:rsidR="00297498" w:rsidRDefault="00297498" w:rsidP="00297498">
      <w:pPr>
        <w:spacing w:line="360" w:lineRule="auto"/>
        <w:rPr>
          <w:sz w:val="24"/>
          <w:szCs w:val="24"/>
        </w:rPr>
      </w:pPr>
      <w:r w:rsidRPr="00297498">
        <w:rPr>
          <w:sz w:val="24"/>
          <w:szCs w:val="24"/>
        </w:rPr>
        <w:t xml:space="preserve">The site has clearly been a significant place for hundreds of years but there is no precise dating for the chapel or the graves. The site’s National Trust’s noticeboards date St Patrick’s Chapel to the eighth century (see Figure One).  </w:t>
      </w:r>
    </w:p>
    <w:p w14:paraId="6D25240D" w14:textId="77777777" w:rsidR="00314198" w:rsidRPr="00297498" w:rsidRDefault="00314198" w:rsidP="00297498">
      <w:pPr>
        <w:spacing w:line="360" w:lineRule="auto"/>
        <w:rPr>
          <w:sz w:val="24"/>
          <w:szCs w:val="24"/>
        </w:rPr>
      </w:pPr>
    </w:p>
    <w:p w14:paraId="0FD8CB4A" w14:textId="77777777" w:rsidR="00297498" w:rsidRDefault="00297498" w:rsidP="00297498">
      <w:pPr>
        <w:spacing w:line="360" w:lineRule="auto"/>
      </w:pPr>
    </w:p>
    <w:p w14:paraId="0AFB7CA0" w14:textId="77777777" w:rsidR="00297498" w:rsidRDefault="00297498" w:rsidP="00297498">
      <w:pPr>
        <w:spacing w:line="360" w:lineRule="auto"/>
        <w:jc w:val="center"/>
      </w:pPr>
      <w:r>
        <w:rPr>
          <w:noProof/>
        </w:rPr>
        <w:drawing>
          <wp:inline distT="0" distB="0" distL="0" distR="0" wp14:anchorId="6F33FE76" wp14:editId="38B5E4D0">
            <wp:extent cx="2822496" cy="1813390"/>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8977" cy="1836828"/>
                    </a:xfrm>
                    <a:prstGeom prst="rect">
                      <a:avLst/>
                    </a:prstGeom>
                  </pic:spPr>
                </pic:pic>
              </a:graphicData>
            </a:graphic>
          </wp:inline>
        </w:drawing>
      </w:r>
      <w:r>
        <w:t xml:space="preserve">    </w:t>
      </w:r>
      <w:r>
        <w:rPr>
          <w:noProof/>
          <w:color w:val="FF0000"/>
        </w:rPr>
        <w:drawing>
          <wp:inline distT="0" distB="0" distL="0" distR="0" wp14:anchorId="3517C16D" wp14:editId="6B643F79">
            <wp:extent cx="2270760" cy="1824852"/>
            <wp:effectExtent l="0" t="0" r="0" b="4445"/>
            <wp:docPr id="6" name="Picture 6"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outdoor,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2977" cy="1874852"/>
                    </a:xfrm>
                    <a:prstGeom prst="rect">
                      <a:avLst/>
                    </a:prstGeom>
                  </pic:spPr>
                </pic:pic>
              </a:graphicData>
            </a:graphic>
          </wp:inline>
        </w:drawing>
      </w:r>
    </w:p>
    <w:p w14:paraId="6CE8B614" w14:textId="77777777" w:rsidR="00297498" w:rsidRDefault="00297498" w:rsidP="00297498">
      <w:pPr>
        <w:spacing w:line="360" w:lineRule="auto"/>
        <w:jc w:val="center"/>
      </w:pPr>
      <w:r w:rsidRPr="00F476F0">
        <w:rPr>
          <w:sz w:val="20"/>
          <w:szCs w:val="20"/>
        </w:rPr>
        <w:t>Figure One. National Trust Noticeboards at St Patrick’s Chapel. Photographs C Allen 2023</w:t>
      </w:r>
      <w:r>
        <w:t>.</w:t>
      </w:r>
    </w:p>
    <w:p w14:paraId="369E00B2" w14:textId="77777777" w:rsidR="00297498" w:rsidRDefault="00297498" w:rsidP="00297498">
      <w:pPr>
        <w:spacing w:line="360" w:lineRule="auto"/>
        <w:jc w:val="center"/>
      </w:pPr>
    </w:p>
    <w:p w14:paraId="1EE05F86" w14:textId="77777777" w:rsidR="00314198" w:rsidRDefault="00314198" w:rsidP="00297498">
      <w:pPr>
        <w:spacing w:line="360" w:lineRule="auto"/>
        <w:jc w:val="center"/>
      </w:pPr>
    </w:p>
    <w:p w14:paraId="668D8800" w14:textId="77777777" w:rsidR="00297498" w:rsidRPr="00297498" w:rsidRDefault="00297498" w:rsidP="00297498">
      <w:pPr>
        <w:spacing w:line="360" w:lineRule="auto"/>
        <w:rPr>
          <w:sz w:val="24"/>
          <w:szCs w:val="24"/>
        </w:rPr>
      </w:pPr>
      <w:r w:rsidRPr="00297498">
        <w:rPr>
          <w:sz w:val="24"/>
          <w:szCs w:val="24"/>
        </w:rPr>
        <w:t>The chapel is believed to have been extended in the 10</w:t>
      </w:r>
      <w:r w:rsidRPr="00297498">
        <w:rPr>
          <w:sz w:val="24"/>
          <w:szCs w:val="24"/>
          <w:vertAlign w:val="superscript"/>
        </w:rPr>
        <w:t>th</w:t>
      </w:r>
      <w:r w:rsidRPr="00297498">
        <w:rPr>
          <w:sz w:val="24"/>
          <w:szCs w:val="24"/>
        </w:rPr>
        <w:t xml:space="preserve"> century (see Figure One). Nowell cites Potter and Andrews’ 1977</w:t>
      </w:r>
      <w:r w:rsidRPr="00297498">
        <w:rPr>
          <w:rStyle w:val="FootnoteReference"/>
          <w:sz w:val="24"/>
          <w:szCs w:val="24"/>
        </w:rPr>
        <w:footnoteReference w:id="21"/>
      </w:r>
      <w:r w:rsidRPr="00297498">
        <w:rPr>
          <w:sz w:val="24"/>
          <w:szCs w:val="24"/>
        </w:rPr>
        <w:t xml:space="preserve"> partial excavation of the site, noting their suggestion that the rock-cut graves were the initial constructions on the site, followed by the construction of the chapel.</w:t>
      </w:r>
      <w:r w:rsidRPr="00297498">
        <w:rPr>
          <w:rStyle w:val="FootnoteReference"/>
          <w:sz w:val="24"/>
          <w:szCs w:val="24"/>
        </w:rPr>
        <w:footnoteReference w:id="22"/>
      </w:r>
      <w:r w:rsidRPr="00297498">
        <w:rPr>
          <w:sz w:val="24"/>
          <w:szCs w:val="24"/>
        </w:rPr>
        <w:t xml:space="preserve"> Moskvina acknowledges that the chapel is not well-documented, but she suggested the chapel dates from the seventh to eighth century.</w:t>
      </w:r>
      <w:r w:rsidRPr="00297498">
        <w:rPr>
          <w:rStyle w:val="FootnoteReference"/>
          <w:sz w:val="24"/>
          <w:szCs w:val="24"/>
        </w:rPr>
        <w:footnoteReference w:id="23"/>
      </w:r>
      <w:r w:rsidRPr="00297498">
        <w:rPr>
          <w:sz w:val="24"/>
          <w:szCs w:val="24"/>
        </w:rPr>
        <w:t xml:space="preserve"> She also noted that, although there is no mention of St Peter’s in the Doomsday book, it is documented in the </w:t>
      </w:r>
      <w:r w:rsidRPr="00297498">
        <w:rPr>
          <w:sz w:val="24"/>
          <w:szCs w:val="24"/>
        </w:rPr>
        <w:lastRenderedPageBreak/>
        <w:t xml:space="preserve">records of a grant made by Roger of </w:t>
      </w:r>
      <w:proofErr w:type="spellStart"/>
      <w:r w:rsidRPr="00297498">
        <w:rPr>
          <w:sz w:val="24"/>
          <w:szCs w:val="24"/>
        </w:rPr>
        <w:t>Pitou</w:t>
      </w:r>
      <w:proofErr w:type="spellEnd"/>
      <w:r w:rsidRPr="00297498">
        <w:rPr>
          <w:sz w:val="24"/>
          <w:szCs w:val="24"/>
        </w:rPr>
        <w:t xml:space="preserve"> to the Normandy Abbey of Sees in 1094.</w:t>
      </w:r>
      <w:r w:rsidRPr="00297498">
        <w:rPr>
          <w:rStyle w:val="FootnoteReference"/>
          <w:sz w:val="24"/>
          <w:szCs w:val="24"/>
        </w:rPr>
        <w:footnoteReference w:id="24"/>
      </w:r>
      <w:r w:rsidRPr="00297498">
        <w:rPr>
          <w:sz w:val="24"/>
          <w:szCs w:val="24"/>
        </w:rPr>
        <w:t xml:space="preserve"> The first rector of St Peter’s Church appearing in records was Ralph, dated ca 1190.</w:t>
      </w:r>
      <w:r w:rsidRPr="00297498">
        <w:rPr>
          <w:rStyle w:val="FootnoteReference"/>
          <w:sz w:val="24"/>
          <w:szCs w:val="24"/>
        </w:rPr>
        <w:footnoteReference w:id="25"/>
      </w:r>
      <w:r w:rsidRPr="00297498">
        <w:rPr>
          <w:sz w:val="24"/>
          <w:szCs w:val="24"/>
        </w:rPr>
        <w:t xml:space="preserve"> </w:t>
      </w:r>
    </w:p>
    <w:p w14:paraId="5EA751F2" w14:textId="77777777" w:rsidR="00297498" w:rsidRPr="001578F1" w:rsidRDefault="00297498" w:rsidP="00297498">
      <w:pPr>
        <w:spacing w:line="360" w:lineRule="auto"/>
        <w:jc w:val="center"/>
      </w:pPr>
    </w:p>
    <w:p w14:paraId="53FFAAF9" w14:textId="77777777" w:rsidR="00297498" w:rsidRPr="00297498" w:rsidRDefault="00297498" w:rsidP="00297498">
      <w:pPr>
        <w:pStyle w:val="Heading2"/>
        <w:spacing w:line="360" w:lineRule="auto"/>
        <w:rPr>
          <w:b/>
          <w:bCs/>
          <w:color w:val="auto"/>
        </w:rPr>
      </w:pPr>
      <w:r w:rsidRPr="00297498">
        <w:rPr>
          <w:b/>
          <w:bCs/>
          <w:color w:val="auto"/>
        </w:rPr>
        <w:t xml:space="preserve">Medieval Heysham </w:t>
      </w:r>
    </w:p>
    <w:p w14:paraId="124EE82E" w14:textId="77777777" w:rsidR="00297498" w:rsidRPr="00297498" w:rsidRDefault="00297498" w:rsidP="00297498">
      <w:pPr>
        <w:spacing w:line="360" w:lineRule="auto"/>
        <w:rPr>
          <w:sz w:val="24"/>
          <w:szCs w:val="24"/>
        </w:rPr>
      </w:pPr>
      <w:r w:rsidRPr="00297498">
        <w:rPr>
          <w:sz w:val="24"/>
          <w:szCs w:val="24"/>
        </w:rPr>
        <w:t>Moskvina highlights the contradictions in our understanding of early medieval Heysham – namely, the lack of records prior to 1094 suggests the village was a small, insignificant place, yet the high-quality stone-carved material remains suggest it was a place of some wealth and importance.</w:t>
      </w:r>
      <w:r w:rsidRPr="00297498">
        <w:rPr>
          <w:rStyle w:val="FootnoteReference"/>
          <w:sz w:val="24"/>
          <w:szCs w:val="24"/>
        </w:rPr>
        <w:footnoteReference w:id="26"/>
      </w:r>
      <w:r w:rsidRPr="00297498">
        <w:rPr>
          <w:sz w:val="24"/>
          <w:szCs w:val="24"/>
        </w:rPr>
        <w:t xml:space="preserve"> </w:t>
      </w:r>
    </w:p>
    <w:p w14:paraId="782DD864" w14:textId="77777777" w:rsidR="00297498" w:rsidRPr="00297498" w:rsidRDefault="00297498" w:rsidP="00297498">
      <w:pPr>
        <w:spacing w:line="360" w:lineRule="auto"/>
        <w:rPr>
          <w:sz w:val="24"/>
          <w:szCs w:val="24"/>
        </w:rPr>
      </w:pPr>
    </w:p>
    <w:p w14:paraId="11D37090" w14:textId="77777777" w:rsidR="00297498" w:rsidRPr="00297498" w:rsidRDefault="00297498" w:rsidP="00297498">
      <w:pPr>
        <w:spacing w:line="360" w:lineRule="auto"/>
        <w:rPr>
          <w:sz w:val="24"/>
          <w:szCs w:val="24"/>
        </w:rPr>
      </w:pPr>
      <w:r w:rsidRPr="00297498">
        <w:rPr>
          <w:sz w:val="24"/>
          <w:szCs w:val="24"/>
        </w:rPr>
        <w:t xml:space="preserve">Popular folklore highlights links with St Patrick - as the National Trust noticeboard explains, it is believed that Patrick was captured from Cumbria and taken to Ireland as a slave, before making his escape six years later by boat. After being blown off course, it is said he came ashore at Heysham. </w:t>
      </w:r>
    </w:p>
    <w:p w14:paraId="7791FE14" w14:textId="77777777" w:rsidR="00297498" w:rsidRDefault="00297498" w:rsidP="00297498">
      <w:pPr>
        <w:spacing w:line="360" w:lineRule="auto"/>
        <w:rPr>
          <w:sz w:val="24"/>
          <w:szCs w:val="24"/>
        </w:rPr>
      </w:pPr>
    </w:p>
    <w:p w14:paraId="19E1E4BB" w14:textId="77777777" w:rsidR="00314198" w:rsidRPr="00297498" w:rsidRDefault="00314198" w:rsidP="00297498">
      <w:pPr>
        <w:spacing w:line="360" w:lineRule="auto"/>
        <w:rPr>
          <w:sz w:val="24"/>
          <w:szCs w:val="24"/>
        </w:rPr>
      </w:pPr>
    </w:p>
    <w:p w14:paraId="36CD4731" w14:textId="77777777" w:rsidR="00297498" w:rsidRPr="00297498" w:rsidRDefault="00297498" w:rsidP="00297498">
      <w:pPr>
        <w:pStyle w:val="Heading1"/>
        <w:spacing w:line="360" w:lineRule="auto"/>
        <w:rPr>
          <w:b/>
          <w:bCs/>
          <w:color w:val="auto"/>
        </w:rPr>
      </w:pPr>
      <w:r w:rsidRPr="00297498">
        <w:rPr>
          <w:b/>
          <w:bCs/>
          <w:color w:val="auto"/>
        </w:rPr>
        <w:t xml:space="preserve">Methodology </w:t>
      </w:r>
    </w:p>
    <w:p w14:paraId="7C30FB70" w14:textId="77777777" w:rsidR="00297498" w:rsidRPr="00297498" w:rsidRDefault="00297498" w:rsidP="00297498">
      <w:pPr>
        <w:pStyle w:val="Heading2"/>
        <w:spacing w:line="360" w:lineRule="auto"/>
        <w:rPr>
          <w:b/>
          <w:bCs/>
          <w:color w:val="auto"/>
        </w:rPr>
      </w:pPr>
      <w:r w:rsidRPr="00297498">
        <w:rPr>
          <w:b/>
          <w:bCs/>
          <w:color w:val="auto"/>
        </w:rPr>
        <w:t>Fieldwork</w:t>
      </w:r>
    </w:p>
    <w:p w14:paraId="7E2AF351" w14:textId="77777777" w:rsidR="00297498" w:rsidRPr="00297498" w:rsidRDefault="00297498" w:rsidP="00297498">
      <w:pPr>
        <w:spacing w:line="360" w:lineRule="auto"/>
        <w:rPr>
          <w:color w:val="FF0000"/>
          <w:sz w:val="24"/>
          <w:szCs w:val="24"/>
        </w:rPr>
      </w:pPr>
      <w:r w:rsidRPr="00297498">
        <w:rPr>
          <w:sz w:val="24"/>
          <w:szCs w:val="24"/>
        </w:rPr>
        <w:t>Fieldwork was conducted at the site on two occasions in April 2023. On my first visit, a rough line-drawing was made of the remains of the chapel site, with each corner allocated a letter (A, B, C, etc.). A table was created in my notebook, listing all the possible lines of measurements, for example, A to B, D to C, etc. then measurements were entered into the table as I worked around the site. On the second visit, a much-reduced drawing was made, labelling only A/B and D/C axis-lines and approximate window of visibility (Silva, 2014).</w:t>
      </w:r>
      <w:r w:rsidRPr="00297498">
        <w:rPr>
          <w:color w:val="FF0000"/>
          <w:sz w:val="24"/>
          <w:szCs w:val="24"/>
        </w:rPr>
        <w:t xml:space="preserve"> </w:t>
      </w:r>
    </w:p>
    <w:p w14:paraId="50C55F8A" w14:textId="77777777" w:rsidR="00297498" w:rsidRPr="00297498" w:rsidRDefault="00297498" w:rsidP="00297498">
      <w:pPr>
        <w:spacing w:line="360" w:lineRule="auto"/>
        <w:rPr>
          <w:sz w:val="24"/>
          <w:szCs w:val="24"/>
        </w:rPr>
      </w:pPr>
    </w:p>
    <w:p w14:paraId="3EEF0760" w14:textId="77777777" w:rsidR="00297498" w:rsidRPr="00297498" w:rsidRDefault="00297498" w:rsidP="00297498">
      <w:pPr>
        <w:spacing w:line="360" w:lineRule="auto"/>
        <w:rPr>
          <w:sz w:val="24"/>
          <w:szCs w:val="24"/>
        </w:rPr>
      </w:pPr>
      <w:r w:rsidRPr="00297498">
        <w:rPr>
          <w:sz w:val="24"/>
          <w:szCs w:val="24"/>
        </w:rPr>
        <w:t>Azimuth readings were calculated by measuring the orientations of the chapel ruins and stone graves and recorded in my journal. Azimuth readings are the angular distances between True North and the object being studied. The measurements produced are in degrees between 0° and 360°.Orientation was measured with a Proster Compass, model TL150, which has an accuracy of 1</w:t>
      </w:r>
      <w:r w:rsidRPr="00297498">
        <w:rPr>
          <w:rFonts w:cstheme="minorHAnsi"/>
          <w:sz w:val="24"/>
          <w:szCs w:val="24"/>
        </w:rPr>
        <w:t>°</w:t>
      </w:r>
      <w:r w:rsidRPr="00297498">
        <w:rPr>
          <w:sz w:val="24"/>
          <w:szCs w:val="24"/>
        </w:rPr>
        <w:t xml:space="preserve"> or less, according to the compass’ information sheet. Because the compass could not guarantee 100% accuracy and as allowance had to be made for human error, the field measurements were compared to measurements taken virtually, using </w:t>
      </w:r>
      <w:r w:rsidRPr="00AF3A69">
        <w:rPr>
          <w:i/>
          <w:iCs/>
          <w:sz w:val="24"/>
          <w:szCs w:val="24"/>
        </w:rPr>
        <w:t>Google Earth Pro</w:t>
      </w:r>
      <w:r w:rsidRPr="00297498">
        <w:rPr>
          <w:sz w:val="24"/>
          <w:szCs w:val="24"/>
        </w:rPr>
        <w:t xml:space="preserve"> (see Virtual Surveys below). </w:t>
      </w:r>
    </w:p>
    <w:p w14:paraId="72FACA55" w14:textId="77777777" w:rsidR="00297498" w:rsidRPr="00297498" w:rsidRDefault="00297498" w:rsidP="00297498">
      <w:pPr>
        <w:spacing w:line="360" w:lineRule="auto"/>
        <w:rPr>
          <w:sz w:val="24"/>
          <w:szCs w:val="24"/>
        </w:rPr>
      </w:pPr>
    </w:p>
    <w:p w14:paraId="1A3124A1" w14:textId="77777777" w:rsidR="00297498" w:rsidRPr="00297498" w:rsidRDefault="00297498" w:rsidP="00297498">
      <w:pPr>
        <w:spacing w:line="360" w:lineRule="auto"/>
        <w:rPr>
          <w:sz w:val="24"/>
          <w:szCs w:val="24"/>
        </w:rPr>
      </w:pPr>
      <w:r w:rsidRPr="00297498">
        <w:rPr>
          <w:sz w:val="24"/>
          <w:szCs w:val="24"/>
        </w:rPr>
        <w:t>Measurements were not taken by holding the compass against the chapel walls, as has been the method in other studies (Hoare and Sweet, 2000), as Brady Gunzburg and Silva (2017) noted its unreliability, as factors like uneven walls affect the reliability of results. Just for interest, however, I did take two wall measurements by holding the compass against the wall C-D, that is, facing east. This gave a reading of 90</w:t>
      </w:r>
      <w:r w:rsidRPr="00297498">
        <w:rPr>
          <w:rFonts w:cstheme="minorHAnsi"/>
          <w:sz w:val="24"/>
          <w:szCs w:val="24"/>
        </w:rPr>
        <w:t>°</w:t>
      </w:r>
      <w:r w:rsidRPr="00297498">
        <w:rPr>
          <w:sz w:val="24"/>
          <w:szCs w:val="24"/>
        </w:rPr>
        <w:t xml:space="preserve">, due east. However, taking a longer line of sight along the C-D line gave a different reading. Photographs were also taken from around the site. </w:t>
      </w:r>
    </w:p>
    <w:p w14:paraId="6A56F0CE" w14:textId="77777777" w:rsidR="00297498" w:rsidRDefault="00297498" w:rsidP="00297498">
      <w:pPr>
        <w:pStyle w:val="Heading2"/>
        <w:spacing w:line="360" w:lineRule="auto"/>
      </w:pPr>
    </w:p>
    <w:p w14:paraId="686F79B7" w14:textId="77777777" w:rsidR="00B82F9E" w:rsidRPr="00B82F9E" w:rsidRDefault="00B82F9E" w:rsidP="00B82F9E"/>
    <w:p w14:paraId="2460F125" w14:textId="77777777" w:rsidR="00297498" w:rsidRPr="00297498" w:rsidRDefault="00297498" w:rsidP="00297498">
      <w:pPr>
        <w:pStyle w:val="Heading2"/>
        <w:spacing w:line="360" w:lineRule="auto"/>
        <w:rPr>
          <w:b/>
          <w:bCs/>
          <w:color w:val="auto"/>
        </w:rPr>
      </w:pPr>
      <w:r w:rsidRPr="00297498">
        <w:rPr>
          <w:b/>
          <w:bCs/>
          <w:color w:val="auto"/>
        </w:rPr>
        <w:t>Landscape</w:t>
      </w:r>
    </w:p>
    <w:p w14:paraId="360FD7E8" w14:textId="77777777" w:rsidR="00297498" w:rsidRPr="00297498" w:rsidRDefault="00297498" w:rsidP="00297498">
      <w:pPr>
        <w:spacing w:line="360" w:lineRule="auto"/>
        <w:rPr>
          <w:sz w:val="24"/>
          <w:szCs w:val="24"/>
        </w:rPr>
      </w:pPr>
      <w:r w:rsidRPr="00297498">
        <w:rPr>
          <w:sz w:val="24"/>
          <w:szCs w:val="24"/>
        </w:rPr>
        <w:t xml:space="preserve">Measurements were taken of the horizon altitude of the land around the chapel. Horizon altitude is the degree of elevation above sea level of the surrounding landscape, which can affect the visibility of certain celestial objects from the site. For example, orienting a church towards an elevated eastern horizon must account for the fact that the sun will be seen on that horizon slightly later and slightly further along that horizon than it would be over flat land. The Proster Compass contains an integrated clinometer which was used for altitude measurements. </w:t>
      </w:r>
    </w:p>
    <w:p w14:paraId="18DAB35A" w14:textId="77777777" w:rsidR="00297498" w:rsidRPr="00297498" w:rsidRDefault="00297498" w:rsidP="00297498">
      <w:pPr>
        <w:spacing w:line="360" w:lineRule="auto"/>
        <w:rPr>
          <w:sz w:val="24"/>
          <w:szCs w:val="24"/>
        </w:rPr>
      </w:pPr>
      <w:r w:rsidRPr="00297498">
        <w:rPr>
          <w:sz w:val="24"/>
          <w:szCs w:val="24"/>
        </w:rPr>
        <w:t xml:space="preserve">Westward, the chapel has no horizon obstructions as it overlooks the sea. Eastern horizon measurements were more difficult to obtain as the view was obstructed by trees. This research, therefore, relied on virtual altitude measurements (see below). </w:t>
      </w:r>
    </w:p>
    <w:p w14:paraId="191F55E5" w14:textId="77777777" w:rsidR="00297498" w:rsidRDefault="00297498" w:rsidP="00297498">
      <w:pPr>
        <w:spacing w:line="360" w:lineRule="auto"/>
      </w:pPr>
    </w:p>
    <w:p w14:paraId="622EEFA1" w14:textId="77777777" w:rsidR="00297498" w:rsidRPr="00297498" w:rsidRDefault="00297498" w:rsidP="00297498">
      <w:pPr>
        <w:pStyle w:val="Heading2"/>
        <w:spacing w:line="360" w:lineRule="auto"/>
        <w:rPr>
          <w:b/>
          <w:bCs/>
          <w:color w:val="auto"/>
        </w:rPr>
      </w:pPr>
      <w:r w:rsidRPr="00297498">
        <w:rPr>
          <w:b/>
          <w:bCs/>
          <w:color w:val="auto"/>
        </w:rPr>
        <w:t>Magnetic North</w:t>
      </w:r>
    </w:p>
    <w:p w14:paraId="3DABF198" w14:textId="5CC6599C" w:rsidR="00297498" w:rsidRPr="00297498" w:rsidRDefault="00297498" w:rsidP="00297498">
      <w:pPr>
        <w:spacing w:line="360" w:lineRule="auto"/>
        <w:rPr>
          <w:sz w:val="24"/>
          <w:szCs w:val="24"/>
        </w:rPr>
      </w:pPr>
      <w:r w:rsidRPr="00297498">
        <w:rPr>
          <w:sz w:val="24"/>
          <w:szCs w:val="24"/>
        </w:rPr>
        <w:t>During fieldwork, the orientation of the chapel was checked by measuring the walls from both sides, i.e. from A to B and from B to A, to minimise the risk of magnetic anomalies arising from either the building itself or the surrounding land.</w:t>
      </w:r>
      <w:r w:rsidRPr="00297498">
        <w:rPr>
          <w:rStyle w:val="FootnoteReference"/>
          <w:sz w:val="24"/>
          <w:szCs w:val="24"/>
        </w:rPr>
        <w:footnoteReference w:id="27"/>
      </w:r>
      <w:r w:rsidRPr="00297498">
        <w:rPr>
          <w:sz w:val="24"/>
          <w:szCs w:val="24"/>
        </w:rPr>
        <w:t xml:space="preserve"> The difference between magnetic bearings and true bearing was checked using the online resource National Geophysical Data Centre’s calculator.</w:t>
      </w:r>
      <w:r w:rsidRPr="00297498">
        <w:rPr>
          <w:rStyle w:val="FootnoteReference"/>
          <w:sz w:val="24"/>
          <w:szCs w:val="24"/>
        </w:rPr>
        <w:footnoteReference w:id="28"/>
      </w:r>
      <w:r w:rsidRPr="00297498">
        <w:rPr>
          <w:sz w:val="24"/>
          <w:szCs w:val="24"/>
        </w:rPr>
        <w:t xml:space="preserve"> Adjustments were made for the difference my readings and the true bearings. However, as the only readings obtained at the site were my own and not therefore checked against readings from other surveyors to achieve an agreed mean reading, this project </w:t>
      </w:r>
      <w:r w:rsidR="00BB3375">
        <w:rPr>
          <w:sz w:val="24"/>
          <w:szCs w:val="24"/>
        </w:rPr>
        <w:t>decided to use</w:t>
      </w:r>
      <w:r w:rsidRPr="00297498">
        <w:rPr>
          <w:sz w:val="24"/>
          <w:szCs w:val="24"/>
        </w:rPr>
        <w:t xml:space="preserve"> readings obtained from </w:t>
      </w:r>
      <w:r w:rsidRPr="00AF3A69">
        <w:rPr>
          <w:i/>
          <w:iCs/>
          <w:sz w:val="24"/>
          <w:szCs w:val="24"/>
        </w:rPr>
        <w:t>Google Earth Pro</w:t>
      </w:r>
      <w:r w:rsidRPr="00297498">
        <w:rPr>
          <w:sz w:val="24"/>
          <w:szCs w:val="24"/>
        </w:rPr>
        <w:t xml:space="preserve"> which uses true bearings and </w:t>
      </w:r>
      <w:r w:rsidR="00BB3375">
        <w:rPr>
          <w:sz w:val="24"/>
          <w:szCs w:val="24"/>
        </w:rPr>
        <w:t>are</w:t>
      </w:r>
      <w:r w:rsidRPr="00297498">
        <w:rPr>
          <w:sz w:val="24"/>
          <w:szCs w:val="24"/>
        </w:rPr>
        <w:t>, therefore, probably more accurate than my fieldwork readings.</w:t>
      </w:r>
    </w:p>
    <w:p w14:paraId="08602299" w14:textId="77777777" w:rsidR="00297498" w:rsidRDefault="00297498" w:rsidP="00297498">
      <w:pPr>
        <w:pStyle w:val="Heading2"/>
        <w:spacing w:line="360" w:lineRule="auto"/>
      </w:pPr>
    </w:p>
    <w:p w14:paraId="06A602B5" w14:textId="77777777" w:rsidR="00B82F9E" w:rsidRDefault="00B82F9E" w:rsidP="00297498">
      <w:pPr>
        <w:pStyle w:val="Heading2"/>
        <w:spacing w:line="360" w:lineRule="auto"/>
        <w:rPr>
          <w:b/>
          <w:bCs/>
          <w:color w:val="auto"/>
        </w:rPr>
      </w:pPr>
    </w:p>
    <w:p w14:paraId="6B1BFAE8" w14:textId="179D3FD1" w:rsidR="00297498" w:rsidRPr="00297498" w:rsidRDefault="00297498" w:rsidP="00297498">
      <w:pPr>
        <w:pStyle w:val="Heading2"/>
        <w:spacing w:line="360" w:lineRule="auto"/>
        <w:rPr>
          <w:b/>
          <w:bCs/>
          <w:color w:val="auto"/>
        </w:rPr>
      </w:pPr>
      <w:r w:rsidRPr="00297498">
        <w:rPr>
          <w:b/>
          <w:bCs/>
          <w:color w:val="auto"/>
        </w:rPr>
        <w:t>Virtual Surveys</w:t>
      </w:r>
    </w:p>
    <w:p w14:paraId="2B758062" w14:textId="77777777" w:rsidR="00297498" w:rsidRPr="00AF3A69" w:rsidRDefault="00297498" w:rsidP="00297498">
      <w:pPr>
        <w:pStyle w:val="Heading3"/>
        <w:rPr>
          <w:b/>
          <w:bCs/>
          <w:i/>
          <w:iCs/>
          <w:color w:val="auto"/>
        </w:rPr>
      </w:pPr>
      <w:r w:rsidRPr="00AF3A69">
        <w:rPr>
          <w:b/>
          <w:bCs/>
          <w:i/>
          <w:iCs/>
          <w:color w:val="auto"/>
        </w:rPr>
        <w:t>Google Earth Pro</w:t>
      </w:r>
    </w:p>
    <w:p w14:paraId="55CAEADE" w14:textId="0BC3014B" w:rsidR="00297498" w:rsidRDefault="00297498" w:rsidP="00297498">
      <w:pPr>
        <w:spacing w:line="360" w:lineRule="auto"/>
        <w:rPr>
          <w:sz w:val="24"/>
          <w:szCs w:val="24"/>
        </w:rPr>
      </w:pPr>
      <w:r w:rsidRPr="00297498">
        <w:rPr>
          <w:sz w:val="24"/>
          <w:szCs w:val="24"/>
        </w:rPr>
        <w:t>First, latitude and longitude were calculated by using the coordinates from the Ordnance Survey Explorer map for Lancaster, Morecambe and Fleetwood.</w:t>
      </w:r>
      <w:r w:rsidRPr="00297498">
        <w:rPr>
          <w:rStyle w:val="FootnoteReference"/>
          <w:sz w:val="24"/>
          <w:szCs w:val="24"/>
        </w:rPr>
        <w:footnoteReference w:id="29"/>
      </w:r>
      <w:r w:rsidRPr="00297498">
        <w:rPr>
          <w:sz w:val="24"/>
          <w:szCs w:val="24"/>
        </w:rPr>
        <w:t xml:space="preserve"> The coordinates, SD 409616, were then entered into the latitude/longitude conversion calculator on the online resource </w:t>
      </w:r>
      <w:hyperlink r:id="rId10" w:history="1">
        <w:r w:rsidRPr="00297498">
          <w:rPr>
            <w:rStyle w:val="Hyperlink"/>
            <w:sz w:val="24"/>
            <w:szCs w:val="24"/>
          </w:rPr>
          <w:t>https://www.movable-type.co.uk/scripts/latlong-os-gridref.html</w:t>
        </w:r>
      </w:hyperlink>
      <w:r w:rsidRPr="00297498">
        <w:rPr>
          <w:sz w:val="24"/>
          <w:szCs w:val="24"/>
        </w:rPr>
        <w:t xml:space="preserve"> which gave a reading of 54.04 north and 002.904 west. A search for Heysham was then entered into the </w:t>
      </w:r>
      <w:r w:rsidRPr="00297498">
        <w:rPr>
          <w:i/>
          <w:iCs/>
          <w:sz w:val="24"/>
          <w:szCs w:val="24"/>
        </w:rPr>
        <w:t>Google Earth Pro</w:t>
      </w:r>
      <w:r w:rsidRPr="00297498">
        <w:rPr>
          <w:sz w:val="24"/>
          <w:szCs w:val="24"/>
        </w:rPr>
        <w:t xml:space="preserve"> app, which located the chapel. The axial orientations of the chapel were then measured using the website’s ruler tools and the</w:t>
      </w:r>
      <w:r w:rsidR="00BB3375">
        <w:rPr>
          <w:sz w:val="24"/>
          <w:szCs w:val="24"/>
        </w:rPr>
        <w:t xml:space="preserve">n the </w:t>
      </w:r>
      <w:r w:rsidRPr="00297498">
        <w:rPr>
          <w:sz w:val="24"/>
          <w:szCs w:val="24"/>
        </w:rPr>
        <w:t xml:space="preserve">azimuth measurements were entered into my table. </w:t>
      </w:r>
      <w:r w:rsidRPr="00297498">
        <w:rPr>
          <w:i/>
          <w:iCs/>
          <w:sz w:val="24"/>
          <w:szCs w:val="24"/>
        </w:rPr>
        <w:t>As Google Earth Pro</w:t>
      </w:r>
      <w:r w:rsidRPr="00297498">
        <w:rPr>
          <w:sz w:val="24"/>
          <w:szCs w:val="24"/>
        </w:rPr>
        <w:t xml:space="preserve"> measures true bearings, there was no need to make allowance for magnetic anomalies. Latitude and longitude calculations were also checked against the readings in </w:t>
      </w:r>
      <w:r w:rsidRPr="00297498">
        <w:rPr>
          <w:i/>
          <w:iCs/>
          <w:sz w:val="24"/>
          <w:szCs w:val="24"/>
        </w:rPr>
        <w:t>Google Earth Pro</w:t>
      </w:r>
      <w:r w:rsidRPr="00297498">
        <w:rPr>
          <w:sz w:val="24"/>
          <w:szCs w:val="24"/>
        </w:rPr>
        <w:t>, along with the altitude readings.</w:t>
      </w:r>
    </w:p>
    <w:p w14:paraId="1620D8CA" w14:textId="77777777" w:rsidR="00297498" w:rsidRDefault="00297498" w:rsidP="00297498">
      <w:pPr>
        <w:spacing w:line="360" w:lineRule="auto"/>
      </w:pPr>
    </w:p>
    <w:p w14:paraId="64A13A7C" w14:textId="77777777" w:rsidR="00297498" w:rsidRPr="00AF3A69" w:rsidRDefault="00297498" w:rsidP="00297498">
      <w:pPr>
        <w:pStyle w:val="Heading3"/>
        <w:rPr>
          <w:b/>
          <w:bCs/>
          <w:i/>
          <w:iCs/>
          <w:color w:val="auto"/>
        </w:rPr>
      </w:pPr>
      <w:r w:rsidRPr="00AF3A69">
        <w:rPr>
          <w:b/>
          <w:bCs/>
          <w:i/>
          <w:iCs/>
          <w:color w:val="auto"/>
        </w:rPr>
        <w:lastRenderedPageBreak/>
        <w:t>HeyWhatsThat</w:t>
      </w:r>
    </w:p>
    <w:p w14:paraId="184DA035" w14:textId="21C81AAD" w:rsidR="00297498" w:rsidRDefault="00297498" w:rsidP="00297498">
      <w:pPr>
        <w:spacing w:line="360" w:lineRule="auto"/>
      </w:pPr>
      <w:r w:rsidRPr="00297498">
        <w:rPr>
          <w:sz w:val="24"/>
          <w:szCs w:val="24"/>
        </w:rPr>
        <w:t xml:space="preserve">Fieldwork horizon altitude measurements were checked using the website, </w:t>
      </w:r>
      <w:hyperlink r:id="rId11" w:history="1">
        <w:r w:rsidRPr="00297498">
          <w:rPr>
            <w:rStyle w:val="Hyperlink"/>
            <w:sz w:val="24"/>
            <w:szCs w:val="24"/>
          </w:rPr>
          <w:t>www.HeyWhatsThat.com</w:t>
        </w:r>
      </w:hyperlink>
      <w:r w:rsidRPr="00297498">
        <w:rPr>
          <w:sz w:val="24"/>
          <w:szCs w:val="24"/>
        </w:rPr>
        <w:t xml:space="preserve">. Azimuth readings were found on the site’s altitude graph for </w:t>
      </w:r>
      <w:r w:rsidR="00954118" w:rsidRPr="00297498">
        <w:rPr>
          <w:sz w:val="24"/>
          <w:szCs w:val="24"/>
        </w:rPr>
        <w:t>Heysham,</w:t>
      </w:r>
      <w:r w:rsidRPr="00297498">
        <w:rPr>
          <w:sz w:val="24"/>
          <w:szCs w:val="24"/>
        </w:rPr>
        <w:t xml:space="preserve"> and that data was entered into my table</w:t>
      </w:r>
      <w:r>
        <w:t>.</w:t>
      </w:r>
    </w:p>
    <w:p w14:paraId="7507E013" w14:textId="77777777" w:rsidR="00297498" w:rsidRDefault="00297498" w:rsidP="00297498">
      <w:pPr>
        <w:spacing w:line="360" w:lineRule="auto"/>
      </w:pPr>
    </w:p>
    <w:p w14:paraId="4A2C3C67" w14:textId="77777777" w:rsidR="00297498" w:rsidRPr="00AF3A69" w:rsidRDefault="00297498" w:rsidP="00297498">
      <w:pPr>
        <w:pStyle w:val="Heading3"/>
        <w:rPr>
          <w:b/>
          <w:bCs/>
          <w:i/>
          <w:iCs/>
          <w:color w:val="auto"/>
        </w:rPr>
      </w:pPr>
      <w:r w:rsidRPr="00AF3A69">
        <w:rPr>
          <w:b/>
          <w:bCs/>
          <w:i/>
          <w:iCs/>
          <w:color w:val="auto"/>
        </w:rPr>
        <w:t>Stellarium</w:t>
      </w:r>
    </w:p>
    <w:p w14:paraId="1E160CDE" w14:textId="77777777" w:rsidR="00297498" w:rsidRPr="00297498" w:rsidRDefault="00297498" w:rsidP="00297498">
      <w:pPr>
        <w:spacing w:line="360" w:lineRule="auto"/>
        <w:rPr>
          <w:sz w:val="24"/>
          <w:szCs w:val="24"/>
        </w:rPr>
      </w:pPr>
      <w:r w:rsidRPr="00297498">
        <w:rPr>
          <w:i/>
          <w:iCs/>
          <w:sz w:val="24"/>
          <w:szCs w:val="24"/>
        </w:rPr>
        <w:t xml:space="preserve">Stellarium </w:t>
      </w:r>
      <w:r w:rsidRPr="00297498">
        <w:rPr>
          <w:sz w:val="24"/>
          <w:szCs w:val="24"/>
        </w:rPr>
        <w:t>app can recreate the sky on a given day at a given place, so it was used to recreate the sky on two of the solar declination dates to explore what was happening in the sky at this time.</w:t>
      </w:r>
    </w:p>
    <w:p w14:paraId="2510405F" w14:textId="77777777" w:rsidR="00B82F9E" w:rsidRDefault="00B82F9E" w:rsidP="00297498">
      <w:pPr>
        <w:pStyle w:val="Heading2"/>
        <w:spacing w:line="360" w:lineRule="auto"/>
        <w:rPr>
          <w:b/>
          <w:bCs/>
          <w:color w:val="auto"/>
        </w:rPr>
      </w:pPr>
    </w:p>
    <w:p w14:paraId="4D2FC64E" w14:textId="77777777" w:rsidR="00B82F9E" w:rsidRDefault="00B82F9E" w:rsidP="00297498">
      <w:pPr>
        <w:pStyle w:val="Heading2"/>
        <w:spacing w:line="360" w:lineRule="auto"/>
        <w:rPr>
          <w:b/>
          <w:bCs/>
          <w:color w:val="auto"/>
        </w:rPr>
      </w:pPr>
    </w:p>
    <w:p w14:paraId="2A4CA3F1" w14:textId="7B8234C8" w:rsidR="00297498" w:rsidRPr="00297498" w:rsidRDefault="00297498" w:rsidP="00297498">
      <w:pPr>
        <w:pStyle w:val="Heading2"/>
        <w:spacing w:line="360" w:lineRule="auto"/>
        <w:rPr>
          <w:b/>
          <w:bCs/>
          <w:color w:val="auto"/>
        </w:rPr>
      </w:pPr>
      <w:r w:rsidRPr="00297498">
        <w:rPr>
          <w:b/>
          <w:bCs/>
          <w:color w:val="auto"/>
        </w:rPr>
        <w:t>Date</w:t>
      </w:r>
    </w:p>
    <w:p w14:paraId="593A1F2E" w14:textId="77777777" w:rsidR="00297498" w:rsidRPr="00297498" w:rsidRDefault="00297498" w:rsidP="00297498">
      <w:pPr>
        <w:spacing w:line="360" w:lineRule="auto"/>
        <w:rPr>
          <w:sz w:val="24"/>
          <w:szCs w:val="24"/>
        </w:rPr>
      </w:pPr>
      <w:r w:rsidRPr="00297498">
        <w:rPr>
          <w:sz w:val="24"/>
          <w:szCs w:val="24"/>
        </w:rPr>
        <w:t>While the date of St Patrick’s Chapel is uncertain, this project took a date of 750 AD as the assumed date of construction - the rationale being that the construction date range lies between the 7</w:t>
      </w:r>
      <w:r w:rsidRPr="00297498">
        <w:rPr>
          <w:sz w:val="24"/>
          <w:szCs w:val="24"/>
          <w:vertAlign w:val="superscript"/>
        </w:rPr>
        <w:t>th</w:t>
      </w:r>
      <w:r w:rsidRPr="00297498">
        <w:rPr>
          <w:sz w:val="24"/>
          <w:szCs w:val="24"/>
        </w:rPr>
        <w:t xml:space="preserve"> and 8</w:t>
      </w:r>
      <w:r w:rsidRPr="00297498">
        <w:rPr>
          <w:sz w:val="24"/>
          <w:szCs w:val="24"/>
          <w:vertAlign w:val="superscript"/>
        </w:rPr>
        <w:t>th</w:t>
      </w:r>
      <w:r w:rsidRPr="00297498">
        <w:rPr>
          <w:sz w:val="24"/>
          <w:szCs w:val="24"/>
        </w:rPr>
        <w:t xml:space="preserve"> century, so the year 750 lies at the conservative end of that date range.</w:t>
      </w:r>
    </w:p>
    <w:p w14:paraId="25CAFE41" w14:textId="77777777" w:rsidR="00297498" w:rsidRDefault="00297498" w:rsidP="00297498">
      <w:pPr>
        <w:spacing w:line="360" w:lineRule="auto"/>
      </w:pPr>
    </w:p>
    <w:p w14:paraId="31D6A043" w14:textId="77777777" w:rsidR="00B82F9E" w:rsidRDefault="00B82F9E" w:rsidP="00297498">
      <w:pPr>
        <w:pStyle w:val="Heading2"/>
        <w:spacing w:line="360" w:lineRule="auto"/>
        <w:rPr>
          <w:b/>
          <w:bCs/>
          <w:color w:val="auto"/>
        </w:rPr>
      </w:pPr>
    </w:p>
    <w:p w14:paraId="7788D595" w14:textId="3CD77CAC" w:rsidR="00297498" w:rsidRPr="00297498" w:rsidRDefault="00297498" w:rsidP="00297498">
      <w:pPr>
        <w:pStyle w:val="Heading2"/>
        <w:spacing w:line="360" w:lineRule="auto"/>
        <w:rPr>
          <w:b/>
          <w:bCs/>
          <w:color w:val="auto"/>
        </w:rPr>
      </w:pPr>
      <w:r w:rsidRPr="00297498">
        <w:rPr>
          <w:b/>
          <w:bCs/>
          <w:color w:val="auto"/>
        </w:rPr>
        <w:t>Declination and Calendar Conversion</w:t>
      </w:r>
    </w:p>
    <w:p w14:paraId="5776AA64" w14:textId="22AEA22D" w:rsidR="00297498" w:rsidRPr="00297498" w:rsidRDefault="00297498" w:rsidP="00297498">
      <w:pPr>
        <w:spacing w:line="360" w:lineRule="auto"/>
        <w:rPr>
          <w:rFonts w:cstheme="minorHAnsi"/>
          <w:sz w:val="24"/>
          <w:szCs w:val="24"/>
        </w:rPr>
      </w:pPr>
      <w:r w:rsidRPr="00297498">
        <w:rPr>
          <w:sz w:val="24"/>
          <w:szCs w:val="24"/>
        </w:rPr>
        <w:t>Declination figures were achieved by entering azimuth, altitude and latitude measurements into a table which converts the reading to equatorial coordinates.</w:t>
      </w:r>
      <w:r w:rsidRPr="00297498">
        <w:rPr>
          <w:rStyle w:val="FootnoteReference"/>
          <w:sz w:val="24"/>
          <w:szCs w:val="24"/>
        </w:rPr>
        <w:footnoteReference w:id="30"/>
      </w:r>
      <w:r w:rsidRPr="00297498">
        <w:rPr>
          <w:sz w:val="24"/>
          <w:szCs w:val="24"/>
        </w:rPr>
        <w:t xml:space="preserve"> Before checking the daily sunrise and sunset declinations, the results had to take account of the calendar drift between the Julian and Gregorian calendars (Brady, </w:t>
      </w:r>
      <w:proofErr w:type="gramStart"/>
      <w:r w:rsidRPr="00297498">
        <w:rPr>
          <w:sz w:val="24"/>
          <w:szCs w:val="24"/>
        </w:rPr>
        <w:t>Gunzburg</w:t>
      </w:r>
      <w:proofErr w:type="gramEnd"/>
      <w:r w:rsidRPr="00297498">
        <w:rPr>
          <w:sz w:val="24"/>
          <w:szCs w:val="24"/>
        </w:rPr>
        <w:t xml:space="preserve"> and Silva, 2017; Hinton 2006). This adjustment was calculated using another online resource</w:t>
      </w:r>
      <w:r w:rsidRPr="00297498">
        <w:rPr>
          <w:rStyle w:val="FootnoteReference"/>
          <w:sz w:val="24"/>
          <w:szCs w:val="24"/>
        </w:rPr>
        <w:footnoteReference w:id="31"/>
      </w:r>
      <w:r w:rsidRPr="00297498">
        <w:rPr>
          <w:sz w:val="24"/>
          <w:szCs w:val="24"/>
        </w:rPr>
        <w:t xml:space="preserve"> which suggested an adjustment of four days. </w:t>
      </w:r>
      <w:r w:rsidRPr="00297498">
        <w:rPr>
          <w:rStyle w:val="Emphasis"/>
          <w:rFonts w:cstheme="minorHAnsi"/>
          <w:i w:val="0"/>
          <w:iCs w:val="0"/>
          <w:sz w:val="24"/>
          <w:szCs w:val="24"/>
        </w:rPr>
        <w:t>The adjusted declination readings were then checked again</w:t>
      </w:r>
      <w:r w:rsidR="00954118">
        <w:rPr>
          <w:rStyle w:val="Emphasis"/>
          <w:rFonts w:cstheme="minorHAnsi"/>
          <w:i w:val="0"/>
          <w:iCs w:val="0"/>
          <w:sz w:val="24"/>
          <w:szCs w:val="24"/>
        </w:rPr>
        <w:t>st</w:t>
      </w:r>
      <w:r w:rsidRPr="00297498">
        <w:rPr>
          <w:rStyle w:val="Emphasis"/>
          <w:rFonts w:cstheme="minorHAnsi"/>
          <w:i w:val="0"/>
          <w:iCs w:val="0"/>
          <w:sz w:val="24"/>
          <w:szCs w:val="24"/>
        </w:rPr>
        <w:t xml:space="preserve"> </w:t>
      </w:r>
      <w:bookmarkStart w:id="5" w:name="_Hlk133745057"/>
      <w:r w:rsidRPr="00297498">
        <w:rPr>
          <w:rStyle w:val="Emphasis"/>
          <w:rFonts w:cstheme="minorHAnsi"/>
          <w:i w:val="0"/>
          <w:iCs w:val="0"/>
          <w:sz w:val="24"/>
          <w:szCs w:val="24"/>
        </w:rPr>
        <w:t>Silva</w:t>
      </w:r>
      <w:r w:rsidRPr="00297498">
        <w:rPr>
          <w:rFonts w:cstheme="minorHAnsi"/>
          <w:i/>
          <w:iCs/>
          <w:sz w:val="24"/>
          <w:szCs w:val="24"/>
        </w:rPr>
        <w:t>’s</w:t>
      </w:r>
      <w:r w:rsidRPr="00297498">
        <w:rPr>
          <w:rFonts w:cstheme="minorHAnsi"/>
          <w:b/>
          <w:bCs/>
          <w:sz w:val="24"/>
          <w:szCs w:val="24"/>
        </w:rPr>
        <w:t xml:space="preserve"> ‘</w:t>
      </w:r>
      <w:r w:rsidRPr="00297498">
        <w:rPr>
          <w:rFonts w:cstheme="minorHAnsi"/>
          <w:sz w:val="24"/>
          <w:szCs w:val="24"/>
        </w:rPr>
        <w:t>Change in Solar Declination through the year’</w:t>
      </w:r>
      <w:r w:rsidRPr="00297498">
        <w:rPr>
          <w:rStyle w:val="FootnoteReference"/>
          <w:rFonts w:cstheme="minorHAnsi"/>
          <w:sz w:val="24"/>
          <w:szCs w:val="24"/>
        </w:rPr>
        <w:footnoteReference w:id="32"/>
      </w:r>
      <w:r w:rsidRPr="00297498">
        <w:rPr>
          <w:rFonts w:cstheme="minorHAnsi"/>
          <w:i/>
          <w:iCs/>
          <w:sz w:val="24"/>
          <w:szCs w:val="24"/>
        </w:rPr>
        <w:t xml:space="preserve"> </w:t>
      </w:r>
      <w:bookmarkEnd w:id="5"/>
      <w:r w:rsidRPr="00297498">
        <w:rPr>
          <w:rFonts w:cstheme="minorHAnsi"/>
          <w:sz w:val="24"/>
          <w:szCs w:val="24"/>
        </w:rPr>
        <w:t xml:space="preserve">to give a possible date for the sunrise and </w:t>
      </w:r>
      <w:r w:rsidRPr="00297498">
        <w:rPr>
          <w:rFonts w:cstheme="minorHAnsi"/>
          <w:sz w:val="24"/>
          <w:szCs w:val="24"/>
        </w:rPr>
        <w:lastRenderedPageBreak/>
        <w:t>sunset orientations of St Patrick’s Chapel. Allowing for margins of error,</w:t>
      </w:r>
      <w:r w:rsidRPr="00297498">
        <w:rPr>
          <w:rStyle w:val="FootnoteReference"/>
          <w:rFonts w:cstheme="minorHAnsi"/>
          <w:sz w:val="24"/>
          <w:szCs w:val="24"/>
        </w:rPr>
        <w:footnoteReference w:id="33"/>
      </w:r>
      <w:r w:rsidRPr="00297498">
        <w:rPr>
          <w:rFonts w:cstheme="minorHAnsi"/>
          <w:sz w:val="24"/>
          <w:szCs w:val="24"/>
        </w:rPr>
        <w:t xml:space="preserve"> the solar declination dates were checked against medieval liturgical calendars</w:t>
      </w:r>
      <w:r w:rsidRPr="00297498">
        <w:rPr>
          <w:rStyle w:val="FootnoteReference"/>
          <w:rFonts w:cstheme="minorHAnsi"/>
          <w:sz w:val="24"/>
          <w:szCs w:val="24"/>
        </w:rPr>
        <w:footnoteReference w:id="34"/>
      </w:r>
      <w:r w:rsidRPr="00297498">
        <w:rPr>
          <w:rFonts w:cstheme="minorHAnsi"/>
          <w:sz w:val="24"/>
          <w:szCs w:val="24"/>
        </w:rPr>
        <w:t>, using a margin of three days either side of the dates shown in the solar declination tables, to find possible matches with days that may have religious significance for the monastic community of eighth century Heysham.</w:t>
      </w:r>
    </w:p>
    <w:p w14:paraId="7E73A281" w14:textId="77777777" w:rsidR="00297498" w:rsidRDefault="00297498" w:rsidP="00297498">
      <w:pPr>
        <w:pStyle w:val="Heading2"/>
        <w:spacing w:line="360" w:lineRule="auto"/>
      </w:pPr>
    </w:p>
    <w:p w14:paraId="4B3F88A5" w14:textId="77777777" w:rsidR="00B82F9E" w:rsidRDefault="00B82F9E" w:rsidP="00297498">
      <w:pPr>
        <w:pStyle w:val="Heading2"/>
        <w:spacing w:line="360" w:lineRule="auto"/>
        <w:rPr>
          <w:b/>
          <w:bCs/>
          <w:color w:val="auto"/>
        </w:rPr>
      </w:pPr>
    </w:p>
    <w:p w14:paraId="352E2972" w14:textId="11CEF2A6" w:rsidR="00297498" w:rsidRPr="00297498" w:rsidRDefault="00297498" w:rsidP="00297498">
      <w:pPr>
        <w:pStyle w:val="Heading2"/>
        <w:spacing w:line="360" w:lineRule="auto"/>
        <w:rPr>
          <w:b/>
          <w:bCs/>
          <w:color w:val="auto"/>
        </w:rPr>
      </w:pPr>
      <w:r w:rsidRPr="00297498">
        <w:rPr>
          <w:b/>
          <w:bCs/>
          <w:color w:val="auto"/>
        </w:rPr>
        <w:t>Window of Visibility</w:t>
      </w:r>
    </w:p>
    <w:p w14:paraId="46F8DA8C" w14:textId="77777777" w:rsidR="00297498" w:rsidRPr="00297498" w:rsidRDefault="00297498" w:rsidP="00297498">
      <w:pPr>
        <w:spacing w:line="360" w:lineRule="auto"/>
        <w:rPr>
          <w:sz w:val="24"/>
          <w:szCs w:val="24"/>
        </w:rPr>
      </w:pPr>
      <w:r w:rsidRPr="00297498">
        <w:rPr>
          <w:sz w:val="24"/>
          <w:szCs w:val="24"/>
        </w:rPr>
        <w:t>Fabio Silva describes window of visibility as,</w:t>
      </w:r>
    </w:p>
    <w:p w14:paraId="53E5086C" w14:textId="77777777" w:rsidR="00297498" w:rsidRPr="00297498" w:rsidRDefault="00297498" w:rsidP="00297498">
      <w:pPr>
        <w:spacing w:line="360" w:lineRule="auto"/>
        <w:ind w:left="567" w:right="567"/>
        <w:jc w:val="both"/>
        <w:rPr>
          <w:sz w:val="24"/>
          <w:szCs w:val="24"/>
        </w:rPr>
      </w:pPr>
      <w:r w:rsidRPr="00297498">
        <w:rPr>
          <w:sz w:val="24"/>
          <w:szCs w:val="24"/>
        </w:rPr>
        <w:t>the region of the horizon that, given the structure’s corridor and entrance geometry, can be seen from within its chamber. This amounts to a range of azimuth bearings between a minimum and a maximum value defined by the diagonals of the corridor/passage and chamber entrances</w:t>
      </w:r>
      <w:r w:rsidRPr="00297498">
        <w:rPr>
          <w:rStyle w:val="FootnoteReference"/>
          <w:sz w:val="24"/>
          <w:szCs w:val="24"/>
        </w:rPr>
        <w:footnoteReference w:id="35"/>
      </w:r>
    </w:p>
    <w:p w14:paraId="1480EFBA" w14:textId="77777777" w:rsidR="00297498" w:rsidRPr="00297498" w:rsidRDefault="00297498" w:rsidP="00297498">
      <w:pPr>
        <w:spacing w:line="360" w:lineRule="auto"/>
        <w:ind w:right="567"/>
        <w:jc w:val="both"/>
        <w:rPr>
          <w:sz w:val="24"/>
          <w:szCs w:val="24"/>
        </w:rPr>
      </w:pPr>
      <w:r w:rsidRPr="00297498">
        <w:rPr>
          <w:sz w:val="24"/>
          <w:szCs w:val="24"/>
        </w:rPr>
        <w:t>Initially, only the straight line from the middle of the east wall was measured (giving an azimuth of 270</w:t>
      </w:r>
      <w:r w:rsidRPr="00297498">
        <w:rPr>
          <w:rFonts w:cstheme="minorHAnsi"/>
          <w:sz w:val="24"/>
          <w:szCs w:val="24"/>
        </w:rPr>
        <w:t>°, due west</w:t>
      </w:r>
      <w:r w:rsidRPr="00297498">
        <w:rPr>
          <w:sz w:val="24"/>
          <w:szCs w:val="24"/>
        </w:rPr>
        <w:t xml:space="preserve">). </w:t>
      </w:r>
      <w:proofErr w:type="gramStart"/>
      <w:r w:rsidRPr="00297498">
        <w:rPr>
          <w:sz w:val="24"/>
          <w:szCs w:val="24"/>
        </w:rPr>
        <w:t>After reflecting on Silva’s window of visibility technique, it</w:t>
      </w:r>
      <w:proofErr w:type="gramEnd"/>
      <w:r w:rsidRPr="00297498">
        <w:rPr>
          <w:sz w:val="24"/>
          <w:szCs w:val="24"/>
        </w:rPr>
        <w:t xml:space="preserve"> became clear that the diagonal measurements looking out of the chapel would be useful, so a second trip to Heysham took place. However, without a second surveyor to hold a ranging pole, and with visitors at the site obstructing the view, these measurements left too much room for error and measurements were taken on </w:t>
      </w:r>
      <w:r w:rsidRPr="00297498">
        <w:rPr>
          <w:i/>
          <w:iCs/>
          <w:sz w:val="24"/>
          <w:szCs w:val="24"/>
        </w:rPr>
        <w:t>Google Earth Pro</w:t>
      </w:r>
      <w:r w:rsidRPr="00297498">
        <w:rPr>
          <w:sz w:val="24"/>
          <w:szCs w:val="24"/>
        </w:rPr>
        <w:t xml:space="preserve"> instead.</w:t>
      </w:r>
    </w:p>
    <w:p w14:paraId="317979E7" w14:textId="77777777" w:rsidR="00297498" w:rsidRDefault="00297498" w:rsidP="00297498">
      <w:pPr>
        <w:spacing w:line="360" w:lineRule="auto"/>
        <w:ind w:right="567"/>
        <w:jc w:val="both"/>
      </w:pPr>
    </w:p>
    <w:p w14:paraId="1C4669C3" w14:textId="77777777" w:rsidR="00297498" w:rsidRPr="00842E23" w:rsidRDefault="00297498" w:rsidP="00297498">
      <w:pPr>
        <w:spacing w:line="360" w:lineRule="auto"/>
        <w:ind w:right="567"/>
        <w:jc w:val="both"/>
      </w:pPr>
    </w:p>
    <w:p w14:paraId="54542552" w14:textId="77777777" w:rsidR="00297498" w:rsidRPr="00297498" w:rsidRDefault="00297498" w:rsidP="00297498">
      <w:pPr>
        <w:pStyle w:val="Heading1"/>
        <w:spacing w:line="360" w:lineRule="auto"/>
        <w:rPr>
          <w:b/>
          <w:bCs/>
          <w:color w:val="auto"/>
        </w:rPr>
      </w:pPr>
      <w:r w:rsidRPr="00297498">
        <w:rPr>
          <w:b/>
          <w:bCs/>
          <w:color w:val="auto"/>
        </w:rPr>
        <w:lastRenderedPageBreak/>
        <w:t>Findings and Discussion</w:t>
      </w:r>
    </w:p>
    <w:p w14:paraId="3B289F91" w14:textId="77777777" w:rsidR="00297498" w:rsidRPr="00297498" w:rsidRDefault="00297498" w:rsidP="00297498">
      <w:pPr>
        <w:pStyle w:val="Heading1"/>
        <w:spacing w:line="360" w:lineRule="auto"/>
        <w:rPr>
          <w:b/>
          <w:bCs/>
          <w:color w:val="auto"/>
        </w:rPr>
      </w:pPr>
      <w:r w:rsidRPr="00297498">
        <w:rPr>
          <w:b/>
          <w:bCs/>
          <w:color w:val="auto"/>
        </w:rPr>
        <w:t xml:space="preserve">Landscape </w:t>
      </w:r>
    </w:p>
    <w:p w14:paraId="207E6348" w14:textId="77777777" w:rsidR="00297498" w:rsidRPr="00297498" w:rsidRDefault="00297498" w:rsidP="00297498">
      <w:pPr>
        <w:spacing w:line="360" w:lineRule="auto"/>
        <w:rPr>
          <w:sz w:val="24"/>
          <w:szCs w:val="24"/>
        </w:rPr>
      </w:pPr>
      <w:r w:rsidRPr="00297498">
        <w:rPr>
          <w:sz w:val="24"/>
          <w:szCs w:val="24"/>
        </w:rPr>
        <w:t>Altitude of surrounding landscape can affect where the sun is seen at sunrise</w:t>
      </w:r>
      <w:r w:rsidRPr="00297498">
        <w:rPr>
          <w:rStyle w:val="FootnoteReference"/>
          <w:sz w:val="24"/>
          <w:szCs w:val="24"/>
        </w:rPr>
        <w:footnoteReference w:id="36"/>
      </w:r>
      <w:r w:rsidRPr="00297498">
        <w:rPr>
          <w:sz w:val="24"/>
          <w:szCs w:val="24"/>
        </w:rPr>
        <w:t xml:space="preserve">. As the chapel sits atop rocks overlooking the sea on the westward side, and on higher ground than the village of Heysham and St Peter’s Church on the eastward side, the altitude did not appear to significantly affect orientation of sunrise or sunset measurements. Looking west, the inbuilt clinometer in my compass, showed 0 degrees altitude. This was confirmed by checking the azimuth and location on the website, </w:t>
      </w:r>
      <w:hyperlink r:id="rId12" w:history="1">
        <w:r w:rsidRPr="00297498">
          <w:rPr>
            <w:rStyle w:val="Hyperlink"/>
            <w:sz w:val="24"/>
            <w:szCs w:val="24"/>
          </w:rPr>
          <w:t>www.HeyWhatsThat.com</w:t>
        </w:r>
      </w:hyperlink>
      <w:r w:rsidRPr="00297498">
        <w:rPr>
          <w:sz w:val="24"/>
          <w:szCs w:val="24"/>
        </w:rPr>
        <w:t xml:space="preserve"> . Figure Two shows the altitude of St Patrick’s Chapel facing westward calculated by </w:t>
      </w:r>
      <w:r w:rsidRPr="00297498">
        <w:rPr>
          <w:i/>
          <w:iCs/>
          <w:sz w:val="24"/>
          <w:szCs w:val="24"/>
        </w:rPr>
        <w:t>HeyWhatsThat.</w:t>
      </w:r>
    </w:p>
    <w:p w14:paraId="2BB38053" w14:textId="77777777" w:rsidR="00297498" w:rsidRDefault="00297498" w:rsidP="00297498">
      <w:pPr>
        <w:spacing w:line="360" w:lineRule="auto"/>
      </w:pPr>
    </w:p>
    <w:p w14:paraId="00A4F10E" w14:textId="77777777" w:rsidR="00B82F9E" w:rsidRDefault="00B82F9E" w:rsidP="00297498">
      <w:pPr>
        <w:spacing w:line="360" w:lineRule="auto"/>
      </w:pPr>
    </w:p>
    <w:p w14:paraId="204EA85A" w14:textId="77777777" w:rsidR="00297498" w:rsidRDefault="00297498" w:rsidP="00297498">
      <w:pPr>
        <w:spacing w:line="360" w:lineRule="auto"/>
        <w:jc w:val="center"/>
      </w:pPr>
      <w:r>
        <w:rPr>
          <w:noProof/>
        </w:rPr>
        <w:drawing>
          <wp:inline distT="0" distB="0" distL="0" distR="0" wp14:anchorId="7FE3ECBB" wp14:editId="65FDB1CD">
            <wp:extent cx="4165600" cy="1537294"/>
            <wp:effectExtent l="0" t="0" r="6350" b="635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197880" cy="1549207"/>
                    </a:xfrm>
                    <a:prstGeom prst="rect">
                      <a:avLst/>
                    </a:prstGeom>
                  </pic:spPr>
                </pic:pic>
              </a:graphicData>
            </a:graphic>
          </wp:inline>
        </w:drawing>
      </w:r>
    </w:p>
    <w:p w14:paraId="049D4104" w14:textId="77777777" w:rsidR="00297498" w:rsidRDefault="00297498" w:rsidP="00297498">
      <w:pPr>
        <w:spacing w:line="360" w:lineRule="auto"/>
        <w:jc w:val="center"/>
      </w:pPr>
      <w:r>
        <w:t xml:space="preserve">Figure Two: Graph showing the westward horizon </w:t>
      </w:r>
      <w:hyperlink r:id="rId14" w:history="1">
        <w:r w:rsidRPr="00527C3B">
          <w:rPr>
            <w:rStyle w:val="Hyperlink"/>
          </w:rPr>
          <w:t>www.HeyWhatsThat.com</w:t>
        </w:r>
      </w:hyperlink>
      <w:r>
        <w:t xml:space="preserve"> </w:t>
      </w:r>
    </w:p>
    <w:p w14:paraId="1FD3F266" w14:textId="77777777" w:rsidR="00297498" w:rsidRDefault="00297498" w:rsidP="00297498">
      <w:pPr>
        <w:spacing w:line="360" w:lineRule="auto"/>
        <w:jc w:val="center"/>
      </w:pPr>
    </w:p>
    <w:p w14:paraId="2106F285" w14:textId="77777777" w:rsidR="00297498" w:rsidRDefault="00297498" w:rsidP="00297498">
      <w:pPr>
        <w:spacing w:line="360" w:lineRule="auto"/>
      </w:pPr>
    </w:p>
    <w:p w14:paraId="1AF3C24B" w14:textId="77777777" w:rsidR="00297498" w:rsidRPr="00297498" w:rsidRDefault="00297498" w:rsidP="00297498">
      <w:pPr>
        <w:spacing w:line="360" w:lineRule="auto"/>
        <w:rPr>
          <w:sz w:val="24"/>
          <w:szCs w:val="24"/>
        </w:rPr>
      </w:pPr>
      <w:r w:rsidRPr="00297498">
        <w:rPr>
          <w:sz w:val="24"/>
          <w:szCs w:val="24"/>
        </w:rPr>
        <w:t>During fieldwork visits, it was more difficult to ascertain the eastward altitude of the surrounding landscape as the area is wooded with very large trees. The only reliable measurement, therefore, was the calculation made in</w:t>
      </w:r>
      <w:r w:rsidRPr="00AF3A69">
        <w:rPr>
          <w:i/>
          <w:iCs/>
          <w:sz w:val="24"/>
          <w:szCs w:val="24"/>
        </w:rPr>
        <w:t xml:space="preserve"> HeyWhatsThat</w:t>
      </w:r>
      <w:r w:rsidRPr="00297498">
        <w:rPr>
          <w:sz w:val="24"/>
          <w:szCs w:val="24"/>
        </w:rPr>
        <w:t>, see Figure Three.</w:t>
      </w:r>
      <w:r>
        <w:rPr>
          <w:sz w:val="24"/>
          <w:szCs w:val="24"/>
        </w:rPr>
        <w:t xml:space="preserve"> </w:t>
      </w:r>
      <w:r w:rsidRPr="00297498">
        <w:rPr>
          <w:sz w:val="24"/>
          <w:szCs w:val="24"/>
        </w:rPr>
        <w:t>This study found that neither the sunrise nor the sunset orientations were affected by the surrounding landscape.</w:t>
      </w:r>
    </w:p>
    <w:p w14:paraId="2292AC63" w14:textId="14717A89" w:rsidR="00297498" w:rsidRPr="00297498" w:rsidRDefault="00297498" w:rsidP="00297498">
      <w:pPr>
        <w:spacing w:line="360" w:lineRule="auto"/>
        <w:rPr>
          <w:sz w:val="24"/>
          <w:szCs w:val="24"/>
        </w:rPr>
      </w:pPr>
    </w:p>
    <w:p w14:paraId="573DD6C4" w14:textId="77777777" w:rsidR="00297498" w:rsidRDefault="00297498" w:rsidP="00297498">
      <w:pPr>
        <w:spacing w:line="360" w:lineRule="auto"/>
        <w:jc w:val="center"/>
      </w:pPr>
      <w:r>
        <w:rPr>
          <w:noProof/>
        </w:rPr>
        <w:lastRenderedPageBreak/>
        <w:drawing>
          <wp:inline distT="0" distB="0" distL="0" distR="0" wp14:anchorId="509AE6A7" wp14:editId="618F850F">
            <wp:extent cx="4664710" cy="1528718"/>
            <wp:effectExtent l="0" t="0" r="2540" b="0"/>
            <wp:docPr id="4" name="Picture 4" descr="Waterfall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Waterfall chart&#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4699844" cy="1540232"/>
                    </a:xfrm>
                    <a:prstGeom prst="rect">
                      <a:avLst/>
                    </a:prstGeom>
                  </pic:spPr>
                </pic:pic>
              </a:graphicData>
            </a:graphic>
          </wp:inline>
        </w:drawing>
      </w:r>
    </w:p>
    <w:p w14:paraId="7A6511F0" w14:textId="77777777" w:rsidR="00297498" w:rsidRPr="00587D2F" w:rsidRDefault="00297498" w:rsidP="00297498">
      <w:pPr>
        <w:spacing w:line="360" w:lineRule="auto"/>
        <w:jc w:val="center"/>
      </w:pPr>
      <w:r>
        <w:t xml:space="preserve">Figure Three: Graph showing the eastward horizon from </w:t>
      </w:r>
      <w:hyperlink r:id="rId16" w:history="1">
        <w:r w:rsidRPr="00527C3B">
          <w:rPr>
            <w:rStyle w:val="Hyperlink"/>
          </w:rPr>
          <w:t>www.HeyWhatsThat.com</w:t>
        </w:r>
      </w:hyperlink>
    </w:p>
    <w:p w14:paraId="126E243E" w14:textId="77777777" w:rsidR="00297498" w:rsidRDefault="00297498" w:rsidP="00297498">
      <w:pPr>
        <w:spacing w:line="360" w:lineRule="auto"/>
        <w:rPr>
          <w:sz w:val="24"/>
          <w:szCs w:val="24"/>
        </w:rPr>
      </w:pPr>
    </w:p>
    <w:p w14:paraId="24C3F81A" w14:textId="77777777" w:rsidR="00297498" w:rsidRPr="00297498" w:rsidRDefault="00297498" w:rsidP="00297498">
      <w:pPr>
        <w:spacing w:line="360" w:lineRule="auto"/>
        <w:rPr>
          <w:sz w:val="24"/>
          <w:szCs w:val="24"/>
        </w:rPr>
      </w:pPr>
    </w:p>
    <w:p w14:paraId="5D3EFF7A" w14:textId="77777777" w:rsidR="00297498" w:rsidRPr="00297498" w:rsidRDefault="00297498" w:rsidP="00297498">
      <w:pPr>
        <w:pStyle w:val="Heading1"/>
        <w:spacing w:line="360" w:lineRule="auto"/>
        <w:rPr>
          <w:b/>
          <w:bCs/>
          <w:color w:val="auto"/>
        </w:rPr>
      </w:pPr>
      <w:r w:rsidRPr="00297498">
        <w:rPr>
          <w:b/>
          <w:bCs/>
          <w:color w:val="auto"/>
        </w:rPr>
        <w:t>Orientation</w:t>
      </w:r>
    </w:p>
    <w:p w14:paraId="54DBDB0A" w14:textId="6C7E246D" w:rsidR="00297498" w:rsidRDefault="00297498" w:rsidP="00297498">
      <w:pPr>
        <w:spacing w:line="360" w:lineRule="auto"/>
        <w:rPr>
          <w:sz w:val="24"/>
          <w:szCs w:val="24"/>
        </w:rPr>
      </w:pPr>
      <w:r w:rsidRPr="00297498">
        <w:rPr>
          <w:sz w:val="24"/>
          <w:szCs w:val="24"/>
        </w:rPr>
        <w:t>Although the directions of all the chapel walls were measured, this essay focuses only on the east-west axis, the chapel’s possible relationship with the six rock graves, and the westward window of visibility readings (as suggested by Silva</w:t>
      </w:r>
      <w:r w:rsidRPr="00297498">
        <w:rPr>
          <w:rStyle w:val="FootnoteReference"/>
          <w:sz w:val="24"/>
          <w:szCs w:val="24"/>
        </w:rPr>
        <w:footnoteReference w:id="37"/>
      </w:r>
      <w:r w:rsidRPr="00297498">
        <w:rPr>
          <w:sz w:val="24"/>
          <w:szCs w:val="24"/>
        </w:rPr>
        <w:t xml:space="preserve">). Figure Four shows </w:t>
      </w:r>
      <w:r w:rsidR="00954118">
        <w:rPr>
          <w:sz w:val="24"/>
          <w:szCs w:val="24"/>
        </w:rPr>
        <w:t>a</w:t>
      </w:r>
      <w:r w:rsidRPr="00297498">
        <w:rPr>
          <w:sz w:val="24"/>
          <w:szCs w:val="24"/>
        </w:rPr>
        <w:t xml:space="preserve"> drawing </w:t>
      </w:r>
      <w:r w:rsidR="00954118">
        <w:rPr>
          <w:sz w:val="24"/>
          <w:szCs w:val="24"/>
        </w:rPr>
        <w:t xml:space="preserve">that </w:t>
      </w:r>
      <w:r w:rsidRPr="00297498">
        <w:rPr>
          <w:sz w:val="24"/>
          <w:szCs w:val="24"/>
        </w:rPr>
        <w:t>was made at the site.</w:t>
      </w:r>
    </w:p>
    <w:p w14:paraId="38DF737C" w14:textId="77777777" w:rsidR="00B82F9E" w:rsidRPr="00297498" w:rsidRDefault="00B82F9E" w:rsidP="00297498">
      <w:pPr>
        <w:spacing w:line="360" w:lineRule="auto"/>
        <w:rPr>
          <w:sz w:val="24"/>
          <w:szCs w:val="24"/>
        </w:rPr>
      </w:pPr>
    </w:p>
    <w:p w14:paraId="116EE1CE" w14:textId="77777777" w:rsidR="00297498" w:rsidRDefault="00297498" w:rsidP="00297498">
      <w:pPr>
        <w:spacing w:line="360" w:lineRule="auto"/>
      </w:pPr>
    </w:p>
    <w:p w14:paraId="65D96723" w14:textId="77777777" w:rsidR="00297498" w:rsidRDefault="00297498" w:rsidP="00297498">
      <w:pPr>
        <w:spacing w:line="360" w:lineRule="auto"/>
        <w:jc w:val="center"/>
      </w:pPr>
      <w:r>
        <w:rPr>
          <w:noProof/>
        </w:rPr>
        <w:drawing>
          <wp:inline distT="0" distB="0" distL="0" distR="0" wp14:anchorId="59F07BF8" wp14:editId="79D0CC08">
            <wp:extent cx="1828800" cy="2532625"/>
            <wp:effectExtent l="0" t="0" r="0" b="1270"/>
            <wp:docPr id="3"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81975" cy="2606264"/>
                    </a:xfrm>
                    <a:prstGeom prst="rect">
                      <a:avLst/>
                    </a:prstGeom>
                  </pic:spPr>
                </pic:pic>
              </a:graphicData>
            </a:graphic>
          </wp:inline>
        </w:drawing>
      </w:r>
    </w:p>
    <w:p w14:paraId="6056989B" w14:textId="77777777" w:rsidR="00297498" w:rsidRDefault="00297498" w:rsidP="00297498">
      <w:pPr>
        <w:spacing w:line="360" w:lineRule="auto"/>
        <w:jc w:val="center"/>
      </w:pPr>
      <w:r>
        <w:t>Figure Four: Plan from my journal.</w:t>
      </w:r>
    </w:p>
    <w:p w14:paraId="0372C681" w14:textId="77777777" w:rsidR="00297498" w:rsidRPr="00297498" w:rsidRDefault="00297498" w:rsidP="00297498">
      <w:pPr>
        <w:pStyle w:val="Heading2"/>
        <w:spacing w:line="360" w:lineRule="auto"/>
        <w:rPr>
          <w:b/>
          <w:bCs/>
          <w:color w:val="auto"/>
        </w:rPr>
      </w:pPr>
      <w:r w:rsidRPr="00297498">
        <w:rPr>
          <w:b/>
          <w:bCs/>
          <w:color w:val="auto"/>
        </w:rPr>
        <w:lastRenderedPageBreak/>
        <w:t>Sunrise</w:t>
      </w:r>
    </w:p>
    <w:p w14:paraId="5F637DF4" w14:textId="71C6F9FD" w:rsidR="00297498" w:rsidRDefault="00297498" w:rsidP="00297498">
      <w:pPr>
        <w:spacing w:line="360" w:lineRule="auto"/>
        <w:rPr>
          <w:sz w:val="24"/>
          <w:szCs w:val="24"/>
        </w:rPr>
      </w:pPr>
      <w:r w:rsidRPr="00297498">
        <w:rPr>
          <w:sz w:val="24"/>
          <w:szCs w:val="24"/>
        </w:rPr>
        <w:t>Sunrise orientations were explored along the BA and DC axis-lines. Table One shows the results</w:t>
      </w:r>
      <w:r>
        <w:t>.</w:t>
      </w:r>
      <w:r w:rsidRPr="00297498">
        <w:rPr>
          <w:rFonts w:cstheme="minorHAnsi"/>
          <w:sz w:val="24"/>
          <w:szCs w:val="24"/>
          <w:shd w:val="clear" w:color="auto" w:fill="FFFFFF"/>
        </w:rPr>
        <w:t xml:space="preserve"> </w:t>
      </w:r>
      <w:r w:rsidRPr="00297498">
        <w:rPr>
          <w:rFonts w:cstheme="minorHAnsi"/>
          <w:sz w:val="24"/>
          <w:szCs w:val="24"/>
          <w:shd w:val="clear" w:color="auto" w:fill="FFFFFF"/>
        </w:rPr>
        <w:t>As t</w:t>
      </w:r>
      <w:r w:rsidRPr="00297498">
        <w:rPr>
          <w:sz w:val="24"/>
          <w:szCs w:val="24"/>
        </w:rPr>
        <w:t>he C-D-axis wall is believed to have been altered around the tenth century</w:t>
      </w:r>
      <w:r w:rsidRPr="00297498">
        <w:rPr>
          <w:rStyle w:val="FootnoteReference"/>
          <w:sz w:val="24"/>
          <w:szCs w:val="24"/>
        </w:rPr>
        <w:footnoteReference w:id="38"/>
      </w:r>
      <w:r w:rsidRPr="00297498">
        <w:rPr>
          <w:sz w:val="24"/>
          <w:szCs w:val="24"/>
        </w:rPr>
        <w:t xml:space="preserve">,  this study focused on the B-A axis, which was found to point north of east. </w:t>
      </w:r>
    </w:p>
    <w:p w14:paraId="0C997364" w14:textId="77777777" w:rsidR="00B82F9E" w:rsidRPr="00297498" w:rsidRDefault="00B82F9E" w:rsidP="00297498">
      <w:pPr>
        <w:spacing w:line="360" w:lineRule="auto"/>
        <w:rPr>
          <w:sz w:val="24"/>
          <w:szCs w:val="24"/>
        </w:rPr>
      </w:pPr>
    </w:p>
    <w:p w14:paraId="6535FE0E" w14:textId="06E3EA69" w:rsidR="00297498" w:rsidRDefault="00297498" w:rsidP="00297498">
      <w:pPr>
        <w:spacing w:line="360" w:lineRule="auto"/>
      </w:pPr>
    </w:p>
    <w:tbl>
      <w:tblPr>
        <w:tblStyle w:val="GridTable2-Accent5"/>
        <w:tblW w:w="0" w:type="auto"/>
        <w:tblLook w:val="04A0" w:firstRow="1" w:lastRow="0" w:firstColumn="1" w:lastColumn="0" w:noHBand="0" w:noVBand="1"/>
      </w:tblPr>
      <w:tblGrid>
        <w:gridCol w:w="846"/>
        <w:gridCol w:w="992"/>
        <w:gridCol w:w="1701"/>
        <w:gridCol w:w="1701"/>
        <w:gridCol w:w="1418"/>
        <w:gridCol w:w="2358"/>
      </w:tblGrid>
      <w:tr w:rsidR="00297498" w14:paraId="510039A1" w14:textId="77777777" w:rsidTr="006123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3604BF4" w14:textId="77777777" w:rsidR="00297498" w:rsidRDefault="00297498" w:rsidP="00612325">
            <w:pPr>
              <w:spacing w:line="360" w:lineRule="auto"/>
            </w:pPr>
            <w:r>
              <w:t>Axis</w:t>
            </w:r>
          </w:p>
        </w:tc>
        <w:tc>
          <w:tcPr>
            <w:tcW w:w="992" w:type="dxa"/>
          </w:tcPr>
          <w:p w14:paraId="004ECCED"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Azimuth</w:t>
            </w:r>
          </w:p>
        </w:tc>
        <w:tc>
          <w:tcPr>
            <w:tcW w:w="1701" w:type="dxa"/>
          </w:tcPr>
          <w:p w14:paraId="6A18482F"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Altitude</w:t>
            </w:r>
          </w:p>
        </w:tc>
        <w:tc>
          <w:tcPr>
            <w:tcW w:w="1701" w:type="dxa"/>
          </w:tcPr>
          <w:p w14:paraId="409613BC"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Latitude</w:t>
            </w:r>
          </w:p>
        </w:tc>
        <w:tc>
          <w:tcPr>
            <w:tcW w:w="1418" w:type="dxa"/>
          </w:tcPr>
          <w:p w14:paraId="587FE14C"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Declination</w:t>
            </w:r>
          </w:p>
        </w:tc>
        <w:tc>
          <w:tcPr>
            <w:tcW w:w="2358" w:type="dxa"/>
          </w:tcPr>
          <w:p w14:paraId="3CF2FDD2"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Possible Dates*</w:t>
            </w:r>
          </w:p>
        </w:tc>
      </w:tr>
      <w:tr w:rsidR="00297498" w14:paraId="0D7AB3BB" w14:textId="77777777" w:rsidTr="006123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0AFB540" w14:textId="77777777" w:rsidR="00297498" w:rsidRDefault="00297498" w:rsidP="00612325">
            <w:pPr>
              <w:spacing w:line="360" w:lineRule="auto"/>
            </w:pPr>
            <w:r>
              <w:t>BA</w:t>
            </w:r>
          </w:p>
        </w:tc>
        <w:tc>
          <w:tcPr>
            <w:tcW w:w="992" w:type="dxa"/>
          </w:tcPr>
          <w:p w14:paraId="3FC910F9"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77</w:t>
            </w:r>
            <w:r>
              <w:rPr>
                <w:rFonts w:cstheme="minorHAnsi"/>
              </w:rPr>
              <w:t>°</w:t>
            </w:r>
          </w:p>
        </w:tc>
        <w:tc>
          <w:tcPr>
            <w:tcW w:w="1701" w:type="dxa"/>
          </w:tcPr>
          <w:p w14:paraId="1F9CE731"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-1.93</w:t>
            </w:r>
          </w:p>
        </w:tc>
        <w:tc>
          <w:tcPr>
            <w:tcW w:w="1701" w:type="dxa"/>
          </w:tcPr>
          <w:p w14:paraId="615E0842"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-2.9</w:t>
            </w:r>
          </w:p>
        </w:tc>
        <w:tc>
          <w:tcPr>
            <w:tcW w:w="1418" w:type="dxa"/>
          </w:tcPr>
          <w:p w14:paraId="6F6FB46D"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13.08</w:t>
            </w:r>
          </w:p>
        </w:tc>
        <w:tc>
          <w:tcPr>
            <w:tcW w:w="2358" w:type="dxa"/>
          </w:tcPr>
          <w:p w14:paraId="2B699B61"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20</w:t>
            </w:r>
            <w:r w:rsidRPr="008A5B62">
              <w:rPr>
                <w:vertAlign w:val="superscript"/>
              </w:rPr>
              <w:t>th</w:t>
            </w:r>
            <w:r>
              <w:t xml:space="preserve"> April or 13</w:t>
            </w:r>
            <w:r w:rsidRPr="008A5B62">
              <w:rPr>
                <w:vertAlign w:val="superscript"/>
              </w:rPr>
              <w:t>th</w:t>
            </w:r>
            <w:r>
              <w:t xml:space="preserve"> August</w:t>
            </w:r>
          </w:p>
        </w:tc>
      </w:tr>
      <w:tr w:rsidR="00297498" w14:paraId="71943B3E" w14:textId="77777777" w:rsidTr="00612325">
        <w:tc>
          <w:tcPr>
            <w:cnfStyle w:val="001000000000" w:firstRow="0" w:lastRow="0" w:firstColumn="1" w:lastColumn="0" w:oddVBand="0" w:evenVBand="0" w:oddHBand="0" w:evenHBand="0" w:firstRowFirstColumn="0" w:firstRowLastColumn="0" w:lastRowFirstColumn="0" w:lastRowLastColumn="0"/>
            <w:tcW w:w="846" w:type="dxa"/>
          </w:tcPr>
          <w:p w14:paraId="374DB818" w14:textId="77777777" w:rsidR="00297498" w:rsidRDefault="00297498" w:rsidP="00612325">
            <w:pPr>
              <w:spacing w:line="360" w:lineRule="auto"/>
            </w:pPr>
            <w:r>
              <w:t>CD</w:t>
            </w:r>
          </w:p>
        </w:tc>
        <w:tc>
          <w:tcPr>
            <w:tcW w:w="992" w:type="dxa"/>
          </w:tcPr>
          <w:p w14:paraId="3B9C3C2C"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81</w:t>
            </w:r>
            <w:r>
              <w:rPr>
                <w:rFonts w:cstheme="minorHAnsi"/>
              </w:rPr>
              <w:t>°</w:t>
            </w:r>
          </w:p>
        </w:tc>
        <w:tc>
          <w:tcPr>
            <w:tcW w:w="1701" w:type="dxa"/>
          </w:tcPr>
          <w:p w14:paraId="73BD3A73"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-1.93</w:t>
            </w:r>
          </w:p>
        </w:tc>
        <w:tc>
          <w:tcPr>
            <w:tcW w:w="1701" w:type="dxa"/>
          </w:tcPr>
          <w:p w14:paraId="3D783F25"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-2.9</w:t>
            </w:r>
          </w:p>
        </w:tc>
        <w:tc>
          <w:tcPr>
            <w:tcW w:w="1418" w:type="dxa"/>
          </w:tcPr>
          <w:p w14:paraId="491B4189"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9.08</w:t>
            </w:r>
          </w:p>
        </w:tc>
        <w:tc>
          <w:tcPr>
            <w:tcW w:w="2358" w:type="dxa"/>
          </w:tcPr>
          <w:p w14:paraId="35AE0F78"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9</w:t>
            </w:r>
            <w:r w:rsidRPr="008A5B62">
              <w:rPr>
                <w:vertAlign w:val="superscript"/>
              </w:rPr>
              <w:t>th</w:t>
            </w:r>
            <w:r>
              <w:t xml:space="preserve"> April or 25</w:t>
            </w:r>
            <w:r w:rsidRPr="008A5B62">
              <w:rPr>
                <w:vertAlign w:val="superscript"/>
              </w:rPr>
              <w:t>th</w:t>
            </w:r>
            <w:r>
              <w:t xml:space="preserve"> August</w:t>
            </w:r>
          </w:p>
        </w:tc>
      </w:tr>
    </w:tbl>
    <w:p w14:paraId="5EB1B2C2" w14:textId="77777777" w:rsidR="00297498" w:rsidRPr="007D0A4B" w:rsidRDefault="00297498" w:rsidP="00297498">
      <w:pPr>
        <w:spacing w:line="360" w:lineRule="auto"/>
        <w:jc w:val="center"/>
      </w:pPr>
      <w:r>
        <w:t>*</w:t>
      </w:r>
      <w:r w:rsidRPr="00E03ABA">
        <w:rPr>
          <w:sz w:val="20"/>
          <w:szCs w:val="20"/>
        </w:rPr>
        <w:t>The dates have made allowance for the Julian calendar, for the year 750 AD, by subtracting four days from the Gregorian readings</w:t>
      </w:r>
      <w:r>
        <w:t>.</w:t>
      </w:r>
      <w:r>
        <w:rPr>
          <w:rStyle w:val="FootnoteReference"/>
        </w:rPr>
        <w:footnoteReference w:id="39"/>
      </w:r>
    </w:p>
    <w:p w14:paraId="6223926B" w14:textId="77777777" w:rsidR="00297498" w:rsidRDefault="00297498" w:rsidP="00297498">
      <w:pPr>
        <w:spacing w:line="360" w:lineRule="auto"/>
        <w:jc w:val="center"/>
      </w:pPr>
      <w:r>
        <w:t>Table One: Orientation Measurements for Sunrise.</w:t>
      </w:r>
    </w:p>
    <w:p w14:paraId="09B4F9D4" w14:textId="77777777" w:rsidR="00297498" w:rsidRDefault="00297498" w:rsidP="00297498">
      <w:pPr>
        <w:pStyle w:val="Heading4"/>
        <w:spacing w:line="360" w:lineRule="auto"/>
      </w:pPr>
    </w:p>
    <w:p w14:paraId="4F4C7E20" w14:textId="77777777" w:rsidR="00297498" w:rsidRDefault="00297498" w:rsidP="00297498">
      <w:pPr>
        <w:spacing w:line="360" w:lineRule="auto"/>
        <w:jc w:val="center"/>
      </w:pPr>
    </w:p>
    <w:p w14:paraId="448F610D" w14:textId="7B38EDB6" w:rsidR="00297498" w:rsidRDefault="00297498" w:rsidP="00297498">
      <w:pPr>
        <w:spacing w:line="360" w:lineRule="auto"/>
        <w:rPr>
          <w:sz w:val="24"/>
          <w:szCs w:val="24"/>
        </w:rPr>
      </w:pPr>
      <w:r w:rsidRPr="00297498">
        <w:rPr>
          <w:sz w:val="24"/>
          <w:szCs w:val="24"/>
        </w:rPr>
        <w:t>Hoare and Sweet found that ‘liturgically-correct alignment was regarded as desirable’ by medieval church builders and that their true east alignments were largely successful.</w:t>
      </w:r>
      <w:r w:rsidRPr="00297498">
        <w:rPr>
          <w:rStyle w:val="FootnoteReference"/>
          <w:sz w:val="24"/>
          <w:szCs w:val="24"/>
        </w:rPr>
        <w:footnoteReference w:id="40"/>
      </w:r>
      <w:r w:rsidRPr="00297498">
        <w:rPr>
          <w:sz w:val="24"/>
          <w:szCs w:val="24"/>
        </w:rPr>
        <w:t xml:space="preserve"> Allowing for a 10</w:t>
      </w:r>
      <w:r w:rsidRPr="00297498">
        <w:rPr>
          <w:rFonts w:cstheme="minorHAnsi"/>
          <w:sz w:val="24"/>
          <w:szCs w:val="24"/>
        </w:rPr>
        <w:t>°</w:t>
      </w:r>
      <w:r w:rsidRPr="00297498">
        <w:rPr>
          <w:sz w:val="24"/>
          <w:szCs w:val="24"/>
        </w:rPr>
        <w:t xml:space="preserve"> tolerance, Hoare and Sweet suggested that existing townscapes might have affected orientation at the time of construction.</w:t>
      </w:r>
      <w:r w:rsidRPr="00297498">
        <w:rPr>
          <w:rStyle w:val="FootnoteReference"/>
          <w:sz w:val="24"/>
          <w:szCs w:val="24"/>
        </w:rPr>
        <w:footnoteReference w:id="41"/>
      </w:r>
      <w:r w:rsidRPr="00297498">
        <w:rPr>
          <w:sz w:val="24"/>
          <w:szCs w:val="24"/>
        </w:rPr>
        <w:t xml:space="preserve"> However, in Heysham, the chapel was built on the rocks overlooking the sea, whereas the village itself sits down in a hollow a distance from the chapel, so pre-existing townscapes were unlikely to have been the reason that it is not facing true east. Even though the azimuth appears not be </w:t>
      </w:r>
      <w:r w:rsidR="00954118">
        <w:rPr>
          <w:sz w:val="24"/>
          <w:szCs w:val="24"/>
        </w:rPr>
        <w:t xml:space="preserve">exactly </w:t>
      </w:r>
      <w:r w:rsidRPr="00297498">
        <w:rPr>
          <w:sz w:val="24"/>
          <w:szCs w:val="24"/>
        </w:rPr>
        <w:t>true east, these measurements are only a few degrees out, so, assuming the altar was set against the back wall of the chapel opposite the entrance, the findings do suggest that the altar of the chapel is oriented east, as advised by Isidore of Seville</w:t>
      </w:r>
      <w:r w:rsidR="00954118">
        <w:rPr>
          <w:sz w:val="24"/>
          <w:szCs w:val="24"/>
        </w:rPr>
        <w:t>, and the entrance (assumed to be where the wall is missing) lay on the west</w:t>
      </w:r>
      <w:r w:rsidRPr="00297498">
        <w:rPr>
          <w:sz w:val="24"/>
          <w:szCs w:val="24"/>
        </w:rPr>
        <w:t xml:space="preserve">. </w:t>
      </w:r>
    </w:p>
    <w:p w14:paraId="0D567821" w14:textId="77777777" w:rsidR="00954118" w:rsidRPr="00297498" w:rsidRDefault="00954118" w:rsidP="00297498">
      <w:pPr>
        <w:spacing w:line="360" w:lineRule="auto"/>
        <w:rPr>
          <w:sz w:val="24"/>
          <w:szCs w:val="24"/>
        </w:rPr>
      </w:pPr>
    </w:p>
    <w:p w14:paraId="4B8AF7E1" w14:textId="64EC8223" w:rsidR="00297498" w:rsidRDefault="00297498" w:rsidP="00297498">
      <w:pPr>
        <w:spacing w:line="360" w:lineRule="auto"/>
        <w:rPr>
          <w:sz w:val="24"/>
          <w:szCs w:val="24"/>
        </w:rPr>
      </w:pPr>
      <w:r w:rsidRPr="00297498">
        <w:rPr>
          <w:sz w:val="24"/>
          <w:szCs w:val="24"/>
        </w:rPr>
        <w:t>In terms of being aligned with special feast days,</w:t>
      </w:r>
      <w:r w:rsidRPr="00297498">
        <w:rPr>
          <w:color w:val="FF0000"/>
          <w:sz w:val="24"/>
          <w:szCs w:val="24"/>
        </w:rPr>
        <w:t xml:space="preserve"> </w:t>
      </w:r>
      <w:r w:rsidRPr="00297498">
        <w:rPr>
          <w:sz w:val="24"/>
          <w:szCs w:val="24"/>
        </w:rPr>
        <w:t xml:space="preserve">the B-A axis suggests a possible alignment with the feast of </w:t>
      </w:r>
      <w:r w:rsidRPr="00297498">
        <w:rPr>
          <w:rFonts w:cstheme="minorHAnsi"/>
          <w:sz w:val="24"/>
          <w:szCs w:val="24"/>
          <w:shd w:val="clear" w:color="auto" w:fill="FFFFFF"/>
        </w:rPr>
        <w:t>Ælfheah of Canterbury on 19</w:t>
      </w:r>
      <w:r w:rsidRPr="00297498">
        <w:rPr>
          <w:rFonts w:cstheme="minorHAnsi"/>
          <w:sz w:val="24"/>
          <w:szCs w:val="24"/>
          <w:shd w:val="clear" w:color="auto" w:fill="FFFFFF"/>
          <w:vertAlign w:val="superscript"/>
        </w:rPr>
        <w:t>th</w:t>
      </w:r>
      <w:r w:rsidRPr="00297498">
        <w:rPr>
          <w:rFonts w:cstheme="minorHAnsi"/>
          <w:sz w:val="24"/>
          <w:szCs w:val="24"/>
          <w:shd w:val="clear" w:color="auto" w:fill="FFFFFF"/>
        </w:rPr>
        <w:t xml:space="preserve"> April</w:t>
      </w:r>
      <w:r w:rsidRPr="00297498">
        <w:rPr>
          <w:rStyle w:val="FootnoteReference"/>
          <w:rFonts w:cstheme="minorHAnsi"/>
          <w:sz w:val="24"/>
          <w:szCs w:val="24"/>
          <w:shd w:val="clear" w:color="auto" w:fill="FFFFFF"/>
        </w:rPr>
        <w:footnoteReference w:id="42"/>
      </w:r>
      <w:r w:rsidRPr="00297498">
        <w:rPr>
          <w:rFonts w:cstheme="minorHAnsi"/>
          <w:sz w:val="24"/>
          <w:szCs w:val="24"/>
          <w:shd w:val="clear" w:color="auto" w:fill="FFFFFF"/>
        </w:rPr>
        <w:t xml:space="preserve">, however, as he was not canonised until after the date of construction of the chapel, this seems an unlikely alignment. </w:t>
      </w:r>
      <w:r w:rsidRPr="00297498">
        <w:rPr>
          <w:sz w:val="24"/>
          <w:szCs w:val="24"/>
        </w:rPr>
        <w:t>In early medieval England, the Marian Day of Assumption was widely observed on 15</w:t>
      </w:r>
      <w:r w:rsidRPr="00297498">
        <w:rPr>
          <w:sz w:val="24"/>
          <w:szCs w:val="24"/>
          <w:vertAlign w:val="superscript"/>
        </w:rPr>
        <w:t>th</w:t>
      </w:r>
      <w:r w:rsidRPr="00297498">
        <w:rPr>
          <w:sz w:val="24"/>
          <w:szCs w:val="24"/>
        </w:rPr>
        <w:t xml:space="preserve"> August,</w:t>
      </w:r>
      <w:r w:rsidRPr="00297498">
        <w:rPr>
          <w:rStyle w:val="FootnoteReference"/>
          <w:sz w:val="24"/>
          <w:szCs w:val="24"/>
        </w:rPr>
        <w:footnoteReference w:id="43"/>
      </w:r>
      <w:r w:rsidRPr="00297498">
        <w:rPr>
          <w:sz w:val="24"/>
          <w:szCs w:val="24"/>
        </w:rPr>
        <w:t xml:space="preserve"> which is quite close to the </w:t>
      </w:r>
      <w:proofErr w:type="gramStart"/>
      <w:r w:rsidRPr="00297498">
        <w:rPr>
          <w:sz w:val="24"/>
          <w:szCs w:val="24"/>
        </w:rPr>
        <w:t>13</w:t>
      </w:r>
      <w:r w:rsidRPr="00297498">
        <w:rPr>
          <w:sz w:val="24"/>
          <w:szCs w:val="24"/>
          <w:vertAlign w:val="superscript"/>
        </w:rPr>
        <w:t>th</w:t>
      </w:r>
      <w:proofErr w:type="gramEnd"/>
      <w:r w:rsidRPr="00297498">
        <w:rPr>
          <w:sz w:val="24"/>
          <w:szCs w:val="24"/>
        </w:rPr>
        <w:t xml:space="preserve"> August orientation that this study found. </w:t>
      </w:r>
      <w:r w:rsidRPr="00297498">
        <w:rPr>
          <w:rFonts w:cstheme="minorHAnsi"/>
          <w:sz w:val="24"/>
          <w:szCs w:val="24"/>
          <w:shd w:val="clear" w:color="auto" w:fill="FFFFFF"/>
        </w:rPr>
        <w:t>McCluskey noted that orienting churches towards the feast-days of patronal saints would result in a range of different orientations, which would, therefore, violate the instruction from church leaders to align churches with true east.</w:t>
      </w:r>
      <w:r w:rsidRPr="00297498">
        <w:rPr>
          <w:rStyle w:val="FootnoteReference"/>
          <w:rFonts w:cstheme="minorHAnsi"/>
          <w:sz w:val="24"/>
          <w:szCs w:val="24"/>
          <w:shd w:val="clear" w:color="auto" w:fill="FFFFFF"/>
        </w:rPr>
        <w:footnoteReference w:id="44"/>
      </w:r>
      <w:r w:rsidRPr="00297498">
        <w:rPr>
          <w:rFonts w:cstheme="minorHAnsi"/>
          <w:sz w:val="24"/>
          <w:szCs w:val="24"/>
          <w:shd w:val="clear" w:color="auto" w:fill="FFFFFF"/>
        </w:rPr>
        <w:t xml:space="preserve"> </w:t>
      </w:r>
      <w:r w:rsidRPr="00297498">
        <w:rPr>
          <w:sz w:val="24"/>
          <w:szCs w:val="24"/>
        </w:rPr>
        <w:t>Hoare and Sweet also dismissed the theory that medieval churches were aligned with the feast-days of their patronal saint</w:t>
      </w:r>
      <w:r w:rsidRPr="00297498">
        <w:rPr>
          <w:rStyle w:val="FootnoteReference"/>
          <w:sz w:val="24"/>
          <w:szCs w:val="24"/>
        </w:rPr>
        <w:footnoteReference w:id="45"/>
      </w:r>
      <w:r w:rsidRPr="00297498">
        <w:rPr>
          <w:sz w:val="24"/>
          <w:szCs w:val="24"/>
        </w:rPr>
        <w:t xml:space="preserve"> and Hinton decided to omit Mary dedications from his discussions of his findings because there are several possible feast-days dedicated to her every year.</w:t>
      </w:r>
      <w:r w:rsidRPr="00297498">
        <w:rPr>
          <w:rStyle w:val="FootnoteReference"/>
          <w:sz w:val="24"/>
          <w:szCs w:val="24"/>
        </w:rPr>
        <w:footnoteReference w:id="46"/>
      </w:r>
      <w:r w:rsidRPr="00297498">
        <w:rPr>
          <w:sz w:val="24"/>
          <w:szCs w:val="24"/>
        </w:rPr>
        <w:t xml:space="preserve"> Hinton’s data nevertheless suggested a significant number of churches are dedicated to St Mary and appear to orient towards a Marion festival.</w:t>
      </w:r>
      <w:r w:rsidRPr="00297498">
        <w:rPr>
          <w:rStyle w:val="FootnoteReference"/>
          <w:sz w:val="24"/>
          <w:szCs w:val="24"/>
        </w:rPr>
        <w:footnoteReference w:id="47"/>
      </w:r>
      <w:r w:rsidRPr="00297498">
        <w:rPr>
          <w:sz w:val="24"/>
          <w:szCs w:val="24"/>
        </w:rPr>
        <w:t xml:space="preserve"> On a blogpost on the Catholic Culture website, Father Francis Weiser explains that the observation of Mary’s Assumption on 15</w:t>
      </w:r>
      <w:r w:rsidRPr="00297498">
        <w:rPr>
          <w:sz w:val="24"/>
          <w:szCs w:val="24"/>
          <w:vertAlign w:val="superscript"/>
        </w:rPr>
        <w:t>th</w:t>
      </w:r>
      <w:r w:rsidRPr="00297498">
        <w:rPr>
          <w:sz w:val="24"/>
          <w:szCs w:val="24"/>
        </w:rPr>
        <w:t xml:space="preserve"> August, one of the oldest Mary festivals, can be traced back to Palestine to 529,</w:t>
      </w:r>
      <w:r w:rsidRPr="00297498">
        <w:rPr>
          <w:rStyle w:val="FootnoteReference"/>
          <w:sz w:val="24"/>
          <w:szCs w:val="24"/>
        </w:rPr>
        <w:footnoteReference w:id="48"/>
      </w:r>
      <w:r w:rsidRPr="00297498">
        <w:rPr>
          <w:sz w:val="24"/>
          <w:szCs w:val="24"/>
        </w:rPr>
        <w:t xml:space="preserve"> so it is not unreasonable to suppose that the monastic community in early medieval Heysham might have observed this festival. In the village where my parents lived in </w:t>
      </w:r>
      <w:r w:rsidR="00954118">
        <w:rPr>
          <w:sz w:val="24"/>
          <w:szCs w:val="24"/>
        </w:rPr>
        <w:t>n</w:t>
      </w:r>
      <w:r w:rsidRPr="00297498">
        <w:rPr>
          <w:sz w:val="24"/>
          <w:szCs w:val="24"/>
        </w:rPr>
        <w:t xml:space="preserve">orthern Italy, Zorzino, the </w:t>
      </w:r>
      <w:r w:rsidRPr="00297498">
        <w:rPr>
          <w:i/>
          <w:iCs/>
          <w:sz w:val="24"/>
          <w:szCs w:val="24"/>
        </w:rPr>
        <w:t>Ferragosto</w:t>
      </w:r>
      <w:r w:rsidRPr="00297498">
        <w:rPr>
          <w:sz w:val="24"/>
          <w:szCs w:val="24"/>
        </w:rPr>
        <w:t xml:space="preserve"> (Assumption) festival takes place on the 15</w:t>
      </w:r>
      <w:r w:rsidRPr="00297498">
        <w:rPr>
          <w:sz w:val="24"/>
          <w:szCs w:val="24"/>
          <w:vertAlign w:val="superscript"/>
        </w:rPr>
        <w:t>th of</w:t>
      </w:r>
      <w:r w:rsidRPr="00297498">
        <w:rPr>
          <w:sz w:val="24"/>
          <w:szCs w:val="24"/>
        </w:rPr>
        <w:t xml:space="preserve"> August and is one of the most important festivals in the church’s calendar, observed by the whole community. </w:t>
      </w:r>
      <w:r w:rsidRPr="00297498">
        <w:rPr>
          <w:i/>
          <w:iCs/>
          <w:sz w:val="24"/>
          <w:szCs w:val="24"/>
        </w:rPr>
        <w:t>Ferragosto</w:t>
      </w:r>
      <w:r w:rsidRPr="00297498">
        <w:rPr>
          <w:sz w:val="24"/>
          <w:szCs w:val="24"/>
        </w:rPr>
        <w:t xml:space="preserve"> is a bank holiday in Italy whereas Good Friday is not, which reveals how significant a feast-day this is can be for practitioners.  </w:t>
      </w:r>
      <w:r w:rsidRPr="00297498">
        <w:rPr>
          <w:sz w:val="24"/>
          <w:szCs w:val="24"/>
        </w:rPr>
        <w:lastRenderedPageBreak/>
        <w:t>It is possible, then, that the monastic community which planned the construction of St Patrick’s Chapel did intend to orient their altar towards the liturgically important festival of the Assumption on 15</w:t>
      </w:r>
      <w:r w:rsidRPr="00297498">
        <w:rPr>
          <w:sz w:val="24"/>
          <w:szCs w:val="24"/>
          <w:vertAlign w:val="superscript"/>
        </w:rPr>
        <w:t>th</w:t>
      </w:r>
      <w:r w:rsidRPr="00297498">
        <w:rPr>
          <w:sz w:val="24"/>
          <w:szCs w:val="24"/>
        </w:rPr>
        <w:t xml:space="preserve"> August.</w:t>
      </w:r>
    </w:p>
    <w:p w14:paraId="0ADE96CA" w14:textId="77777777" w:rsidR="00B82F9E" w:rsidRDefault="00B82F9E" w:rsidP="00297498">
      <w:pPr>
        <w:spacing w:line="360" w:lineRule="auto"/>
        <w:rPr>
          <w:sz w:val="24"/>
          <w:szCs w:val="24"/>
        </w:rPr>
      </w:pPr>
    </w:p>
    <w:p w14:paraId="605E7D8E" w14:textId="77777777" w:rsidR="00297498" w:rsidRDefault="00297498" w:rsidP="00297498">
      <w:pPr>
        <w:spacing w:line="360" w:lineRule="auto"/>
      </w:pPr>
    </w:p>
    <w:p w14:paraId="240389D4" w14:textId="77777777" w:rsidR="00297498" w:rsidRDefault="00297498" w:rsidP="00297498">
      <w:pPr>
        <w:spacing w:line="360" w:lineRule="auto"/>
        <w:jc w:val="center"/>
      </w:pPr>
      <w:r>
        <w:rPr>
          <w:noProof/>
        </w:rPr>
        <w:drawing>
          <wp:inline distT="0" distB="0" distL="0" distR="0" wp14:anchorId="2FEE6655" wp14:editId="67D8961B">
            <wp:extent cx="1518557" cy="2679806"/>
            <wp:effectExtent l="0" t="0" r="5715" b="6350"/>
            <wp:docPr id="7" name="Picture 7"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utdoo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36263" cy="2711052"/>
                    </a:xfrm>
                    <a:prstGeom prst="rect">
                      <a:avLst/>
                    </a:prstGeom>
                  </pic:spPr>
                </pic:pic>
              </a:graphicData>
            </a:graphic>
          </wp:inline>
        </w:drawing>
      </w:r>
    </w:p>
    <w:p w14:paraId="36CB4A4E" w14:textId="77777777" w:rsidR="00297498" w:rsidRDefault="00297498" w:rsidP="00297498">
      <w:pPr>
        <w:spacing w:line="360" w:lineRule="auto"/>
        <w:jc w:val="center"/>
      </w:pPr>
      <w:r w:rsidRPr="00E03ABA">
        <w:t xml:space="preserve">Figure Five: Sun rising along the </w:t>
      </w:r>
      <w:r>
        <w:t>C-D wall. Photograph C Allen, April 2023.</w:t>
      </w:r>
    </w:p>
    <w:p w14:paraId="69D9B76B" w14:textId="77777777" w:rsidR="00297498" w:rsidRPr="00297498" w:rsidRDefault="00297498" w:rsidP="00297498">
      <w:pPr>
        <w:spacing w:line="360" w:lineRule="auto"/>
        <w:jc w:val="center"/>
        <w:rPr>
          <w:sz w:val="24"/>
          <w:szCs w:val="24"/>
        </w:rPr>
      </w:pPr>
    </w:p>
    <w:p w14:paraId="2D544982" w14:textId="77777777" w:rsidR="00297498" w:rsidRDefault="00297498" w:rsidP="00297498">
      <w:pPr>
        <w:spacing w:line="360" w:lineRule="auto"/>
      </w:pPr>
    </w:p>
    <w:p w14:paraId="21583064" w14:textId="77777777" w:rsidR="00B82F9E" w:rsidRDefault="00B82F9E" w:rsidP="00297498">
      <w:pPr>
        <w:pStyle w:val="Heading2"/>
        <w:spacing w:line="360" w:lineRule="auto"/>
        <w:rPr>
          <w:b/>
          <w:bCs/>
          <w:color w:val="auto"/>
        </w:rPr>
      </w:pPr>
    </w:p>
    <w:p w14:paraId="1594C0BE" w14:textId="184B71C4" w:rsidR="00297498" w:rsidRPr="00297498" w:rsidRDefault="00297498" w:rsidP="00297498">
      <w:pPr>
        <w:pStyle w:val="Heading2"/>
        <w:spacing w:line="360" w:lineRule="auto"/>
        <w:rPr>
          <w:b/>
          <w:bCs/>
          <w:color w:val="auto"/>
        </w:rPr>
      </w:pPr>
      <w:r w:rsidRPr="00297498">
        <w:rPr>
          <w:b/>
          <w:bCs/>
          <w:color w:val="auto"/>
        </w:rPr>
        <w:t xml:space="preserve">Sunset </w:t>
      </w:r>
    </w:p>
    <w:p w14:paraId="4E2F10AA" w14:textId="38FA83B4" w:rsidR="00297498" w:rsidRDefault="00297498" w:rsidP="00297498">
      <w:pPr>
        <w:spacing w:line="360" w:lineRule="auto"/>
        <w:rPr>
          <w:sz w:val="24"/>
          <w:szCs w:val="24"/>
        </w:rPr>
      </w:pPr>
      <w:r w:rsidRPr="00297498">
        <w:rPr>
          <w:sz w:val="24"/>
          <w:szCs w:val="24"/>
        </w:rPr>
        <w:t>The following table shows the declination dates for the westward orientation of the chapel.</w:t>
      </w:r>
      <w:r w:rsidRPr="00297498">
        <w:rPr>
          <w:sz w:val="24"/>
          <w:szCs w:val="24"/>
        </w:rPr>
        <w:t xml:space="preserve"> </w:t>
      </w:r>
      <w:r w:rsidRPr="00297498">
        <w:rPr>
          <w:sz w:val="24"/>
          <w:szCs w:val="24"/>
        </w:rPr>
        <w:t>Both walls orient west, although not true west, unlike the measurement gained when the compass was used to measure the view outward to the sea from the middle of the chapel interior (270</w:t>
      </w:r>
      <w:r w:rsidRPr="00297498">
        <w:rPr>
          <w:rFonts w:cstheme="minorHAnsi"/>
          <w:sz w:val="24"/>
          <w:szCs w:val="24"/>
        </w:rPr>
        <w:t>°</w:t>
      </w:r>
      <w:r w:rsidRPr="00297498">
        <w:rPr>
          <w:sz w:val="24"/>
          <w:szCs w:val="24"/>
        </w:rPr>
        <w:t>).</w:t>
      </w:r>
    </w:p>
    <w:p w14:paraId="2B91201C" w14:textId="77777777" w:rsidR="00B82F9E" w:rsidRPr="00297498" w:rsidRDefault="00B82F9E" w:rsidP="00297498">
      <w:pPr>
        <w:spacing w:line="360" w:lineRule="auto"/>
        <w:rPr>
          <w:sz w:val="24"/>
          <w:szCs w:val="24"/>
        </w:rPr>
      </w:pPr>
    </w:p>
    <w:p w14:paraId="06B2FB90" w14:textId="7E9F1BCD" w:rsidR="00297498" w:rsidRPr="00297498" w:rsidRDefault="00297498" w:rsidP="00297498">
      <w:pPr>
        <w:spacing w:line="360" w:lineRule="auto"/>
        <w:rPr>
          <w:sz w:val="24"/>
          <w:szCs w:val="24"/>
        </w:rPr>
      </w:pPr>
    </w:p>
    <w:p w14:paraId="1B69822E" w14:textId="77777777" w:rsidR="00297498" w:rsidRDefault="00297498" w:rsidP="00297498">
      <w:pPr>
        <w:spacing w:line="360" w:lineRule="auto"/>
      </w:pPr>
    </w:p>
    <w:tbl>
      <w:tblPr>
        <w:tblStyle w:val="GridTable2-Accent5"/>
        <w:tblW w:w="0" w:type="auto"/>
        <w:tblLook w:val="04A0" w:firstRow="1" w:lastRow="0" w:firstColumn="1" w:lastColumn="0" w:noHBand="0" w:noVBand="1"/>
      </w:tblPr>
      <w:tblGrid>
        <w:gridCol w:w="846"/>
        <w:gridCol w:w="992"/>
        <w:gridCol w:w="1701"/>
        <w:gridCol w:w="1701"/>
        <w:gridCol w:w="1418"/>
        <w:gridCol w:w="2358"/>
      </w:tblGrid>
      <w:tr w:rsidR="00297498" w14:paraId="758DEE49" w14:textId="77777777" w:rsidTr="006123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9B3E166" w14:textId="77777777" w:rsidR="00297498" w:rsidRDefault="00297498" w:rsidP="00612325">
            <w:pPr>
              <w:spacing w:line="360" w:lineRule="auto"/>
            </w:pPr>
            <w:r>
              <w:lastRenderedPageBreak/>
              <w:t>Axis</w:t>
            </w:r>
          </w:p>
        </w:tc>
        <w:tc>
          <w:tcPr>
            <w:tcW w:w="992" w:type="dxa"/>
          </w:tcPr>
          <w:p w14:paraId="44DAD2DB"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Azimuth</w:t>
            </w:r>
          </w:p>
        </w:tc>
        <w:tc>
          <w:tcPr>
            <w:tcW w:w="1701" w:type="dxa"/>
          </w:tcPr>
          <w:p w14:paraId="19D7FC5E"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Altitude</w:t>
            </w:r>
          </w:p>
        </w:tc>
        <w:tc>
          <w:tcPr>
            <w:tcW w:w="1701" w:type="dxa"/>
          </w:tcPr>
          <w:p w14:paraId="0DF96FB4"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Latitude</w:t>
            </w:r>
          </w:p>
        </w:tc>
        <w:tc>
          <w:tcPr>
            <w:tcW w:w="1418" w:type="dxa"/>
          </w:tcPr>
          <w:p w14:paraId="353EFFCB"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Declination</w:t>
            </w:r>
          </w:p>
        </w:tc>
        <w:tc>
          <w:tcPr>
            <w:tcW w:w="2358" w:type="dxa"/>
          </w:tcPr>
          <w:p w14:paraId="4CE7D973"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Possible Dates*</w:t>
            </w:r>
          </w:p>
        </w:tc>
      </w:tr>
      <w:tr w:rsidR="00297498" w14:paraId="7BA7F465" w14:textId="77777777" w:rsidTr="006123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0FB5ABB" w14:textId="77777777" w:rsidR="00297498" w:rsidRDefault="00297498" w:rsidP="00612325">
            <w:pPr>
              <w:spacing w:line="360" w:lineRule="auto"/>
            </w:pPr>
            <w:r>
              <w:t>AB</w:t>
            </w:r>
          </w:p>
        </w:tc>
        <w:tc>
          <w:tcPr>
            <w:tcW w:w="992" w:type="dxa"/>
          </w:tcPr>
          <w:p w14:paraId="25D4ADA6"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259</w:t>
            </w:r>
          </w:p>
        </w:tc>
        <w:tc>
          <w:tcPr>
            <w:tcW w:w="1701" w:type="dxa"/>
          </w:tcPr>
          <w:p w14:paraId="6B167A7D"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0</w:t>
            </w:r>
          </w:p>
        </w:tc>
        <w:tc>
          <w:tcPr>
            <w:tcW w:w="1701" w:type="dxa"/>
          </w:tcPr>
          <w:p w14:paraId="58660EA9"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54.04</w:t>
            </w:r>
          </w:p>
        </w:tc>
        <w:tc>
          <w:tcPr>
            <w:tcW w:w="1418" w:type="dxa"/>
          </w:tcPr>
          <w:p w14:paraId="5E4D4FF8"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-6.43</w:t>
            </w:r>
          </w:p>
        </w:tc>
        <w:tc>
          <w:tcPr>
            <w:tcW w:w="2358" w:type="dxa"/>
          </w:tcPr>
          <w:p w14:paraId="5701D07B"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29</w:t>
            </w:r>
            <w:r w:rsidRPr="00082B07">
              <w:rPr>
                <w:vertAlign w:val="superscript"/>
              </w:rPr>
              <w:t>th</w:t>
            </w:r>
            <w:r>
              <w:t xml:space="preserve"> February or 5</w:t>
            </w:r>
            <w:r w:rsidRPr="00082B07">
              <w:rPr>
                <w:vertAlign w:val="superscript"/>
              </w:rPr>
              <w:t>th</w:t>
            </w:r>
            <w:r>
              <w:t xml:space="preserve"> October</w:t>
            </w:r>
          </w:p>
        </w:tc>
      </w:tr>
      <w:tr w:rsidR="00297498" w14:paraId="0A4AA2B4" w14:textId="77777777" w:rsidTr="00612325">
        <w:tc>
          <w:tcPr>
            <w:cnfStyle w:val="001000000000" w:firstRow="0" w:lastRow="0" w:firstColumn="1" w:lastColumn="0" w:oddVBand="0" w:evenVBand="0" w:oddHBand="0" w:evenHBand="0" w:firstRowFirstColumn="0" w:firstRowLastColumn="0" w:lastRowFirstColumn="0" w:lastRowLastColumn="0"/>
            <w:tcW w:w="846" w:type="dxa"/>
          </w:tcPr>
          <w:p w14:paraId="7557AE3D" w14:textId="77777777" w:rsidR="00297498" w:rsidRDefault="00297498" w:rsidP="00612325">
            <w:pPr>
              <w:spacing w:line="360" w:lineRule="auto"/>
            </w:pPr>
            <w:r>
              <w:t>DC</w:t>
            </w:r>
          </w:p>
        </w:tc>
        <w:tc>
          <w:tcPr>
            <w:tcW w:w="992" w:type="dxa"/>
          </w:tcPr>
          <w:p w14:paraId="3FC45B90"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263</w:t>
            </w:r>
          </w:p>
        </w:tc>
        <w:tc>
          <w:tcPr>
            <w:tcW w:w="1701" w:type="dxa"/>
          </w:tcPr>
          <w:p w14:paraId="6AF97176"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0</w:t>
            </w:r>
          </w:p>
        </w:tc>
        <w:tc>
          <w:tcPr>
            <w:tcW w:w="1701" w:type="dxa"/>
          </w:tcPr>
          <w:p w14:paraId="7E82A703"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54.04</w:t>
            </w:r>
          </w:p>
        </w:tc>
        <w:tc>
          <w:tcPr>
            <w:tcW w:w="1418" w:type="dxa"/>
          </w:tcPr>
          <w:p w14:paraId="754E14B3"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-4.10</w:t>
            </w:r>
          </w:p>
        </w:tc>
        <w:tc>
          <w:tcPr>
            <w:tcW w:w="2358" w:type="dxa"/>
          </w:tcPr>
          <w:p w14:paraId="4F7D058C"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5</w:t>
            </w:r>
            <w:r w:rsidRPr="00082B07">
              <w:rPr>
                <w:vertAlign w:val="superscript"/>
              </w:rPr>
              <w:t>th</w:t>
            </w:r>
            <w:r>
              <w:t xml:space="preserve"> March or 30</w:t>
            </w:r>
            <w:r w:rsidRPr="00082B07">
              <w:rPr>
                <w:vertAlign w:val="superscript"/>
              </w:rPr>
              <w:t>th</w:t>
            </w:r>
            <w:r>
              <w:t xml:space="preserve"> September</w:t>
            </w:r>
          </w:p>
        </w:tc>
      </w:tr>
    </w:tbl>
    <w:p w14:paraId="6C509ADF" w14:textId="77777777" w:rsidR="00297498" w:rsidRPr="00DE09FC" w:rsidRDefault="00297498" w:rsidP="00297498">
      <w:pPr>
        <w:spacing w:line="360" w:lineRule="auto"/>
        <w:jc w:val="center"/>
        <w:rPr>
          <w:color w:val="FF0000"/>
        </w:rPr>
      </w:pPr>
      <w:r>
        <w:t>*</w:t>
      </w:r>
      <w:r w:rsidRPr="00A501BD">
        <w:rPr>
          <w:sz w:val="20"/>
          <w:szCs w:val="20"/>
        </w:rPr>
        <w:t>The dates have made allowance for the Julian calendar, for the year 750 AD, by subtracting four days from the Gregorian readings</w:t>
      </w:r>
      <w:r>
        <w:t>.</w:t>
      </w:r>
      <w:r>
        <w:rPr>
          <w:rStyle w:val="FootnoteReference"/>
        </w:rPr>
        <w:footnoteReference w:id="49"/>
      </w:r>
    </w:p>
    <w:p w14:paraId="6B5241CA" w14:textId="77777777" w:rsidR="00297498" w:rsidRDefault="00297498" w:rsidP="00297498">
      <w:pPr>
        <w:spacing w:line="360" w:lineRule="auto"/>
        <w:jc w:val="center"/>
      </w:pPr>
      <w:r>
        <w:t>Table Two: Orientation Measurements for Sunset.</w:t>
      </w:r>
    </w:p>
    <w:p w14:paraId="4DB2C80F" w14:textId="77777777" w:rsidR="00297498" w:rsidRDefault="00297498" w:rsidP="00297498">
      <w:pPr>
        <w:spacing w:line="360" w:lineRule="auto"/>
      </w:pPr>
    </w:p>
    <w:p w14:paraId="671FA539" w14:textId="77777777" w:rsidR="00297498" w:rsidRPr="00297498" w:rsidRDefault="00297498" w:rsidP="00297498">
      <w:pPr>
        <w:spacing w:line="360" w:lineRule="auto"/>
        <w:rPr>
          <w:sz w:val="24"/>
          <w:szCs w:val="24"/>
        </w:rPr>
      </w:pPr>
    </w:p>
    <w:p w14:paraId="44125AA4" w14:textId="77777777" w:rsidR="00297498" w:rsidRPr="00297498" w:rsidRDefault="00297498" w:rsidP="00297498">
      <w:pPr>
        <w:spacing w:line="360" w:lineRule="auto"/>
        <w:rPr>
          <w:sz w:val="24"/>
          <w:szCs w:val="24"/>
        </w:rPr>
      </w:pPr>
      <w:r w:rsidRPr="00297498">
        <w:rPr>
          <w:sz w:val="24"/>
          <w:szCs w:val="24"/>
        </w:rPr>
        <w:t>The D-C axis’ declination suggests a date that is close to the autumnal equinox, but, perhaps just as significantly, the date is very close to the festival of Michael the Archangel on the 29</w:t>
      </w:r>
      <w:r w:rsidRPr="00297498">
        <w:rPr>
          <w:sz w:val="24"/>
          <w:szCs w:val="24"/>
          <w:vertAlign w:val="superscript"/>
        </w:rPr>
        <w:t>th</w:t>
      </w:r>
      <w:r w:rsidRPr="00297498">
        <w:rPr>
          <w:sz w:val="24"/>
          <w:szCs w:val="24"/>
        </w:rPr>
        <w:t xml:space="preserve"> September, a widely-celebrated feast-day in medieval England.</w:t>
      </w:r>
      <w:r w:rsidRPr="00297498">
        <w:rPr>
          <w:rStyle w:val="FootnoteReference"/>
          <w:sz w:val="24"/>
          <w:szCs w:val="24"/>
        </w:rPr>
        <w:t xml:space="preserve"> </w:t>
      </w:r>
      <w:r w:rsidRPr="00297498">
        <w:rPr>
          <w:rStyle w:val="FootnoteReference"/>
          <w:sz w:val="24"/>
          <w:szCs w:val="24"/>
        </w:rPr>
        <w:footnoteReference w:id="50"/>
      </w:r>
      <w:r w:rsidRPr="00297498">
        <w:rPr>
          <w:sz w:val="24"/>
          <w:szCs w:val="24"/>
        </w:rPr>
        <w:t xml:space="preserve"> This echoes the findings of Brady, Gunzburg and Silva’s 2021 research into the Cistercian abbeys of the United Kingdom, which found that a significant number of Cistercian abbeys surveyed were oriented towards sunset on the Feast of St Michael, 29</w:t>
      </w:r>
      <w:r w:rsidRPr="00297498">
        <w:rPr>
          <w:sz w:val="24"/>
          <w:szCs w:val="24"/>
          <w:vertAlign w:val="superscript"/>
        </w:rPr>
        <w:t>th</w:t>
      </w:r>
      <w:r w:rsidRPr="00297498">
        <w:rPr>
          <w:sz w:val="24"/>
          <w:szCs w:val="24"/>
        </w:rPr>
        <w:t xml:space="preserve"> September.</w:t>
      </w:r>
      <w:r w:rsidRPr="00297498">
        <w:rPr>
          <w:rStyle w:val="FootnoteReference"/>
          <w:sz w:val="24"/>
          <w:szCs w:val="24"/>
        </w:rPr>
        <w:footnoteReference w:id="51"/>
      </w:r>
      <w:r w:rsidRPr="00297498">
        <w:rPr>
          <w:sz w:val="24"/>
          <w:szCs w:val="24"/>
        </w:rPr>
        <w:t xml:space="preserve"> They noted Michael’s strong connection to Mary, whose soul was entrusted to the protection of Michael.</w:t>
      </w:r>
      <w:r w:rsidRPr="00297498">
        <w:rPr>
          <w:rStyle w:val="FootnoteReference"/>
          <w:sz w:val="24"/>
          <w:szCs w:val="24"/>
        </w:rPr>
        <w:footnoteReference w:id="52"/>
      </w:r>
      <w:r w:rsidRPr="00297498">
        <w:rPr>
          <w:sz w:val="24"/>
          <w:szCs w:val="24"/>
        </w:rPr>
        <w:t xml:space="preserve"> This link between Mary and Michael might be significant for St Patrick’s Chapel as the east wall is oriented toward the feast of the Assumption. Is it possible that the builders of St Patrick’s Chapel intentionally oriented towards sunrise on the Feast of the Assumption and towards sunset on Michaelmas? </w:t>
      </w:r>
    </w:p>
    <w:p w14:paraId="30E0C90A" w14:textId="77777777" w:rsidR="00B82F9E" w:rsidRDefault="00B82F9E" w:rsidP="00297498">
      <w:pPr>
        <w:spacing w:line="360" w:lineRule="auto"/>
        <w:rPr>
          <w:sz w:val="24"/>
          <w:szCs w:val="24"/>
        </w:rPr>
      </w:pPr>
    </w:p>
    <w:p w14:paraId="0F2C24BE" w14:textId="7989A736" w:rsidR="00297498" w:rsidRPr="00297498" w:rsidRDefault="00297498" w:rsidP="00297498">
      <w:pPr>
        <w:spacing w:line="360" w:lineRule="auto"/>
        <w:rPr>
          <w:sz w:val="24"/>
          <w:szCs w:val="24"/>
        </w:rPr>
      </w:pPr>
      <w:r w:rsidRPr="00297498">
        <w:rPr>
          <w:sz w:val="24"/>
          <w:szCs w:val="24"/>
        </w:rPr>
        <w:t xml:space="preserve">Michaelmas is close to the autumnal equinox, which signals the last of the long evenings and warm days. Perhaps inviting the last rays of </w:t>
      </w:r>
      <w:r w:rsidR="00A5160D">
        <w:rPr>
          <w:sz w:val="24"/>
          <w:szCs w:val="24"/>
        </w:rPr>
        <w:t xml:space="preserve">summer </w:t>
      </w:r>
      <w:r w:rsidRPr="00297498">
        <w:rPr>
          <w:sz w:val="24"/>
          <w:szCs w:val="24"/>
        </w:rPr>
        <w:t xml:space="preserve">sun into the church on the feast-day of Archangel Michael was a form of protection ritual for the monastics and the local </w:t>
      </w:r>
      <w:r w:rsidRPr="00297498">
        <w:rPr>
          <w:sz w:val="24"/>
          <w:szCs w:val="24"/>
        </w:rPr>
        <w:lastRenderedPageBreak/>
        <w:t xml:space="preserve">community as they headed into the scarcity and cold of the winter months. Archangel Michael was, after all, popularly seen as a protector. One may conjecture that the chapel may have contained a </w:t>
      </w:r>
      <w:r w:rsidRPr="00A5160D">
        <w:rPr>
          <w:i/>
          <w:iCs/>
          <w:sz w:val="24"/>
          <w:szCs w:val="24"/>
        </w:rPr>
        <w:t>fresco</w:t>
      </w:r>
      <w:r w:rsidRPr="00297498">
        <w:rPr>
          <w:sz w:val="24"/>
          <w:szCs w:val="24"/>
        </w:rPr>
        <w:t xml:space="preserve"> depicting a Michael-related scene on the wall above the altar, a </w:t>
      </w:r>
      <w:r w:rsidRPr="00A5160D">
        <w:rPr>
          <w:i/>
          <w:iCs/>
          <w:sz w:val="24"/>
          <w:szCs w:val="24"/>
        </w:rPr>
        <w:t xml:space="preserve">fresco </w:t>
      </w:r>
      <w:r w:rsidRPr="00297498">
        <w:rPr>
          <w:sz w:val="24"/>
          <w:szCs w:val="24"/>
        </w:rPr>
        <w:t>that might have been lit up by the setting sun on Michaelmas – but, while the chapel is known to have been covered in plaster both inside and out, any theories beyond that are nothing more than speculation.</w:t>
      </w:r>
    </w:p>
    <w:p w14:paraId="2B8A345D" w14:textId="77777777" w:rsidR="00297498" w:rsidRDefault="00297498" w:rsidP="00297498">
      <w:pPr>
        <w:pStyle w:val="Heading3"/>
        <w:spacing w:line="360" w:lineRule="auto"/>
      </w:pPr>
    </w:p>
    <w:p w14:paraId="5BAAA26C" w14:textId="77777777" w:rsidR="00B82F9E" w:rsidRDefault="00B82F9E" w:rsidP="00297498">
      <w:pPr>
        <w:pStyle w:val="Heading3"/>
        <w:spacing w:line="360" w:lineRule="auto"/>
        <w:rPr>
          <w:b/>
          <w:bCs/>
          <w:color w:val="auto"/>
        </w:rPr>
      </w:pPr>
    </w:p>
    <w:p w14:paraId="7007951F" w14:textId="3A8D5961" w:rsidR="00297498" w:rsidRPr="00297498" w:rsidRDefault="00297498" w:rsidP="00297498">
      <w:pPr>
        <w:pStyle w:val="Heading3"/>
        <w:spacing w:line="360" w:lineRule="auto"/>
        <w:rPr>
          <w:b/>
          <w:bCs/>
          <w:color w:val="auto"/>
        </w:rPr>
      </w:pPr>
      <w:r w:rsidRPr="00297498">
        <w:rPr>
          <w:b/>
          <w:bCs/>
          <w:color w:val="auto"/>
        </w:rPr>
        <w:t>Night-sky</w:t>
      </w:r>
    </w:p>
    <w:p w14:paraId="6DF0AF15" w14:textId="77777777" w:rsidR="00297498" w:rsidRPr="00297498" w:rsidRDefault="00297498" w:rsidP="00297498">
      <w:pPr>
        <w:spacing w:line="360" w:lineRule="auto"/>
        <w:rPr>
          <w:sz w:val="24"/>
          <w:szCs w:val="24"/>
        </w:rPr>
      </w:pPr>
      <w:r w:rsidRPr="00297498">
        <w:rPr>
          <w:sz w:val="24"/>
          <w:szCs w:val="24"/>
        </w:rPr>
        <w:t xml:space="preserve">To explore the chapel’s possible relationship with the sky, two dates were checked in the online </w:t>
      </w:r>
      <w:r w:rsidRPr="00297498">
        <w:rPr>
          <w:i/>
          <w:iCs/>
          <w:sz w:val="24"/>
          <w:szCs w:val="24"/>
        </w:rPr>
        <w:t>Stellarium</w:t>
      </w:r>
      <w:r w:rsidRPr="00297498">
        <w:rPr>
          <w:sz w:val="24"/>
          <w:szCs w:val="24"/>
        </w:rPr>
        <w:t xml:space="preserve"> app - 15</w:t>
      </w:r>
      <w:r w:rsidRPr="00297498">
        <w:rPr>
          <w:sz w:val="24"/>
          <w:szCs w:val="24"/>
          <w:vertAlign w:val="superscript"/>
        </w:rPr>
        <w:t>th</w:t>
      </w:r>
      <w:r w:rsidRPr="00297498">
        <w:rPr>
          <w:sz w:val="24"/>
          <w:szCs w:val="24"/>
        </w:rPr>
        <w:t xml:space="preserve"> August and 29</w:t>
      </w:r>
      <w:r w:rsidRPr="00297498">
        <w:rPr>
          <w:sz w:val="24"/>
          <w:szCs w:val="24"/>
          <w:vertAlign w:val="superscript"/>
        </w:rPr>
        <w:t>th</w:t>
      </w:r>
      <w:r w:rsidRPr="00297498">
        <w:rPr>
          <w:sz w:val="24"/>
          <w:szCs w:val="24"/>
        </w:rPr>
        <w:t xml:space="preserve"> September. Brady (2015) suggested that inadequate knowledge of the way stars move in the sky has limited academics’ understanding of the significance of certain stars in the culture of early Egyptian skywatchers, and that this limited their understanding of early Egyptian architecture and Pyramid Texts.</w:t>
      </w:r>
      <w:r w:rsidRPr="00297498">
        <w:rPr>
          <w:rStyle w:val="FootnoteReference"/>
          <w:sz w:val="24"/>
          <w:szCs w:val="24"/>
        </w:rPr>
        <w:footnoteReference w:id="53"/>
      </w:r>
      <w:r w:rsidRPr="00297498">
        <w:rPr>
          <w:sz w:val="24"/>
          <w:szCs w:val="24"/>
        </w:rPr>
        <w:t xml:space="preserve"> With a sky full of stars and constellations, a building is probably always going to orient towards something in the sky. However, Brady (2015) suggested that there is ‘no reason to assume that the sacred nature of stars was the exclusive domain of the third millennium Egyptians’ and that any northern hemisphere structure might also have been orientated towards to divinely significant stars.</w:t>
      </w:r>
      <w:r w:rsidRPr="00297498">
        <w:rPr>
          <w:rStyle w:val="FootnoteReference"/>
          <w:sz w:val="24"/>
          <w:szCs w:val="24"/>
        </w:rPr>
        <w:footnoteReference w:id="54"/>
      </w:r>
      <w:r w:rsidRPr="00297498">
        <w:rPr>
          <w:sz w:val="24"/>
          <w:szCs w:val="24"/>
        </w:rPr>
        <w:t xml:space="preserve"> </w:t>
      </w:r>
      <w:r w:rsidRPr="00297498">
        <w:rPr>
          <w:i/>
          <w:iCs/>
          <w:sz w:val="24"/>
          <w:szCs w:val="24"/>
        </w:rPr>
        <w:t>Stellarium</w:t>
      </w:r>
      <w:r w:rsidRPr="00297498">
        <w:rPr>
          <w:sz w:val="24"/>
          <w:szCs w:val="24"/>
        </w:rPr>
        <w:t xml:space="preserve"> readings for between 04.00 and 05.30 on 15</w:t>
      </w:r>
      <w:r w:rsidRPr="00297498">
        <w:rPr>
          <w:sz w:val="24"/>
          <w:szCs w:val="24"/>
          <w:vertAlign w:val="superscript"/>
        </w:rPr>
        <w:t>th</w:t>
      </w:r>
      <w:r w:rsidRPr="00297498">
        <w:rPr>
          <w:sz w:val="24"/>
          <w:szCs w:val="24"/>
        </w:rPr>
        <w:t xml:space="preserve"> August through from 675AD to 750AD shows Pollux, Betelgeuse, Procyon, Regulus and Sirius were all bright in the sky and would have been visible (atmospheric conditions allowing) in the eastern sky at that time. More research would be needed to ascertain whether these stars held any divine significance for the monastic community of medieval Heysham.</w:t>
      </w:r>
    </w:p>
    <w:p w14:paraId="4579BD54" w14:textId="77777777" w:rsidR="00297498" w:rsidRDefault="00297498" w:rsidP="00297498">
      <w:pPr>
        <w:spacing w:line="360" w:lineRule="auto"/>
      </w:pPr>
    </w:p>
    <w:p w14:paraId="6A610D5D" w14:textId="77777777" w:rsidR="00297498" w:rsidRPr="00297498" w:rsidRDefault="00297498" w:rsidP="00297498">
      <w:pPr>
        <w:pStyle w:val="Heading2"/>
        <w:spacing w:line="360" w:lineRule="auto"/>
        <w:rPr>
          <w:b/>
          <w:bCs/>
          <w:color w:val="auto"/>
        </w:rPr>
      </w:pPr>
      <w:r w:rsidRPr="00297498">
        <w:rPr>
          <w:b/>
          <w:bCs/>
          <w:color w:val="auto"/>
        </w:rPr>
        <w:lastRenderedPageBreak/>
        <w:t>Rock-cut graves</w:t>
      </w:r>
    </w:p>
    <w:p w14:paraId="284A9E6D" w14:textId="0FB3A41B" w:rsidR="00297498" w:rsidRDefault="00297498" w:rsidP="00297498">
      <w:pPr>
        <w:spacing w:line="360" w:lineRule="auto"/>
        <w:rPr>
          <w:sz w:val="24"/>
          <w:szCs w:val="24"/>
        </w:rPr>
      </w:pPr>
      <w:r w:rsidRPr="00297498">
        <w:rPr>
          <w:sz w:val="24"/>
          <w:szCs w:val="24"/>
        </w:rPr>
        <w:t>There are 8 rock graves around St Patrick’s Chapel</w:t>
      </w:r>
      <w:r w:rsidR="00A5160D">
        <w:rPr>
          <w:sz w:val="24"/>
          <w:szCs w:val="24"/>
        </w:rPr>
        <w:t>,</w:t>
      </w:r>
      <w:r w:rsidRPr="00297498">
        <w:rPr>
          <w:sz w:val="24"/>
          <w:szCs w:val="24"/>
        </w:rPr>
        <w:t xml:space="preserve"> but this essay focuses only on the six rock-cut graves that lie directly in front of the chapel on the edge of the cliffs. Moskvina (2020) suggested the grave’s alignments was more significant than the chapel’s alignments.</w:t>
      </w:r>
      <w:r w:rsidRPr="00297498">
        <w:rPr>
          <w:rStyle w:val="FootnoteReference"/>
          <w:sz w:val="24"/>
          <w:szCs w:val="24"/>
        </w:rPr>
        <w:footnoteReference w:id="55"/>
      </w:r>
      <w:r w:rsidRPr="00297498">
        <w:rPr>
          <w:sz w:val="24"/>
          <w:szCs w:val="24"/>
        </w:rPr>
        <w:t xml:space="preserve"> Fairly unique in England, some examples of rock graves can be found in Spain and Portugal, where they are situated by the sea but not associated with church buildings.</w:t>
      </w:r>
      <w:r w:rsidRPr="00297498">
        <w:rPr>
          <w:rStyle w:val="FootnoteReference"/>
          <w:sz w:val="24"/>
          <w:szCs w:val="24"/>
        </w:rPr>
        <w:footnoteReference w:id="56"/>
      </w:r>
      <w:r w:rsidRPr="00297498">
        <w:rPr>
          <w:sz w:val="24"/>
          <w:szCs w:val="24"/>
        </w:rPr>
        <w:t xml:space="preserve"> While their age is unknown, the National Trust’s noticeboard suggests that the graves pre-date the chapel.</w:t>
      </w:r>
    </w:p>
    <w:p w14:paraId="16344E2E" w14:textId="77777777" w:rsidR="00B82F9E" w:rsidRPr="00297498" w:rsidRDefault="00B82F9E" w:rsidP="00297498">
      <w:pPr>
        <w:spacing w:line="360" w:lineRule="auto"/>
        <w:rPr>
          <w:sz w:val="24"/>
          <w:szCs w:val="24"/>
        </w:rPr>
      </w:pPr>
    </w:p>
    <w:p w14:paraId="51AC75D1" w14:textId="77777777" w:rsidR="00297498" w:rsidRDefault="00297498" w:rsidP="00297498">
      <w:pPr>
        <w:spacing w:line="360" w:lineRule="auto"/>
      </w:pPr>
    </w:p>
    <w:p w14:paraId="6030B1EF" w14:textId="77777777" w:rsidR="00297498" w:rsidRDefault="00297498" w:rsidP="00297498">
      <w:pPr>
        <w:spacing w:line="360" w:lineRule="auto"/>
        <w:jc w:val="center"/>
      </w:pPr>
      <w:r>
        <w:rPr>
          <w:noProof/>
        </w:rPr>
        <w:drawing>
          <wp:inline distT="0" distB="0" distL="0" distR="0" wp14:anchorId="42E84611" wp14:editId="63D4CB52">
            <wp:extent cx="1866900" cy="2216661"/>
            <wp:effectExtent l="0" t="0" r="0" b="0"/>
            <wp:docPr id="15" name="Picture 15" descr="A picture containing outdoor, grass, wate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grass, water, natu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83426" cy="2236284"/>
                    </a:xfrm>
                    <a:prstGeom prst="rect">
                      <a:avLst/>
                    </a:prstGeom>
                  </pic:spPr>
                </pic:pic>
              </a:graphicData>
            </a:graphic>
          </wp:inline>
        </w:drawing>
      </w:r>
    </w:p>
    <w:p w14:paraId="472703F4" w14:textId="77777777" w:rsidR="00297498" w:rsidRDefault="00297498" w:rsidP="00297498">
      <w:pPr>
        <w:spacing w:line="360" w:lineRule="auto"/>
        <w:jc w:val="center"/>
      </w:pPr>
      <w:r>
        <w:t>Figure Six: Graves at St Patrick’s Chapel. Photograph C Allen 2023.</w:t>
      </w:r>
    </w:p>
    <w:p w14:paraId="3ECF7138" w14:textId="77777777" w:rsidR="00297498" w:rsidRDefault="00297498" w:rsidP="00297498">
      <w:pPr>
        <w:spacing w:line="360" w:lineRule="auto"/>
      </w:pPr>
    </w:p>
    <w:p w14:paraId="17B18164" w14:textId="77777777" w:rsidR="00B82F9E" w:rsidRDefault="00B82F9E" w:rsidP="00297498">
      <w:pPr>
        <w:spacing w:line="360" w:lineRule="auto"/>
        <w:rPr>
          <w:sz w:val="24"/>
          <w:szCs w:val="24"/>
        </w:rPr>
      </w:pPr>
    </w:p>
    <w:p w14:paraId="3737596C" w14:textId="6FA7E964" w:rsidR="00297498" w:rsidRDefault="00297498" w:rsidP="00297498">
      <w:pPr>
        <w:spacing w:line="360" w:lineRule="auto"/>
        <w:rPr>
          <w:sz w:val="24"/>
          <w:szCs w:val="24"/>
        </w:rPr>
      </w:pPr>
      <w:r w:rsidRPr="00297498">
        <w:rPr>
          <w:sz w:val="24"/>
          <w:szCs w:val="24"/>
        </w:rPr>
        <w:t xml:space="preserve">Moskvina found that the ‘east-west axis of the chapel… divides the group precisely in half, aligning the group </w:t>
      </w:r>
      <w:proofErr w:type="gramStart"/>
      <w:r w:rsidRPr="00297498">
        <w:rPr>
          <w:sz w:val="24"/>
          <w:szCs w:val="24"/>
        </w:rPr>
        <w:t>as a whole with</w:t>
      </w:r>
      <w:proofErr w:type="gramEnd"/>
      <w:r w:rsidRPr="00297498">
        <w:rPr>
          <w:sz w:val="24"/>
          <w:szCs w:val="24"/>
        </w:rPr>
        <w:t xml:space="preserve"> the chapel’</w:t>
      </w:r>
      <w:r w:rsidRPr="00297498">
        <w:rPr>
          <w:rStyle w:val="FootnoteReference"/>
          <w:sz w:val="24"/>
          <w:szCs w:val="24"/>
        </w:rPr>
        <w:footnoteReference w:id="57"/>
      </w:r>
      <w:r w:rsidRPr="00297498">
        <w:rPr>
          <w:sz w:val="24"/>
          <w:szCs w:val="24"/>
        </w:rPr>
        <w:t>. My axial measurements confirmed this – see Figure Eight. The significance of this orientation is unclear and more research into rock-</w:t>
      </w:r>
      <w:r w:rsidRPr="00297498">
        <w:rPr>
          <w:sz w:val="24"/>
          <w:szCs w:val="24"/>
        </w:rPr>
        <w:lastRenderedPageBreak/>
        <w:t xml:space="preserve">cut graves is needed to make sense of this connection. Too small to contain bodies, it is possible the grave were reliquaries for the bones of holy men and women (Nash, 2015). Other large lumps of exposed rock lie around this site and, time and effort being needed to carve these graves, it is perhaps reasonable to assume their </w:t>
      </w:r>
      <w:r w:rsidR="00A5160D">
        <w:rPr>
          <w:sz w:val="24"/>
          <w:szCs w:val="24"/>
        </w:rPr>
        <w:t>positioning</w:t>
      </w:r>
      <w:r w:rsidRPr="00297498">
        <w:rPr>
          <w:sz w:val="24"/>
          <w:szCs w:val="24"/>
        </w:rPr>
        <w:t xml:space="preserve"> was a deliberate act by the people who created them. </w:t>
      </w:r>
    </w:p>
    <w:p w14:paraId="750C154D" w14:textId="77777777" w:rsidR="00B82F9E" w:rsidRPr="00297498" w:rsidRDefault="00B82F9E" w:rsidP="00297498">
      <w:pPr>
        <w:spacing w:line="360" w:lineRule="auto"/>
        <w:rPr>
          <w:sz w:val="24"/>
          <w:szCs w:val="24"/>
        </w:rPr>
      </w:pPr>
    </w:p>
    <w:p w14:paraId="616E432C" w14:textId="77777777" w:rsidR="00297498" w:rsidRDefault="00297498" w:rsidP="00297498">
      <w:pPr>
        <w:spacing w:line="360" w:lineRule="auto"/>
        <w:jc w:val="center"/>
      </w:pPr>
      <w:r>
        <w:rPr>
          <w:noProof/>
        </w:rPr>
        <w:drawing>
          <wp:inline distT="0" distB="0" distL="0" distR="0" wp14:anchorId="7588FE20" wp14:editId="2389FCB3">
            <wp:extent cx="1610685" cy="1839635"/>
            <wp:effectExtent l="0" t="0" r="8890" b="8255"/>
            <wp:docPr id="10" name="Picture 10"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ss, sky, outdoor, fiel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39903" cy="1873006"/>
                    </a:xfrm>
                    <a:prstGeom prst="rect">
                      <a:avLst/>
                    </a:prstGeom>
                  </pic:spPr>
                </pic:pic>
              </a:graphicData>
            </a:graphic>
          </wp:inline>
        </w:drawing>
      </w:r>
    </w:p>
    <w:p w14:paraId="5E13DF00" w14:textId="77777777" w:rsidR="00297498" w:rsidRDefault="00297498" w:rsidP="00297498">
      <w:pPr>
        <w:spacing w:line="360" w:lineRule="auto"/>
        <w:jc w:val="center"/>
      </w:pPr>
      <w:r>
        <w:t>Figure Seven: This is the view from the inside the chapel looking out towards the rock-cut graves.  Photograph C Allen April 2023.</w:t>
      </w:r>
    </w:p>
    <w:p w14:paraId="3B5EF20B" w14:textId="77777777" w:rsidR="00297498" w:rsidRDefault="00297498" w:rsidP="00297498">
      <w:pPr>
        <w:pStyle w:val="Heading3"/>
      </w:pPr>
    </w:p>
    <w:p w14:paraId="2F91DA16" w14:textId="77777777" w:rsidR="00AF3A69" w:rsidRDefault="00AF3A69" w:rsidP="00297498">
      <w:pPr>
        <w:pStyle w:val="Heading3"/>
        <w:rPr>
          <w:b/>
          <w:bCs/>
          <w:color w:val="auto"/>
        </w:rPr>
      </w:pPr>
    </w:p>
    <w:p w14:paraId="72D09090" w14:textId="77777777" w:rsidR="00A5160D" w:rsidRPr="00A5160D" w:rsidRDefault="00A5160D" w:rsidP="00A5160D"/>
    <w:p w14:paraId="4478712E" w14:textId="0AAD25DA" w:rsidR="00297498" w:rsidRPr="00AF3A69" w:rsidRDefault="00297498" w:rsidP="00297498">
      <w:pPr>
        <w:pStyle w:val="Heading3"/>
        <w:rPr>
          <w:b/>
          <w:bCs/>
          <w:color w:val="auto"/>
        </w:rPr>
      </w:pPr>
      <w:r w:rsidRPr="00AF3A69">
        <w:rPr>
          <w:b/>
          <w:bCs/>
          <w:color w:val="auto"/>
        </w:rPr>
        <w:t>Window of visibility</w:t>
      </w:r>
    </w:p>
    <w:p w14:paraId="5B9ABBBD" w14:textId="259E5D6D" w:rsidR="00297498" w:rsidRDefault="00297498" w:rsidP="00297498">
      <w:pPr>
        <w:spacing w:line="360" w:lineRule="auto"/>
        <w:rPr>
          <w:sz w:val="24"/>
          <w:szCs w:val="24"/>
        </w:rPr>
      </w:pPr>
      <w:r w:rsidRPr="00297498">
        <w:rPr>
          <w:sz w:val="24"/>
          <w:szCs w:val="24"/>
        </w:rPr>
        <w:t>Silva suggested it is useful to try to reproduce the window of visibility of the horizon that would have been experienced from the structure being surveyed, as opposed to simply measuring narrow, straight axial lines.</w:t>
      </w:r>
      <w:r w:rsidRPr="00297498">
        <w:rPr>
          <w:rStyle w:val="FootnoteReference"/>
          <w:sz w:val="24"/>
          <w:szCs w:val="24"/>
        </w:rPr>
        <w:footnoteReference w:id="58"/>
      </w:r>
      <w:r w:rsidRPr="00297498">
        <w:rPr>
          <w:sz w:val="24"/>
          <w:szCs w:val="24"/>
        </w:rPr>
        <w:t xml:space="preserve"> The Chapel sits atop the high rocks over Morecambe Bay and the eye is naturally drawn outwards to the horizon, to the place where heaven and earth meet so it makes sense to explore the window of visibility - see Table Three and Figure Eight</w:t>
      </w:r>
      <w:r w:rsidR="00A5160D">
        <w:rPr>
          <w:sz w:val="24"/>
          <w:szCs w:val="24"/>
        </w:rPr>
        <w:t xml:space="preserve"> for findings</w:t>
      </w:r>
      <w:r w:rsidRPr="00297498">
        <w:rPr>
          <w:sz w:val="24"/>
          <w:szCs w:val="24"/>
        </w:rPr>
        <w:t>.</w:t>
      </w:r>
    </w:p>
    <w:p w14:paraId="10669DEA" w14:textId="77777777" w:rsidR="00B82F9E" w:rsidRDefault="00B82F9E" w:rsidP="00297498">
      <w:pPr>
        <w:spacing w:line="360" w:lineRule="auto"/>
        <w:rPr>
          <w:sz w:val="24"/>
          <w:szCs w:val="24"/>
        </w:rPr>
      </w:pPr>
    </w:p>
    <w:p w14:paraId="58621BD6" w14:textId="77777777" w:rsidR="00B82F9E" w:rsidRPr="00297498" w:rsidRDefault="00B82F9E" w:rsidP="00297498">
      <w:pPr>
        <w:spacing w:line="360" w:lineRule="auto"/>
        <w:rPr>
          <w:sz w:val="24"/>
          <w:szCs w:val="24"/>
        </w:rPr>
      </w:pPr>
    </w:p>
    <w:p w14:paraId="5A212D2E" w14:textId="77777777" w:rsidR="00297498" w:rsidRDefault="00297498" w:rsidP="00297498">
      <w:pPr>
        <w:spacing w:line="360" w:lineRule="auto"/>
      </w:pPr>
    </w:p>
    <w:tbl>
      <w:tblPr>
        <w:tblStyle w:val="GridTable2-Accent5"/>
        <w:tblW w:w="0" w:type="auto"/>
        <w:tblLook w:val="04A0" w:firstRow="1" w:lastRow="0" w:firstColumn="1" w:lastColumn="0" w:noHBand="0" w:noVBand="1"/>
      </w:tblPr>
      <w:tblGrid>
        <w:gridCol w:w="1019"/>
        <w:gridCol w:w="991"/>
        <w:gridCol w:w="1658"/>
        <w:gridCol w:w="1658"/>
        <w:gridCol w:w="1409"/>
        <w:gridCol w:w="2291"/>
      </w:tblGrid>
      <w:tr w:rsidR="00297498" w14:paraId="689758C2" w14:textId="77777777" w:rsidTr="006123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5CF30A7" w14:textId="77777777" w:rsidR="00297498" w:rsidRDefault="00297498" w:rsidP="00612325">
            <w:pPr>
              <w:spacing w:line="360" w:lineRule="auto"/>
            </w:pPr>
            <w:r>
              <w:t>Axis</w:t>
            </w:r>
          </w:p>
        </w:tc>
        <w:tc>
          <w:tcPr>
            <w:tcW w:w="992" w:type="dxa"/>
          </w:tcPr>
          <w:p w14:paraId="388A4292"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Azimuth</w:t>
            </w:r>
          </w:p>
        </w:tc>
        <w:tc>
          <w:tcPr>
            <w:tcW w:w="1701" w:type="dxa"/>
          </w:tcPr>
          <w:p w14:paraId="2B28B4F4"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Altitude</w:t>
            </w:r>
          </w:p>
        </w:tc>
        <w:tc>
          <w:tcPr>
            <w:tcW w:w="1701" w:type="dxa"/>
          </w:tcPr>
          <w:p w14:paraId="53B2CD48"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Latitude</w:t>
            </w:r>
          </w:p>
        </w:tc>
        <w:tc>
          <w:tcPr>
            <w:tcW w:w="1418" w:type="dxa"/>
          </w:tcPr>
          <w:p w14:paraId="0D7A186E"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Declination</w:t>
            </w:r>
          </w:p>
        </w:tc>
        <w:tc>
          <w:tcPr>
            <w:tcW w:w="2358" w:type="dxa"/>
          </w:tcPr>
          <w:p w14:paraId="2007DC33" w14:textId="77777777" w:rsidR="00297498" w:rsidRDefault="00297498" w:rsidP="00612325">
            <w:pPr>
              <w:spacing w:line="360" w:lineRule="auto"/>
              <w:cnfStyle w:val="100000000000" w:firstRow="1" w:lastRow="0" w:firstColumn="0" w:lastColumn="0" w:oddVBand="0" w:evenVBand="0" w:oddHBand="0" w:evenHBand="0" w:firstRowFirstColumn="0" w:firstRowLastColumn="0" w:lastRowFirstColumn="0" w:lastRowLastColumn="0"/>
            </w:pPr>
            <w:r>
              <w:t>Possible Dates*</w:t>
            </w:r>
          </w:p>
        </w:tc>
      </w:tr>
      <w:tr w:rsidR="00297498" w14:paraId="7DCB2C2F" w14:textId="77777777" w:rsidTr="006123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134E837" w14:textId="77777777" w:rsidR="00297498" w:rsidRDefault="00297498" w:rsidP="00612325">
            <w:pPr>
              <w:spacing w:line="360" w:lineRule="auto"/>
            </w:pPr>
            <w:r>
              <w:t>Diagonal from D</w:t>
            </w:r>
          </w:p>
        </w:tc>
        <w:tc>
          <w:tcPr>
            <w:tcW w:w="992" w:type="dxa"/>
          </w:tcPr>
          <w:p w14:paraId="35BD4260"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272</w:t>
            </w:r>
          </w:p>
        </w:tc>
        <w:tc>
          <w:tcPr>
            <w:tcW w:w="1701" w:type="dxa"/>
          </w:tcPr>
          <w:p w14:paraId="38A81FC9"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0</w:t>
            </w:r>
          </w:p>
        </w:tc>
        <w:tc>
          <w:tcPr>
            <w:tcW w:w="1701" w:type="dxa"/>
          </w:tcPr>
          <w:p w14:paraId="24D843BA"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54.04</w:t>
            </w:r>
          </w:p>
        </w:tc>
        <w:tc>
          <w:tcPr>
            <w:tcW w:w="1418" w:type="dxa"/>
          </w:tcPr>
          <w:p w14:paraId="17AB0B04"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1.17</w:t>
            </w:r>
          </w:p>
        </w:tc>
        <w:tc>
          <w:tcPr>
            <w:tcW w:w="2358" w:type="dxa"/>
          </w:tcPr>
          <w:p w14:paraId="17D26721" w14:textId="77777777" w:rsidR="00297498" w:rsidRDefault="00297498" w:rsidP="00612325">
            <w:pPr>
              <w:spacing w:line="360" w:lineRule="auto"/>
              <w:cnfStyle w:val="000000100000" w:firstRow="0" w:lastRow="0" w:firstColumn="0" w:lastColumn="0" w:oddVBand="0" w:evenVBand="0" w:oddHBand="1" w:evenHBand="0" w:firstRowFirstColumn="0" w:firstRowLastColumn="0" w:lastRowFirstColumn="0" w:lastRowLastColumn="0"/>
            </w:pPr>
            <w:r>
              <w:t>19</w:t>
            </w:r>
            <w:r w:rsidRPr="0099176B">
              <w:rPr>
                <w:vertAlign w:val="superscript"/>
              </w:rPr>
              <w:t>th</w:t>
            </w:r>
            <w:r>
              <w:t xml:space="preserve"> March or September 16</w:t>
            </w:r>
            <w:r w:rsidRPr="0099176B">
              <w:rPr>
                <w:vertAlign w:val="superscript"/>
              </w:rPr>
              <w:t>th</w:t>
            </w:r>
            <w:r>
              <w:t xml:space="preserve"> </w:t>
            </w:r>
          </w:p>
        </w:tc>
      </w:tr>
      <w:tr w:rsidR="00297498" w14:paraId="61E70197" w14:textId="77777777" w:rsidTr="00612325">
        <w:tc>
          <w:tcPr>
            <w:cnfStyle w:val="001000000000" w:firstRow="0" w:lastRow="0" w:firstColumn="1" w:lastColumn="0" w:oddVBand="0" w:evenVBand="0" w:oddHBand="0" w:evenHBand="0" w:firstRowFirstColumn="0" w:firstRowLastColumn="0" w:lastRowFirstColumn="0" w:lastRowLastColumn="0"/>
            <w:tcW w:w="846" w:type="dxa"/>
          </w:tcPr>
          <w:p w14:paraId="766B070C" w14:textId="77777777" w:rsidR="00297498" w:rsidRDefault="00297498" w:rsidP="00612325">
            <w:pPr>
              <w:spacing w:line="360" w:lineRule="auto"/>
            </w:pPr>
            <w:r>
              <w:t>Diagonal from A</w:t>
            </w:r>
          </w:p>
        </w:tc>
        <w:tc>
          <w:tcPr>
            <w:tcW w:w="992" w:type="dxa"/>
          </w:tcPr>
          <w:p w14:paraId="02FA60DB"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252</w:t>
            </w:r>
          </w:p>
        </w:tc>
        <w:tc>
          <w:tcPr>
            <w:tcW w:w="1701" w:type="dxa"/>
          </w:tcPr>
          <w:p w14:paraId="5A627106"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0</w:t>
            </w:r>
          </w:p>
        </w:tc>
        <w:tc>
          <w:tcPr>
            <w:tcW w:w="1701" w:type="dxa"/>
          </w:tcPr>
          <w:p w14:paraId="0D96C741"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54.04</w:t>
            </w:r>
          </w:p>
        </w:tc>
        <w:tc>
          <w:tcPr>
            <w:tcW w:w="1418" w:type="dxa"/>
          </w:tcPr>
          <w:p w14:paraId="6C66CB72" w14:textId="77777777"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-10.45</w:t>
            </w:r>
          </w:p>
        </w:tc>
        <w:tc>
          <w:tcPr>
            <w:tcW w:w="2358" w:type="dxa"/>
          </w:tcPr>
          <w:p w14:paraId="081BF3C1" w14:textId="77777777" w:rsidR="00A5160D"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r>
              <w:t>1</w:t>
            </w:r>
          </w:p>
          <w:p w14:paraId="3E97D584" w14:textId="2A25D2FD" w:rsidR="00297498" w:rsidRDefault="00297498" w:rsidP="00612325">
            <w:pPr>
              <w:spacing w:line="360" w:lineRule="auto"/>
              <w:cnfStyle w:val="000000000000" w:firstRow="0" w:lastRow="0" w:firstColumn="0" w:lastColumn="0" w:oddVBand="0" w:evenVBand="0" w:oddHBand="0" w:evenHBand="0" w:firstRowFirstColumn="0" w:firstRowLastColumn="0" w:lastRowFirstColumn="0" w:lastRowLastColumn="0"/>
            </w:pPr>
            <w:proofErr w:type="gramStart"/>
            <w:r>
              <w:t>2</w:t>
            </w:r>
            <w:r w:rsidRPr="0099176B">
              <w:rPr>
                <w:vertAlign w:val="superscript"/>
              </w:rPr>
              <w:t>th</w:t>
            </w:r>
            <w:proofErr w:type="gramEnd"/>
            <w:r>
              <w:t xml:space="preserve"> April or 21</w:t>
            </w:r>
            <w:r w:rsidRPr="0099176B">
              <w:rPr>
                <w:vertAlign w:val="superscript"/>
              </w:rPr>
              <w:t>st</w:t>
            </w:r>
            <w:r>
              <w:t xml:space="preserve"> October</w:t>
            </w:r>
          </w:p>
        </w:tc>
      </w:tr>
    </w:tbl>
    <w:p w14:paraId="7634F97C" w14:textId="77777777" w:rsidR="00297498" w:rsidRPr="00DE09FC" w:rsidRDefault="00297498" w:rsidP="00297498">
      <w:pPr>
        <w:spacing w:line="360" w:lineRule="auto"/>
        <w:jc w:val="center"/>
        <w:rPr>
          <w:color w:val="FF0000"/>
        </w:rPr>
      </w:pPr>
      <w:r>
        <w:t>*</w:t>
      </w:r>
      <w:r w:rsidRPr="005D01A6">
        <w:rPr>
          <w:sz w:val="20"/>
          <w:szCs w:val="20"/>
        </w:rPr>
        <w:t>The dates have made allowance for the Julian calendar, for the year 750 AD, by subtracting four days from the Gregorian readings</w:t>
      </w:r>
      <w:r>
        <w:t>.</w:t>
      </w:r>
      <w:r>
        <w:rPr>
          <w:rStyle w:val="FootnoteReference"/>
        </w:rPr>
        <w:footnoteReference w:id="59"/>
      </w:r>
    </w:p>
    <w:p w14:paraId="6953FF02" w14:textId="77777777" w:rsidR="00297498" w:rsidRDefault="00297498" w:rsidP="00297498">
      <w:pPr>
        <w:spacing w:line="360" w:lineRule="auto"/>
        <w:jc w:val="center"/>
      </w:pPr>
      <w:r>
        <w:t>Table Three: Orientation Measurements for Window of Visibility</w:t>
      </w:r>
    </w:p>
    <w:p w14:paraId="566ADE65" w14:textId="77777777" w:rsidR="00297498" w:rsidRDefault="00297498" w:rsidP="00297498">
      <w:pPr>
        <w:spacing w:line="360" w:lineRule="auto"/>
      </w:pPr>
    </w:p>
    <w:p w14:paraId="21B3851B" w14:textId="77777777" w:rsidR="00B82F9E" w:rsidRDefault="00B82F9E" w:rsidP="00297498">
      <w:pPr>
        <w:spacing w:line="360" w:lineRule="auto"/>
        <w:rPr>
          <w:sz w:val="24"/>
          <w:szCs w:val="24"/>
        </w:rPr>
      </w:pPr>
    </w:p>
    <w:p w14:paraId="5CE2AD65" w14:textId="46D2D7F4" w:rsidR="00297498" w:rsidRDefault="00297498" w:rsidP="00297498">
      <w:pPr>
        <w:spacing w:line="360" w:lineRule="auto"/>
        <w:rPr>
          <w:sz w:val="24"/>
          <w:szCs w:val="24"/>
        </w:rPr>
      </w:pPr>
      <w:r w:rsidRPr="00297498">
        <w:rPr>
          <w:sz w:val="24"/>
          <w:szCs w:val="24"/>
        </w:rPr>
        <w:t>While the dates suggested by the window of visibility readings extend the possible orientations to include the approximate time of the Spring Equinox (diagonal from D), what was interesting to note was how the diagonal lines, and the direct line from where they meet, intersect with the graves – see Figure Eight.</w:t>
      </w:r>
    </w:p>
    <w:p w14:paraId="2BB917FF" w14:textId="77777777" w:rsidR="00B82F9E" w:rsidRPr="00297498" w:rsidRDefault="00B82F9E" w:rsidP="00297498">
      <w:pPr>
        <w:spacing w:line="360" w:lineRule="auto"/>
        <w:rPr>
          <w:sz w:val="24"/>
          <w:szCs w:val="24"/>
        </w:rPr>
      </w:pPr>
    </w:p>
    <w:p w14:paraId="771E8BCC" w14:textId="77777777" w:rsidR="00297498" w:rsidRDefault="00297498" w:rsidP="00297498">
      <w:pPr>
        <w:spacing w:line="360" w:lineRule="auto"/>
        <w:jc w:val="center"/>
      </w:pPr>
      <w:r>
        <w:rPr>
          <w:noProof/>
        </w:rPr>
        <w:drawing>
          <wp:inline distT="0" distB="0" distL="0" distR="0" wp14:anchorId="7FB0283B" wp14:editId="24044B08">
            <wp:extent cx="2757200" cy="2015206"/>
            <wp:effectExtent l="0" t="0" r="5080" b="4445"/>
            <wp:docPr id="16" name="Picture 16" descr="A picture containing text,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tree, pla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4692" cy="2035299"/>
                    </a:xfrm>
                    <a:prstGeom prst="rect">
                      <a:avLst/>
                    </a:prstGeom>
                  </pic:spPr>
                </pic:pic>
              </a:graphicData>
            </a:graphic>
          </wp:inline>
        </w:drawing>
      </w:r>
    </w:p>
    <w:p w14:paraId="69E615CE" w14:textId="77777777" w:rsidR="00297498" w:rsidRDefault="00297498" w:rsidP="00297498">
      <w:pPr>
        <w:spacing w:line="360" w:lineRule="auto"/>
        <w:jc w:val="center"/>
      </w:pPr>
      <w:r>
        <w:t xml:space="preserve">Figure Eight: The image from </w:t>
      </w:r>
      <w:r w:rsidRPr="00AF3A69">
        <w:rPr>
          <w:i/>
          <w:iCs/>
        </w:rPr>
        <w:t>Google Earth Pro</w:t>
      </w:r>
      <w:r>
        <w:t xml:space="preserve"> showing the window of visibility lines in red, and the line in yellow is the direct line from where the two diagonal lines intersect. </w:t>
      </w:r>
    </w:p>
    <w:p w14:paraId="2973E600" w14:textId="77777777" w:rsidR="00297498" w:rsidRDefault="00297498" w:rsidP="00297498">
      <w:pPr>
        <w:spacing w:line="360" w:lineRule="auto"/>
        <w:rPr>
          <w:sz w:val="24"/>
          <w:szCs w:val="24"/>
        </w:rPr>
      </w:pPr>
      <w:r w:rsidRPr="00297498">
        <w:rPr>
          <w:sz w:val="24"/>
          <w:szCs w:val="24"/>
        </w:rPr>
        <w:lastRenderedPageBreak/>
        <w:t>The red diagonal lines appear to align with the outer edges of the two end graves and the line in yellow, running directly out from where the two lines cross, appears to line up with the middle of the graves. Without being certain that the graves precede the chapel, it is difficult to attribute significance to the relationship between the diagonal lines and the graves, but it might indicate that the axial relationship between the chapel and the graves was intentional, as suggested by Moskvina (2020). With tall crosses sitting in the post holes, these would have been clearly seen by boats sailing in and out Morecambe Bay, especially once the tall-walled chapel with its white plaster exterior was constructed, which suggests that they were a very significant feature of the site – see Figure Nine.</w:t>
      </w:r>
    </w:p>
    <w:p w14:paraId="32549046" w14:textId="77777777" w:rsidR="00B82F9E" w:rsidRPr="00297498" w:rsidRDefault="00B82F9E" w:rsidP="00297498">
      <w:pPr>
        <w:spacing w:line="360" w:lineRule="auto"/>
        <w:rPr>
          <w:sz w:val="24"/>
          <w:szCs w:val="24"/>
        </w:rPr>
      </w:pPr>
    </w:p>
    <w:p w14:paraId="5E4B4838" w14:textId="77777777" w:rsidR="00297498" w:rsidRDefault="00297498" w:rsidP="00297498">
      <w:pPr>
        <w:spacing w:line="360" w:lineRule="auto"/>
        <w:jc w:val="center"/>
      </w:pPr>
      <w:r>
        <w:rPr>
          <w:noProof/>
        </w:rPr>
        <w:drawing>
          <wp:inline distT="0" distB="0" distL="0" distR="0" wp14:anchorId="53BF4573" wp14:editId="6BD83AEB">
            <wp:extent cx="1974850" cy="2633207"/>
            <wp:effectExtent l="0" t="0" r="6350" b="0"/>
            <wp:docPr id="14" name="Picture 14" descr="A picture containing sky, outdoor,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ky, outdoor, grass, fiel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85789" cy="2647793"/>
                    </a:xfrm>
                    <a:prstGeom prst="rect">
                      <a:avLst/>
                    </a:prstGeom>
                  </pic:spPr>
                </pic:pic>
              </a:graphicData>
            </a:graphic>
          </wp:inline>
        </w:drawing>
      </w:r>
    </w:p>
    <w:p w14:paraId="091E6B5B" w14:textId="77777777" w:rsidR="00297498" w:rsidRDefault="00297498" w:rsidP="00297498">
      <w:pPr>
        <w:spacing w:line="360" w:lineRule="auto"/>
        <w:jc w:val="center"/>
      </w:pPr>
      <w:r>
        <w:t xml:space="preserve">Figure Nine: Looking up at the chapel from the higher part of the beach below the rocks. Photograph by C Allen April 2023. </w:t>
      </w:r>
    </w:p>
    <w:p w14:paraId="6F0941D2" w14:textId="77777777" w:rsidR="00297498" w:rsidRDefault="00297498" w:rsidP="00297498">
      <w:pPr>
        <w:spacing w:line="360" w:lineRule="auto"/>
      </w:pPr>
      <w:r>
        <w:t xml:space="preserve"> </w:t>
      </w:r>
    </w:p>
    <w:p w14:paraId="512F053B" w14:textId="77777777" w:rsidR="00297498" w:rsidRDefault="00297498" w:rsidP="00297498">
      <w:pPr>
        <w:spacing w:line="360" w:lineRule="auto"/>
      </w:pPr>
    </w:p>
    <w:p w14:paraId="3A107A6B" w14:textId="77777777" w:rsidR="00314198" w:rsidRDefault="00314198" w:rsidP="00297498">
      <w:pPr>
        <w:spacing w:line="360" w:lineRule="auto"/>
      </w:pPr>
    </w:p>
    <w:p w14:paraId="13E890A9" w14:textId="77777777" w:rsidR="00297498" w:rsidRPr="00AF3A69" w:rsidRDefault="00297498" w:rsidP="00297498">
      <w:pPr>
        <w:pStyle w:val="Heading1"/>
        <w:rPr>
          <w:b/>
          <w:bCs/>
          <w:color w:val="auto"/>
        </w:rPr>
      </w:pPr>
      <w:r w:rsidRPr="00AF3A69">
        <w:rPr>
          <w:b/>
          <w:bCs/>
          <w:color w:val="auto"/>
        </w:rPr>
        <w:t xml:space="preserve">Conclusion </w:t>
      </w:r>
    </w:p>
    <w:p w14:paraId="5C027045" w14:textId="69B4F9F5" w:rsidR="00297498" w:rsidRPr="00297498" w:rsidRDefault="00297498" w:rsidP="00297498">
      <w:pPr>
        <w:spacing w:line="360" w:lineRule="auto"/>
        <w:rPr>
          <w:sz w:val="24"/>
          <w:szCs w:val="24"/>
        </w:rPr>
      </w:pPr>
      <w:r w:rsidRPr="00297498">
        <w:rPr>
          <w:sz w:val="24"/>
          <w:szCs w:val="24"/>
        </w:rPr>
        <w:t>This project sought to conduct some simple fieldwork in Heysham to investigate the likelihood of celestial alignments of medieval St Patrick’s Chapel. In particular, the project intended to explore whether the altar oriented towards the east</w:t>
      </w:r>
      <w:r w:rsidR="00A5160D">
        <w:rPr>
          <w:sz w:val="24"/>
          <w:szCs w:val="24"/>
        </w:rPr>
        <w:t xml:space="preserve"> (on the equinox)</w:t>
      </w:r>
      <w:r w:rsidRPr="00297498">
        <w:rPr>
          <w:sz w:val="24"/>
          <w:szCs w:val="24"/>
        </w:rPr>
        <w:t xml:space="preserve"> and the entrance towards the west, as decreed by Isidore of Seville and/or whether the westward </w:t>
      </w:r>
      <w:r w:rsidRPr="00297498">
        <w:rPr>
          <w:sz w:val="24"/>
          <w:szCs w:val="24"/>
        </w:rPr>
        <w:lastRenderedPageBreak/>
        <w:t xml:space="preserve">orientation appears to have been significant (Brady, Gunzburg and Silva, 2021). The project also intended to explore the relationship of the chapel with the rock-cut graves on the cliff top (Moskvina, 2020). The project found that the altar was probably positioned in the east and the entrance in the west (prior to the </w:t>
      </w:r>
      <w:r w:rsidR="00A5160D">
        <w:rPr>
          <w:sz w:val="24"/>
          <w:szCs w:val="24"/>
        </w:rPr>
        <w:t>10</w:t>
      </w:r>
      <w:r w:rsidR="00A5160D" w:rsidRPr="00A5160D">
        <w:rPr>
          <w:sz w:val="24"/>
          <w:szCs w:val="24"/>
          <w:vertAlign w:val="superscript"/>
        </w:rPr>
        <w:t>th</w:t>
      </w:r>
      <w:r w:rsidR="00A5160D">
        <w:rPr>
          <w:sz w:val="24"/>
          <w:szCs w:val="24"/>
        </w:rPr>
        <w:t xml:space="preserve"> century </w:t>
      </w:r>
      <w:r w:rsidRPr="00297498">
        <w:rPr>
          <w:sz w:val="24"/>
          <w:szCs w:val="24"/>
        </w:rPr>
        <w:t xml:space="preserve">rebuilding of the south-facing wall and the addition of the archway door in that wall). The east orientation was found to suggest a possible alignment with Mary’s Feast of the Assumption on the </w:t>
      </w:r>
      <w:r w:rsidR="00314198" w:rsidRPr="00297498">
        <w:rPr>
          <w:sz w:val="24"/>
          <w:szCs w:val="24"/>
        </w:rPr>
        <w:t>15</w:t>
      </w:r>
      <w:r w:rsidR="00314198" w:rsidRPr="00297498">
        <w:rPr>
          <w:sz w:val="24"/>
          <w:szCs w:val="24"/>
          <w:vertAlign w:val="superscript"/>
        </w:rPr>
        <w:t>th of</w:t>
      </w:r>
      <w:r w:rsidRPr="00297498">
        <w:rPr>
          <w:sz w:val="24"/>
          <w:szCs w:val="24"/>
        </w:rPr>
        <w:t xml:space="preserve"> August, which was an important festival in medieval times. The west orientation was found to </w:t>
      </w:r>
      <w:r w:rsidR="00A5160D">
        <w:rPr>
          <w:sz w:val="24"/>
          <w:szCs w:val="24"/>
        </w:rPr>
        <w:t xml:space="preserve">suggest </w:t>
      </w:r>
      <w:r w:rsidRPr="00297498">
        <w:rPr>
          <w:sz w:val="24"/>
          <w:szCs w:val="24"/>
        </w:rPr>
        <w:t xml:space="preserve">an alignment with the feast-day of Michael the Archangel on the </w:t>
      </w:r>
      <w:r w:rsidR="00314198" w:rsidRPr="00297498">
        <w:rPr>
          <w:sz w:val="24"/>
          <w:szCs w:val="24"/>
        </w:rPr>
        <w:t>29</w:t>
      </w:r>
      <w:r w:rsidR="00314198" w:rsidRPr="00297498">
        <w:rPr>
          <w:sz w:val="24"/>
          <w:szCs w:val="24"/>
          <w:vertAlign w:val="superscript"/>
        </w:rPr>
        <w:t>th of</w:t>
      </w:r>
      <w:r w:rsidRPr="00297498">
        <w:rPr>
          <w:sz w:val="24"/>
          <w:szCs w:val="24"/>
        </w:rPr>
        <w:t xml:space="preserve"> September. Furthermore, connections were found between Mary and Archangel Michael as he, being a protector angel, was tasked with protecting Mary herself. This strengthens the suggestion that the builders of the chapel intentionally oriented the building to align with </w:t>
      </w:r>
      <w:proofErr w:type="gramStart"/>
      <w:r w:rsidRPr="00297498">
        <w:rPr>
          <w:sz w:val="24"/>
          <w:szCs w:val="24"/>
        </w:rPr>
        <w:t>particular days</w:t>
      </w:r>
      <w:proofErr w:type="gramEnd"/>
      <w:r w:rsidRPr="00297498">
        <w:rPr>
          <w:sz w:val="24"/>
          <w:szCs w:val="24"/>
        </w:rPr>
        <w:t xml:space="preserve"> in the liturgical calendar, as well as perhaps aligning the building with days that would have been significant for the local economy, equinox days (as found when using Silva’s window of visibility technique</w:t>
      </w:r>
      <w:r w:rsidR="00A5160D">
        <w:rPr>
          <w:sz w:val="24"/>
          <w:szCs w:val="24"/>
        </w:rPr>
        <w:t xml:space="preserve"> revealed that the spring equinox would have </w:t>
      </w:r>
      <w:r w:rsidR="006651A8">
        <w:rPr>
          <w:sz w:val="24"/>
          <w:szCs w:val="24"/>
        </w:rPr>
        <w:t xml:space="preserve">been </w:t>
      </w:r>
      <w:r w:rsidR="00A5160D">
        <w:rPr>
          <w:sz w:val="24"/>
          <w:szCs w:val="24"/>
        </w:rPr>
        <w:t>embraced by the westward window of visibility</w:t>
      </w:r>
      <w:r w:rsidRPr="00297498">
        <w:rPr>
          <w:sz w:val="24"/>
          <w:szCs w:val="24"/>
        </w:rPr>
        <w:t xml:space="preserve">). The site is rich with material remains and lends itself to more in-depth research to understand how the ruins of the site relate to each other and to the culture of early medieval Heysham, for example, the significance of the graves found in and around the chapel. </w:t>
      </w:r>
      <w:r w:rsidR="00A5160D">
        <w:rPr>
          <w:sz w:val="24"/>
          <w:szCs w:val="24"/>
        </w:rPr>
        <w:t xml:space="preserve">It would also be worth exploring the relationship of the chapel with </w:t>
      </w:r>
      <w:r w:rsidR="006651A8">
        <w:rPr>
          <w:sz w:val="24"/>
          <w:szCs w:val="24"/>
        </w:rPr>
        <w:t xml:space="preserve">early Irish church building which are similar in style with their tall, narrow interiors, especially as Heysham and St Patrick’s appear to have some connection with Ireland. Additionally, more research is needed into the relationship of St Patrick’s with the development of Christianity across early medieval Northumbria, as it is such an early example of Christian architecture in the region. </w:t>
      </w:r>
      <w:r w:rsidRPr="00297498">
        <w:rPr>
          <w:sz w:val="24"/>
          <w:szCs w:val="24"/>
        </w:rPr>
        <w:t>Tilley suggested that humans attribute meaning to place through being ‘grounded in existential or lived consciousness of it’.</w:t>
      </w:r>
      <w:r w:rsidRPr="00297498">
        <w:rPr>
          <w:rStyle w:val="FootnoteReference"/>
          <w:color w:val="538135" w:themeColor="accent6" w:themeShade="BF"/>
          <w:sz w:val="24"/>
          <w:szCs w:val="24"/>
        </w:rPr>
        <w:footnoteReference w:id="60"/>
      </w:r>
      <w:r w:rsidR="00B6075E">
        <w:rPr>
          <w:sz w:val="24"/>
          <w:szCs w:val="24"/>
        </w:rPr>
        <w:t xml:space="preserve"> My first fieldtrip visit to St Patrick’s was magical. The air was </w:t>
      </w:r>
      <w:proofErr w:type="gramStart"/>
      <w:r w:rsidR="00B6075E">
        <w:rPr>
          <w:sz w:val="24"/>
          <w:szCs w:val="24"/>
        </w:rPr>
        <w:t>crisp</w:t>
      </w:r>
      <w:proofErr w:type="gramEnd"/>
      <w:r w:rsidR="00B6075E">
        <w:rPr>
          <w:sz w:val="24"/>
          <w:szCs w:val="24"/>
        </w:rPr>
        <w:t xml:space="preserve"> and ice still clung to the grass around the chapel. A couple of yard dogs barked half-heartedly in the village below. A lone fisherman sat on the rocky outcrop, silhouetted against the misty horizon as the dawn sunshine cast long shadows westward. </w:t>
      </w:r>
      <w:r w:rsidRPr="00297498">
        <w:rPr>
          <w:sz w:val="24"/>
          <w:szCs w:val="24"/>
        </w:rPr>
        <w:t>With my back to the village and all the stresses and strains of daily life</w:t>
      </w:r>
      <w:r w:rsidR="006651A8">
        <w:rPr>
          <w:sz w:val="24"/>
          <w:szCs w:val="24"/>
        </w:rPr>
        <w:t xml:space="preserve">, </w:t>
      </w:r>
      <w:r w:rsidRPr="00297498">
        <w:rPr>
          <w:sz w:val="24"/>
          <w:szCs w:val="24"/>
        </w:rPr>
        <w:t xml:space="preserve">looking out from St Patrick’s Chapel at the quiet majesty of the merging </w:t>
      </w:r>
      <w:r w:rsidRPr="00297498">
        <w:rPr>
          <w:sz w:val="24"/>
          <w:szCs w:val="24"/>
        </w:rPr>
        <w:lastRenderedPageBreak/>
        <w:t xml:space="preserve">of land, </w:t>
      </w:r>
      <w:proofErr w:type="gramStart"/>
      <w:r w:rsidRPr="00297498">
        <w:rPr>
          <w:sz w:val="24"/>
          <w:szCs w:val="24"/>
        </w:rPr>
        <w:t>sea</w:t>
      </w:r>
      <w:proofErr w:type="gramEnd"/>
      <w:r w:rsidRPr="00297498">
        <w:rPr>
          <w:sz w:val="24"/>
          <w:szCs w:val="24"/>
        </w:rPr>
        <w:t xml:space="preserve"> and sky in this location, it was easy for me to understand why the people of early medieval Heysham chose this spot as a place of quiet reflection, worship and contemplation. </w:t>
      </w:r>
    </w:p>
    <w:p w14:paraId="6499EED7" w14:textId="77777777" w:rsidR="00297498" w:rsidRDefault="00297498" w:rsidP="00297498">
      <w:pPr>
        <w:spacing w:line="360" w:lineRule="auto"/>
      </w:pPr>
    </w:p>
    <w:p w14:paraId="006C9DE7" w14:textId="77777777" w:rsidR="00297498" w:rsidRDefault="00297498" w:rsidP="00297498">
      <w:pPr>
        <w:spacing w:line="360" w:lineRule="auto"/>
      </w:pPr>
    </w:p>
    <w:p w14:paraId="61F25AB1" w14:textId="77777777" w:rsidR="00297498" w:rsidRPr="003C187C" w:rsidRDefault="00297498" w:rsidP="00297498">
      <w:pPr>
        <w:spacing w:line="360" w:lineRule="auto"/>
      </w:pPr>
    </w:p>
    <w:p w14:paraId="298E25D9" w14:textId="77777777" w:rsidR="00297498" w:rsidRDefault="00297498" w:rsidP="00297498">
      <w:pPr>
        <w:spacing w:line="360" w:lineRule="auto"/>
      </w:pPr>
    </w:p>
    <w:p w14:paraId="4854003A" w14:textId="77777777" w:rsidR="00B82F9E" w:rsidRDefault="00B82F9E" w:rsidP="00297498">
      <w:pPr>
        <w:spacing w:line="360" w:lineRule="auto"/>
      </w:pPr>
    </w:p>
    <w:p w14:paraId="722261EF" w14:textId="77777777" w:rsidR="00B82F9E" w:rsidRDefault="00B82F9E" w:rsidP="00297498">
      <w:pPr>
        <w:spacing w:line="360" w:lineRule="auto"/>
      </w:pPr>
    </w:p>
    <w:p w14:paraId="1865348D" w14:textId="77777777" w:rsidR="00B82F9E" w:rsidRDefault="00B82F9E" w:rsidP="00297498">
      <w:pPr>
        <w:spacing w:line="360" w:lineRule="auto"/>
      </w:pPr>
    </w:p>
    <w:p w14:paraId="28F9C339" w14:textId="77777777" w:rsidR="00B82F9E" w:rsidRDefault="00B82F9E" w:rsidP="00297498">
      <w:pPr>
        <w:spacing w:line="360" w:lineRule="auto"/>
      </w:pPr>
    </w:p>
    <w:p w14:paraId="32AB337E" w14:textId="77777777" w:rsidR="00B82F9E" w:rsidRDefault="00B82F9E" w:rsidP="00297498">
      <w:pPr>
        <w:spacing w:line="360" w:lineRule="auto"/>
      </w:pPr>
    </w:p>
    <w:p w14:paraId="63D5E5D8" w14:textId="77777777" w:rsidR="00B82F9E" w:rsidRDefault="00B82F9E" w:rsidP="00297498">
      <w:pPr>
        <w:spacing w:line="360" w:lineRule="auto"/>
      </w:pPr>
    </w:p>
    <w:p w14:paraId="5DF69266" w14:textId="77777777" w:rsidR="00B82F9E" w:rsidRDefault="00B82F9E" w:rsidP="00297498">
      <w:pPr>
        <w:spacing w:line="360" w:lineRule="auto"/>
      </w:pPr>
    </w:p>
    <w:p w14:paraId="5FDBDE9A" w14:textId="77777777" w:rsidR="00B82F9E" w:rsidRDefault="00B82F9E" w:rsidP="00297498">
      <w:pPr>
        <w:spacing w:line="360" w:lineRule="auto"/>
      </w:pPr>
    </w:p>
    <w:p w14:paraId="095FA47B" w14:textId="77777777" w:rsidR="00B82F9E" w:rsidRDefault="00B82F9E" w:rsidP="00297498">
      <w:pPr>
        <w:spacing w:line="360" w:lineRule="auto"/>
      </w:pPr>
    </w:p>
    <w:p w14:paraId="6B2F36D2" w14:textId="77777777" w:rsidR="00B82F9E" w:rsidRDefault="00B82F9E" w:rsidP="00297498">
      <w:pPr>
        <w:spacing w:line="360" w:lineRule="auto"/>
      </w:pPr>
    </w:p>
    <w:p w14:paraId="5CE4E11C" w14:textId="77777777" w:rsidR="00B82F9E" w:rsidRDefault="00B82F9E" w:rsidP="00297498">
      <w:pPr>
        <w:spacing w:line="360" w:lineRule="auto"/>
      </w:pPr>
    </w:p>
    <w:p w14:paraId="44E03B55" w14:textId="77777777" w:rsidR="00B82F9E" w:rsidRDefault="00B82F9E" w:rsidP="00297498">
      <w:pPr>
        <w:spacing w:line="360" w:lineRule="auto"/>
      </w:pPr>
    </w:p>
    <w:p w14:paraId="2BD346EA" w14:textId="77777777" w:rsidR="00B82F9E" w:rsidRDefault="00B82F9E" w:rsidP="00297498">
      <w:pPr>
        <w:spacing w:line="360" w:lineRule="auto"/>
      </w:pPr>
    </w:p>
    <w:p w14:paraId="4D4ECA33" w14:textId="77777777" w:rsidR="00297498" w:rsidRDefault="00297498" w:rsidP="00297498">
      <w:pPr>
        <w:spacing w:line="360" w:lineRule="auto"/>
      </w:pPr>
    </w:p>
    <w:p w14:paraId="62AFF498" w14:textId="77777777" w:rsidR="00297498" w:rsidRDefault="00297498" w:rsidP="00297498">
      <w:pPr>
        <w:spacing w:line="360" w:lineRule="auto"/>
      </w:pPr>
    </w:p>
    <w:p w14:paraId="134764E8" w14:textId="77777777" w:rsidR="00297498" w:rsidRDefault="00297498" w:rsidP="00297498">
      <w:pPr>
        <w:spacing w:line="360" w:lineRule="auto"/>
      </w:pPr>
    </w:p>
    <w:p w14:paraId="34F6CB29" w14:textId="77777777" w:rsidR="00297498" w:rsidRDefault="00297498" w:rsidP="00297498">
      <w:pPr>
        <w:spacing w:line="360" w:lineRule="auto"/>
      </w:pPr>
    </w:p>
    <w:p w14:paraId="37813682" w14:textId="77777777" w:rsidR="00314198" w:rsidRPr="00997EF1" w:rsidRDefault="00314198" w:rsidP="00314198">
      <w:pPr>
        <w:pStyle w:val="Title"/>
        <w:spacing w:line="360" w:lineRule="auto"/>
        <w:jc w:val="center"/>
        <w:rPr>
          <w:lang w:val="en-US"/>
        </w:rPr>
      </w:pPr>
      <w:r w:rsidRPr="00997EF1">
        <w:rPr>
          <w:lang w:val="en-US"/>
        </w:rPr>
        <w:lastRenderedPageBreak/>
        <w:t>Bibliography</w:t>
      </w:r>
    </w:p>
    <w:p w14:paraId="04509547" w14:textId="77777777" w:rsidR="00314198" w:rsidRPr="00314198" w:rsidRDefault="00314198" w:rsidP="00314198">
      <w:pPr>
        <w:pStyle w:val="Heading1"/>
        <w:spacing w:line="360" w:lineRule="auto"/>
        <w:rPr>
          <w:b/>
          <w:bCs/>
          <w:color w:val="auto"/>
          <w:lang w:val="en-US"/>
        </w:rPr>
      </w:pPr>
      <w:r w:rsidRPr="00314198">
        <w:rPr>
          <w:b/>
          <w:bCs/>
          <w:color w:val="auto"/>
          <w:lang w:val="en-US"/>
        </w:rPr>
        <w:t>Primary Sources</w:t>
      </w:r>
    </w:p>
    <w:p w14:paraId="227B6A2F" w14:textId="5DCBE2D2" w:rsidR="00314198" w:rsidRDefault="00314198" w:rsidP="00314198">
      <w:pPr>
        <w:spacing w:line="360" w:lineRule="auto"/>
        <w:rPr>
          <w:rFonts w:cstheme="minorHAnsi"/>
          <w:sz w:val="24"/>
          <w:szCs w:val="24"/>
          <w:lang w:val="en-US"/>
        </w:rPr>
      </w:pPr>
      <w:r w:rsidRPr="00997EF1">
        <w:rPr>
          <w:rFonts w:cstheme="minorHAnsi"/>
          <w:sz w:val="24"/>
          <w:szCs w:val="24"/>
          <w:lang w:val="en-US"/>
        </w:rPr>
        <w:t xml:space="preserve">Ordnance Survey </w:t>
      </w:r>
      <w:r w:rsidRPr="00997EF1">
        <w:rPr>
          <w:rFonts w:cstheme="minorHAnsi"/>
          <w:sz w:val="24"/>
          <w:szCs w:val="24"/>
          <w:lang w:val="en-US"/>
        </w:rPr>
        <w:t>Explorer, map</w:t>
      </w:r>
      <w:r w:rsidRPr="00997EF1">
        <w:rPr>
          <w:rFonts w:cstheme="minorHAnsi"/>
          <w:sz w:val="24"/>
          <w:szCs w:val="24"/>
          <w:lang w:val="en-US"/>
        </w:rPr>
        <w:t xml:space="preserve"> number 296, ‘Lancaster, Morecambe and Fleetwood’ </w:t>
      </w:r>
    </w:p>
    <w:p w14:paraId="73A5590C" w14:textId="77777777" w:rsidR="00314198" w:rsidRPr="00997EF1" w:rsidRDefault="00314198" w:rsidP="00314198">
      <w:pPr>
        <w:spacing w:line="360" w:lineRule="auto"/>
        <w:ind w:firstLine="720"/>
        <w:rPr>
          <w:rFonts w:cstheme="minorHAnsi"/>
          <w:sz w:val="24"/>
          <w:szCs w:val="24"/>
        </w:rPr>
      </w:pPr>
      <w:r w:rsidRPr="00997EF1">
        <w:rPr>
          <w:rFonts w:cstheme="minorHAnsi"/>
          <w:sz w:val="24"/>
          <w:szCs w:val="24"/>
          <w:lang w:val="en-US"/>
        </w:rPr>
        <w:t>(Ordnance Survey Ltd, 2017).</w:t>
      </w:r>
    </w:p>
    <w:p w14:paraId="2956289B" w14:textId="77777777" w:rsidR="00314198" w:rsidRPr="00997EF1" w:rsidRDefault="00314198" w:rsidP="00314198">
      <w:pPr>
        <w:spacing w:line="360" w:lineRule="auto"/>
        <w:rPr>
          <w:rFonts w:cstheme="minorHAnsi"/>
          <w:sz w:val="24"/>
          <w:szCs w:val="24"/>
        </w:rPr>
      </w:pPr>
    </w:p>
    <w:p w14:paraId="696096E7" w14:textId="77777777" w:rsidR="00314198" w:rsidRPr="00997EF1" w:rsidRDefault="00314198" w:rsidP="00314198">
      <w:pPr>
        <w:spacing w:line="360" w:lineRule="auto"/>
        <w:rPr>
          <w:rFonts w:cstheme="minorHAnsi"/>
          <w:sz w:val="24"/>
          <w:szCs w:val="24"/>
          <w:lang w:val="en-US"/>
        </w:rPr>
      </w:pPr>
      <w:hyperlink r:id="rId23" w:history="1">
        <w:r w:rsidRPr="00997EF1">
          <w:rPr>
            <w:rStyle w:val="Hyperlink"/>
            <w:rFonts w:cstheme="minorHAnsi"/>
            <w:sz w:val="24"/>
            <w:szCs w:val="24"/>
          </w:rPr>
          <w:t>Converting between Julian and Gregorian Calendar in One Step (stevemorse.org)</w:t>
        </w:r>
      </w:hyperlink>
      <w:r w:rsidRPr="00997EF1">
        <w:rPr>
          <w:rFonts w:cstheme="minorHAnsi"/>
          <w:sz w:val="24"/>
          <w:szCs w:val="24"/>
        </w:rPr>
        <w:t xml:space="preserve"> </w:t>
      </w:r>
    </w:p>
    <w:p w14:paraId="3989F888" w14:textId="77777777" w:rsidR="00314198" w:rsidRPr="00997EF1" w:rsidRDefault="00314198" w:rsidP="00314198">
      <w:pPr>
        <w:spacing w:line="360" w:lineRule="auto"/>
        <w:rPr>
          <w:rFonts w:cstheme="minorHAnsi"/>
          <w:sz w:val="24"/>
          <w:szCs w:val="24"/>
        </w:rPr>
      </w:pPr>
    </w:p>
    <w:p w14:paraId="7D10405C" w14:textId="77777777" w:rsidR="00314198" w:rsidRPr="00997EF1" w:rsidRDefault="00314198" w:rsidP="00314198">
      <w:pPr>
        <w:spacing w:line="360" w:lineRule="auto"/>
        <w:rPr>
          <w:rFonts w:cstheme="minorHAnsi"/>
          <w:sz w:val="24"/>
          <w:szCs w:val="24"/>
        </w:rPr>
      </w:pPr>
      <w:r w:rsidRPr="00997EF1">
        <w:rPr>
          <w:rFonts w:cstheme="minorHAnsi"/>
          <w:sz w:val="24"/>
          <w:szCs w:val="24"/>
        </w:rPr>
        <w:t xml:space="preserve">http:// </w:t>
      </w:r>
      <w:hyperlink r:id="rId24" w:anchor="declination" w:history="1">
        <w:r w:rsidRPr="00997EF1">
          <w:rPr>
            <w:rStyle w:val="Hyperlink"/>
            <w:rFonts w:cstheme="minorHAnsi"/>
            <w:sz w:val="24"/>
            <w:szCs w:val="24"/>
          </w:rPr>
          <w:t>www.ngdc.noaa.gov/geomag-web/#declination</w:t>
        </w:r>
      </w:hyperlink>
      <w:r w:rsidRPr="00997EF1">
        <w:rPr>
          <w:rFonts w:cstheme="minorHAnsi"/>
          <w:sz w:val="24"/>
          <w:szCs w:val="24"/>
        </w:rPr>
        <w:t xml:space="preserve"> </w:t>
      </w:r>
    </w:p>
    <w:p w14:paraId="73820A25" w14:textId="77777777" w:rsidR="00314198" w:rsidRPr="00997EF1" w:rsidRDefault="00314198" w:rsidP="00314198">
      <w:pPr>
        <w:spacing w:line="360" w:lineRule="auto"/>
        <w:rPr>
          <w:rFonts w:cstheme="minorHAnsi"/>
          <w:sz w:val="24"/>
          <w:szCs w:val="24"/>
        </w:rPr>
      </w:pPr>
    </w:p>
    <w:p w14:paraId="5ECC300A" w14:textId="77777777" w:rsidR="00314198" w:rsidRPr="00997EF1" w:rsidRDefault="00314198" w:rsidP="00314198">
      <w:pPr>
        <w:spacing w:line="360" w:lineRule="auto"/>
        <w:rPr>
          <w:rFonts w:cstheme="minorHAnsi"/>
          <w:sz w:val="24"/>
          <w:szCs w:val="24"/>
        </w:rPr>
      </w:pPr>
      <w:r w:rsidRPr="00997EF1">
        <w:rPr>
          <w:rFonts w:cstheme="minorHAnsi"/>
          <w:sz w:val="24"/>
          <w:szCs w:val="24"/>
        </w:rPr>
        <w:t xml:space="preserve">Google Earth Pro online app. </w:t>
      </w:r>
    </w:p>
    <w:p w14:paraId="5A5BE08C" w14:textId="77777777" w:rsidR="00314198" w:rsidRPr="00997EF1" w:rsidRDefault="00314198" w:rsidP="00314198">
      <w:pPr>
        <w:spacing w:line="360" w:lineRule="auto"/>
        <w:rPr>
          <w:rFonts w:cstheme="minorHAnsi"/>
          <w:sz w:val="24"/>
          <w:szCs w:val="24"/>
        </w:rPr>
      </w:pPr>
    </w:p>
    <w:p w14:paraId="11C250CD" w14:textId="77777777" w:rsidR="00314198" w:rsidRPr="00997EF1" w:rsidRDefault="00314198" w:rsidP="00314198">
      <w:pPr>
        <w:spacing w:line="360" w:lineRule="auto"/>
        <w:rPr>
          <w:rFonts w:cstheme="minorHAnsi"/>
          <w:sz w:val="24"/>
          <w:szCs w:val="24"/>
        </w:rPr>
      </w:pPr>
      <w:hyperlink r:id="rId25" w:history="1">
        <w:r w:rsidRPr="00997EF1">
          <w:rPr>
            <w:rStyle w:val="Hyperlink"/>
            <w:rFonts w:cstheme="minorHAnsi"/>
            <w:sz w:val="24"/>
            <w:szCs w:val="24"/>
          </w:rPr>
          <w:t>www.HeyWhatsThat.com</w:t>
        </w:r>
      </w:hyperlink>
      <w:r w:rsidRPr="00997EF1">
        <w:rPr>
          <w:rFonts w:cstheme="minorHAnsi"/>
          <w:sz w:val="24"/>
          <w:szCs w:val="24"/>
        </w:rPr>
        <w:t xml:space="preserve"> </w:t>
      </w:r>
    </w:p>
    <w:p w14:paraId="66A27833" w14:textId="77777777" w:rsidR="00314198" w:rsidRPr="00997EF1" w:rsidRDefault="00314198" w:rsidP="00314198">
      <w:pPr>
        <w:spacing w:line="360" w:lineRule="auto"/>
        <w:rPr>
          <w:rStyle w:val="Emphasis"/>
          <w:rFonts w:cstheme="minorHAnsi"/>
          <w:sz w:val="24"/>
          <w:szCs w:val="24"/>
        </w:rPr>
      </w:pPr>
    </w:p>
    <w:p w14:paraId="01EA316B" w14:textId="77777777" w:rsidR="00314198" w:rsidRPr="00997EF1" w:rsidRDefault="00314198" w:rsidP="00314198">
      <w:pPr>
        <w:spacing w:line="360" w:lineRule="auto"/>
        <w:rPr>
          <w:rFonts w:cstheme="minorHAnsi"/>
          <w:sz w:val="24"/>
          <w:szCs w:val="24"/>
        </w:rPr>
      </w:pPr>
      <w:r w:rsidRPr="00997EF1">
        <w:rPr>
          <w:rStyle w:val="Emphasis"/>
          <w:rFonts w:cstheme="minorHAnsi"/>
          <w:sz w:val="24"/>
          <w:szCs w:val="24"/>
        </w:rPr>
        <w:t>Fabio Silva</w:t>
      </w:r>
      <w:r w:rsidRPr="00997EF1">
        <w:rPr>
          <w:rFonts w:cstheme="minorHAnsi"/>
          <w:sz w:val="24"/>
          <w:szCs w:val="24"/>
        </w:rPr>
        <w:t>’s</w:t>
      </w:r>
      <w:r w:rsidRPr="00997EF1">
        <w:rPr>
          <w:rFonts w:cstheme="minorHAnsi"/>
          <w:b/>
          <w:bCs/>
          <w:sz w:val="24"/>
          <w:szCs w:val="24"/>
        </w:rPr>
        <w:t xml:space="preserve"> ‘</w:t>
      </w:r>
      <w:r w:rsidRPr="00997EF1">
        <w:rPr>
          <w:rFonts w:cstheme="minorHAnsi"/>
          <w:sz w:val="24"/>
          <w:szCs w:val="24"/>
        </w:rPr>
        <w:t>Change in Solar Declination through the year’</w:t>
      </w:r>
      <w:r w:rsidRPr="00997EF1">
        <w:rPr>
          <w:rFonts w:cstheme="minorHAnsi"/>
          <w:i/>
          <w:iCs/>
          <w:sz w:val="24"/>
          <w:szCs w:val="24"/>
        </w:rPr>
        <w:t xml:space="preserve"> </w:t>
      </w:r>
      <w:r w:rsidRPr="00997EF1">
        <w:rPr>
          <w:rFonts w:cstheme="minorHAnsi"/>
          <w:sz w:val="24"/>
          <w:szCs w:val="24"/>
        </w:rPr>
        <w:t xml:space="preserve">Reference Tables for Skyscape </w:t>
      </w:r>
    </w:p>
    <w:p w14:paraId="10769723" w14:textId="77777777" w:rsidR="00314198" w:rsidRPr="00997EF1" w:rsidRDefault="00314198" w:rsidP="00314198">
      <w:pPr>
        <w:spacing w:line="360" w:lineRule="auto"/>
        <w:ind w:firstLine="720"/>
        <w:rPr>
          <w:rFonts w:cstheme="minorHAnsi"/>
          <w:sz w:val="24"/>
          <w:szCs w:val="24"/>
          <w:lang w:val="en-US"/>
        </w:rPr>
      </w:pPr>
      <w:r w:rsidRPr="00997EF1">
        <w:rPr>
          <w:rFonts w:cstheme="minorHAnsi"/>
          <w:sz w:val="24"/>
          <w:szCs w:val="24"/>
        </w:rPr>
        <w:t>Archaeology</w:t>
      </w:r>
      <w:r w:rsidRPr="00997EF1">
        <w:rPr>
          <w:rFonts w:cstheme="minorHAnsi"/>
          <w:i/>
          <w:iCs/>
          <w:sz w:val="24"/>
          <w:szCs w:val="24"/>
        </w:rPr>
        <w:t xml:space="preserve">, </w:t>
      </w:r>
      <w:r w:rsidRPr="00997EF1">
        <w:rPr>
          <w:rStyle w:val="Emphasis"/>
          <w:rFonts w:cstheme="minorHAnsi"/>
          <w:sz w:val="24"/>
          <w:szCs w:val="24"/>
        </w:rPr>
        <w:t xml:space="preserve">22/01/2019 provided by University of Wales, Trinity St David. </w:t>
      </w:r>
    </w:p>
    <w:p w14:paraId="3090D536" w14:textId="77777777" w:rsidR="00314198" w:rsidRDefault="00314198" w:rsidP="00314198">
      <w:pPr>
        <w:spacing w:line="360" w:lineRule="auto"/>
        <w:rPr>
          <w:rFonts w:cstheme="minorHAnsi"/>
          <w:sz w:val="24"/>
          <w:szCs w:val="24"/>
          <w:lang w:val="en-US"/>
        </w:rPr>
      </w:pPr>
    </w:p>
    <w:p w14:paraId="42A6D269" w14:textId="77777777" w:rsidR="00314198" w:rsidRDefault="00314198" w:rsidP="00314198">
      <w:pPr>
        <w:spacing w:line="360" w:lineRule="auto"/>
        <w:rPr>
          <w:rFonts w:cstheme="minorHAnsi"/>
          <w:sz w:val="24"/>
          <w:szCs w:val="24"/>
          <w:lang w:val="en-US"/>
        </w:rPr>
      </w:pPr>
    </w:p>
    <w:p w14:paraId="3F504BA3" w14:textId="77777777" w:rsidR="00314198" w:rsidRPr="00997EF1" w:rsidRDefault="00314198" w:rsidP="00314198">
      <w:pPr>
        <w:spacing w:line="360" w:lineRule="auto"/>
        <w:rPr>
          <w:rFonts w:cstheme="minorHAnsi"/>
          <w:sz w:val="24"/>
          <w:szCs w:val="24"/>
          <w:lang w:val="en-US"/>
        </w:rPr>
      </w:pPr>
    </w:p>
    <w:p w14:paraId="06728FF3" w14:textId="77777777" w:rsidR="00314198" w:rsidRPr="00314198" w:rsidRDefault="00314198" w:rsidP="00314198">
      <w:pPr>
        <w:pStyle w:val="Heading1"/>
        <w:spacing w:line="360" w:lineRule="auto"/>
        <w:rPr>
          <w:b/>
          <w:bCs/>
          <w:color w:val="auto"/>
          <w:lang w:val="en-US"/>
        </w:rPr>
      </w:pPr>
      <w:r w:rsidRPr="00314198">
        <w:rPr>
          <w:b/>
          <w:bCs/>
          <w:color w:val="auto"/>
          <w:lang w:val="en-US"/>
        </w:rPr>
        <w:t>Secondary Sources</w:t>
      </w:r>
    </w:p>
    <w:p w14:paraId="740907AF" w14:textId="77777777" w:rsidR="00314198" w:rsidRPr="00997EF1" w:rsidRDefault="00314198" w:rsidP="00314198">
      <w:pPr>
        <w:spacing w:line="360" w:lineRule="auto"/>
        <w:rPr>
          <w:rFonts w:cstheme="minorHAnsi"/>
          <w:sz w:val="24"/>
          <w:szCs w:val="24"/>
          <w:lang w:val="en-US"/>
        </w:rPr>
      </w:pPr>
    </w:p>
    <w:p w14:paraId="1978BD70"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Bernadette Brady, ‘Star Phases: the naked-eye astronomy of the Old Kingdom Pyramid Texts’ </w:t>
      </w:r>
      <w:bookmarkStart w:id="12" w:name="_Hlk133832778"/>
    </w:p>
    <w:p w14:paraId="480824B7" w14:textId="4ACA8078" w:rsidR="00314198" w:rsidRPr="00081DCB" w:rsidRDefault="00314198" w:rsidP="00314198">
      <w:pPr>
        <w:spacing w:line="360" w:lineRule="auto"/>
        <w:ind w:firstLine="720"/>
        <w:rPr>
          <w:rFonts w:cstheme="minorHAnsi"/>
          <w:sz w:val="24"/>
          <w:szCs w:val="24"/>
        </w:rPr>
      </w:pPr>
      <w:r w:rsidRPr="00081DCB">
        <w:rPr>
          <w:rFonts w:cstheme="minorHAnsi"/>
          <w:sz w:val="24"/>
          <w:szCs w:val="24"/>
        </w:rPr>
        <w:t xml:space="preserve">in </w:t>
      </w:r>
      <w:r w:rsidRPr="00081DCB">
        <w:rPr>
          <w:rFonts w:cstheme="minorHAnsi"/>
          <w:i/>
          <w:iCs/>
          <w:sz w:val="24"/>
          <w:szCs w:val="24"/>
        </w:rPr>
        <w:t>Skyscapes:</w:t>
      </w:r>
      <w:r w:rsidRPr="00081DCB">
        <w:rPr>
          <w:rFonts w:cstheme="minorHAnsi"/>
          <w:i/>
          <w:iCs/>
          <w:sz w:val="24"/>
          <w:szCs w:val="24"/>
        </w:rPr>
        <w:t xml:space="preserve"> </w:t>
      </w:r>
      <w:proofErr w:type="gramStart"/>
      <w:r w:rsidRPr="00081DCB">
        <w:rPr>
          <w:rFonts w:cstheme="minorHAnsi"/>
          <w:i/>
          <w:iCs/>
          <w:sz w:val="24"/>
          <w:szCs w:val="24"/>
        </w:rPr>
        <w:t>the</w:t>
      </w:r>
      <w:proofErr w:type="gramEnd"/>
      <w:r w:rsidRPr="00081DCB">
        <w:rPr>
          <w:rFonts w:cstheme="minorHAnsi"/>
          <w:i/>
          <w:iCs/>
          <w:sz w:val="24"/>
          <w:szCs w:val="24"/>
        </w:rPr>
        <w:t xml:space="preserve"> Role and Importance of the Sky in Archaeology</w:t>
      </w:r>
      <w:r w:rsidRPr="00081DCB">
        <w:rPr>
          <w:rFonts w:cstheme="minorHAnsi"/>
          <w:sz w:val="24"/>
          <w:szCs w:val="24"/>
        </w:rPr>
        <w:t xml:space="preserve">, ed. by Fabio (Fabio </w:t>
      </w:r>
    </w:p>
    <w:p w14:paraId="7B754EB4" w14:textId="77777777" w:rsidR="00314198" w:rsidRPr="00081DCB" w:rsidRDefault="00314198" w:rsidP="00314198">
      <w:pPr>
        <w:spacing w:line="360" w:lineRule="auto"/>
        <w:ind w:left="720"/>
        <w:rPr>
          <w:rFonts w:cstheme="minorHAnsi"/>
          <w:sz w:val="24"/>
          <w:szCs w:val="24"/>
        </w:rPr>
      </w:pPr>
      <w:r w:rsidRPr="00081DCB">
        <w:rPr>
          <w:rFonts w:cstheme="minorHAnsi"/>
          <w:sz w:val="24"/>
          <w:szCs w:val="24"/>
        </w:rPr>
        <w:lastRenderedPageBreak/>
        <w:t>P.) Silva and Nicholas Campion (Oxford, [England</w:t>
      </w:r>
      <w:proofErr w:type="gramStart"/>
      <w:r w:rsidRPr="00081DCB">
        <w:rPr>
          <w:rFonts w:cstheme="minorHAnsi"/>
          <w:sz w:val="24"/>
          <w:szCs w:val="24"/>
        </w:rPr>
        <w:t>] ;</w:t>
      </w:r>
      <w:proofErr w:type="gramEnd"/>
      <w:r w:rsidRPr="00081DCB">
        <w:rPr>
          <w:rFonts w:cstheme="minorHAnsi"/>
          <w:sz w:val="24"/>
          <w:szCs w:val="24"/>
        </w:rPr>
        <w:t>: Oxbow Books, 2015)</w:t>
      </w:r>
      <w:bookmarkEnd w:id="12"/>
    </w:p>
    <w:p w14:paraId="5E594181" w14:textId="77777777" w:rsidR="00314198" w:rsidRPr="00997EF1" w:rsidRDefault="00314198" w:rsidP="00314198">
      <w:pPr>
        <w:spacing w:line="360" w:lineRule="auto"/>
        <w:rPr>
          <w:rFonts w:cstheme="minorHAnsi"/>
          <w:sz w:val="24"/>
          <w:szCs w:val="24"/>
        </w:rPr>
      </w:pPr>
    </w:p>
    <w:p w14:paraId="2132E448" w14:textId="77777777" w:rsidR="00314198" w:rsidRDefault="00314198" w:rsidP="00314198">
      <w:pPr>
        <w:spacing w:line="360" w:lineRule="auto"/>
        <w:rPr>
          <w:rFonts w:cstheme="minorHAnsi"/>
          <w:sz w:val="24"/>
          <w:szCs w:val="24"/>
        </w:rPr>
      </w:pPr>
      <w:bookmarkStart w:id="13" w:name="_Hlk133948883"/>
      <w:r w:rsidRPr="00997EF1">
        <w:rPr>
          <w:rFonts w:cstheme="minorHAnsi"/>
          <w:sz w:val="24"/>
          <w:szCs w:val="24"/>
        </w:rPr>
        <w:t xml:space="preserve">Brady, Bernadette, Darrelyn Gunzburg and Fabio Silva, ‘The Sun’s Light at Michaelmas And </w:t>
      </w:r>
    </w:p>
    <w:p w14:paraId="386C5FA5" w14:textId="0053AECD" w:rsidR="00314198" w:rsidRPr="00997EF1" w:rsidRDefault="00314198" w:rsidP="00314198">
      <w:pPr>
        <w:spacing w:line="360" w:lineRule="auto"/>
        <w:ind w:left="720"/>
        <w:rPr>
          <w:rFonts w:cstheme="minorHAnsi"/>
          <w:sz w:val="24"/>
          <w:szCs w:val="24"/>
        </w:rPr>
      </w:pPr>
      <w:r w:rsidRPr="00997EF1">
        <w:rPr>
          <w:rFonts w:cstheme="minorHAnsi"/>
          <w:sz w:val="24"/>
          <w:szCs w:val="24"/>
        </w:rPr>
        <w:t xml:space="preserve">The Cistercians </w:t>
      </w:r>
      <w:r w:rsidRPr="00997EF1">
        <w:rPr>
          <w:rFonts w:cstheme="minorHAnsi"/>
          <w:sz w:val="24"/>
          <w:szCs w:val="24"/>
        </w:rPr>
        <w:t>of</w:t>
      </w:r>
      <w:r w:rsidRPr="00997EF1">
        <w:rPr>
          <w:rFonts w:cstheme="minorHAnsi"/>
          <w:sz w:val="24"/>
          <w:szCs w:val="24"/>
        </w:rPr>
        <w:t xml:space="preserve"> Britain </w:t>
      </w:r>
      <w:proofErr w:type="gramStart"/>
      <w:r w:rsidRPr="00997EF1">
        <w:rPr>
          <w:rFonts w:cstheme="minorHAnsi"/>
          <w:sz w:val="24"/>
          <w:szCs w:val="24"/>
        </w:rPr>
        <w:t>And</w:t>
      </w:r>
      <w:proofErr w:type="gramEnd"/>
      <w:r w:rsidRPr="00997EF1">
        <w:rPr>
          <w:rFonts w:cstheme="minorHAnsi"/>
          <w:sz w:val="24"/>
          <w:szCs w:val="24"/>
        </w:rPr>
        <w:t xml:space="preserve"> Ireland’, </w:t>
      </w:r>
      <w:r w:rsidRPr="00997EF1">
        <w:rPr>
          <w:rFonts w:cstheme="minorHAnsi"/>
          <w:i/>
          <w:iCs/>
          <w:sz w:val="24"/>
          <w:szCs w:val="24"/>
        </w:rPr>
        <w:t>Cîteaux – Commentarii cistercienses</w:t>
      </w:r>
      <w:r w:rsidRPr="00997EF1">
        <w:rPr>
          <w:rFonts w:cstheme="minorHAnsi"/>
          <w:sz w:val="24"/>
          <w:szCs w:val="24"/>
        </w:rPr>
        <w:t xml:space="preserve">, t. 72, fasc. 1-4 (2021) </w:t>
      </w:r>
    </w:p>
    <w:bookmarkEnd w:id="13"/>
    <w:p w14:paraId="309E0D57" w14:textId="77777777" w:rsidR="00314198" w:rsidRPr="00997EF1" w:rsidRDefault="00314198" w:rsidP="00314198">
      <w:pPr>
        <w:spacing w:line="360" w:lineRule="auto"/>
        <w:ind w:firstLine="720"/>
        <w:rPr>
          <w:rFonts w:cstheme="minorHAnsi"/>
          <w:sz w:val="24"/>
          <w:szCs w:val="24"/>
          <w:lang w:val="en-US"/>
        </w:rPr>
      </w:pPr>
    </w:p>
    <w:p w14:paraId="3A7298A0" w14:textId="77777777" w:rsidR="00314198" w:rsidRDefault="00314198" w:rsidP="00314198">
      <w:pPr>
        <w:spacing w:line="360" w:lineRule="auto"/>
        <w:rPr>
          <w:rFonts w:cstheme="minorHAnsi"/>
          <w:sz w:val="24"/>
          <w:szCs w:val="24"/>
        </w:rPr>
      </w:pPr>
      <w:r>
        <w:rPr>
          <w:rFonts w:cstheme="minorHAnsi"/>
          <w:sz w:val="24"/>
          <w:szCs w:val="24"/>
        </w:rPr>
        <w:t xml:space="preserve">Brady, </w:t>
      </w:r>
      <w:r w:rsidRPr="00997EF1">
        <w:rPr>
          <w:rFonts w:cstheme="minorHAnsi"/>
          <w:sz w:val="24"/>
          <w:szCs w:val="24"/>
        </w:rPr>
        <w:t xml:space="preserve">Bernadette, Darrelyn Gunzburg, and Fabio Silva, ‘The Orientation of Cistercian </w:t>
      </w:r>
    </w:p>
    <w:p w14:paraId="5955F9AE" w14:textId="4254541D" w:rsidR="00314198" w:rsidRPr="00997EF1" w:rsidRDefault="00314198" w:rsidP="00314198">
      <w:pPr>
        <w:spacing w:line="360" w:lineRule="auto"/>
        <w:ind w:left="720"/>
        <w:rPr>
          <w:rFonts w:cstheme="minorHAnsi"/>
          <w:sz w:val="24"/>
          <w:szCs w:val="24"/>
        </w:rPr>
      </w:pPr>
      <w:r w:rsidRPr="00997EF1">
        <w:rPr>
          <w:rFonts w:cstheme="minorHAnsi"/>
          <w:sz w:val="24"/>
          <w:szCs w:val="24"/>
        </w:rPr>
        <w:t>Churches In Wales: A Cultural Astronomy Case Study</w:t>
      </w:r>
      <w:r w:rsidRPr="00997EF1">
        <w:rPr>
          <w:rFonts w:cstheme="minorHAnsi"/>
          <w:sz w:val="24"/>
          <w:szCs w:val="24"/>
        </w:rPr>
        <w:t xml:space="preserve">’, </w:t>
      </w:r>
      <w:r w:rsidRPr="00314198">
        <w:rPr>
          <w:rFonts w:cstheme="minorHAnsi"/>
          <w:i/>
          <w:iCs/>
          <w:sz w:val="24"/>
          <w:szCs w:val="24"/>
        </w:rPr>
        <w:t>Cîteaux</w:t>
      </w:r>
      <w:r w:rsidRPr="00997EF1">
        <w:rPr>
          <w:rFonts w:cstheme="minorHAnsi"/>
          <w:i/>
          <w:iCs/>
          <w:sz w:val="24"/>
          <w:szCs w:val="24"/>
        </w:rPr>
        <w:t xml:space="preserve"> – Commentarii cistercienses</w:t>
      </w:r>
      <w:r w:rsidRPr="00997EF1">
        <w:rPr>
          <w:rFonts w:cstheme="minorHAnsi"/>
          <w:sz w:val="24"/>
          <w:szCs w:val="24"/>
        </w:rPr>
        <w:t xml:space="preserve"> 67 (2016), p. 275-302</w:t>
      </w:r>
    </w:p>
    <w:p w14:paraId="525873F5" w14:textId="77777777" w:rsidR="00314198" w:rsidRDefault="00314198" w:rsidP="00314198">
      <w:pPr>
        <w:spacing w:line="360" w:lineRule="auto"/>
        <w:rPr>
          <w:rFonts w:cstheme="minorHAnsi"/>
          <w:sz w:val="24"/>
          <w:szCs w:val="24"/>
        </w:rPr>
      </w:pPr>
      <w:bookmarkStart w:id="14" w:name="_Hlk132286407"/>
    </w:p>
    <w:p w14:paraId="26655F7D"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Caval, Sasa, ‘Locating the Festival, Positioning the Feast: Natural and Calendar Festivals in </w:t>
      </w:r>
    </w:p>
    <w:p w14:paraId="1A0CFDF4" w14:textId="77777777" w:rsidR="00314198" w:rsidRPr="00081DCB" w:rsidRDefault="00314198" w:rsidP="00314198">
      <w:pPr>
        <w:spacing w:line="360" w:lineRule="auto"/>
        <w:ind w:firstLine="720"/>
        <w:rPr>
          <w:rFonts w:cstheme="minorHAnsi"/>
          <w:sz w:val="24"/>
          <w:szCs w:val="24"/>
        </w:rPr>
      </w:pPr>
      <w:r w:rsidRPr="00081DCB">
        <w:rPr>
          <w:rFonts w:cstheme="minorHAnsi"/>
          <w:sz w:val="24"/>
          <w:szCs w:val="24"/>
        </w:rPr>
        <w:t xml:space="preserve">Medieval Slovenia’, </w:t>
      </w:r>
      <w:r w:rsidRPr="00081DCB">
        <w:rPr>
          <w:rFonts w:cstheme="minorHAnsi"/>
          <w:i/>
          <w:iCs/>
          <w:sz w:val="24"/>
          <w:szCs w:val="24"/>
        </w:rPr>
        <w:t>World Archaeology</w:t>
      </w:r>
      <w:r w:rsidRPr="00081DCB">
        <w:rPr>
          <w:rFonts w:cstheme="minorHAnsi"/>
          <w:sz w:val="24"/>
          <w:szCs w:val="24"/>
        </w:rPr>
        <w:t xml:space="preserve">, 50.2 (2018), </w:t>
      </w:r>
      <w:bookmarkEnd w:id="14"/>
      <w:r w:rsidRPr="00081DCB">
        <w:rPr>
          <w:rFonts w:cstheme="minorHAnsi"/>
          <w:sz w:val="24"/>
          <w:szCs w:val="24"/>
        </w:rPr>
        <w:t>300–322.</w:t>
      </w:r>
    </w:p>
    <w:p w14:paraId="7F772E50" w14:textId="77777777" w:rsidR="00314198" w:rsidRPr="00081DCB" w:rsidRDefault="00314198" w:rsidP="00314198">
      <w:pPr>
        <w:spacing w:line="360" w:lineRule="auto"/>
        <w:ind w:firstLine="720"/>
        <w:rPr>
          <w:rFonts w:cstheme="minorHAnsi"/>
          <w:sz w:val="24"/>
          <w:szCs w:val="24"/>
        </w:rPr>
      </w:pPr>
    </w:p>
    <w:p w14:paraId="1A38A781" w14:textId="77777777" w:rsidR="00314198" w:rsidRPr="00081DCB" w:rsidRDefault="00314198" w:rsidP="00314198">
      <w:pPr>
        <w:spacing w:line="360" w:lineRule="auto"/>
        <w:rPr>
          <w:rStyle w:val="Emphasis"/>
          <w:rFonts w:cstheme="minorHAnsi"/>
          <w:sz w:val="24"/>
          <w:szCs w:val="24"/>
          <w:shd w:val="clear" w:color="auto" w:fill="FFFFFF"/>
        </w:rPr>
      </w:pPr>
      <w:r w:rsidRPr="00081DCB">
        <w:rPr>
          <w:rFonts w:cstheme="minorHAnsi"/>
          <w:sz w:val="24"/>
          <w:szCs w:val="24"/>
          <w:shd w:val="clear" w:color="auto" w:fill="FFFFFF"/>
        </w:rPr>
        <w:t xml:space="preserve">Farrer, </w:t>
      </w:r>
      <w:proofErr w:type="gramStart"/>
      <w:r w:rsidRPr="00081DCB">
        <w:rPr>
          <w:rFonts w:cstheme="minorHAnsi"/>
          <w:sz w:val="24"/>
          <w:szCs w:val="24"/>
          <w:shd w:val="clear" w:color="auto" w:fill="FFFFFF"/>
        </w:rPr>
        <w:t>William</w:t>
      </w:r>
      <w:proofErr w:type="gramEnd"/>
      <w:r w:rsidRPr="00081DCB">
        <w:rPr>
          <w:rFonts w:cstheme="minorHAnsi"/>
          <w:sz w:val="24"/>
          <w:szCs w:val="24"/>
          <w:shd w:val="clear" w:color="auto" w:fill="FFFFFF"/>
        </w:rPr>
        <w:t xml:space="preserve"> and J Brownbill, "The parish of Heysham," in </w:t>
      </w:r>
      <w:r w:rsidRPr="00081DCB">
        <w:rPr>
          <w:rStyle w:val="Emphasis"/>
          <w:rFonts w:cstheme="minorHAnsi"/>
          <w:sz w:val="24"/>
          <w:szCs w:val="24"/>
          <w:shd w:val="clear" w:color="auto" w:fill="FFFFFF"/>
        </w:rPr>
        <w:t xml:space="preserve">A History of the County of </w:t>
      </w:r>
    </w:p>
    <w:p w14:paraId="0A7EBDD5" w14:textId="77777777" w:rsidR="00314198" w:rsidRPr="00997EF1" w:rsidRDefault="00314198" w:rsidP="00314198">
      <w:pPr>
        <w:spacing w:line="360" w:lineRule="auto"/>
        <w:ind w:left="720"/>
        <w:rPr>
          <w:rFonts w:cstheme="minorHAnsi"/>
          <w:color w:val="333333"/>
          <w:sz w:val="24"/>
          <w:szCs w:val="24"/>
          <w:shd w:val="clear" w:color="auto" w:fill="FFFFFF"/>
        </w:rPr>
      </w:pPr>
      <w:r w:rsidRPr="00081DCB">
        <w:rPr>
          <w:rStyle w:val="Emphasis"/>
          <w:rFonts w:cstheme="minorHAnsi"/>
          <w:sz w:val="24"/>
          <w:szCs w:val="24"/>
          <w:shd w:val="clear" w:color="auto" w:fill="FFFFFF"/>
        </w:rPr>
        <w:t>Lancaster: Volume 8</w:t>
      </w:r>
      <w:r w:rsidRPr="00081DCB">
        <w:rPr>
          <w:rFonts w:cstheme="minorHAnsi"/>
          <w:sz w:val="24"/>
          <w:szCs w:val="24"/>
          <w:shd w:val="clear" w:color="auto" w:fill="FFFFFF"/>
        </w:rPr>
        <w:t>, ed. William Farrer and J Brownbill (London: Victoria County History, 1914), 109-118. </w:t>
      </w:r>
      <w:r w:rsidRPr="00081DCB">
        <w:rPr>
          <w:rStyle w:val="Emphasis"/>
          <w:rFonts w:cstheme="minorHAnsi"/>
          <w:sz w:val="24"/>
          <w:szCs w:val="24"/>
          <w:shd w:val="clear" w:color="auto" w:fill="FFFFFF"/>
        </w:rPr>
        <w:t>British History Online</w:t>
      </w:r>
      <w:r w:rsidRPr="00081DCB">
        <w:rPr>
          <w:rFonts w:cstheme="minorHAnsi"/>
          <w:sz w:val="24"/>
          <w:szCs w:val="24"/>
          <w:shd w:val="clear" w:color="auto" w:fill="FFFFFF"/>
        </w:rPr>
        <w:t xml:space="preserve">, accessed April 27, 2023, </w:t>
      </w:r>
      <w:hyperlink r:id="rId26" w:history="1">
        <w:r w:rsidRPr="00997EF1">
          <w:rPr>
            <w:rStyle w:val="Hyperlink"/>
            <w:rFonts w:cstheme="minorHAnsi"/>
            <w:sz w:val="24"/>
            <w:szCs w:val="24"/>
            <w:shd w:val="clear" w:color="auto" w:fill="FFFFFF"/>
          </w:rPr>
          <w:t>http://www.british-history.ac.uk/vch/lancs/vol8/pp109-118</w:t>
        </w:r>
      </w:hyperlink>
    </w:p>
    <w:p w14:paraId="3B45502C" w14:textId="77777777" w:rsidR="00314198" w:rsidRPr="00997EF1" w:rsidRDefault="00314198" w:rsidP="00314198">
      <w:pPr>
        <w:spacing w:line="360" w:lineRule="auto"/>
        <w:rPr>
          <w:rFonts w:cstheme="minorHAnsi"/>
          <w:color w:val="2F5496" w:themeColor="accent1" w:themeShade="BF"/>
          <w:sz w:val="24"/>
          <w:szCs w:val="24"/>
        </w:rPr>
      </w:pPr>
      <w:bookmarkStart w:id="15" w:name="_Hlk133756773"/>
    </w:p>
    <w:p w14:paraId="6D217FDF"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Hinton, Ian, ‘Church Alignment and Patronal Saint’s Days’, </w:t>
      </w:r>
      <w:r w:rsidRPr="00081DCB">
        <w:rPr>
          <w:rFonts w:cstheme="minorHAnsi"/>
          <w:i/>
          <w:iCs/>
          <w:sz w:val="24"/>
          <w:szCs w:val="24"/>
        </w:rPr>
        <w:t>Antiquaries Journal</w:t>
      </w:r>
      <w:r w:rsidRPr="00081DCB">
        <w:rPr>
          <w:rFonts w:cstheme="minorHAnsi"/>
          <w:sz w:val="24"/>
          <w:szCs w:val="24"/>
        </w:rPr>
        <w:t>, 86 (2006)</w:t>
      </w:r>
      <w:bookmarkEnd w:id="15"/>
      <w:r w:rsidRPr="00081DCB">
        <w:rPr>
          <w:rFonts w:cstheme="minorHAnsi"/>
          <w:sz w:val="24"/>
          <w:szCs w:val="24"/>
        </w:rPr>
        <w:t xml:space="preserve">, </w:t>
      </w:r>
    </w:p>
    <w:p w14:paraId="393390B0" w14:textId="77777777" w:rsidR="00314198" w:rsidRPr="00081DCB" w:rsidRDefault="00314198" w:rsidP="00314198">
      <w:pPr>
        <w:spacing w:line="360" w:lineRule="auto"/>
        <w:ind w:firstLine="720"/>
        <w:rPr>
          <w:rFonts w:cstheme="minorHAnsi"/>
          <w:sz w:val="24"/>
          <w:szCs w:val="24"/>
        </w:rPr>
      </w:pPr>
      <w:r w:rsidRPr="00081DCB">
        <w:rPr>
          <w:rFonts w:cstheme="minorHAnsi"/>
          <w:sz w:val="24"/>
          <w:szCs w:val="24"/>
        </w:rPr>
        <w:t>206–26</w:t>
      </w:r>
    </w:p>
    <w:p w14:paraId="0A428163" w14:textId="77777777" w:rsidR="00314198" w:rsidRPr="00081DCB" w:rsidRDefault="00314198" w:rsidP="00314198">
      <w:pPr>
        <w:spacing w:line="360" w:lineRule="auto"/>
        <w:rPr>
          <w:rFonts w:cstheme="minorHAnsi"/>
          <w:sz w:val="24"/>
          <w:szCs w:val="24"/>
        </w:rPr>
      </w:pPr>
    </w:p>
    <w:p w14:paraId="346A7773" w14:textId="77777777" w:rsidR="00314198" w:rsidRDefault="00314198" w:rsidP="00314198">
      <w:pPr>
        <w:spacing w:line="360" w:lineRule="auto"/>
        <w:rPr>
          <w:rFonts w:cstheme="minorHAnsi"/>
          <w:sz w:val="24"/>
          <w:szCs w:val="24"/>
        </w:rPr>
      </w:pPr>
      <w:r w:rsidRPr="00997EF1">
        <w:rPr>
          <w:rFonts w:cstheme="minorHAnsi"/>
          <w:sz w:val="24"/>
          <w:szCs w:val="24"/>
        </w:rPr>
        <w:t xml:space="preserve">Hoare, Peter G, and Caroline S Sweet, ‘The Orientation of Early Medieval Churches in </w:t>
      </w:r>
    </w:p>
    <w:p w14:paraId="7375515D" w14:textId="77777777" w:rsidR="00314198" w:rsidRPr="00997EF1" w:rsidRDefault="00314198" w:rsidP="00314198">
      <w:pPr>
        <w:spacing w:line="360" w:lineRule="auto"/>
        <w:ind w:firstLine="720"/>
        <w:rPr>
          <w:rFonts w:cstheme="minorHAnsi"/>
          <w:sz w:val="24"/>
          <w:szCs w:val="24"/>
        </w:rPr>
      </w:pPr>
      <w:r w:rsidRPr="00997EF1">
        <w:rPr>
          <w:rFonts w:cstheme="minorHAnsi"/>
          <w:sz w:val="24"/>
          <w:szCs w:val="24"/>
        </w:rPr>
        <w:t xml:space="preserve">England’, </w:t>
      </w:r>
      <w:r w:rsidRPr="00997EF1">
        <w:rPr>
          <w:rFonts w:cstheme="minorHAnsi"/>
          <w:i/>
          <w:iCs/>
          <w:sz w:val="24"/>
          <w:szCs w:val="24"/>
        </w:rPr>
        <w:t>Journal of Historical Geography</w:t>
      </w:r>
      <w:r w:rsidRPr="00997EF1">
        <w:rPr>
          <w:rFonts w:cstheme="minorHAnsi"/>
          <w:sz w:val="24"/>
          <w:szCs w:val="24"/>
        </w:rPr>
        <w:t>, 26.2 (2000), 162–73</w:t>
      </w:r>
    </w:p>
    <w:p w14:paraId="76BF4DC6" w14:textId="77777777" w:rsidR="00314198" w:rsidRPr="00997EF1" w:rsidRDefault="00314198" w:rsidP="00314198">
      <w:pPr>
        <w:spacing w:line="360" w:lineRule="auto"/>
        <w:rPr>
          <w:rFonts w:cstheme="minorHAnsi"/>
          <w:color w:val="2F5496" w:themeColor="accent1" w:themeShade="BF"/>
          <w:sz w:val="24"/>
          <w:szCs w:val="24"/>
          <w:shd w:val="clear" w:color="auto" w:fill="FCFCFC"/>
        </w:rPr>
      </w:pPr>
    </w:p>
    <w:p w14:paraId="2417A1D6" w14:textId="77777777" w:rsidR="00314198" w:rsidRPr="00081DCB" w:rsidRDefault="00314198" w:rsidP="00314198">
      <w:pPr>
        <w:spacing w:line="360" w:lineRule="auto"/>
        <w:rPr>
          <w:rFonts w:cstheme="minorHAnsi"/>
          <w:i/>
          <w:iCs/>
          <w:sz w:val="24"/>
          <w:szCs w:val="24"/>
          <w:shd w:val="clear" w:color="auto" w:fill="FCFCFC"/>
        </w:rPr>
      </w:pPr>
      <w:r w:rsidRPr="00081DCB">
        <w:rPr>
          <w:rFonts w:cstheme="minorHAnsi"/>
          <w:sz w:val="24"/>
          <w:szCs w:val="24"/>
          <w:shd w:val="clear" w:color="auto" w:fill="FCFCFC"/>
        </w:rPr>
        <w:lastRenderedPageBreak/>
        <w:t xml:space="preserve">Iwaniszewski, S., ‘Concepts of Space, Time, and the Cosmos’ in in </w:t>
      </w:r>
      <w:r w:rsidRPr="00081DCB">
        <w:rPr>
          <w:rFonts w:cstheme="minorHAnsi"/>
          <w:i/>
          <w:iCs/>
          <w:sz w:val="24"/>
          <w:szCs w:val="24"/>
          <w:shd w:val="clear" w:color="auto" w:fill="FCFCFC"/>
        </w:rPr>
        <w:t xml:space="preserve">Handbook of </w:t>
      </w:r>
    </w:p>
    <w:p w14:paraId="39A860CA" w14:textId="77777777" w:rsidR="00314198" w:rsidRPr="00081DCB" w:rsidRDefault="00314198" w:rsidP="00314198">
      <w:pPr>
        <w:spacing w:line="360" w:lineRule="auto"/>
        <w:ind w:left="720"/>
        <w:rPr>
          <w:rFonts w:cstheme="minorHAnsi"/>
          <w:i/>
          <w:iCs/>
          <w:sz w:val="24"/>
          <w:szCs w:val="24"/>
          <w:shd w:val="clear" w:color="auto" w:fill="FCFCFC"/>
        </w:rPr>
      </w:pPr>
      <w:r w:rsidRPr="00081DCB">
        <w:rPr>
          <w:rFonts w:cstheme="minorHAnsi"/>
          <w:i/>
          <w:iCs/>
          <w:sz w:val="24"/>
          <w:szCs w:val="24"/>
          <w:shd w:val="clear" w:color="auto" w:fill="FCFCFC"/>
        </w:rPr>
        <w:t xml:space="preserve">Archaeoastronomy and Ethnoastronomy, </w:t>
      </w:r>
      <w:r w:rsidRPr="00081DCB">
        <w:rPr>
          <w:rFonts w:cstheme="minorHAnsi"/>
          <w:sz w:val="24"/>
          <w:szCs w:val="24"/>
          <w:shd w:val="clear" w:color="auto" w:fill="FCFCFC"/>
        </w:rPr>
        <w:t>ed. by</w:t>
      </w:r>
      <w:r w:rsidRPr="00081DCB">
        <w:rPr>
          <w:rFonts w:cstheme="minorHAnsi"/>
          <w:i/>
          <w:iCs/>
          <w:sz w:val="24"/>
          <w:szCs w:val="24"/>
          <w:shd w:val="clear" w:color="auto" w:fill="FCFCFC"/>
        </w:rPr>
        <w:t xml:space="preserve"> </w:t>
      </w:r>
      <w:r w:rsidRPr="00081DCB">
        <w:rPr>
          <w:rFonts w:cstheme="minorHAnsi"/>
          <w:sz w:val="24"/>
          <w:szCs w:val="24"/>
          <w:shd w:val="clear" w:color="auto" w:fill="FCFCFC"/>
        </w:rPr>
        <w:t xml:space="preserve">Ruggles, C. </w:t>
      </w:r>
      <w:r w:rsidRPr="00081DCB">
        <w:rPr>
          <w:rFonts w:cstheme="minorHAnsi"/>
          <w:sz w:val="24"/>
          <w:szCs w:val="24"/>
        </w:rPr>
        <w:t>(New York, NY: Springer New York, 2015)</w:t>
      </w:r>
    </w:p>
    <w:p w14:paraId="0B95FB41" w14:textId="77777777" w:rsidR="00314198" w:rsidRPr="00081DCB" w:rsidRDefault="00314198" w:rsidP="00314198">
      <w:pPr>
        <w:spacing w:line="360" w:lineRule="auto"/>
        <w:ind w:firstLine="720"/>
        <w:rPr>
          <w:rFonts w:cstheme="minorHAnsi"/>
          <w:sz w:val="24"/>
          <w:szCs w:val="24"/>
        </w:rPr>
      </w:pPr>
    </w:p>
    <w:p w14:paraId="13D4A63C"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Karasawa, Kazutomo, </w:t>
      </w:r>
      <w:r w:rsidRPr="00081DCB">
        <w:rPr>
          <w:rFonts w:cstheme="minorHAnsi"/>
          <w:i/>
          <w:iCs/>
          <w:sz w:val="24"/>
          <w:szCs w:val="24"/>
        </w:rPr>
        <w:t>The Old English Metrical Calendar (Menologium), NED</w:t>
      </w:r>
      <w:r w:rsidRPr="00081DCB">
        <w:rPr>
          <w:rFonts w:cstheme="minorHAnsi"/>
          <w:sz w:val="24"/>
          <w:szCs w:val="24"/>
        </w:rPr>
        <w:t xml:space="preserve"> - New edition                                                               </w:t>
      </w:r>
    </w:p>
    <w:p w14:paraId="5FFA196C" w14:textId="77777777" w:rsidR="00314198" w:rsidRPr="00081DCB" w:rsidRDefault="00314198" w:rsidP="00314198">
      <w:pPr>
        <w:spacing w:line="360" w:lineRule="auto"/>
        <w:ind w:firstLine="720"/>
        <w:rPr>
          <w:rFonts w:cstheme="minorHAnsi"/>
          <w:sz w:val="24"/>
          <w:szCs w:val="24"/>
        </w:rPr>
      </w:pPr>
      <w:r w:rsidRPr="00081DCB">
        <w:rPr>
          <w:rFonts w:cstheme="minorHAnsi"/>
          <w:sz w:val="24"/>
          <w:szCs w:val="24"/>
        </w:rPr>
        <w:t>(Woodbridge: Boydell &amp; Brewer, 2015).</w:t>
      </w:r>
    </w:p>
    <w:p w14:paraId="18AE24F8" w14:textId="77777777" w:rsidR="00314198" w:rsidRPr="00997EF1" w:rsidRDefault="00314198" w:rsidP="00314198">
      <w:pPr>
        <w:spacing w:line="360" w:lineRule="auto"/>
        <w:ind w:firstLine="720"/>
        <w:rPr>
          <w:rFonts w:cstheme="minorHAnsi"/>
          <w:color w:val="2F5496" w:themeColor="accent1" w:themeShade="BF"/>
          <w:sz w:val="24"/>
          <w:szCs w:val="24"/>
        </w:rPr>
      </w:pPr>
    </w:p>
    <w:p w14:paraId="6BCD04AD" w14:textId="77777777" w:rsidR="00314198" w:rsidRPr="00081DCB" w:rsidRDefault="00314198" w:rsidP="00314198">
      <w:pPr>
        <w:spacing w:after="0" w:line="360" w:lineRule="auto"/>
        <w:rPr>
          <w:rFonts w:eastAsia="Times New Roman" w:cstheme="minorHAnsi"/>
          <w:sz w:val="24"/>
          <w:szCs w:val="24"/>
          <w:lang w:eastAsia="en-GB"/>
        </w:rPr>
      </w:pPr>
      <w:r w:rsidRPr="00081DCB">
        <w:rPr>
          <w:rFonts w:eastAsia="Times New Roman" w:cstheme="minorHAnsi"/>
          <w:sz w:val="24"/>
          <w:szCs w:val="24"/>
          <w:lang w:eastAsia="en-GB"/>
        </w:rPr>
        <w:t xml:space="preserve">McCluskey, Stephen C. “Gregory of Tours, Monastic Timekeeping, and Early Christian </w:t>
      </w:r>
    </w:p>
    <w:p w14:paraId="33393EBC" w14:textId="77777777" w:rsidR="00314198" w:rsidRPr="00081DCB" w:rsidRDefault="00314198" w:rsidP="00314198">
      <w:pPr>
        <w:spacing w:after="0" w:line="360" w:lineRule="auto"/>
        <w:ind w:left="720"/>
        <w:rPr>
          <w:rFonts w:eastAsia="Times New Roman" w:cstheme="minorHAnsi"/>
          <w:sz w:val="24"/>
          <w:szCs w:val="24"/>
          <w:lang w:eastAsia="en-GB"/>
        </w:rPr>
      </w:pPr>
      <w:r w:rsidRPr="00081DCB">
        <w:rPr>
          <w:rFonts w:eastAsia="Times New Roman" w:cstheme="minorHAnsi"/>
          <w:sz w:val="24"/>
          <w:szCs w:val="24"/>
          <w:lang w:eastAsia="en-GB"/>
        </w:rPr>
        <w:t xml:space="preserve">Attitudes to Astronomy.” </w:t>
      </w:r>
      <w:r w:rsidRPr="00081DCB">
        <w:rPr>
          <w:rFonts w:eastAsia="Times New Roman" w:cstheme="minorHAnsi"/>
          <w:i/>
          <w:iCs/>
          <w:sz w:val="24"/>
          <w:szCs w:val="24"/>
          <w:lang w:eastAsia="en-GB"/>
        </w:rPr>
        <w:t>Isis</w:t>
      </w:r>
      <w:r w:rsidRPr="00081DCB">
        <w:rPr>
          <w:rFonts w:eastAsia="Times New Roman" w:cstheme="minorHAnsi"/>
          <w:sz w:val="24"/>
          <w:szCs w:val="24"/>
          <w:lang w:eastAsia="en-GB"/>
        </w:rPr>
        <w:t xml:space="preserve">, vol. 81, no. 1, 1990, pp. 8–22. </w:t>
      </w:r>
      <w:r w:rsidRPr="00081DCB">
        <w:rPr>
          <w:rFonts w:eastAsia="Times New Roman" w:cstheme="minorHAnsi"/>
          <w:i/>
          <w:iCs/>
          <w:sz w:val="24"/>
          <w:szCs w:val="24"/>
          <w:lang w:eastAsia="en-GB"/>
        </w:rPr>
        <w:t>JSTOR</w:t>
      </w:r>
      <w:r w:rsidRPr="00081DCB">
        <w:rPr>
          <w:rFonts w:eastAsia="Times New Roman" w:cstheme="minorHAnsi"/>
          <w:sz w:val="24"/>
          <w:szCs w:val="24"/>
          <w:lang w:eastAsia="en-GB"/>
        </w:rPr>
        <w:t xml:space="preserve">, </w:t>
      </w:r>
      <w:hyperlink r:id="rId27" w:history="1">
        <w:r w:rsidRPr="00081DCB">
          <w:rPr>
            <w:rStyle w:val="Hyperlink"/>
            <w:rFonts w:eastAsia="Times New Roman" w:cstheme="minorHAnsi"/>
            <w:sz w:val="24"/>
            <w:szCs w:val="24"/>
            <w:lang w:eastAsia="en-GB"/>
          </w:rPr>
          <w:t>http://www.jstor.org/stable/234080</w:t>
        </w:r>
      </w:hyperlink>
      <w:r w:rsidRPr="00081DCB">
        <w:rPr>
          <w:rFonts w:eastAsia="Times New Roman" w:cstheme="minorHAnsi"/>
          <w:sz w:val="24"/>
          <w:szCs w:val="24"/>
          <w:lang w:eastAsia="en-GB"/>
        </w:rPr>
        <w:t>. Accessed 23 Apr. 2023.</w:t>
      </w:r>
    </w:p>
    <w:p w14:paraId="36287CB4" w14:textId="77777777" w:rsidR="00314198" w:rsidRPr="00997EF1" w:rsidRDefault="00314198" w:rsidP="00314198">
      <w:pPr>
        <w:spacing w:line="360" w:lineRule="auto"/>
        <w:rPr>
          <w:rFonts w:cstheme="minorHAnsi"/>
          <w:sz w:val="24"/>
          <w:szCs w:val="24"/>
          <w:lang w:val="en-US"/>
        </w:rPr>
      </w:pPr>
    </w:p>
    <w:p w14:paraId="4A44C707" w14:textId="77777777" w:rsidR="00314198" w:rsidRPr="00997EF1" w:rsidRDefault="00314198" w:rsidP="00314198">
      <w:pPr>
        <w:spacing w:line="360" w:lineRule="auto"/>
        <w:rPr>
          <w:rFonts w:cstheme="minorHAnsi"/>
          <w:color w:val="2F5496" w:themeColor="accent1" w:themeShade="BF"/>
          <w:sz w:val="24"/>
          <w:szCs w:val="24"/>
          <w:shd w:val="clear" w:color="auto" w:fill="FCFCFC"/>
        </w:rPr>
      </w:pPr>
    </w:p>
    <w:p w14:paraId="4B9435E1" w14:textId="77777777" w:rsidR="00314198" w:rsidRDefault="00314198" w:rsidP="00314198">
      <w:pPr>
        <w:spacing w:line="360" w:lineRule="auto"/>
        <w:rPr>
          <w:rFonts w:cstheme="minorHAnsi"/>
          <w:i/>
          <w:iCs/>
          <w:sz w:val="24"/>
          <w:szCs w:val="24"/>
        </w:rPr>
      </w:pPr>
      <w:r w:rsidRPr="00081DCB">
        <w:rPr>
          <w:rFonts w:cstheme="minorHAnsi"/>
          <w:sz w:val="24"/>
          <w:szCs w:val="24"/>
          <w:shd w:val="clear" w:color="auto" w:fill="FCFCFC"/>
        </w:rPr>
        <w:t xml:space="preserve">McCluskey, S.C., ‘Astronomy in the Service of Christianity’ in </w:t>
      </w:r>
      <w:r w:rsidRPr="00081DCB">
        <w:rPr>
          <w:rFonts w:cstheme="minorHAnsi"/>
          <w:i/>
          <w:iCs/>
          <w:sz w:val="24"/>
          <w:szCs w:val="24"/>
        </w:rPr>
        <w:t xml:space="preserve">Handbook of Archaeoastronomy </w:t>
      </w:r>
    </w:p>
    <w:p w14:paraId="0FE3C684" w14:textId="77777777" w:rsidR="00314198" w:rsidRPr="00081DCB" w:rsidRDefault="00314198" w:rsidP="00314198">
      <w:pPr>
        <w:spacing w:line="360" w:lineRule="auto"/>
        <w:ind w:left="720"/>
        <w:rPr>
          <w:rFonts w:cstheme="minorHAnsi"/>
          <w:sz w:val="24"/>
          <w:szCs w:val="24"/>
        </w:rPr>
      </w:pPr>
      <w:r w:rsidRPr="00081DCB">
        <w:rPr>
          <w:rFonts w:cstheme="minorHAnsi"/>
          <w:i/>
          <w:iCs/>
          <w:sz w:val="24"/>
          <w:szCs w:val="24"/>
        </w:rPr>
        <w:t>and Ethnoastronomy</w:t>
      </w:r>
      <w:r w:rsidRPr="00081DCB">
        <w:rPr>
          <w:rFonts w:cstheme="minorHAnsi"/>
          <w:sz w:val="24"/>
          <w:szCs w:val="24"/>
        </w:rPr>
        <w:t>, ed. by Clive L.N. Ruggles, 1st ed. 2015. (New York, NY: Springer New York, 2015)</w:t>
      </w:r>
    </w:p>
    <w:p w14:paraId="30437E43" w14:textId="77777777" w:rsidR="00314198" w:rsidRPr="00997EF1" w:rsidRDefault="00314198" w:rsidP="00314198">
      <w:pPr>
        <w:spacing w:line="360" w:lineRule="auto"/>
        <w:rPr>
          <w:rFonts w:cstheme="minorHAnsi"/>
          <w:color w:val="2F5496" w:themeColor="accent1" w:themeShade="BF"/>
          <w:sz w:val="24"/>
          <w:szCs w:val="24"/>
        </w:rPr>
      </w:pPr>
    </w:p>
    <w:p w14:paraId="284F8EAF" w14:textId="4647E15B" w:rsidR="00314198" w:rsidRPr="00081DCB" w:rsidRDefault="00314198" w:rsidP="00314198">
      <w:pPr>
        <w:spacing w:line="360" w:lineRule="auto"/>
        <w:rPr>
          <w:rFonts w:cstheme="minorHAnsi"/>
          <w:sz w:val="24"/>
          <w:szCs w:val="24"/>
        </w:rPr>
      </w:pPr>
      <w:r w:rsidRPr="00081DCB">
        <w:rPr>
          <w:rFonts w:cstheme="minorHAnsi"/>
          <w:sz w:val="24"/>
          <w:szCs w:val="24"/>
        </w:rPr>
        <w:t>McCluskey</w:t>
      </w:r>
      <w:r w:rsidRPr="00081DCB">
        <w:rPr>
          <w:rFonts w:cstheme="minorHAnsi"/>
          <w:sz w:val="24"/>
          <w:szCs w:val="24"/>
        </w:rPr>
        <w:t xml:space="preserve">, Stephen C, ‘Calendrical Cycles, the Eighth Day of the World, and the Orientation </w:t>
      </w:r>
    </w:p>
    <w:p w14:paraId="0F2187D9" w14:textId="77777777" w:rsidR="00314198" w:rsidRPr="00081DCB" w:rsidRDefault="00314198" w:rsidP="00314198">
      <w:pPr>
        <w:spacing w:line="360" w:lineRule="auto"/>
        <w:ind w:left="720"/>
        <w:rPr>
          <w:rFonts w:cstheme="minorHAnsi"/>
          <w:sz w:val="24"/>
          <w:szCs w:val="24"/>
        </w:rPr>
      </w:pPr>
      <w:r w:rsidRPr="00081DCB">
        <w:rPr>
          <w:rFonts w:cstheme="minorHAnsi"/>
          <w:sz w:val="24"/>
          <w:szCs w:val="24"/>
        </w:rPr>
        <w:t xml:space="preserve">of English Churches’, in Ruggles, Clive, and Gary Urton, </w:t>
      </w:r>
      <w:r w:rsidRPr="00081DCB">
        <w:rPr>
          <w:rFonts w:cstheme="minorHAnsi"/>
          <w:i/>
          <w:iCs/>
          <w:sz w:val="24"/>
          <w:szCs w:val="24"/>
        </w:rPr>
        <w:t>Skywatching in the Ancient World: New Perspectives in Cultural Astronomy</w:t>
      </w:r>
      <w:r w:rsidRPr="00081DCB">
        <w:rPr>
          <w:rFonts w:cstheme="minorHAnsi"/>
          <w:sz w:val="24"/>
          <w:szCs w:val="24"/>
        </w:rPr>
        <w:t xml:space="preserve"> (Boulder: University Press of Colorado, 2010)</w:t>
      </w:r>
    </w:p>
    <w:p w14:paraId="1465531F" w14:textId="77777777" w:rsidR="00314198" w:rsidRPr="00997EF1" w:rsidRDefault="00314198" w:rsidP="00314198">
      <w:pPr>
        <w:spacing w:line="360" w:lineRule="auto"/>
        <w:rPr>
          <w:rFonts w:cstheme="minorHAnsi"/>
          <w:sz w:val="24"/>
          <w:szCs w:val="24"/>
          <w:lang w:val="en-US"/>
        </w:rPr>
      </w:pPr>
    </w:p>
    <w:p w14:paraId="0E328416" w14:textId="77777777" w:rsidR="00314198" w:rsidRDefault="00314198" w:rsidP="00314198">
      <w:pPr>
        <w:spacing w:line="360" w:lineRule="auto"/>
        <w:rPr>
          <w:rFonts w:cstheme="minorHAnsi"/>
          <w:i/>
          <w:iCs/>
          <w:sz w:val="24"/>
          <w:szCs w:val="24"/>
        </w:rPr>
      </w:pPr>
      <w:r w:rsidRPr="00997EF1">
        <w:rPr>
          <w:rFonts w:cstheme="minorHAnsi"/>
          <w:sz w:val="24"/>
          <w:szCs w:val="24"/>
        </w:rPr>
        <w:t xml:space="preserve">Moskvina, Anastasia, </w:t>
      </w:r>
      <w:r w:rsidRPr="00997EF1">
        <w:rPr>
          <w:rFonts w:cstheme="minorHAnsi"/>
          <w:i/>
          <w:iCs/>
          <w:sz w:val="24"/>
          <w:szCs w:val="24"/>
        </w:rPr>
        <w:t xml:space="preserve">Alignment and Axiality in Anglo-Saxon Architecture: 6th -11th </w:t>
      </w:r>
    </w:p>
    <w:p w14:paraId="4301FFD5" w14:textId="77777777" w:rsidR="00314198" w:rsidRPr="00997EF1" w:rsidRDefault="00314198" w:rsidP="00314198">
      <w:pPr>
        <w:spacing w:line="360" w:lineRule="auto"/>
        <w:ind w:firstLine="720"/>
        <w:rPr>
          <w:rFonts w:cstheme="minorHAnsi"/>
          <w:sz w:val="24"/>
          <w:szCs w:val="24"/>
        </w:rPr>
      </w:pPr>
      <w:r w:rsidRPr="00997EF1">
        <w:rPr>
          <w:rFonts w:cstheme="minorHAnsi"/>
          <w:i/>
          <w:iCs/>
          <w:sz w:val="24"/>
          <w:szCs w:val="24"/>
        </w:rPr>
        <w:t>Centuries</w:t>
      </w:r>
      <w:r w:rsidRPr="00997EF1">
        <w:rPr>
          <w:rFonts w:cstheme="minorHAnsi"/>
          <w:sz w:val="24"/>
          <w:szCs w:val="24"/>
        </w:rPr>
        <w:t xml:space="preserve"> (Unpublished PhD thesis, University of East Anglia, 2020)</w:t>
      </w:r>
      <w:r w:rsidRPr="00997EF1">
        <w:rPr>
          <w:rFonts w:cstheme="minorHAnsi"/>
          <w:sz w:val="24"/>
          <w:szCs w:val="24"/>
        </w:rPr>
        <w:tab/>
      </w:r>
    </w:p>
    <w:p w14:paraId="3EC05EED" w14:textId="77777777" w:rsidR="00314198" w:rsidRPr="00997EF1" w:rsidRDefault="00314198" w:rsidP="00314198">
      <w:pPr>
        <w:tabs>
          <w:tab w:val="left" w:pos="6204"/>
        </w:tabs>
        <w:spacing w:line="360" w:lineRule="auto"/>
        <w:ind w:firstLine="720"/>
        <w:rPr>
          <w:rFonts w:cstheme="minorHAnsi"/>
          <w:sz w:val="24"/>
          <w:szCs w:val="24"/>
        </w:rPr>
      </w:pPr>
    </w:p>
    <w:p w14:paraId="75068E0D" w14:textId="77777777" w:rsidR="00314198" w:rsidRDefault="00314198" w:rsidP="00314198">
      <w:pPr>
        <w:spacing w:line="360" w:lineRule="auto"/>
        <w:rPr>
          <w:rFonts w:cstheme="minorHAnsi"/>
          <w:i/>
          <w:iCs/>
          <w:sz w:val="24"/>
          <w:szCs w:val="24"/>
        </w:rPr>
      </w:pPr>
      <w:r w:rsidRPr="00997EF1">
        <w:rPr>
          <w:rFonts w:cstheme="minorHAnsi"/>
          <w:sz w:val="24"/>
          <w:szCs w:val="24"/>
        </w:rPr>
        <w:t xml:space="preserve">Nash, George. </w:t>
      </w:r>
      <w:r w:rsidRPr="00997EF1">
        <w:rPr>
          <w:rFonts w:cstheme="minorHAnsi"/>
          <w:i/>
          <w:iCs/>
          <w:sz w:val="24"/>
          <w:szCs w:val="24"/>
        </w:rPr>
        <w:t>Death and Memorial in an Early Medieval Ecclesiastical Landscape in North-</w:t>
      </w:r>
    </w:p>
    <w:p w14:paraId="17846E67" w14:textId="164DF6AC" w:rsidR="00314198" w:rsidRPr="00997EF1" w:rsidRDefault="00314198" w:rsidP="00314198">
      <w:pPr>
        <w:spacing w:line="360" w:lineRule="auto"/>
        <w:ind w:left="720"/>
        <w:rPr>
          <w:rFonts w:cstheme="minorHAnsi"/>
          <w:sz w:val="24"/>
          <w:szCs w:val="24"/>
        </w:rPr>
      </w:pPr>
      <w:r w:rsidRPr="00997EF1">
        <w:rPr>
          <w:rFonts w:cstheme="minorHAnsi"/>
          <w:i/>
          <w:iCs/>
          <w:sz w:val="24"/>
          <w:szCs w:val="24"/>
        </w:rPr>
        <w:lastRenderedPageBreak/>
        <w:t>West England: An Appraisal of St Patrick’s Chapel and St Peter’s Church, Heysham, Lancashire.</w:t>
      </w:r>
      <w:r w:rsidRPr="00997EF1">
        <w:rPr>
          <w:rFonts w:cstheme="minorHAnsi"/>
          <w:sz w:val="24"/>
          <w:szCs w:val="24"/>
        </w:rPr>
        <w:t xml:space="preserve"> Spiru Haret University, Bucharest, </w:t>
      </w:r>
      <w:proofErr w:type="gramStart"/>
      <w:r w:rsidRPr="00997EF1">
        <w:rPr>
          <w:rFonts w:cstheme="minorHAnsi"/>
          <w:sz w:val="24"/>
          <w:szCs w:val="24"/>
        </w:rPr>
        <w:t>Romania</w:t>
      </w:r>
      <w:proofErr w:type="gramEnd"/>
      <w:r w:rsidRPr="00997EF1">
        <w:rPr>
          <w:rFonts w:cstheme="minorHAnsi"/>
          <w:sz w:val="24"/>
          <w:szCs w:val="24"/>
        </w:rPr>
        <w:t xml:space="preserve"> and the Museum of Prehistoric Art, Mação, </w:t>
      </w:r>
      <w:r w:rsidRPr="00997EF1">
        <w:rPr>
          <w:rFonts w:cstheme="minorHAnsi"/>
          <w:sz w:val="24"/>
          <w:szCs w:val="24"/>
        </w:rPr>
        <w:t>Portugal (</w:t>
      </w:r>
      <w:r w:rsidRPr="00997EF1">
        <w:rPr>
          <w:rFonts w:cstheme="minorHAnsi"/>
          <w:sz w:val="24"/>
          <w:szCs w:val="24"/>
        </w:rPr>
        <w:t xml:space="preserve">2015)., </w:t>
      </w:r>
      <w:r w:rsidRPr="00997EF1">
        <w:rPr>
          <w:rFonts w:cstheme="minorHAnsi"/>
          <w:sz w:val="24"/>
          <w:szCs w:val="24"/>
        </w:rPr>
        <w:t>ResearchGate, accessed</w:t>
      </w:r>
      <w:r w:rsidRPr="00997EF1">
        <w:rPr>
          <w:rFonts w:cstheme="minorHAnsi"/>
          <w:sz w:val="24"/>
          <w:szCs w:val="24"/>
        </w:rPr>
        <w:t xml:space="preserve"> April 2024.</w:t>
      </w:r>
    </w:p>
    <w:p w14:paraId="4E8C2BA0" w14:textId="77777777" w:rsidR="00314198" w:rsidRPr="00997EF1" w:rsidRDefault="00314198" w:rsidP="00314198">
      <w:pPr>
        <w:tabs>
          <w:tab w:val="left" w:pos="6204"/>
        </w:tabs>
        <w:spacing w:line="360" w:lineRule="auto"/>
        <w:ind w:firstLine="720"/>
        <w:rPr>
          <w:rFonts w:cstheme="minorHAnsi"/>
          <w:sz w:val="24"/>
          <w:szCs w:val="24"/>
        </w:rPr>
      </w:pPr>
    </w:p>
    <w:p w14:paraId="72727A87" w14:textId="77777777" w:rsidR="00314198" w:rsidRPr="00997EF1" w:rsidRDefault="00314198" w:rsidP="00314198">
      <w:pPr>
        <w:tabs>
          <w:tab w:val="left" w:pos="6204"/>
        </w:tabs>
        <w:spacing w:line="360" w:lineRule="auto"/>
        <w:ind w:firstLine="720"/>
        <w:rPr>
          <w:rFonts w:cstheme="minorHAnsi"/>
          <w:sz w:val="24"/>
          <w:szCs w:val="24"/>
        </w:rPr>
      </w:pPr>
    </w:p>
    <w:p w14:paraId="2CD39258" w14:textId="65F11CC9" w:rsidR="00314198" w:rsidRPr="00081DCB" w:rsidRDefault="00314198" w:rsidP="00314198">
      <w:pPr>
        <w:spacing w:line="360" w:lineRule="auto"/>
        <w:rPr>
          <w:rFonts w:cstheme="minorHAnsi"/>
          <w:sz w:val="24"/>
          <w:szCs w:val="24"/>
        </w:rPr>
      </w:pPr>
      <w:r w:rsidRPr="00081DCB">
        <w:rPr>
          <w:rFonts w:cstheme="minorHAnsi"/>
          <w:sz w:val="24"/>
          <w:szCs w:val="24"/>
        </w:rPr>
        <w:t>Nowell, Alan, ‘Gilgamesh, Kells And Heysham</w:t>
      </w:r>
      <w:r w:rsidRPr="00081DCB">
        <w:rPr>
          <w:rFonts w:cstheme="minorHAnsi"/>
          <w:sz w:val="24"/>
          <w:szCs w:val="24"/>
        </w:rPr>
        <w:t>’, Archaeology</w:t>
      </w:r>
      <w:r w:rsidRPr="00081DCB">
        <w:rPr>
          <w:rFonts w:cstheme="minorHAnsi"/>
          <w:i/>
          <w:iCs/>
          <w:sz w:val="24"/>
          <w:szCs w:val="24"/>
        </w:rPr>
        <w:t xml:space="preserve"> </w:t>
      </w:r>
      <w:proofErr w:type="gramStart"/>
      <w:r w:rsidRPr="00081DCB">
        <w:rPr>
          <w:rFonts w:cstheme="minorHAnsi"/>
          <w:i/>
          <w:iCs/>
          <w:sz w:val="24"/>
          <w:szCs w:val="24"/>
        </w:rPr>
        <w:t>Ireland</w:t>
      </w:r>
      <w:r w:rsidRPr="00081DCB">
        <w:rPr>
          <w:rFonts w:cstheme="minorHAnsi"/>
          <w:sz w:val="24"/>
          <w:szCs w:val="24"/>
        </w:rPr>
        <w:t xml:space="preserve"> ,</w:t>
      </w:r>
      <w:proofErr w:type="gramEnd"/>
      <w:r w:rsidRPr="00081DCB">
        <w:rPr>
          <w:rFonts w:cstheme="minorHAnsi"/>
          <w:sz w:val="24"/>
          <w:szCs w:val="24"/>
        </w:rPr>
        <w:t xml:space="preserve"> Summer 2014, Vol. 28, </w:t>
      </w:r>
    </w:p>
    <w:p w14:paraId="4BA1F2D7" w14:textId="77777777" w:rsidR="00314198" w:rsidRPr="00081DCB" w:rsidRDefault="00314198" w:rsidP="00314198">
      <w:pPr>
        <w:spacing w:line="360" w:lineRule="auto"/>
        <w:ind w:firstLine="720"/>
        <w:rPr>
          <w:rFonts w:cstheme="minorHAnsi"/>
          <w:sz w:val="24"/>
          <w:szCs w:val="24"/>
        </w:rPr>
      </w:pPr>
      <w:r w:rsidRPr="00081DCB">
        <w:rPr>
          <w:rFonts w:cstheme="minorHAnsi"/>
          <w:sz w:val="24"/>
          <w:szCs w:val="24"/>
        </w:rPr>
        <w:t xml:space="preserve">No. 2 (Summer 2014), pp. 35-39 Published by: Wordwell Ltd. Stable </w:t>
      </w:r>
    </w:p>
    <w:p w14:paraId="1EEDF6C7" w14:textId="77777777" w:rsidR="00314198" w:rsidRPr="00997EF1" w:rsidRDefault="00314198" w:rsidP="00314198">
      <w:pPr>
        <w:tabs>
          <w:tab w:val="left" w:pos="6204"/>
        </w:tabs>
        <w:spacing w:line="360" w:lineRule="auto"/>
        <w:ind w:firstLine="720"/>
        <w:rPr>
          <w:rFonts w:cstheme="minorHAnsi"/>
          <w:sz w:val="24"/>
          <w:szCs w:val="24"/>
        </w:rPr>
      </w:pPr>
    </w:p>
    <w:p w14:paraId="2A20ED83" w14:textId="77777777" w:rsidR="00314198" w:rsidRPr="00081DCB" w:rsidRDefault="00314198" w:rsidP="00314198">
      <w:pPr>
        <w:spacing w:line="360" w:lineRule="auto"/>
        <w:rPr>
          <w:rFonts w:cstheme="minorHAnsi"/>
          <w:i/>
          <w:iCs/>
          <w:sz w:val="24"/>
          <w:szCs w:val="24"/>
          <w:shd w:val="clear" w:color="auto" w:fill="FCFCFC"/>
        </w:rPr>
      </w:pPr>
      <w:bookmarkStart w:id="16" w:name="_Hlk133736145"/>
      <w:r w:rsidRPr="00081DCB">
        <w:rPr>
          <w:rFonts w:cstheme="minorHAnsi"/>
          <w:sz w:val="24"/>
          <w:szCs w:val="24"/>
          <w:shd w:val="clear" w:color="auto" w:fill="FCFCFC"/>
        </w:rPr>
        <w:t xml:space="preserve">Prendergast, F., ‘Techniques of Field Survey’ in Ruggles, C. (eds) </w:t>
      </w:r>
      <w:r w:rsidRPr="00081DCB">
        <w:rPr>
          <w:rFonts w:cstheme="minorHAnsi"/>
          <w:i/>
          <w:iCs/>
          <w:sz w:val="24"/>
          <w:szCs w:val="24"/>
          <w:shd w:val="clear" w:color="auto" w:fill="FCFCFC"/>
        </w:rPr>
        <w:t xml:space="preserve">Handbook of </w:t>
      </w:r>
    </w:p>
    <w:p w14:paraId="4C447D6D" w14:textId="77777777" w:rsidR="00314198" w:rsidRPr="00081DCB" w:rsidRDefault="00314198" w:rsidP="00314198">
      <w:pPr>
        <w:spacing w:line="360" w:lineRule="auto"/>
        <w:ind w:firstLine="720"/>
        <w:rPr>
          <w:rFonts w:cstheme="minorHAnsi"/>
          <w:sz w:val="24"/>
          <w:szCs w:val="24"/>
        </w:rPr>
      </w:pPr>
      <w:r w:rsidRPr="00081DCB">
        <w:rPr>
          <w:rFonts w:cstheme="minorHAnsi"/>
          <w:i/>
          <w:iCs/>
          <w:sz w:val="24"/>
          <w:szCs w:val="24"/>
          <w:shd w:val="clear" w:color="auto" w:fill="FCFCFC"/>
        </w:rPr>
        <w:t>Archaeoastronomy and Ethnoastronomy</w:t>
      </w:r>
      <w:r w:rsidRPr="00081DCB">
        <w:rPr>
          <w:rFonts w:cstheme="minorHAnsi"/>
          <w:sz w:val="24"/>
          <w:szCs w:val="24"/>
          <w:shd w:val="clear" w:color="auto" w:fill="FCFCFC"/>
        </w:rPr>
        <w:t>. (Springer, New York, NY. 2015)</w:t>
      </w:r>
    </w:p>
    <w:bookmarkEnd w:id="16"/>
    <w:p w14:paraId="7A8C9955" w14:textId="77777777" w:rsidR="00314198" w:rsidRPr="00997EF1" w:rsidRDefault="00314198" w:rsidP="00314198">
      <w:pPr>
        <w:spacing w:line="360" w:lineRule="auto"/>
        <w:ind w:firstLine="720"/>
        <w:rPr>
          <w:rFonts w:cstheme="minorHAnsi"/>
          <w:sz w:val="24"/>
          <w:szCs w:val="24"/>
        </w:rPr>
      </w:pPr>
    </w:p>
    <w:p w14:paraId="7EE350CE" w14:textId="77777777" w:rsidR="00314198" w:rsidRDefault="00314198" w:rsidP="00314198">
      <w:pPr>
        <w:spacing w:line="360" w:lineRule="auto"/>
        <w:rPr>
          <w:rFonts w:cstheme="minorHAnsi"/>
          <w:sz w:val="24"/>
          <w:szCs w:val="24"/>
        </w:rPr>
      </w:pPr>
      <w:r w:rsidRPr="00997EF1">
        <w:rPr>
          <w:rFonts w:cstheme="minorHAnsi"/>
          <w:sz w:val="24"/>
          <w:szCs w:val="24"/>
        </w:rPr>
        <w:t xml:space="preserve">Ruggles, Clive L.N., </w:t>
      </w:r>
      <w:r w:rsidRPr="00997EF1">
        <w:rPr>
          <w:rFonts w:cstheme="minorHAnsi"/>
          <w:i/>
          <w:iCs/>
          <w:sz w:val="24"/>
          <w:szCs w:val="24"/>
        </w:rPr>
        <w:t>Handbook of Archaeoastronomy and Ethnoastronomy</w:t>
      </w:r>
      <w:r w:rsidRPr="00997EF1">
        <w:rPr>
          <w:rFonts w:cstheme="minorHAnsi"/>
          <w:sz w:val="24"/>
          <w:szCs w:val="24"/>
        </w:rPr>
        <w:t xml:space="preserve">, ed. by Clive L.N. </w:t>
      </w:r>
    </w:p>
    <w:p w14:paraId="719FE3A5" w14:textId="77777777" w:rsidR="00314198" w:rsidRPr="00997EF1" w:rsidRDefault="00314198" w:rsidP="00314198">
      <w:pPr>
        <w:spacing w:line="360" w:lineRule="auto"/>
        <w:ind w:firstLine="720"/>
        <w:rPr>
          <w:rFonts w:cstheme="minorHAnsi"/>
          <w:sz w:val="24"/>
          <w:szCs w:val="24"/>
        </w:rPr>
      </w:pPr>
      <w:r w:rsidRPr="00997EF1">
        <w:rPr>
          <w:rFonts w:cstheme="minorHAnsi"/>
          <w:sz w:val="24"/>
          <w:szCs w:val="24"/>
        </w:rPr>
        <w:t>Ruggles, 1st ed. 2015. (New York, NY: Springer New York, 2015)</w:t>
      </w:r>
    </w:p>
    <w:p w14:paraId="1DED380A" w14:textId="77777777" w:rsidR="00314198" w:rsidRPr="00997EF1" w:rsidRDefault="00314198" w:rsidP="00314198">
      <w:pPr>
        <w:spacing w:line="360" w:lineRule="auto"/>
        <w:rPr>
          <w:rFonts w:cstheme="minorHAnsi"/>
          <w:sz w:val="24"/>
          <w:szCs w:val="24"/>
        </w:rPr>
      </w:pPr>
      <w:r w:rsidRPr="00997EF1">
        <w:rPr>
          <w:rFonts w:cstheme="minorHAnsi"/>
          <w:sz w:val="24"/>
          <w:szCs w:val="24"/>
        </w:rPr>
        <w:t xml:space="preserve">  </w:t>
      </w:r>
    </w:p>
    <w:p w14:paraId="308B9E4B" w14:textId="77777777" w:rsidR="00314198" w:rsidRDefault="00314198" w:rsidP="00314198">
      <w:pPr>
        <w:spacing w:line="360" w:lineRule="auto"/>
        <w:rPr>
          <w:rFonts w:cstheme="minorHAnsi"/>
          <w:i/>
          <w:iCs/>
          <w:sz w:val="24"/>
          <w:szCs w:val="24"/>
          <w:shd w:val="clear" w:color="auto" w:fill="FCFCFC"/>
        </w:rPr>
      </w:pPr>
      <w:bookmarkStart w:id="17" w:name="_Hlk133151545"/>
      <w:r w:rsidRPr="00997EF1">
        <w:rPr>
          <w:rFonts w:cstheme="minorHAnsi"/>
          <w:sz w:val="24"/>
          <w:szCs w:val="24"/>
          <w:shd w:val="clear" w:color="auto" w:fill="FCFCFC"/>
        </w:rPr>
        <w:t xml:space="preserve">Ruggles, C.L.N., ‘Analyzing Orientations’, in </w:t>
      </w:r>
      <w:r w:rsidRPr="00997EF1">
        <w:rPr>
          <w:rFonts w:cstheme="minorHAnsi"/>
          <w:i/>
          <w:iCs/>
          <w:sz w:val="24"/>
          <w:szCs w:val="24"/>
          <w:shd w:val="clear" w:color="auto" w:fill="FCFCFC"/>
        </w:rPr>
        <w:t xml:space="preserve">Handbook of Archaeoastronomy and </w:t>
      </w:r>
    </w:p>
    <w:p w14:paraId="774461BC" w14:textId="5B222B09" w:rsidR="00314198" w:rsidRPr="00997EF1" w:rsidRDefault="00314198" w:rsidP="00314198">
      <w:pPr>
        <w:spacing w:line="360" w:lineRule="auto"/>
        <w:ind w:firstLine="720"/>
        <w:rPr>
          <w:rFonts w:cstheme="minorHAnsi"/>
          <w:i/>
          <w:iCs/>
          <w:sz w:val="24"/>
          <w:szCs w:val="24"/>
          <w:shd w:val="clear" w:color="auto" w:fill="FCFCFC"/>
        </w:rPr>
      </w:pPr>
      <w:r w:rsidRPr="00997EF1">
        <w:rPr>
          <w:rFonts w:cstheme="minorHAnsi"/>
          <w:i/>
          <w:iCs/>
          <w:sz w:val="24"/>
          <w:szCs w:val="24"/>
          <w:shd w:val="clear" w:color="auto" w:fill="FCFCFC"/>
        </w:rPr>
        <w:t xml:space="preserve">Ethnoastronomy, </w:t>
      </w:r>
      <w:r>
        <w:rPr>
          <w:rFonts w:cstheme="minorHAnsi"/>
          <w:i/>
          <w:iCs/>
          <w:sz w:val="24"/>
          <w:szCs w:val="24"/>
          <w:shd w:val="clear" w:color="auto" w:fill="FCFCFC"/>
        </w:rPr>
        <w:t>ed.</w:t>
      </w:r>
      <w:r w:rsidRPr="00997EF1">
        <w:rPr>
          <w:rFonts w:cstheme="minorHAnsi"/>
          <w:sz w:val="24"/>
          <w:szCs w:val="24"/>
          <w:shd w:val="clear" w:color="auto" w:fill="FCFCFC"/>
        </w:rPr>
        <w:t xml:space="preserve"> by</w:t>
      </w:r>
      <w:r w:rsidRPr="00997EF1">
        <w:rPr>
          <w:rFonts w:cstheme="minorHAnsi"/>
          <w:i/>
          <w:iCs/>
          <w:sz w:val="24"/>
          <w:szCs w:val="24"/>
          <w:shd w:val="clear" w:color="auto" w:fill="FCFCFC"/>
        </w:rPr>
        <w:t xml:space="preserve"> </w:t>
      </w:r>
      <w:r w:rsidRPr="00997EF1">
        <w:rPr>
          <w:rFonts w:cstheme="minorHAnsi"/>
          <w:sz w:val="24"/>
          <w:szCs w:val="24"/>
          <w:shd w:val="clear" w:color="auto" w:fill="FCFCFC"/>
        </w:rPr>
        <w:t xml:space="preserve">Ruggles, C. </w:t>
      </w:r>
      <w:r w:rsidRPr="00997EF1">
        <w:rPr>
          <w:rFonts w:cstheme="minorHAnsi"/>
          <w:sz w:val="24"/>
          <w:szCs w:val="24"/>
        </w:rPr>
        <w:t>(New York, NY: Springer New York, 2015)</w:t>
      </w:r>
    </w:p>
    <w:p w14:paraId="156655DF" w14:textId="77777777" w:rsidR="00314198" w:rsidRPr="00997EF1" w:rsidRDefault="00314198" w:rsidP="00314198">
      <w:pPr>
        <w:spacing w:line="360" w:lineRule="auto"/>
        <w:ind w:firstLine="720"/>
        <w:rPr>
          <w:rFonts w:cstheme="minorHAnsi"/>
          <w:sz w:val="24"/>
          <w:szCs w:val="24"/>
        </w:rPr>
      </w:pPr>
    </w:p>
    <w:p w14:paraId="11F90722" w14:textId="77777777" w:rsidR="00314198" w:rsidRDefault="00314198" w:rsidP="00314198">
      <w:pPr>
        <w:spacing w:line="360" w:lineRule="auto"/>
        <w:rPr>
          <w:rFonts w:cstheme="minorHAnsi"/>
          <w:i/>
          <w:iCs/>
          <w:sz w:val="24"/>
          <w:szCs w:val="24"/>
        </w:rPr>
      </w:pPr>
      <w:bookmarkStart w:id="18" w:name="_Hlk132302352"/>
      <w:bookmarkEnd w:id="17"/>
      <w:r w:rsidRPr="00997EF1">
        <w:rPr>
          <w:rFonts w:cstheme="minorHAnsi"/>
          <w:sz w:val="24"/>
          <w:szCs w:val="24"/>
        </w:rPr>
        <w:t xml:space="preserve">Ruggles, Clive, and Gary Urton, </w:t>
      </w:r>
      <w:r w:rsidRPr="00997EF1">
        <w:rPr>
          <w:rFonts w:cstheme="minorHAnsi"/>
          <w:i/>
          <w:iCs/>
          <w:sz w:val="24"/>
          <w:szCs w:val="24"/>
        </w:rPr>
        <w:t xml:space="preserve">Skywatching in the Ancient World: New Perspectives in </w:t>
      </w:r>
    </w:p>
    <w:p w14:paraId="199362E5" w14:textId="77777777" w:rsidR="00314198" w:rsidRPr="00997EF1" w:rsidRDefault="00314198" w:rsidP="00314198">
      <w:pPr>
        <w:spacing w:line="360" w:lineRule="auto"/>
        <w:ind w:firstLine="720"/>
        <w:rPr>
          <w:rFonts w:cstheme="minorHAnsi"/>
          <w:i/>
          <w:iCs/>
          <w:sz w:val="24"/>
          <w:szCs w:val="24"/>
        </w:rPr>
      </w:pPr>
      <w:r w:rsidRPr="00997EF1">
        <w:rPr>
          <w:rFonts w:cstheme="minorHAnsi"/>
          <w:i/>
          <w:iCs/>
          <w:sz w:val="24"/>
          <w:szCs w:val="24"/>
        </w:rPr>
        <w:t>Cultural Astronomy</w:t>
      </w:r>
      <w:r w:rsidRPr="00997EF1">
        <w:rPr>
          <w:rFonts w:cstheme="minorHAnsi"/>
          <w:sz w:val="24"/>
          <w:szCs w:val="24"/>
        </w:rPr>
        <w:t xml:space="preserve"> (Boulder: University Press of Colorado, 2010)</w:t>
      </w:r>
    </w:p>
    <w:bookmarkEnd w:id="18"/>
    <w:p w14:paraId="46459FDE" w14:textId="77777777" w:rsidR="00314198" w:rsidRPr="00997EF1" w:rsidRDefault="00314198" w:rsidP="00314198">
      <w:pPr>
        <w:spacing w:line="360" w:lineRule="auto"/>
        <w:ind w:firstLine="720"/>
        <w:rPr>
          <w:rFonts w:cstheme="minorHAnsi"/>
          <w:sz w:val="24"/>
          <w:szCs w:val="24"/>
        </w:rPr>
      </w:pPr>
    </w:p>
    <w:p w14:paraId="7812D5B8" w14:textId="66757851" w:rsidR="00314198" w:rsidRDefault="00314198" w:rsidP="00314198">
      <w:pPr>
        <w:spacing w:line="360" w:lineRule="auto"/>
        <w:rPr>
          <w:rFonts w:cstheme="minorHAnsi"/>
          <w:i/>
          <w:iCs/>
          <w:sz w:val="24"/>
          <w:szCs w:val="24"/>
        </w:rPr>
      </w:pPr>
      <w:bookmarkStart w:id="19" w:name="_Hlk132021816"/>
      <w:r w:rsidRPr="00997EF1">
        <w:rPr>
          <w:rFonts w:cstheme="minorHAnsi"/>
          <w:sz w:val="24"/>
          <w:szCs w:val="24"/>
        </w:rPr>
        <w:t xml:space="preserve">Silva, Fabio, Nicholas Campion, and Bernadette Brady, </w:t>
      </w:r>
      <w:r w:rsidRPr="00997EF1">
        <w:rPr>
          <w:rFonts w:cstheme="minorHAnsi"/>
          <w:i/>
          <w:iCs/>
          <w:sz w:val="24"/>
          <w:szCs w:val="24"/>
        </w:rPr>
        <w:t>Skyscapes:</w:t>
      </w:r>
      <w:r w:rsidRPr="00997EF1">
        <w:rPr>
          <w:rFonts w:cstheme="minorHAnsi"/>
          <w:i/>
          <w:iCs/>
          <w:sz w:val="24"/>
          <w:szCs w:val="24"/>
        </w:rPr>
        <w:t xml:space="preserve"> </w:t>
      </w:r>
      <w:proofErr w:type="gramStart"/>
      <w:r w:rsidRPr="00997EF1">
        <w:rPr>
          <w:rFonts w:cstheme="minorHAnsi"/>
          <w:i/>
          <w:iCs/>
          <w:sz w:val="24"/>
          <w:szCs w:val="24"/>
        </w:rPr>
        <w:t>the</w:t>
      </w:r>
      <w:proofErr w:type="gramEnd"/>
      <w:r w:rsidRPr="00997EF1">
        <w:rPr>
          <w:rFonts w:cstheme="minorHAnsi"/>
          <w:i/>
          <w:iCs/>
          <w:sz w:val="24"/>
          <w:szCs w:val="24"/>
        </w:rPr>
        <w:t xml:space="preserve"> Role and Importance </w:t>
      </w:r>
    </w:p>
    <w:p w14:paraId="059DFE64" w14:textId="77777777" w:rsidR="00314198" w:rsidRPr="00997EF1" w:rsidRDefault="00314198" w:rsidP="00314198">
      <w:pPr>
        <w:spacing w:line="360" w:lineRule="auto"/>
        <w:ind w:left="720"/>
        <w:rPr>
          <w:rFonts w:cstheme="minorHAnsi"/>
          <w:sz w:val="24"/>
          <w:szCs w:val="24"/>
        </w:rPr>
      </w:pPr>
      <w:r w:rsidRPr="00997EF1">
        <w:rPr>
          <w:rFonts w:cstheme="minorHAnsi"/>
          <w:i/>
          <w:iCs/>
          <w:sz w:val="24"/>
          <w:szCs w:val="24"/>
        </w:rPr>
        <w:t>of the Sky in Archaeology</w:t>
      </w:r>
      <w:r w:rsidRPr="00997EF1">
        <w:rPr>
          <w:rFonts w:cstheme="minorHAnsi"/>
          <w:sz w:val="24"/>
          <w:szCs w:val="24"/>
        </w:rPr>
        <w:t>, ed. by Fabio (Fabio P.) Silva and Nicholas Campion (Oxford, [England]</w:t>
      </w:r>
      <w:r>
        <w:rPr>
          <w:rFonts w:cstheme="minorHAnsi"/>
          <w:sz w:val="24"/>
          <w:szCs w:val="24"/>
        </w:rPr>
        <w:t xml:space="preserve">, </w:t>
      </w:r>
      <w:r w:rsidRPr="00997EF1">
        <w:rPr>
          <w:rFonts w:cstheme="minorHAnsi"/>
          <w:sz w:val="24"/>
          <w:szCs w:val="24"/>
        </w:rPr>
        <w:t>Oxbow Books, 2015)</w:t>
      </w:r>
    </w:p>
    <w:p w14:paraId="1934F043" w14:textId="77777777" w:rsidR="00314198" w:rsidRPr="00997EF1" w:rsidRDefault="00314198" w:rsidP="00314198">
      <w:pPr>
        <w:spacing w:line="360" w:lineRule="auto"/>
        <w:ind w:left="720"/>
        <w:rPr>
          <w:rFonts w:cstheme="minorHAnsi"/>
          <w:sz w:val="24"/>
          <w:szCs w:val="24"/>
        </w:rPr>
      </w:pPr>
    </w:p>
    <w:p w14:paraId="1EF1FB15" w14:textId="77777777" w:rsidR="00314198" w:rsidRPr="00997EF1" w:rsidRDefault="00314198" w:rsidP="00314198">
      <w:pPr>
        <w:spacing w:after="0" w:line="360" w:lineRule="auto"/>
        <w:rPr>
          <w:rFonts w:eastAsia="Times New Roman" w:cstheme="minorHAnsi"/>
          <w:i/>
          <w:iCs/>
          <w:sz w:val="24"/>
          <w:szCs w:val="24"/>
          <w:lang w:eastAsia="en-GB"/>
        </w:rPr>
      </w:pPr>
      <w:r w:rsidRPr="00997EF1">
        <w:rPr>
          <w:rFonts w:eastAsia="Times New Roman" w:cstheme="minorHAnsi"/>
          <w:sz w:val="24"/>
          <w:szCs w:val="24"/>
          <w:lang w:eastAsia="en-GB"/>
        </w:rPr>
        <w:lastRenderedPageBreak/>
        <w:t xml:space="preserve">Silva, Fabio. ‘The Role and Importance of the Sky in Archaeology’ </w:t>
      </w:r>
      <w:proofErr w:type="gramStart"/>
      <w:r w:rsidRPr="00997EF1">
        <w:rPr>
          <w:rFonts w:eastAsia="Times New Roman" w:cstheme="minorHAnsi"/>
          <w:sz w:val="24"/>
          <w:szCs w:val="24"/>
          <w:lang w:eastAsia="en-GB"/>
        </w:rPr>
        <w:t>in ”</w:t>
      </w:r>
      <w:proofErr w:type="gramEnd"/>
      <w:r w:rsidRPr="00997EF1">
        <w:rPr>
          <w:rFonts w:eastAsia="Times New Roman" w:cstheme="minorHAnsi"/>
          <w:sz w:val="24"/>
          <w:szCs w:val="24"/>
          <w:lang w:eastAsia="en-GB"/>
        </w:rPr>
        <w:t xml:space="preserve"> </w:t>
      </w:r>
      <w:r w:rsidRPr="00997EF1">
        <w:rPr>
          <w:rFonts w:eastAsia="Times New Roman" w:cstheme="minorHAnsi"/>
          <w:i/>
          <w:iCs/>
          <w:sz w:val="24"/>
          <w:szCs w:val="24"/>
          <w:lang w:eastAsia="en-GB"/>
        </w:rPr>
        <w:t xml:space="preserve">Skyscapes: The Role </w:t>
      </w:r>
    </w:p>
    <w:p w14:paraId="443A05B5" w14:textId="77777777" w:rsidR="00314198" w:rsidRPr="00997EF1" w:rsidRDefault="00314198" w:rsidP="00314198">
      <w:pPr>
        <w:spacing w:after="0" w:line="360" w:lineRule="auto"/>
        <w:ind w:left="720"/>
        <w:rPr>
          <w:rFonts w:eastAsia="Times New Roman" w:cstheme="minorHAnsi"/>
          <w:color w:val="2F5496" w:themeColor="accent1" w:themeShade="BF"/>
          <w:sz w:val="24"/>
          <w:szCs w:val="24"/>
          <w:lang w:eastAsia="en-GB"/>
        </w:rPr>
      </w:pPr>
      <w:r w:rsidRPr="00997EF1">
        <w:rPr>
          <w:rFonts w:eastAsia="Times New Roman" w:cstheme="minorHAnsi"/>
          <w:i/>
          <w:iCs/>
          <w:sz w:val="24"/>
          <w:szCs w:val="24"/>
          <w:lang w:eastAsia="en-GB"/>
        </w:rPr>
        <w:t>and Importance of the Sky in Archaeology</w:t>
      </w:r>
      <w:r w:rsidRPr="00997EF1">
        <w:rPr>
          <w:rFonts w:eastAsia="Times New Roman" w:cstheme="minorHAnsi"/>
          <w:sz w:val="24"/>
          <w:szCs w:val="24"/>
          <w:lang w:eastAsia="en-GB"/>
        </w:rPr>
        <w:t xml:space="preserve">, edited by Fabio Silva and Nicholas Campion, Oxbow Books, 2015, pp. 1–7. </w:t>
      </w:r>
      <w:r w:rsidRPr="00997EF1">
        <w:rPr>
          <w:rFonts w:eastAsia="Times New Roman" w:cstheme="minorHAnsi"/>
          <w:i/>
          <w:iCs/>
          <w:sz w:val="24"/>
          <w:szCs w:val="24"/>
          <w:lang w:eastAsia="en-GB"/>
        </w:rPr>
        <w:t>JSTOR</w:t>
      </w:r>
      <w:r w:rsidRPr="00997EF1">
        <w:rPr>
          <w:rFonts w:eastAsia="Times New Roman" w:cstheme="minorHAnsi"/>
          <w:sz w:val="24"/>
          <w:szCs w:val="24"/>
          <w:lang w:eastAsia="en-GB"/>
        </w:rPr>
        <w:t xml:space="preserve">, </w:t>
      </w:r>
      <w:r w:rsidRPr="00997EF1">
        <w:rPr>
          <w:rFonts w:eastAsia="Times New Roman" w:cstheme="minorHAnsi"/>
          <w:color w:val="2F5496" w:themeColor="accent1" w:themeShade="BF"/>
          <w:sz w:val="24"/>
          <w:szCs w:val="24"/>
          <w:lang w:eastAsia="en-GB"/>
        </w:rPr>
        <w:t>https://doi.org/10.2307/j.ctvh1dksg.5. Accessed 23 Apr. 2023.</w:t>
      </w:r>
    </w:p>
    <w:p w14:paraId="00F9C99F" w14:textId="77777777" w:rsidR="00314198" w:rsidRPr="00081DCB" w:rsidRDefault="00314198" w:rsidP="00314198">
      <w:pPr>
        <w:spacing w:line="360" w:lineRule="auto"/>
        <w:rPr>
          <w:rFonts w:cstheme="minorHAnsi"/>
          <w:sz w:val="24"/>
          <w:szCs w:val="24"/>
        </w:rPr>
      </w:pPr>
    </w:p>
    <w:p w14:paraId="09B89C93"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Silva, Fabio, ‘A Tomb with a View: New Methods for Bridging the Gap Between Land and Sky </w:t>
      </w:r>
    </w:p>
    <w:p w14:paraId="0A5B75A5" w14:textId="77777777" w:rsidR="00314198" w:rsidRPr="00081DCB" w:rsidRDefault="00314198" w:rsidP="00314198">
      <w:pPr>
        <w:spacing w:line="360" w:lineRule="auto"/>
        <w:ind w:left="720"/>
        <w:rPr>
          <w:rFonts w:cstheme="minorHAnsi"/>
          <w:i/>
          <w:iCs/>
          <w:sz w:val="24"/>
          <w:szCs w:val="24"/>
        </w:rPr>
      </w:pPr>
      <w:r w:rsidRPr="00081DCB">
        <w:rPr>
          <w:rFonts w:cstheme="minorHAnsi"/>
          <w:sz w:val="24"/>
          <w:szCs w:val="24"/>
        </w:rPr>
        <w:t xml:space="preserve">in Megalithic Archaeology’, </w:t>
      </w:r>
      <w:r w:rsidRPr="00081DCB">
        <w:rPr>
          <w:rFonts w:cstheme="minorHAnsi"/>
          <w:i/>
          <w:iCs/>
          <w:sz w:val="24"/>
          <w:szCs w:val="24"/>
        </w:rPr>
        <w:t xml:space="preserve">Advances in Archaeological </w:t>
      </w:r>
      <w:proofErr w:type="gramStart"/>
      <w:r w:rsidRPr="00081DCB">
        <w:rPr>
          <w:rFonts w:cstheme="minorHAnsi"/>
          <w:i/>
          <w:iCs/>
          <w:sz w:val="24"/>
          <w:szCs w:val="24"/>
        </w:rPr>
        <w:t>Practice :</w:t>
      </w:r>
      <w:proofErr w:type="gramEnd"/>
      <w:r w:rsidRPr="00081DCB">
        <w:rPr>
          <w:rFonts w:cstheme="minorHAnsi"/>
          <w:i/>
          <w:iCs/>
          <w:sz w:val="24"/>
          <w:szCs w:val="24"/>
        </w:rPr>
        <w:t xml:space="preserve"> a Journal of the Society of American Archaeology</w:t>
      </w:r>
      <w:r w:rsidRPr="00081DCB">
        <w:rPr>
          <w:rFonts w:cstheme="minorHAnsi"/>
          <w:sz w:val="24"/>
          <w:szCs w:val="24"/>
        </w:rPr>
        <w:t>, 2.1 (2014), 24–37</w:t>
      </w:r>
    </w:p>
    <w:bookmarkEnd w:id="19"/>
    <w:p w14:paraId="71BCE96F" w14:textId="77777777" w:rsidR="00314198" w:rsidRPr="00081DCB" w:rsidRDefault="00314198" w:rsidP="00314198">
      <w:pPr>
        <w:spacing w:line="360" w:lineRule="auto"/>
        <w:rPr>
          <w:rFonts w:cstheme="minorHAnsi"/>
          <w:sz w:val="24"/>
          <w:szCs w:val="24"/>
        </w:rPr>
      </w:pPr>
    </w:p>
    <w:p w14:paraId="77542924" w14:textId="77777777" w:rsidR="00314198" w:rsidRPr="00081DCB" w:rsidRDefault="00314198" w:rsidP="00314198">
      <w:pPr>
        <w:spacing w:line="360" w:lineRule="auto"/>
        <w:rPr>
          <w:rFonts w:cstheme="minorHAnsi"/>
          <w:sz w:val="24"/>
          <w:szCs w:val="24"/>
        </w:rPr>
      </w:pPr>
      <w:r w:rsidRPr="00081DCB">
        <w:rPr>
          <w:rFonts w:cstheme="minorHAnsi"/>
          <w:sz w:val="24"/>
          <w:szCs w:val="24"/>
        </w:rPr>
        <w:t xml:space="preserve">Tilley, Christopher Y., </w:t>
      </w:r>
      <w:r w:rsidRPr="00081DCB">
        <w:rPr>
          <w:rFonts w:cstheme="minorHAnsi"/>
          <w:i/>
          <w:iCs/>
          <w:sz w:val="24"/>
          <w:szCs w:val="24"/>
        </w:rPr>
        <w:t xml:space="preserve">A Phenomenology of Landscape: Places, </w:t>
      </w:r>
      <w:proofErr w:type="gramStart"/>
      <w:r w:rsidRPr="00081DCB">
        <w:rPr>
          <w:rFonts w:cstheme="minorHAnsi"/>
          <w:i/>
          <w:iCs/>
          <w:sz w:val="24"/>
          <w:szCs w:val="24"/>
        </w:rPr>
        <w:t>Paths</w:t>
      </w:r>
      <w:proofErr w:type="gramEnd"/>
      <w:r w:rsidRPr="00081DCB">
        <w:rPr>
          <w:rFonts w:cstheme="minorHAnsi"/>
          <w:i/>
          <w:iCs/>
          <w:sz w:val="24"/>
          <w:szCs w:val="24"/>
        </w:rPr>
        <w:t xml:space="preserve"> and Monuments</w:t>
      </w:r>
      <w:r w:rsidRPr="00081DCB">
        <w:rPr>
          <w:rFonts w:cstheme="minorHAnsi"/>
          <w:sz w:val="24"/>
          <w:szCs w:val="24"/>
        </w:rPr>
        <w:t xml:space="preserve"> </w:t>
      </w:r>
    </w:p>
    <w:p w14:paraId="72BB3C31" w14:textId="77777777" w:rsidR="00314198" w:rsidRPr="00081DCB" w:rsidRDefault="00314198" w:rsidP="00314198">
      <w:pPr>
        <w:spacing w:line="360" w:lineRule="auto"/>
        <w:ind w:firstLine="720"/>
        <w:rPr>
          <w:rFonts w:cstheme="minorHAnsi"/>
          <w:sz w:val="24"/>
          <w:szCs w:val="24"/>
        </w:rPr>
      </w:pPr>
      <w:r w:rsidRPr="00081DCB">
        <w:rPr>
          <w:rFonts w:cstheme="minorHAnsi"/>
          <w:sz w:val="24"/>
          <w:szCs w:val="24"/>
        </w:rPr>
        <w:t>(Oxford: Berg, 1994)</w:t>
      </w:r>
    </w:p>
    <w:p w14:paraId="14011638" w14:textId="77777777" w:rsidR="00314198" w:rsidRPr="00997EF1" w:rsidRDefault="00314198" w:rsidP="00314198">
      <w:pPr>
        <w:spacing w:line="360" w:lineRule="auto"/>
        <w:ind w:firstLine="720"/>
        <w:rPr>
          <w:rFonts w:cstheme="minorHAnsi"/>
          <w:sz w:val="24"/>
          <w:szCs w:val="24"/>
        </w:rPr>
      </w:pPr>
    </w:p>
    <w:p w14:paraId="08BE23E9" w14:textId="77777777" w:rsidR="00314198" w:rsidRDefault="00314198" w:rsidP="00314198">
      <w:pPr>
        <w:spacing w:line="360" w:lineRule="auto"/>
        <w:rPr>
          <w:rFonts w:cstheme="minorHAnsi"/>
          <w:color w:val="000000"/>
          <w:sz w:val="24"/>
          <w:szCs w:val="24"/>
        </w:rPr>
      </w:pPr>
      <w:r w:rsidRPr="00997EF1">
        <w:rPr>
          <w:rFonts w:cstheme="minorHAnsi"/>
          <w:color w:val="000000"/>
          <w:sz w:val="24"/>
          <w:szCs w:val="24"/>
          <w:shd w:val="clear" w:color="auto" w:fill="FFFFFF"/>
        </w:rPr>
        <w:t>Weiser, Father Francis, ‘</w:t>
      </w:r>
      <w:r w:rsidRPr="00997EF1">
        <w:rPr>
          <w:rFonts w:cstheme="minorHAnsi"/>
          <w:color w:val="000000"/>
          <w:sz w:val="24"/>
          <w:szCs w:val="24"/>
        </w:rPr>
        <w:t xml:space="preserve">Catholic Activity: The Feast of the Assumption Customs and </w:t>
      </w:r>
    </w:p>
    <w:p w14:paraId="017452A7" w14:textId="77777777" w:rsidR="00314198" w:rsidRPr="00997EF1" w:rsidRDefault="00314198" w:rsidP="00314198">
      <w:pPr>
        <w:spacing w:line="360" w:lineRule="auto"/>
        <w:ind w:left="720"/>
        <w:rPr>
          <w:rFonts w:cstheme="minorHAnsi"/>
          <w:sz w:val="24"/>
          <w:szCs w:val="24"/>
        </w:rPr>
      </w:pPr>
      <w:r w:rsidRPr="00997EF1">
        <w:rPr>
          <w:rFonts w:cstheme="minorHAnsi"/>
          <w:color w:val="000000"/>
          <w:sz w:val="24"/>
          <w:szCs w:val="24"/>
        </w:rPr>
        <w:t xml:space="preserve">Traditions’, </w:t>
      </w:r>
      <w:hyperlink r:id="rId28" w:history="1">
        <w:r w:rsidRPr="00997EF1">
          <w:rPr>
            <w:rStyle w:val="Hyperlink"/>
            <w:rFonts w:cstheme="minorHAnsi"/>
            <w:sz w:val="24"/>
            <w:szCs w:val="24"/>
          </w:rPr>
          <w:t>https://www.catholicculture.org/culture/liturgicalyear/activities</w:t>
        </w:r>
      </w:hyperlink>
      <w:r w:rsidRPr="00997EF1">
        <w:rPr>
          <w:rFonts w:cstheme="minorHAnsi"/>
          <w:color w:val="000000"/>
          <w:sz w:val="24"/>
          <w:szCs w:val="24"/>
        </w:rPr>
        <w:t xml:space="preserve"> , accessed </w:t>
      </w:r>
      <w:proofErr w:type="gramStart"/>
      <w:r w:rsidRPr="00997EF1">
        <w:rPr>
          <w:rFonts w:cstheme="minorHAnsi"/>
          <w:color w:val="000000"/>
          <w:sz w:val="24"/>
          <w:szCs w:val="24"/>
        </w:rPr>
        <w:t>28/04/23</w:t>
      </w:r>
      <w:proofErr w:type="gramEnd"/>
    </w:p>
    <w:p w14:paraId="66937C33" w14:textId="77777777" w:rsidR="00314198" w:rsidRPr="00997EF1" w:rsidRDefault="00314198" w:rsidP="00314198">
      <w:pPr>
        <w:spacing w:line="360" w:lineRule="auto"/>
        <w:rPr>
          <w:rFonts w:cstheme="minorHAnsi"/>
          <w:sz w:val="24"/>
          <w:szCs w:val="24"/>
          <w:lang w:val="en-US"/>
        </w:rPr>
      </w:pPr>
    </w:p>
    <w:p w14:paraId="43109ED3" w14:textId="77777777" w:rsidR="00314198" w:rsidRDefault="00314198" w:rsidP="00314198">
      <w:pPr>
        <w:spacing w:line="360" w:lineRule="auto"/>
      </w:pPr>
    </w:p>
    <w:p w14:paraId="7ADCA42E" w14:textId="77777777" w:rsidR="00297498" w:rsidRDefault="00297498" w:rsidP="00297498">
      <w:pPr>
        <w:spacing w:line="360" w:lineRule="auto"/>
      </w:pPr>
    </w:p>
    <w:p w14:paraId="7D937311" w14:textId="77777777" w:rsidR="00297498" w:rsidRDefault="00297498" w:rsidP="00297498">
      <w:pPr>
        <w:spacing w:line="360" w:lineRule="auto"/>
      </w:pPr>
    </w:p>
    <w:p w14:paraId="1CB244D8" w14:textId="77777777" w:rsidR="00297498" w:rsidRDefault="00297498" w:rsidP="00297498">
      <w:pPr>
        <w:spacing w:line="360" w:lineRule="auto"/>
      </w:pPr>
    </w:p>
    <w:p w14:paraId="7E07DB12" w14:textId="77777777" w:rsidR="00297498" w:rsidRDefault="00297498" w:rsidP="00297498">
      <w:pPr>
        <w:spacing w:line="360" w:lineRule="auto"/>
      </w:pPr>
    </w:p>
    <w:p w14:paraId="0E6C421F" w14:textId="77777777" w:rsidR="00297498" w:rsidRDefault="00297498" w:rsidP="00297498">
      <w:pPr>
        <w:spacing w:line="360" w:lineRule="auto"/>
      </w:pPr>
    </w:p>
    <w:p w14:paraId="6A31470C" w14:textId="77777777" w:rsidR="00297498" w:rsidRDefault="00297498" w:rsidP="00297498">
      <w:pPr>
        <w:spacing w:line="360" w:lineRule="auto"/>
      </w:pPr>
    </w:p>
    <w:p w14:paraId="7F7F8281" w14:textId="77777777" w:rsidR="00297498" w:rsidRDefault="00297498" w:rsidP="00297498">
      <w:pPr>
        <w:spacing w:line="360" w:lineRule="auto"/>
      </w:pPr>
    </w:p>
    <w:p w14:paraId="0931D9A3" w14:textId="77777777" w:rsidR="0044600D" w:rsidRDefault="0044600D"/>
    <w:sectPr w:rsidR="0044600D">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2BDB7" w14:textId="77777777" w:rsidR="001D574F" w:rsidRDefault="001D574F" w:rsidP="00297498">
      <w:pPr>
        <w:spacing w:after="0" w:line="240" w:lineRule="auto"/>
      </w:pPr>
      <w:r>
        <w:separator/>
      </w:r>
    </w:p>
  </w:endnote>
  <w:endnote w:type="continuationSeparator" w:id="0">
    <w:p w14:paraId="2E922EAA" w14:textId="77777777" w:rsidR="001D574F" w:rsidRDefault="001D574F" w:rsidP="0029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175819"/>
      <w:docPartObj>
        <w:docPartGallery w:val="Page Numbers (Bottom of Page)"/>
        <w:docPartUnique/>
      </w:docPartObj>
    </w:sdtPr>
    <w:sdtEndPr>
      <w:rPr>
        <w:noProof/>
      </w:rPr>
    </w:sdtEndPr>
    <w:sdtContent>
      <w:p w14:paraId="351B14E8" w14:textId="4DC9ECBF" w:rsidR="00314198" w:rsidRDefault="00314198">
        <w:pPr>
          <w:pStyle w:val="Footer"/>
          <w:jc w:val="right"/>
        </w:pPr>
        <w:r>
          <w:t>Christine Allen</w:t>
        </w:r>
        <w:r>
          <w:t xml:space="preserve"> – </w:t>
        </w:r>
        <w:r w:rsidRPr="00166616">
          <w:rPr>
            <w:rFonts w:ascii="Arial" w:hAnsi="Arial" w:cs="Arial"/>
          </w:rPr>
          <w:t>HPCA7028</w:t>
        </w:r>
        <w:r>
          <w:t xml:space="preserve"> – </w:t>
        </w:r>
        <w:r>
          <w:t xml:space="preserve">Essay 2                                </w:t>
        </w:r>
        <w:r>
          <w:fldChar w:fldCharType="begin"/>
        </w:r>
        <w:r>
          <w:instrText xml:space="preserve"> PAGE   \* MERGEFORMAT </w:instrText>
        </w:r>
        <w:r>
          <w:fldChar w:fldCharType="separate"/>
        </w:r>
        <w:r>
          <w:rPr>
            <w:noProof/>
          </w:rPr>
          <w:t>2</w:t>
        </w:r>
        <w:r>
          <w:rPr>
            <w:noProof/>
          </w:rPr>
          <w:fldChar w:fldCharType="end"/>
        </w:r>
      </w:p>
    </w:sdtContent>
  </w:sdt>
  <w:p w14:paraId="71729555" w14:textId="77777777" w:rsidR="00314198" w:rsidRDefault="00314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0F8BB" w14:textId="77777777" w:rsidR="001D574F" w:rsidRDefault="001D574F" w:rsidP="00297498">
      <w:pPr>
        <w:spacing w:after="0" w:line="240" w:lineRule="auto"/>
      </w:pPr>
      <w:r>
        <w:separator/>
      </w:r>
    </w:p>
  </w:footnote>
  <w:footnote w:type="continuationSeparator" w:id="0">
    <w:p w14:paraId="72896745" w14:textId="77777777" w:rsidR="001D574F" w:rsidRDefault="001D574F" w:rsidP="00297498">
      <w:pPr>
        <w:spacing w:after="0" w:line="240" w:lineRule="auto"/>
      </w:pPr>
      <w:r>
        <w:continuationSeparator/>
      </w:r>
    </w:p>
  </w:footnote>
  <w:footnote w:id="1">
    <w:p w14:paraId="61594A05" w14:textId="77777777" w:rsidR="00297498" w:rsidRPr="00961524" w:rsidRDefault="00297498" w:rsidP="00297498">
      <w:pPr>
        <w:spacing w:line="240" w:lineRule="auto"/>
        <w:rPr>
          <w:sz w:val="20"/>
          <w:szCs w:val="20"/>
          <w:lang w:val="en-US"/>
        </w:rPr>
      </w:pPr>
      <w:r w:rsidRPr="00961524">
        <w:rPr>
          <w:rStyle w:val="FootnoteReference"/>
          <w:sz w:val="20"/>
          <w:szCs w:val="20"/>
        </w:rPr>
        <w:footnoteRef/>
      </w:r>
      <w:r w:rsidRPr="00961524">
        <w:rPr>
          <w:sz w:val="20"/>
          <w:szCs w:val="20"/>
        </w:rPr>
        <w:t xml:space="preserve"> </w:t>
      </w:r>
      <w:r>
        <w:rPr>
          <w:sz w:val="20"/>
          <w:szCs w:val="20"/>
        </w:rPr>
        <w:t xml:space="preserve">Peter G. </w:t>
      </w:r>
      <w:r w:rsidRPr="00961524">
        <w:rPr>
          <w:sz w:val="20"/>
          <w:szCs w:val="20"/>
        </w:rPr>
        <w:t xml:space="preserve">Hoare and Caroline S Sweet, ‘The Orientation of Early Medieval Churches in England’, </w:t>
      </w:r>
      <w:r w:rsidRPr="004D42E6">
        <w:rPr>
          <w:i/>
          <w:iCs/>
          <w:sz w:val="20"/>
          <w:szCs w:val="20"/>
        </w:rPr>
        <w:t>Journal of Historical Geography</w:t>
      </w:r>
      <w:r w:rsidRPr="00961524">
        <w:rPr>
          <w:sz w:val="20"/>
          <w:szCs w:val="20"/>
        </w:rPr>
        <w:t>, 26.2 (2000), 162–73.</w:t>
      </w:r>
    </w:p>
  </w:footnote>
  <w:footnote w:id="2">
    <w:p w14:paraId="39799D60" w14:textId="77777777" w:rsidR="00297498" w:rsidRPr="00961524" w:rsidRDefault="00297498" w:rsidP="00297498">
      <w:pPr>
        <w:spacing w:line="240" w:lineRule="auto"/>
        <w:rPr>
          <w:sz w:val="20"/>
          <w:szCs w:val="20"/>
        </w:rPr>
      </w:pPr>
      <w:r w:rsidRPr="00961524">
        <w:rPr>
          <w:rStyle w:val="FootnoteReference"/>
          <w:sz w:val="20"/>
          <w:szCs w:val="20"/>
        </w:rPr>
        <w:footnoteRef/>
      </w:r>
      <w:r w:rsidRPr="00961524">
        <w:rPr>
          <w:sz w:val="20"/>
          <w:szCs w:val="20"/>
        </w:rPr>
        <w:t xml:space="preserve">  </w:t>
      </w:r>
      <w:r>
        <w:rPr>
          <w:sz w:val="20"/>
          <w:szCs w:val="20"/>
        </w:rPr>
        <w:t xml:space="preserve">Sasa </w:t>
      </w:r>
      <w:r w:rsidRPr="00961524">
        <w:rPr>
          <w:sz w:val="20"/>
          <w:szCs w:val="20"/>
        </w:rPr>
        <w:t xml:space="preserve">Caval, ‘Locating the Festival, Positioning the Feast: Natural and Calendar Festivals in Medieval Slovenia’, </w:t>
      </w:r>
      <w:r w:rsidRPr="004D42E6">
        <w:rPr>
          <w:i/>
          <w:iCs/>
          <w:sz w:val="20"/>
          <w:szCs w:val="20"/>
        </w:rPr>
        <w:t>World Archaeology</w:t>
      </w:r>
      <w:r w:rsidRPr="00961524">
        <w:rPr>
          <w:sz w:val="20"/>
          <w:szCs w:val="20"/>
        </w:rPr>
        <w:t xml:space="preserve">, 50.2 (2018), p. 301. </w:t>
      </w:r>
    </w:p>
  </w:footnote>
  <w:footnote w:id="3">
    <w:p w14:paraId="09973383" w14:textId="77777777" w:rsidR="00297498" w:rsidRPr="00961524" w:rsidRDefault="00297498" w:rsidP="00297498">
      <w:pPr>
        <w:pStyle w:val="FootnoteText"/>
      </w:pPr>
      <w:r>
        <w:rPr>
          <w:rStyle w:val="FootnoteReference"/>
        </w:rPr>
        <w:footnoteRef/>
      </w:r>
      <w:r>
        <w:t xml:space="preserve"> Fabio </w:t>
      </w:r>
      <w:r w:rsidRPr="00961524">
        <w:rPr>
          <w:rFonts w:eastAsia="Times New Roman" w:cstheme="minorHAnsi"/>
          <w:lang w:eastAsia="en-GB"/>
        </w:rPr>
        <w:t xml:space="preserve">Silva, “The Role and Importance of the Sky in Archaeology: An Introduction.” </w:t>
      </w:r>
      <w:r w:rsidRPr="00961524">
        <w:rPr>
          <w:rFonts w:eastAsia="Times New Roman" w:cstheme="minorHAnsi"/>
          <w:i/>
          <w:iCs/>
          <w:lang w:eastAsia="en-GB"/>
        </w:rPr>
        <w:t>Skyscapes: The Role and Importance of the Sky in Archaeology</w:t>
      </w:r>
      <w:r w:rsidRPr="00961524">
        <w:rPr>
          <w:rFonts w:eastAsia="Times New Roman" w:cstheme="minorHAnsi"/>
          <w:lang w:eastAsia="en-GB"/>
        </w:rPr>
        <w:t xml:space="preserve">, edited by Fabio Silva and Nicholas Campion, Oxbow Books, 2015, p. 3. </w:t>
      </w:r>
    </w:p>
  </w:footnote>
  <w:footnote w:id="4">
    <w:p w14:paraId="089FCE95" w14:textId="77777777" w:rsidR="00297498" w:rsidRPr="00995EA6" w:rsidRDefault="00297498" w:rsidP="00297498">
      <w:pPr>
        <w:spacing w:line="240" w:lineRule="auto"/>
        <w:rPr>
          <w:rFonts w:cstheme="minorHAnsi"/>
          <w:sz w:val="20"/>
          <w:szCs w:val="20"/>
          <w:lang w:val="en-US"/>
        </w:rPr>
      </w:pPr>
      <w:r>
        <w:rPr>
          <w:rStyle w:val="FootnoteReference"/>
        </w:rPr>
        <w:footnoteRef/>
      </w:r>
      <w:r>
        <w:t xml:space="preserve"> </w:t>
      </w:r>
      <w:r>
        <w:rPr>
          <w:rFonts w:cstheme="minorHAnsi"/>
          <w:sz w:val="20"/>
          <w:szCs w:val="20"/>
          <w:lang w:eastAsia="en-GB"/>
        </w:rPr>
        <w:t>Silva,</w:t>
      </w:r>
      <w:r w:rsidRPr="00995EA6">
        <w:rPr>
          <w:rFonts w:cstheme="minorHAnsi"/>
          <w:sz w:val="20"/>
          <w:szCs w:val="20"/>
          <w:lang w:eastAsia="en-GB"/>
        </w:rPr>
        <w:t xml:space="preserve"> “The Role and Importance of the Sky in Archaeology” </w:t>
      </w:r>
      <w:r w:rsidRPr="00995EA6">
        <w:rPr>
          <w:rFonts w:cstheme="minorHAnsi"/>
          <w:i/>
          <w:iCs/>
          <w:sz w:val="20"/>
          <w:szCs w:val="20"/>
          <w:lang w:eastAsia="en-GB"/>
        </w:rPr>
        <w:t>Skyscapes</w:t>
      </w:r>
      <w:r w:rsidRPr="00995EA6">
        <w:rPr>
          <w:rFonts w:cstheme="minorHAnsi"/>
          <w:sz w:val="20"/>
          <w:szCs w:val="20"/>
          <w:lang w:eastAsia="en-GB"/>
        </w:rPr>
        <w:t>, edited by Fabio Silva and Nicholas Campion, Oxbow Books, 2015, pp.1–7.</w:t>
      </w:r>
    </w:p>
  </w:footnote>
  <w:footnote w:id="5">
    <w:p w14:paraId="75C4E120" w14:textId="77777777" w:rsidR="00297498" w:rsidRDefault="00297498" w:rsidP="00297498">
      <w:pPr>
        <w:pStyle w:val="FootnoteText"/>
      </w:pPr>
      <w:r>
        <w:rPr>
          <w:rStyle w:val="FootnoteReference"/>
        </w:rPr>
        <w:footnoteRef/>
      </w:r>
      <w:r>
        <w:t xml:space="preserve"> </w:t>
      </w:r>
      <w:r w:rsidRPr="00995EA6">
        <w:rPr>
          <w:rFonts w:cstheme="minorHAnsi"/>
          <w:lang w:eastAsia="en-GB"/>
        </w:rPr>
        <w:t xml:space="preserve">Silva, “The Role and Importance of the Sky in Archaeology” </w:t>
      </w:r>
      <w:r w:rsidRPr="00995EA6">
        <w:rPr>
          <w:rFonts w:cstheme="minorHAnsi"/>
          <w:i/>
          <w:iCs/>
          <w:lang w:eastAsia="en-GB"/>
        </w:rPr>
        <w:t>Skyscapes</w:t>
      </w:r>
      <w:r w:rsidRPr="00995EA6">
        <w:rPr>
          <w:rFonts w:cstheme="minorHAnsi"/>
          <w:lang w:eastAsia="en-GB"/>
        </w:rPr>
        <w:t>, ed</w:t>
      </w:r>
      <w:r>
        <w:rPr>
          <w:rFonts w:cstheme="minorHAnsi"/>
          <w:lang w:eastAsia="en-GB"/>
        </w:rPr>
        <w:t>.</w:t>
      </w:r>
      <w:r w:rsidRPr="00995EA6">
        <w:rPr>
          <w:rFonts w:cstheme="minorHAnsi"/>
          <w:lang w:eastAsia="en-GB"/>
        </w:rPr>
        <w:t>by Silva and Campion, Oxbow Books, 2015, p</w:t>
      </w:r>
      <w:r>
        <w:rPr>
          <w:rFonts w:cstheme="minorHAnsi"/>
          <w:lang w:eastAsia="en-GB"/>
        </w:rPr>
        <w:t xml:space="preserve">. 2. </w:t>
      </w:r>
    </w:p>
  </w:footnote>
  <w:footnote w:id="6">
    <w:p w14:paraId="1CFD6EE8" w14:textId="77777777" w:rsidR="00297498" w:rsidRDefault="00297498" w:rsidP="00297498">
      <w:pPr>
        <w:pStyle w:val="FootnoteText"/>
      </w:pPr>
      <w:r>
        <w:rPr>
          <w:rStyle w:val="FootnoteReference"/>
        </w:rPr>
        <w:footnoteRef/>
      </w:r>
      <w:r>
        <w:t xml:space="preserve"> </w:t>
      </w:r>
      <w:bookmarkStart w:id="0" w:name="_Hlk133670893"/>
      <w:r w:rsidRPr="00995EA6">
        <w:rPr>
          <w:rFonts w:cstheme="minorHAnsi"/>
          <w:lang w:eastAsia="en-GB"/>
        </w:rPr>
        <w:t xml:space="preserve">Silva, “The Role and Importance of the Sky in Archaeology” </w:t>
      </w:r>
      <w:r w:rsidRPr="00995EA6">
        <w:rPr>
          <w:rFonts w:cstheme="minorHAnsi"/>
          <w:i/>
          <w:iCs/>
          <w:lang w:eastAsia="en-GB"/>
        </w:rPr>
        <w:t>Skyscapes</w:t>
      </w:r>
      <w:r w:rsidRPr="00995EA6">
        <w:rPr>
          <w:rFonts w:cstheme="minorHAnsi"/>
          <w:lang w:eastAsia="en-GB"/>
        </w:rPr>
        <w:t>, ed</w:t>
      </w:r>
      <w:r>
        <w:rPr>
          <w:rFonts w:cstheme="minorHAnsi"/>
          <w:lang w:eastAsia="en-GB"/>
        </w:rPr>
        <w:t>.</w:t>
      </w:r>
      <w:r w:rsidRPr="00995EA6">
        <w:rPr>
          <w:rFonts w:cstheme="minorHAnsi"/>
          <w:lang w:eastAsia="en-GB"/>
        </w:rPr>
        <w:t xml:space="preserve"> by Silva and Campion, Oxbow Books, 2015, pp.1–7.</w:t>
      </w:r>
      <w:bookmarkEnd w:id="0"/>
    </w:p>
  </w:footnote>
  <w:footnote w:id="7">
    <w:p w14:paraId="41946B82" w14:textId="77777777" w:rsidR="00297498" w:rsidRDefault="00297498" w:rsidP="00297498">
      <w:pPr>
        <w:pStyle w:val="FootnoteText"/>
      </w:pPr>
      <w:r>
        <w:rPr>
          <w:rStyle w:val="FootnoteReference"/>
        </w:rPr>
        <w:footnoteRef/>
      </w:r>
      <w:r>
        <w:t xml:space="preserve"> Caval, ‘Locating the Festival, Positioning the Feast’, World Archaeology, 50.2 (2018), p. 301.</w:t>
      </w:r>
    </w:p>
  </w:footnote>
  <w:footnote w:id="8">
    <w:p w14:paraId="75ED4106" w14:textId="77777777" w:rsidR="00297498" w:rsidRDefault="00297498" w:rsidP="00297498">
      <w:pPr>
        <w:pStyle w:val="FootnoteText"/>
      </w:pPr>
      <w:r>
        <w:rPr>
          <w:rStyle w:val="FootnoteReference"/>
        </w:rPr>
        <w:footnoteRef/>
      </w:r>
      <w:r>
        <w:t xml:space="preserve"> Caval, ‘Locating the Festival, Positioning the Feast’, </w:t>
      </w:r>
      <w:r w:rsidRPr="009E69F4">
        <w:rPr>
          <w:i/>
          <w:iCs/>
        </w:rPr>
        <w:t>World Archaeology</w:t>
      </w:r>
      <w:r>
        <w:t>, 50.2 (2018), p. 301.</w:t>
      </w:r>
    </w:p>
  </w:footnote>
  <w:footnote w:id="9">
    <w:p w14:paraId="29E48B7A" w14:textId="77777777" w:rsidR="00297498" w:rsidRDefault="00297498" w:rsidP="00297498">
      <w:pPr>
        <w:pStyle w:val="FootnoteText"/>
      </w:pPr>
      <w:r>
        <w:rPr>
          <w:rStyle w:val="FootnoteReference"/>
        </w:rPr>
        <w:footnoteRef/>
      </w:r>
      <w:r>
        <w:t xml:space="preserve"> Caval, ‘Locating the Festival, Positioning the Feast’, </w:t>
      </w:r>
      <w:r w:rsidRPr="009E69F4">
        <w:rPr>
          <w:i/>
          <w:iCs/>
        </w:rPr>
        <w:t>World Archaeology</w:t>
      </w:r>
      <w:r>
        <w:t>, 50.2 (2018), p. 301.</w:t>
      </w:r>
    </w:p>
  </w:footnote>
  <w:footnote w:id="10">
    <w:p w14:paraId="3FC78A62" w14:textId="77777777" w:rsidR="00297498" w:rsidRDefault="00297498" w:rsidP="00297498">
      <w:pPr>
        <w:pStyle w:val="FootnoteText"/>
      </w:pPr>
      <w:r>
        <w:rPr>
          <w:rStyle w:val="FootnoteReference"/>
        </w:rPr>
        <w:footnoteRef/>
      </w:r>
      <w:r>
        <w:t xml:space="preserve"> The chronology of the St Patrick’s Chapel site is discussed in the section Background below.</w:t>
      </w:r>
    </w:p>
  </w:footnote>
  <w:footnote w:id="11">
    <w:p w14:paraId="65149AE1" w14:textId="77777777" w:rsidR="00297498" w:rsidRPr="00034B7F" w:rsidRDefault="00297498" w:rsidP="00297498">
      <w:pPr>
        <w:spacing w:line="240" w:lineRule="auto"/>
        <w:rPr>
          <w:rFonts w:cstheme="minorHAnsi"/>
          <w:sz w:val="20"/>
          <w:szCs w:val="20"/>
        </w:rPr>
      </w:pPr>
      <w:r>
        <w:rPr>
          <w:rStyle w:val="FootnoteReference"/>
        </w:rPr>
        <w:footnoteRef/>
      </w:r>
      <w:r>
        <w:t xml:space="preserve"> </w:t>
      </w:r>
      <w:bookmarkStart w:id="2" w:name="_Hlk133745273"/>
      <w:r w:rsidRPr="009B4F0A">
        <w:rPr>
          <w:rFonts w:cstheme="minorHAnsi"/>
          <w:sz w:val="20"/>
          <w:szCs w:val="20"/>
        </w:rPr>
        <w:t>Bernadette Brady, Darrelyn Gunzburg, and Fabio Silva</w:t>
      </w:r>
      <w:r w:rsidRPr="00034B7F">
        <w:rPr>
          <w:rFonts w:cstheme="minorHAnsi"/>
          <w:sz w:val="20"/>
          <w:szCs w:val="20"/>
        </w:rPr>
        <w:t>, ‘The Orientation of Cistercian Churches In Wales: A Cultural Astronomy Case Study</w:t>
      </w:r>
      <w:proofErr w:type="gramStart"/>
      <w:r w:rsidRPr="00034B7F">
        <w:rPr>
          <w:rFonts w:cstheme="minorHAnsi"/>
          <w:sz w:val="20"/>
          <w:szCs w:val="20"/>
        </w:rPr>
        <w:t xml:space="preserve">’,  </w:t>
      </w:r>
      <w:r w:rsidRPr="00034B7F">
        <w:rPr>
          <w:rFonts w:cstheme="minorHAnsi"/>
          <w:i/>
          <w:iCs/>
          <w:sz w:val="20"/>
          <w:szCs w:val="20"/>
        </w:rPr>
        <w:t>Cîteaux</w:t>
      </w:r>
      <w:proofErr w:type="gramEnd"/>
      <w:r w:rsidRPr="00034B7F">
        <w:rPr>
          <w:rFonts w:cstheme="minorHAnsi"/>
          <w:i/>
          <w:iCs/>
          <w:sz w:val="20"/>
          <w:szCs w:val="20"/>
        </w:rPr>
        <w:t xml:space="preserve"> – Commentarii cistercienses</w:t>
      </w:r>
      <w:r w:rsidRPr="00034B7F">
        <w:rPr>
          <w:rFonts w:cstheme="minorHAnsi"/>
          <w:sz w:val="20"/>
          <w:szCs w:val="20"/>
        </w:rPr>
        <w:t xml:space="preserve"> 67 (2016), p. 275-302 and Brady, Bernadette, Darrelyn Gunzburg and Fabio Silva, ‘The Sun’s Light at Michaelmas And The Cistercians Of Britain And Ireland’, </w:t>
      </w:r>
      <w:r w:rsidRPr="00034B7F">
        <w:rPr>
          <w:rFonts w:cstheme="minorHAnsi"/>
          <w:i/>
          <w:iCs/>
          <w:sz w:val="20"/>
          <w:szCs w:val="20"/>
        </w:rPr>
        <w:t>Cîteaux – Commentarii cistercienses</w:t>
      </w:r>
      <w:r w:rsidRPr="00034B7F">
        <w:rPr>
          <w:rFonts w:cstheme="minorHAnsi"/>
          <w:sz w:val="20"/>
          <w:szCs w:val="20"/>
        </w:rPr>
        <w:t xml:space="preserve">, t. 72, fasc. 1-4 (2021) </w:t>
      </w:r>
      <w:bookmarkEnd w:id="2"/>
    </w:p>
  </w:footnote>
  <w:footnote w:id="12">
    <w:p w14:paraId="62869C4D" w14:textId="77777777" w:rsidR="00297498" w:rsidRPr="00034B7F" w:rsidRDefault="00297498" w:rsidP="00297498">
      <w:pPr>
        <w:spacing w:line="240" w:lineRule="auto"/>
        <w:rPr>
          <w:rFonts w:cstheme="minorHAnsi"/>
          <w:sz w:val="20"/>
          <w:szCs w:val="20"/>
        </w:rPr>
      </w:pPr>
      <w:r w:rsidRPr="00034B7F">
        <w:rPr>
          <w:rStyle w:val="FootnoteReference"/>
          <w:sz w:val="20"/>
          <w:szCs w:val="20"/>
        </w:rPr>
        <w:footnoteRef/>
      </w:r>
      <w:r w:rsidRPr="00034B7F">
        <w:rPr>
          <w:sz w:val="20"/>
          <w:szCs w:val="20"/>
        </w:rPr>
        <w:t xml:space="preserve"> </w:t>
      </w:r>
      <w:r w:rsidRPr="00034B7F">
        <w:rPr>
          <w:rFonts w:cstheme="minorHAnsi"/>
          <w:sz w:val="20"/>
          <w:szCs w:val="20"/>
        </w:rPr>
        <w:t xml:space="preserve">Bernadette and Brady, Bernadette, Darrelyn Gunzburg and Fabio Silva, ‘The Sun’s Light at Michaelmas </w:t>
      </w:r>
      <w:proofErr w:type="gramStart"/>
      <w:r w:rsidRPr="00034B7F">
        <w:rPr>
          <w:rFonts w:cstheme="minorHAnsi"/>
          <w:sz w:val="20"/>
          <w:szCs w:val="20"/>
        </w:rPr>
        <w:t>And</w:t>
      </w:r>
      <w:proofErr w:type="gramEnd"/>
      <w:r w:rsidRPr="00034B7F">
        <w:rPr>
          <w:rFonts w:cstheme="minorHAnsi"/>
          <w:sz w:val="20"/>
          <w:szCs w:val="20"/>
        </w:rPr>
        <w:t xml:space="preserve"> The Cistercians Of Britain And Ireland’, </w:t>
      </w:r>
      <w:r w:rsidRPr="00034B7F">
        <w:rPr>
          <w:rFonts w:cstheme="minorHAnsi"/>
          <w:i/>
          <w:iCs/>
          <w:sz w:val="20"/>
          <w:szCs w:val="20"/>
        </w:rPr>
        <w:t>Cîteaux – Commentarii cistercienses</w:t>
      </w:r>
      <w:r w:rsidRPr="00034B7F">
        <w:rPr>
          <w:rFonts w:cstheme="minorHAnsi"/>
          <w:sz w:val="20"/>
          <w:szCs w:val="20"/>
        </w:rPr>
        <w:t>, t. 72, fasc. 1-4 (2021), p. 64.</w:t>
      </w:r>
    </w:p>
  </w:footnote>
  <w:footnote w:id="13">
    <w:p w14:paraId="61272BC2" w14:textId="77777777" w:rsidR="00297498" w:rsidRPr="00034B7F" w:rsidRDefault="00297498" w:rsidP="00297498">
      <w:pPr>
        <w:pStyle w:val="FootnoteText"/>
      </w:pPr>
      <w:r w:rsidRPr="00034B7F">
        <w:rPr>
          <w:rStyle w:val="FootnoteReference"/>
        </w:rPr>
        <w:footnoteRef/>
      </w:r>
      <w:r w:rsidRPr="00034B7F">
        <w:t xml:space="preserve"> Caval, ‘Locating the Festival, Positioning the Feast’, </w:t>
      </w:r>
      <w:r w:rsidRPr="00034B7F">
        <w:rPr>
          <w:i/>
          <w:iCs/>
        </w:rPr>
        <w:t>World Archaeology</w:t>
      </w:r>
      <w:r w:rsidRPr="00034B7F">
        <w:t>, 50.2 (2018), p. 317.</w:t>
      </w:r>
    </w:p>
  </w:footnote>
  <w:footnote w:id="14">
    <w:p w14:paraId="36C69FFF" w14:textId="77777777" w:rsidR="00297498" w:rsidRDefault="00297498" w:rsidP="00297498">
      <w:pPr>
        <w:pStyle w:val="FootnoteText"/>
      </w:pPr>
      <w:r w:rsidRPr="00034B7F">
        <w:rPr>
          <w:rStyle w:val="FootnoteReference"/>
        </w:rPr>
        <w:footnoteRef/>
      </w:r>
      <w:r w:rsidRPr="00034B7F">
        <w:t xml:space="preserve"> Caval, ‘Locating the Festival, Positioning the Feast’, </w:t>
      </w:r>
      <w:r w:rsidRPr="00034B7F">
        <w:rPr>
          <w:i/>
          <w:iCs/>
        </w:rPr>
        <w:t>World Archaeology</w:t>
      </w:r>
      <w:r w:rsidRPr="00034B7F">
        <w:t>, 50.2 (2018), p. 318</w:t>
      </w:r>
      <w:r>
        <w:t xml:space="preserve">. </w:t>
      </w:r>
    </w:p>
  </w:footnote>
  <w:footnote w:id="15">
    <w:p w14:paraId="7CF4D066" w14:textId="7E78395F" w:rsidR="00297498" w:rsidRPr="00034B7F" w:rsidRDefault="00297498" w:rsidP="00297498">
      <w:pPr>
        <w:rPr>
          <w:rFonts w:cstheme="minorHAnsi"/>
          <w:sz w:val="20"/>
          <w:szCs w:val="20"/>
        </w:rPr>
      </w:pPr>
      <w:r w:rsidRPr="00034B7F">
        <w:rPr>
          <w:rStyle w:val="FootnoteReference"/>
          <w:sz w:val="20"/>
          <w:szCs w:val="20"/>
        </w:rPr>
        <w:footnoteRef/>
      </w:r>
      <w:r w:rsidRPr="00034B7F">
        <w:rPr>
          <w:sz w:val="20"/>
          <w:szCs w:val="20"/>
        </w:rPr>
        <w:t xml:space="preserve"> </w:t>
      </w:r>
      <w:r w:rsidRPr="00034B7F">
        <w:rPr>
          <w:rFonts w:cstheme="minorHAnsi"/>
          <w:sz w:val="20"/>
          <w:szCs w:val="20"/>
        </w:rPr>
        <w:t xml:space="preserve">Stephen C. </w:t>
      </w:r>
      <w:r w:rsidR="00314198" w:rsidRPr="00034B7F">
        <w:rPr>
          <w:rFonts w:cstheme="minorHAnsi"/>
          <w:sz w:val="20"/>
          <w:szCs w:val="20"/>
        </w:rPr>
        <w:t>McCluskey</w:t>
      </w:r>
      <w:r w:rsidRPr="00034B7F">
        <w:rPr>
          <w:rFonts w:cstheme="minorHAnsi"/>
          <w:sz w:val="20"/>
          <w:szCs w:val="20"/>
        </w:rPr>
        <w:t xml:space="preserve">, ‘Calendrical Cycles, the Eighth Day of the World, and the Orientation of English Churches’, in </w:t>
      </w:r>
      <w:r w:rsidRPr="00034B7F">
        <w:rPr>
          <w:rFonts w:cstheme="minorHAnsi"/>
          <w:i/>
          <w:iCs/>
          <w:sz w:val="20"/>
          <w:szCs w:val="20"/>
        </w:rPr>
        <w:t>Skywatching in the Ancient World</w:t>
      </w:r>
      <w:r w:rsidRPr="00034B7F">
        <w:rPr>
          <w:rFonts w:cstheme="minorHAnsi"/>
          <w:sz w:val="20"/>
          <w:szCs w:val="20"/>
        </w:rPr>
        <w:t xml:space="preserve"> (University Press of Colorado, 2010), p. 341.</w:t>
      </w:r>
    </w:p>
  </w:footnote>
  <w:footnote w:id="16">
    <w:p w14:paraId="56EBE64B" w14:textId="77777777" w:rsidR="00297498" w:rsidRPr="00034B7F" w:rsidRDefault="00297498" w:rsidP="00297498">
      <w:pPr>
        <w:pStyle w:val="FootnoteText"/>
        <w:rPr>
          <w:lang w:val="en-US"/>
        </w:rPr>
      </w:pPr>
      <w:r w:rsidRPr="00034B7F">
        <w:rPr>
          <w:rStyle w:val="FootnoteReference"/>
        </w:rPr>
        <w:footnoteRef/>
      </w:r>
      <w:r w:rsidRPr="00034B7F">
        <w:t xml:space="preserve"> </w:t>
      </w:r>
      <w:r w:rsidRPr="00034B7F">
        <w:rPr>
          <w:rFonts w:cstheme="minorHAnsi"/>
        </w:rPr>
        <w:t xml:space="preserve">Stephen C. </w:t>
      </w:r>
      <w:proofErr w:type="spellStart"/>
      <w:r w:rsidRPr="00034B7F">
        <w:rPr>
          <w:rFonts w:cstheme="minorHAnsi"/>
        </w:rPr>
        <w:t>Mccluskey</w:t>
      </w:r>
      <w:proofErr w:type="spellEnd"/>
      <w:r w:rsidRPr="00034B7F">
        <w:rPr>
          <w:rFonts w:cstheme="minorHAnsi"/>
        </w:rPr>
        <w:t xml:space="preserve">, ‘Calendrical Cycles, the Eighth Day of the World, and the Orientation of English Churches’, in Skywatching in the Ancient World (University Press of Colorado, 2010), p. 345. </w:t>
      </w:r>
    </w:p>
  </w:footnote>
  <w:footnote w:id="17">
    <w:p w14:paraId="32EEB439" w14:textId="77777777" w:rsidR="00297498" w:rsidRPr="00034B7F" w:rsidRDefault="00297498" w:rsidP="00297498">
      <w:pPr>
        <w:rPr>
          <w:sz w:val="20"/>
          <w:szCs w:val="20"/>
        </w:rPr>
      </w:pPr>
      <w:r w:rsidRPr="00034B7F">
        <w:rPr>
          <w:rStyle w:val="FootnoteReference"/>
          <w:sz w:val="20"/>
          <w:szCs w:val="20"/>
        </w:rPr>
        <w:footnoteRef/>
      </w:r>
      <w:r w:rsidRPr="00034B7F">
        <w:rPr>
          <w:sz w:val="20"/>
          <w:szCs w:val="20"/>
        </w:rPr>
        <w:t xml:space="preserve"> Clive </w:t>
      </w:r>
      <w:r w:rsidRPr="00034B7F">
        <w:rPr>
          <w:rFonts w:cstheme="minorHAnsi"/>
          <w:sz w:val="20"/>
          <w:szCs w:val="20"/>
          <w:shd w:val="clear" w:color="auto" w:fill="FCFCFC"/>
        </w:rPr>
        <w:t xml:space="preserve">Ruggles, Analyzing Orientations’ in Ruggles, C. (eds) </w:t>
      </w:r>
      <w:r w:rsidRPr="00034B7F">
        <w:rPr>
          <w:rFonts w:cstheme="minorHAnsi"/>
          <w:i/>
          <w:iCs/>
          <w:sz w:val="20"/>
          <w:szCs w:val="20"/>
          <w:shd w:val="clear" w:color="auto" w:fill="FCFCFC"/>
        </w:rPr>
        <w:t>Handbook of Archaeoastronomy and Ethnoastronomy, (</w:t>
      </w:r>
      <w:r w:rsidRPr="00034B7F">
        <w:rPr>
          <w:rFonts w:cstheme="minorHAnsi"/>
          <w:sz w:val="20"/>
          <w:szCs w:val="20"/>
          <w:shd w:val="clear" w:color="auto" w:fill="FCFCFC"/>
        </w:rPr>
        <w:t>Springer, New York, NY. 2015) p. 422.</w:t>
      </w:r>
    </w:p>
  </w:footnote>
  <w:footnote w:id="18">
    <w:p w14:paraId="0A84B48B" w14:textId="77777777" w:rsidR="00297498" w:rsidRPr="0093583F" w:rsidRDefault="00297498" w:rsidP="00297498">
      <w:pPr>
        <w:rPr>
          <w:lang w:val="en-US"/>
        </w:rPr>
      </w:pPr>
      <w:r w:rsidRPr="00034B7F">
        <w:rPr>
          <w:rStyle w:val="FootnoteReference"/>
          <w:sz w:val="20"/>
          <w:szCs w:val="20"/>
        </w:rPr>
        <w:footnoteRef/>
      </w:r>
      <w:r w:rsidRPr="00034B7F">
        <w:rPr>
          <w:sz w:val="20"/>
          <w:szCs w:val="20"/>
        </w:rPr>
        <w:t xml:space="preserve"> Anastasia Moskvina, </w:t>
      </w:r>
      <w:r w:rsidRPr="00034B7F">
        <w:rPr>
          <w:i/>
          <w:iCs/>
          <w:sz w:val="20"/>
          <w:szCs w:val="20"/>
        </w:rPr>
        <w:t xml:space="preserve">Alignment and Axiality in Anglo-Saxon Architecture: 6 </w:t>
      </w:r>
      <w:proofErr w:type="spellStart"/>
      <w:r w:rsidRPr="00034B7F">
        <w:rPr>
          <w:i/>
          <w:iCs/>
          <w:sz w:val="20"/>
          <w:szCs w:val="20"/>
        </w:rPr>
        <w:t>th</w:t>
      </w:r>
      <w:proofErr w:type="spellEnd"/>
      <w:r w:rsidRPr="00034B7F">
        <w:rPr>
          <w:i/>
          <w:iCs/>
          <w:sz w:val="20"/>
          <w:szCs w:val="20"/>
        </w:rPr>
        <w:t xml:space="preserve"> -11th Centuries</w:t>
      </w:r>
      <w:r w:rsidRPr="00034B7F">
        <w:rPr>
          <w:sz w:val="20"/>
          <w:szCs w:val="20"/>
        </w:rPr>
        <w:t>, (Unpublished PhD Thesis, University of East Anglia, 2020)</w:t>
      </w:r>
    </w:p>
  </w:footnote>
  <w:footnote w:id="19">
    <w:p w14:paraId="200EF710" w14:textId="0D57B849" w:rsidR="00297498" w:rsidRPr="005F6780" w:rsidRDefault="00297498" w:rsidP="00297498">
      <w:pPr>
        <w:spacing w:line="240" w:lineRule="auto"/>
        <w:rPr>
          <w:color w:val="FF0000"/>
          <w:sz w:val="20"/>
          <w:szCs w:val="20"/>
        </w:rPr>
      </w:pPr>
      <w:r w:rsidRPr="005F6780">
        <w:rPr>
          <w:rStyle w:val="FootnoteReference"/>
          <w:sz w:val="20"/>
          <w:szCs w:val="20"/>
        </w:rPr>
        <w:footnoteRef/>
      </w:r>
      <w:r w:rsidRPr="005F6780">
        <w:rPr>
          <w:sz w:val="20"/>
          <w:szCs w:val="20"/>
        </w:rPr>
        <w:t xml:space="preserve"> </w:t>
      </w:r>
      <w:r>
        <w:rPr>
          <w:sz w:val="20"/>
          <w:szCs w:val="20"/>
        </w:rPr>
        <w:t xml:space="preserve">George </w:t>
      </w:r>
      <w:bookmarkStart w:id="3" w:name="_Hlk133480039"/>
      <w:r w:rsidR="00314198" w:rsidRPr="00034B7F">
        <w:rPr>
          <w:rFonts w:cstheme="minorHAnsi"/>
          <w:sz w:val="20"/>
          <w:szCs w:val="20"/>
        </w:rPr>
        <w:t xml:space="preserve">Nash, </w:t>
      </w:r>
      <w:proofErr w:type="gramStart"/>
      <w:r w:rsidR="00314198" w:rsidRPr="00034B7F">
        <w:rPr>
          <w:rFonts w:cstheme="minorHAnsi"/>
          <w:sz w:val="20"/>
          <w:szCs w:val="20"/>
        </w:rPr>
        <w:t>Death</w:t>
      </w:r>
      <w:proofErr w:type="gramEnd"/>
      <w:r w:rsidRPr="00034B7F">
        <w:rPr>
          <w:rFonts w:cstheme="minorHAnsi"/>
          <w:i/>
          <w:iCs/>
          <w:sz w:val="20"/>
          <w:szCs w:val="20"/>
        </w:rPr>
        <w:t xml:space="preserve"> and Memorial in an Early Medieval Ecclesiastical Landscape in North-West England: An Appraisal of St Patrick’s Chapel and St Peter’s Church, Heysham, Lancashire.</w:t>
      </w:r>
      <w:r w:rsidRPr="00034B7F">
        <w:rPr>
          <w:rFonts w:cstheme="minorHAnsi"/>
          <w:sz w:val="20"/>
          <w:szCs w:val="20"/>
        </w:rPr>
        <w:t xml:space="preserve"> Spiru Haret University, Bucharest, </w:t>
      </w:r>
      <w:proofErr w:type="gramStart"/>
      <w:r w:rsidRPr="00034B7F">
        <w:rPr>
          <w:rFonts w:cstheme="minorHAnsi"/>
          <w:sz w:val="20"/>
          <w:szCs w:val="20"/>
        </w:rPr>
        <w:t>Romania</w:t>
      </w:r>
      <w:proofErr w:type="gramEnd"/>
      <w:r w:rsidRPr="00034B7F">
        <w:rPr>
          <w:rFonts w:cstheme="minorHAnsi"/>
          <w:sz w:val="20"/>
          <w:szCs w:val="20"/>
        </w:rPr>
        <w:t xml:space="preserve"> and the Museum of Prehistoric Art, Mação, </w:t>
      </w:r>
      <w:r w:rsidR="00314198" w:rsidRPr="00034B7F">
        <w:rPr>
          <w:rFonts w:cstheme="minorHAnsi"/>
          <w:sz w:val="20"/>
          <w:szCs w:val="20"/>
        </w:rPr>
        <w:t>Portugal (</w:t>
      </w:r>
      <w:r w:rsidRPr="00034B7F">
        <w:rPr>
          <w:rFonts w:cstheme="minorHAnsi"/>
          <w:sz w:val="20"/>
          <w:szCs w:val="20"/>
        </w:rPr>
        <w:t xml:space="preserve">2015)., </w:t>
      </w:r>
      <w:r w:rsidR="00314198" w:rsidRPr="00034B7F">
        <w:rPr>
          <w:rFonts w:cstheme="minorHAnsi"/>
          <w:sz w:val="20"/>
          <w:szCs w:val="20"/>
        </w:rPr>
        <w:t>ResearchGate, accessed</w:t>
      </w:r>
      <w:r w:rsidRPr="00034B7F">
        <w:rPr>
          <w:rFonts w:cstheme="minorHAnsi"/>
          <w:sz w:val="20"/>
          <w:szCs w:val="20"/>
        </w:rPr>
        <w:t xml:space="preserve"> April 2024. P. 306</w:t>
      </w:r>
      <w:bookmarkEnd w:id="3"/>
    </w:p>
  </w:footnote>
  <w:footnote w:id="20">
    <w:p w14:paraId="7928EDFC" w14:textId="4E30427E" w:rsidR="00297498" w:rsidRPr="00034B7F" w:rsidRDefault="00297498" w:rsidP="00297498">
      <w:pPr>
        <w:spacing w:line="240" w:lineRule="auto"/>
        <w:rPr>
          <w:rFonts w:cstheme="minorHAnsi"/>
          <w:sz w:val="24"/>
          <w:szCs w:val="24"/>
        </w:rPr>
      </w:pPr>
      <w:r w:rsidRPr="00034B7F">
        <w:rPr>
          <w:rStyle w:val="FootnoteReference"/>
          <w:sz w:val="20"/>
          <w:szCs w:val="20"/>
        </w:rPr>
        <w:footnoteRef/>
      </w:r>
      <w:r w:rsidRPr="00034B7F">
        <w:rPr>
          <w:sz w:val="20"/>
          <w:szCs w:val="20"/>
        </w:rPr>
        <w:t xml:space="preserve"> </w:t>
      </w:r>
      <w:r w:rsidRPr="00034B7F">
        <w:rPr>
          <w:rFonts w:cstheme="minorHAnsi"/>
          <w:sz w:val="20"/>
          <w:szCs w:val="20"/>
        </w:rPr>
        <w:t xml:space="preserve">Nash, </w:t>
      </w:r>
      <w:proofErr w:type="gramStart"/>
      <w:r w:rsidRPr="00034B7F">
        <w:rPr>
          <w:rFonts w:cstheme="minorHAnsi"/>
          <w:i/>
          <w:iCs/>
          <w:sz w:val="20"/>
          <w:szCs w:val="20"/>
        </w:rPr>
        <w:t>Death</w:t>
      </w:r>
      <w:proofErr w:type="gramEnd"/>
      <w:r w:rsidRPr="00034B7F">
        <w:rPr>
          <w:rFonts w:cstheme="minorHAnsi"/>
          <w:i/>
          <w:iCs/>
          <w:sz w:val="20"/>
          <w:szCs w:val="20"/>
        </w:rPr>
        <w:t xml:space="preserve"> and Memorial in an Early Medieval Ecclesiastical Landscape in North-West England.</w:t>
      </w:r>
      <w:r w:rsidRPr="00034B7F">
        <w:rPr>
          <w:rFonts w:cstheme="minorHAnsi"/>
          <w:sz w:val="20"/>
          <w:szCs w:val="20"/>
        </w:rPr>
        <w:t xml:space="preserve"> Spiru Haret University, Bucharest, Romania and the Museum of Prehistoric Art, Mação, </w:t>
      </w:r>
      <w:r w:rsidR="00314198" w:rsidRPr="00034B7F">
        <w:rPr>
          <w:rFonts w:cstheme="minorHAnsi"/>
          <w:sz w:val="20"/>
          <w:szCs w:val="20"/>
        </w:rPr>
        <w:t>Portugal (</w:t>
      </w:r>
      <w:r w:rsidRPr="00034B7F">
        <w:rPr>
          <w:rFonts w:cstheme="minorHAnsi"/>
          <w:sz w:val="20"/>
          <w:szCs w:val="20"/>
        </w:rPr>
        <w:t xml:space="preserve">2015)., </w:t>
      </w:r>
      <w:proofErr w:type="gramStart"/>
      <w:r w:rsidR="00314198" w:rsidRPr="00034B7F">
        <w:rPr>
          <w:rFonts w:cstheme="minorHAnsi"/>
          <w:sz w:val="20"/>
          <w:szCs w:val="20"/>
        </w:rPr>
        <w:t>ResearchGate</w:t>
      </w:r>
      <w:r w:rsidRPr="00034B7F">
        <w:rPr>
          <w:rFonts w:cstheme="minorHAnsi"/>
          <w:sz w:val="20"/>
          <w:szCs w:val="20"/>
        </w:rPr>
        <w:t xml:space="preserve"> ,accessed</w:t>
      </w:r>
      <w:proofErr w:type="gramEnd"/>
      <w:r w:rsidRPr="00034B7F">
        <w:rPr>
          <w:rFonts w:cstheme="minorHAnsi"/>
          <w:sz w:val="20"/>
          <w:szCs w:val="20"/>
        </w:rPr>
        <w:t xml:space="preserve"> April 2024.</w:t>
      </w:r>
    </w:p>
  </w:footnote>
  <w:footnote w:id="21">
    <w:p w14:paraId="323EE032" w14:textId="25C1FE6A" w:rsidR="00297498" w:rsidRDefault="00297498" w:rsidP="00297498">
      <w:pPr>
        <w:pStyle w:val="FootnoteText"/>
      </w:pPr>
      <w:r>
        <w:rPr>
          <w:rStyle w:val="FootnoteReference"/>
        </w:rPr>
        <w:footnoteRef/>
      </w:r>
      <w:r>
        <w:t xml:space="preserve"> I requested a copy of this report from the authors via </w:t>
      </w:r>
      <w:r w:rsidR="00AF3A69">
        <w:t>ResearchGate</w:t>
      </w:r>
      <w:r>
        <w:t xml:space="preserve"> but at the time of writing this essay, I had not received a reply to my requests.</w:t>
      </w:r>
    </w:p>
  </w:footnote>
  <w:footnote w:id="22">
    <w:p w14:paraId="312BBD8D" w14:textId="77777777" w:rsidR="00297498" w:rsidRPr="00EE2B80" w:rsidRDefault="00297498" w:rsidP="00297498">
      <w:pPr>
        <w:spacing w:line="240" w:lineRule="auto"/>
        <w:rPr>
          <w:sz w:val="20"/>
          <w:szCs w:val="20"/>
        </w:rPr>
      </w:pPr>
      <w:r>
        <w:rPr>
          <w:rStyle w:val="FootnoteReference"/>
        </w:rPr>
        <w:footnoteRef/>
      </w:r>
      <w:r>
        <w:t xml:space="preserve"> </w:t>
      </w:r>
      <w:r w:rsidRPr="00EE2B80">
        <w:rPr>
          <w:sz w:val="20"/>
          <w:szCs w:val="20"/>
        </w:rPr>
        <w:t xml:space="preserve">Alan Nowell, ‘Gilgamesh, Kells and Heysham’, </w:t>
      </w:r>
      <w:r w:rsidRPr="00EE2B80">
        <w:rPr>
          <w:i/>
          <w:iCs/>
          <w:sz w:val="20"/>
          <w:szCs w:val="20"/>
        </w:rPr>
        <w:t xml:space="preserve">Archaeology </w:t>
      </w:r>
      <w:proofErr w:type="gramStart"/>
      <w:r w:rsidRPr="00EE2B80">
        <w:rPr>
          <w:i/>
          <w:iCs/>
          <w:sz w:val="20"/>
          <w:szCs w:val="20"/>
        </w:rPr>
        <w:t>Ireland</w:t>
      </w:r>
      <w:r w:rsidRPr="00EE2B80">
        <w:rPr>
          <w:sz w:val="20"/>
          <w:szCs w:val="20"/>
        </w:rPr>
        <w:t xml:space="preserve"> ,</w:t>
      </w:r>
      <w:proofErr w:type="gramEnd"/>
      <w:r w:rsidRPr="00EE2B80">
        <w:rPr>
          <w:sz w:val="20"/>
          <w:szCs w:val="20"/>
        </w:rPr>
        <w:t xml:space="preserve"> Summer 2014, Vol. 28, No. 2 (Summer 2014), pp. 35-39 Published by: Wordwell Ltd. Stable URL: </w:t>
      </w:r>
      <w:hyperlink r:id="rId1" w:history="1">
        <w:r w:rsidRPr="00EE2B80">
          <w:rPr>
            <w:rStyle w:val="Hyperlink"/>
            <w:sz w:val="20"/>
            <w:szCs w:val="20"/>
          </w:rPr>
          <w:t>https://www.jstor.org/stable/23771308</w:t>
        </w:r>
      </w:hyperlink>
      <w:r w:rsidRPr="00EE2B80">
        <w:rPr>
          <w:sz w:val="20"/>
          <w:szCs w:val="20"/>
        </w:rPr>
        <w:t>, p. 38</w:t>
      </w:r>
    </w:p>
  </w:footnote>
  <w:footnote w:id="23">
    <w:p w14:paraId="76138676" w14:textId="77777777" w:rsidR="00297498" w:rsidRPr="00EE2B80" w:rsidRDefault="00297498" w:rsidP="00297498">
      <w:pPr>
        <w:spacing w:line="240" w:lineRule="auto"/>
        <w:rPr>
          <w:rFonts w:cstheme="minorHAnsi"/>
          <w:sz w:val="20"/>
          <w:szCs w:val="20"/>
        </w:rPr>
      </w:pPr>
      <w:r w:rsidRPr="00EE2B80">
        <w:rPr>
          <w:rStyle w:val="FootnoteReference"/>
          <w:sz w:val="20"/>
          <w:szCs w:val="20"/>
        </w:rPr>
        <w:footnoteRef/>
      </w:r>
      <w:r w:rsidRPr="00EE2B80">
        <w:rPr>
          <w:rFonts w:cstheme="minorHAnsi"/>
          <w:sz w:val="20"/>
          <w:szCs w:val="20"/>
        </w:rPr>
        <w:t xml:space="preserve">Anastasia Moskvina, </w:t>
      </w:r>
      <w:r w:rsidRPr="00EE2B80">
        <w:rPr>
          <w:rFonts w:cstheme="minorHAnsi"/>
          <w:i/>
          <w:iCs/>
          <w:sz w:val="20"/>
          <w:szCs w:val="20"/>
        </w:rPr>
        <w:t xml:space="preserve">Alignment and Axiality in Anglo-Saxon Architecture: 6 </w:t>
      </w:r>
      <w:proofErr w:type="spellStart"/>
      <w:r w:rsidRPr="00EE2B80">
        <w:rPr>
          <w:rFonts w:cstheme="minorHAnsi"/>
          <w:i/>
          <w:iCs/>
          <w:sz w:val="20"/>
          <w:szCs w:val="20"/>
        </w:rPr>
        <w:t>th</w:t>
      </w:r>
      <w:proofErr w:type="spellEnd"/>
      <w:r w:rsidRPr="00EE2B80">
        <w:rPr>
          <w:rFonts w:cstheme="minorHAnsi"/>
          <w:i/>
          <w:iCs/>
          <w:sz w:val="20"/>
          <w:szCs w:val="20"/>
        </w:rPr>
        <w:t xml:space="preserve"> -11th Centuries </w:t>
      </w:r>
      <w:r w:rsidRPr="00EE2B80">
        <w:rPr>
          <w:rFonts w:cstheme="minorHAnsi"/>
          <w:sz w:val="20"/>
          <w:szCs w:val="20"/>
        </w:rPr>
        <w:t>(Unpublished PhD Thesis, University of East Anglia, 2020), p. 231.</w:t>
      </w:r>
    </w:p>
  </w:footnote>
  <w:footnote w:id="24">
    <w:p w14:paraId="661A5E91" w14:textId="77777777" w:rsidR="00297498" w:rsidRPr="00EE2B80" w:rsidRDefault="00297498" w:rsidP="00297498">
      <w:pPr>
        <w:spacing w:line="240" w:lineRule="auto"/>
        <w:rPr>
          <w:sz w:val="20"/>
          <w:szCs w:val="20"/>
        </w:rPr>
      </w:pPr>
      <w:r w:rsidRPr="00EE2B80">
        <w:rPr>
          <w:rStyle w:val="FootnoteReference"/>
          <w:sz w:val="20"/>
          <w:szCs w:val="20"/>
        </w:rPr>
        <w:footnoteRef/>
      </w:r>
      <w:r w:rsidRPr="00EE2B80">
        <w:rPr>
          <w:sz w:val="20"/>
          <w:szCs w:val="20"/>
        </w:rPr>
        <w:t xml:space="preserve"> </w:t>
      </w:r>
      <w:r w:rsidRPr="00EE2B80">
        <w:rPr>
          <w:rFonts w:cstheme="minorHAnsi"/>
          <w:kern w:val="0"/>
          <w:sz w:val="20"/>
          <w:szCs w:val="20"/>
          <w14:ligatures w14:val="none"/>
        </w:rPr>
        <w:t xml:space="preserve">Moskvina, </w:t>
      </w:r>
      <w:r w:rsidRPr="00EE2B80">
        <w:rPr>
          <w:rFonts w:cstheme="minorHAnsi"/>
          <w:i/>
          <w:iCs/>
          <w:kern w:val="0"/>
          <w:sz w:val="20"/>
          <w:szCs w:val="20"/>
          <w14:ligatures w14:val="none"/>
        </w:rPr>
        <w:t xml:space="preserve">Alignment and Axiality in Anglo-Saxon Architecture </w:t>
      </w:r>
      <w:r w:rsidRPr="00EE2B80">
        <w:rPr>
          <w:rFonts w:cstheme="minorHAnsi"/>
          <w:kern w:val="0"/>
          <w:sz w:val="20"/>
          <w:szCs w:val="20"/>
          <w14:ligatures w14:val="none"/>
        </w:rPr>
        <w:t xml:space="preserve">(Unpublished PhD Thesis, University of East Anglia, 2020), p. 233. </w:t>
      </w:r>
    </w:p>
  </w:footnote>
  <w:footnote w:id="25">
    <w:p w14:paraId="1CAACAB4" w14:textId="77777777" w:rsidR="00297498" w:rsidRPr="00EE2B80" w:rsidRDefault="00297498" w:rsidP="00297498">
      <w:pPr>
        <w:pStyle w:val="FootnoteText"/>
      </w:pPr>
      <w:r w:rsidRPr="00EE2B80">
        <w:rPr>
          <w:rStyle w:val="FootnoteReference"/>
        </w:rPr>
        <w:footnoteRef/>
      </w:r>
      <w:r w:rsidRPr="00EE2B80">
        <w:t>William Farrer and J Brownbill, “</w:t>
      </w:r>
      <w:r w:rsidRPr="00EE2B80">
        <w:rPr>
          <w:rFonts w:cstheme="minorHAnsi"/>
          <w:shd w:val="clear" w:color="auto" w:fill="FFFFFF"/>
        </w:rPr>
        <w:t>The parish of Heysham," in </w:t>
      </w:r>
      <w:r w:rsidRPr="00EE2B80">
        <w:rPr>
          <w:rStyle w:val="Emphasis"/>
          <w:rFonts w:cstheme="minorHAnsi"/>
          <w:shd w:val="clear" w:color="auto" w:fill="FFFFFF"/>
        </w:rPr>
        <w:t>A History of the County of Lancaster: Volume 8</w:t>
      </w:r>
      <w:r w:rsidRPr="00EE2B80">
        <w:rPr>
          <w:rFonts w:cstheme="minorHAnsi"/>
          <w:shd w:val="clear" w:color="auto" w:fill="FFFFFF"/>
        </w:rPr>
        <w:t>, ed. William Farrer and J Brownbill, (London: Victoria County History, 1914), 109-118. </w:t>
      </w:r>
      <w:r w:rsidRPr="00EE2B80">
        <w:rPr>
          <w:rStyle w:val="Emphasis"/>
          <w:rFonts w:cstheme="minorHAnsi"/>
          <w:shd w:val="clear" w:color="auto" w:fill="FFFFFF"/>
        </w:rPr>
        <w:t>British History Online</w:t>
      </w:r>
      <w:r w:rsidRPr="00EE2B80">
        <w:rPr>
          <w:rFonts w:cstheme="minorHAnsi"/>
          <w:shd w:val="clear" w:color="auto" w:fill="FFFFFF"/>
        </w:rPr>
        <w:t>, accessed April 27, 2023, http://www.british-history.ac.uk/vch/lancs/vol8/pp109-118</w:t>
      </w:r>
    </w:p>
  </w:footnote>
  <w:footnote w:id="26">
    <w:p w14:paraId="5F2F0FB0" w14:textId="77777777" w:rsidR="00297498" w:rsidRDefault="00297498" w:rsidP="00297498">
      <w:pPr>
        <w:pStyle w:val="FootnoteText"/>
      </w:pPr>
      <w:r w:rsidRPr="00EE2B80">
        <w:rPr>
          <w:rStyle w:val="FootnoteReference"/>
        </w:rPr>
        <w:footnoteRef/>
      </w:r>
      <w:r w:rsidRPr="00EE2B80">
        <w:t xml:space="preserve"> </w:t>
      </w:r>
      <w:r w:rsidRPr="00EE2B80">
        <w:rPr>
          <w:rFonts w:cstheme="minorHAnsi"/>
          <w:kern w:val="0"/>
          <w14:ligatures w14:val="none"/>
        </w:rPr>
        <w:t xml:space="preserve">Moskvina, </w:t>
      </w:r>
      <w:r w:rsidRPr="00EE2B80">
        <w:rPr>
          <w:rFonts w:cstheme="minorHAnsi"/>
          <w:i/>
          <w:iCs/>
          <w:kern w:val="0"/>
          <w14:ligatures w14:val="none"/>
        </w:rPr>
        <w:t xml:space="preserve">Alignment and Axiality in Anglo-Saxon Architecture </w:t>
      </w:r>
      <w:r w:rsidRPr="00EE2B80">
        <w:rPr>
          <w:rFonts w:cstheme="minorHAnsi"/>
          <w:kern w:val="0"/>
          <w14:ligatures w14:val="none"/>
        </w:rPr>
        <w:t>(Unpublished PhD Thesis, University of East Anglia, 2020), p. 233.</w:t>
      </w:r>
    </w:p>
  </w:footnote>
  <w:footnote w:id="27">
    <w:p w14:paraId="2B79CAE6" w14:textId="77777777" w:rsidR="00297498" w:rsidRPr="006247CC" w:rsidRDefault="00297498" w:rsidP="00297498">
      <w:pPr>
        <w:spacing w:line="240" w:lineRule="auto"/>
        <w:rPr>
          <w:lang w:val="en-US"/>
        </w:rPr>
      </w:pPr>
      <w:r>
        <w:rPr>
          <w:rStyle w:val="FootnoteReference"/>
        </w:rPr>
        <w:footnoteRef/>
      </w:r>
      <w:r>
        <w:t xml:space="preserve"> </w:t>
      </w:r>
      <w:r w:rsidRPr="00EE2B80">
        <w:rPr>
          <w:rFonts w:cstheme="minorHAnsi"/>
          <w:sz w:val="20"/>
          <w:szCs w:val="20"/>
        </w:rPr>
        <w:t>F</w:t>
      </w:r>
      <w:r>
        <w:rPr>
          <w:rFonts w:cstheme="minorHAnsi"/>
          <w:sz w:val="20"/>
          <w:szCs w:val="20"/>
        </w:rPr>
        <w:t>.</w:t>
      </w:r>
      <w:r w:rsidRPr="00EE2B80">
        <w:rPr>
          <w:rFonts w:cstheme="minorHAnsi"/>
          <w:sz w:val="20"/>
          <w:szCs w:val="20"/>
        </w:rPr>
        <w:t xml:space="preserve"> Prendergast, ‘Techniques of Field Survey’ in Ruggles, C. (eds) </w:t>
      </w:r>
      <w:r w:rsidRPr="00EE2B80">
        <w:rPr>
          <w:rFonts w:cstheme="minorHAnsi"/>
          <w:i/>
          <w:iCs/>
          <w:sz w:val="20"/>
          <w:szCs w:val="20"/>
        </w:rPr>
        <w:t>Handbook of Archaeoastronomy and Ethnoastronomy</w:t>
      </w:r>
      <w:r w:rsidRPr="00EE2B80">
        <w:rPr>
          <w:rFonts w:cstheme="minorHAnsi"/>
          <w:sz w:val="20"/>
          <w:szCs w:val="20"/>
        </w:rPr>
        <w:t>. (Springer, New York, NY. 2015), p. 392.</w:t>
      </w:r>
    </w:p>
  </w:footnote>
  <w:footnote w:id="28">
    <w:p w14:paraId="7A69ABF9" w14:textId="77777777" w:rsidR="00297498" w:rsidRPr="006247CC" w:rsidRDefault="00297498" w:rsidP="00297498">
      <w:pPr>
        <w:pStyle w:val="FootnoteText"/>
        <w:rPr>
          <w:lang w:val="en-US"/>
        </w:rPr>
      </w:pPr>
      <w:r>
        <w:rPr>
          <w:rStyle w:val="FootnoteReference"/>
        </w:rPr>
        <w:footnoteRef/>
      </w:r>
      <w:r>
        <w:t xml:space="preserve"> http:// </w:t>
      </w:r>
      <w:hyperlink r:id="rId2" w:anchor="declination" w:history="1">
        <w:r w:rsidRPr="001F0953">
          <w:rPr>
            <w:rStyle w:val="Hyperlink"/>
          </w:rPr>
          <w:t>www.ngdc.noaa.gov/geomag-web/#declination</w:t>
        </w:r>
      </w:hyperlink>
      <w:r>
        <w:t xml:space="preserve"> </w:t>
      </w:r>
    </w:p>
  </w:footnote>
  <w:footnote w:id="29">
    <w:p w14:paraId="42F7682B" w14:textId="77777777" w:rsidR="00297498" w:rsidRPr="00CF59B0" w:rsidRDefault="00297498" w:rsidP="00297498">
      <w:pPr>
        <w:pStyle w:val="FootnoteText"/>
        <w:rPr>
          <w:lang w:val="en-US"/>
        </w:rPr>
      </w:pPr>
      <w:r>
        <w:rPr>
          <w:rStyle w:val="FootnoteReference"/>
        </w:rPr>
        <w:footnoteRef/>
      </w:r>
      <w:r>
        <w:t xml:space="preserve"> </w:t>
      </w:r>
      <w:bookmarkStart w:id="4" w:name="_Hlk133741071"/>
      <w:r>
        <w:rPr>
          <w:lang w:val="en-US"/>
        </w:rPr>
        <w:t>Ordnance Survey Explorer Map 296, ‘Lancaster, Morecambe and Fleetwood’ (Ordnance Survey Ltd, 2017).</w:t>
      </w:r>
      <w:bookmarkEnd w:id="4"/>
    </w:p>
  </w:footnote>
  <w:footnote w:id="30">
    <w:p w14:paraId="28640513" w14:textId="51DE276B" w:rsidR="00297498" w:rsidRPr="00A54275" w:rsidRDefault="00297498" w:rsidP="00297498">
      <w:pPr>
        <w:pStyle w:val="FootnoteText"/>
        <w:rPr>
          <w:lang w:val="en-US"/>
        </w:rPr>
      </w:pPr>
      <w:r>
        <w:rPr>
          <w:rStyle w:val="FootnoteReference"/>
        </w:rPr>
        <w:footnoteRef/>
      </w:r>
      <w:r>
        <w:t xml:space="preserve"> </w:t>
      </w:r>
      <w:r>
        <w:rPr>
          <w:lang w:val="en-US"/>
        </w:rPr>
        <w:t>This table</w:t>
      </w:r>
      <w:r w:rsidR="00954118">
        <w:rPr>
          <w:lang w:val="en-US"/>
        </w:rPr>
        <w:t>, created by Fabio Silva,</w:t>
      </w:r>
      <w:r>
        <w:rPr>
          <w:lang w:val="en-US"/>
        </w:rPr>
        <w:t xml:space="preserve"> was provided to students on University of Wales, Trinity St David’s MA in Ecology and Spirituality, Sacred Skies module. </w:t>
      </w:r>
    </w:p>
  </w:footnote>
  <w:footnote w:id="31">
    <w:p w14:paraId="2023805F" w14:textId="77777777" w:rsidR="00297498" w:rsidRPr="00A54275" w:rsidRDefault="00297498" w:rsidP="00297498">
      <w:pPr>
        <w:rPr>
          <w:lang w:val="en-US"/>
        </w:rPr>
      </w:pPr>
      <w:r>
        <w:rPr>
          <w:rStyle w:val="FootnoteReference"/>
        </w:rPr>
        <w:footnoteRef/>
      </w:r>
      <w:r>
        <w:t xml:space="preserve"> </w:t>
      </w:r>
      <w:hyperlink r:id="rId3" w:history="1">
        <w:r>
          <w:rPr>
            <w:rStyle w:val="Hyperlink"/>
          </w:rPr>
          <w:t>Converting between Julian and Gregorian Calendar in One Step (stevemorse.org)</w:t>
        </w:r>
      </w:hyperlink>
    </w:p>
  </w:footnote>
  <w:footnote w:id="32">
    <w:p w14:paraId="0D008785" w14:textId="77777777" w:rsidR="00297498" w:rsidRPr="00B121C4" w:rsidRDefault="00297498" w:rsidP="00297498">
      <w:pPr>
        <w:pStyle w:val="FootnoteText"/>
        <w:rPr>
          <w:sz w:val="18"/>
          <w:szCs w:val="18"/>
          <w:lang w:val="en-US"/>
        </w:rPr>
      </w:pPr>
      <w:r>
        <w:rPr>
          <w:rStyle w:val="FootnoteReference"/>
        </w:rPr>
        <w:footnoteRef/>
      </w:r>
      <w:r>
        <w:t xml:space="preserve"> </w:t>
      </w:r>
      <w:r w:rsidRPr="00B121C4">
        <w:rPr>
          <w:rStyle w:val="Emphasis"/>
          <w:rFonts w:cstheme="minorHAnsi"/>
        </w:rPr>
        <w:t>Fabio Silva</w:t>
      </w:r>
      <w:r w:rsidRPr="00B121C4">
        <w:rPr>
          <w:rFonts w:cstheme="minorHAnsi"/>
        </w:rPr>
        <w:t>’s</w:t>
      </w:r>
      <w:r w:rsidRPr="00B121C4">
        <w:rPr>
          <w:rFonts w:cstheme="minorHAnsi"/>
          <w:b/>
          <w:bCs/>
        </w:rPr>
        <w:t xml:space="preserve"> ‘</w:t>
      </w:r>
      <w:r w:rsidRPr="00B121C4">
        <w:rPr>
          <w:rFonts w:cstheme="minorHAnsi"/>
        </w:rPr>
        <w:t>Change in Solar Declination through the year’</w:t>
      </w:r>
      <w:r w:rsidRPr="00B121C4">
        <w:rPr>
          <w:rStyle w:val="FootnoteReference"/>
          <w:rFonts w:cstheme="minorHAnsi"/>
        </w:rPr>
        <w:footnoteRef/>
      </w:r>
      <w:r w:rsidRPr="00B121C4">
        <w:rPr>
          <w:rFonts w:cstheme="minorHAnsi"/>
          <w:i/>
          <w:iCs/>
        </w:rPr>
        <w:t xml:space="preserve"> </w:t>
      </w:r>
      <w:r w:rsidRPr="00B121C4">
        <w:rPr>
          <w:rFonts w:cstheme="minorHAnsi"/>
        </w:rPr>
        <w:t>Reference Tables for Skyscape Archaeology</w:t>
      </w:r>
      <w:r w:rsidRPr="00B121C4">
        <w:rPr>
          <w:rFonts w:cstheme="minorHAnsi"/>
          <w:i/>
          <w:iCs/>
        </w:rPr>
        <w:t xml:space="preserve">, </w:t>
      </w:r>
      <w:r w:rsidRPr="00B121C4">
        <w:rPr>
          <w:rStyle w:val="Emphasis"/>
          <w:rFonts w:cstheme="minorHAnsi"/>
        </w:rPr>
        <w:t>22/01/2019, provided by University of Wales, Trinity St David.</w:t>
      </w:r>
    </w:p>
  </w:footnote>
  <w:footnote w:id="33">
    <w:p w14:paraId="685BA5F9" w14:textId="77777777" w:rsidR="00297498" w:rsidRPr="00842E23" w:rsidRDefault="00297498" w:rsidP="00297498">
      <w:pPr>
        <w:spacing w:line="240" w:lineRule="auto"/>
        <w:rPr>
          <w:rFonts w:cstheme="minorHAnsi"/>
          <w:kern w:val="0"/>
          <w14:ligatures w14:val="none"/>
        </w:rPr>
      </w:pPr>
      <w:r w:rsidRPr="00B121C4">
        <w:rPr>
          <w:rStyle w:val="FootnoteReference"/>
          <w:sz w:val="20"/>
          <w:szCs w:val="20"/>
        </w:rPr>
        <w:footnoteRef/>
      </w:r>
      <w:r w:rsidRPr="00B121C4">
        <w:rPr>
          <w:sz w:val="20"/>
          <w:szCs w:val="20"/>
        </w:rPr>
        <w:t xml:space="preserve"> </w:t>
      </w:r>
      <w:r w:rsidRPr="009B4F0A">
        <w:rPr>
          <w:rFonts w:cstheme="minorHAnsi"/>
          <w:sz w:val="20"/>
          <w:szCs w:val="20"/>
        </w:rPr>
        <w:t>Bernadette Brady, Darrelyn Gunzburg, and Fabio Silva</w:t>
      </w:r>
      <w:r w:rsidRPr="00034B7F">
        <w:rPr>
          <w:rFonts w:cstheme="minorHAnsi"/>
          <w:sz w:val="20"/>
          <w:szCs w:val="20"/>
        </w:rPr>
        <w:t xml:space="preserve">, ‘The Orientation of </w:t>
      </w:r>
      <w:r w:rsidRPr="00EE2B80">
        <w:rPr>
          <w:rFonts w:cstheme="minorHAnsi"/>
          <w:sz w:val="20"/>
          <w:szCs w:val="20"/>
        </w:rPr>
        <w:t>Cistercian Churches In Wales: A Cultural Astronomy Case Study</w:t>
      </w:r>
      <w:proofErr w:type="gramStart"/>
      <w:r w:rsidRPr="00EE2B80">
        <w:rPr>
          <w:rFonts w:cstheme="minorHAnsi"/>
          <w:sz w:val="20"/>
          <w:szCs w:val="20"/>
        </w:rPr>
        <w:t xml:space="preserve">’,  </w:t>
      </w:r>
      <w:r w:rsidRPr="00EE2B80">
        <w:rPr>
          <w:rFonts w:cstheme="minorHAnsi"/>
          <w:i/>
          <w:iCs/>
          <w:sz w:val="20"/>
          <w:szCs w:val="20"/>
        </w:rPr>
        <w:t>Cîteaux</w:t>
      </w:r>
      <w:proofErr w:type="gramEnd"/>
      <w:r w:rsidRPr="00EE2B80">
        <w:rPr>
          <w:rFonts w:cstheme="minorHAnsi"/>
          <w:i/>
          <w:iCs/>
          <w:sz w:val="20"/>
          <w:szCs w:val="20"/>
        </w:rPr>
        <w:t xml:space="preserve"> – Commentarii cistercienses</w:t>
      </w:r>
      <w:r w:rsidRPr="00EE2B80">
        <w:rPr>
          <w:rFonts w:cstheme="minorHAnsi"/>
          <w:sz w:val="20"/>
          <w:szCs w:val="20"/>
        </w:rPr>
        <w:t xml:space="preserve"> 67 (2016), </w:t>
      </w:r>
      <w:r w:rsidRPr="00EE2B80">
        <w:rPr>
          <w:rFonts w:cstheme="minorHAnsi"/>
          <w:kern w:val="0"/>
          <w:sz w:val="20"/>
          <w:szCs w:val="20"/>
          <w14:ligatures w14:val="none"/>
        </w:rPr>
        <w:t xml:space="preserve"> p. 283. </w:t>
      </w:r>
    </w:p>
  </w:footnote>
  <w:footnote w:id="34">
    <w:p w14:paraId="1EFB2530" w14:textId="77777777" w:rsidR="00297498" w:rsidRPr="00842E23" w:rsidRDefault="00297498" w:rsidP="00297498">
      <w:pPr>
        <w:spacing w:line="240" w:lineRule="auto"/>
        <w:rPr>
          <w:lang w:val="en-US"/>
        </w:rPr>
      </w:pPr>
      <w:r>
        <w:rPr>
          <w:rStyle w:val="FootnoteReference"/>
        </w:rPr>
        <w:footnoteRef/>
      </w:r>
      <w:r>
        <w:t xml:space="preserve"> </w:t>
      </w:r>
      <w:r w:rsidRPr="00B121C4">
        <w:rPr>
          <w:sz w:val="20"/>
          <w:szCs w:val="20"/>
          <w:lang w:val="en-US"/>
        </w:rPr>
        <w:t>Such as</w:t>
      </w:r>
      <w:r>
        <w:rPr>
          <w:lang w:val="en-US"/>
        </w:rPr>
        <w:t xml:space="preserve">, </w:t>
      </w:r>
      <w:bookmarkStart w:id="6" w:name="_Hlk133589032"/>
      <w:r w:rsidRPr="00B121C4">
        <w:rPr>
          <w:kern w:val="0"/>
          <w:sz w:val="20"/>
          <w:szCs w:val="20"/>
          <w14:ligatures w14:val="none"/>
        </w:rPr>
        <w:t xml:space="preserve">Karasawa, Kazutomo, </w:t>
      </w:r>
      <w:r w:rsidRPr="00B121C4">
        <w:rPr>
          <w:i/>
          <w:iCs/>
          <w:kern w:val="0"/>
          <w:sz w:val="20"/>
          <w:szCs w:val="20"/>
          <w14:ligatures w14:val="none"/>
        </w:rPr>
        <w:t>The Old English Metrical Calendar (Menologium), NED</w:t>
      </w:r>
      <w:r w:rsidRPr="00B121C4">
        <w:rPr>
          <w:kern w:val="0"/>
          <w:sz w:val="20"/>
          <w:szCs w:val="20"/>
          <w14:ligatures w14:val="none"/>
        </w:rPr>
        <w:t xml:space="preserve"> - New edition                                                            </w:t>
      </w:r>
      <w:proofErr w:type="gramStart"/>
      <w:r w:rsidRPr="00B121C4">
        <w:rPr>
          <w:kern w:val="0"/>
          <w:sz w:val="20"/>
          <w:szCs w:val="20"/>
          <w14:ligatures w14:val="none"/>
        </w:rPr>
        <w:t xml:space="preserve">   (</w:t>
      </w:r>
      <w:proofErr w:type="gramEnd"/>
      <w:r w:rsidRPr="00B121C4">
        <w:rPr>
          <w:kern w:val="0"/>
          <w:sz w:val="20"/>
          <w:szCs w:val="20"/>
          <w14:ligatures w14:val="none"/>
        </w:rPr>
        <w:t>Woodbridge: Boydell &amp; Brewer, 2015).</w:t>
      </w:r>
      <w:bookmarkEnd w:id="6"/>
    </w:p>
  </w:footnote>
  <w:footnote w:id="35">
    <w:p w14:paraId="23CE7336" w14:textId="77777777" w:rsidR="00297498" w:rsidRDefault="00297498" w:rsidP="00297498">
      <w:pPr>
        <w:spacing w:line="240" w:lineRule="auto"/>
      </w:pPr>
      <w:r>
        <w:rPr>
          <w:rStyle w:val="FootnoteReference"/>
        </w:rPr>
        <w:footnoteRef/>
      </w:r>
      <w:r>
        <w:t xml:space="preserve"> </w:t>
      </w:r>
      <w:r w:rsidRPr="00B121C4">
        <w:rPr>
          <w:sz w:val="20"/>
          <w:szCs w:val="20"/>
        </w:rPr>
        <w:t xml:space="preserve">Fabio </w:t>
      </w:r>
      <w:r w:rsidRPr="00CB1D06">
        <w:rPr>
          <w:rFonts w:cstheme="minorHAnsi"/>
          <w:color w:val="2F5496" w:themeColor="accent1" w:themeShade="BF"/>
          <w:sz w:val="20"/>
          <w:szCs w:val="20"/>
        </w:rPr>
        <w:t>S</w:t>
      </w:r>
      <w:r w:rsidRPr="00B121C4">
        <w:rPr>
          <w:rFonts w:cstheme="minorHAnsi"/>
          <w:sz w:val="20"/>
          <w:szCs w:val="20"/>
        </w:rPr>
        <w:t xml:space="preserve">ilva, ‘A Tomb with a View: New Methods for Bridging the Gap Between Land and Sky in Megalithic Archaeology’, </w:t>
      </w:r>
      <w:r w:rsidRPr="00B121C4">
        <w:rPr>
          <w:rFonts w:cstheme="minorHAnsi"/>
          <w:i/>
          <w:iCs/>
          <w:sz w:val="20"/>
          <w:szCs w:val="20"/>
        </w:rPr>
        <w:t xml:space="preserve">Advances in Archaeological </w:t>
      </w:r>
      <w:proofErr w:type="gramStart"/>
      <w:r w:rsidRPr="00B121C4">
        <w:rPr>
          <w:rFonts w:cstheme="minorHAnsi"/>
          <w:i/>
          <w:iCs/>
          <w:sz w:val="20"/>
          <w:szCs w:val="20"/>
        </w:rPr>
        <w:t>Practice :</w:t>
      </w:r>
      <w:proofErr w:type="gramEnd"/>
      <w:r w:rsidRPr="00B121C4">
        <w:rPr>
          <w:rFonts w:cstheme="minorHAnsi"/>
          <w:i/>
          <w:iCs/>
          <w:sz w:val="20"/>
          <w:szCs w:val="20"/>
        </w:rPr>
        <w:t xml:space="preserve"> a Journal of the Society of American Archaeology</w:t>
      </w:r>
      <w:r w:rsidRPr="00B121C4">
        <w:rPr>
          <w:rFonts w:cstheme="minorHAnsi"/>
          <w:sz w:val="20"/>
          <w:szCs w:val="20"/>
        </w:rPr>
        <w:t>, 2.1 (2014), p. 27.</w:t>
      </w:r>
    </w:p>
  </w:footnote>
  <w:footnote w:id="36">
    <w:p w14:paraId="4226B11D" w14:textId="77777777" w:rsidR="00297498" w:rsidRDefault="00297498" w:rsidP="00297498">
      <w:pPr>
        <w:pStyle w:val="FootnoteText"/>
      </w:pPr>
      <w:r>
        <w:rPr>
          <w:rStyle w:val="FootnoteReference"/>
        </w:rPr>
        <w:footnoteRef/>
      </w:r>
      <w:r>
        <w:t xml:space="preserve"> </w:t>
      </w:r>
      <w:r w:rsidRPr="00B121C4">
        <w:rPr>
          <w:rFonts w:cstheme="minorHAnsi"/>
        </w:rPr>
        <w:t xml:space="preserve">Hinton, Ian, ‘Church Alignment and Patronal Saint’s Days’, </w:t>
      </w:r>
      <w:r w:rsidRPr="00B121C4">
        <w:rPr>
          <w:rFonts w:cstheme="minorHAnsi"/>
          <w:i/>
          <w:iCs/>
        </w:rPr>
        <w:t>Antiquaries Journal</w:t>
      </w:r>
      <w:r w:rsidRPr="00B121C4">
        <w:rPr>
          <w:rFonts w:cstheme="minorHAnsi"/>
        </w:rPr>
        <w:t>, 86 (2006), p. 207</w:t>
      </w:r>
      <w:r>
        <w:rPr>
          <w:rFonts w:cstheme="minorHAnsi"/>
          <w:color w:val="2F5496" w:themeColor="accent1" w:themeShade="BF"/>
        </w:rPr>
        <w:t>.</w:t>
      </w:r>
    </w:p>
  </w:footnote>
  <w:footnote w:id="37">
    <w:p w14:paraId="61657ED9" w14:textId="77777777" w:rsidR="00297498" w:rsidRPr="002A6626" w:rsidRDefault="00297498" w:rsidP="00297498">
      <w:pPr>
        <w:pStyle w:val="FootnoteText"/>
        <w:rPr>
          <w:lang w:val="en-US"/>
        </w:rPr>
      </w:pPr>
      <w:r>
        <w:rPr>
          <w:rStyle w:val="FootnoteReference"/>
        </w:rPr>
        <w:footnoteRef/>
      </w:r>
      <w:r>
        <w:t xml:space="preserve"> </w:t>
      </w:r>
      <w:proofErr w:type="gramStart"/>
      <w:r>
        <w:t>Silva,  ‘</w:t>
      </w:r>
      <w:proofErr w:type="gramEnd"/>
      <w:r>
        <w:t xml:space="preserve">A Tomb with a View’, </w:t>
      </w:r>
      <w:r w:rsidRPr="00B97BB0">
        <w:rPr>
          <w:i/>
          <w:iCs/>
        </w:rPr>
        <w:t>Advances in Archaeological Practice : a Journal of the Society of American Archeaology,</w:t>
      </w:r>
      <w:r>
        <w:t xml:space="preserve"> 2.1 (2014), p. 27.</w:t>
      </w:r>
    </w:p>
  </w:footnote>
  <w:footnote w:id="38">
    <w:p w14:paraId="70A47FC7" w14:textId="77777777" w:rsidR="00297498" w:rsidRDefault="00297498" w:rsidP="00297498">
      <w:pPr>
        <w:pStyle w:val="FootnoteText"/>
      </w:pPr>
      <w:r>
        <w:rPr>
          <w:rStyle w:val="FootnoteReference"/>
        </w:rPr>
        <w:footnoteRef/>
      </w:r>
      <w:r>
        <w:t xml:space="preserve"> </w:t>
      </w:r>
      <w:r w:rsidRPr="00B97BB0">
        <w:t>See Figure National Trust noticeboards, Figure One.</w:t>
      </w:r>
    </w:p>
  </w:footnote>
  <w:footnote w:id="39">
    <w:p w14:paraId="0DC03875" w14:textId="77777777" w:rsidR="00297498" w:rsidRPr="008A5B62" w:rsidRDefault="00297498" w:rsidP="00297498">
      <w:pPr>
        <w:pStyle w:val="FootnoteText"/>
        <w:rPr>
          <w:lang w:val="en-US"/>
        </w:rPr>
      </w:pPr>
      <w:r>
        <w:rPr>
          <w:rStyle w:val="FootnoteReference"/>
        </w:rPr>
        <w:footnoteRef/>
      </w:r>
      <w:r>
        <w:t xml:space="preserve"> </w:t>
      </w:r>
      <w:r w:rsidRPr="00B97BB0">
        <w:rPr>
          <w:lang w:val="en-US"/>
        </w:rPr>
        <w:t xml:space="preserve">The allowance for the Julian calendar was </w:t>
      </w:r>
      <w:bookmarkStart w:id="7" w:name="_Hlk133571316"/>
      <w:r w:rsidRPr="00B97BB0">
        <w:rPr>
          <w:lang w:val="en-US"/>
        </w:rPr>
        <w:t xml:space="preserve">calculated by </w:t>
      </w:r>
      <w:bookmarkEnd w:id="7"/>
      <w:r w:rsidRPr="00B97BB0">
        <w:fldChar w:fldCharType="begin"/>
      </w:r>
      <w:r w:rsidRPr="00B97BB0">
        <w:instrText xml:space="preserve"> HYPERLINK "https://stevemorse.org/jcal/julian.html" </w:instrText>
      </w:r>
      <w:r w:rsidRPr="00B97BB0">
        <w:fldChar w:fldCharType="separate"/>
      </w:r>
      <w:r w:rsidRPr="00B97BB0">
        <w:rPr>
          <w:color w:val="0000FF"/>
          <w:u w:val="single"/>
        </w:rPr>
        <w:t>Converting between Julian and Gregorian Calendar in One Step (stevemorse.org)</w:t>
      </w:r>
      <w:r w:rsidRPr="00B97BB0">
        <w:fldChar w:fldCharType="end"/>
      </w:r>
    </w:p>
  </w:footnote>
  <w:footnote w:id="40">
    <w:p w14:paraId="6DB5870E" w14:textId="77777777" w:rsidR="00297498" w:rsidRPr="00014B82" w:rsidRDefault="00297498" w:rsidP="00297498">
      <w:pPr>
        <w:pStyle w:val="FootnoteText"/>
      </w:pPr>
      <w:r>
        <w:rPr>
          <w:rStyle w:val="FootnoteReference"/>
        </w:rPr>
        <w:footnoteRef/>
      </w:r>
      <w:r>
        <w:t xml:space="preserve"> </w:t>
      </w:r>
      <w:r w:rsidRPr="00014B82">
        <w:rPr>
          <w:rFonts w:cstheme="minorHAnsi"/>
        </w:rPr>
        <w:t>Hoare and Sweet, ‘The Orientation of Early Medieval Churches in England’</w:t>
      </w:r>
      <w:r w:rsidRPr="00014B82">
        <w:rPr>
          <w:rFonts w:cstheme="minorHAnsi"/>
          <w:i/>
          <w:iCs/>
        </w:rPr>
        <w:t xml:space="preserve">, Journal of Historical Geography, </w:t>
      </w:r>
      <w:r w:rsidRPr="00014B82">
        <w:rPr>
          <w:rFonts w:cstheme="minorHAnsi"/>
        </w:rPr>
        <w:t xml:space="preserve">26.2 (2000), p. 165. </w:t>
      </w:r>
    </w:p>
  </w:footnote>
  <w:footnote w:id="41">
    <w:p w14:paraId="680B087D" w14:textId="77777777" w:rsidR="00297498" w:rsidRPr="00014B82" w:rsidRDefault="00297498" w:rsidP="00297498">
      <w:pPr>
        <w:pStyle w:val="FootnoteText"/>
      </w:pPr>
      <w:r w:rsidRPr="00014B82">
        <w:rPr>
          <w:rStyle w:val="FootnoteReference"/>
        </w:rPr>
        <w:footnoteRef/>
      </w:r>
      <w:r w:rsidRPr="00014B82">
        <w:t xml:space="preserve"> </w:t>
      </w:r>
      <w:r w:rsidRPr="00014B82">
        <w:rPr>
          <w:rFonts w:cstheme="minorHAnsi"/>
        </w:rPr>
        <w:t>Hoare and Sweet, ‘The Orientation of Early Medieval Churches’</w:t>
      </w:r>
      <w:r w:rsidRPr="00014B82">
        <w:rPr>
          <w:rFonts w:cstheme="minorHAnsi"/>
          <w:i/>
          <w:iCs/>
        </w:rPr>
        <w:t>, Journal of Historical Geography</w:t>
      </w:r>
      <w:r w:rsidRPr="00014B82">
        <w:rPr>
          <w:rFonts w:cstheme="minorHAnsi"/>
        </w:rPr>
        <w:t>, 26.2 (2000), p. 167.</w:t>
      </w:r>
    </w:p>
  </w:footnote>
  <w:footnote w:id="42">
    <w:p w14:paraId="0A518C8A" w14:textId="77777777" w:rsidR="00297498" w:rsidRPr="00014B82" w:rsidRDefault="00297498" w:rsidP="00297498">
      <w:pPr>
        <w:pStyle w:val="FootnoteText"/>
      </w:pPr>
      <w:r w:rsidRPr="00014B82">
        <w:rPr>
          <w:rStyle w:val="FootnoteReference"/>
        </w:rPr>
        <w:footnoteRef/>
      </w:r>
      <w:r w:rsidRPr="00014B82">
        <w:t xml:space="preserve"> Kazutomo </w:t>
      </w:r>
      <w:proofErr w:type="gramStart"/>
      <w:r w:rsidRPr="00014B82">
        <w:t xml:space="preserve">Karasawa,  </w:t>
      </w:r>
      <w:r w:rsidRPr="00014B82">
        <w:rPr>
          <w:i/>
          <w:iCs/>
        </w:rPr>
        <w:t>The</w:t>
      </w:r>
      <w:proofErr w:type="gramEnd"/>
      <w:r w:rsidRPr="00014B82">
        <w:rPr>
          <w:i/>
          <w:iCs/>
        </w:rPr>
        <w:t xml:space="preserve"> Old English Metrical Calendar (Menologium</w:t>
      </w:r>
      <w:r w:rsidRPr="00014B82">
        <w:t>), NED - New edition (Woodbridge: Boydell &amp; Brewer, 2015), p. 169.</w:t>
      </w:r>
    </w:p>
  </w:footnote>
  <w:footnote w:id="43">
    <w:p w14:paraId="75893789" w14:textId="77777777" w:rsidR="00297498" w:rsidRPr="00014B82" w:rsidRDefault="00297498" w:rsidP="00297498">
      <w:pPr>
        <w:spacing w:line="240" w:lineRule="auto"/>
        <w:rPr>
          <w:sz w:val="20"/>
          <w:szCs w:val="20"/>
        </w:rPr>
      </w:pPr>
      <w:r w:rsidRPr="00014B82">
        <w:rPr>
          <w:rStyle w:val="FootnoteReference"/>
          <w:sz w:val="20"/>
          <w:szCs w:val="20"/>
        </w:rPr>
        <w:footnoteRef/>
      </w:r>
      <w:r w:rsidRPr="00014B82">
        <w:rPr>
          <w:sz w:val="20"/>
          <w:szCs w:val="20"/>
        </w:rPr>
        <w:t xml:space="preserve"> Karasawa, </w:t>
      </w:r>
      <w:r w:rsidRPr="00014B82">
        <w:rPr>
          <w:i/>
          <w:iCs/>
          <w:sz w:val="20"/>
          <w:szCs w:val="20"/>
        </w:rPr>
        <w:t>The Old English Metrical Calendar</w:t>
      </w:r>
      <w:r w:rsidRPr="00014B82">
        <w:rPr>
          <w:sz w:val="20"/>
          <w:szCs w:val="20"/>
        </w:rPr>
        <w:t xml:space="preserve">, (Woodbridge: Boydell &amp; Brewer, 2015), p. 174. </w:t>
      </w:r>
    </w:p>
  </w:footnote>
  <w:footnote w:id="44">
    <w:p w14:paraId="2C2485D2" w14:textId="15DEDDD0" w:rsidR="00297498" w:rsidRPr="00EE2B80" w:rsidRDefault="00297498" w:rsidP="00297498">
      <w:pPr>
        <w:spacing w:line="240" w:lineRule="auto"/>
        <w:rPr>
          <w:rFonts w:cstheme="minorHAnsi"/>
          <w:sz w:val="20"/>
          <w:szCs w:val="20"/>
        </w:rPr>
      </w:pPr>
      <w:r w:rsidRPr="00014B82">
        <w:rPr>
          <w:rStyle w:val="FootnoteReference"/>
          <w:sz w:val="20"/>
          <w:szCs w:val="20"/>
        </w:rPr>
        <w:footnoteRef/>
      </w:r>
      <w:r w:rsidRPr="00014B82">
        <w:rPr>
          <w:sz w:val="20"/>
          <w:szCs w:val="20"/>
        </w:rPr>
        <w:t xml:space="preserve"> </w:t>
      </w:r>
      <w:r w:rsidR="00AF3A69" w:rsidRPr="00EE2B80">
        <w:rPr>
          <w:rFonts w:cstheme="minorHAnsi"/>
          <w:sz w:val="20"/>
          <w:szCs w:val="20"/>
        </w:rPr>
        <w:t>McCluskey</w:t>
      </w:r>
      <w:r w:rsidRPr="00EE2B80">
        <w:rPr>
          <w:rFonts w:cstheme="minorHAnsi"/>
          <w:sz w:val="20"/>
          <w:szCs w:val="20"/>
        </w:rPr>
        <w:t xml:space="preserve">, Stephen C, ‘Calendrical Cycles, the Eighth Day of the World, and the Orientation of English Churches’, in Ruggles, Clive, and Gary Urton, </w:t>
      </w:r>
      <w:r w:rsidRPr="00EE2B80">
        <w:rPr>
          <w:rFonts w:cstheme="minorHAnsi"/>
          <w:i/>
          <w:iCs/>
          <w:sz w:val="20"/>
          <w:szCs w:val="20"/>
        </w:rPr>
        <w:t>Skywatching in the Ancient World: New Perspectives in Cultural Astronomy</w:t>
      </w:r>
      <w:r w:rsidRPr="00EE2B80">
        <w:rPr>
          <w:rFonts w:cstheme="minorHAnsi"/>
          <w:sz w:val="20"/>
          <w:szCs w:val="20"/>
        </w:rPr>
        <w:t xml:space="preserve"> (Boulder: University Press of Colorado, 2010), p. 340-341.</w:t>
      </w:r>
    </w:p>
  </w:footnote>
  <w:footnote w:id="45">
    <w:p w14:paraId="102E974B" w14:textId="77777777" w:rsidR="00297498" w:rsidRPr="00EE2B80" w:rsidRDefault="00297498" w:rsidP="00297498">
      <w:pPr>
        <w:spacing w:line="240" w:lineRule="auto"/>
        <w:rPr>
          <w:rFonts w:cstheme="minorHAnsi"/>
          <w:sz w:val="20"/>
          <w:szCs w:val="20"/>
        </w:rPr>
      </w:pPr>
      <w:r w:rsidRPr="00EE2B80">
        <w:rPr>
          <w:rStyle w:val="FootnoteReference"/>
          <w:rFonts w:cstheme="minorHAnsi"/>
          <w:sz w:val="20"/>
          <w:szCs w:val="20"/>
        </w:rPr>
        <w:footnoteRef/>
      </w:r>
      <w:r w:rsidRPr="00EE2B80">
        <w:rPr>
          <w:rFonts w:cstheme="minorHAnsi"/>
          <w:sz w:val="20"/>
          <w:szCs w:val="20"/>
        </w:rPr>
        <w:t xml:space="preserve"> </w:t>
      </w:r>
      <w:bookmarkStart w:id="8" w:name="_Hlk133591864"/>
      <w:r w:rsidRPr="00EE2B80">
        <w:rPr>
          <w:rFonts w:cstheme="minorHAnsi"/>
          <w:sz w:val="20"/>
          <w:szCs w:val="20"/>
        </w:rPr>
        <w:t xml:space="preserve">Hoare and Sweet, ‘The Orientation of Early Medieval Churches’, </w:t>
      </w:r>
      <w:r w:rsidRPr="00EE2B80">
        <w:rPr>
          <w:rFonts w:cstheme="minorHAnsi"/>
          <w:i/>
          <w:iCs/>
          <w:sz w:val="20"/>
          <w:szCs w:val="20"/>
        </w:rPr>
        <w:t>Journal of Historical Geography</w:t>
      </w:r>
      <w:r w:rsidRPr="00EE2B80">
        <w:rPr>
          <w:rFonts w:cstheme="minorHAnsi"/>
          <w:sz w:val="20"/>
          <w:szCs w:val="20"/>
        </w:rPr>
        <w:t xml:space="preserve">, 26.2 (2000), </w:t>
      </w:r>
      <w:bookmarkEnd w:id="8"/>
      <w:r w:rsidRPr="00EE2B80">
        <w:rPr>
          <w:rFonts w:cstheme="minorHAnsi"/>
          <w:sz w:val="20"/>
          <w:szCs w:val="20"/>
        </w:rPr>
        <w:t>p. 168.</w:t>
      </w:r>
    </w:p>
  </w:footnote>
  <w:footnote w:id="46">
    <w:p w14:paraId="666ECF17" w14:textId="77777777" w:rsidR="00297498" w:rsidRPr="00EE2B80" w:rsidRDefault="00297498" w:rsidP="00297498">
      <w:pPr>
        <w:spacing w:line="240" w:lineRule="auto"/>
        <w:rPr>
          <w:rFonts w:cstheme="minorHAnsi"/>
          <w:sz w:val="20"/>
          <w:szCs w:val="20"/>
          <w:lang w:val="en-US"/>
        </w:rPr>
      </w:pPr>
      <w:r w:rsidRPr="00EE2B80">
        <w:rPr>
          <w:rStyle w:val="FootnoteReference"/>
          <w:rFonts w:cstheme="minorHAnsi"/>
          <w:sz w:val="20"/>
          <w:szCs w:val="20"/>
        </w:rPr>
        <w:footnoteRef/>
      </w:r>
      <w:r w:rsidRPr="00EE2B80">
        <w:rPr>
          <w:rFonts w:cstheme="minorHAnsi"/>
          <w:sz w:val="20"/>
          <w:szCs w:val="20"/>
        </w:rPr>
        <w:t xml:space="preserve"> Ian Hinton, ‘Church Alignment and Patronal Saint’s Days’, </w:t>
      </w:r>
      <w:r w:rsidRPr="00EE2B80">
        <w:rPr>
          <w:rFonts w:cstheme="minorHAnsi"/>
          <w:i/>
          <w:iCs/>
          <w:sz w:val="20"/>
          <w:szCs w:val="20"/>
        </w:rPr>
        <w:t>Antiquaries Journal</w:t>
      </w:r>
      <w:r w:rsidRPr="00EE2B80">
        <w:rPr>
          <w:rFonts w:cstheme="minorHAnsi"/>
          <w:sz w:val="20"/>
          <w:szCs w:val="20"/>
        </w:rPr>
        <w:t>, 86 (2006), p. 208.</w:t>
      </w:r>
    </w:p>
  </w:footnote>
  <w:footnote w:id="47">
    <w:p w14:paraId="440BA40F" w14:textId="77777777" w:rsidR="00297498" w:rsidRPr="00EE2B80" w:rsidRDefault="00297498" w:rsidP="00297498">
      <w:pPr>
        <w:spacing w:line="240" w:lineRule="auto"/>
        <w:rPr>
          <w:rFonts w:cstheme="minorHAnsi"/>
          <w:sz w:val="20"/>
          <w:szCs w:val="20"/>
          <w:lang w:val="en-US"/>
        </w:rPr>
      </w:pPr>
      <w:r w:rsidRPr="00EE2B80">
        <w:rPr>
          <w:rStyle w:val="FootnoteReference"/>
          <w:rFonts w:cstheme="minorHAnsi"/>
          <w:sz w:val="20"/>
          <w:szCs w:val="20"/>
        </w:rPr>
        <w:footnoteRef/>
      </w:r>
      <w:r w:rsidRPr="00EE2B80">
        <w:rPr>
          <w:rFonts w:cstheme="minorHAnsi"/>
          <w:sz w:val="20"/>
          <w:szCs w:val="20"/>
        </w:rPr>
        <w:t xml:space="preserve"> Hinton, ‘Church Alignment and Patronal Saint’s Days’, </w:t>
      </w:r>
      <w:r w:rsidRPr="00EE2B80">
        <w:rPr>
          <w:rFonts w:cstheme="minorHAnsi"/>
          <w:i/>
          <w:iCs/>
          <w:sz w:val="20"/>
          <w:szCs w:val="20"/>
        </w:rPr>
        <w:t>Antiquaries Journal</w:t>
      </w:r>
      <w:r w:rsidRPr="00EE2B80">
        <w:rPr>
          <w:rFonts w:cstheme="minorHAnsi"/>
          <w:sz w:val="20"/>
          <w:szCs w:val="20"/>
        </w:rPr>
        <w:t>, 86 (2006), p. 211.</w:t>
      </w:r>
    </w:p>
  </w:footnote>
  <w:footnote w:id="48">
    <w:p w14:paraId="0DA1B336" w14:textId="77777777" w:rsidR="00297498" w:rsidRPr="00EE2B80" w:rsidRDefault="00297498" w:rsidP="00297498">
      <w:pPr>
        <w:pStyle w:val="Heading2"/>
        <w:spacing w:before="0" w:line="240" w:lineRule="auto"/>
        <w:rPr>
          <w:rFonts w:asciiTheme="minorHAnsi" w:hAnsiTheme="minorHAnsi" w:cstheme="minorHAnsi"/>
          <w:color w:val="000000"/>
          <w:sz w:val="20"/>
          <w:szCs w:val="20"/>
        </w:rPr>
      </w:pPr>
      <w:r w:rsidRPr="00EE2B80">
        <w:rPr>
          <w:rStyle w:val="FootnoteReference"/>
          <w:rFonts w:asciiTheme="minorHAnsi" w:hAnsiTheme="minorHAnsi" w:cstheme="minorHAnsi"/>
          <w:b/>
          <w:bCs/>
          <w:sz w:val="20"/>
          <w:szCs w:val="20"/>
        </w:rPr>
        <w:footnoteRef/>
      </w:r>
      <w:r w:rsidRPr="00EE2B80">
        <w:rPr>
          <w:rFonts w:asciiTheme="minorHAnsi" w:hAnsiTheme="minorHAnsi" w:cstheme="minorHAnsi"/>
          <w:sz w:val="20"/>
          <w:szCs w:val="20"/>
        </w:rPr>
        <w:t xml:space="preserve"> </w:t>
      </w:r>
      <w:r w:rsidRPr="00EE2B80">
        <w:rPr>
          <w:rFonts w:asciiTheme="minorHAnsi" w:hAnsiTheme="minorHAnsi" w:cstheme="minorHAnsi"/>
          <w:color w:val="000000"/>
          <w:sz w:val="20"/>
          <w:szCs w:val="20"/>
          <w:shd w:val="clear" w:color="auto" w:fill="FFFFFF"/>
        </w:rPr>
        <w:t>Father Francis Weiser, ‘</w:t>
      </w:r>
      <w:r w:rsidRPr="00EE2B80">
        <w:rPr>
          <w:rFonts w:asciiTheme="minorHAnsi" w:hAnsiTheme="minorHAnsi" w:cstheme="minorHAnsi"/>
          <w:color w:val="000000"/>
          <w:sz w:val="20"/>
          <w:szCs w:val="20"/>
        </w:rPr>
        <w:t xml:space="preserve">Catholic Activity: The Feast of the Assumption Customs and Traditions’, </w:t>
      </w:r>
      <w:hyperlink r:id="rId4" w:history="1">
        <w:r w:rsidRPr="00EE2B80">
          <w:rPr>
            <w:rStyle w:val="Hyperlink"/>
            <w:rFonts w:asciiTheme="minorHAnsi" w:hAnsiTheme="minorHAnsi" w:cstheme="minorHAnsi"/>
            <w:sz w:val="20"/>
            <w:szCs w:val="20"/>
          </w:rPr>
          <w:t>https://www.catholicculture.org/culture/liturgicalyear/activities</w:t>
        </w:r>
      </w:hyperlink>
      <w:r w:rsidRPr="00EE2B80">
        <w:rPr>
          <w:rFonts w:asciiTheme="minorHAnsi" w:hAnsiTheme="minorHAnsi" w:cstheme="minorHAnsi"/>
          <w:color w:val="000000"/>
          <w:sz w:val="20"/>
          <w:szCs w:val="20"/>
        </w:rPr>
        <w:t xml:space="preserve"> , accessed </w:t>
      </w:r>
      <w:proofErr w:type="gramStart"/>
      <w:r w:rsidRPr="00EE2B80">
        <w:rPr>
          <w:rFonts w:asciiTheme="minorHAnsi" w:hAnsiTheme="minorHAnsi" w:cstheme="minorHAnsi"/>
          <w:color w:val="000000"/>
          <w:sz w:val="20"/>
          <w:szCs w:val="20"/>
        </w:rPr>
        <w:t>28/04/23</w:t>
      </w:r>
      <w:proofErr w:type="gramEnd"/>
    </w:p>
    <w:p w14:paraId="0F64D757" w14:textId="77777777" w:rsidR="00297498" w:rsidRPr="00EE2B80" w:rsidRDefault="00297498" w:rsidP="00297498">
      <w:pPr>
        <w:pStyle w:val="FootnoteText"/>
        <w:rPr>
          <w:rFonts w:cstheme="minorHAnsi"/>
        </w:rPr>
      </w:pPr>
    </w:p>
  </w:footnote>
  <w:footnote w:id="49">
    <w:p w14:paraId="2AA5EB57" w14:textId="77777777" w:rsidR="00297498" w:rsidRPr="00014B82" w:rsidRDefault="00297498" w:rsidP="00297498">
      <w:pPr>
        <w:pStyle w:val="FootnoteText"/>
        <w:rPr>
          <w:rFonts w:cstheme="minorHAnsi"/>
        </w:rPr>
      </w:pPr>
      <w:r w:rsidRPr="00EE2B80">
        <w:rPr>
          <w:rStyle w:val="FootnoteReference"/>
          <w:rFonts w:cstheme="minorHAnsi"/>
        </w:rPr>
        <w:footnoteRef/>
      </w:r>
      <w:r w:rsidRPr="00EE2B80">
        <w:rPr>
          <w:rFonts w:cstheme="minorHAnsi"/>
        </w:rPr>
        <w:t xml:space="preserve"> </w:t>
      </w:r>
      <w:r w:rsidRPr="00EE2B80">
        <w:rPr>
          <w:rFonts w:cstheme="minorHAnsi"/>
          <w:lang w:val="en-US"/>
        </w:rPr>
        <w:t xml:space="preserve">The allowance for the Julian calendar was calculated by </w:t>
      </w:r>
      <w:hyperlink r:id="rId5" w:history="1">
        <w:r w:rsidRPr="00EE2B80">
          <w:rPr>
            <w:rFonts w:cstheme="minorHAnsi"/>
            <w:color w:val="0000FF"/>
            <w:u w:val="single"/>
          </w:rPr>
          <w:t>Converting between Julian and Gregorian Calendar in One Step (stevemorse.org)</w:t>
        </w:r>
      </w:hyperlink>
    </w:p>
  </w:footnote>
  <w:footnote w:id="50">
    <w:p w14:paraId="3A422E11" w14:textId="77777777" w:rsidR="00297498" w:rsidRPr="00014B82" w:rsidRDefault="00297498" w:rsidP="00297498">
      <w:pPr>
        <w:pStyle w:val="FootnoteText"/>
        <w:rPr>
          <w:rFonts w:cstheme="minorHAnsi"/>
        </w:rPr>
      </w:pPr>
      <w:r w:rsidRPr="00014B82">
        <w:rPr>
          <w:rStyle w:val="FootnoteReference"/>
          <w:rFonts w:cstheme="minorHAnsi"/>
        </w:rPr>
        <w:footnoteRef/>
      </w:r>
      <w:r w:rsidRPr="00014B82">
        <w:rPr>
          <w:rFonts w:cstheme="minorHAnsi"/>
        </w:rPr>
        <w:t xml:space="preserve"> Karasawa, </w:t>
      </w:r>
      <w:r w:rsidRPr="00014B82">
        <w:rPr>
          <w:rFonts w:cstheme="minorHAnsi"/>
          <w:i/>
          <w:iCs/>
        </w:rPr>
        <w:t>The Old English Metrical Calendar</w:t>
      </w:r>
      <w:r w:rsidRPr="00014B82">
        <w:rPr>
          <w:rFonts w:cstheme="minorHAnsi"/>
        </w:rPr>
        <w:t xml:space="preserve"> (Woodbridge: Boydell &amp; Brewer, 2015), p. 176.</w:t>
      </w:r>
    </w:p>
  </w:footnote>
  <w:footnote w:id="51">
    <w:p w14:paraId="17EE0444" w14:textId="77777777" w:rsidR="00297498" w:rsidRDefault="00297498" w:rsidP="00297498">
      <w:pPr>
        <w:pStyle w:val="FootnoteText"/>
      </w:pPr>
      <w:r>
        <w:rPr>
          <w:rStyle w:val="FootnoteReference"/>
        </w:rPr>
        <w:footnoteRef/>
      </w:r>
      <w:r>
        <w:t xml:space="preserve"> </w:t>
      </w:r>
      <w:r w:rsidRPr="009B4F0A">
        <w:rPr>
          <w:rFonts w:cstheme="minorHAnsi"/>
        </w:rPr>
        <w:t>Bernadette</w:t>
      </w:r>
      <w:r w:rsidRPr="00034B7F">
        <w:rPr>
          <w:rFonts w:cstheme="minorHAnsi"/>
        </w:rPr>
        <w:t xml:space="preserve"> Brady</w:t>
      </w:r>
      <w:proofErr w:type="gramStart"/>
      <w:r w:rsidRPr="00034B7F">
        <w:rPr>
          <w:rFonts w:cstheme="minorHAnsi"/>
        </w:rPr>
        <w:t>, ,</w:t>
      </w:r>
      <w:proofErr w:type="gramEnd"/>
      <w:r w:rsidRPr="00034B7F">
        <w:rPr>
          <w:rFonts w:cstheme="minorHAnsi"/>
        </w:rPr>
        <w:t xml:space="preserve"> Darrelyn Gunzburg and Fabio Silva, ‘The Sun’s Light at Michaelmas And The Cistercians Of Britain And Ireland’, </w:t>
      </w:r>
      <w:r w:rsidRPr="00034B7F">
        <w:rPr>
          <w:rFonts w:cstheme="minorHAnsi"/>
          <w:i/>
          <w:iCs/>
        </w:rPr>
        <w:t>Cîteaux – Commentarii cistercienses</w:t>
      </w:r>
      <w:r w:rsidRPr="00034B7F">
        <w:rPr>
          <w:rFonts w:cstheme="minorHAnsi"/>
        </w:rPr>
        <w:t xml:space="preserve">, t. 72, fasc. 1-4 </w:t>
      </w:r>
      <w:r w:rsidRPr="00EE2B80">
        <w:rPr>
          <w:rFonts w:cstheme="minorHAnsi"/>
        </w:rPr>
        <w:t xml:space="preserve">(2021) </w:t>
      </w:r>
      <w:r w:rsidRPr="00EE2B80">
        <w:t>p. 63. .</w:t>
      </w:r>
    </w:p>
  </w:footnote>
  <w:footnote w:id="52">
    <w:p w14:paraId="21266020" w14:textId="77777777" w:rsidR="00297498" w:rsidRDefault="00297498" w:rsidP="00297498">
      <w:pPr>
        <w:pStyle w:val="FootnoteText"/>
      </w:pPr>
      <w:r>
        <w:rPr>
          <w:rStyle w:val="FootnoteReference"/>
        </w:rPr>
        <w:footnoteRef/>
      </w:r>
      <w:r>
        <w:t xml:space="preserve"> </w:t>
      </w:r>
      <w:r w:rsidRPr="00034B7F">
        <w:rPr>
          <w:rFonts w:cstheme="minorHAnsi"/>
        </w:rPr>
        <w:t xml:space="preserve">Brady, Bernadette, Darrelyn Gunzburg and Fabio Silva, ‘The Sun’s Light at Michaelmas </w:t>
      </w:r>
      <w:proofErr w:type="gramStart"/>
      <w:r w:rsidRPr="00034B7F">
        <w:rPr>
          <w:rFonts w:cstheme="minorHAnsi"/>
        </w:rPr>
        <w:t>And</w:t>
      </w:r>
      <w:proofErr w:type="gramEnd"/>
      <w:r w:rsidRPr="00034B7F">
        <w:rPr>
          <w:rFonts w:cstheme="minorHAnsi"/>
        </w:rPr>
        <w:t xml:space="preserve"> The Cistercians Of Britain And Ireland’, </w:t>
      </w:r>
      <w:r w:rsidRPr="00034B7F">
        <w:rPr>
          <w:rFonts w:cstheme="minorHAnsi"/>
          <w:i/>
          <w:iCs/>
        </w:rPr>
        <w:t>Cîteaux – Commentarii cistercienses</w:t>
      </w:r>
      <w:r w:rsidRPr="00034B7F">
        <w:rPr>
          <w:rFonts w:cstheme="minorHAnsi"/>
        </w:rPr>
        <w:t xml:space="preserve">, t. 72, fasc. 1-4 (2021) </w:t>
      </w:r>
      <w:r>
        <w:rPr>
          <w:rFonts w:cstheme="minorHAnsi"/>
        </w:rPr>
        <w:t>p. 63.</w:t>
      </w:r>
    </w:p>
  </w:footnote>
  <w:footnote w:id="53">
    <w:p w14:paraId="584260AC" w14:textId="6D3D5098" w:rsidR="00297498" w:rsidRDefault="00297498" w:rsidP="00297498">
      <w:pPr>
        <w:pStyle w:val="FootnoteText"/>
      </w:pPr>
      <w:r>
        <w:rPr>
          <w:rStyle w:val="FootnoteReference"/>
        </w:rPr>
        <w:footnoteRef/>
      </w:r>
      <w:r>
        <w:t xml:space="preserve"> </w:t>
      </w:r>
      <w:bookmarkStart w:id="9" w:name="_Hlk133832678"/>
      <w:r>
        <w:t xml:space="preserve">Bernadette Brady, ‘Star Phases: the naked-eye astronomy of the Old Kingdom Pyramid Texts’ in </w:t>
      </w:r>
      <w:bookmarkEnd w:id="9"/>
      <w:r w:rsidR="00A5160D" w:rsidRPr="00710848">
        <w:rPr>
          <w:rFonts w:cstheme="minorHAnsi"/>
          <w:i/>
          <w:iCs/>
        </w:rPr>
        <w:t>Skyscapes:</w:t>
      </w:r>
      <w:r w:rsidRPr="00710848">
        <w:rPr>
          <w:rFonts w:cstheme="minorHAnsi"/>
          <w:i/>
          <w:iCs/>
        </w:rPr>
        <w:t xml:space="preserve"> the Role and Importance of the Sky in Archaeology</w:t>
      </w:r>
      <w:r w:rsidRPr="00710848">
        <w:rPr>
          <w:rFonts w:cstheme="minorHAnsi"/>
        </w:rPr>
        <w:t>, ed. by Fabio (Fabio P.) Silva and Nicholas Campion (Oxford, [England</w:t>
      </w:r>
      <w:proofErr w:type="gramStart"/>
      <w:r w:rsidRPr="00710848">
        <w:rPr>
          <w:rFonts w:cstheme="minorHAnsi"/>
        </w:rPr>
        <w:t>] ;</w:t>
      </w:r>
      <w:proofErr w:type="gramEnd"/>
      <w:r w:rsidRPr="00710848">
        <w:rPr>
          <w:rFonts w:cstheme="minorHAnsi"/>
        </w:rPr>
        <w:t>: Oxbow Books, 2015),</w:t>
      </w:r>
      <w:r>
        <w:rPr>
          <w:rFonts w:cstheme="minorHAnsi"/>
        </w:rPr>
        <w:t>p. 85.</w:t>
      </w:r>
    </w:p>
  </w:footnote>
  <w:footnote w:id="54">
    <w:p w14:paraId="05839768" w14:textId="3D59212C" w:rsidR="00297498" w:rsidRDefault="00297498" w:rsidP="00297498">
      <w:pPr>
        <w:pStyle w:val="FootnoteText"/>
      </w:pPr>
      <w:r>
        <w:rPr>
          <w:rStyle w:val="FootnoteReference"/>
        </w:rPr>
        <w:footnoteRef/>
      </w:r>
      <w:r>
        <w:t xml:space="preserve"> Bernadette Brady, ‘Star Phases’ in </w:t>
      </w:r>
      <w:r w:rsidR="00A5160D" w:rsidRPr="00710848">
        <w:rPr>
          <w:rFonts w:cstheme="minorHAnsi"/>
          <w:i/>
          <w:iCs/>
        </w:rPr>
        <w:t>Skyscapes:</w:t>
      </w:r>
      <w:r w:rsidRPr="00710848">
        <w:rPr>
          <w:rFonts w:cstheme="minorHAnsi"/>
          <w:i/>
          <w:iCs/>
        </w:rPr>
        <w:t xml:space="preserve"> the Role and Importance of the Sky in Archaeology</w:t>
      </w:r>
      <w:r w:rsidRPr="00710848">
        <w:rPr>
          <w:rFonts w:cstheme="minorHAnsi"/>
        </w:rPr>
        <w:t>, ed. by Silva and Campion (Oxford, [England</w:t>
      </w:r>
      <w:proofErr w:type="gramStart"/>
      <w:r w:rsidRPr="00710848">
        <w:rPr>
          <w:rFonts w:cstheme="minorHAnsi"/>
        </w:rPr>
        <w:t>] ;</w:t>
      </w:r>
      <w:proofErr w:type="gramEnd"/>
      <w:r w:rsidRPr="00710848">
        <w:rPr>
          <w:rFonts w:cstheme="minorHAnsi"/>
        </w:rPr>
        <w:t>: Oxbow Books, 2015),</w:t>
      </w:r>
      <w:r>
        <w:rPr>
          <w:rFonts w:cstheme="minorHAnsi"/>
        </w:rPr>
        <w:t>p. 85.</w:t>
      </w:r>
    </w:p>
  </w:footnote>
  <w:footnote w:id="55">
    <w:p w14:paraId="245419FE" w14:textId="77777777" w:rsidR="00297498" w:rsidRPr="00983CB7" w:rsidRDefault="00297498" w:rsidP="00297498">
      <w:pPr>
        <w:spacing w:line="240" w:lineRule="auto"/>
        <w:rPr>
          <w:sz w:val="20"/>
          <w:szCs w:val="20"/>
        </w:rPr>
      </w:pPr>
      <w:r>
        <w:rPr>
          <w:rStyle w:val="FootnoteReference"/>
        </w:rPr>
        <w:footnoteRef/>
      </w:r>
      <w:r>
        <w:t xml:space="preserve"> </w:t>
      </w:r>
      <w:bookmarkStart w:id="10" w:name="_Hlk133484533"/>
      <w:r w:rsidRPr="00983CB7">
        <w:rPr>
          <w:rFonts w:cstheme="minorHAnsi"/>
          <w:sz w:val="20"/>
          <w:szCs w:val="20"/>
        </w:rPr>
        <w:t xml:space="preserve">Moskvina, </w:t>
      </w:r>
      <w:r>
        <w:rPr>
          <w:rFonts w:cstheme="minorHAnsi"/>
          <w:sz w:val="20"/>
          <w:szCs w:val="20"/>
        </w:rPr>
        <w:t>A</w:t>
      </w:r>
      <w:r w:rsidRPr="00EE2B80">
        <w:rPr>
          <w:rFonts w:cstheme="minorHAnsi"/>
          <w:i/>
          <w:iCs/>
          <w:sz w:val="20"/>
          <w:szCs w:val="20"/>
        </w:rPr>
        <w:t>lignment and Axiality in Anglo-Saxon Architecture</w:t>
      </w:r>
      <w:r>
        <w:rPr>
          <w:rFonts w:cstheme="minorHAnsi"/>
          <w:sz w:val="20"/>
          <w:szCs w:val="20"/>
        </w:rPr>
        <w:t xml:space="preserve"> (Unpublished PhD Thesis, </w:t>
      </w:r>
      <w:r w:rsidRPr="00983CB7">
        <w:rPr>
          <w:rFonts w:cstheme="minorHAnsi"/>
          <w:sz w:val="20"/>
          <w:szCs w:val="20"/>
        </w:rPr>
        <w:t xml:space="preserve">University of East </w:t>
      </w:r>
      <w:bookmarkEnd w:id="10"/>
      <w:r w:rsidRPr="00983CB7">
        <w:rPr>
          <w:rFonts w:cstheme="minorHAnsi"/>
          <w:sz w:val="20"/>
          <w:szCs w:val="20"/>
        </w:rPr>
        <w:t>Anglia 2020</w:t>
      </w:r>
      <w:r>
        <w:rPr>
          <w:rFonts w:cstheme="minorHAnsi"/>
          <w:sz w:val="20"/>
          <w:szCs w:val="20"/>
        </w:rPr>
        <w:t>)</w:t>
      </w:r>
      <w:r w:rsidRPr="00983CB7">
        <w:rPr>
          <w:rFonts w:cstheme="minorHAnsi"/>
          <w:sz w:val="20"/>
          <w:szCs w:val="20"/>
        </w:rPr>
        <w:t>, p. 196.</w:t>
      </w:r>
    </w:p>
  </w:footnote>
  <w:footnote w:id="56">
    <w:p w14:paraId="4975FB5E" w14:textId="77777777" w:rsidR="00297498" w:rsidRDefault="00297498" w:rsidP="00297498">
      <w:pPr>
        <w:pStyle w:val="FootnoteText"/>
      </w:pPr>
      <w:r w:rsidRPr="00983CB7">
        <w:rPr>
          <w:rStyle w:val="FootnoteReference"/>
        </w:rPr>
        <w:footnoteRef/>
      </w:r>
      <w:r w:rsidRPr="00983CB7">
        <w:t xml:space="preserve"> </w:t>
      </w:r>
      <w:r w:rsidRPr="00983CB7">
        <w:rPr>
          <w:rFonts w:cstheme="minorHAnsi"/>
        </w:rPr>
        <w:t xml:space="preserve">Moskvina, </w:t>
      </w:r>
      <w:r w:rsidRPr="00070D6B">
        <w:rPr>
          <w:rFonts w:cstheme="minorHAnsi"/>
          <w:i/>
          <w:iCs/>
        </w:rPr>
        <w:t>Alignment and Axiality in Anglo-Saxon Architecture</w:t>
      </w:r>
      <w:proofErr w:type="gramStart"/>
      <w:r w:rsidRPr="00070D6B">
        <w:rPr>
          <w:rFonts w:cstheme="minorHAnsi"/>
          <w:i/>
          <w:iCs/>
        </w:rPr>
        <w:t>’</w:t>
      </w:r>
      <w:r w:rsidRPr="00983CB7">
        <w:rPr>
          <w:rFonts w:cstheme="minorHAnsi"/>
        </w:rPr>
        <w:t xml:space="preserve"> </w:t>
      </w:r>
      <w:r>
        <w:rPr>
          <w:rFonts w:cstheme="minorHAnsi"/>
        </w:rPr>
        <w:t xml:space="preserve"> (</w:t>
      </w:r>
      <w:proofErr w:type="gramEnd"/>
      <w:r>
        <w:rPr>
          <w:rFonts w:cstheme="minorHAnsi"/>
        </w:rPr>
        <w:t xml:space="preserve">unpublished PhD thesis, University of East Anglia, </w:t>
      </w:r>
      <w:r w:rsidRPr="00983CB7">
        <w:rPr>
          <w:rFonts w:cstheme="minorHAnsi"/>
        </w:rPr>
        <w:t>2020</w:t>
      </w:r>
      <w:r>
        <w:rPr>
          <w:rFonts w:cstheme="minorHAnsi"/>
        </w:rPr>
        <w:t>)</w:t>
      </w:r>
      <w:r w:rsidRPr="00983CB7">
        <w:rPr>
          <w:rFonts w:cstheme="minorHAnsi"/>
        </w:rPr>
        <w:t>, p. 234.</w:t>
      </w:r>
    </w:p>
  </w:footnote>
  <w:footnote w:id="57">
    <w:p w14:paraId="4E3913AC" w14:textId="77777777" w:rsidR="00297498" w:rsidRDefault="00297498" w:rsidP="00297498">
      <w:pPr>
        <w:pStyle w:val="FootnoteText"/>
      </w:pPr>
      <w:r>
        <w:rPr>
          <w:rStyle w:val="FootnoteReference"/>
        </w:rPr>
        <w:footnoteRef/>
      </w:r>
      <w:r>
        <w:t xml:space="preserve"> </w:t>
      </w:r>
      <w:r w:rsidRPr="00710848">
        <w:rPr>
          <w:rFonts w:cstheme="minorHAnsi"/>
        </w:rPr>
        <w:t xml:space="preserve">Moskvina, </w:t>
      </w:r>
      <w:r w:rsidRPr="00070D6B">
        <w:rPr>
          <w:rFonts w:cstheme="minorHAnsi"/>
          <w:i/>
          <w:iCs/>
        </w:rPr>
        <w:t>Alignment and Axiality in Anglo-Saxon Architecture</w:t>
      </w:r>
      <w:proofErr w:type="gramStart"/>
      <w:r w:rsidRPr="00070D6B">
        <w:rPr>
          <w:rFonts w:cstheme="minorHAnsi"/>
          <w:i/>
          <w:iCs/>
        </w:rPr>
        <w:t>’</w:t>
      </w:r>
      <w:r w:rsidRPr="00710848">
        <w:rPr>
          <w:rFonts w:cstheme="minorHAnsi"/>
        </w:rPr>
        <w:t xml:space="preserve"> </w:t>
      </w:r>
      <w:r>
        <w:rPr>
          <w:rFonts w:cstheme="minorHAnsi"/>
        </w:rPr>
        <w:t xml:space="preserve"> (</w:t>
      </w:r>
      <w:proofErr w:type="gramEnd"/>
      <w:r>
        <w:rPr>
          <w:rFonts w:cstheme="minorHAnsi"/>
        </w:rPr>
        <w:t xml:space="preserve">Unpublished PhD thesis, </w:t>
      </w:r>
      <w:r w:rsidRPr="00710848">
        <w:rPr>
          <w:rFonts w:cstheme="minorHAnsi"/>
        </w:rPr>
        <w:t>University of East Anglia 2020</w:t>
      </w:r>
      <w:r>
        <w:rPr>
          <w:rFonts w:cstheme="minorHAnsi"/>
        </w:rPr>
        <w:t>), p. 234.</w:t>
      </w:r>
    </w:p>
  </w:footnote>
  <w:footnote w:id="58">
    <w:p w14:paraId="7EB4951B" w14:textId="77777777" w:rsidR="00297498" w:rsidRDefault="00297498" w:rsidP="00297498">
      <w:pPr>
        <w:spacing w:line="240" w:lineRule="auto"/>
      </w:pPr>
      <w:r>
        <w:rPr>
          <w:rStyle w:val="FootnoteReference"/>
        </w:rPr>
        <w:footnoteRef/>
      </w:r>
      <w:r>
        <w:t xml:space="preserve"> </w:t>
      </w:r>
      <w:bookmarkStart w:id="11" w:name="_Hlk133755580"/>
      <w:r w:rsidRPr="00983CB7">
        <w:rPr>
          <w:rFonts w:cstheme="minorHAnsi"/>
          <w:sz w:val="20"/>
          <w:szCs w:val="20"/>
        </w:rPr>
        <w:t xml:space="preserve">Silva, ‘A Tomb with a View’, </w:t>
      </w:r>
      <w:r w:rsidRPr="00983CB7">
        <w:rPr>
          <w:rFonts w:cstheme="minorHAnsi"/>
          <w:i/>
          <w:iCs/>
          <w:sz w:val="20"/>
          <w:szCs w:val="20"/>
        </w:rPr>
        <w:t xml:space="preserve">Advances in Archaeological </w:t>
      </w:r>
      <w:proofErr w:type="gramStart"/>
      <w:r w:rsidRPr="00983CB7">
        <w:rPr>
          <w:rFonts w:cstheme="minorHAnsi"/>
          <w:i/>
          <w:iCs/>
          <w:sz w:val="20"/>
          <w:szCs w:val="20"/>
        </w:rPr>
        <w:t>Practice :</w:t>
      </w:r>
      <w:proofErr w:type="gramEnd"/>
      <w:r w:rsidRPr="00983CB7">
        <w:rPr>
          <w:rFonts w:cstheme="minorHAnsi"/>
          <w:i/>
          <w:iCs/>
          <w:sz w:val="20"/>
          <w:szCs w:val="20"/>
        </w:rPr>
        <w:t xml:space="preserve"> a Journal of the Society of American Archaeology</w:t>
      </w:r>
      <w:r w:rsidRPr="00983CB7">
        <w:rPr>
          <w:rFonts w:cstheme="minorHAnsi"/>
          <w:sz w:val="20"/>
          <w:szCs w:val="20"/>
        </w:rPr>
        <w:t>, 2.1 (2014), p. 27.</w:t>
      </w:r>
      <w:bookmarkEnd w:id="11"/>
    </w:p>
  </w:footnote>
  <w:footnote w:id="59">
    <w:p w14:paraId="70C93507" w14:textId="77777777" w:rsidR="00297498" w:rsidRDefault="00297498" w:rsidP="00297498">
      <w:pPr>
        <w:pStyle w:val="FootnoteText"/>
      </w:pPr>
      <w:r>
        <w:rPr>
          <w:rStyle w:val="FootnoteReference"/>
        </w:rPr>
        <w:footnoteRef/>
      </w:r>
      <w:r>
        <w:t xml:space="preserve"> </w:t>
      </w:r>
      <w:r>
        <w:rPr>
          <w:lang w:val="en-US"/>
        </w:rPr>
        <w:t xml:space="preserve">The allowance for the Julian </w:t>
      </w:r>
      <w:r w:rsidRPr="00795002">
        <w:rPr>
          <w:lang w:val="en-US"/>
        </w:rPr>
        <w:t xml:space="preserve">calendar was calculated by </w:t>
      </w:r>
      <w:hyperlink r:id="rId6" w:history="1">
        <w:r w:rsidRPr="00795002">
          <w:rPr>
            <w:color w:val="0000FF"/>
            <w:u w:val="single"/>
          </w:rPr>
          <w:t>Converting between Julian and Gregorian Calendar in One Step (stevemorse.org)</w:t>
        </w:r>
      </w:hyperlink>
    </w:p>
  </w:footnote>
  <w:footnote w:id="60">
    <w:p w14:paraId="72043012" w14:textId="77777777" w:rsidR="00297498" w:rsidRPr="001D6DC6" w:rsidRDefault="00297498" w:rsidP="00297498">
      <w:pPr>
        <w:spacing w:line="360" w:lineRule="auto"/>
        <w:rPr>
          <w:sz w:val="20"/>
          <w:szCs w:val="20"/>
        </w:rPr>
      </w:pPr>
      <w:r>
        <w:rPr>
          <w:rStyle w:val="FootnoteReference"/>
        </w:rPr>
        <w:footnoteRef/>
      </w:r>
      <w:r>
        <w:t xml:space="preserve"> </w:t>
      </w:r>
      <w:r w:rsidRPr="008F5C18">
        <w:rPr>
          <w:sz w:val="20"/>
          <w:szCs w:val="20"/>
        </w:rPr>
        <w:t xml:space="preserve">Tilley, Christopher Y., </w:t>
      </w:r>
      <w:r w:rsidRPr="008F5C18">
        <w:rPr>
          <w:i/>
          <w:iCs/>
          <w:sz w:val="20"/>
          <w:szCs w:val="20"/>
        </w:rPr>
        <w:t>A Phenomenology of Landscape: Places, Paths and Monuments</w:t>
      </w:r>
      <w:r w:rsidRPr="008F5C18">
        <w:rPr>
          <w:sz w:val="20"/>
          <w:szCs w:val="20"/>
        </w:rPr>
        <w:t xml:space="preserve"> (Oxford: Berg, 1994),</w:t>
      </w:r>
      <w:r w:rsidRPr="008F5C18">
        <w:rPr>
          <w:sz w:val="16"/>
          <w:szCs w:val="16"/>
        </w:rPr>
        <w:t xml:space="preserve"> </w:t>
      </w:r>
      <w:proofErr w:type="gramStart"/>
      <w:r w:rsidRPr="008F5C18">
        <w:rPr>
          <w:sz w:val="16"/>
          <w:szCs w:val="16"/>
        </w:rPr>
        <w:t>p. .</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498"/>
    <w:rsid w:val="001D574F"/>
    <w:rsid w:val="00297498"/>
    <w:rsid w:val="00314198"/>
    <w:rsid w:val="003A7DD4"/>
    <w:rsid w:val="0044600D"/>
    <w:rsid w:val="004C39D5"/>
    <w:rsid w:val="006651A8"/>
    <w:rsid w:val="00954118"/>
    <w:rsid w:val="00A5160D"/>
    <w:rsid w:val="00AF3A69"/>
    <w:rsid w:val="00B6075E"/>
    <w:rsid w:val="00B82F9E"/>
    <w:rsid w:val="00BB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D412D"/>
  <w15:chartTrackingRefBased/>
  <w15:docId w15:val="{F671E022-6255-45FE-9ED1-CCE0033D1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498"/>
  </w:style>
  <w:style w:type="paragraph" w:styleId="Heading1">
    <w:name w:val="heading 1"/>
    <w:basedOn w:val="Normal"/>
    <w:next w:val="Normal"/>
    <w:link w:val="Heading1Char"/>
    <w:uiPriority w:val="9"/>
    <w:qFormat/>
    <w:rsid w:val="00297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74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74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74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4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74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974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97498"/>
    <w:rPr>
      <w:rFonts w:asciiTheme="majorHAnsi" w:eastAsiaTheme="majorEastAsia" w:hAnsiTheme="majorHAnsi" w:cstheme="majorBidi"/>
      <w:i/>
      <w:iCs/>
      <w:color w:val="2F5496" w:themeColor="accent1" w:themeShade="BF"/>
    </w:rPr>
  </w:style>
  <w:style w:type="character" w:styleId="FootnoteReference">
    <w:name w:val="footnote reference"/>
    <w:uiPriority w:val="99"/>
    <w:rsid w:val="00297498"/>
    <w:rPr>
      <w:vertAlign w:val="superscript"/>
    </w:rPr>
  </w:style>
  <w:style w:type="paragraph" w:styleId="FootnoteText">
    <w:name w:val="footnote text"/>
    <w:basedOn w:val="Normal"/>
    <w:link w:val="FootnoteTextChar"/>
    <w:uiPriority w:val="99"/>
    <w:semiHidden/>
    <w:unhideWhenUsed/>
    <w:rsid w:val="002974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7498"/>
    <w:rPr>
      <w:sz w:val="20"/>
      <w:szCs w:val="20"/>
    </w:rPr>
  </w:style>
  <w:style w:type="character" w:styleId="Hyperlink">
    <w:name w:val="Hyperlink"/>
    <w:basedOn w:val="DefaultParagraphFont"/>
    <w:uiPriority w:val="99"/>
    <w:unhideWhenUsed/>
    <w:rsid w:val="00297498"/>
    <w:rPr>
      <w:color w:val="0563C1" w:themeColor="hyperlink"/>
      <w:u w:val="single"/>
    </w:rPr>
  </w:style>
  <w:style w:type="character" w:styleId="Emphasis">
    <w:name w:val="Emphasis"/>
    <w:basedOn w:val="DefaultParagraphFont"/>
    <w:uiPriority w:val="20"/>
    <w:qFormat/>
    <w:rsid w:val="00297498"/>
    <w:rPr>
      <w:i/>
      <w:iCs/>
    </w:rPr>
  </w:style>
  <w:style w:type="table" w:styleId="GridTable2-Accent5">
    <w:name w:val="Grid Table 2 Accent 5"/>
    <w:basedOn w:val="TableNormal"/>
    <w:uiPriority w:val="47"/>
    <w:rsid w:val="0029749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3141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198"/>
    <w:rPr>
      <w:rFonts w:asciiTheme="majorHAnsi" w:eastAsiaTheme="majorEastAsia" w:hAnsiTheme="majorHAnsi" w:cstheme="majorBidi"/>
      <w:spacing w:val="-10"/>
      <w:kern w:val="28"/>
      <w:sz w:val="56"/>
      <w:szCs w:val="56"/>
    </w:rPr>
  </w:style>
  <w:style w:type="paragraph" w:styleId="NormalWeb">
    <w:name w:val="Normal (Web)"/>
    <w:basedOn w:val="Normal"/>
    <w:qFormat/>
    <w:rsid w:val="00314198"/>
    <w:pPr>
      <w:spacing w:after="0"/>
    </w:pPr>
    <w:rPr>
      <w:rFonts w:ascii="Georgia" w:eastAsia="Times New Roman" w:hAnsi="Georgia" w:cs="Times New Roman"/>
      <w:color w:val="000000"/>
      <w:kern w:val="0"/>
      <w:sz w:val="21"/>
      <w:szCs w:val="21"/>
      <w:lang w:eastAsia="en-GB"/>
      <w14:ligatures w14:val="none"/>
    </w:rPr>
  </w:style>
  <w:style w:type="paragraph" w:styleId="Header">
    <w:name w:val="header"/>
    <w:basedOn w:val="Normal"/>
    <w:link w:val="HeaderChar"/>
    <w:uiPriority w:val="99"/>
    <w:unhideWhenUsed/>
    <w:rsid w:val="00314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198"/>
  </w:style>
  <w:style w:type="paragraph" w:styleId="Footer">
    <w:name w:val="footer"/>
    <w:basedOn w:val="Normal"/>
    <w:link w:val="FooterChar"/>
    <w:uiPriority w:val="99"/>
    <w:unhideWhenUsed/>
    <w:rsid w:val="00314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hyperlink" Target="http://www.british-history.ac.uk/vch/lancs/vol8/pp109-118" TargetMode="External"/><Relationship Id="rId3" Type="http://schemas.openxmlformats.org/officeDocument/2006/relationships/webSettings" Target="webSettings.xml"/><Relationship Id="rId21" Type="http://schemas.openxmlformats.org/officeDocument/2006/relationships/image" Target="media/image10.jpeg"/><Relationship Id="rId7" Type="http://schemas.openxmlformats.org/officeDocument/2006/relationships/hyperlink" Target="mailto:2008524@student.uwtsd.ac.uk" TargetMode="External"/><Relationship Id="rId12" Type="http://schemas.openxmlformats.org/officeDocument/2006/relationships/hyperlink" Target="http://www.HeyWhatsThat.com" TargetMode="External"/><Relationship Id="rId17" Type="http://schemas.openxmlformats.org/officeDocument/2006/relationships/image" Target="media/image6.jpeg"/><Relationship Id="rId25" Type="http://schemas.openxmlformats.org/officeDocument/2006/relationships/hyperlink" Target="http://www.HeyWhatsThat.com" TargetMode="External"/><Relationship Id="rId2" Type="http://schemas.openxmlformats.org/officeDocument/2006/relationships/settings" Target="settings.xml"/><Relationship Id="rId16" Type="http://schemas.openxmlformats.org/officeDocument/2006/relationships/hyperlink" Target="http://www.HeyWhatsThat.com" TargetMode="External"/><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HeyWhatsThat.com" TargetMode="External"/><Relationship Id="rId24" Type="http://schemas.openxmlformats.org/officeDocument/2006/relationships/hyperlink" Target="http://www.ngdc.noaa.gov/geomag-web/" TargetMode="Externa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stevemorse.org/jcal/julian.html" TargetMode="External"/><Relationship Id="rId28" Type="http://schemas.openxmlformats.org/officeDocument/2006/relationships/hyperlink" Target="https://www.catholicculture.org/culture/liturgicalyear/activities" TargetMode="External"/><Relationship Id="rId10" Type="http://schemas.openxmlformats.org/officeDocument/2006/relationships/hyperlink" Target="https://www.movable-type.co.uk/scripts/latlong-os-gridref.html" TargetMode="Externa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www.HeyWhatsThat.com" TargetMode="External"/><Relationship Id="rId22" Type="http://schemas.openxmlformats.org/officeDocument/2006/relationships/image" Target="media/image11.jpeg"/><Relationship Id="rId27" Type="http://schemas.openxmlformats.org/officeDocument/2006/relationships/hyperlink" Target="http://www.jstor.org/stable/234080"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tevemorse.org/jcal/julian.html" TargetMode="External"/><Relationship Id="rId2" Type="http://schemas.openxmlformats.org/officeDocument/2006/relationships/hyperlink" Target="http://www.ngdc.noaa.gov/geomag-web/" TargetMode="External"/><Relationship Id="rId1" Type="http://schemas.openxmlformats.org/officeDocument/2006/relationships/hyperlink" Target="https://www.jstor.org/stable/23771308" TargetMode="External"/><Relationship Id="rId6" Type="http://schemas.openxmlformats.org/officeDocument/2006/relationships/hyperlink" Target="https://stevemorse.org/jcal/julian.html" TargetMode="External"/><Relationship Id="rId5" Type="http://schemas.openxmlformats.org/officeDocument/2006/relationships/hyperlink" Target="https://stevemorse.org/jcal/julian.html" TargetMode="External"/><Relationship Id="rId4" Type="http://schemas.openxmlformats.org/officeDocument/2006/relationships/hyperlink" Target="https://www.catholicculture.org/culture/liturgicalyear/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31</Pages>
  <Words>6321</Words>
  <Characters>33126</Characters>
  <Application>Microsoft Office Word</Application>
  <DocSecurity>0</DocSecurity>
  <Lines>690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Allen (2008524)</dc:creator>
  <cp:keywords/>
  <dc:description/>
  <cp:lastModifiedBy>Christine Allen (2008524)</cp:lastModifiedBy>
  <cp:revision>2</cp:revision>
  <dcterms:created xsi:type="dcterms:W3CDTF">2023-05-03T07:31:00Z</dcterms:created>
  <dcterms:modified xsi:type="dcterms:W3CDTF">2023-05-03T07:31:00Z</dcterms:modified>
</cp:coreProperties>
</file>