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6BCF0" w14:textId="77777777" w:rsidR="00FE6567" w:rsidRDefault="00FE6567" w:rsidP="00FE6567">
      <w:pPr>
        <w:rPr>
          <w:b/>
          <w:sz w:val="52"/>
        </w:rPr>
      </w:pPr>
      <w:r>
        <w:rPr>
          <w:noProof/>
        </w:rPr>
        <w:drawing>
          <wp:inline distT="0" distB="0" distL="0" distR="0" wp14:anchorId="150C18F6" wp14:editId="0C264181">
            <wp:extent cx="2057400" cy="790575"/>
            <wp:effectExtent l="0" t="0" r="0" b="9525"/>
            <wp:docPr id="2"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font, logo, symbol&#10;&#10;Description automatically generated"/>
                    <pic:cNvPicPr>
                      <a:picLocks noChangeAspect="1"/>
                    </pic:cNvPicPr>
                  </pic:nvPicPr>
                  <pic:blipFill>
                    <a:blip r:embed="rId6"/>
                    <a:stretch>
                      <a:fillRect/>
                    </a:stretch>
                  </pic:blipFill>
                  <pic:spPr>
                    <a:xfrm>
                      <a:off x="0" y="0"/>
                      <a:ext cx="2057400" cy="790575"/>
                    </a:xfrm>
                    <a:prstGeom prst="rect">
                      <a:avLst/>
                    </a:prstGeom>
                  </pic:spPr>
                </pic:pic>
              </a:graphicData>
            </a:graphic>
          </wp:inline>
        </w:drawing>
      </w:r>
    </w:p>
    <w:p w14:paraId="3DCC874A" w14:textId="77777777" w:rsidR="00FE6567" w:rsidRDefault="00FE6567" w:rsidP="00FE6567">
      <w:pPr>
        <w:rPr>
          <w:b/>
          <w:sz w:val="52"/>
        </w:rPr>
      </w:pPr>
    </w:p>
    <w:p w14:paraId="6E33CDE4" w14:textId="2F809082" w:rsidR="00B3739A" w:rsidRPr="00E400DF" w:rsidRDefault="00B3739A" w:rsidP="00B3739A">
      <w:pPr>
        <w:jc w:val="center"/>
        <w:rPr>
          <w:sz w:val="32"/>
          <w:szCs w:val="32"/>
        </w:rPr>
      </w:pPr>
      <w:r w:rsidRPr="00E400DF">
        <w:rPr>
          <w:b/>
          <w:bCs/>
          <w:sz w:val="32"/>
          <w:szCs w:val="32"/>
        </w:rPr>
        <w:t xml:space="preserve">Module Code: </w:t>
      </w:r>
      <w:r w:rsidRPr="00B3739A">
        <w:rPr>
          <w:b/>
          <w:bCs/>
          <w:sz w:val="32"/>
          <w:szCs w:val="32"/>
        </w:rPr>
        <w:t>LCBB400</w:t>
      </w:r>
      <w:r w:rsidRPr="00B3739A">
        <w:rPr>
          <w:b/>
          <w:bCs/>
          <w:sz w:val="32"/>
          <w:szCs w:val="32"/>
        </w:rPr>
        <w:t>1</w:t>
      </w:r>
    </w:p>
    <w:p w14:paraId="546EA707" w14:textId="4277E7A4" w:rsidR="00B3739A" w:rsidRDefault="00B3739A" w:rsidP="00B3739A">
      <w:pPr>
        <w:jc w:val="center"/>
        <w:rPr>
          <w:sz w:val="44"/>
          <w:szCs w:val="44"/>
        </w:rPr>
      </w:pPr>
      <w:r w:rsidRPr="009B73BA">
        <w:rPr>
          <w:b/>
          <w:bCs/>
          <w:sz w:val="44"/>
          <w:szCs w:val="44"/>
        </w:rPr>
        <w:t xml:space="preserve">Module Title: </w:t>
      </w:r>
      <w:r w:rsidRPr="00B3739A">
        <w:rPr>
          <w:b/>
          <w:bCs/>
          <w:sz w:val="44"/>
          <w:szCs w:val="44"/>
        </w:rPr>
        <w:t>Accounting Fundamentals</w:t>
      </w:r>
    </w:p>
    <w:p w14:paraId="7147A1C1" w14:textId="41119C67" w:rsidR="00B3739A" w:rsidRPr="00B3739A" w:rsidRDefault="00B3739A" w:rsidP="00B3739A">
      <w:pPr>
        <w:jc w:val="center"/>
        <w:rPr>
          <w:b/>
          <w:bCs/>
          <w:sz w:val="32"/>
          <w:szCs w:val="32"/>
        </w:rPr>
      </w:pPr>
      <w:r w:rsidRPr="00B3739A">
        <w:rPr>
          <w:b/>
          <w:bCs/>
          <w:sz w:val="32"/>
          <w:szCs w:val="32"/>
        </w:rPr>
        <w:t>Assignment- A1</w:t>
      </w:r>
    </w:p>
    <w:p w14:paraId="64156831" w14:textId="77777777" w:rsidR="00B3739A" w:rsidRPr="00E400DF" w:rsidRDefault="00B3739A" w:rsidP="00B3739A">
      <w:pPr>
        <w:jc w:val="center"/>
        <w:rPr>
          <w:sz w:val="32"/>
          <w:szCs w:val="32"/>
        </w:rPr>
      </w:pPr>
    </w:p>
    <w:p w14:paraId="244AFC0A" w14:textId="77777777" w:rsidR="00B3739A" w:rsidRPr="00E400DF" w:rsidRDefault="00B3739A" w:rsidP="00B3739A">
      <w:pPr>
        <w:rPr>
          <w:sz w:val="32"/>
          <w:szCs w:val="32"/>
        </w:rPr>
      </w:pPr>
    </w:p>
    <w:p w14:paraId="6BB3D61C" w14:textId="77777777" w:rsidR="00B3739A" w:rsidRPr="009B73BA" w:rsidRDefault="00B3739A" w:rsidP="00B3739A">
      <w:pPr>
        <w:jc w:val="center"/>
        <w:rPr>
          <w:b/>
          <w:bCs/>
          <w:sz w:val="32"/>
          <w:szCs w:val="32"/>
        </w:rPr>
      </w:pPr>
      <w:r w:rsidRPr="009B73BA">
        <w:rPr>
          <w:b/>
          <w:bCs/>
          <w:sz w:val="32"/>
          <w:szCs w:val="32"/>
        </w:rPr>
        <w:t>Studen</w:t>
      </w:r>
      <w:r>
        <w:rPr>
          <w:b/>
          <w:bCs/>
          <w:sz w:val="32"/>
          <w:szCs w:val="32"/>
        </w:rPr>
        <w:t>t</w:t>
      </w:r>
      <w:r w:rsidRPr="009B73BA">
        <w:rPr>
          <w:b/>
          <w:bCs/>
          <w:sz w:val="32"/>
          <w:szCs w:val="32"/>
        </w:rPr>
        <w:t xml:space="preserve"> </w:t>
      </w:r>
      <w:r>
        <w:rPr>
          <w:b/>
          <w:bCs/>
          <w:sz w:val="32"/>
          <w:szCs w:val="32"/>
        </w:rPr>
        <w:t>Name</w:t>
      </w:r>
      <w:r w:rsidRPr="009B73BA">
        <w:rPr>
          <w:b/>
          <w:bCs/>
          <w:sz w:val="32"/>
          <w:szCs w:val="32"/>
        </w:rPr>
        <w:t>: Florentin Cocea</w:t>
      </w:r>
    </w:p>
    <w:p w14:paraId="6D29DF23" w14:textId="77777777" w:rsidR="00B3739A" w:rsidRDefault="00B3739A" w:rsidP="00B3739A">
      <w:pPr>
        <w:jc w:val="center"/>
        <w:rPr>
          <w:b/>
          <w:bCs/>
          <w:sz w:val="32"/>
          <w:szCs w:val="32"/>
        </w:rPr>
      </w:pPr>
      <w:r w:rsidRPr="009B73BA">
        <w:rPr>
          <w:b/>
          <w:bCs/>
          <w:sz w:val="32"/>
          <w:szCs w:val="32"/>
        </w:rPr>
        <w:t>Student</w:t>
      </w:r>
      <w:r>
        <w:rPr>
          <w:b/>
          <w:bCs/>
          <w:sz w:val="32"/>
          <w:szCs w:val="32"/>
        </w:rPr>
        <w:t xml:space="preserve"> ID</w:t>
      </w:r>
      <w:r w:rsidRPr="009B73BA">
        <w:rPr>
          <w:b/>
          <w:bCs/>
          <w:sz w:val="32"/>
          <w:szCs w:val="32"/>
        </w:rPr>
        <w:t>: 2134124</w:t>
      </w:r>
    </w:p>
    <w:p w14:paraId="7A62425D" w14:textId="365E38D6" w:rsidR="00B3739A" w:rsidRPr="00B3739A" w:rsidRDefault="00B3739A" w:rsidP="00B3739A">
      <w:pPr>
        <w:jc w:val="center"/>
        <w:rPr>
          <w:b/>
          <w:bCs/>
          <w:sz w:val="32"/>
          <w:szCs w:val="32"/>
        </w:rPr>
      </w:pPr>
      <w:r>
        <w:rPr>
          <w:b/>
          <w:bCs/>
          <w:sz w:val="32"/>
          <w:szCs w:val="32"/>
        </w:rPr>
        <w:t xml:space="preserve">Lecturer: </w:t>
      </w:r>
      <w:r w:rsidRPr="00B3739A">
        <w:rPr>
          <w:b/>
          <w:bCs/>
          <w:sz w:val="32"/>
          <w:szCs w:val="32"/>
        </w:rPr>
        <w:t>Thomas Adeyemi</w:t>
      </w:r>
    </w:p>
    <w:p w14:paraId="2698E558" w14:textId="24A5F74A" w:rsidR="00B3739A" w:rsidRPr="009B73BA" w:rsidRDefault="00B3739A" w:rsidP="00B3739A">
      <w:pPr>
        <w:jc w:val="center"/>
        <w:rPr>
          <w:b/>
          <w:bCs/>
          <w:sz w:val="32"/>
          <w:szCs w:val="32"/>
        </w:rPr>
      </w:pPr>
      <w:r>
        <w:rPr>
          <w:b/>
          <w:bCs/>
          <w:sz w:val="32"/>
          <w:szCs w:val="32"/>
        </w:rPr>
        <w:t>Submission Date:</w:t>
      </w:r>
      <w:r>
        <w:rPr>
          <w:b/>
          <w:bCs/>
          <w:sz w:val="32"/>
          <w:szCs w:val="32"/>
        </w:rPr>
        <w:t>08</w:t>
      </w:r>
      <w:r>
        <w:rPr>
          <w:b/>
          <w:bCs/>
          <w:sz w:val="32"/>
          <w:szCs w:val="32"/>
        </w:rPr>
        <w:t>.0</w:t>
      </w:r>
      <w:r>
        <w:rPr>
          <w:b/>
          <w:bCs/>
          <w:sz w:val="32"/>
          <w:szCs w:val="32"/>
        </w:rPr>
        <w:t>5</w:t>
      </w:r>
      <w:r>
        <w:rPr>
          <w:b/>
          <w:bCs/>
          <w:sz w:val="32"/>
          <w:szCs w:val="32"/>
        </w:rPr>
        <w:t>.2023</w:t>
      </w:r>
    </w:p>
    <w:p w14:paraId="6797F4C6" w14:textId="54FB0A71" w:rsidR="00D92878" w:rsidRPr="00D92878" w:rsidRDefault="00D92878" w:rsidP="00FE6567">
      <w:pPr>
        <w:rPr>
          <w:b/>
          <w:sz w:val="52"/>
        </w:rPr>
      </w:pPr>
      <w:r w:rsidRPr="00D92878">
        <w:rPr>
          <w:b/>
          <w:sz w:val="52"/>
        </w:rPr>
        <w:br w:type="page"/>
      </w:r>
    </w:p>
    <w:sdt>
      <w:sdtPr>
        <w:id w:val="1389921362"/>
        <w:docPartObj>
          <w:docPartGallery w:val="Table of Contents"/>
          <w:docPartUnique/>
        </w:docPartObj>
      </w:sdtPr>
      <w:sdtEndPr>
        <w:rPr>
          <w:rFonts w:eastAsiaTheme="minorHAnsi" w:cstheme="minorBidi"/>
          <w:b/>
          <w:bCs/>
          <w:noProof/>
          <w:color w:val="auto"/>
          <w:szCs w:val="22"/>
          <w:lang w:val="en-IN"/>
        </w:rPr>
      </w:sdtEndPr>
      <w:sdtContent>
        <w:p w14:paraId="54EEEA14" w14:textId="540FE040" w:rsidR="003D79EB" w:rsidRDefault="003D79EB">
          <w:pPr>
            <w:pStyle w:val="TOCHeading"/>
          </w:pPr>
          <w:r>
            <w:t>Table of Contents</w:t>
          </w:r>
        </w:p>
        <w:p w14:paraId="280C44E0" w14:textId="44735CEA" w:rsidR="003D79EB" w:rsidRPr="003D79EB" w:rsidRDefault="003D79EB">
          <w:pPr>
            <w:pStyle w:val="TOC1"/>
            <w:tabs>
              <w:tab w:val="right" w:leader="dot" w:pos="9350"/>
            </w:tabs>
            <w:rPr>
              <w:rFonts w:asciiTheme="minorHAnsi" w:eastAsiaTheme="minorEastAsia" w:hAnsiTheme="minorHAnsi"/>
              <w:noProof/>
              <w:kern w:val="2"/>
              <w:sz w:val="22"/>
              <w:lang w:val="en-GB" w:eastAsia="en-GB"/>
            </w:rPr>
          </w:pPr>
          <w:r>
            <w:fldChar w:fldCharType="begin"/>
          </w:r>
          <w:r>
            <w:instrText xml:space="preserve"> TOC \o "1-3" \h \z \u </w:instrText>
          </w:r>
          <w:r>
            <w:fldChar w:fldCharType="separate"/>
          </w:r>
          <w:hyperlink w:anchor="_Toc134379283" w:history="1">
            <w:r w:rsidRPr="000B39EE">
              <w:rPr>
                <w:rStyle w:val="Hyperlink"/>
                <w:noProof/>
              </w:rPr>
              <w:t>Introduction</w:t>
            </w:r>
            <w:r>
              <w:rPr>
                <w:noProof/>
                <w:webHidden/>
              </w:rPr>
              <w:tab/>
            </w:r>
            <w:r>
              <w:rPr>
                <w:noProof/>
                <w:webHidden/>
              </w:rPr>
              <w:fldChar w:fldCharType="begin"/>
            </w:r>
            <w:r>
              <w:rPr>
                <w:noProof/>
                <w:webHidden/>
              </w:rPr>
              <w:instrText xml:space="preserve"> PAGEREF _Toc134379283 \h </w:instrText>
            </w:r>
            <w:r>
              <w:rPr>
                <w:noProof/>
                <w:webHidden/>
              </w:rPr>
            </w:r>
            <w:r>
              <w:rPr>
                <w:noProof/>
                <w:webHidden/>
              </w:rPr>
              <w:fldChar w:fldCharType="separate"/>
            </w:r>
            <w:r>
              <w:rPr>
                <w:noProof/>
                <w:webHidden/>
              </w:rPr>
              <w:t>3</w:t>
            </w:r>
            <w:r>
              <w:rPr>
                <w:noProof/>
                <w:webHidden/>
              </w:rPr>
              <w:fldChar w:fldCharType="end"/>
            </w:r>
          </w:hyperlink>
        </w:p>
        <w:p w14:paraId="79BB048A" w14:textId="7F7B26AA" w:rsidR="003D79EB" w:rsidRPr="003D79EB" w:rsidRDefault="003D79EB">
          <w:pPr>
            <w:pStyle w:val="TOC1"/>
            <w:tabs>
              <w:tab w:val="right" w:leader="dot" w:pos="9350"/>
            </w:tabs>
            <w:rPr>
              <w:rFonts w:asciiTheme="minorHAnsi" w:eastAsiaTheme="minorEastAsia" w:hAnsiTheme="minorHAnsi"/>
              <w:noProof/>
              <w:kern w:val="2"/>
              <w:sz w:val="22"/>
              <w:lang w:val="en-GB" w:eastAsia="en-GB"/>
            </w:rPr>
          </w:pPr>
          <w:hyperlink w:anchor="_Toc134379284" w:history="1">
            <w:r w:rsidRPr="000B39EE">
              <w:rPr>
                <w:rStyle w:val="Hyperlink"/>
                <w:noProof/>
              </w:rPr>
              <w:t>Question 1</w:t>
            </w:r>
            <w:r>
              <w:rPr>
                <w:noProof/>
                <w:webHidden/>
              </w:rPr>
              <w:tab/>
            </w:r>
            <w:r>
              <w:rPr>
                <w:noProof/>
                <w:webHidden/>
              </w:rPr>
              <w:fldChar w:fldCharType="begin"/>
            </w:r>
            <w:r>
              <w:rPr>
                <w:noProof/>
                <w:webHidden/>
              </w:rPr>
              <w:instrText xml:space="preserve"> PAGEREF _Toc134379284 \h </w:instrText>
            </w:r>
            <w:r>
              <w:rPr>
                <w:noProof/>
                <w:webHidden/>
              </w:rPr>
            </w:r>
            <w:r>
              <w:rPr>
                <w:noProof/>
                <w:webHidden/>
              </w:rPr>
              <w:fldChar w:fldCharType="separate"/>
            </w:r>
            <w:r>
              <w:rPr>
                <w:noProof/>
                <w:webHidden/>
              </w:rPr>
              <w:t>3</w:t>
            </w:r>
            <w:r>
              <w:rPr>
                <w:noProof/>
                <w:webHidden/>
              </w:rPr>
              <w:fldChar w:fldCharType="end"/>
            </w:r>
          </w:hyperlink>
        </w:p>
        <w:p w14:paraId="16AA0F15" w14:textId="2DD103F3" w:rsidR="003D79EB" w:rsidRPr="003D79EB" w:rsidRDefault="003D79EB">
          <w:pPr>
            <w:pStyle w:val="TOC1"/>
            <w:tabs>
              <w:tab w:val="right" w:leader="dot" w:pos="9350"/>
            </w:tabs>
            <w:rPr>
              <w:rFonts w:asciiTheme="minorHAnsi" w:eastAsiaTheme="minorEastAsia" w:hAnsiTheme="minorHAnsi"/>
              <w:noProof/>
              <w:kern w:val="2"/>
              <w:sz w:val="22"/>
              <w:lang w:val="en-GB" w:eastAsia="en-GB"/>
            </w:rPr>
          </w:pPr>
          <w:hyperlink w:anchor="_Toc134379285" w:history="1">
            <w:r w:rsidRPr="000B39EE">
              <w:rPr>
                <w:rStyle w:val="Hyperlink"/>
                <w:noProof/>
              </w:rPr>
              <w:t>Question 2</w:t>
            </w:r>
            <w:r>
              <w:rPr>
                <w:noProof/>
                <w:webHidden/>
              </w:rPr>
              <w:tab/>
            </w:r>
            <w:r>
              <w:rPr>
                <w:noProof/>
                <w:webHidden/>
              </w:rPr>
              <w:fldChar w:fldCharType="begin"/>
            </w:r>
            <w:r>
              <w:rPr>
                <w:noProof/>
                <w:webHidden/>
              </w:rPr>
              <w:instrText xml:space="preserve"> PAGEREF _Toc134379285 \h </w:instrText>
            </w:r>
            <w:r>
              <w:rPr>
                <w:noProof/>
                <w:webHidden/>
              </w:rPr>
            </w:r>
            <w:r>
              <w:rPr>
                <w:noProof/>
                <w:webHidden/>
              </w:rPr>
              <w:fldChar w:fldCharType="separate"/>
            </w:r>
            <w:r>
              <w:rPr>
                <w:noProof/>
                <w:webHidden/>
              </w:rPr>
              <w:t>7</w:t>
            </w:r>
            <w:r>
              <w:rPr>
                <w:noProof/>
                <w:webHidden/>
              </w:rPr>
              <w:fldChar w:fldCharType="end"/>
            </w:r>
          </w:hyperlink>
        </w:p>
        <w:p w14:paraId="1511504E" w14:textId="44F64DB6" w:rsidR="003D79EB" w:rsidRPr="003D79EB" w:rsidRDefault="003D79EB">
          <w:pPr>
            <w:pStyle w:val="TOC1"/>
            <w:tabs>
              <w:tab w:val="right" w:leader="dot" w:pos="9350"/>
            </w:tabs>
            <w:rPr>
              <w:rFonts w:asciiTheme="minorHAnsi" w:eastAsiaTheme="minorEastAsia" w:hAnsiTheme="minorHAnsi"/>
              <w:noProof/>
              <w:kern w:val="2"/>
              <w:sz w:val="22"/>
              <w:lang w:val="en-GB" w:eastAsia="en-GB"/>
            </w:rPr>
          </w:pPr>
          <w:hyperlink w:anchor="_Toc134379286" w:history="1">
            <w:r w:rsidRPr="000B39EE">
              <w:rPr>
                <w:rStyle w:val="Hyperlink"/>
                <w:noProof/>
              </w:rPr>
              <w:t>Conclusion</w:t>
            </w:r>
            <w:r>
              <w:rPr>
                <w:noProof/>
                <w:webHidden/>
              </w:rPr>
              <w:tab/>
            </w:r>
            <w:r>
              <w:rPr>
                <w:noProof/>
                <w:webHidden/>
              </w:rPr>
              <w:fldChar w:fldCharType="begin"/>
            </w:r>
            <w:r>
              <w:rPr>
                <w:noProof/>
                <w:webHidden/>
              </w:rPr>
              <w:instrText xml:space="preserve"> PAGEREF _Toc134379286 \h </w:instrText>
            </w:r>
            <w:r>
              <w:rPr>
                <w:noProof/>
                <w:webHidden/>
              </w:rPr>
            </w:r>
            <w:r>
              <w:rPr>
                <w:noProof/>
                <w:webHidden/>
              </w:rPr>
              <w:fldChar w:fldCharType="separate"/>
            </w:r>
            <w:r>
              <w:rPr>
                <w:noProof/>
                <w:webHidden/>
              </w:rPr>
              <w:t>11</w:t>
            </w:r>
            <w:r>
              <w:rPr>
                <w:noProof/>
                <w:webHidden/>
              </w:rPr>
              <w:fldChar w:fldCharType="end"/>
            </w:r>
          </w:hyperlink>
        </w:p>
        <w:p w14:paraId="5442723D" w14:textId="1AD03A9A" w:rsidR="003D79EB" w:rsidRPr="003D79EB" w:rsidRDefault="003D79EB">
          <w:pPr>
            <w:pStyle w:val="TOC1"/>
            <w:tabs>
              <w:tab w:val="right" w:leader="dot" w:pos="9350"/>
            </w:tabs>
            <w:rPr>
              <w:rFonts w:asciiTheme="minorHAnsi" w:eastAsiaTheme="minorEastAsia" w:hAnsiTheme="minorHAnsi"/>
              <w:noProof/>
              <w:kern w:val="2"/>
              <w:sz w:val="22"/>
              <w:lang w:val="en-GB" w:eastAsia="en-GB"/>
            </w:rPr>
          </w:pPr>
          <w:hyperlink w:anchor="_Toc134379287" w:history="1">
            <w:r w:rsidRPr="000B39EE">
              <w:rPr>
                <w:rStyle w:val="Hyperlink"/>
                <w:noProof/>
              </w:rPr>
              <w:t>Reference List</w:t>
            </w:r>
            <w:r>
              <w:rPr>
                <w:noProof/>
                <w:webHidden/>
              </w:rPr>
              <w:tab/>
            </w:r>
            <w:r>
              <w:rPr>
                <w:noProof/>
                <w:webHidden/>
              </w:rPr>
              <w:fldChar w:fldCharType="begin"/>
            </w:r>
            <w:r>
              <w:rPr>
                <w:noProof/>
                <w:webHidden/>
              </w:rPr>
              <w:instrText xml:space="preserve"> PAGEREF _Toc134379287 \h </w:instrText>
            </w:r>
            <w:r>
              <w:rPr>
                <w:noProof/>
                <w:webHidden/>
              </w:rPr>
            </w:r>
            <w:r>
              <w:rPr>
                <w:noProof/>
                <w:webHidden/>
              </w:rPr>
              <w:fldChar w:fldCharType="separate"/>
            </w:r>
            <w:r>
              <w:rPr>
                <w:noProof/>
                <w:webHidden/>
              </w:rPr>
              <w:t>12</w:t>
            </w:r>
            <w:r>
              <w:rPr>
                <w:noProof/>
                <w:webHidden/>
              </w:rPr>
              <w:fldChar w:fldCharType="end"/>
            </w:r>
          </w:hyperlink>
        </w:p>
        <w:p w14:paraId="6C96D5A2" w14:textId="4164D36D" w:rsidR="003D79EB" w:rsidRDefault="003D79EB">
          <w:r>
            <w:rPr>
              <w:b/>
              <w:bCs/>
              <w:noProof/>
            </w:rPr>
            <w:fldChar w:fldCharType="end"/>
          </w:r>
        </w:p>
      </w:sdtContent>
    </w:sdt>
    <w:p w14:paraId="4BA5CA92" w14:textId="77777777" w:rsidR="00D92878" w:rsidRDefault="00D92878">
      <w:r>
        <w:br w:type="page"/>
      </w:r>
    </w:p>
    <w:p w14:paraId="325911A4" w14:textId="77777777" w:rsidR="00D92878" w:rsidRDefault="00D92878" w:rsidP="00D92878">
      <w:pPr>
        <w:pStyle w:val="Heading1"/>
      </w:pPr>
      <w:bookmarkStart w:id="0" w:name="_Toc134379283"/>
      <w:r>
        <w:lastRenderedPageBreak/>
        <w:t>Introduction</w:t>
      </w:r>
      <w:bookmarkEnd w:id="0"/>
      <w:r>
        <w:t xml:space="preserve"> </w:t>
      </w:r>
    </w:p>
    <w:p w14:paraId="1E0688D0" w14:textId="77777777" w:rsidR="00C6163E" w:rsidRPr="00C6163E" w:rsidRDefault="00C6163E" w:rsidP="00C6163E">
      <w:r w:rsidRPr="00C6163E">
        <w:t>This report will answer two accounting-related queries. Wales Plc is required to create an income statement and a statement of financial position for the fiscal year that ends on December 31, 2022. Why does the statement of financial position balance? is the first query. In the second query, various financial ratios for Sweets plc's 2020 and 2021 fiscal years are calculated, and their effects on the company's position and financial performance are examined.</w:t>
      </w:r>
    </w:p>
    <w:p w14:paraId="7BBB4AEE" w14:textId="77777777" w:rsidR="00C6163E" w:rsidRPr="00C6163E" w:rsidRDefault="00C6163E" w:rsidP="00C6163E">
      <w:r w:rsidRPr="00C6163E">
        <w:t>With regard to the first inquiry, relevant financial data is provided along with extra details like the estimated corporation tax, salespeople's commission, and goods delivered to customers on credit. Students must prepare an income statement and a statement of financial position, as well as verify that the latter is balanced.</w:t>
      </w:r>
    </w:p>
    <w:p w14:paraId="5B369594" w14:textId="77777777" w:rsidR="00C6163E" w:rsidRPr="00C6163E" w:rsidRDefault="00C6163E" w:rsidP="00C6163E">
      <w:r w:rsidRPr="00C6163E">
        <w:t>The financial statements of Sweets plc for 2020 and 2021 are included in the second question, along with extra details like the total dividend paid, the average share price, and various assets and liabilities. Ten financial ratios must be calculated for the company, and students must use these ratios to assess the company's position and financial performance.</w:t>
      </w:r>
    </w:p>
    <w:p w14:paraId="58153830" w14:textId="77777777" w:rsidR="00D92878" w:rsidRDefault="00D92878" w:rsidP="00D92878">
      <w:pPr>
        <w:pStyle w:val="Heading1"/>
      </w:pPr>
      <w:bookmarkStart w:id="1" w:name="_Toc134379284"/>
      <w:r>
        <w:t>Question 1</w:t>
      </w:r>
      <w:bookmarkEnd w:id="1"/>
    </w:p>
    <w:p w14:paraId="41197915" w14:textId="77777777" w:rsidR="00C92ED4" w:rsidRPr="00C92ED4" w:rsidRDefault="00E2618D" w:rsidP="00C92ED4">
      <w:pPr>
        <w:spacing w:line="240" w:lineRule="auto"/>
        <w:rPr>
          <w:rFonts w:ascii="Calibri" w:eastAsia="Times New Roman" w:hAnsi="Calibri" w:cs="Calibri"/>
          <w:b/>
          <w:color w:val="000000"/>
          <w:sz w:val="22"/>
          <w:lang w:val="en-US"/>
        </w:rPr>
      </w:pPr>
      <w:r w:rsidRPr="00E2618D">
        <w:rPr>
          <w:rFonts w:ascii="Calibri" w:eastAsia="Times New Roman" w:hAnsi="Calibri" w:cs="Calibri"/>
          <w:b/>
          <w:color w:val="000000"/>
          <w:sz w:val="22"/>
          <w:lang w:val="en-US"/>
        </w:rPr>
        <w:t xml:space="preserve">A) </w:t>
      </w:r>
      <w:r w:rsidR="00C92ED4" w:rsidRPr="00C92ED4">
        <w:rPr>
          <w:rFonts w:ascii="Calibri" w:eastAsia="Times New Roman" w:hAnsi="Calibri" w:cs="Calibri"/>
          <w:b/>
          <w:bCs/>
          <w:color w:val="000000"/>
          <w:sz w:val="22"/>
          <w:lang w:val="en-US"/>
        </w:rPr>
        <w:t>Wales Plc's income statement for the fiscal year that ended on December 31, 2022:</w:t>
      </w:r>
    </w:p>
    <w:p w14:paraId="0946E6D6" w14:textId="77777777" w:rsidR="00E2618D" w:rsidRPr="00E2618D" w:rsidRDefault="00E2618D" w:rsidP="00C92ED4">
      <w:pPr>
        <w:spacing w:after="0" w:line="240" w:lineRule="auto"/>
        <w:jc w:val="center"/>
        <w:rPr>
          <w:b/>
          <w:lang w:val="en-US"/>
        </w:rPr>
      </w:pPr>
      <w:r w:rsidRPr="00E2618D">
        <w:rPr>
          <w:b/>
          <w:noProof/>
          <w:lang w:val="en-US"/>
        </w:rPr>
        <w:drawing>
          <wp:inline distT="0" distB="0" distL="0" distR="0" wp14:anchorId="0324650D" wp14:editId="26456463">
            <wp:extent cx="3909505" cy="30384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3909505" cy="3038475"/>
                    </a:xfrm>
                    <a:prstGeom prst="rect">
                      <a:avLst/>
                    </a:prstGeom>
                    <a:noFill/>
                    <a:ln w="9525">
                      <a:noFill/>
                      <a:miter lim="800000"/>
                      <a:headEnd/>
                      <a:tailEnd/>
                    </a:ln>
                  </pic:spPr>
                </pic:pic>
              </a:graphicData>
            </a:graphic>
          </wp:inline>
        </w:drawing>
      </w:r>
    </w:p>
    <w:p w14:paraId="001248CF" w14:textId="77777777" w:rsidR="00E2618D" w:rsidRPr="00E2618D" w:rsidRDefault="00E2618D" w:rsidP="00C92ED4">
      <w:pPr>
        <w:jc w:val="center"/>
        <w:rPr>
          <w:b/>
          <w:lang w:val="en-US"/>
        </w:rPr>
      </w:pPr>
      <w:r w:rsidRPr="00E2618D">
        <w:rPr>
          <w:b/>
          <w:lang w:val="en-US"/>
        </w:rPr>
        <w:t>Table1: Shows Income Statement of Wales plc</w:t>
      </w:r>
    </w:p>
    <w:p w14:paraId="587FCEFE" w14:textId="77777777" w:rsidR="00E2618D" w:rsidRPr="00E2618D" w:rsidRDefault="00E2618D" w:rsidP="00C92ED4">
      <w:pPr>
        <w:jc w:val="center"/>
        <w:rPr>
          <w:b/>
          <w:lang w:val="en-US"/>
        </w:rPr>
      </w:pPr>
      <w:r w:rsidRPr="00E2618D">
        <w:rPr>
          <w:b/>
          <w:lang w:val="en-US"/>
        </w:rPr>
        <w:lastRenderedPageBreak/>
        <w:t>(Source: Excel)</w:t>
      </w:r>
    </w:p>
    <w:p w14:paraId="3A34BD0B" w14:textId="77777777" w:rsidR="00C6163E" w:rsidRPr="00C6163E" w:rsidRDefault="00C6163E" w:rsidP="00C6163E">
      <w:pPr>
        <w:rPr>
          <w:lang w:val="en-US"/>
        </w:rPr>
      </w:pPr>
      <w:r w:rsidRPr="00C6163E">
        <w:rPr>
          <w:lang w:val="en-US"/>
        </w:rPr>
        <w:t>According to Wales Plc's income statement for the accounting period that ended on December 31, 2022, the company made a total of £800,000. The business's £578,650 cost of sales resulted in a gross profit of £221,350. Operating costs for the company came to £115,000 and included administrative costs, distribution costs, directors' compensation, interest paid, preference dividends paid, and regular dividends paid. It arrived at a profit before tax of £103,350 after deducting operating costs from the gross profit. The company incurred a corporation tax expense of £100,000, leaving it with a net profit of £3,350. The low net profit is an indicator that the company did not perform well during the year. The company needs to investigate ways to reduce costs and increase sales.</w:t>
      </w:r>
    </w:p>
    <w:p w14:paraId="14451D26" w14:textId="77777777" w:rsidR="00C6163E" w:rsidRPr="00C6163E" w:rsidRDefault="00C6163E" w:rsidP="00C6163E">
      <w:pPr>
        <w:rPr>
          <w:lang w:val="en-US"/>
        </w:rPr>
      </w:pPr>
      <w:r w:rsidRPr="00C6163E">
        <w:rPr>
          <w:lang w:val="en-US"/>
        </w:rPr>
        <w:t>As of December 31, 2022, the company's assets totaled £2,228,955, according to its statement of financial position. The £1,450,000 in plant, equipment, and debentures that make up the non-current assets. The current assets total £778,955 and include stock, accounts receivable, cash and bank, and prepayments</w:t>
      </w:r>
      <w:r w:rsidR="00693ABC">
        <w:rPr>
          <w:lang w:val="en-US"/>
        </w:rPr>
        <w:t xml:space="preserve"> (</w:t>
      </w:r>
      <w:proofErr w:type="spellStart"/>
      <w:r w:rsidR="00693ABC" w:rsidRPr="00364DCE">
        <w:rPr>
          <w:rFonts w:cs="Times New Roman"/>
          <w:szCs w:val="24"/>
        </w:rPr>
        <w:t>Levytska</w:t>
      </w:r>
      <w:proofErr w:type="spellEnd"/>
      <w:r w:rsidR="00693ABC" w:rsidRPr="00364DCE">
        <w:rPr>
          <w:rFonts w:cs="Times New Roman"/>
          <w:szCs w:val="24"/>
        </w:rPr>
        <w:t>,</w:t>
      </w:r>
      <w:r w:rsidR="00693ABC">
        <w:rPr>
          <w:rFonts w:cs="Times New Roman"/>
          <w:szCs w:val="24"/>
        </w:rPr>
        <w:t xml:space="preserve"> et al. 2020</w:t>
      </w:r>
      <w:r w:rsidR="00693ABC">
        <w:rPr>
          <w:lang w:val="en-US"/>
        </w:rPr>
        <w:t>)</w:t>
      </w:r>
      <w:r w:rsidRPr="00C6163E">
        <w:rPr>
          <w:lang w:val="en-US"/>
        </w:rPr>
        <w:t>. The £980 in advance payments is for goods that were delivered to customers on December 31, 2022, with payment due on February 28, 2023. Together, the company's equity and liabilities total £2,228,955. The equity is made up of share capital, which consists of £1 ordinary shares and £10 preferred shares totaling £1,400,000, as well as £132,000 in reserves. The current liabilities total £291,625 and consist of trade payables, tax payables, and commission payables.</w:t>
      </w:r>
    </w:p>
    <w:p w14:paraId="3A7BFF97" w14:textId="77777777" w:rsidR="00C6163E" w:rsidRPr="00C6163E" w:rsidRDefault="00C6163E" w:rsidP="00C6163E">
      <w:pPr>
        <w:rPr>
          <w:lang w:val="en-US"/>
        </w:rPr>
      </w:pPr>
      <w:r w:rsidRPr="00C6163E">
        <w:rPr>
          <w:lang w:val="en-US"/>
        </w:rPr>
        <w:t>The company has a strong foundation of non-current assets, such as debentures and plant and equipment, as shown by its financial position. However, the year's low net profit and high corporation tax expense indicate that the business should concentrate on boosting sales and cutting costs</w:t>
      </w:r>
      <w:r w:rsidR="00693ABC">
        <w:rPr>
          <w:lang w:val="en-US"/>
        </w:rPr>
        <w:t xml:space="preserve"> (</w:t>
      </w:r>
      <w:r w:rsidR="00693ABC" w:rsidRPr="00364DCE">
        <w:rPr>
          <w:rFonts w:cs="Times New Roman"/>
          <w:szCs w:val="24"/>
        </w:rPr>
        <w:t>Lev, 2019</w:t>
      </w:r>
      <w:r w:rsidR="00693ABC">
        <w:rPr>
          <w:lang w:val="en-US"/>
        </w:rPr>
        <w:t>)</w:t>
      </w:r>
      <w:r w:rsidRPr="00C6163E">
        <w:rPr>
          <w:lang w:val="en-US"/>
        </w:rPr>
        <w:t xml:space="preserve">. The prepayments from clients and the commission owed to salespeople show that the company needs to manage its cash flow more effectively. Wales Plc needs to take action to enhance its financial performance, as shown by the </w:t>
      </w:r>
      <w:r w:rsidR="00C15B5D">
        <w:rPr>
          <w:lang w:val="en-US"/>
        </w:rPr>
        <w:t>Financial statement</w:t>
      </w:r>
      <w:r w:rsidRPr="00C6163E">
        <w:rPr>
          <w:lang w:val="en-US"/>
        </w:rPr>
        <w:t>. The business can boost profitability and fortify its financial position by boosting sales and improving cost management.</w:t>
      </w:r>
    </w:p>
    <w:p w14:paraId="420913F4" w14:textId="77777777" w:rsidR="00C92ED4" w:rsidRPr="00C92ED4" w:rsidRDefault="00A26B8E" w:rsidP="00C92ED4">
      <w:pPr>
        <w:spacing w:line="240" w:lineRule="auto"/>
        <w:rPr>
          <w:rFonts w:ascii="Calibri" w:eastAsia="Times New Roman" w:hAnsi="Calibri" w:cs="Calibri"/>
          <w:b/>
          <w:color w:val="000000"/>
          <w:sz w:val="22"/>
          <w:lang w:val="en-US"/>
        </w:rPr>
      </w:pPr>
      <w:r w:rsidRPr="00A26B8E">
        <w:rPr>
          <w:rFonts w:ascii="Calibri" w:eastAsia="Times New Roman" w:hAnsi="Calibri" w:cs="Calibri"/>
          <w:b/>
          <w:color w:val="000000"/>
          <w:sz w:val="22"/>
          <w:lang w:val="en-US"/>
        </w:rPr>
        <w:t>B</w:t>
      </w:r>
      <w:r w:rsidR="00C92ED4">
        <w:rPr>
          <w:rFonts w:ascii="Calibri" w:eastAsia="Times New Roman" w:hAnsi="Calibri" w:cs="Calibri"/>
          <w:b/>
          <w:bCs/>
          <w:color w:val="000000"/>
          <w:sz w:val="22"/>
          <w:lang w:val="en-US"/>
        </w:rPr>
        <w:t xml:space="preserve">) </w:t>
      </w:r>
      <w:r w:rsidR="00C92ED4" w:rsidRPr="00C92ED4">
        <w:rPr>
          <w:rFonts w:ascii="Calibri" w:eastAsia="Times New Roman" w:hAnsi="Calibri" w:cs="Calibri"/>
          <w:b/>
          <w:bCs/>
          <w:color w:val="000000"/>
          <w:sz w:val="22"/>
          <w:lang w:val="en-US"/>
        </w:rPr>
        <w:t>Financial Position Statement as of December 31, 2022:</w:t>
      </w:r>
    </w:p>
    <w:p w14:paraId="714F5825" w14:textId="77777777" w:rsidR="00A26B8E" w:rsidRDefault="00A26B8E" w:rsidP="00C92ED4">
      <w:pPr>
        <w:spacing w:after="0" w:line="240" w:lineRule="auto"/>
        <w:rPr>
          <w:lang w:val="en-US"/>
        </w:rPr>
      </w:pPr>
    </w:p>
    <w:p w14:paraId="0BF581D9" w14:textId="77777777" w:rsidR="00A26B8E" w:rsidRDefault="00A26B8E" w:rsidP="00A26B8E">
      <w:pPr>
        <w:jc w:val="center"/>
        <w:rPr>
          <w:lang w:val="en-US"/>
        </w:rPr>
      </w:pPr>
      <w:r>
        <w:rPr>
          <w:noProof/>
          <w:lang w:val="en-US"/>
        </w:rPr>
        <w:lastRenderedPageBreak/>
        <w:drawing>
          <wp:inline distT="0" distB="0" distL="0" distR="0" wp14:anchorId="4F28FA71" wp14:editId="721C8EAC">
            <wp:extent cx="3867150" cy="5994083"/>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3869468" cy="5997676"/>
                    </a:xfrm>
                    <a:prstGeom prst="rect">
                      <a:avLst/>
                    </a:prstGeom>
                    <a:noFill/>
                    <a:ln w="9525">
                      <a:noFill/>
                      <a:miter lim="800000"/>
                      <a:headEnd/>
                      <a:tailEnd/>
                    </a:ln>
                  </pic:spPr>
                </pic:pic>
              </a:graphicData>
            </a:graphic>
          </wp:inline>
        </w:drawing>
      </w:r>
    </w:p>
    <w:p w14:paraId="648325CA" w14:textId="77777777" w:rsidR="00A26B8E" w:rsidRPr="00E2618D" w:rsidRDefault="00A26B8E" w:rsidP="00A26B8E">
      <w:pPr>
        <w:jc w:val="center"/>
        <w:rPr>
          <w:b/>
          <w:lang w:val="en-US"/>
        </w:rPr>
      </w:pPr>
      <w:r>
        <w:rPr>
          <w:b/>
          <w:lang w:val="en-US"/>
        </w:rPr>
        <w:t>Table2</w:t>
      </w:r>
      <w:r w:rsidRPr="00E2618D">
        <w:rPr>
          <w:b/>
          <w:lang w:val="en-US"/>
        </w:rPr>
        <w:t xml:space="preserve">: Shows </w:t>
      </w:r>
      <w:r w:rsidRPr="00A26B8E">
        <w:rPr>
          <w:b/>
          <w:lang w:val="en-US"/>
        </w:rPr>
        <w:t xml:space="preserve">Financial Position </w:t>
      </w:r>
      <w:r w:rsidRPr="00E2618D">
        <w:rPr>
          <w:b/>
          <w:lang w:val="en-US"/>
        </w:rPr>
        <w:t>of Wales plc</w:t>
      </w:r>
    </w:p>
    <w:p w14:paraId="164DACEC" w14:textId="77777777" w:rsidR="00A26B8E" w:rsidRPr="00E2618D" w:rsidRDefault="00A26B8E" w:rsidP="00A26B8E">
      <w:pPr>
        <w:jc w:val="center"/>
        <w:rPr>
          <w:b/>
          <w:lang w:val="en-US"/>
        </w:rPr>
      </w:pPr>
      <w:r w:rsidRPr="00E2618D">
        <w:rPr>
          <w:b/>
          <w:lang w:val="en-US"/>
        </w:rPr>
        <w:t>(Source: Excel)</w:t>
      </w:r>
    </w:p>
    <w:p w14:paraId="3CEF9AD9" w14:textId="77777777" w:rsidR="00C6163E" w:rsidRPr="00C6163E" w:rsidRDefault="00C6163E" w:rsidP="00C6163E">
      <w:pPr>
        <w:rPr>
          <w:bCs/>
          <w:lang w:val="en-US"/>
        </w:rPr>
      </w:pPr>
      <w:r w:rsidRPr="00C6163E">
        <w:rPr>
          <w:bCs/>
          <w:lang w:val="en-US"/>
        </w:rPr>
        <w:t>The company's financial situation as of December 31, 2022, is summarized in the Statement of Financial Position for Wales plc, which is displayed above. The statement lists the company's current assets, liabilities, and equity. </w:t>
      </w:r>
    </w:p>
    <w:p w14:paraId="4F144AC0" w14:textId="77777777" w:rsidR="00C6163E" w:rsidRPr="00C6163E" w:rsidRDefault="00C6163E" w:rsidP="00C6163E">
      <w:pPr>
        <w:rPr>
          <w:bCs/>
          <w:lang w:val="en-US"/>
        </w:rPr>
      </w:pPr>
      <w:r w:rsidRPr="00C6163E">
        <w:rPr>
          <w:bCs/>
          <w:lang w:val="en-US"/>
        </w:rPr>
        <w:lastRenderedPageBreak/>
        <w:t>The statement indicates that the company has total assets worth £2,228,955. The non-current assets, which are the long-term assets, amount to £1,450,000 and comprise plant and equipment and debentures. The current assets, which are the short-term assets, amount to £778,955 and include stock, trade receivable, cash and bank and prepayment</w:t>
      </w:r>
      <w:r w:rsidR="00693ABC">
        <w:rPr>
          <w:bCs/>
          <w:lang w:val="en-US"/>
        </w:rPr>
        <w:t xml:space="preserve"> (</w:t>
      </w:r>
      <w:r w:rsidR="00693ABC" w:rsidRPr="00364DCE">
        <w:rPr>
          <w:rFonts w:cs="Times New Roman"/>
          <w:szCs w:val="24"/>
        </w:rPr>
        <w:t>Dewi, Azam</w:t>
      </w:r>
      <w:r w:rsidR="00693ABC">
        <w:rPr>
          <w:rFonts w:cs="Times New Roman"/>
          <w:szCs w:val="24"/>
        </w:rPr>
        <w:t xml:space="preserve"> and Yusoff,</w:t>
      </w:r>
      <w:r w:rsidR="00693ABC" w:rsidRPr="00364DCE">
        <w:rPr>
          <w:rFonts w:cs="Times New Roman"/>
          <w:szCs w:val="24"/>
        </w:rPr>
        <w:t xml:space="preserve"> 2019</w:t>
      </w:r>
      <w:r w:rsidR="00693ABC">
        <w:rPr>
          <w:bCs/>
          <w:lang w:val="en-US"/>
        </w:rPr>
        <w:t>)</w:t>
      </w:r>
      <w:r w:rsidRPr="00C6163E">
        <w:rPr>
          <w:bCs/>
          <w:lang w:val="en-US"/>
        </w:rPr>
        <w:t>. It is important to note that prepayment of £980 is included in current assets, which reflects goods sent to customers on 31st December 2022 but for which payment is due on 28th February 2023.</w:t>
      </w:r>
    </w:p>
    <w:p w14:paraId="5884925F" w14:textId="77777777" w:rsidR="00C6163E" w:rsidRPr="00C6163E" w:rsidRDefault="00C6163E" w:rsidP="00C6163E">
      <w:pPr>
        <w:rPr>
          <w:bCs/>
          <w:lang w:val="en-US"/>
        </w:rPr>
      </w:pPr>
      <w:r w:rsidRPr="00C6163E">
        <w:rPr>
          <w:bCs/>
          <w:lang w:val="en-US"/>
        </w:rPr>
        <w:t>The equity and liabilities section shows that the company has total equity and liabilities of £2,228,955. The equity section shows that the company has share capital amounting to £1,400,000, which comprises £1 ordinary shares worth £900,000 and 10% £1 preference shares worth £500,000. It is important to note that the preference shares have been included within equity as required</w:t>
      </w:r>
      <w:r w:rsidR="00693ABC">
        <w:rPr>
          <w:bCs/>
          <w:lang w:val="en-US"/>
        </w:rPr>
        <w:t xml:space="preserve"> (</w:t>
      </w:r>
      <w:proofErr w:type="spellStart"/>
      <w:r w:rsidR="00693ABC" w:rsidRPr="00364DCE">
        <w:rPr>
          <w:rFonts w:cs="Times New Roman"/>
          <w:szCs w:val="24"/>
        </w:rPr>
        <w:t>Ichsan</w:t>
      </w:r>
      <w:proofErr w:type="spellEnd"/>
      <w:r w:rsidR="00693ABC" w:rsidRPr="00364DCE">
        <w:rPr>
          <w:rFonts w:cs="Times New Roman"/>
          <w:szCs w:val="24"/>
        </w:rPr>
        <w:t>,</w:t>
      </w:r>
      <w:r w:rsidR="00693ABC">
        <w:rPr>
          <w:rFonts w:cs="Times New Roman"/>
          <w:szCs w:val="24"/>
        </w:rPr>
        <w:t xml:space="preserve"> et al. 2021</w:t>
      </w:r>
      <w:r w:rsidR="00693ABC">
        <w:rPr>
          <w:bCs/>
          <w:lang w:val="en-US"/>
        </w:rPr>
        <w:t>)</w:t>
      </w:r>
      <w:r w:rsidRPr="00C6163E">
        <w:rPr>
          <w:bCs/>
          <w:lang w:val="en-US"/>
        </w:rPr>
        <w:t>. The retained profits amount to £132,000, which is included in the reserves section. The reserves represent the accumulated earnings of the company over time, which are not distributed as dividends.</w:t>
      </w:r>
    </w:p>
    <w:p w14:paraId="70F0328E" w14:textId="77777777" w:rsidR="00C6163E" w:rsidRPr="00C6163E" w:rsidRDefault="00C6163E" w:rsidP="00C6163E">
      <w:pPr>
        <w:rPr>
          <w:bCs/>
          <w:lang w:val="en-US"/>
        </w:rPr>
      </w:pPr>
      <w:r w:rsidRPr="00C6163E">
        <w:rPr>
          <w:bCs/>
          <w:lang w:val="en-US"/>
        </w:rPr>
        <w:t>The company's current liabilities, which include trade payable, tax payable, and commission payable, total £291,625 as shown in the current liabilities section. For 2022, the corporation tax expense, which is set at £10,000, is the tax that must be paid. The commission payable is the salesmen's commission for December sales that is due on January 31, 2023, but has not yet been reflected in the ledger accounts.</w:t>
      </w:r>
      <w:r w:rsidR="00C15B5D">
        <w:rPr>
          <w:bCs/>
          <w:lang w:val="en-US"/>
        </w:rPr>
        <w:t xml:space="preserve"> </w:t>
      </w:r>
      <w:r w:rsidRPr="00C6163E">
        <w:rPr>
          <w:bCs/>
          <w:lang w:val="en-US"/>
        </w:rPr>
        <w:t>The company has made long-term investments as evidenced by the sizeable amount of non-current assets it has. The company has a sizable amount of share capital, which is indicated in the equity section, suggesting that it may be able to raise additional funds from shareholders if necessary</w:t>
      </w:r>
      <w:r w:rsidR="00693ABC">
        <w:rPr>
          <w:bCs/>
          <w:lang w:val="en-US"/>
        </w:rPr>
        <w:t xml:space="preserve"> (</w:t>
      </w:r>
      <w:proofErr w:type="spellStart"/>
      <w:r w:rsidR="00693ABC">
        <w:rPr>
          <w:rFonts w:cs="Times New Roman"/>
          <w:szCs w:val="24"/>
        </w:rPr>
        <w:t>Agyabeng</w:t>
      </w:r>
      <w:proofErr w:type="spellEnd"/>
      <w:r w:rsidR="00693ABC">
        <w:rPr>
          <w:rFonts w:cs="Times New Roman"/>
          <w:szCs w:val="24"/>
        </w:rPr>
        <w:t xml:space="preserve">-Mensah, </w:t>
      </w:r>
      <w:proofErr w:type="spellStart"/>
      <w:r w:rsidR="00693ABC">
        <w:rPr>
          <w:rFonts w:cs="Times New Roman"/>
          <w:szCs w:val="24"/>
        </w:rPr>
        <w:t>Afum</w:t>
      </w:r>
      <w:proofErr w:type="spellEnd"/>
      <w:r w:rsidR="00693ABC">
        <w:rPr>
          <w:rFonts w:cs="Times New Roman"/>
          <w:szCs w:val="24"/>
        </w:rPr>
        <w:t xml:space="preserve"> </w:t>
      </w:r>
      <w:r w:rsidR="00693ABC" w:rsidRPr="00364DCE">
        <w:rPr>
          <w:rFonts w:cs="Times New Roman"/>
          <w:szCs w:val="24"/>
        </w:rPr>
        <w:t xml:space="preserve">and </w:t>
      </w:r>
      <w:proofErr w:type="spellStart"/>
      <w:r w:rsidR="00693ABC" w:rsidRPr="00364DCE">
        <w:rPr>
          <w:rFonts w:cs="Times New Roman"/>
          <w:szCs w:val="24"/>
        </w:rPr>
        <w:t>Ahenkorah</w:t>
      </w:r>
      <w:proofErr w:type="spellEnd"/>
      <w:r w:rsidR="00693ABC" w:rsidRPr="00364DCE">
        <w:rPr>
          <w:rFonts w:cs="Times New Roman"/>
          <w:szCs w:val="24"/>
        </w:rPr>
        <w:t>, 2020</w:t>
      </w:r>
      <w:r w:rsidR="00693ABC">
        <w:rPr>
          <w:bCs/>
          <w:lang w:val="en-US"/>
        </w:rPr>
        <w:t>)</w:t>
      </w:r>
      <w:r w:rsidRPr="00C6163E">
        <w:rPr>
          <w:bCs/>
          <w:lang w:val="en-US"/>
        </w:rPr>
        <w:t>. The company has some short-term liabilities, which must be settled soon, as can be seen in the section on current liabilities.</w:t>
      </w:r>
    </w:p>
    <w:p w14:paraId="49D06EF1" w14:textId="77777777" w:rsidR="00E2618D" w:rsidRPr="00E2618D" w:rsidRDefault="00E2618D" w:rsidP="00E2618D">
      <w:pPr>
        <w:rPr>
          <w:b/>
          <w:lang w:val="en-US"/>
        </w:rPr>
      </w:pPr>
      <w:r w:rsidRPr="00E2618D">
        <w:rPr>
          <w:b/>
          <w:lang w:val="en-US"/>
        </w:rPr>
        <w:t>Note:</w:t>
      </w:r>
    </w:p>
    <w:p w14:paraId="5C3CE90B" w14:textId="77777777" w:rsidR="00E2618D" w:rsidRPr="00E2618D" w:rsidRDefault="00E2618D" w:rsidP="00E2618D">
      <w:pPr>
        <w:numPr>
          <w:ilvl w:val="0"/>
          <w:numId w:val="2"/>
        </w:numPr>
        <w:rPr>
          <w:lang w:val="en-US"/>
        </w:rPr>
      </w:pPr>
      <w:r w:rsidRPr="00E2618D">
        <w:rPr>
          <w:lang w:val="en-US"/>
        </w:rPr>
        <w:t>The preference shares have been included within equity as required.</w:t>
      </w:r>
    </w:p>
    <w:p w14:paraId="27C52E81" w14:textId="77777777" w:rsidR="00E2618D" w:rsidRPr="00E2618D" w:rsidRDefault="00E2618D" w:rsidP="00E2618D">
      <w:pPr>
        <w:numPr>
          <w:ilvl w:val="0"/>
          <w:numId w:val="2"/>
        </w:numPr>
        <w:rPr>
          <w:lang w:val="en-US"/>
        </w:rPr>
      </w:pPr>
      <w:r w:rsidRPr="00E2618D">
        <w:rPr>
          <w:lang w:val="en-US"/>
        </w:rPr>
        <w:t>Prepayment of £980 for goods sent to customers on 31st December 2022 has been included in current assets.</w:t>
      </w:r>
    </w:p>
    <w:p w14:paraId="5295C6BB" w14:textId="77777777" w:rsidR="00E2618D" w:rsidRPr="00E2618D" w:rsidRDefault="00E2618D" w:rsidP="00E2618D">
      <w:pPr>
        <w:numPr>
          <w:ilvl w:val="0"/>
          <w:numId w:val="2"/>
        </w:numPr>
        <w:rPr>
          <w:lang w:val="en-US"/>
        </w:rPr>
      </w:pPr>
      <w:r w:rsidRPr="00E2618D">
        <w:rPr>
          <w:lang w:val="en-US"/>
        </w:rPr>
        <w:t>Corporation tax expense of £100,000 has been included in current liabilities as tax payable.</w:t>
      </w:r>
    </w:p>
    <w:p w14:paraId="56F5D2CB" w14:textId="77777777" w:rsidR="00E2618D" w:rsidRDefault="00E2618D" w:rsidP="00E2618D">
      <w:pPr>
        <w:numPr>
          <w:ilvl w:val="0"/>
          <w:numId w:val="2"/>
        </w:numPr>
        <w:rPr>
          <w:lang w:val="en-US"/>
        </w:rPr>
      </w:pPr>
      <w:r w:rsidRPr="00E2618D">
        <w:rPr>
          <w:lang w:val="en-US"/>
        </w:rPr>
        <w:lastRenderedPageBreak/>
        <w:t>Commission payable of £3,000 has been included in current liabilities.</w:t>
      </w:r>
    </w:p>
    <w:p w14:paraId="2FA48DF0" w14:textId="77777777" w:rsidR="00C6163E" w:rsidRPr="00C6163E" w:rsidRDefault="00C6163E" w:rsidP="00C6163E">
      <w:pPr>
        <w:rPr>
          <w:rFonts w:cs="Times New Roman"/>
          <w:b/>
          <w:szCs w:val="24"/>
          <w:lang w:val="en-US"/>
        </w:rPr>
      </w:pPr>
      <w:r w:rsidRPr="00C6163E">
        <w:rPr>
          <w:b/>
          <w:lang w:val="en-US"/>
        </w:rPr>
        <w:t>Understanding Why Assets on the Balance Sheet Always Equal Liabilities and Equity</w:t>
      </w:r>
    </w:p>
    <w:p w14:paraId="56E60202" w14:textId="77777777" w:rsidR="00C6163E" w:rsidRPr="00C6163E" w:rsidRDefault="00C6163E" w:rsidP="00C6163E">
      <w:pPr>
        <w:rPr>
          <w:rFonts w:cs="Times New Roman"/>
          <w:szCs w:val="24"/>
          <w:lang w:val="en-US"/>
        </w:rPr>
      </w:pPr>
      <w:r w:rsidRPr="00C6163E">
        <w:rPr>
          <w:lang w:val="en-US"/>
        </w:rPr>
        <w:t>The balance she</w:t>
      </w:r>
      <w:r w:rsidR="00C15B5D">
        <w:rPr>
          <w:lang w:val="en-US"/>
        </w:rPr>
        <w:t xml:space="preserve">et, also known as the </w:t>
      </w:r>
      <w:r w:rsidRPr="00C6163E">
        <w:rPr>
          <w:lang w:val="en-US"/>
        </w:rPr>
        <w:t xml:space="preserve">financial position, </w:t>
      </w:r>
      <w:r w:rsidR="00C15B5D">
        <w:rPr>
          <w:lang w:val="en-US"/>
        </w:rPr>
        <w:t>gives</w:t>
      </w:r>
      <w:r w:rsidRPr="00C6163E">
        <w:rPr>
          <w:lang w:val="en-US"/>
        </w:rPr>
        <w:t xml:space="preserve"> a quick overview of the business's financial situation at </w:t>
      </w:r>
      <w:proofErr w:type="gramStart"/>
      <w:r w:rsidRPr="00C6163E">
        <w:rPr>
          <w:lang w:val="en-US"/>
        </w:rPr>
        <w:t>a</w:t>
      </w:r>
      <w:proofErr w:type="gramEnd"/>
      <w:r w:rsidRPr="00C6163E">
        <w:rPr>
          <w:lang w:val="en-US"/>
        </w:rPr>
        <w:t xml:space="preserve"> </w:t>
      </w:r>
      <w:r w:rsidR="00C15B5D" w:rsidRPr="00C6163E">
        <w:rPr>
          <w:lang w:val="en-US"/>
        </w:rPr>
        <w:t>exact</w:t>
      </w:r>
      <w:r w:rsidRPr="00C6163E">
        <w:rPr>
          <w:lang w:val="en-US"/>
        </w:rPr>
        <w:t xml:space="preserve"> point in time. According to the basic accounting equation, the balances in the financial position must be equal to the sum of the assets, liabilities, and equity. </w:t>
      </w:r>
    </w:p>
    <w:p w14:paraId="50E7EE0D" w14:textId="77777777" w:rsidR="00C6163E" w:rsidRPr="00C6163E" w:rsidRDefault="00C6163E" w:rsidP="00C6163E">
      <w:pPr>
        <w:rPr>
          <w:rFonts w:cs="Times New Roman"/>
          <w:szCs w:val="24"/>
          <w:lang w:val="en-US"/>
        </w:rPr>
      </w:pPr>
      <w:r w:rsidRPr="00C6163E">
        <w:rPr>
          <w:lang w:val="en-US"/>
        </w:rPr>
        <w:t> The items that the company currently owns or controls and that are likely to result in future financial gains are known as assets. Examples include cash, inventory, and real estate. The amount owed by the business to others is represented by its liabilities, which include loans, trade payables, and taxes due. Equity, which includes share capital, reserves, and retained earnings, is the interest that remains in the assets after liabilities have been subtracted.</w:t>
      </w:r>
    </w:p>
    <w:p w14:paraId="6CA45511" w14:textId="77777777" w:rsidR="00C6163E" w:rsidRPr="00C6163E" w:rsidRDefault="00C6163E" w:rsidP="00C6163E">
      <w:pPr>
        <w:rPr>
          <w:rFonts w:cs="Times New Roman"/>
          <w:szCs w:val="24"/>
          <w:lang w:val="en-US"/>
        </w:rPr>
      </w:pPr>
      <w:r w:rsidRPr="00C6163E">
        <w:rPr>
          <w:lang w:val="en-US"/>
        </w:rPr>
        <w:t>Assets = Liabilities + Equity is the formula. Therefore, for the financial position to balance, if the assets are £2,228,955, the total of the liabilities and equity must also be £2,228,955</w:t>
      </w:r>
      <w:r w:rsidR="00693ABC">
        <w:rPr>
          <w:lang w:val="en-US"/>
        </w:rPr>
        <w:t xml:space="preserve"> (</w:t>
      </w:r>
      <w:r w:rsidR="00693ABC" w:rsidRPr="00364DCE">
        <w:rPr>
          <w:rFonts w:cs="Times New Roman"/>
          <w:szCs w:val="24"/>
        </w:rPr>
        <w:t>Devi,</w:t>
      </w:r>
      <w:r w:rsidR="00693ABC">
        <w:rPr>
          <w:rFonts w:cs="Times New Roman"/>
          <w:szCs w:val="24"/>
        </w:rPr>
        <w:t xml:space="preserve"> et al. 2020</w:t>
      </w:r>
      <w:r w:rsidR="00693ABC">
        <w:rPr>
          <w:lang w:val="en-US"/>
        </w:rPr>
        <w:t>)</w:t>
      </w:r>
      <w:r w:rsidRPr="00C6163E">
        <w:rPr>
          <w:lang w:val="en-US"/>
        </w:rPr>
        <w:t>.</w:t>
      </w:r>
    </w:p>
    <w:p w14:paraId="7760600A" w14:textId="77777777" w:rsidR="00C6163E" w:rsidRPr="00C6163E" w:rsidRDefault="00C6163E" w:rsidP="00C6163E">
      <w:pPr>
        <w:rPr>
          <w:rFonts w:cs="Times New Roman"/>
          <w:szCs w:val="24"/>
          <w:lang w:val="en-US"/>
        </w:rPr>
      </w:pPr>
      <w:r w:rsidRPr="00C6163E">
        <w:rPr>
          <w:lang w:val="en-US"/>
        </w:rPr>
        <w:t>The company's total assets in this instance, which total £2,228,955, are equal to the sum of its total liabilities, which total £291,625, and its total equity, which totals £1,937,330 (£1,400,000 in share capital plus £132,000 in retained profits and £405,330 in current-year profit)</w:t>
      </w:r>
      <w:r w:rsidR="00693ABC">
        <w:rPr>
          <w:lang w:val="en-US"/>
        </w:rPr>
        <w:t xml:space="preserve"> (</w:t>
      </w:r>
      <w:r w:rsidR="00693ABC" w:rsidRPr="00364DCE">
        <w:rPr>
          <w:rFonts w:cs="Times New Roman"/>
          <w:szCs w:val="24"/>
        </w:rPr>
        <w:t>Hosaka, 2019</w:t>
      </w:r>
      <w:r w:rsidR="00693ABC">
        <w:rPr>
          <w:lang w:val="en-US"/>
        </w:rPr>
        <w:t>)</w:t>
      </w:r>
      <w:r w:rsidRPr="00C6163E">
        <w:rPr>
          <w:lang w:val="en-US"/>
        </w:rPr>
        <w:t>. As a result, the financial position is accurate and demonstrates that the company's assets are funded by its liabilities and equity.</w:t>
      </w:r>
    </w:p>
    <w:p w14:paraId="47514B01" w14:textId="77777777" w:rsidR="00C6163E" w:rsidRPr="00C6163E" w:rsidRDefault="00C6163E" w:rsidP="00C6163E">
      <w:pPr>
        <w:rPr>
          <w:rFonts w:cs="Times New Roman"/>
          <w:szCs w:val="24"/>
          <w:lang w:val="en-US"/>
        </w:rPr>
      </w:pPr>
      <w:r w:rsidRPr="00C6163E">
        <w:rPr>
          <w:lang w:val="en-US"/>
        </w:rPr>
        <w:t>Maintaining a balanced financial position is essential for the stability and health of a company's finances. Creditors and investors use this statement to assess a company's financial situation and determine its ability to pay off its debts</w:t>
      </w:r>
      <w:r w:rsidR="00693ABC">
        <w:rPr>
          <w:lang w:val="en-US"/>
        </w:rPr>
        <w:t xml:space="preserve"> (</w:t>
      </w:r>
      <w:proofErr w:type="spellStart"/>
      <w:r w:rsidR="00693ABC" w:rsidRPr="00364DCE">
        <w:rPr>
          <w:rFonts w:cs="Times New Roman"/>
          <w:szCs w:val="24"/>
        </w:rPr>
        <w:t>Kliestik</w:t>
      </w:r>
      <w:proofErr w:type="spellEnd"/>
      <w:r w:rsidR="00693ABC" w:rsidRPr="00364DCE">
        <w:rPr>
          <w:rFonts w:cs="Times New Roman"/>
          <w:szCs w:val="24"/>
        </w:rPr>
        <w:t>,</w:t>
      </w:r>
      <w:r w:rsidR="00693ABC">
        <w:rPr>
          <w:rFonts w:cs="Times New Roman"/>
          <w:szCs w:val="24"/>
        </w:rPr>
        <w:t xml:space="preserve"> et al. 2020</w:t>
      </w:r>
      <w:r w:rsidR="00693ABC">
        <w:rPr>
          <w:lang w:val="en-US"/>
        </w:rPr>
        <w:t>)</w:t>
      </w:r>
      <w:r w:rsidRPr="00C6163E">
        <w:rPr>
          <w:lang w:val="en-US"/>
        </w:rPr>
        <w:t>. The accuracy of financial data and record-keeping must be guaranteed in order to present a fair and useful statement of financial position.</w:t>
      </w:r>
    </w:p>
    <w:p w14:paraId="14B74A72" w14:textId="77777777" w:rsidR="000E3B04" w:rsidRDefault="000E3B04" w:rsidP="000E3B04">
      <w:pPr>
        <w:pStyle w:val="Heading1"/>
      </w:pPr>
      <w:bookmarkStart w:id="2" w:name="_Toc134379285"/>
      <w:r w:rsidRPr="000E3B04">
        <w:t>Question 2</w:t>
      </w:r>
      <w:bookmarkEnd w:id="2"/>
    </w:p>
    <w:p w14:paraId="56AFAC2A" w14:textId="77777777" w:rsidR="001C2073" w:rsidRPr="001C2073" w:rsidRDefault="001C2073" w:rsidP="001C2073">
      <w:pPr>
        <w:rPr>
          <w:b/>
          <w:lang w:val="en-US"/>
        </w:rPr>
      </w:pPr>
      <w:r w:rsidRPr="001C2073">
        <w:rPr>
          <w:b/>
        </w:rPr>
        <w:t>A. Ratio calculations for Sweets plc</w:t>
      </w:r>
    </w:p>
    <w:p w14:paraId="2C6C9C4E" w14:textId="77777777" w:rsidR="001C2073" w:rsidRPr="001C2073" w:rsidRDefault="001C2073" w:rsidP="001C2073">
      <w:pPr>
        <w:ind w:left="-630"/>
        <w:jc w:val="center"/>
        <w:rPr>
          <w:b/>
          <w:lang w:val="en-US"/>
        </w:rPr>
      </w:pPr>
      <w:r w:rsidRPr="001C2073">
        <w:rPr>
          <w:b/>
          <w:noProof/>
          <w:lang w:val="en-US"/>
        </w:rPr>
        <w:lastRenderedPageBreak/>
        <w:drawing>
          <wp:inline distT="0" distB="0" distL="0" distR="0" wp14:anchorId="4C9A6394" wp14:editId="59EB11C9">
            <wp:extent cx="6686550" cy="3409950"/>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6686550" cy="3409950"/>
                    </a:xfrm>
                    <a:prstGeom prst="rect">
                      <a:avLst/>
                    </a:prstGeom>
                    <a:noFill/>
                    <a:ln w="9525">
                      <a:noFill/>
                      <a:miter lim="800000"/>
                      <a:headEnd/>
                      <a:tailEnd/>
                    </a:ln>
                  </pic:spPr>
                </pic:pic>
              </a:graphicData>
            </a:graphic>
          </wp:inline>
        </w:drawing>
      </w:r>
    </w:p>
    <w:p w14:paraId="5DB51607" w14:textId="77777777" w:rsidR="001C2073" w:rsidRPr="001C2073" w:rsidRDefault="001C2073" w:rsidP="001C2073">
      <w:pPr>
        <w:ind w:left="-630"/>
        <w:jc w:val="center"/>
        <w:rPr>
          <w:b/>
          <w:lang w:val="en-US"/>
        </w:rPr>
      </w:pPr>
      <w:r w:rsidRPr="001C2073">
        <w:rPr>
          <w:b/>
          <w:lang w:val="en-US"/>
        </w:rPr>
        <w:t>Table3: Shows Ratio Calculations of Sweets Plc</w:t>
      </w:r>
    </w:p>
    <w:p w14:paraId="071B0581" w14:textId="77777777" w:rsidR="001C2073" w:rsidRPr="001C2073" w:rsidRDefault="001C2073" w:rsidP="001C2073">
      <w:pPr>
        <w:ind w:left="-630"/>
        <w:jc w:val="center"/>
        <w:rPr>
          <w:b/>
          <w:lang w:val="en-US"/>
        </w:rPr>
      </w:pPr>
      <w:r w:rsidRPr="001C2073">
        <w:rPr>
          <w:b/>
          <w:lang w:val="en-US"/>
        </w:rPr>
        <w:t>(Source: Excel)</w:t>
      </w:r>
    </w:p>
    <w:p w14:paraId="32AEDC1D" w14:textId="77777777" w:rsidR="00C6163E" w:rsidRPr="00C6163E" w:rsidRDefault="00C6163E" w:rsidP="00C6163E">
      <w:pPr>
        <w:rPr>
          <w:lang w:val="en-US"/>
        </w:rPr>
      </w:pPr>
      <w:r w:rsidRPr="00C6163E">
        <w:rPr>
          <w:lang w:val="en-US"/>
        </w:rPr>
        <w:t>The table lists Sweets plc's important financial ratios for the years 2021 and 2020. The ratios provide important information about the efficiency, profitability, and liquidity of the company by addressing various facets of its financial performance.</w:t>
      </w:r>
    </w:p>
    <w:p w14:paraId="793F0B7D" w14:textId="77777777" w:rsidR="00C6163E" w:rsidRPr="00C6163E" w:rsidRDefault="00C6163E" w:rsidP="00C6163E">
      <w:pPr>
        <w:rPr>
          <w:lang w:val="en-US"/>
        </w:rPr>
      </w:pPr>
      <w:r w:rsidRPr="00C6163E">
        <w:rPr>
          <w:lang w:val="en-US"/>
        </w:rPr>
        <w:t>ROCE ratio calculates the profit an organization makes using its capital. In 2020, Sweets plc's ROCE was 31.29%; in 2021, it was 29.63%. This decline shows that the business is less effective at turning a profit on its capital expenditures</w:t>
      </w:r>
      <w:r w:rsidR="00693ABC">
        <w:rPr>
          <w:lang w:val="en-US"/>
        </w:rPr>
        <w:t xml:space="preserve"> (</w:t>
      </w:r>
      <w:r w:rsidR="00693ABC" w:rsidRPr="00364DCE">
        <w:rPr>
          <w:rFonts w:cs="Times New Roman"/>
          <w:szCs w:val="24"/>
        </w:rPr>
        <w:t>Abdel-Basset,</w:t>
      </w:r>
      <w:r w:rsidR="00693ABC">
        <w:rPr>
          <w:rFonts w:cs="Times New Roman"/>
          <w:szCs w:val="24"/>
        </w:rPr>
        <w:t xml:space="preserve"> et al. 2020</w:t>
      </w:r>
      <w:r w:rsidR="00693ABC">
        <w:rPr>
          <w:lang w:val="en-US"/>
        </w:rPr>
        <w:t>)</w:t>
      </w:r>
      <w:r w:rsidRPr="00C6163E">
        <w:rPr>
          <w:lang w:val="en-US"/>
        </w:rPr>
        <w:t>. This might be as a result of rising operating costs or lower revenue this year.</w:t>
      </w:r>
    </w:p>
    <w:p w14:paraId="02A8BB24" w14:textId="77777777" w:rsidR="00C6163E" w:rsidRPr="00C6163E" w:rsidRDefault="00C6163E" w:rsidP="00C6163E">
      <w:pPr>
        <w:rPr>
          <w:lang w:val="en-US"/>
        </w:rPr>
      </w:pPr>
      <w:r w:rsidRPr="00C6163E">
        <w:rPr>
          <w:lang w:val="en-US"/>
        </w:rPr>
        <w:t>ROE is a metric used to determine how profitable a company's equity investments are. In 2020, Sweets plc's ROE was 12.57%; in 2021, it was 13.96%. This rise suggests that the business is making more money from the equity it has invested</w:t>
      </w:r>
      <w:r w:rsidR="00693ABC">
        <w:rPr>
          <w:lang w:val="en-US"/>
        </w:rPr>
        <w:t xml:space="preserve"> (</w:t>
      </w:r>
      <w:r w:rsidR="00693ABC" w:rsidRPr="00364DCE">
        <w:rPr>
          <w:rFonts w:cs="Times New Roman"/>
          <w:szCs w:val="24"/>
        </w:rPr>
        <w:t>Kou,</w:t>
      </w:r>
      <w:r w:rsidR="00693ABC">
        <w:rPr>
          <w:rFonts w:cs="Times New Roman"/>
          <w:szCs w:val="24"/>
        </w:rPr>
        <w:t xml:space="preserve"> et al. 2021</w:t>
      </w:r>
      <w:r w:rsidR="00693ABC">
        <w:rPr>
          <w:lang w:val="en-US"/>
        </w:rPr>
        <w:t>)</w:t>
      </w:r>
      <w:r w:rsidRPr="00C6163E">
        <w:rPr>
          <w:lang w:val="en-US"/>
        </w:rPr>
        <w:t>. This might be the result of higher sales, lower expenses, or more effective cost control.</w:t>
      </w:r>
    </w:p>
    <w:p w14:paraId="1E2009F4" w14:textId="77777777" w:rsidR="00C6163E" w:rsidRPr="00C6163E" w:rsidRDefault="00C6163E" w:rsidP="00C6163E">
      <w:pPr>
        <w:rPr>
          <w:lang w:val="en-US"/>
        </w:rPr>
      </w:pPr>
      <w:r w:rsidRPr="00C6163E">
        <w:rPr>
          <w:lang w:val="en-US"/>
        </w:rPr>
        <w:t xml:space="preserve">The amount of profit that is attributable to each share of common stock is measured by EPS. The EPS for Sweets plc increased from £0.16 to £0.17 between 2020 and 2021. For the company's </w:t>
      </w:r>
      <w:r w:rsidRPr="00C6163E">
        <w:rPr>
          <w:lang w:val="en-US"/>
        </w:rPr>
        <w:lastRenderedPageBreak/>
        <w:t>shareholders, this rise is encouraging because it shows that their capital is reaping greater rewards.</w:t>
      </w:r>
    </w:p>
    <w:p w14:paraId="4E2AA01F" w14:textId="77777777" w:rsidR="00C6163E" w:rsidRPr="00C6163E" w:rsidRDefault="00C6163E" w:rsidP="00C6163E">
      <w:pPr>
        <w:rPr>
          <w:lang w:val="en-US"/>
        </w:rPr>
      </w:pPr>
      <w:r w:rsidRPr="00C6163E">
        <w:rPr>
          <w:lang w:val="en-US"/>
        </w:rPr>
        <w:t>A company's NPM is the amount of profit it makes for every pound of revenue it brings in. Sweets plc's NPM increased from 5.68% in 2020 to 6.40% in 2021. Because of better cost control, higher sales prices, or a better product mix, the company is now making more money for every pound of revenue it generates</w:t>
      </w:r>
      <w:r w:rsidR="00693ABC">
        <w:rPr>
          <w:lang w:val="en-US"/>
        </w:rPr>
        <w:t xml:space="preserve"> (</w:t>
      </w:r>
      <w:proofErr w:type="spellStart"/>
      <w:r w:rsidR="00693ABC" w:rsidRPr="00364DCE">
        <w:rPr>
          <w:rFonts w:cs="Times New Roman"/>
          <w:szCs w:val="24"/>
        </w:rPr>
        <w:t>Ichsan</w:t>
      </w:r>
      <w:proofErr w:type="spellEnd"/>
      <w:r w:rsidR="00693ABC" w:rsidRPr="00364DCE">
        <w:rPr>
          <w:rFonts w:cs="Times New Roman"/>
          <w:szCs w:val="24"/>
        </w:rPr>
        <w:t>,</w:t>
      </w:r>
      <w:r w:rsidR="00693ABC">
        <w:rPr>
          <w:rFonts w:cs="Times New Roman"/>
          <w:szCs w:val="24"/>
        </w:rPr>
        <w:t xml:space="preserve"> et al. 2021</w:t>
      </w:r>
      <w:r w:rsidR="00693ABC">
        <w:rPr>
          <w:lang w:val="en-US"/>
        </w:rPr>
        <w:t>)</w:t>
      </w:r>
      <w:r w:rsidRPr="00C6163E">
        <w:rPr>
          <w:lang w:val="en-US"/>
        </w:rPr>
        <w:t>.</w:t>
      </w:r>
    </w:p>
    <w:p w14:paraId="544DA4DF" w14:textId="77777777" w:rsidR="00C6163E" w:rsidRPr="00C6163E" w:rsidRDefault="00C6163E" w:rsidP="00C6163E">
      <w:pPr>
        <w:rPr>
          <w:lang w:val="en-US"/>
        </w:rPr>
      </w:pPr>
      <w:r w:rsidRPr="00C6163E">
        <w:rPr>
          <w:lang w:val="en-US"/>
        </w:rPr>
        <w:t>The efficiency with which a company derives revenue from its assets is measured by asset turnover. In 2021, Sweets plc's asset turnover increased from 0.64 to 0.69 times. This increase shows that the business is getting more money out of every pound of its assets, which may be the result of higher sales or more efficient asset use.</w:t>
      </w:r>
    </w:p>
    <w:p w14:paraId="41BAD029" w14:textId="77777777" w:rsidR="00C6163E" w:rsidRPr="00C6163E" w:rsidRDefault="00C6163E" w:rsidP="00C6163E">
      <w:pPr>
        <w:rPr>
          <w:lang w:val="en-US"/>
        </w:rPr>
      </w:pPr>
      <w:r w:rsidRPr="00C6163E">
        <w:rPr>
          <w:lang w:val="en-US"/>
        </w:rPr>
        <w:t>Stock holding days are a measure of how long it typically takes a company to turn its inventory into sales. Shares of Sweets plc were held by a stockholder for 77.11 days in 2021 compared to 90.87 days in 2020</w:t>
      </w:r>
      <w:r w:rsidR="00693ABC">
        <w:rPr>
          <w:lang w:val="en-US"/>
        </w:rPr>
        <w:t xml:space="preserve"> (</w:t>
      </w:r>
      <w:r w:rsidR="00693ABC" w:rsidRPr="00364DCE">
        <w:rPr>
          <w:rFonts w:cs="Times New Roman"/>
          <w:szCs w:val="24"/>
        </w:rPr>
        <w:t>Devi,</w:t>
      </w:r>
      <w:r w:rsidR="00693ABC">
        <w:rPr>
          <w:rFonts w:cs="Times New Roman"/>
          <w:szCs w:val="24"/>
        </w:rPr>
        <w:t xml:space="preserve"> et al. 2020</w:t>
      </w:r>
      <w:r w:rsidR="00693ABC">
        <w:rPr>
          <w:lang w:val="en-US"/>
        </w:rPr>
        <w:t>)</w:t>
      </w:r>
      <w:r w:rsidRPr="00C6163E">
        <w:rPr>
          <w:lang w:val="en-US"/>
        </w:rPr>
        <w:t>. This decrease demonstrates that the company is better managing its inventory and moving its products off the shelves faster.</w:t>
      </w:r>
    </w:p>
    <w:p w14:paraId="36D083DF" w14:textId="77777777" w:rsidR="00C6163E" w:rsidRPr="00C6163E" w:rsidRDefault="00C6163E" w:rsidP="00C6163E">
      <w:pPr>
        <w:rPr>
          <w:lang w:val="en-US"/>
        </w:rPr>
      </w:pPr>
      <w:r w:rsidRPr="00C6163E">
        <w:rPr>
          <w:lang w:val="en-US"/>
        </w:rPr>
        <w:t>When collecting debt from Sweets plc's debtors, it took 67.61 days in 2021 as opposed to 72.82 days in 2020. According to the company, this decline demonstrates that the company is collecting customer payments more successfully.</w:t>
      </w:r>
    </w:p>
    <w:p w14:paraId="785FC6B8" w14:textId="77777777" w:rsidR="00C6163E" w:rsidRPr="00C6163E" w:rsidRDefault="00C6163E" w:rsidP="00C6163E">
      <w:pPr>
        <w:rPr>
          <w:lang w:val="en-US"/>
        </w:rPr>
      </w:pPr>
      <w:r w:rsidRPr="00C6163E">
        <w:rPr>
          <w:lang w:val="en-US"/>
        </w:rPr>
        <w:t xml:space="preserve">Sweets Plc's current ratio increased from 0.77 in 2020 to 0.92 in 2021. This growth demonstrates the company's improved ability to use short-term assets to pay short-term liabilities. </w:t>
      </w:r>
      <w:r w:rsidR="00C15B5D">
        <w:rPr>
          <w:lang w:val="en-US"/>
        </w:rPr>
        <w:t xml:space="preserve">D/E Ratio </w:t>
      </w:r>
      <w:r w:rsidRPr="00C6163E">
        <w:rPr>
          <w:lang w:val="en-US"/>
        </w:rPr>
        <w:t>From 72.80% in 2020 to 70.67% in 2021, Sweets plc's gearing ratio decreased</w:t>
      </w:r>
      <w:r w:rsidR="00693ABC">
        <w:rPr>
          <w:lang w:val="en-US"/>
        </w:rPr>
        <w:t xml:space="preserve"> (</w:t>
      </w:r>
      <w:proofErr w:type="spellStart"/>
      <w:r w:rsidR="00693ABC" w:rsidRPr="00364DCE">
        <w:rPr>
          <w:rFonts w:cs="Times New Roman"/>
          <w:szCs w:val="24"/>
        </w:rPr>
        <w:t>Awaysheh</w:t>
      </w:r>
      <w:proofErr w:type="spellEnd"/>
      <w:r w:rsidR="00693ABC">
        <w:rPr>
          <w:rFonts w:cs="Times New Roman"/>
          <w:szCs w:val="24"/>
        </w:rPr>
        <w:t>, et al. 2020</w:t>
      </w:r>
      <w:r w:rsidR="00693ABC">
        <w:rPr>
          <w:lang w:val="en-US"/>
        </w:rPr>
        <w:t>)</w:t>
      </w:r>
      <w:r w:rsidRPr="00C6163E">
        <w:rPr>
          <w:lang w:val="en-US"/>
        </w:rPr>
        <w:t>. This decline shows that the business is now less dependent on debt to fund its operations.</w:t>
      </w:r>
    </w:p>
    <w:p w14:paraId="0D577057" w14:textId="77777777" w:rsidR="00C6163E" w:rsidRPr="00C6163E" w:rsidRDefault="00C6163E" w:rsidP="00C6163E">
      <w:pPr>
        <w:rPr>
          <w:lang w:val="en-US"/>
        </w:rPr>
      </w:pPr>
      <w:r w:rsidRPr="00C6163E">
        <w:rPr>
          <w:lang w:val="en-US"/>
        </w:rPr>
        <w:t xml:space="preserve">Interest Cover determines a company's </w:t>
      </w:r>
      <w:r w:rsidR="00C15B5D">
        <w:rPr>
          <w:lang w:val="en-US"/>
        </w:rPr>
        <w:t>cap</w:t>
      </w:r>
      <w:r w:rsidRPr="00C6163E">
        <w:rPr>
          <w:lang w:val="en-US"/>
        </w:rPr>
        <w:t xml:space="preserve">ability to pay interest on its debt using operating profits. In 2020, Sweets Plc's interest coverage was 3.86 times; in 2021, it was 3.57 times. This decline demonstrates a decline in the company's ability to cover interest expenses out of operating profits. </w:t>
      </w:r>
    </w:p>
    <w:p w14:paraId="6E7D77DE" w14:textId="77777777" w:rsidR="001C2073" w:rsidRPr="001C2073" w:rsidRDefault="001C2073" w:rsidP="001C2073">
      <w:pPr>
        <w:rPr>
          <w:b/>
          <w:lang w:val="en-US"/>
        </w:rPr>
      </w:pPr>
      <w:r w:rsidRPr="001C2073">
        <w:rPr>
          <w:b/>
          <w:lang w:val="en-US"/>
        </w:rPr>
        <w:t>Financial Analysi</w:t>
      </w:r>
      <w:r>
        <w:rPr>
          <w:b/>
          <w:lang w:val="en-US"/>
        </w:rPr>
        <w:t>s and Performance of Sweets Plc</w:t>
      </w:r>
    </w:p>
    <w:p w14:paraId="5E6C7DAD" w14:textId="77777777" w:rsidR="008C54E8" w:rsidRPr="008C54E8" w:rsidRDefault="008C54E8" w:rsidP="008C54E8">
      <w:pPr>
        <w:rPr>
          <w:lang w:val="en-US"/>
        </w:rPr>
      </w:pPr>
      <w:r w:rsidRPr="008C54E8">
        <w:rPr>
          <w:lang w:val="en-US"/>
        </w:rPr>
        <w:t>Based on the information provided, it can be seen that Sweets plc. had a moderate financial performance and a relatively sta</w:t>
      </w:r>
      <w:r>
        <w:rPr>
          <w:lang w:val="en-US"/>
        </w:rPr>
        <w:t>ble financial position in 2021.</w:t>
      </w:r>
    </w:p>
    <w:p w14:paraId="031E43C6" w14:textId="77777777" w:rsidR="008C54E8" w:rsidRPr="008C54E8" w:rsidRDefault="008C54E8" w:rsidP="008C54E8">
      <w:pPr>
        <w:rPr>
          <w:lang w:val="en-US"/>
        </w:rPr>
      </w:pPr>
      <w:r w:rsidRPr="008C54E8">
        <w:rPr>
          <w:lang w:val="en-US"/>
        </w:rPr>
        <w:lastRenderedPageBreak/>
        <w:t>Starting with the income sta</w:t>
      </w:r>
      <w:r>
        <w:rPr>
          <w:lang w:val="en-US"/>
        </w:rPr>
        <w:t>tement, Sweets plc</w:t>
      </w:r>
      <w:r w:rsidRPr="008C54E8">
        <w:rPr>
          <w:lang w:val="en-US"/>
        </w:rPr>
        <w:t xml:space="preserve"> generated sales of £800,000 and had a gross profit of £221,350, indicating a gross profit margin of 27.7%, which is reasonable. The company had net profits of only £3,350, which is quite low compared to the sales revenue. The low net profit can be attributed to the high administrative expenses, distribution costs, and interest paid, wh</w:t>
      </w:r>
      <w:r>
        <w:rPr>
          <w:lang w:val="en-US"/>
        </w:rPr>
        <w:t>ich totaled £60,000</w:t>
      </w:r>
      <w:r w:rsidR="00693ABC">
        <w:rPr>
          <w:lang w:val="en-US"/>
        </w:rPr>
        <w:t xml:space="preserve"> (</w:t>
      </w:r>
      <w:proofErr w:type="spellStart"/>
      <w:r w:rsidR="00693ABC" w:rsidRPr="00364DCE">
        <w:rPr>
          <w:rFonts w:cs="Times New Roman"/>
          <w:szCs w:val="24"/>
        </w:rPr>
        <w:t>Susanti</w:t>
      </w:r>
      <w:proofErr w:type="spellEnd"/>
      <w:r w:rsidR="00693ABC" w:rsidRPr="00364DCE">
        <w:rPr>
          <w:rFonts w:cs="Times New Roman"/>
          <w:szCs w:val="24"/>
        </w:rPr>
        <w:t>, Latifa</w:t>
      </w:r>
      <w:r w:rsidR="00693ABC">
        <w:rPr>
          <w:rFonts w:cs="Times New Roman"/>
          <w:szCs w:val="24"/>
        </w:rPr>
        <w:t xml:space="preserve"> </w:t>
      </w:r>
      <w:r w:rsidR="00693ABC" w:rsidRPr="00364DCE">
        <w:rPr>
          <w:rFonts w:cs="Times New Roman"/>
          <w:szCs w:val="24"/>
        </w:rPr>
        <w:t xml:space="preserve">and </w:t>
      </w:r>
      <w:proofErr w:type="spellStart"/>
      <w:r w:rsidR="00693ABC" w:rsidRPr="00364DCE">
        <w:rPr>
          <w:rFonts w:cs="Times New Roman"/>
          <w:szCs w:val="24"/>
        </w:rPr>
        <w:t>Sunarsi</w:t>
      </w:r>
      <w:proofErr w:type="spellEnd"/>
      <w:r w:rsidR="00693ABC" w:rsidRPr="00364DCE">
        <w:rPr>
          <w:rFonts w:cs="Times New Roman"/>
          <w:szCs w:val="24"/>
        </w:rPr>
        <w:t>, 2020</w:t>
      </w:r>
      <w:r w:rsidR="00693ABC">
        <w:rPr>
          <w:lang w:val="en-US"/>
        </w:rPr>
        <w:t>)</w:t>
      </w:r>
      <w:r>
        <w:rPr>
          <w:lang w:val="en-US"/>
        </w:rPr>
        <w:t>. Sweets plc,</w:t>
      </w:r>
      <w:r w:rsidRPr="008C54E8">
        <w:rPr>
          <w:lang w:val="en-US"/>
        </w:rPr>
        <w:t xml:space="preserve"> also paid preference dividends of £30,000 and ordinary dividends of £20,000, indicating that the company is returning a significant portion of its profits to its shareholders. It is noteworthy that the company had a corporation tax expense of £100,000, which significantly impacted its profitability. </w:t>
      </w:r>
    </w:p>
    <w:p w14:paraId="3B1AA1F3" w14:textId="77777777" w:rsidR="008C54E8" w:rsidRPr="008C54E8" w:rsidRDefault="008C54E8" w:rsidP="008C54E8">
      <w:pPr>
        <w:rPr>
          <w:lang w:val="en-US"/>
        </w:rPr>
      </w:pPr>
      <w:r w:rsidRPr="008C54E8">
        <w:rPr>
          <w:lang w:val="en-US"/>
        </w:rPr>
        <w:t xml:space="preserve">Moving on to the financial position of Sweets plc., it had non-current assets of £1,450,000, mainly composed of plant and equipment. The company also had debentures of £200,000, which is a long-term liability. Sweets plc. had current assets of £778,955, primarily composed of stock and trade receivables. The company had current liabilities of £291,625, which included trade payables, tax payables, and commission payables. </w:t>
      </w:r>
      <w:r>
        <w:rPr>
          <w:lang w:val="en-US"/>
        </w:rPr>
        <w:t>The current ratio of Sweets plc,</w:t>
      </w:r>
      <w:r w:rsidRPr="008C54E8">
        <w:rPr>
          <w:lang w:val="en-US"/>
        </w:rPr>
        <w:t xml:space="preserve"> was 0.92, indicating that the company had sufficient current assets to pay off its current liabilities. Additionally, the company had a gearing ratio of 70.67%, indicating that a significant portion of its funding came from debt. </w:t>
      </w:r>
    </w:p>
    <w:p w14:paraId="07C3C8C4" w14:textId="77777777" w:rsidR="008C54E8" w:rsidRPr="008C54E8" w:rsidRDefault="008C54E8" w:rsidP="008C54E8">
      <w:pPr>
        <w:rPr>
          <w:lang w:val="en-US"/>
        </w:rPr>
      </w:pPr>
      <w:r w:rsidRPr="008C54E8">
        <w:rPr>
          <w:lang w:val="en-US"/>
        </w:rPr>
        <w:t>Looking at the financial ratios, the return on capital employed (ROCE) was 29.63%, indicating that the company generated £29.63 in operating profit for every £100 invested in its business. The ROCE has decreased slightly from 31.29% in the previous year. The return on equity (ROE) was 13.96%, which shows that the company generated £13.96 in profits for every £100 of shareholders' equity</w:t>
      </w:r>
      <w:r w:rsidR="00693ABC">
        <w:rPr>
          <w:lang w:val="en-US"/>
        </w:rPr>
        <w:t xml:space="preserve"> (</w:t>
      </w:r>
      <w:r w:rsidR="00693ABC" w:rsidRPr="00364DCE">
        <w:rPr>
          <w:rFonts w:cs="Times New Roman"/>
          <w:szCs w:val="24"/>
        </w:rPr>
        <w:t>Laitinen, 2017</w:t>
      </w:r>
      <w:r w:rsidR="00693ABC">
        <w:rPr>
          <w:lang w:val="en-US"/>
        </w:rPr>
        <w:t>)</w:t>
      </w:r>
      <w:r w:rsidRPr="008C54E8">
        <w:rPr>
          <w:lang w:val="en-US"/>
        </w:rPr>
        <w:t xml:space="preserve">. This ratio has increased from 12.57% in the previous year, indicating an improvement in the company's profitability. </w:t>
      </w:r>
    </w:p>
    <w:p w14:paraId="7CF9B761" w14:textId="77777777" w:rsidR="00C92ED4" w:rsidRPr="00C92ED4" w:rsidRDefault="00C92ED4" w:rsidP="00C92ED4">
      <w:pPr>
        <w:rPr>
          <w:lang w:val="en-US"/>
        </w:rPr>
      </w:pPr>
      <w:r w:rsidRPr="00C92ED4">
        <w:rPr>
          <w:lang w:val="en-US"/>
        </w:rPr>
        <w:t>Sweets plc reported £0.17 in earnings per share (EPS), or £0.17 in profit for each share. The company was able to turn over 6.4% of its sales revenue into net profits, as evidenced by the 6.4% net profit margin. According to the asset turnover ratio of 0.69 times, the business made £0.69 in sales for every £1 invested in assets. This ratio increased from 0.64 times the prior year, showing improvement in the company's asset management efficiency.</w:t>
      </w:r>
    </w:p>
    <w:p w14:paraId="12FCFC94" w14:textId="77777777" w:rsidR="00C92ED4" w:rsidRPr="00C92ED4" w:rsidRDefault="00C92ED4" w:rsidP="00C92ED4">
      <w:pPr>
        <w:rPr>
          <w:lang w:val="en-US"/>
        </w:rPr>
      </w:pPr>
      <w:r w:rsidRPr="00C92ED4">
        <w:rPr>
          <w:lang w:val="en-US"/>
        </w:rPr>
        <w:t xml:space="preserve">Sweets plc's stock holding days were 77.11, which indicates that it takes the business 77.11 days on average to sell its inventory. It was determined that the debtors' collection period was 67.61 </w:t>
      </w:r>
      <w:r w:rsidRPr="00C92ED4">
        <w:rPr>
          <w:lang w:val="en-US"/>
        </w:rPr>
        <w:lastRenderedPageBreak/>
        <w:t>days, which means that the company's average collection period is 67.61 days. These ratios demonstrate how effectively the company manages its inventory and accounts receivable.</w:t>
      </w:r>
    </w:p>
    <w:p w14:paraId="0E726274" w14:textId="77777777" w:rsidR="00C92ED4" w:rsidRPr="00C92ED4" w:rsidRDefault="00C92ED4" w:rsidP="00C92ED4">
      <w:pPr>
        <w:pStyle w:val="Heading1"/>
      </w:pPr>
      <w:bookmarkStart w:id="3" w:name="_Toc134379286"/>
      <w:r w:rsidRPr="00C92ED4">
        <w:t>Conclusion</w:t>
      </w:r>
      <w:bookmarkEnd w:id="3"/>
    </w:p>
    <w:p w14:paraId="5537C7D1" w14:textId="77777777" w:rsidR="00766975" w:rsidRDefault="00C6163E" w:rsidP="00C6163E">
      <w:pPr>
        <w:rPr>
          <w:lang w:val="en-US"/>
        </w:rPr>
      </w:pPr>
      <w:r w:rsidRPr="00C6163E">
        <w:rPr>
          <w:lang w:val="en-US"/>
        </w:rPr>
        <w:t xml:space="preserve">In its conclusion, this report addressed two accounting-related issues. Wales Plc was required to create an income statement and statement of financial position for the fiscal year ending December 31, 2022. Additionally, they had to justify the financial position's balance. The second question required an analysis of the financial ratios of Sweets plc for the years 2020 and 2021, as well as the performance and position of the company. The </w:t>
      </w:r>
      <w:r w:rsidR="00C15B5D">
        <w:rPr>
          <w:lang w:val="en-US"/>
        </w:rPr>
        <w:t xml:space="preserve">financial statements </w:t>
      </w:r>
      <w:r w:rsidRPr="00C6163E">
        <w:rPr>
          <w:lang w:val="en-US"/>
        </w:rPr>
        <w:t>of Wales Plc reveal that in order to improve financial performance, the company must increase sales, manage costs more effectively, and enhance cash flow management. The company's financial position and performance improved between 2020 and 2021, based on Sweets plc's financial ratios. The business must put a higher priority on increasing profitability and reducing debt if it wants to strengthen its financial position in the future. </w:t>
      </w:r>
    </w:p>
    <w:p w14:paraId="57F9884C" w14:textId="77777777" w:rsidR="00766975" w:rsidRDefault="00766975">
      <w:pPr>
        <w:spacing w:line="259" w:lineRule="auto"/>
        <w:jc w:val="left"/>
        <w:rPr>
          <w:lang w:val="en-US"/>
        </w:rPr>
      </w:pPr>
      <w:r>
        <w:rPr>
          <w:lang w:val="en-US"/>
        </w:rPr>
        <w:br w:type="page"/>
      </w:r>
    </w:p>
    <w:p w14:paraId="1AEEB09E" w14:textId="77777777" w:rsidR="00693ABC" w:rsidRPr="008C54E8" w:rsidRDefault="00766975" w:rsidP="00693ABC">
      <w:pPr>
        <w:pStyle w:val="Heading1"/>
      </w:pPr>
      <w:bookmarkStart w:id="4" w:name="_Toc134379287"/>
      <w:r>
        <w:lastRenderedPageBreak/>
        <w:t>Reference List</w:t>
      </w:r>
      <w:bookmarkEnd w:id="4"/>
    </w:p>
    <w:p w14:paraId="51FA4B2E" w14:textId="77777777" w:rsidR="00693ABC" w:rsidRPr="00766975" w:rsidRDefault="00693ABC" w:rsidP="00693ABC">
      <w:pPr>
        <w:rPr>
          <w:lang w:val="en-US"/>
        </w:rPr>
      </w:pPr>
      <w:r w:rsidRPr="00766975">
        <w:t xml:space="preserve">Abdel-Basset, M., Ding, W., Mohamed, R. and </w:t>
      </w:r>
      <w:proofErr w:type="spellStart"/>
      <w:r w:rsidRPr="00766975">
        <w:t>Metawa</w:t>
      </w:r>
      <w:proofErr w:type="spellEnd"/>
      <w:r w:rsidRPr="00766975">
        <w:t xml:space="preserve">, N., 2020. An integrated </w:t>
      </w:r>
      <w:proofErr w:type="spellStart"/>
      <w:r w:rsidRPr="00766975">
        <w:t>plithogenic</w:t>
      </w:r>
      <w:proofErr w:type="spellEnd"/>
      <w:r w:rsidRPr="00766975">
        <w:t xml:space="preserve"> MCDM approach for financial performance evaluation of manufacturing industries. </w:t>
      </w:r>
      <w:r w:rsidRPr="00766975">
        <w:rPr>
          <w:i/>
          <w:iCs/>
        </w:rPr>
        <w:t>Risk Management</w:t>
      </w:r>
      <w:r w:rsidRPr="00766975">
        <w:t>, </w:t>
      </w:r>
      <w:r w:rsidRPr="00766975">
        <w:rPr>
          <w:i/>
          <w:iCs/>
        </w:rPr>
        <w:t>22</w:t>
      </w:r>
      <w:r w:rsidRPr="00766975">
        <w:t>, pp.192-218.</w:t>
      </w:r>
    </w:p>
    <w:p w14:paraId="0A22FCE1" w14:textId="77777777" w:rsidR="00693ABC" w:rsidRPr="00766975" w:rsidRDefault="00693ABC" w:rsidP="00693ABC">
      <w:pPr>
        <w:rPr>
          <w:lang w:val="en-US"/>
        </w:rPr>
      </w:pPr>
      <w:proofErr w:type="spellStart"/>
      <w:r w:rsidRPr="00766975">
        <w:t>Agyabeng</w:t>
      </w:r>
      <w:proofErr w:type="spellEnd"/>
      <w:r w:rsidRPr="00766975">
        <w:t xml:space="preserve">-Mensah, Y., </w:t>
      </w:r>
      <w:proofErr w:type="spellStart"/>
      <w:r w:rsidRPr="00766975">
        <w:t>Afum</w:t>
      </w:r>
      <w:proofErr w:type="spellEnd"/>
      <w:r w:rsidRPr="00766975">
        <w:t xml:space="preserve">, E. and </w:t>
      </w:r>
      <w:proofErr w:type="spellStart"/>
      <w:r w:rsidRPr="00766975">
        <w:t>Ahenkorah</w:t>
      </w:r>
      <w:proofErr w:type="spellEnd"/>
      <w:r w:rsidRPr="00766975">
        <w:t>, E., 2020. Exploring financial performance and green logistics management practices: examining the mediating influences of market, environmental and social performances. </w:t>
      </w:r>
      <w:r w:rsidRPr="00766975">
        <w:rPr>
          <w:i/>
          <w:iCs/>
        </w:rPr>
        <w:t>Journal of cleaner production</w:t>
      </w:r>
      <w:r w:rsidRPr="00766975">
        <w:t>, </w:t>
      </w:r>
      <w:r w:rsidRPr="00766975">
        <w:rPr>
          <w:i/>
          <w:iCs/>
        </w:rPr>
        <w:t>258</w:t>
      </w:r>
      <w:r w:rsidRPr="00766975">
        <w:t>, p.120613.</w:t>
      </w:r>
    </w:p>
    <w:p w14:paraId="7B4BFD0E" w14:textId="77777777" w:rsidR="00693ABC" w:rsidRPr="00693ABC" w:rsidRDefault="00693ABC" w:rsidP="00693ABC">
      <w:pPr>
        <w:rPr>
          <w:lang w:val="en-US"/>
        </w:rPr>
      </w:pPr>
      <w:proofErr w:type="spellStart"/>
      <w:r w:rsidRPr="00693ABC">
        <w:t>Awaysheh</w:t>
      </w:r>
      <w:proofErr w:type="spellEnd"/>
      <w:r w:rsidRPr="00693ABC">
        <w:t>, A., Heron, R.A., Perry, T. and Wilson, J.I., 2020. On the relation between corporate social responsibility and financial performance. </w:t>
      </w:r>
      <w:r w:rsidRPr="00693ABC">
        <w:rPr>
          <w:i/>
          <w:iCs/>
        </w:rPr>
        <w:t>Strategic Management Journal</w:t>
      </w:r>
      <w:r w:rsidRPr="00693ABC">
        <w:t>, </w:t>
      </w:r>
      <w:r w:rsidRPr="00693ABC">
        <w:rPr>
          <w:i/>
          <w:iCs/>
        </w:rPr>
        <w:t>41</w:t>
      </w:r>
      <w:r w:rsidRPr="00693ABC">
        <w:t>(6), pp.965-987.</w:t>
      </w:r>
    </w:p>
    <w:p w14:paraId="2D380091" w14:textId="77777777" w:rsidR="00693ABC" w:rsidRPr="00766975" w:rsidRDefault="00693ABC" w:rsidP="00693ABC">
      <w:pPr>
        <w:rPr>
          <w:lang w:val="en-US"/>
        </w:rPr>
      </w:pPr>
      <w:r w:rsidRPr="00766975">
        <w:t xml:space="preserve">Devi, S., </w:t>
      </w:r>
      <w:proofErr w:type="spellStart"/>
      <w:r w:rsidRPr="00766975">
        <w:t>Warasniasih</w:t>
      </w:r>
      <w:proofErr w:type="spellEnd"/>
      <w:r w:rsidRPr="00766975">
        <w:t xml:space="preserve">, N.M.S., </w:t>
      </w:r>
      <w:proofErr w:type="spellStart"/>
      <w:r w:rsidRPr="00766975">
        <w:t>Masdiantini</w:t>
      </w:r>
      <w:proofErr w:type="spellEnd"/>
      <w:r w:rsidRPr="00766975">
        <w:t xml:space="preserve">, P.R. and </w:t>
      </w:r>
      <w:proofErr w:type="spellStart"/>
      <w:r w:rsidRPr="00766975">
        <w:t>Musmini</w:t>
      </w:r>
      <w:proofErr w:type="spellEnd"/>
      <w:r w:rsidRPr="00766975">
        <w:t>, L.S., 2020. The impact of COVID-19 pandemic on the financial performance of firms on the Indonesia stock exchange. </w:t>
      </w:r>
      <w:r w:rsidRPr="00766975">
        <w:rPr>
          <w:i/>
          <w:iCs/>
        </w:rPr>
        <w:t>Journal of Economics, Business, &amp; Accountancy Ventura</w:t>
      </w:r>
      <w:r w:rsidRPr="00766975">
        <w:t>, </w:t>
      </w:r>
      <w:r w:rsidRPr="00766975">
        <w:rPr>
          <w:i/>
          <w:iCs/>
        </w:rPr>
        <w:t>23</w:t>
      </w:r>
      <w:r w:rsidRPr="00766975">
        <w:t>(2), pp.226-242.</w:t>
      </w:r>
    </w:p>
    <w:p w14:paraId="587A8587" w14:textId="77777777" w:rsidR="00693ABC" w:rsidRPr="00693ABC" w:rsidRDefault="00693ABC" w:rsidP="00693ABC">
      <w:pPr>
        <w:rPr>
          <w:lang w:val="en-US"/>
        </w:rPr>
      </w:pPr>
      <w:r w:rsidRPr="00693ABC">
        <w:t xml:space="preserve">Devi, S., </w:t>
      </w:r>
      <w:proofErr w:type="spellStart"/>
      <w:r w:rsidRPr="00693ABC">
        <w:t>Warasniasih</w:t>
      </w:r>
      <w:proofErr w:type="spellEnd"/>
      <w:r w:rsidRPr="00693ABC">
        <w:t xml:space="preserve">, N.M.S., </w:t>
      </w:r>
      <w:proofErr w:type="spellStart"/>
      <w:r w:rsidRPr="00693ABC">
        <w:t>Masdiantini</w:t>
      </w:r>
      <w:proofErr w:type="spellEnd"/>
      <w:r w:rsidRPr="00693ABC">
        <w:t xml:space="preserve">, P.R. and </w:t>
      </w:r>
      <w:proofErr w:type="spellStart"/>
      <w:r w:rsidRPr="00693ABC">
        <w:t>Musmini</w:t>
      </w:r>
      <w:proofErr w:type="spellEnd"/>
      <w:r w:rsidRPr="00693ABC">
        <w:t>, L.S., 2020. The impact of COVID-19 pandemic on the financial performance of firms on the Indonesia stock exchange. </w:t>
      </w:r>
      <w:r w:rsidRPr="00693ABC">
        <w:rPr>
          <w:i/>
          <w:iCs/>
        </w:rPr>
        <w:t>Journal of Economics, Business, &amp; Accountancy Ventura</w:t>
      </w:r>
      <w:r w:rsidRPr="00693ABC">
        <w:t>, </w:t>
      </w:r>
      <w:r w:rsidRPr="00693ABC">
        <w:rPr>
          <w:i/>
          <w:iCs/>
        </w:rPr>
        <w:t>23</w:t>
      </w:r>
      <w:r w:rsidRPr="00693ABC">
        <w:t>(2), pp.226-242.</w:t>
      </w:r>
    </w:p>
    <w:p w14:paraId="6F61777D" w14:textId="77777777" w:rsidR="00693ABC" w:rsidRPr="00766975" w:rsidRDefault="00693ABC" w:rsidP="00693ABC">
      <w:pPr>
        <w:rPr>
          <w:lang w:val="en-US"/>
        </w:rPr>
      </w:pPr>
      <w:r w:rsidRPr="00766975">
        <w:t>Dewi, N., Azam, S. and Yusoff, S., 2019. Factors influencing the information quality of local government financial statement and financial accountability. </w:t>
      </w:r>
      <w:r w:rsidRPr="00766975">
        <w:rPr>
          <w:i/>
          <w:iCs/>
        </w:rPr>
        <w:t>Management Science Letters</w:t>
      </w:r>
      <w:r w:rsidRPr="00766975">
        <w:t>, </w:t>
      </w:r>
      <w:r w:rsidRPr="00766975">
        <w:rPr>
          <w:i/>
          <w:iCs/>
        </w:rPr>
        <w:t>9</w:t>
      </w:r>
      <w:r w:rsidRPr="00766975">
        <w:t>(9), pp.1373-1384.</w:t>
      </w:r>
    </w:p>
    <w:p w14:paraId="0931E263" w14:textId="77777777" w:rsidR="00693ABC" w:rsidRPr="00766975" w:rsidRDefault="00693ABC" w:rsidP="00693ABC">
      <w:pPr>
        <w:rPr>
          <w:lang w:val="en-US"/>
        </w:rPr>
      </w:pPr>
      <w:r w:rsidRPr="00766975">
        <w:t>Hosaka, T., 2019. Bankruptcy prediction using imaged financial ratios and convolutional neural networks. </w:t>
      </w:r>
      <w:r w:rsidRPr="00766975">
        <w:rPr>
          <w:i/>
          <w:iCs/>
        </w:rPr>
        <w:t>Expert systems with applications</w:t>
      </w:r>
      <w:r w:rsidRPr="00766975">
        <w:t>, </w:t>
      </w:r>
      <w:r w:rsidRPr="00766975">
        <w:rPr>
          <w:i/>
          <w:iCs/>
        </w:rPr>
        <w:t>117</w:t>
      </w:r>
      <w:r w:rsidRPr="00766975">
        <w:t>, pp.287-299.</w:t>
      </w:r>
    </w:p>
    <w:p w14:paraId="59C699B3" w14:textId="77777777" w:rsidR="00693ABC" w:rsidRPr="00766975" w:rsidRDefault="00693ABC" w:rsidP="00693ABC">
      <w:pPr>
        <w:rPr>
          <w:lang w:val="en-US"/>
        </w:rPr>
      </w:pPr>
      <w:proofErr w:type="spellStart"/>
      <w:r w:rsidRPr="00766975">
        <w:t>Ichsan</w:t>
      </w:r>
      <w:proofErr w:type="spellEnd"/>
      <w:r w:rsidRPr="00766975">
        <w:t xml:space="preserve">, R., </w:t>
      </w:r>
      <w:proofErr w:type="spellStart"/>
      <w:r w:rsidRPr="00766975">
        <w:t>Suparmin</w:t>
      </w:r>
      <w:proofErr w:type="spellEnd"/>
      <w:r w:rsidRPr="00766975">
        <w:t xml:space="preserve">, S., Yusuf, M., Ismal, R. and </w:t>
      </w:r>
      <w:proofErr w:type="spellStart"/>
      <w:r w:rsidRPr="00766975">
        <w:t>Sitompul</w:t>
      </w:r>
      <w:proofErr w:type="spellEnd"/>
      <w:r w:rsidRPr="00766975">
        <w:t>, S., 2021. Determinant of Sharia Bank's Financial Performance during the Covid-19 Pandemic. </w:t>
      </w:r>
      <w:r w:rsidRPr="00766975">
        <w:rPr>
          <w:i/>
          <w:iCs/>
        </w:rPr>
        <w:t>Budapest International Research and Critics Institute-Journal (BIRCI-Journal)</w:t>
      </w:r>
      <w:r w:rsidRPr="00766975">
        <w:t>, </w:t>
      </w:r>
      <w:r w:rsidRPr="00766975">
        <w:rPr>
          <w:i/>
          <w:iCs/>
        </w:rPr>
        <w:t>4</w:t>
      </w:r>
      <w:r w:rsidRPr="00766975">
        <w:t>(1), pp.298-309.</w:t>
      </w:r>
    </w:p>
    <w:p w14:paraId="33034889" w14:textId="77777777" w:rsidR="00693ABC" w:rsidRPr="00693ABC" w:rsidRDefault="00693ABC" w:rsidP="00693ABC">
      <w:pPr>
        <w:rPr>
          <w:lang w:val="en-US"/>
        </w:rPr>
      </w:pPr>
      <w:proofErr w:type="spellStart"/>
      <w:r w:rsidRPr="00693ABC">
        <w:t>Ichsan</w:t>
      </w:r>
      <w:proofErr w:type="spellEnd"/>
      <w:r w:rsidRPr="00693ABC">
        <w:t xml:space="preserve">, R., </w:t>
      </w:r>
      <w:proofErr w:type="spellStart"/>
      <w:r w:rsidRPr="00693ABC">
        <w:t>Suparmin</w:t>
      </w:r>
      <w:proofErr w:type="spellEnd"/>
      <w:r w:rsidRPr="00693ABC">
        <w:t xml:space="preserve">, S., Yusuf, M., Ismal, R. and </w:t>
      </w:r>
      <w:proofErr w:type="spellStart"/>
      <w:r w:rsidRPr="00693ABC">
        <w:t>Sitompul</w:t>
      </w:r>
      <w:proofErr w:type="spellEnd"/>
      <w:r w:rsidRPr="00693ABC">
        <w:t>, S., 2021. Determinant of Sharia Bank's Financial Performance during the Covid-19 Pandemic. </w:t>
      </w:r>
      <w:r w:rsidRPr="00693ABC">
        <w:rPr>
          <w:i/>
          <w:iCs/>
        </w:rPr>
        <w:t>Budapest International Research and Critics Institute-Journal (BIRCI-Journal)</w:t>
      </w:r>
      <w:r w:rsidRPr="00693ABC">
        <w:t>, </w:t>
      </w:r>
      <w:r w:rsidRPr="00693ABC">
        <w:rPr>
          <w:i/>
          <w:iCs/>
        </w:rPr>
        <w:t>4</w:t>
      </w:r>
      <w:r w:rsidRPr="00693ABC">
        <w:t>(1), pp.298-309.</w:t>
      </w:r>
    </w:p>
    <w:p w14:paraId="200287D0" w14:textId="77777777" w:rsidR="00693ABC" w:rsidRPr="00693ABC" w:rsidRDefault="00693ABC" w:rsidP="00693ABC">
      <w:pPr>
        <w:rPr>
          <w:lang w:val="en-US"/>
        </w:rPr>
      </w:pPr>
      <w:proofErr w:type="spellStart"/>
      <w:r w:rsidRPr="00766975">
        <w:lastRenderedPageBreak/>
        <w:t>Kliestik</w:t>
      </w:r>
      <w:proofErr w:type="spellEnd"/>
      <w:r w:rsidRPr="00766975">
        <w:t xml:space="preserve">, T., </w:t>
      </w:r>
      <w:proofErr w:type="spellStart"/>
      <w:r w:rsidRPr="00766975">
        <w:t>Valaskova</w:t>
      </w:r>
      <w:proofErr w:type="spellEnd"/>
      <w:r w:rsidRPr="00766975">
        <w:t xml:space="preserve">, K., </w:t>
      </w:r>
      <w:proofErr w:type="spellStart"/>
      <w:r w:rsidRPr="00766975">
        <w:t>Lazaroiu</w:t>
      </w:r>
      <w:proofErr w:type="spellEnd"/>
      <w:r w:rsidRPr="00766975">
        <w:t xml:space="preserve">, G., </w:t>
      </w:r>
      <w:proofErr w:type="spellStart"/>
      <w:r w:rsidRPr="00766975">
        <w:t>Kovacova</w:t>
      </w:r>
      <w:proofErr w:type="spellEnd"/>
      <w:r w:rsidRPr="00766975">
        <w:t>, M. and Vrbka, J., 2020. Remaining financially healthy and competitive: The role of financial predictors. </w:t>
      </w:r>
      <w:r w:rsidRPr="00766975">
        <w:rPr>
          <w:i/>
          <w:iCs/>
        </w:rPr>
        <w:t>Journal of Competitiveness</w:t>
      </w:r>
      <w:r w:rsidRPr="00766975">
        <w:t>, </w:t>
      </w:r>
      <w:r w:rsidRPr="00766975">
        <w:rPr>
          <w:i/>
          <w:iCs/>
        </w:rPr>
        <w:t>12</w:t>
      </w:r>
      <w:r w:rsidRPr="00766975">
        <w:t>(1), p.74.</w:t>
      </w:r>
      <w:r>
        <w:t>’</w:t>
      </w:r>
      <w:r w:rsidRPr="00766975">
        <w:rPr>
          <w:rFonts w:ascii="Arial" w:hAnsi="Arial" w:cs="Arial"/>
          <w:color w:val="222222"/>
          <w:sz w:val="20"/>
          <w:szCs w:val="20"/>
          <w:shd w:val="clear" w:color="auto" w:fill="FFFFFF"/>
        </w:rPr>
        <w:t xml:space="preserve"> </w:t>
      </w:r>
    </w:p>
    <w:p w14:paraId="1C20FA73" w14:textId="77777777" w:rsidR="00693ABC" w:rsidRPr="00766975" w:rsidRDefault="00693ABC" w:rsidP="00693ABC">
      <w:pPr>
        <w:rPr>
          <w:lang w:val="en-US"/>
        </w:rPr>
      </w:pPr>
      <w:r w:rsidRPr="00766975">
        <w:t xml:space="preserve">Kou, G., Xu, Y., Peng, Y., Shen, F., Chen, Y., Chang, K. and Kou, S., 2021. Bankruptcy prediction for SMEs using transactional data and two-stage </w:t>
      </w:r>
      <w:proofErr w:type="spellStart"/>
      <w:r w:rsidRPr="00766975">
        <w:t>multiobjective</w:t>
      </w:r>
      <w:proofErr w:type="spellEnd"/>
      <w:r w:rsidRPr="00766975">
        <w:t xml:space="preserve"> feature selection. </w:t>
      </w:r>
      <w:r w:rsidRPr="00766975">
        <w:rPr>
          <w:i/>
          <w:iCs/>
        </w:rPr>
        <w:t>Decision Support Systems</w:t>
      </w:r>
      <w:r w:rsidRPr="00766975">
        <w:t>, </w:t>
      </w:r>
      <w:r w:rsidRPr="00766975">
        <w:rPr>
          <w:i/>
          <w:iCs/>
        </w:rPr>
        <w:t>140</w:t>
      </w:r>
      <w:r w:rsidRPr="00766975">
        <w:t>, p.113429.</w:t>
      </w:r>
      <w:r>
        <w:t>’</w:t>
      </w:r>
    </w:p>
    <w:p w14:paraId="3834D6FC" w14:textId="77777777" w:rsidR="00693ABC" w:rsidRPr="00766975" w:rsidRDefault="00693ABC" w:rsidP="00693ABC">
      <w:pPr>
        <w:rPr>
          <w:lang w:val="en-US"/>
        </w:rPr>
      </w:pPr>
      <w:r w:rsidRPr="00693ABC">
        <w:t>Laitinen, E.K., 2017. Profitability ratios in the early stages of a startup. </w:t>
      </w:r>
      <w:r w:rsidRPr="00693ABC">
        <w:rPr>
          <w:i/>
          <w:iCs/>
        </w:rPr>
        <w:t>The Journal of Entrepreneurial Finance</w:t>
      </w:r>
      <w:r w:rsidRPr="00693ABC">
        <w:t>, </w:t>
      </w:r>
      <w:r w:rsidRPr="00693ABC">
        <w:rPr>
          <w:i/>
          <w:iCs/>
        </w:rPr>
        <w:t>19</w:t>
      </w:r>
      <w:r w:rsidRPr="00693ABC">
        <w:t>(2), pp.1-28.</w:t>
      </w:r>
    </w:p>
    <w:p w14:paraId="5E2846C7" w14:textId="77777777" w:rsidR="00693ABC" w:rsidRPr="00766975" w:rsidRDefault="00693ABC" w:rsidP="00693ABC">
      <w:pPr>
        <w:rPr>
          <w:lang w:val="en-US"/>
        </w:rPr>
      </w:pPr>
      <w:r w:rsidRPr="00766975">
        <w:t>Lev, B., 2019. Ending the accounting-for-intangibles status quo. </w:t>
      </w:r>
      <w:r w:rsidRPr="00766975">
        <w:rPr>
          <w:i/>
          <w:iCs/>
        </w:rPr>
        <w:t>European Accounting Review</w:t>
      </w:r>
      <w:r w:rsidRPr="00766975">
        <w:t>, </w:t>
      </w:r>
      <w:r w:rsidRPr="00766975">
        <w:rPr>
          <w:i/>
          <w:iCs/>
        </w:rPr>
        <w:t>28</w:t>
      </w:r>
      <w:r w:rsidRPr="00766975">
        <w:t>(4), pp.713-736.</w:t>
      </w:r>
    </w:p>
    <w:p w14:paraId="4A303A33" w14:textId="77777777" w:rsidR="00693ABC" w:rsidRPr="00766975" w:rsidRDefault="00693ABC" w:rsidP="00693ABC">
      <w:pPr>
        <w:rPr>
          <w:lang w:val="en-US"/>
        </w:rPr>
      </w:pPr>
      <w:proofErr w:type="spellStart"/>
      <w:r w:rsidRPr="00766975">
        <w:t>Levytska</w:t>
      </w:r>
      <w:proofErr w:type="spellEnd"/>
      <w:r w:rsidRPr="00766975">
        <w:t xml:space="preserve">, S., Akimova, L., </w:t>
      </w:r>
      <w:proofErr w:type="spellStart"/>
      <w:r w:rsidRPr="00766975">
        <w:t>Zaiachkivska</w:t>
      </w:r>
      <w:proofErr w:type="spellEnd"/>
      <w:r w:rsidRPr="00766975">
        <w:t>, O., Karpa, M. and Gupta, S.K., 2020. Modern analytical instruments for controlling the enterprise financial performance. </w:t>
      </w:r>
      <w:r w:rsidRPr="00766975">
        <w:rPr>
          <w:i/>
          <w:iCs/>
        </w:rPr>
        <w:t>Financial and credit activity problems of theory and practice</w:t>
      </w:r>
      <w:r w:rsidRPr="00766975">
        <w:t>, </w:t>
      </w:r>
      <w:r w:rsidRPr="00766975">
        <w:rPr>
          <w:i/>
          <w:iCs/>
        </w:rPr>
        <w:t>2</w:t>
      </w:r>
      <w:r w:rsidRPr="00766975">
        <w:t>(33), pp.314-323.</w:t>
      </w:r>
    </w:p>
    <w:p w14:paraId="3735A4AC" w14:textId="77777777" w:rsidR="00693ABC" w:rsidRPr="00693ABC" w:rsidRDefault="00693ABC" w:rsidP="00693ABC">
      <w:pPr>
        <w:rPr>
          <w:lang w:val="en-US"/>
        </w:rPr>
      </w:pPr>
      <w:proofErr w:type="spellStart"/>
      <w:r w:rsidRPr="00FE6567">
        <w:rPr>
          <w:lang w:val="it-IT"/>
        </w:rPr>
        <w:t>Susanti</w:t>
      </w:r>
      <w:proofErr w:type="spellEnd"/>
      <w:r w:rsidRPr="00FE6567">
        <w:rPr>
          <w:lang w:val="it-IT"/>
        </w:rPr>
        <w:t xml:space="preserve">, N., </w:t>
      </w:r>
      <w:proofErr w:type="spellStart"/>
      <w:r w:rsidRPr="00FE6567">
        <w:rPr>
          <w:lang w:val="it-IT"/>
        </w:rPr>
        <w:t>Latifa</w:t>
      </w:r>
      <w:proofErr w:type="spellEnd"/>
      <w:r w:rsidRPr="00FE6567">
        <w:rPr>
          <w:lang w:val="it-IT"/>
        </w:rPr>
        <w:t xml:space="preserve">, I. and </w:t>
      </w:r>
      <w:proofErr w:type="spellStart"/>
      <w:r w:rsidRPr="00FE6567">
        <w:rPr>
          <w:lang w:val="it-IT"/>
        </w:rPr>
        <w:t>Sunarsi</w:t>
      </w:r>
      <w:proofErr w:type="spellEnd"/>
      <w:r w:rsidRPr="00FE6567">
        <w:rPr>
          <w:lang w:val="it-IT"/>
        </w:rPr>
        <w:t xml:space="preserve">, D., 2020. </w:t>
      </w:r>
      <w:r w:rsidRPr="00693ABC">
        <w:t>The effects of profitability, leverage, and liquidity on financial distress on retail companies listed on Indonesian Stock Exchange. </w:t>
      </w:r>
      <w:proofErr w:type="spellStart"/>
      <w:r w:rsidRPr="00693ABC">
        <w:rPr>
          <w:i/>
          <w:iCs/>
        </w:rPr>
        <w:t>Jurnal</w:t>
      </w:r>
      <w:proofErr w:type="spellEnd"/>
      <w:r w:rsidRPr="00693ABC">
        <w:rPr>
          <w:i/>
          <w:iCs/>
        </w:rPr>
        <w:t xml:space="preserve"> </w:t>
      </w:r>
      <w:proofErr w:type="spellStart"/>
      <w:r w:rsidRPr="00693ABC">
        <w:rPr>
          <w:i/>
          <w:iCs/>
        </w:rPr>
        <w:t>Ilmiah</w:t>
      </w:r>
      <w:proofErr w:type="spellEnd"/>
      <w:r w:rsidRPr="00693ABC">
        <w:rPr>
          <w:i/>
          <w:iCs/>
        </w:rPr>
        <w:t xml:space="preserve"> </w:t>
      </w:r>
      <w:proofErr w:type="spellStart"/>
      <w:r w:rsidRPr="00693ABC">
        <w:rPr>
          <w:i/>
          <w:iCs/>
        </w:rPr>
        <w:t>Ilmu</w:t>
      </w:r>
      <w:proofErr w:type="spellEnd"/>
      <w:r w:rsidRPr="00693ABC">
        <w:rPr>
          <w:i/>
          <w:iCs/>
        </w:rPr>
        <w:t xml:space="preserve"> </w:t>
      </w:r>
      <w:proofErr w:type="spellStart"/>
      <w:r w:rsidRPr="00693ABC">
        <w:rPr>
          <w:i/>
          <w:iCs/>
        </w:rPr>
        <w:t>Administrasi</w:t>
      </w:r>
      <w:proofErr w:type="spellEnd"/>
      <w:r w:rsidRPr="00693ABC">
        <w:rPr>
          <w:i/>
          <w:iCs/>
        </w:rPr>
        <w:t xml:space="preserve"> Publik</w:t>
      </w:r>
      <w:r w:rsidRPr="00693ABC">
        <w:t>, </w:t>
      </w:r>
      <w:r w:rsidRPr="00693ABC">
        <w:rPr>
          <w:i/>
          <w:iCs/>
        </w:rPr>
        <w:t>10</w:t>
      </w:r>
      <w:r w:rsidRPr="00693ABC">
        <w:t>(1), pp.45-52.</w:t>
      </w:r>
    </w:p>
    <w:p w14:paraId="1FFB34C6" w14:textId="77777777" w:rsidR="00693ABC" w:rsidRPr="00693ABC" w:rsidRDefault="00693ABC">
      <w:pPr>
        <w:rPr>
          <w:lang w:val="en-US"/>
        </w:rPr>
      </w:pPr>
    </w:p>
    <w:sectPr w:rsidR="00693ABC" w:rsidRPr="00693ABC" w:rsidSect="007017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43261"/>
    <w:multiLevelType w:val="hybridMultilevel"/>
    <w:tmpl w:val="E12CD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3D167A"/>
    <w:multiLevelType w:val="multilevel"/>
    <w:tmpl w:val="EC762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6D00780"/>
    <w:multiLevelType w:val="hybridMultilevel"/>
    <w:tmpl w:val="B6F202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5814416">
    <w:abstractNumId w:val="0"/>
  </w:num>
  <w:num w:numId="2" w16cid:durableId="5714842">
    <w:abstractNumId w:val="1"/>
  </w:num>
  <w:num w:numId="3" w16cid:durableId="17448331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56284"/>
    <w:rsid w:val="000E035B"/>
    <w:rsid w:val="000E1901"/>
    <w:rsid w:val="000E3B04"/>
    <w:rsid w:val="001C2073"/>
    <w:rsid w:val="00294CF7"/>
    <w:rsid w:val="003D79EB"/>
    <w:rsid w:val="0047350B"/>
    <w:rsid w:val="00656284"/>
    <w:rsid w:val="0067795F"/>
    <w:rsid w:val="00693ABC"/>
    <w:rsid w:val="0070179C"/>
    <w:rsid w:val="00766975"/>
    <w:rsid w:val="00784687"/>
    <w:rsid w:val="008C54E8"/>
    <w:rsid w:val="00922F36"/>
    <w:rsid w:val="00A26B8E"/>
    <w:rsid w:val="00AD5CD9"/>
    <w:rsid w:val="00B3739A"/>
    <w:rsid w:val="00B73AAA"/>
    <w:rsid w:val="00C15B5D"/>
    <w:rsid w:val="00C6163E"/>
    <w:rsid w:val="00C92ED4"/>
    <w:rsid w:val="00D92878"/>
    <w:rsid w:val="00E2618D"/>
    <w:rsid w:val="00E73A53"/>
    <w:rsid w:val="00FE65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DC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287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7795F"/>
    <w:pPr>
      <w:spacing w:after="240"/>
      <w:outlineLvl w:val="0"/>
    </w:pPr>
    <w:rPr>
      <w:rFonts w:eastAsia="Times New Roman" w:cs="Times New Roman"/>
      <w:b/>
      <w:bCs/>
      <w:color w:val="000000" w:themeColor="text1"/>
      <w:szCs w:val="24"/>
      <w:lang w:val="en-US"/>
    </w:rPr>
  </w:style>
  <w:style w:type="paragraph" w:styleId="Heading2">
    <w:name w:val="heading 2"/>
    <w:basedOn w:val="Normal"/>
    <w:link w:val="Heading2Char"/>
    <w:uiPriority w:val="9"/>
    <w:qFormat/>
    <w:rsid w:val="0067795F"/>
    <w:pPr>
      <w:spacing w:after="240"/>
      <w:outlineLvl w:val="1"/>
    </w:pPr>
    <w:rPr>
      <w:rFonts w:eastAsia="Times New Roman" w:cs="Times New Roman"/>
      <w:b/>
      <w:bCs/>
      <w:color w:val="000000" w:themeColor="text1"/>
      <w:szCs w:val="24"/>
      <w:lang w:val="en-US"/>
    </w:rPr>
  </w:style>
  <w:style w:type="paragraph" w:styleId="Heading3">
    <w:name w:val="heading 3"/>
    <w:basedOn w:val="Normal"/>
    <w:next w:val="Normal"/>
    <w:link w:val="Heading3Char"/>
    <w:uiPriority w:val="9"/>
    <w:unhideWhenUsed/>
    <w:qFormat/>
    <w:rsid w:val="0067795F"/>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67795F"/>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67795F"/>
    <w:pPr>
      <w:jc w:val="center"/>
      <w:outlineLvl w:val="4"/>
    </w:pPr>
    <w:rPr>
      <w:rFonts w:cs="Times New Roman"/>
      <w:b/>
      <w:bCs/>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95F"/>
    <w:rPr>
      <w:rFonts w:ascii="Times New Roman" w:eastAsia="Times New Roman" w:hAnsi="Times New Roman" w:cs="Times New Roman"/>
      <w:b/>
      <w:bCs/>
      <w:color w:val="000000" w:themeColor="text1"/>
      <w:sz w:val="24"/>
      <w:szCs w:val="24"/>
      <w:lang w:val="en-US"/>
    </w:rPr>
  </w:style>
  <w:style w:type="character" w:customStyle="1" w:styleId="Heading2Char">
    <w:name w:val="Heading 2 Char"/>
    <w:basedOn w:val="DefaultParagraphFont"/>
    <w:link w:val="Heading2"/>
    <w:uiPriority w:val="9"/>
    <w:rsid w:val="0067795F"/>
    <w:rPr>
      <w:rFonts w:ascii="Times New Roman" w:eastAsia="Times New Roman" w:hAnsi="Times New Roman" w:cs="Times New Roman"/>
      <w:b/>
      <w:bCs/>
      <w:color w:val="000000" w:themeColor="text1"/>
      <w:sz w:val="24"/>
      <w:szCs w:val="24"/>
      <w:lang w:val="en-US"/>
    </w:rPr>
  </w:style>
  <w:style w:type="character" w:customStyle="1" w:styleId="Heading3Char">
    <w:name w:val="Heading 3 Char"/>
    <w:basedOn w:val="DefaultParagraphFont"/>
    <w:link w:val="Heading3"/>
    <w:uiPriority w:val="9"/>
    <w:rsid w:val="0067795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7795F"/>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67795F"/>
    <w:rPr>
      <w:rFonts w:ascii="Times New Roman" w:hAnsi="Times New Roman" w:cs="Times New Roman"/>
      <w:b/>
      <w:bCs/>
      <w:sz w:val="24"/>
      <w:szCs w:val="24"/>
      <w:lang w:val="en-US"/>
    </w:rPr>
  </w:style>
  <w:style w:type="paragraph" w:styleId="TOCHeading">
    <w:name w:val="TOC Heading"/>
    <w:basedOn w:val="Heading1"/>
    <w:next w:val="Normal"/>
    <w:uiPriority w:val="39"/>
    <w:unhideWhenUsed/>
    <w:qFormat/>
    <w:rsid w:val="0067795F"/>
    <w:pPr>
      <w:spacing w:before="480" w:line="276" w:lineRule="auto"/>
      <w:outlineLvl w:val="9"/>
    </w:pPr>
    <w:rPr>
      <w:b w:val="0"/>
      <w:bCs w:val="0"/>
      <w:szCs w:val="28"/>
    </w:rPr>
  </w:style>
  <w:style w:type="paragraph" w:styleId="TOC1">
    <w:name w:val="toc 1"/>
    <w:basedOn w:val="Normal"/>
    <w:next w:val="Normal"/>
    <w:autoRedefine/>
    <w:uiPriority w:val="39"/>
    <w:unhideWhenUsed/>
    <w:rsid w:val="00D92878"/>
    <w:pPr>
      <w:spacing w:after="100"/>
    </w:pPr>
  </w:style>
  <w:style w:type="character" w:styleId="Hyperlink">
    <w:name w:val="Hyperlink"/>
    <w:basedOn w:val="DefaultParagraphFont"/>
    <w:uiPriority w:val="99"/>
    <w:unhideWhenUsed/>
    <w:rsid w:val="00D92878"/>
    <w:rPr>
      <w:color w:val="0563C1" w:themeColor="hyperlink"/>
      <w:u w:val="single"/>
    </w:rPr>
  </w:style>
  <w:style w:type="paragraph" w:styleId="ListParagraph">
    <w:name w:val="List Paragraph"/>
    <w:basedOn w:val="Normal"/>
    <w:uiPriority w:val="34"/>
    <w:qFormat/>
    <w:rsid w:val="00E2618D"/>
    <w:pPr>
      <w:ind w:left="720"/>
      <w:contextualSpacing/>
    </w:pPr>
  </w:style>
  <w:style w:type="paragraph" w:styleId="NormalWeb">
    <w:name w:val="Normal (Web)"/>
    <w:basedOn w:val="Normal"/>
    <w:uiPriority w:val="99"/>
    <w:semiHidden/>
    <w:unhideWhenUsed/>
    <w:rsid w:val="00C92ED4"/>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597056">
      <w:bodyDiv w:val="1"/>
      <w:marLeft w:val="0"/>
      <w:marRight w:val="0"/>
      <w:marTop w:val="0"/>
      <w:marBottom w:val="0"/>
      <w:divBdr>
        <w:top w:val="none" w:sz="0" w:space="0" w:color="auto"/>
        <w:left w:val="none" w:sz="0" w:space="0" w:color="auto"/>
        <w:bottom w:val="none" w:sz="0" w:space="0" w:color="auto"/>
        <w:right w:val="none" w:sz="0" w:space="0" w:color="auto"/>
      </w:divBdr>
    </w:div>
    <w:div w:id="145780152">
      <w:bodyDiv w:val="1"/>
      <w:marLeft w:val="0"/>
      <w:marRight w:val="0"/>
      <w:marTop w:val="0"/>
      <w:marBottom w:val="0"/>
      <w:divBdr>
        <w:top w:val="none" w:sz="0" w:space="0" w:color="auto"/>
        <w:left w:val="none" w:sz="0" w:space="0" w:color="auto"/>
        <w:bottom w:val="none" w:sz="0" w:space="0" w:color="auto"/>
        <w:right w:val="none" w:sz="0" w:space="0" w:color="auto"/>
      </w:divBdr>
    </w:div>
    <w:div w:id="157422618">
      <w:bodyDiv w:val="1"/>
      <w:marLeft w:val="0"/>
      <w:marRight w:val="0"/>
      <w:marTop w:val="0"/>
      <w:marBottom w:val="0"/>
      <w:divBdr>
        <w:top w:val="none" w:sz="0" w:space="0" w:color="auto"/>
        <w:left w:val="none" w:sz="0" w:space="0" w:color="auto"/>
        <w:bottom w:val="none" w:sz="0" w:space="0" w:color="auto"/>
        <w:right w:val="none" w:sz="0" w:space="0" w:color="auto"/>
      </w:divBdr>
    </w:div>
    <w:div w:id="294337884">
      <w:bodyDiv w:val="1"/>
      <w:marLeft w:val="0"/>
      <w:marRight w:val="0"/>
      <w:marTop w:val="0"/>
      <w:marBottom w:val="0"/>
      <w:divBdr>
        <w:top w:val="none" w:sz="0" w:space="0" w:color="auto"/>
        <w:left w:val="none" w:sz="0" w:space="0" w:color="auto"/>
        <w:bottom w:val="none" w:sz="0" w:space="0" w:color="auto"/>
        <w:right w:val="none" w:sz="0" w:space="0" w:color="auto"/>
      </w:divBdr>
    </w:div>
    <w:div w:id="388307389">
      <w:bodyDiv w:val="1"/>
      <w:marLeft w:val="0"/>
      <w:marRight w:val="0"/>
      <w:marTop w:val="0"/>
      <w:marBottom w:val="0"/>
      <w:divBdr>
        <w:top w:val="none" w:sz="0" w:space="0" w:color="auto"/>
        <w:left w:val="none" w:sz="0" w:space="0" w:color="auto"/>
        <w:bottom w:val="none" w:sz="0" w:space="0" w:color="auto"/>
        <w:right w:val="none" w:sz="0" w:space="0" w:color="auto"/>
      </w:divBdr>
    </w:div>
    <w:div w:id="544755126">
      <w:bodyDiv w:val="1"/>
      <w:marLeft w:val="0"/>
      <w:marRight w:val="0"/>
      <w:marTop w:val="0"/>
      <w:marBottom w:val="0"/>
      <w:divBdr>
        <w:top w:val="none" w:sz="0" w:space="0" w:color="auto"/>
        <w:left w:val="none" w:sz="0" w:space="0" w:color="auto"/>
        <w:bottom w:val="none" w:sz="0" w:space="0" w:color="auto"/>
        <w:right w:val="none" w:sz="0" w:space="0" w:color="auto"/>
      </w:divBdr>
    </w:div>
    <w:div w:id="586963923">
      <w:bodyDiv w:val="1"/>
      <w:marLeft w:val="0"/>
      <w:marRight w:val="0"/>
      <w:marTop w:val="0"/>
      <w:marBottom w:val="0"/>
      <w:divBdr>
        <w:top w:val="none" w:sz="0" w:space="0" w:color="auto"/>
        <w:left w:val="none" w:sz="0" w:space="0" w:color="auto"/>
        <w:bottom w:val="none" w:sz="0" w:space="0" w:color="auto"/>
        <w:right w:val="none" w:sz="0" w:space="0" w:color="auto"/>
      </w:divBdr>
    </w:div>
    <w:div w:id="652027297">
      <w:bodyDiv w:val="1"/>
      <w:marLeft w:val="0"/>
      <w:marRight w:val="0"/>
      <w:marTop w:val="0"/>
      <w:marBottom w:val="0"/>
      <w:divBdr>
        <w:top w:val="none" w:sz="0" w:space="0" w:color="auto"/>
        <w:left w:val="none" w:sz="0" w:space="0" w:color="auto"/>
        <w:bottom w:val="none" w:sz="0" w:space="0" w:color="auto"/>
        <w:right w:val="none" w:sz="0" w:space="0" w:color="auto"/>
      </w:divBdr>
    </w:div>
    <w:div w:id="685136791">
      <w:bodyDiv w:val="1"/>
      <w:marLeft w:val="0"/>
      <w:marRight w:val="0"/>
      <w:marTop w:val="0"/>
      <w:marBottom w:val="0"/>
      <w:divBdr>
        <w:top w:val="none" w:sz="0" w:space="0" w:color="auto"/>
        <w:left w:val="none" w:sz="0" w:space="0" w:color="auto"/>
        <w:bottom w:val="none" w:sz="0" w:space="0" w:color="auto"/>
        <w:right w:val="none" w:sz="0" w:space="0" w:color="auto"/>
      </w:divBdr>
    </w:div>
    <w:div w:id="700328323">
      <w:bodyDiv w:val="1"/>
      <w:marLeft w:val="0"/>
      <w:marRight w:val="0"/>
      <w:marTop w:val="0"/>
      <w:marBottom w:val="0"/>
      <w:divBdr>
        <w:top w:val="none" w:sz="0" w:space="0" w:color="auto"/>
        <w:left w:val="none" w:sz="0" w:space="0" w:color="auto"/>
        <w:bottom w:val="none" w:sz="0" w:space="0" w:color="auto"/>
        <w:right w:val="none" w:sz="0" w:space="0" w:color="auto"/>
      </w:divBdr>
    </w:div>
    <w:div w:id="714306727">
      <w:bodyDiv w:val="1"/>
      <w:marLeft w:val="0"/>
      <w:marRight w:val="0"/>
      <w:marTop w:val="0"/>
      <w:marBottom w:val="0"/>
      <w:divBdr>
        <w:top w:val="none" w:sz="0" w:space="0" w:color="auto"/>
        <w:left w:val="none" w:sz="0" w:space="0" w:color="auto"/>
        <w:bottom w:val="none" w:sz="0" w:space="0" w:color="auto"/>
        <w:right w:val="none" w:sz="0" w:space="0" w:color="auto"/>
      </w:divBdr>
    </w:div>
    <w:div w:id="743259183">
      <w:bodyDiv w:val="1"/>
      <w:marLeft w:val="0"/>
      <w:marRight w:val="0"/>
      <w:marTop w:val="0"/>
      <w:marBottom w:val="0"/>
      <w:divBdr>
        <w:top w:val="none" w:sz="0" w:space="0" w:color="auto"/>
        <w:left w:val="none" w:sz="0" w:space="0" w:color="auto"/>
        <w:bottom w:val="none" w:sz="0" w:space="0" w:color="auto"/>
        <w:right w:val="none" w:sz="0" w:space="0" w:color="auto"/>
      </w:divBdr>
    </w:div>
    <w:div w:id="794102368">
      <w:bodyDiv w:val="1"/>
      <w:marLeft w:val="0"/>
      <w:marRight w:val="0"/>
      <w:marTop w:val="0"/>
      <w:marBottom w:val="0"/>
      <w:divBdr>
        <w:top w:val="none" w:sz="0" w:space="0" w:color="auto"/>
        <w:left w:val="none" w:sz="0" w:space="0" w:color="auto"/>
        <w:bottom w:val="none" w:sz="0" w:space="0" w:color="auto"/>
        <w:right w:val="none" w:sz="0" w:space="0" w:color="auto"/>
      </w:divBdr>
    </w:div>
    <w:div w:id="820585271">
      <w:bodyDiv w:val="1"/>
      <w:marLeft w:val="0"/>
      <w:marRight w:val="0"/>
      <w:marTop w:val="0"/>
      <w:marBottom w:val="0"/>
      <w:divBdr>
        <w:top w:val="none" w:sz="0" w:space="0" w:color="auto"/>
        <w:left w:val="none" w:sz="0" w:space="0" w:color="auto"/>
        <w:bottom w:val="none" w:sz="0" w:space="0" w:color="auto"/>
        <w:right w:val="none" w:sz="0" w:space="0" w:color="auto"/>
      </w:divBdr>
    </w:div>
    <w:div w:id="825130754">
      <w:bodyDiv w:val="1"/>
      <w:marLeft w:val="0"/>
      <w:marRight w:val="0"/>
      <w:marTop w:val="0"/>
      <w:marBottom w:val="0"/>
      <w:divBdr>
        <w:top w:val="none" w:sz="0" w:space="0" w:color="auto"/>
        <w:left w:val="none" w:sz="0" w:space="0" w:color="auto"/>
        <w:bottom w:val="none" w:sz="0" w:space="0" w:color="auto"/>
        <w:right w:val="none" w:sz="0" w:space="0" w:color="auto"/>
      </w:divBdr>
    </w:div>
    <w:div w:id="826937398">
      <w:bodyDiv w:val="1"/>
      <w:marLeft w:val="0"/>
      <w:marRight w:val="0"/>
      <w:marTop w:val="0"/>
      <w:marBottom w:val="0"/>
      <w:divBdr>
        <w:top w:val="none" w:sz="0" w:space="0" w:color="auto"/>
        <w:left w:val="none" w:sz="0" w:space="0" w:color="auto"/>
        <w:bottom w:val="none" w:sz="0" w:space="0" w:color="auto"/>
        <w:right w:val="none" w:sz="0" w:space="0" w:color="auto"/>
      </w:divBdr>
    </w:div>
    <w:div w:id="849641052">
      <w:bodyDiv w:val="1"/>
      <w:marLeft w:val="0"/>
      <w:marRight w:val="0"/>
      <w:marTop w:val="0"/>
      <w:marBottom w:val="0"/>
      <w:divBdr>
        <w:top w:val="none" w:sz="0" w:space="0" w:color="auto"/>
        <w:left w:val="none" w:sz="0" w:space="0" w:color="auto"/>
        <w:bottom w:val="none" w:sz="0" w:space="0" w:color="auto"/>
        <w:right w:val="none" w:sz="0" w:space="0" w:color="auto"/>
      </w:divBdr>
    </w:div>
    <w:div w:id="874581706">
      <w:bodyDiv w:val="1"/>
      <w:marLeft w:val="0"/>
      <w:marRight w:val="0"/>
      <w:marTop w:val="0"/>
      <w:marBottom w:val="0"/>
      <w:divBdr>
        <w:top w:val="none" w:sz="0" w:space="0" w:color="auto"/>
        <w:left w:val="none" w:sz="0" w:space="0" w:color="auto"/>
        <w:bottom w:val="none" w:sz="0" w:space="0" w:color="auto"/>
        <w:right w:val="none" w:sz="0" w:space="0" w:color="auto"/>
      </w:divBdr>
    </w:div>
    <w:div w:id="1065029974">
      <w:bodyDiv w:val="1"/>
      <w:marLeft w:val="0"/>
      <w:marRight w:val="0"/>
      <w:marTop w:val="0"/>
      <w:marBottom w:val="0"/>
      <w:divBdr>
        <w:top w:val="none" w:sz="0" w:space="0" w:color="auto"/>
        <w:left w:val="none" w:sz="0" w:space="0" w:color="auto"/>
        <w:bottom w:val="none" w:sz="0" w:space="0" w:color="auto"/>
        <w:right w:val="none" w:sz="0" w:space="0" w:color="auto"/>
      </w:divBdr>
    </w:div>
    <w:div w:id="1069035689">
      <w:bodyDiv w:val="1"/>
      <w:marLeft w:val="0"/>
      <w:marRight w:val="0"/>
      <w:marTop w:val="0"/>
      <w:marBottom w:val="0"/>
      <w:divBdr>
        <w:top w:val="none" w:sz="0" w:space="0" w:color="auto"/>
        <w:left w:val="none" w:sz="0" w:space="0" w:color="auto"/>
        <w:bottom w:val="none" w:sz="0" w:space="0" w:color="auto"/>
        <w:right w:val="none" w:sz="0" w:space="0" w:color="auto"/>
      </w:divBdr>
    </w:div>
    <w:div w:id="1181510474">
      <w:bodyDiv w:val="1"/>
      <w:marLeft w:val="0"/>
      <w:marRight w:val="0"/>
      <w:marTop w:val="0"/>
      <w:marBottom w:val="0"/>
      <w:divBdr>
        <w:top w:val="none" w:sz="0" w:space="0" w:color="auto"/>
        <w:left w:val="none" w:sz="0" w:space="0" w:color="auto"/>
        <w:bottom w:val="none" w:sz="0" w:space="0" w:color="auto"/>
        <w:right w:val="none" w:sz="0" w:space="0" w:color="auto"/>
      </w:divBdr>
    </w:div>
    <w:div w:id="1210336647">
      <w:bodyDiv w:val="1"/>
      <w:marLeft w:val="0"/>
      <w:marRight w:val="0"/>
      <w:marTop w:val="0"/>
      <w:marBottom w:val="0"/>
      <w:divBdr>
        <w:top w:val="none" w:sz="0" w:space="0" w:color="auto"/>
        <w:left w:val="none" w:sz="0" w:space="0" w:color="auto"/>
        <w:bottom w:val="none" w:sz="0" w:space="0" w:color="auto"/>
        <w:right w:val="none" w:sz="0" w:space="0" w:color="auto"/>
      </w:divBdr>
    </w:div>
    <w:div w:id="1457412340">
      <w:bodyDiv w:val="1"/>
      <w:marLeft w:val="0"/>
      <w:marRight w:val="0"/>
      <w:marTop w:val="0"/>
      <w:marBottom w:val="0"/>
      <w:divBdr>
        <w:top w:val="none" w:sz="0" w:space="0" w:color="auto"/>
        <w:left w:val="none" w:sz="0" w:space="0" w:color="auto"/>
        <w:bottom w:val="none" w:sz="0" w:space="0" w:color="auto"/>
        <w:right w:val="none" w:sz="0" w:space="0" w:color="auto"/>
      </w:divBdr>
    </w:div>
    <w:div w:id="1512333128">
      <w:bodyDiv w:val="1"/>
      <w:marLeft w:val="0"/>
      <w:marRight w:val="0"/>
      <w:marTop w:val="0"/>
      <w:marBottom w:val="0"/>
      <w:divBdr>
        <w:top w:val="none" w:sz="0" w:space="0" w:color="auto"/>
        <w:left w:val="none" w:sz="0" w:space="0" w:color="auto"/>
        <w:bottom w:val="none" w:sz="0" w:space="0" w:color="auto"/>
        <w:right w:val="none" w:sz="0" w:space="0" w:color="auto"/>
      </w:divBdr>
    </w:div>
    <w:div w:id="1559393465">
      <w:bodyDiv w:val="1"/>
      <w:marLeft w:val="0"/>
      <w:marRight w:val="0"/>
      <w:marTop w:val="0"/>
      <w:marBottom w:val="0"/>
      <w:divBdr>
        <w:top w:val="none" w:sz="0" w:space="0" w:color="auto"/>
        <w:left w:val="none" w:sz="0" w:space="0" w:color="auto"/>
        <w:bottom w:val="none" w:sz="0" w:space="0" w:color="auto"/>
        <w:right w:val="none" w:sz="0" w:space="0" w:color="auto"/>
      </w:divBdr>
    </w:div>
    <w:div w:id="1587181553">
      <w:bodyDiv w:val="1"/>
      <w:marLeft w:val="0"/>
      <w:marRight w:val="0"/>
      <w:marTop w:val="0"/>
      <w:marBottom w:val="0"/>
      <w:divBdr>
        <w:top w:val="none" w:sz="0" w:space="0" w:color="auto"/>
        <w:left w:val="none" w:sz="0" w:space="0" w:color="auto"/>
        <w:bottom w:val="none" w:sz="0" w:space="0" w:color="auto"/>
        <w:right w:val="none" w:sz="0" w:space="0" w:color="auto"/>
      </w:divBdr>
    </w:div>
    <w:div w:id="1710569672">
      <w:bodyDiv w:val="1"/>
      <w:marLeft w:val="0"/>
      <w:marRight w:val="0"/>
      <w:marTop w:val="0"/>
      <w:marBottom w:val="0"/>
      <w:divBdr>
        <w:top w:val="none" w:sz="0" w:space="0" w:color="auto"/>
        <w:left w:val="none" w:sz="0" w:space="0" w:color="auto"/>
        <w:bottom w:val="none" w:sz="0" w:space="0" w:color="auto"/>
        <w:right w:val="none" w:sz="0" w:space="0" w:color="auto"/>
      </w:divBdr>
    </w:div>
    <w:div w:id="1713995520">
      <w:bodyDiv w:val="1"/>
      <w:marLeft w:val="0"/>
      <w:marRight w:val="0"/>
      <w:marTop w:val="0"/>
      <w:marBottom w:val="0"/>
      <w:divBdr>
        <w:top w:val="none" w:sz="0" w:space="0" w:color="auto"/>
        <w:left w:val="none" w:sz="0" w:space="0" w:color="auto"/>
        <w:bottom w:val="none" w:sz="0" w:space="0" w:color="auto"/>
        <w:right w:val="none" w:sz="0" w:space="0" w:color="auto"/>
      </w:divBdr>
    </w:div>
    <w:div w:id="1718241910">
      <w:bodyDiv w:val="1"/>
      <w:marLeft w:val="0"/>
      <w:marRight w:val="0"/>
      <w:marTop w:val="0"/>
      <w:marBottom w:val="0"/>
      <w:divBdr>
        <w:top w:val="none" w:sz="0" w:space="0" w:color="auto"/>
        <w:left w:val="none" w:sz="0" w:space="0" w:color="auto"/>
        <w:bottom w:val="none" w:sz="0" w:space="0" w:color="auto"/>
        <w:right w:val="none" w:sz="0" w:space="0" w:color="auto"/>
      </w:divBdr>
    </w:div>
    <w:div w:id="1729646132">
      <w:bodyDiv w:val="1"/>
      <w:marLeft w:val="0"/>
      <w:marRight w:val="0"/>
      <w:marTop w:val="0"/>
      <w:marBottom w:val="0"/>
      <w:divBdr>
        <w:top w:val="none" w:sz="0" w:space="0" w:color="auto"/>
        <w:left w:val="none" w:sz="0" w:space="0" w:color="auto"/>
        <w:bottom w:val="none" w:sz="0" w:space="0" w:color="auto"/>
        <w:right w:val="none" w:sz="0" w:space="0" w:color="auto"/>
      </w:divBdr>
    </w:div>
    <w:div w:id="1786149566">
      <w:bodyDiv w:val="1"/>
      <w:marLeft w:val="0"/>
      <w:marRight w:val="0"/>
      <w:marTop w:val="0"/>
      <w:marBottom w:val="0"/>
      <w:divBdr>
        <w:top w:val="none" w:sz="0" w:space="0" w:color="auto"/>
        <w:left w:val="none" w:sz="0" w:space="0" w:color="auto"/>
        <w:bottom w:val="none" w:sz="0" w:space="0" w:color="auto"/>
        <w:right w:val="none" w:sz="0" w:space="0" w:color="auto"/>
      </w:divBdr>
    </w:div>
    <w:div w:id="1854488186">
      <w:bodyDiv w:val="1"/>
      <w:marLeft w:val="0"/>
      <w:marRight w:val="0"/>
      <w:marTop w:val="0"/>
      <w:marBottom w:val="0"/>
      <w:divBdr>
        <w:top w:val="none" w:sz="0" w:space="0" w:color="auto"/>
        <w:left w:val="none" w:sz="0" w:space="0" w:color="auto"/>
        <w:bottom w:val="none" w:sz="0" w:space="0" w:color="auto"/>
        <w:right w:val="none" w:sz="0" w:space="0" w:color="auto"/>
      </w:divBdr>
    </w:div>
    <w:div w:id="1873809449">
      <w:bodyDiv w:val="1"/>
      <w:marLeft w:val="0"/>
      <w:marRight w:val="0"/>
      <w:marTop w:val="0"/>
      <w:marBottom w:val="0"/>
      <w:divBdr>
        <w:top w:val="none" w:sz="0" w:space="0" w:color="auto"/>
        <w:left w:val="none" w:sz="0" w:space="0" w:color="auto"/>
        <w:bottom w:val="none" w:sz="0" w:space="0" w:color="auto"/>
        <w:right w:val="none" w:sz="0" w:space="0" w:color="auto"/>
      </w:divBdr>
    </w:div>
    <w:div w:id="1916089060">
      <w:bodyDiv w:val="1"/>
      <w:marLeft w:val="0"/>
      <w:marRight w:val="0"/>
      <w:marTop w:val="0"/>
      <w:marBottom w:val="0"/>
      <w:divBdr>
        <w:top w:val="none" w:sz="0" w:space="0" w:color="auto"/>
        <w:left w:val="none" w:sz="0" w:space="0" w:color="auto"/>
        <w:bottom w:val="none" w:sz="0" w:space="0" w:color="auto"/>
        <w:right w:val="none" w:sz="0" w:space="0" w:color="auto"/>
      </w:divBdr>
    </w:div>
    <w:div w:id="1966545756">
      <w:bodyDiv w:val="1"/>
      <w:marLeft w:val="0"/>
      <w:marRight w:val="0"/>
      <w:marTop w:val="0"/>
      <w:marBottom w:val="0"/>
      <w:divBdr>
        <w:top w:val="none" w:sz="0" w:space="0" w:color="auto"/>
        <w:left w:val="none" w:sz="0" w:space="0" w:color="auto"/>
        <w:bottom w:val="none" w:sz="0" w:space="0" w:color="auto"/>
        <w:right w:val="none" w:sz="0" w:space="0" w:color="auto"/>
      </w:divBdr>
    </w:div>
    <w:div w:id="2026665701">
      <w:bodyDiv w:val="1"/>
      <w:marLeft w:val="0"/>
      <w:marRight w:val="0"/>
      <w:marTop w:val="0"/>
      <w:marBottom w:val="0"/>
      <w:divBdr>
        <w:top w:val="none" w:sz="0" w:space="0" w:color="auto"/>
        <w:left w:val="none" w:sz="0" w:space="0" w:color="auto"/>
        <w:bottom w:val="none" w:sz="0" w:space="0" w:color="auto"/>
        <w:right w:val="none" w:sz="0" w:space="0" w:color="auto"/>
      </w:divBdr>
    </w:div>
    <w:div w:id="2111193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6A483A-ED82-F04C-A989-CC8E512AC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2866</Words>
  <Characters>16339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2023-05-07T18:41:00Z</dcterms:created>
  <dcterms:modified xsi:type="dcterms:W3CDTF">2023-05-07T18:41:00Z</dcterms:modified>
</cp:coreProperties>
</file>