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425A51" w14:textId="32A950EF" w:rsidR="00AF325A" w:rsidRPr="00D74F1E" w:rsidRDefault="00AF325A" w:rsidP="22B2B2F7">
      <w:pPr>
        <w:rPr>
          <w:lang w:val="en-GB"/>
        </w:rPr>
      </w:pPr>
    </w:p>
    <w:p w14:paraId="1F675269" w14:textId="213261B4" w:rsidR="00AF325A" w:rsidRPr="00D74F1E" w:rsidRDefault="6DF0C38A" w:rsidP="22B2B2F7">
      <w:pPr>
        <w:jc w:val="center"/>
        <w:rPr>
          <w:sz w:val="28"/>
          <w:szCs w:val="28"/>
          <w:u w:val="single"/>
          <w:lang w:val="en-GB"/>
        </w:rPr>
      </w:pPr>
      <w:r w:rsidRPr="22B2B2F7">
        <w:rPr>
          <w:sz w:val="28"/>
          <w:szCs w:val="28"/>
          <w:u w:val="single"/>
          <w:lang w:val="en-GB"/>
        </w:rPr>
        <w:t>PGCert Professional Practice</w:t>
      </w:r>
    </w:p>
    <w:p w14:paraId="2CE84E0E" w14:textId="339CDB17" w:rsidR="00AF325A" w:rsidRPr="00D74F1E" w:rsidRDefault="6DF0C38A" w:rsidP="22B2B2F7">
      <w:pPr>
        <w:jc w:val="center"/>
        <w:rPr>
          <w:rFonts w:ascii="Aptos" w:eastAsia="Aptos" w:hAnsi="Aptos" w:cs="Aptos"/>
          <w:sz w:val="28"/>
          <w:szCs w:val="28"/>
          <w:lang w:val="en-GB"/>
        </w:rPr>
      </w:pPr>
      <w:r w:rsidRPr="22B2B2F7">
        <w:rPr>
          <w:sz w:val="28"/>
          <w:szCs w:val="28"/>
          <w:u w:val="single"/>
          <w:lang w:val="en-GB"/>
        </w:rPr>
        <w:t>M</w:t>
      </w:r>
      <w:r w:rsidRPr="22B2B2F7">
        <w:rPr>
          <w:rFonts w:asciiTheme="majorHAnsi" w:eastAsiaTheme="majorEastAsia" w:hAnsiTheme="majorHAnsi" w:cstheme="majorBidi"/>
          <w:sz w:val="28"/>
          <w:szCs w:val="28"/>
          <w:u w:val="single"/>
          <w:lang w:val="en-GB"/>
        </w:rPr>
        <w:t xml:space="preserve">odule: </w:t>
      </w:r>
      <w:r w:rsidRPr="22B2B2F7">
        <w:rPr>
          <w:rFonts w:asciiTheme="majorHAnsi" w:eastAsiaTheme="majorEastAsia" w:hAnsiTheme="majorHAnsi" w:cstheme="majorBidi"/>
          <w:color w:val="000000" w:themeColor="text1"/>
          <w:sz w:val="28"/>
          <w:szCs w:val="28"/>
          <w:lang w:val="en-GB"/>
        </w:rPr>
        <w:t>BMPF7023 Leadership and Change</w:t>
      </w:r>
    </w:p>
    <w:p w14:paraId="35D89A05" w14:textId="457B455D" w:rsidR="00AF325A" w:rsidRPr="00D74F1E" w:rsidRDefault="00AF325A" w:rsidP="22B2B2F7">
      <w:pPr>
        <w:jc w:val="center"/>
        <w:rPr>
          <w:rFonts w:asciiTheme="majorHAnsi" w:eastAsiaTheme="majorEastAsia" w:hAnsiTheme="majorHAnsi" w:cstheme="majorBidi"/>
          <w:color w:val="000000" w:themeColor="text1"/>
          <w:sz w:val="28"/>
          <w:szCs w:val="28"/>
          <w:lang w:val="en-GB"/>
        </w:rPr>
      </w:pPr>
    </w:p>
    <w:p w14:paraId="5D6B310D" w14:textId="5FAF4179" w:rsidR="00AF325A" w:rsidRPr="00D74F1E" w:rsidRDefault="00AF325A" w:rsidP="22B2B2F7">
      <w:pPr>
        <w:jc w:val="center"/>
        <w:rPr>
          <w:rFonts w:asciiTheme="majorHAnsi" w:eastAsiaTheme="majorEastAsia" w:hAnsiTheme="majorHAnsi" w:cstheme="majorBidi"/>
          <w:color w:val="000000" w:themeColor="text1"/>
          <w:sz w:val="28"/>
          <w:szCs w:val="28"/>
          <w:lang w:val="en-GB"/>
        </w:rPr>
      </w:pPr>
    </w:p>
    <w:p w14:paraId="58ED5464" w14:textId="59034669" w:rsidR="00AF325A" w:rsidRPr="00D74F1E" w:rsidRDefault="7BE82F90" w:rsidP="22B2B2F7">
      <w:pPr>
        <w:jc w:val="center"/>
        <w:rPr>
          <w:rFonts w:asciiTheme="majorHAnsi" w:eastAsiaTheme="majorEastAsia" w:hAnsiTheme="majorHAnsi" w:cstheme="majorBidi"/>
          <w:color w:val="000000" w:themeColor="text1"/>
          <w:sz w:val="28"/>
          <w:szCs w:val="28"/>
          <w:lang w:val="en-GB"/>
        </w:rPr>
      </w:pPr>
      <w:r w:rsidRPr="22B2B2F7">
        <w:rPr>
          <w:rFonts w:asciiTheme="majorHAnsi" w:eastAsiaTheme="majorEastAsia" w:hAnsiTheme="majorHAnsi" w:cstheme="majorBidi"/>
          <w:color w:val="000000" w:themeColor="text1"/>
          <w:sz w:val="28"/>
          <w:szCs w:val="28"/>
          <w:lang w:val="en-GB"/>
        </w:rPr>
        <w:t>Student Number: 2031094</w:t>
      </w:r>
    </w:p>
    <w:p w14:paraId="43BB6C65" w14:textId="465CBC71" w:rsidR="00AF325A" w:rsidRPr="00D74F1E" w:rsidRDefault="7BE82F90" w:rsidP="22B2B2F7">
      <w:pPr>
        <w:jc w:val="center"/>
        <w:rPr>
          <w:rFonts w:asciiTheme="majorHAnsi" w:eastAsiaTheme="majorEastAsia" w:hAnsiTheme="majorHAnsi" w:cstheme="majorBidi"/>
          <w:color w:val="000000" w:themeColor="text1"/>
          <w:sz w:val="28"/>
          <w:szCs w:val="28"/>
          <w:lang w:val="en-GB"/>
        </w:rPr>
      </w:pPr>
      <w:r w:rsidRPr="22B2B2F7">
        <w:rPr>
          <w:rFonts w:asciiTheme="majorHAnsi" w:eastAsiaTheme="majorEastAsia" w:hAnsiTheme="majorHAnsi" w:cstheme="majorBidi"/>
          <w:color w:val="000000" w:themeColor="text1"/>
          <w:sz w:val="28"/>
          <w:szCs w:val="28"/>
          <w:lang w:val="en-GB"/>
        </w:rPr>
        <w:t>Word Count:</w:t>
      </w:r>
    </w:p>
    <w:p w14:paraId="56639906" w14:textId="5300B83A" w:rsidR="00AF325A" w:rsidRPr="00D74F1E" w:rsidRDefault="00AF325A" w:rsidP="22B2B2F7">
      <w:pPr>
        <w:jc w:val="center"/>
        <w:rPr>
          <w:rFonts w:asciiTheme="majorHAnsi" w:eastAsiaTheme="majorEastAsia" w:hAnsiTheme="majorHAnsi" w:cstheme="majorBidi"/>
          <w:color w:val="000000" w:themeColor="text1"/>
          <w:sz w:val="28"/>
          <w:szCs w:val="28"/>
          <w:lang w:val="en-GB"/>
        </w:rPr>
      </w:pPr>
    </w:p>
    <w:p w14:paraId="4101D596" w14:textId="16D0100A" w:rsidR="00AF325A" w:rsidRPr="00D74F1E" w:rsidRDefault="1502F919" w:rsidP="22B2B2F7">
      <w:pPr>
        <w:jc w:val="center"/>
        <w:rPr>
          <w:rFonts w:asciiTheme="majorHAnsi" w:eastAsiaTheme="majorEastAsia" w:hAnsiTheme="majorHAnsi" w:cstheme="majorBidi"/>
          <w:color w:val="000000" w:themeColor="text1"/>
          <w:sz w:val="28"/>
          <w:szCs w:val="28"/>
          <w:lang w:val="en-GB"/>
        </w:rPr>
      </w:pPr>
      <w:r w:rsidRPr="22B2B2F7">
        <w:rPr>
          <w:rFonts w:asciiTheme="majorHAnsi" w:eastAsiaTheme="majorEastAsia" w:hAnsiTheme="majorHAnsi" w:cstheme="majorBidi"/>
          <w:color w:val="000000" w:themeColor="text1"/>
          <w:sz w:val="28"/>
          <w:szCs w:val="28"/>
          <w:lang w:val="en-GB"/>
        </w:rPr>
        <w:t>Author: Kate Holifield</w:t>
      </w:r>
    </w:p>
    <w:p w14:paraId="26A50E47" w14:textId="52AE72CE" w:rsidR="00AF325A" w:rsidRPr="00D74F1E" w:rsidRDefault="00AF325A" w:rsidP="22B2B2F7">
      <w:pPr>
        <w:rPr>
          <w:lang w:val="en-GB"/>
        </w:rPr>
      </w:pPr>
    </w:p>
    <w:p w14:paraId="19FCD056" w14:textId="5311DD22" w:rsidR="00AF325A" w:rsidRPr="00D74F1E" w:rsidRDefault="00AF325A" w:rsidP="22B2B2F7">
      <w:pPr>
        <w:rPr>
          <w:lang w:val="en-GB"/>
        </w:rPr>
      </w:pPr>
    </w:p>
    <w:p w14:paraId="2A06CBE3" w14:textId="14D61348" w:rsidR="00AF325A" w:rsidRPr="00D74F1E" w:rsidRDefault="00AF325A" w:rsidP="22B2B2F7">
      <w:pPr>
        <w:rPr>
          <w:lang w:val="en-GB"/>
        </w:rPr>
      </w:pPr>
    </w:p>
    <w:p w14:paraId="2CD0468F" w14:textId="5E1A44C0" w:rsidR="00AF325A" w:rsidRPr="00D74F1E" w:rsidRDefault="00AF325A" w:rsidP="22B2B2F7">
      <w:pPr>
        <w:rPr>
          <w:lang w:val="en-GB"/>
        </w:rPr>
      </w:pPr>
    </w:p>
    <w:p w14:paraId="473428CD" w14:textId="2F427E81" w:rsidR="00AF325A" w:rsidRPr="00D74F1E" w:rsidRDefault="00AF325A" w:rsidP="22B2B2F7">
      <w:pPr>
        <w:rPr>
          <w:lang w:val="en-GB"/>
        </w:rPr>
      </w:pPr>
    </w:p>
    <w:p w14:paraId="0286F909" w14:textId="7716C5DA" w:rsidR="00AF325A" w:rsidRPr="00D74F1E" w:rsidRDefault="00AF325A" w:rsidP="22B2B2F7">
      <w:pPr>
        <w:rPr>
          <w:lang w:val="en-GB"/>
        </w:rPr>
      </w:pPr>
    </w:p>
    <w:p w14:paraId="05EAD37F" w14:textId="42179C20" w:rsidR="00AF325A" w:rsidRPr="00D74F1E" w:rsidRDefault="00AF325A" w:rsidP="22B2B2F7">
      <w:pPr>
        <w:rPr>
          <w:lang w:val="en-GB"/>
        </w:rPr>
      </w:pPr>
    </w:p>
    <w:p w14:paraId="53F7A021" w14:textId="5813B349" w:rsidR="00AF325A" w:rsidRPr="00D74F1E" w:rsidRDefault="00AF325A" w:rsidP="22B2B2F7">
      <w:pPr>
        <w:rPr>
          <w:lang w:val="en-GB"/>
        </w:rPr>
      </w:pPr>
    </w:p>
    <w:p w14:paraId="79893F5D" w14:textId="2C9BED76" w:rsidR="00AF325A" w:rsidRPr="00D74F1E" w:rsidRDefault="00AF325A" w:rsidP="22B2B2F7">
      <w:pPr>
        <w:rPr>
          <w:lang w:val="en-GB"/>
        </w:rPr>
      </w:pPr>
    </w:p>
    <w:p w14:paraId="1B676DE4" w14:textId="2CD2B5A7" w:rsidR="00AF325A" w:rsidRPr="00D74F1E" w:rsidRDefault="00AF325A" w:rsidP="22B2B2F7">
      <w:pPr>
        <w:rPr>
          <w:lang w:val="en-GB"/>
        </w:rPr>
      </w:pPr>
    </w:p>
    <w:p w14:paraId="4E94C617" w14:textId="6E847410" w:rsidR="00AF325A" w:rsidRPr="00D74F1E" w:rsidRDefault="00AF325A" w:rsidP="22B2B2F7">
      <w:pPr>
        <w:rPr>
          <w:lang w:val="en-GB"/>
        </w:rPr>
      </w:pPr>
    </w:p>
    <w:p w14:paraId="6CB96973" w14:textId="2DC0E4C9" w:rsidR="00AF325A" w:rsidRPr="00D74F1E" w:rsidRDefault="00AF325A" w:rsidP="22B2B2F7">
      <w:pPr>
        <w:rPr>
          <w:lang w:val="en-GB"/>
        </w:rPr>
      </w:pPr>
    </w:p>
    <w:p w14:paraId="57D342BE" w14:textId="39399BF7" w:rsidR="00AF325A" w:rsidRPr="00D74F1E" w:rsidRDefault="00AF325A" w:rsidP="22B2B2F7">
      <w:pPr>
        <w:rPr>
          <w:lang w:val="en-GB"/>
        </w:rPr>
      </w:pPr>
    </w:p>
    <w:p w14:paraId="77A23DDC" w14:textId="035C4E1D" w:rsidR="00AF325A" w:rsidRPr="00D74F1E" w:rsidRDefault="00AF325A" w:rsidP="22B2B2F7">
      <w:pPr>
        <w:rPr>
          <w:lang w:val="en-GB"/>
        </w:rPr>
      </w:pPr>
    </w:p>
    <w:p w14:paraId="713EF5B5" w14:textId="192D7E25" w:rsidR="00AF325A" w:rsidRPr="00D74F1E" w:rsidRDefault="00AF325A" w:rsidP="22B2B2F7">
      <w:pPr>
        <w:rPr>
          <w:lang w:val="en-GB"/>
        </w:rPr>
      </w:pPr>
    </w:p>
    <w:p w14:paraId="0A60109F" w14:textId="083247C6" w:rsidR="00AF325A" w:rsidRPr="00D74F1E" w:rsidRDefault="00AF325A" w:rsidP="22B2B2F7">
      <w:pPr>
        <w:rPr>
          <w:lang w:val="en-GB"/>
        </w:rPr>
      </w:pPr>
    </w:p>
    <w:p w14:paraId="4F10AA5A" w14:textId="68F56652" w:rsidR="5146E4A0" w:rsidRDefault="5146E4A0" w:rsidP="5146E4A0">
      <w:pPr>
        <w:rPr>
          <w:lang w:val="en-GB"/>
        </w:rPr>
      </w:pPr>
    </w:p>
    <w:p w14:paraId="1CE74CFC" w14:textId="44E5ACCC" w:rsidR="00AF325A" w:rsidRPr="00D74F1E" w:rsidRDefault="00911B6D" w:rsidP="7C73C182">
      <w:pPr>
        <w:spacing w:line="360" w:lineRule="auto"/>
        <w:rPr>
          <w:lang w:val="en-GB"/>
        </w:rPr>
      </w:pPr>
      <w:r w:rsidRPr="35248F51">
        <w:rPr>
          <w:lang w:val="en-GB"/>
        </w:rPr>
        <w:t>Organisational</w:t>
      </w:r>
      <w:r w:rsidR="00AF325A" w:rsidRPr="35248F51">
        <w:rPr>
          <w:lang w:val="en-GB"/>
        </w:rPr>
        <w:t xml:space="preserve"> culture is a complex web of common values, beliefs, and practices that impact individual </w:t>
      </w:r>
      <w:r w:rsidR="00705D6D" w:rsidRPr="35248F51">
        <w:rPr>
          <w:lang w:val="en-GB"/>
        </w:rPr>
        <w:t>behaviour</w:t>
      </w:r>
      <w:r w:rsidR="00AF325A" w:rsidRPr="35248F51">
        <w:rPr>
          <w:lang w:val="en-GB"/>
        </w:rPr>
        <w:t xml:space="preserve"> inside an </w:t>
      </w:r>
      <w:r w:rsidRPr="35248F51">
        <w:rPr>
          <w:lang w:val="en-GB"/>
        </w:rPr>
        <w:t>organisation</w:t>
      </w:r>
      <w:r w:rsidR="00AF325A" w:rsidRPr="35248F51">
        <w:rPr>
          <w:lang w:val="en-GB"/>
        </w:rPr>
        <w:t xml:space="preserve">. It acts as a powerful undercurrent that can either support or hinder reform </w:t>
      </w:r>
      <w:r w:rsidR="00705D6D" w:rsidRPr="35248F51">
        <w:rPr>
          <w:lang w:val="en-GB"/>
        </w:rPr>
        <w:t>endeavours</w:t>
      </w:r>
      <w:r w:rsidR="00AF325A" w:rsidRPr="35248F51">
        <w:rPr>
          <w:lang w:val="en-GB"/>
        </w:rPr>
        <w:t xml:space="preserve">. As businesses encounter unprecedented levels of change </w:t>
      </w:r>
      <w:r w:rsidR="00705D6D" w:rsidRPr="35248F51">
        <w:rPr>
          <w:lang w:val="en-GB"/>
        </w:rPr>
        <w:t>because of</w:t>
      </w:r>
      <w:r w:rsidR="00AF325A" w:rsidRPr="35248F51">
        <w:rPr>
          <w:lang w:val="en-GB"/>
        </w:rPr>
        <w:t xml:space="preserve"> technical breakthroughs, market dynamics, and societal shifts, understanding the significance of </w:t>
      </w:r>
      <w:r w:rsidRPr="35248F51">
        <w:rPr>
          <w:lang w:val="en-GB"/>
        </w:rPr>
        <w:t>organisational</w:t>
      </w:r>
      <w:r w:rsidR="00AF325A" w:rsidRPr="35248F51">
        <w:rPr>
          <w:lang w:val="en-GB"/>
        </w:rPr>
        <w:t xml:space="preserve"> culture becomes increasingly important. This essay provides a comprehensive critical assessment of the impact of corporate culture on transformation initiatives. It will involve a thorough examination of various theories and models of </w:t>
      </w:r>
      <w:r w:rsidRPr="35248F51">
        <w:rPr>
          <w:lang w:val="en-GB"/>
        </w:rPr>
        <w:t>organisational</w:t>
      </w:r>
      <w:r w:rsidR="00AF325A" w:rsidRPr="35248F51">
        <w:rPr>
          <w:lang w:val="en-GB"/>
        </w:rPr>
        <w:t xml:space="preserve"> culture, as well as an emphasis on how these cultural characteristics can have a substantial impact on the success or failure of change efforts</w:t>
      </w:r>
      <w:r w:rsidR="064DABA8" w:rsidRPr="7C73C182">
        <w:rPr>
          <w:lang w:val="en-GB"/>
        </w:rPr>
        <w:t xml:space="preserve"> (Bass, 1985).</w:t>
      </w:r>
    </w:p>
    <w:p w14:paraId="5DFF10FA" w14:textId="50537C68" w:rsidR="00790ED3" w:rsidRPr="00790ED3" w:rsidRDefault="00790ED3" w:rsidP="7C73C182">
      <w:pPr>
        <w:spacing w:line="360" w:lineRule="auto"/>
        <w:rPr>
          <w:lang w:val="en-GB"/>
        </w:rPr>
      </w:pPr>
      <w:r w:rsidRPr="35248F51">
        <w:rPr>
          <w:lang w:val="en-GB"/>
        </w:rPr>
        <w:t xml:space="preserve">Furthermore, this examination will critically evaluate the complexities of the issues that leaders encounter throughout times of </w:t>
      </w:r>
      <w:r w:rsidR="00911B6D" w:rsidRPr="35248F51">
        <w:rPr>
          <w:lang w:val="en-GB"/>
        </w:rPr>
        <w:t>organisational</w:t>
      </w:r>
      <w:r w:rsidRPr="35248F51">
        <w:rPr>
          <w:lang w:val="en-GB"/>
        </w:rPr>
        <w:t xml:space="preserve"> transition. Leaders must manage not only the administrative and strategic aspects of change implementation, but also their teams' emotional and psychological responses. Resistance to change, communication breakdowns, and the necessity for effective stakeholder involvement are just a few of the issues that may develop. Furthermore, executives must strike a balance between </w:t>
      </w:r>
      <w:r w:rsidR="00911B6D" w:rsidRPr="35248F51">
        <w:rPr>
          <w:lang w:val="en-GB"/>
        </w:rPr>
        <w:t>organisational</w:t>
      </w:r>
      <w:r w:rsidRPr="35248F51">
        <w:rPr>
          <w:lang w:val="en-GB"/>
        </w:rPr>
        <w:t xml:space="preserve"> stability and the need for innovation, all while cultivating a culture of trust and collaboration. </w:t>
      </w:r>
      <w:r>
        <w:br/>
      </w:r>
      <w:r w:rsidRPr="35248F51">
        <w:rPr>
          <w:lang w:val="en-GB"/>
        </w:rPr>
        <w:t xml:space="preserve">This work seeks to provide a thorough knowledge of the relationship between </w:t>
      </w:r>
      <w:r w:rsidR="007F6931" w:rsidRPr="35248F51">
        <w:rPr>
          <w:lang w:val="en-GB"/>
        </w:rPr>
        <w:t>organisational</w:t>
      </w:r>
      <w:r w:rsidRPr="35248F51">
        <w:rPr>
          <w:lang w:val="en-GB"/>
        </w:rPr>
        <w:t xml:space="preserve"> culture and leadership in the context of change projects, </w:t>
      </w:r>
      <w:r w:rsidR="00911B6D" w:rsidRPr="35248F51">
        <w:rPr>
          <w:lang w:val="en-GB"/>
        </w:rPr>
        <w:t>emphasising</w:t>
      </w:r>
      <w:r w:rsidRPr="35248F51">
        <w:rPr>
          <w:lang w:val="en-GB"/>
        </w:rPr>
        <w:t xml:space="preserve"> tactics for effective management and successful outcomes</w:t>
      </w:r>
      <w:r w:rsidR="70C558CA" w:rsidRPr="7C73C182">
        <w:rPr>
          <w:lang w:val="en-GB"/>
        </w:rPr>
        <w:t xml:space="preserve"> (Burnes, 2004)</w:t>
      </w:r>
    </w:p>
    <w:p w14:paraId="2F8B598B" w14:textId="77777777" w:rsidR="00790ED3" w:rsidRPr="00AF325A" w:rsidRDefault="00790ED3" w:rsidP="7C73C182">
      <w:pPr>
        <w:spacing w:line="360" w:lineRule="auto"/>
        <w:rPr>
          <w:lang w:val="en-GB"/>
        </w:rPr>
      </w:pPr>
    </w:p>
    <w:p w14:paraId="606F955E" w14:textId="2773891A" w:rsidR="00287F9E" w:rsidRPr="00D74F1E" w:rsidRDefault="00287F9E" w:rsidP="7C73C182">
      <w:pPr>
        <w:spacing w:line="360" w:lineRule="auto"/>
        <w:rPr>
          <w:rFonts w:eastAsia="Times New Roman" w:cs="Times New Roman"/>
          <w:lang w:val="en-GB" w:eastAsia="en-GB"/>
        </w:rPr>
      </w:pPr>
      <w:r w:rsidRPr="35248F51">
        <w:rPr>
          <w:lang w:val="en-GB"/>
        </w:rPr>
        <w:t xml:space="preserve">As a Senior Paramedic, I am responsible for providing high-quality emergency medical care in a fast-paced, high-pressure setting. My responsibilities include not only advanced patient assessment and treatment, but also leadership and mentoring within our paramedic team. I coordinate with other healthcare experts to ensure clear communication and collaboration during crucial crises. </w:t>
      </w:r>
      <w:r>
        <w:br/>
      </w:r>
      <w:r w:rsidRPr="35248F51">
        <w:rPr>
          <w:lang w:val="en-GB"/>
        </w:rPr>
        <w:t xml:space="preserve">In today's fast-paced healthcare sector, we confront various problems, including growing call volumes, resource restrictions, and the continued requirement for quick response in a variety of contexts. Furthermore, the integration of technology and changing standards </w:t>
      </w:r>
      <w:r w:rsidR="00864BF1" w:rsidRPr="35248F51">
        <w:rPr>
          <w:lang w:val="en-GB"/>
        </w:rPr>
        <w:t>needs</w:t>
      </w:r>
      <w:r w:rsidRPr="35248F51">
        <w:rPr>
          <w:lang w:val="en-GB"/>
        </w:rPr>
        <w:t xml:space="preserve"> ongoing learning and adaptation. By promoting patient-</w:t>
      </w:r>
      <w:r w:rsidR="000B061F" w:rsidRPr="35248F51">
        <w:rPr>
          <w:lang w:val="en-GB"/>
        </w:rPr>
        <w:t>centred</w:t>
      </w:r>
      <w:r w:rsidRPr="35248F51">
        <w:rPr>
          <w:lang w:val="en-GB"/>
        </w:rPr>
        <w:t xml:space="preserve"> care and establishing a culture of teamwork</w:t>
      </w:r>
      <w:r w:rsidR="00DB3EDF" w:rsidRPr="35248F51">
        <w:rPr>
          <w:lang w:val="en-GB"/>
        </w:rPr>
        <w:t>.</w:t>
      </w:r>
    </w:p>
    <w:p w14:paraId="655465FF" w14:textId="670CD117" w:rsidR="00E528C2" w:rsidRPr="00E528C2" w:rsidRDefault="00E528C2" w:rsidP="7C73C182">
      <w:pPr>
        <w:spacing w:line="360" w:lineRule="auto"/>
        <w:rPr>
          <w:rFonts w:eastAsia="Times New Roman" w:cs="Times New Roman"/>
          <w:lang w:val="en-GB" w:eastAsia="en-GB"/>
        </w:rPr>
      </w:pPr>
      <w:r w:rsidRPr="35248F51">
        <w:rPr>
          <w:lang w:val="en-GB"/>
        </w:rPr>
        <w:t xml:space="preserve">Understanding organisational culture begins with a survey of existing ideas and models. There are several frameworks that provide an </w:t>
      </w:r>
      <w:r w:rsidR="00864BF1" w:rsidRPr="35248F51">
        <w:rPr>
          <w:lang w:val="en-GB"/>
        </w:rPr>
        <w:t>organised</w:t>
      </w:r>
      <w:r w:rsidRPr="35248F51">
        <w:rPr>
          <w:lang w:val="en-GB"/>
        </w:rPr>
        <w:t xml:space="preserve"> approach to cultural analysis, each with its own set of strengths and limitations.</w:t>
      </w:r>
    </w:p>
    <w:p w14:paraId="24C623E8" w14:textId="77777777" w:rsidR="00D74F1E" w:rsidRDefault="00D74F1E" w:rsidP="7C73C182">
      <w:pPr>
        <w:spacing w:line="360" w:lineRule="auto"/>
        <w:rPr>
          <w:lang w:val="en-GB"/>
        </w:rPr>
      </w:pPr>
    </w:p>
    <w:p w14:paraId="7D8DA51F" w14:textId="0E2D4DD3" w:rsidR="00743CFD" w:rsidRPr="00743CFD" w:rsidRDefault="00743CFD" w:rsidP="7C73C182">
      <w:pPr>
        <w:spacing w:line="360" w:lineRule="auto"/>
        <w:rPr>
          <w:lang w:val="en-GB" w:eastAsia="en-GB"/>
        </w:rPr>
      </w:pPr>
      <w:r w:rsidRPr="35248F51">
        <w:rPr>
          <w:lang w:val="en-GB"/>
        </w:rPr>
        <w:t xml:space="preserve">Edgar Schein's model of </w:t>
      </w:r>
      <w:r w:rsidR="00864BF1" w:rsidRPr="35248F51">
        <w:rPr>
          <w:lang w:val="en-GB"/>
        </w:rPr>
        <w:t>organisational</w:t>
      </w:r>
      <w:r w:rsidRPr="35248F51">
        <w:rPr>
          <w:lang w:val="en-GB"/>
        </w:rPr>
        <w:t xml:space="preserve"> culture has become widely accepted as one of the most fundamental foundations for understanding how culture functions within </w:t>
      </w:r>
      <w:r w:rsidR="00864BF1" w:rsidRPr="35248F51">
        <w:rPr>
          <w:lang w:val="en-GB"/>
        </w:rPr>
        <w:t>organisations</w:t>
      </w:r>
      <w:r w:rsidRPr="35248F51">
        <w:rPr>
          <w:lang w:val="en-GB"/>
        </w:rPr>
        <w:t xml:space="preserve">. Schein's model, created in the 1980s, depicts culture as a multi-layered construct with three levels: </w:t>
      </w:r>
      <w:r w:rsidR="00991501" w:rsidRPr="35248F51">
        <w:rPr>
          <w:lang w:val="en-GB"/>
        </w:rPr>
        <w:t>artefacts</w:t>
      </w:r>
      <w:r w:rsidRPr="35248F51">
        <w:rPr>
          <w:lang w:val="en-GB"/>
        </w:rPr>
        <w:t xml:space="preserve">, stated ideals, and underlying assumptions. While this paradigm has provided useful insights into corporate culture, it has several drawbacks. This evaluation critically explores Schein's model's strengths and limitations, </w:t>
      </w:r>
      <w:r w:rsidR="4DBEE503" w:rsidRPr="35248F51">
        <w:rPr>
          <w:lang w:val="en-GB"/>
        </w:rPr>
        <w:t>considering</w:t>
      </w:r>
      <w:r w:rsidRPr="35248F51">
        <w:rPr>
          <w:lang w:val="en-GB"/>
        </w:rPr>
        <w:t xml:space="preserve"> both practical applications and theoretical consequences.</w:t>
      </w:r>
    </w:p>
    <w:p w14:paraId="4B42B69A" w14:textId="5CBE1214" w:rsidR="00AD60A1" w:rsidRPr="00AD60A1" w:rsidRDefault="00AD60A1" w:rsidP="7C73C182">
      <w:pPr>
        <w:spacing w:line="360" w:lineRule="auto"/>
        <w:rPr>
          <w:lang w:val="en-GB"/>
        </w:rPr>
      </w:pPr>
      <w:r w:rsidRPr="35248F51">
        <w:rPr>
          <w:lang w:val="en-GB"/>
        </w:rPr>
        <w:t>Artefacts: These are observable cultural components, such as workplace layout, dress codes, rituals, and ceremonies. Artefacts are simple to notice, but they might be difficult to comprehend without understanding the underlying cultural layers.</w:t>
      </w:r>
      <w:r>
        <w:br/>
      </w:r>
      <w:r>
        <w:br/>
      </w:r>
      <w:r w:rsidRPr="35248F51">
        <w:rPr>
          <w:lang w:val="en-GB"/>
        </w:rPr>
        <w:t xml:space="preserve">Espoused ideals: This level includes the explicit ideals and norms that an </w:t>
      </w:r>
      <w:r w:rsidR="00991501" w:rsidRPr="35248F51">
        <w:rPr>
          <w:lang w:val="en-GB"/>
        </w:rPr>
        <w:t>organisation</w:t>
      </w:r>
      <w:r w:rsidRPr="35248F51">
        <w:rPr>
          <w:lang w:val="en-GB"/>
        </w:rPr>
        <w:t xml:space="preserve"> claims to uphold. Mission statements or corporate policies frequently contain references to these ideals. However, there may be a disparity between stated values and actual behaviours.</w:t>
      </w:r>
      <w:r>
        <w:br/>
      </w:r>
      <w:r>
        <w:br/>
      </w:r>
      <w:r w:rsidRPr="35248F51">
        <w:rPr>
          <w:lang w:val="en-GB"/>
        </w:rPr>
        <w:t xml:space="preserve">Underlying Assumptions: This is the deepest level, consisting of the unconscious, taken-for-granted ideas and values that fundamentally drive </w:t>
      </w:r>
      <w:r w:rsidR="00991501" w:rsidRPr="35248F51">
        <w:rPr>
          <w:lang w:val="en-GB"/>
        </w:rPr>
        <w:t>organisational</w:t>
      </w:r>
      <w:r w:rsidRPr="35248F51">
        <w:rPr>
          <w:lang w:val="en-GB"/>
        </w:rPr>
        <w:t xml:space="preserve"> </w:t>
      </w:r>
      <w:r w:rsidR="1BECEC2A" w:rsidRPr="35248F51">
        <w:rPr>
          <w:lang w:val="en-GB"/>
        </w:rPr>
        <w:t>behaviour</w:t>
      </w:r>
      <w:r w:rsidRPr="35248F51">
        <w:rPr>
          <w:lang w:val="en-GB"/>
        </w:rPr>
        <w:t>. These assumptions are frequently difficult to modify, and individuals of the organisation may struggle to articulate them</w:t>
      </w:r>
      <w:r w:rsidR="078ED3A3" w:rsidRPr="7C73C182">
        <w:rPr>
          <w:lang w:val="en-GB"/>
        </w:rPr>
        <w:t xml:space="preserve"> (Kotter, 1996).</w:t>
      </w:r>
    </w:p>
    <w:p w14:paraId="3F50E2C1" w14:textId="4FEB93D5" w:rsidR="00D76AB4" w:rsidRPr="00D76AB4" w:rsidRDefault="00D76AB4" w:rsidP="7C73C182">
      <w:pPr>
        <w:spacing w:line="360" w:lineRule="auto"/>
        <w:rPr>
          <w:lang w:val="en-GB" w:eastAsia="en-GB"/>
        </w:rPr>
      </w:pPr>
      <w:r w:rsidRPr="2FC8E4CF">
        <w:rPr>
          <w:lang w:val="en-GB"/>
        </w:rPr>
        <w:t xml:space="preserve">Schein's model provides a comprehensive framework for </w:t>
      </w:r>
      <w:r w:rsidR="77A2A987" w:rsidRPr="2FC8E4CF">
        <w:rPr>
          <w:lang w:val="en-GB"/>
        </w:rPr>
        <w:t>analysing</w:t>
      </w:r>
      <w:r w:rsidRPr="2FC8E4CF">
        <w:rPr>
          <w:lang w:val="en-GB"/>
        </w:rPr>
        <w:t xml:space="preserve"> </w:t>
      </w:r>
      <w:r w:rsidR="00991501" w:rsidRPr="2FC8E4CF">
        <w:rPr>
          <w:lang w:val="en-GB"/>
        </w:rPr>
        <w:t>organisational</w:t>
      </w:r>
      <w:r w:rsidRPr="2FC8E4CF">
        <w:rPr>
          <w:lang w:val="en-GB"/>
        </w:rPr>
        <w:t xml:space="preserve"> culture, </w:t>
      </w:r>
      <w:r w:rsidR="00991501" w:rsidRPr="2FC8E4CF">
        <w:rPr>
          <w:lang w:val="en-GB"/>
        </w:rPr>
        <w:t>categorising</w:t>
      </w:r>
      <w:r w:rsidRPr="2FC8E4CF">
        <w:rPr>
          <w:lang w:val="en-GB"/>
        </w:rPr>
        <w:t xml:space="preserve"> it into observable and non-observable components. This stratification enables a more detailed examination of how culture appears in many ways inside an organisation.</w:t>
      </w:r>
      <w:r>
        <w:br/>
      </w:r>
      <w:r>
        <w:br/>
      </w:r>
      <w:r w:rsidRPr="2FC8E4CF">
        <w:rPr>
          <w:lang w:val="en-GB"/>
        </w:rPr>
        <w:t xml:space="preserve">Deep Cultural Elements: The emphasis on underlying assumptions </w:t>
      </w:r>
      <w:r w:rsidR="00991501" w:rsidRPr="2FC8E4CF">
        <w:rPr>
          <w:lang w:val="en-GB"/>
        </w:rPr>
        <w:t>emphasises</w:t>
      </w:r>
      <w:r w:rsidRPr="2FC8E4CF">
        <w:rPr>
          <w:lang w:val="en-GB"/>
        </w:rPr>
        <w:t xml:space="preserve"> the significance of unconscious ideas that govern </w:t>
      </w:r>
      <w:r w:rsidR="28A506D2" w:rsidRPr="2FC8E4CF">
        <w:rPr>
          <w:lang w:val="en-GB"/>
        </w:rPr>
        <w:t>behaviour</w:t>
      </w:r>
      <w:r w:rsidRPr="2FC8E4CF">
        <w:rPr>
          <w:lang w:val="en-GB"/>
        </w:rPr>
        <w:t xml:space="preserve">. </w:t>
      </w:r>
      <w:r w:rsidR="00991501" w:rsidRPr="2FC8E4CF">
        <w:rPr>
          <w:lang w:val="en-GB"/>
        </w:rPr>
        <w:t>Recognising</w:t>
      </w:r>
      <w:r w:rsidRPr="2FC8E4CF">
        <w:rPr>
          <w:lang w:val="en-GB"/>
        </w:rPr>
        <w:t xml:space="preserve"> these assumptions might help to develop more successful change tactics, as surface-level adjustments may not address the underlying causes of resistance.</w:t>
      </w:r>
      <w:r>
        <w:br/>
      </w:r>
      <w:r>
        <w:br/>
      </w:r>
      <w:r w:rsidRPr="2FC8E4CF">
        <w:rPr>
          <w:lang w:val="en-GB"/>
        </w:rPr>
        <w:t xml:space="preserve">Schein's paradigm is widely </w:t>
      </w:r>
      <w:r w:rsidR="00B25D64" w:rsidRPr="2FC8E4CF">
        <w:rPr>
          <w:lang w:val="en-GB"/>
        </w:rPr>
        <w:t>used</w:t>
      </w:r>
      <w:r w:rsidRPr="2FC8E4CF">
        <w:rPr>
          <w:lang w:val="en-GB"/>
        </w:rPr>
        <w:t xml:space="preserve"> in organi</w:t>
      </w:r>
      <w:r w:rsidR="6FBE3734" w:rsidRPr="2FC8E4CF">
        <w:rPr>
          <w:lang w:val="en-GB"/>
        </w:rPr>
        <w:t>s</w:t>
      </w:r>
      <w:r w:rsidRPr="2FC8E4CF">
        <w:rPr>
          <w:lang w:val="en-GB"/>
        </w:rPr>
        <w:t xml:space="preserve">ational assessments, change management, and cultural transformation programs. Its </w:t>
      </w:r>
      <w:r w:rsidR="00B25D64" w:rsidRPr="2FC8E4CF">
        <w:rPr>
          <w:lang w:val="en-GB"/>
        </w:rPr>
        <w:t>organised</w:t>
      </w:r>
      <w:r w:rsidRPr="2FC8E4CF">
        <w:rPr>
          <w:lang w:val="en-GB"/>
        </w:rPr>
        <w:t xml:space="preserve"> methodology helps leaders and consultants uncover cultural and strategic misalignments, allowing for more targeted solutions.</w:t>
      </w:r>
    </w:p>
    <w:p w14:paraId="31401D6F" w14:textId="551F5931" w:rsidR="000C2AC4" w:rsidRDefault="000C2AC4" w:rsidP="7C73C182">
      <w:pPr>
        <w:spacing w:line="360" w:lineRule="auto"/>
        <w:rPr>
          <w:lang w:val="en-GB"/>
        </w:rPr>
      </w:pPr>
      <w:r w:rsidRPr="35248F51">
        <w:rPr>
          <w:lang w:val="en-GB"/>
        </w:rPr>
        <w:t xml:space="preserve">Critics say that Schein's paradigm represents culture as static rather than evolving. </w:t>
      </w:r>
      <w:r w:rsidR="00B25D64" w:rsidRPr="35248F51">
        <w:rPr>
          <w:lang w:val="en-GB"/>
        </w:rPr>
        <w:t>Organisational</w:t>
      </w:r>
      <w:r w:rsidRPr="35248F51">
        <w:rPr>
          <w:lang w:val="en-GB"/>
        </w:rPr>
        <w:t xml:space="preserve"> cultures can change quickly in reaction to external forces like market shifts or technology breakthroughs. The model may not fully account for this flexibility.</w:t>
      </w:r>
      <w:r>
        <w:br/>
      </w:r>
    </w:p>
    <w:p w14:paraId="6BB42E1A" w14:textId="7C3A66AD" w:rsidR="000C2AC4" w:rsidRDefault="000C2AC4" w:rsidP="7C73C182">
      <w:pPr>
        <w:spacing w:line="360" w:lineRule="auto"/>
        <w:rPr>
          <w:lang w:val="en-GB" w:eastAsia="en-GB"/>
        </w:rPr>
      </w:pPr>
      <w:r w:rsidRPr="35248F51">
        <w:rPr>
          <w:lang w:val="en-GB"/>
        </w:rPr>
        <w:t xml:space="preserve">Overemphasis on Hierarchy: By making underlying assumptions the most important layer, the model may accidentally imply a hierarchical understanding of culture. This can lead to a misunderstanding of how interactions between </w:t>
      </w:r>
      <w:r w:rsidR="00B25D64" w:rsidRPr="35248F51">
        <w:rPr>
          <w:lang w:val="en-GB"/>
        </w:rPr>
        <w:t>artefacts</w:t>
      </w:r>
      <w:r w:rsidRPr="35248F51">
        <w:rPr>
          <w:lang w:val="en-GB"/>
        </w:rPr>
        <w:t xml:space="preserve"> and espoused ideals influence </w:t>
      </w:r>
      <w:r w:rsidR="00B25D64" w:rsidRPr="35248F51">
        <w:rPr>
          <w:lang w:val="en-GB"/>
        </w:rPr>
        <w:t>organisational</w:t>
      </w:r>
      <w:r w:rsidRPr="35248F51">
        <w:rPr>
          <w:lang w:val="en-GB"/>
        </w:rPr>
        <w:t xml:space="preserve"> </w:t>
      </w:r>
      <w:r w:rsidR="63DF5585" w:rsidRPr="35248F51">
        <w:rPr>
          <w:lang w:val="en-GB"/>
        </w:rPr>
        <w:t>behaviour</w:t>
      </w:r>
      <w:r w:rsidRPr="35248F51">
        <w:rPr>
          <w:lang w:val="en-GB"/>
        </w:rPr>
        <w:t>.</w:t>
      </w:r>
    </w:p>
    <w:p w14:paraId="51F93896" w14:textId="420A4FDF" w:rsidR="00294C2D" w:rsidRPr="00294C2D" w:rsidRDefault="00DB5C5A" w:rsidP="7C73C182">
      <w:pPr>
        <w:spacing w:line="360" w:lineRule="auto"/>
        <w:rPr>
          <w:lang w:val="en-GB"/>
        </w:rPr>
      </w:pPr>
      <w:r w:rsidRPr="35248F51">
        <w:rPr>
          <w:lang w:val="en-GB"/>
        </w:rPr>
        <w:t xml:space="preserve">Ambiguity in Interpretation: Although artefacts are visible, their meanings might differ greatly among persons inside the </w:t>
      </w:r>
      <w:r w:rsidR="00B25D64" w:rsidRPr="35248F51">
        <w:rPr>
          <w:lang w:val="en-GB"/>
        </w:rPr>
        <w:t>organisation</w:t>
      </w:r>
      <w:r w:rsidRPr="35248F51">
        <w:rPr>
          <w:lang w:val="en-GB"/>
        </w:rPr>
        <w:t xml:space="preserve">. This ambiguity can lead to misinterpretations, making it difficult to draw meaningful conclusions purely from </w:t>
      </w:r>
      <w:r w:rsidR="00B25D64" w:rsidRPr="35248F51">
        <w:rPr>
          <w:lang w:val="en-GB"/>
        </w:rPr>
        <w:t>artefacts</w:t>
      </w:r>
      <w:r w:rsidR="377C7513" w:rsidRPr="7C73C182">
        <w:rPr>
          <w:lang w:val="en-GB"/>
        </w:rPr>
        <w:t xml:space="preserve"> (Kotter and Schlesinger, 2008).</w:t>
      </w:r>
    </w:p>
    <w:p w14:paraId="505F5E08" w14:textId="36618CB6" w:rsidR="00294C2D" w:rsidRPr="00294C2D" w:rsidRDefault="00DB5C5A" w:rsidP="7C73C182">
      <w:pPr>
        <w:spacing w:line="360" w:lineRule="auto"/>
        <w:rPr>
          <w:lang w:val="en-GB" w:eastAsia="en-GB"/>
        </w:rPr>
      </w:pPr>
      <w:r w:rsidRPr="35248F51">
        <w:rPr>
          <w:lang w:val="en-GB"/>
        </w:rPr>
        <w:t xml:space="preserve">Schein's paradigm makes no explicit mention of power dynamics or politics in building </w:t>
      </w:r>
      <w:r w:rsidR="00B25D64" w:rsidRPr="35248F51">
        <w:rPr>
          <w:lang w:val="en-GB"/>
        </w:rPr>
        <w:t>organisational</w:t>
      </w:r>
      <w:r w:rsidRPr="35248F51">
        <w:rPr>
          <w:lang w:val="en-GB"/>
        </w:rPr>
        <w:t xml:space="preserve"> culture. Power dynamics can have a significant impact on which values are promoted and which underlying assumptions dominate, affecting the efficacy of change programs.</w:t>
      </w:r>
      <w:r>
        <w:br/>
      </w:r>
      <w:r w:rsidR="00294C2D" w:rsidRPr="35248F51">
        <w:rPr>
          <w:lang w:val="en-GB"/>
        </w:rPr>
        <w:t>Lack of Integration with Change Management: While the model is valuable for detecting cultural issues, it does not give a full framework for managing cultural changes. Additional models and techniques may be required to effectively implement change based on cultural insights</w:t>
      </w:r>
      <w:r w:rsidR="1B5F31CA" w:rsidRPr="7C73C182">
        <w:rPr>
          <w:lang w:val="en-GB"/>
        </w:rPr>
        <w:t xml:space="preserve"> (Mullins, 2010).</w:t>
      </w:r>
    </w:p>
    <w:p w14:paraId="2EB91A13" w14:textId="79CFCDFD" w:rsidR="00DB5C5A" w:rsidRPr="000C2AC4" w:rsidRDefault="5185F609" w:rsidP="7C73C182">
      <w:pPr>
        <w:spacing w:line="360" w:lineRule="auto"/>
        <w:rPr>
          <w:lang w:val="en-GB"/>
        </w:rPr>
      </w:pPr>
      <w:r w:rsidRPr="35248F51">
        <w:rPr>
          <w:lang w:val="en-GB"/>
        </w:rPr>
        <w:t>Another</w:t>
      </w:r>
      <w:r w:rsidR="14000A0D" w:rsidRPr="35248F51">
        <w:rPr>
          <w:lang w:val="en-GB"/>
        </w:rPr>
        <w:t xml:space="preserve"> popular model for comprehending corporate culture and effectiveness is the Competing Values Framework (CVF), which was created by Cameron and Quinn. Two dimensions</w:t>
      </w:r>
      <w:r w:rsidR="45FE7D19" w:rsidRPr="7C73C182">
        <w:rPr>
          <w:lang w:val="en-GB"/>
        </w:rPr>
        <w:t xml:space="preserve"> </w:t>
      </w:r>
      <w:r w:rsidR="14000A0D" w:rsidRPr="35248F51">
        <w:rPr>
          <w:lang w:val="en-GB"/>
        </w:rPr>
        <w:t>flexibility against control and internal versus external focus</w:t>
      </w:r>
      <w:r w:rsidR="766C0ECA" w:rsidRPr="7C73C182">
        <w:rPr>
          <w:lang w:val="en-GB"/>
        </w:rPr>
        <w:t xml:space="preserve"> </w:t>
      </w:r>
      <w:r w:rsidR="14000A0D" w:rsidRPr="35248F51">
        <w:rPr>
          <w:lang w:val="en-GB"/>
        </w:rPr>
        <w:t>are used to divide corporate culture into four quadrants.</w:t>
      </w:r>
      <w:r w:rsidR="5CB15CC1" w:rsidRPr="35248F51">
        <w:rPr>
          <w:lang w:val="en-GB"/>
        </w:rPr>
        <w:t xml:space="preserve"> The four quadrants include clan culture, adhocracy culture, market culture and hierarchy culture. </w:t>
      </w:r>
      <w:r w:rsidR="2FFA80C6" w:rsidRPr="7C73C182">
        <w:rPr>
          <w:lang w:val="en-GB"/>
        </w:rPr>
        <w:t>(Cameron and Green, 2012).</w:t>
      </w:r>
    </w:p>
    <w:p w14:paraId="131FDA41" w14:textId="5875D759" w:rsidR="0CF74827" w:rsidRDefault="0CF74827" w:rsidP="7C73C182">
      <w:pPr>
        <w:spacing w:line="360" w:lineRule="auto"/>
        <w:rPr>
          <w:lang w:val="en-GB"/>
        </w:rPr>
      </w:pPr>
      <w:r w:rsidRPr="35248F51">
        <w:rPr>
          <w:lang w:val="en-GB"/>
        </w:rPr>
        <w:t xml:space="preserve">The Clan Culture </w:t>
      </w:r>
      <w:r w:rsidR="00A123A5" w:rsidRPr="35248F51">
        <w:rPr>
          <w:lang w:val="en-GB"/>
        </w:rPr>
        <w:t>emphasises</w:t>
      </w:r>
      <w:r w:rsidRPr="35248F51">
        <w:rPr>
          <w:lang w:val="en-GB"/>
        </w:rPr>
        <w:t xml:space="preserve"> on internal focus and flexibility, </w:t>
      </w:r>
      <w:r w:rsidR="00A123A5" w:rsidRPr="35248F51">
        <w:rPr>
          <w:lang w:val="en-GB"/>
        </w:rPr>
        <w:t>emphasising</w:t>
      </w:r>
      <w:r w:rsidRPr="35248F51">
        <w:rPr>
          <w:lang w:val="en-GB"/>
        </w:rPr>
        <w:t xml:space="preserve"> collaboration, teamwork, and a family-like atmosphere. It </w:t>
      </w:r>
      <w:r w:rsidR="00A123A5" w:rsidRPr="35248F51">
        <w:rPr>
          <w:lang w:val="en-GB"/>
        </w:rPr>
        <w:t>prioritises</w:t>
      </w:r>
      <w:r w:rsidRPr="35248F51">
        <w:rPr>
          <w:lang w:val="en-GB"/>
        </w:rPr>
        <w:t xml:space="preserve"> employee engagement, loyalty, and a sense of belonging. Frequently observed in </w:t>
      </w:r>
      <w:r w:rsidR="00A123A5" w:rsidRPr="35248F51">
        <w:rPr>
          <w:lang w:val="en-GB"/>
        </w:rPr>
        <w:t>organisations</w:t>
      </w:r>
      <w:r w:rsidRPr="35248F51">
        <w:rPr>
          <w:lang w:val="en-GB"/>
        </w:rPr>
        <w:t xml:space="preserve"> that </w:t>
      </w:r>
      <w:r w:rsidR="00A123A5" w:rsidRPr="35248F51">
        <w:rPr>
          <w:lang w:val="en-GB"/>
        </w:rPr>
        <w:t>prioritise</w:t>
      </w:r>
      <w:r w:rsidRPr="35248F51">
        <w:rPr>
          <w:lang w:val="en-GB"/>
        </w:rPr>
        <w:t xml:space="preserve"> employee engagement and pleasure.</w:t>
      </w:r>
    </w:p>
    <w:p w14:paraId="61C07389" w14:textId="0066192C" w:rsidR="009479DD" w:rsidRPr="00D74F1E" w:rsidRDefault="263CCB46" w:rsidP="7C73C182">
      <w:pPr>
        <w:spacing w:line="360" w:lineRule="auto"/>
        <w:rPr>
          <w:rFonts w:ascii="Aptos" w:eastAsia="Aptos" w:hAnsi="Aptos" w:cs="Aptos"/>
          <w:lang w:val="en-GB"/>
        </w:rPr>
      </w:pPr>
      <w:r w:rsidRPr="35248F51">
        <w:rPr>
          <w:lang w:val="en-GB"/>
        </w:rPr>
        <w:t xml:space="preserve">The Adhocracy culture </w:t>
      </w:r>
      <w:r w:rsidR="00A123A5" w:rsidRPr="35248F51">
        <w:rPr>
          <w:lang w:val="en-GB"/>
        </w:rPr>
        <w:t>priorities</w:t>
      </w:r>
      <w:r w:rsidRPr="35248F51">
        <w:rPr>
          <w:lang w:val="en-GB"/>
        </w:rPr>
        <w:t xml:space="preserve"> external attention and flexibility while also valuing innovation, creativity, and agility. It promotes risk-taking and entrepreneurial behaviours. Common in dynamic industries where adaptability and responsiveness to change are essential.</w:t>
      </w:r>
    </w:p>
    <w:p w14:paraId="10A2BE16" w14:textId="71C6FB36" w:rsidR="00331908" w:rsidRPr="00331908" w:rsidRDefault="1AB4CD0D" w:rsidP="35248F51">
      <w:pPr>
        <w:spacing w:after="0" w:line="360" w:lineRule="auto"/>
      </w:pPr>
      <w:r w:rsidRPr="35248F51">
        <w:rPr>
          <w:rFonts w:ascii="Aptos" w:eastAsia="Aptos" w:hAnsi="Aptos" w:cs="Aptos"/>
        </w:rPr>
        <w:t>The Market Culture prioritizes external focus and control, with an emphasis on results, competitiveness, and goal achievement. It prioritizes performance, achievement, and client focus. It is frequently encountered in businesses that priorities market share and profitability.</w:t>
      </w:r>
    </w:p>
    <w:p w14:paraId="22DB8869" w14:textId="19C39EEB" w:rsidR="00C40C5C" w:rsidRPr="00D74F1E" w:rsidRDefault="05621024" w:rsidP="35248F51">
      <w:pPr>
        <w:spacing w:after="0" w:line="360" w:lineRule="auto"/>
        <w:rPr>
          <w:rFonts w:ascii="Aptos" w:eastAsia="Aptos" w:hAnsi="Aptos" w:cs="Aptos"/>
        </w:rPr>
      </w:pPr>
      <w:r w:rsidRPr="35248F51">
        <w:rPr>
          <w:rFonts w:ascii="Aptos" w:eastAsia="Aptos" w:hAnsi="Aptos" w:cs="Aptos"/>
        </w:rPr>
        <w:t xml:space="preserve">The Hierarchy Culture prioritizes internal concentration and control, emphasizing structure, protocols, and formal processes. It prioritizes stability, efficiency, and control. It is widely employed in bureaucratic </w:t>
      </w:r>
      <w:r w:rsidR="798894CC" w:rsidRPr="7C73C182">
        <w:rPr>
          <w:rFonts w:ascii="Aptos" w:eastAsia="Aptos" w:hAnsi="Aptos" w:cs="Aptos"/>
        </w:rPr>
        <w:t>organisations</w:t>
      </w:r>
      <w:r w:rsidRPr="35248F51">
        <w:rPr>
          <w:rFonts w:ascii="Aptos" w:eastAsia="Aptos" w:hAnsi="Aptos" w:cs="Aptos"/>
        </w:rPr>
        <w:t xml:space="preserve"> where rules and regulations govern activities</w:t>
      </w:r>
      <w:r w:rsidR="3E8D26CB" w:rsidRPr="7C73C182">
        <w:rPr>
          <w:rFonts w:ascii="Aptos" w:eastAsia="Aptos" w:hAnsi="Aptos" w:cs="Aptos"/>
        </w:rPr>
        <w:t xml:space="preserve"> (Schein, 2004). </w:t>
      </w:r>
    </w:p>
    <w:p w14:paraId="79D55D01" w14:textId="36A77CAF" w:rsidR="7C73C182" w:rsidRDefault="7C73C182" w:rsidP="7C73C182">
      <w:pPr>
        <w:spacing w:after="0" w:line="360" w:lineRule="auto"/>
        <w:rPr>
          <w:rFonts w:ascii="Aptos" w:eastAsia="Aptos" w:hAnsi="Aptos" w:cs="Aptos"/>
          <w:lang w:val="en-GB"/>
        </w:rPr>
      </w:pPr>
    </w:p>
    <w:p w14:paraId="203C82F6" w14:textId="77777777" w:rsidR="002E4A82" w:rsidRDefault="7F23589F" w:rsidP="35248F51">
      <w:pPr>
        <w:spacing w:after="0" w:line="360" w:lineRule="auto"/>
        <w:rPr>
          <w:rFonts w:ascii="Aptos" w:eastAsia="Aptos" w:hAnsi="Aptos" w:cs="Aptos"/>
          <w:lang w:val="en-GB"/>
        </w:rPr>
      </w:pPr>
      <w:r w:rsidRPr="35248F51">
        <w:rPr>
          <w:rFonts w:ascii="Aptos" w:eastAsia="Aptos" w:hAnsi="Aptos" w:cs="Aptos"/>
          <w:lang w:val="en-GB"/>
        </w:rPr>
        <w:t xml:space="preserve">The Competing Values Framework (CVF) has various qualities that make it useful in understanding corporate culture. First, its simplicity and clarity create a clear and intuitive framework that is easy to grasp and apply in a variety of </w:t>
      </w:r>
      <w:r w:rsidR="00A123A5">
        <w:rPr>
          <w:rFonts w:ascii="Aptos" w:eastAsia="Aptos" w:hAnsi="Aptos" w:cs="Aptos"/>
          <w:lang w:val="en-GB"/>
        </w:rPr>
        <w:t>organisational</w:t>
      </w:r>
      <w:r w:rsidRPr="35248F51">
        <w:rPr>
          <w:rFonts w:ascii="Aptos" w:eastAsia="Aptos" w:hAnsi="Aptos" w:cs="Aptos"/>
          <w:lang w:val="en-GB"/>
        </w:rPr>
        <w:t xml:space="preserve"> contexts; the visual depiction allows for immediate identification of an </w:t>
      </w:r>
      <w:r w:rsidR="00A123A5" w:rsidRPr="35248F51">
        <w:rPr>
          <w:rFonts w:ascii="Aptos" w:eastAsia="Aptos" w:hAnsi="Aptos" w:cs="Aptos"/>
          <w:lang w:val="en-GB"/>
        </w:rPr>
        <w:t>organisation’s</w:t>
      </w:r>
      <w:r w:rsidRPr="35248F51">
        <w:rPr>
          <w:rFonts w:ascii="Aptos" w:eastAsia="Aptos" w:hAnsi="Aptos" w:cs="Aptos"/>
          <w:lang w:val="en-GB"/>
        </w:rPr>
        <w:t xml:space="preserve"> cultural orientation. Furthermore, the CVF is broad, embracing numerous cultural types (Clan, Adhocracy, Market, and Hierarchy), allowing for a holistic examination of various </w:t>
      </w:r>
      <w:r w:rsidR="00A123A5" w:rsidRPr="35248F51">
        <w:rPr>
          <w:rFonts w:ascii="Aptos" w:eastAsia="Aptos" w:hAnsi="Aptos" w:cs="Aptos"/>
          <w:lang w:val="en-GB"/>
        </w:rPr>
        <w:t>organisational</w:t>
      </w:r>
    </w:p>
    <w:p w14:paraId="2E47F333" w14:textId="44FB7D25" w:rsidR="00C40C5C" w:rsidRPr="00D74F1E" w:rsidRDefault="7F23589F" w:rsidP="35248F51">
      <w:pPr>
        <w:spacing w:after="0" w:line="360" w:lineRule="auto"/>
      </w:pPr>
      <w:r w:rsidRPr="35248F51">
        <w:rPr>
          <w:rFonts w:ascii="Aptos" w:eastAsia="Aptos" w:hAnsi="Aptos" w:cs="Aptos"/>
          <w:lang w:val="en-GB"/>
        </w:rPr>
        <w:t xml:space="preserve"> </w:t>
      </w:r>
      <w:r w:rsidR="3DE48C84" w:rsidRPr="35248F51">
        <w:rPr>
          <w:rFonts w:ascii="Aptos" w:eastAsia="Aptos" w:hAnsi="Aptos" w:cs="Aptos"/>
          <w:lang w:val="en-GB"/>
        </w:rPr>
        <w:t>behaviours</w:t>
      </w:r>
      <w:r w:rsidRPr="35248F51">
        <w:rPr>
          <w:rFonts w:ascii="Aptos" w:eastAsia="Aptos" w:hAnsi="Aptos" w:cs="Aptos"/>
          <w:lang w:val="en-GB"/>
        </w:rPr>
        <w:t xml:space="preserve"> and practices. Its practical use is remarkable, as the CVF is commonly used in </w:t>
      </w:r>
      <w:r w:rsidR="00431DB7" w:rsidRPr="35248F51">
        <w:rPr>
          <w:rFonts w:ascii="Aptos" w:eastAsia="Aptos" w:hAnsi="Aptos" w:cs="Aptos"/>
          <w:lang w:val="en-GB"/>
        </w:rPr>
        <w:t>organisational</w:t>
      </w:r>
      <w:r w:rsidRPr="35248F51">
        <w:rPr>
          <w:rFonts w:ascii="Aptos" w:eastAsia="Aptos" w:hAnsi="Aptos" w:cs="Aptos"/>
          <w:lang w:val="en-GB"/>
        </w:rPr>
        <w:t xml:space="preserve"> assessments, culture change projects, and leadership development, aided by instruments such as the </w:t>
      </w:r>
      <w:r w:rsidR="00431DB7" w:rsidRPr="35248F51">
        <w:rPr>
          <w:rFonts w:ascii="Aptos" w:eastAsia="Aptos" w:hAnsi="Aptos" w:cs="Aptos"/>
          <w:lang w:val="en-GB"/>
        </w:rPr>
        <w:t>Organisational</w:t>
      </w:r>
      <w:r w:rsidRPr="35248F51">
        <w:rPr>
          <w:rFonts w:ascii="Aptos" w:eastAsia="Aptos" w:hAnsi="Aptos" w:cs="Aptos"/>
          <w:lang w:val="en-GB"/>
        </w:rPr>
        <w:t xml:space="preserve"> Culture Assessment Instrument (OCAI), which allow for effective data collecting and analysis.</w:t>
      </w:r>
      <w:r w:rsidR="43D93860" w:rsidRPr="35248F51">
        <w:rPr>
          <w:rFonts w:ascii="Aptos" w:eastAsia="Aptos" w:hAnsi="Aptos" w:cs="Aptos"/>
          <w:lang w:val="en-GB"/>
        </w:rPr>
        <w:t xml:space="preserve"> Furthermore, the framework's link with </w:t>
      </w:r>
      <w:r w:rsidR="00431DB7" w:rsidRPr="35248F51">
        <w:rPr>
          <w:rFonts w:ascii="Aptos" w:eastAsia="Aptos" w:hAnsi="Aptos" w:cs="Aptos"/>
          <w:lang w:val="en-GB"/>
        </w:rPr>
        <w:t>organisational</w:t>
      </w:r>
      <w:r w:rsidR="43D93860" w:rsidRPr="35248F51">
        <w:rPr>
          <w:rFonts w:ascii="Aptos" w:eastAsia="Aptos" w:hAnsi="Aptos" w:cs="Aptos"/>
          <w:lang w:val="en-GB"/>
        </w:rPr>
        <w:t xml:space="preserve"> effectiveness demonstrates the way various cultural types can influence performance and outcomes, highlighting its importance in strategic planning</w:t>
      </w:r>
      <w:r w:rsidR="00CC3F74">
        <w:rPr>
          <w:rFonts w:ascii="Aptos" w:eastAsia="Aptos" w:hAnsi="Aptos" w:cs="Aptos"/>
          <w:lang w:val="en-GB"/>
        </w:rPr>
        <w:t xml:space="preserve"> </w:t>
      </w:r>
      <w:r w:rsidR="00EA084E">
        <w:rPr>
          <w:rFonts w:ascii="Aptos" w:eastAsia="Aptos" w:hAnsi="Aptos" w:cs="Aptos"/>
          <w:lang w:val="en-GB"/>
        </w:rPr>
        <w:t>(</w:t>
      </w:r>
      <w:r w:rsidR="00FA1E8A">
        <w:rPr>
          <w:rFonts w:ascii="Aptos" w:eastAsia="Aptos" w:hAnsi="Aptos" w:cs="Aptos"/>
          <w:lang w:val="en-GB"/>
        </w:rPr>
        <w:t xml:space="preserve">Boal and </w:t>
      </w:r>
      <w:r w:rsidR="001C0206">
        <w:rPr>
          <w:rFonts w:ascii="Aptos" w:eastAsia="Aptos" w:hAnsi="Aptos" w:cs="Aptos"/>
          <w:lang w:val="en-GB"/>
        </w:rPr>
        <w:t>H</w:t>
      </w:r>
      <w:r w:rsidR="000B3D37">
        <w:rPr>
          <w:rFonts w:ascii="Aptos" w:eastAsia="Aptos" w:hAnsi="Aptos" w:cs="Aptos"/>
          <w:lang w:val="en-GB"/>
        </w:rPr>
        <w:t>oojibe</w:t>
      </w:r>
      <w:r w:rsidR="00C078F4">
        <w:rPr>
          <w:rFonts w:ascii="Aptos" w:eastAsia="Aptos" w:hAnsi="Aptos" w:cs="Aptos"/>
          <w:lang w:val="en-GB"/>
        </w:rPr>
        <w:t>rg, 2011).</w:t>
      </w:r>
    </w:p>
    <w:p w14:paraId="639A5856" w14:textId="021853D9" w:rsidR="238D0246" w:rsidRDefault="238D0246" w:rsidP="7C73C182">
      <w:pPr>
        <w:spacing w:after="240" w:line="360" w:lineRule="auto"/>
        <w:rPr>
          <w:rFonts w:ascii="Aptos" w:eastAsia="Aptos" w:hAnsi="Aptos" w:cs="Aptos"/>
          <w:lang w:val="en-GB"/>
        </w:rPr>
      </w:pPr>
    </w:p>
    <w:p w14:paraId="0DBF59B4" w14:textId="4604939C" w:rsidR="238D0246" w:rsidRDefault="238D0246" w:rsidP="7C73C182">
      <w:pPr>
        <w:spacing w:after="240" w:line="360" w:lineRule="auto"/>
        <w:rPr>
          <w:rFonts w:ascii="Aptos" w:eastAsia="Aptos" w:hAnsi="Aptos" w:cs="Aptos"/>
          <w:lang w:val="en-GB"/>
        </w:rPr>
      </w:pPr>
      <w:r w:rsidRPr="6A68BDB4">
        <w:rPr>
          <w:rFonts w:ascii="Aptos" w:eastAsia="Aptos" w:hAnsi="Aptos" w:cs="Aptos"/>
          <w:lang w:val="en-GB"/>
        </w:rPr>
        <w:t xml:space="preserve">Despite its strengths, the Competing Values Framework (CVF) has a number of limitations that can reduce its usefulness. One significant disadvantage is the framework's tendency for oversimplification; while the framework's clarity is important, real-world </w:t>
      </w:r>
      <w:r w:rsidR="00431DB7" w:rsidRPr="6A68BDB4">
        <w:rPr>
          <w:rFonts w:ascii="Aptos" w:eastAsia="Aptos" w:hAnsi="Aptos" w:cs="Aptos"/>
          <w:lang w:val="en-GB"/>
        </w:rPr>
        <w:t>organisational</w:t>
      </w:r>
      <w:r w:rsidRPr="6A68BDB4">
        <w:rPr>
          <w:rFonts w:ascii="Aptos" w:eastAsia="Aptos" w:hAnsi="Aptos" w:cs="Aptos"/>
          <w:lang w:val="en-GB"/>
        </w:rPr>
        <w:t xml:space="preserve"> cultures are sometimes significantly more complicated and may not fit cleanly into the four quadrants, resulting in missed opportunities for nuanced cultural dynamics. Furthermore, the CVF can convey a static image of culture, ignoring the fact that corporate cultures are dynamic and can vary over time, with </w:t>
      </w:r>
      <w:r w:rsidR="00431DB7" w:rsidRPr="6A68BDB4">
        <w:rPr>
          <w:rFonts w:ascii="Aptos" w:eastAsia="Aptos" w:hAnsi="Aptos" w:cs="Aptos"/>
          <w:lang w:val="en-GB"/>
        </w:rPr>
        <w:t>organisations</w:t>
      </w:r>
      <w:r w:rsidRPr="6A68BDB4">
        <w:rPr>
          <w:rFonts w:ascii="Aptos" w:eastAsia="Aptos" w:hAnsi="Aptos" w:cs="Aptos"/>
          <w:lang w:val="en-GB"/>
        </w:rPr>
        <w:t xml:space="preserve"> frequently changing between quadrants. This static viewpoint does not sufficiently account for these transitions. Furthermore, cultural overlap can be challenging since companies frequently exhibit traits of numerous cultures at the same time, confusing assessments and causing ambiguity in establishing a dominant culture.</w:t>
      </w:r>
      <w:r w:rsidR="0F58C933" w:rsidRPr="6A68BDB4">
        <w:rPr>
          <w:rFonts w:ascii="Aptos" w:eastAsia="Aptos" w:hAnsi="Aptos" w:cs="Aptos"/>
          <w:lang w:val="en-GB"/>
        </w:rPr>
        <w:t xml:space="preserve"> The success of a specific culture type could also differ greatly depending on industry, market conditions, and </w:t>
      </w:r>
      <w:r w:rsidR="00431DB7">
        <w:rPr>
          <w:rFonts w:ascii="Aptos" w:eastAsia="Aptos" w:hAnsi="Aptos" w:cs="Aptos"/>
          <w:lang w:val="en-GB"/>
        </w:rPr>
        <w:t>organisational</w:t>
      </w:r>
      <w:r w:rsidR="0F58C933" w:rsidRPr="6A68BDB4">
        <w:rPr>
          <w:rFonts w:ascii="Aptos" w:eastAsia="Aptos" w:hAnsi="Aptos" w:cs="Aptos"/>
          <w:lang w:val="en-GB"/>
        </w:rPr>
        <w:t xml:space="preserve"> goals, which the framework may not fully account for. Finally, the subjective character of cultural assessment might result in heterogeneity in interpretations, as different stakeholders may see the culture differently, affecting the trustworthiness of the results</w:t>
      </w:r>
      <w:r w:rsidR="00EB4B3A">
        <w:rPr>
          <w:rFonts w:ascii="Aptos" w:eastAsia="Aptos" w:hAnsi="Aptos" w:cs="Aptos"/>
          <w:lang w:val="en-GB"/>
        </w:rPr>
        <w:t xml:space="preserve"> (Goldman, 1998).</w:t>
      </w:r>
    </w:p>
    <w:p w14:paraId="3E308306" w14:textId="6F9F952B" w:rsidR="35248F51" w:rsidRDefault="47944D13" w:rsidP="5C1D93B8">
      <w:pPr>
        <w:spacing w:after="240" w:line="360" w:lineRule="auto"/>
      </w:pPr>
      <w:r w:rsidRPr="2FC8E4CF">
        <w:rPr>
          <w:rFonts w:ascii="Aptos" w:eastAsia="Aptos" w:hAnsi="Aptos" w:cs="Aptos"/>
          <w:lang w:val="en-GB"/>
        </w:rPr>
        <w:t>Another model is Hofstede’s dimensions. Hofstede's aspects of national culture offer a framework for comprehending cultural distinctions between countries. Hofstede established six major factors that influence behaviour and attitudes in the workplace and beyond, based on substantial research conducted in the 1970s. Power Distance, Individualism vs. Collectivism, Masculinity vs. Femininity, Risk Avoidance, Long-Term vs. Short-Term Orientation, and Indulgence vs. Restraint</w:t>
      </w:r>
      <w:r w:rsidR="002E28BC">
        <w:rPr>
          <w:rFonts w:ascii="Aptos" w:eastAsia="Aptos" w:hAnsi="Aptos" w:cs="Aptos"/>
          <w:lang w:val="en-GB"/>
        </w:rPr>
        <w:t xml:space="preserve"> (</w:t>
      </w:r>
      <w:r w:rsidR="00966685">
        <w:rPr>
          <w:rFonts w:ascii="Aptos" w:eastAsia="Aptos" w:hAnsi="Aptos" w:cs="Aptos"/>
          <w:lang w:val="en-GB"/>
        </w:rPr>
        <w:t>Margate, 2015).</w:t>
      </w:r>
    </w:p>
    <w:p w14:paraId="091D3238" w14:textId="6A9F98C3" w:rsidR="3D6EFBF8" w:rsidRDefault="3D6EFBF8" w:rsidP="5C1D93B8">
      <w:pPr>
        <w:spacing w:line="360" w:lineRule="auto"/>
      </w:pPr>
      <w:r w:rsidRPr="2FC8E4CF">
        <w:rPr>
          <w:rFonts w:ascii="Aptos" w:eastAsia="Aptos" w:hAnsi="Aptos" w:cs="Aptos"/>
          <w:lang w:val="en-GB"/>
        </w:rPr>
        <w:t xml:space="preserve">Hofstede's dimensions of culture have various benefits that make them useful for understanding and navigating cultural differences. For starters, they provide a formal framework for assessing and comparing cultural differences, allowing for more successful intercultural communication and management practices. This paradigm is especially valuable for </w:t>
      </w:r>
      <w:r w:rsidR="00931516" w:rsidRPr="2FC8E4CF">
        <w:rPr>
          <w:rFonts w:ascii="Aptos" w:eastAsia="Aptos" w:hAnsi="Aptos" w:cs="Aptos"/>
          <w:lang w:val="en-GB"/>
        </w:rPr>
        <w:t>organisations</w:t>
      </w:r>
      <w:r w:rsidRPr="2FC8E4CF">
        <w:rPr>
          <w:rFonts w:ascii="Aptos" w:eastAsia="Aptos" w:hAnsi="Aptos" w:cs="Aptos"/>
          <w:lang w:val="en-GB"/>
        </w:rPr>
        <w:t xml:space="preserve"> operating in foreign markets, as it allows managers to </w:t>
      </w:r>
      <w:r w:rsidR="00931516" w:rsidRPr="2FC8E4CF">
        <w:rPr>
          <w:rFonts w:ascii="Aptos" w:eastAsia="Aptos" w:hAnsi="Aptos" w:cs="Aptos"/>
          <w:lang w:val="en-GB"/>
        </w:rPr>
        <w:t>customise</w:t>
      </w:r>
      <w:r w:rsidRPr="2FC8E4CF">
        <w:rPr>
          <w:rFonts w:ascii="Aptos" w:eastAsia="Aptos" w:hAnsi="Aptos" w:cs="Aptos"/>
          <w:lang w:val="en-GB"/>
        </w:rPr>
        <w:t xml:space="preserve"> their strategy to specific cultural environments. Furthermore, the dimensions raise cultural awareness by </w:t>
      </w:r>
      <w:r w:rsidR="00931516" w:rsidRPr="2FC8E4CF">
        <w:rPr>
          <w:rFonts w:ascii="Aptos" w:eastAsia="Aptos" w:hAnsi="Aptos" w:cs="Aptos"/>
          <w:lang w:val="en-GB"/>
        </w:rPr>
        <w:t>emphasising</w:t>
      </w:r>
      <w:r w:rsidRPr="2FC8E4CF">
        <w:rPr>
          <w:rFonts w:ascii="Aptos" w:eastAsia="Aptos" w:hAnsi="Aptos" w:cs="Aptos"/>
          <w:lang w:val="en-GB"/>
        </w:rPr>
        <w:t xml:space="preserve"> the influence of culture on </w:t>
      </w:r>
      <w:r w:rsidR="724E9A5D" w:rsidRPr="2FC8E4CF">
        <w:rPr>
          <w:rFonts w:ascii="Aptos" w:eastAsia="Aptos" w:hAnsi="Aptos" w:cs="Aptos"/>
          <w:lang w:val="en-GB"/>
        </w:rPr>
        <w:t>behaviour</w:t>
      </w:r>
      <w:r w:rsidRPr="2FC8E4CF">
        <w:rPr>
          <w:rFonts w:ascii="Aptos" w:eastAsia="Aptos" w:hAnsi="Aptos" w:cs="Aptos"/>
          <w:lang w:val="en-GB"/>
        </w:rPr>
        <w:t xml:space="preserve"> and decision-making, resulting in increased sensitivity to cultural variety. They also provide a firm framework for future research and development in cultural studies, spawning a plethora of later studies and adaptations.</w:t>
      </w:r>
      <w:r w:rsidR="39506BF5" w:rsidRPr="2FC8E4CF">
        <w:rPr>
          <w:rFonts w:ascii="Aptos" w:eastAsia="Aptos" w:hAnsi="Aptos" w:cs="Aptos"/>
          <w:lang w:val="en-GB"/>
        </w:rPr>
        <w:t xml:space="preserve"> Finally, Hofstede's dimensions are relatively simple to grasp and implement, which renders them accessible to people with diverse degrees of cultural expertise, increasing their value in practical as well as academic environments.</w:t>
      </w:r>
    </w:p>
    <w:p w14:paraId="40E3EC69" w14:textId="1E7E8740" w:rsidR="4017FE13" w:rsidRDefault="4017FE13" w:rsidP="5C1D93B8">
      <w:pPr>
        <w:spacing w:line="360" w:lineRule="auto"/>
      </w:pPr>
      <w:r w:rsidRPr="2FC8E4CF">
        <w:rPr>
          <w:rFonts w:ascii="Aptos" w:eastAsia="Aptos" w:hAnsi="Aptos" w:cs="Aptos"/>
          <w:lang w:val="en-GB"/>
        </w:rPr>
        <w:t>Despite their utility, Hofstede's dimensions have some significant limitations. One important worry is their proclivity for oversimplification, which reduces complex cultures to rigid categories, leading to preconceptions and incorrect interpretations of cultural behaviour. Furthermore, the paradigm portrays nationalities as monolithic entities, ignoring important subcultural distinctions among regions that can have a considerable impact on behaviour. Methodologically, Hofstede's research is mostly based on information gathered by employees at IBM in the 1970s, raising concerns about the conclusions' representativeness and relevance in today's diversified global environment. Furthermore, the dimensions use a static approach, failing to take into consideration for the constantly changing character of culture, that develops over time in response to international and changes in society.</w:t>
      </w:r>
    </w:p>
    <w:p w14:paraId="1E51B432" w14:textId="6F00A275" w:rsidR="4017FE13" w:rsidRDefault="4017FE13" w:rsidP="5C1D93B8">
      <w:pPr>
        <w:spacing w:line="360" w:lineRule="auto"/>
      </w:pPr>
      <w:r w:rsidRPr="2FC8E4CF">
        <w:rPr>
          <w:rFonts w:ascii="Aptos" w:eastAsia="Aptos" w:hAnsi="Aptos" w:cs="Aptos"/>
          <w:lang w:val="en-GB"/>
        </w:rPr>
        <w:t>Finally, they do not completely reflect how situational elements can influence cultural behaviours, which may result in mistakes in forecasting outcomes based solely on cultural characteristics</w:t>
      </w:r>
      <w:r w:rsidR="00D40A66">
        <w:rPr>
          <w:rFonts w:ascii="Aptos" w:eastAsia="Aptos" w:hAnsi="Aptos" w:cs="Aptos"/>
          <w:lang w:val="en-GB"/>
        </w:rPr>
        <w:t xml:space="preserve"> </w:t>
      </w:r>
      <w:r w:rsidR="004E221D">
        <w:rPr>
          <w:rFonts w:ascii="Aptos" w:eastAsia="Aptos" w:hAnsi="Aptos" w:cs="Aptos"/>
          <w:lang w:val="en-GB"/>
        </w:rPr>
        <w:t>(Senior and Fleming, 2006).</w:t>
      </w:r>
    </w:p>
    <w:p w14:paraId="48A053AA" w14:textId="1C5056D1" w:rsidR="2FC8E4CF" w:rsidRDefault="2FC8E4CF" w:rsidP="5C1D93B8">
      <w:pPr>
        <w:spacing w:line="360" w:lineRule="auto"/>
        <w:rPr>
          <w:rFonts w:ascii="Aptos" w:eastAsia="Aptos" w:hAnsi="Aptos" w:cs="Aptos"/>
          <w:lang w:val="en-GB"/>
        </w:rPr>
      </w:pPr>
    </w:p>
    <w:p w14:paraId="449A33E4" w14:textId="7C73A8EE" w:rsidR="000478CB" w:rsidRPr="000478CB" w:rsidRDefault="000478CB" w:rsidP="5C1D93B8">
      <w:pPr>
        <w:spacing w:line="360" w:lineRule="auto"/>
        <w:rPr>
          <w:rFonts w:eastAsia="Times New Roman" w:cs="Times New Roman"/>
          <w:lang w:val="en-GB" w:eastAsia="en-GB"/>
        </w:rPr>
      </w:pPr>
      <w:r w:rsidRPr="2FC8E4CF">
        <w:rPr>
          <w:lang w:val="en-GB"/>
        </w:rPr>
        <w:t xml:space="preserve">The relationship between </w:t>
      </w:r>
      <w:r w:rsidR="001C6910" w:rsidRPr="2FC8E4CF">
        <w:rPr>
          <w:lang w:val="en-GB"/>
        </w:rPr>
        <w:t>organisational</w:t>
      </w:r>
      <w:r w:rsidRPr="2FC8E4CF">
        <w:rPr>
          <w:lang w:val="en-GB"/>
        </w:rPr>
        <w:t xml:space="preserve"> culture and change initiatives is multidimensional. Cultural factors can have a significant impact on how change is perceived, implemented, and perpetuated. This section looks at several significant places where culture overlaps with change</w:t>
      </w:r>
      <w:r w:rsidR="00AF05AF">
        <w:rPr>
          <w:lang w:val="en-GB"/>
        </w:rPr>
        <w:t xml:space="preserve"> (Mullins, 2010).</w:t>
      </w:r>
    </w:p>
    <w:p w14:paraId="418B5F29" w14:textId="77777777" w:rsidR="00043057" w:rsidRDefault="00043057" w:rsidP="5C1D93B8">
      <w:pPr>
        <w:spacing w:line="360" w:lineRule="auto"/>
        <w:rPr>
          <w:lang w:val="en-GB"/>
        </w:rPr>
      </w:pPr>
    </w:p>
    <w:p w14:paraId="3FE4F202" w14:textId="539A8033" w:rsidR="00D133E3" w:rsidRPr="00D133E3" w:rsidRDefault="00D133E3" w:rsidP="5C1D93B8">
      <w:pPr>
        <w:spacing w:line="360" w:lineRule="auto"/>
        <w:rPr>
          <w:rFonts w:eastAsia="Times New Roman" w:cs="Times New Roman"/>
          <w:lang w:val="en-GB" w:eastAsia="en-GB"/>
        </w:rPr>
      </w:pPr>
      <w:r w:rsidRPr="35248F51">
        <w:rPr>
          <w:lang w:val="en-GB"/>
        </w:rPr>
        <w:t>Successful change projects necessitate that the corporate culture correspond with the change objectives. For example, if an organisation supports innovation yet tries to execute a rigid, bureaucratic change process, resistance is likely to arise. Employees are more likely to engage and support change projects when the objectives align with their cultural values</w:t>
      </w:r>
      <w:r w:rsidR="007052DA">
        <w:rPr>
          <w:lang w:val="en-GB"/>
        </w:rPr>
        <w:t xml:space="preserve"> (</w:t>
      </w:r>
      <w:r w:rsidR="00B70F85">
        <w:rPr>
          <w:lang w:val="en-GB"/>
        </w:rPr>
        <w:t>Rou</w:t>
      </w:r>
      <w:r w:rsidR="008F55D0">
        <w:rPr>
          <w:lang w:val="en-GB"/>
        </w:rPr>
        <w:t xml:space="preserve">sseau, </w:t>
      </w:r>
      <w:r w:rsidR="006B29DE">
        <w:rPr>
          <w:lang w:val="en-GB"/>
        </w:rPr>
        <w:t>1995).</w:t>
      </w:r>
      <w:r>
        <w:br/>
      </w:r>
      <w:r>
        <w:br/>
      </w:r>
      <w:r w:rsidRPr="35248F51">
        <w:rPr>
          <w:lang w:val="en-GB"/>
        </w:rPr>
        <w:t>Google's innovation strategy exemplifies cultural alignment. The company's culture supports experimentation and risk-taking, which is ideally aligned with its mission to drive continual innovation. This cultural coherence has enabled Google to successfully implement change efforts, resulting in a dynamic and adaptive organisational structur</w:t>
      </w:r>
      <w:r w:rsidR="005D457B">
        <w:rPr>
          <w:lang w:val="en-GB"/>
        </w:rPr>
        <w:t xml:space="preserve">e (Burns, </w:t>
      </w:r>
      <w:r w:rsidR="00FF3E81">
        <w:rPr>
          <w:lang w:val="en-GB"/>
        </w:rPr>
        <w:t>2004).</w:t>
      </w:r>
      <w:r w:rsidRPr="35248F51">
        <w:rPr>
          <w:lang w:val="en-GB"/>
        </w:rPr>
        <w:t>.</w:t>
      </w:r>
    </w:p>
    <w:p w14:paraId="6EE2E603" w14:textId="77777777" w:rsidR="000478CB" w:rsidRPr="00D74F1E" w:rsidRDefault="000478CB" w:rsidP="5C1D93B8">
      <w:pPr>
        <w:spacing w:line="360" w:lineRule="auto"/>
        <w:rPr>
          <w:lang w:val="en-GB"/>
        </w:rPr>
      </w:pPr>
    </w:p>
    <w:p w14:paraId="01118DA7" w14:textId="54C444B3" w:rsidR="003520E1" w:rsidRPr="003520E1" w:rsidRDefault="003520E1" w:rsidP="5C1D93B8">
      <w:pPr>
        <w:spacing w:line="360" w:lineRule="auto"/>
        <w:rPr>
          <w:rFonts w:eastAsia="Times New Roman" w:cs="Times New Roman"/>
          <w:lang w:val="en-GB" w:eastAsia="en-GB"/>
        </w:rPr>
      </w:pPr>
      <w:r w:rsidRPr="2FC8E4CF">
        <w:rPr>
          <w:lang w:val="en-GB"/>
        </w:rPr>
        <w:t>Leadership is essential in building organi</w:t>
      </w:r>
      <w:r w:rsidR="31633F44" w:rsidRPr="2FC8E4CF">
        <w:rPr>
          <w:lang w:val="en-GB"/>
        </w:rPr>
        <w:t>s</w:t>
      </w:r>
      <w:r w:rsidRPr="2FC8E4CF">
        <w:rPr>
          <w:lang w:val="en-GB"/>
        </w:rPr>
        <w:t xml:space="preserve">ational culture, particularly during change initiatives. Transformational leaders, who inspire and drive their staff, can foster a culture of transformation. These leaders articulate a compelling vision, demonstrate desired </w:t>
      </w:r>
      <w:r w:rsidR="62AB4BE0" w:rsidRPr="2FC8E4CF">
        <w:rPr>
          <w:lang w:val="en-GB"/>
        </w:rPr>
        <w:t>behaviours</w:t>
      </w:r>
      <w:r w:rsidRPr="2FC8E4CF">
        <w:rPr>
          <w:lang w:val="en-GB"/>
        </w:rPr>
        <w:t>, and foster an inclusive workplace in which people feel appreciated and engaged.</w:t>
      </w:r>
      <w:r>
        <w:br/>
      </w:r>
      <w:r>
        <w:br/>
      </w:r>
      <w:r w:rsidRPr="2FC8E4CF">
        <w:rPr>
          <w:lang w:val="en-GB"/>
        </w:rPr>
        <w:t>Authoritarian leadership styles, on the other side, may foster a compliance culture that stifles innovation and originality. Leaders who do not grasp their organisation's cultural dynamics may face considerable obstacles while implementing change. For example, in the unsuccessful merger of Daimler-Benz and Chrysler, leadership mismatch with cultural reality exacerbated the merger's issues. The leaders' failure to bridge the cultural divide resulted in a lack of employee cohesion and participation.</w:t>
      </w:r>
    </w:p>
    <w:p w14:paraId="107BE7D8" w14:textId="77777777" w:rsidR="00520939" w:rsidRPr="00520939" w:rsidRDefault="00520939" w:rsidP="5C1D93B8">
      <w:pPr>
        <w:spacing w:line="360" w:lineRule="auto"/>
        <w:rPr>
          <w:rFonts w:eastAsia="Times New Roman" w:cs="Times New Roman"/>
          <w:lang w:val="en-GB" w:eastAsia="en-GB"/>
        </w:rPr>
      </w:pPr>
      <w:r w:rsidRPr="35248F51">
        <w:rPr>
          <w:lang w:val="en-GB"/>
        </w:rPr>
        <w:t>Effective communication is crucial throughout change projects, and corporate culture has a significant impact on communication methods. Cultures that value openness and transparency provide greater communication about change projects. Employees who feel educated and involved are more likely to accept change.</w:t>
      </w:r>
      <w:r>
        <w:br/>
      </w:r>
      <w:r>
        <w:br/>
      </w:r>
      <w:r w:rsidRPr="35248F51">
        <w:rPr>
          <w:lang w:val="en-GB"/>
        </w:rPr>
        <w:t>Cultures that value secrecy or hierarchical communication, on the other hand, can foster mistrust and resistance. For example, during Nokia's change initiatives, communication breakdowns contributed to a lack of clarity and purpose, resulting in employee disengagement and, eventually, failure to implement the change effectively.</w:t>
      </w:r>
    </w:p>
    <w:p w14:paraId="0CE26B0E" w14:textId="226B0424" w:rsidR="00FE6986" w:rsidRPr="00FE6986" w:rsidRDefault="00FE6986" w:rsidP="5C1D93B8">
      <w:pPr>
        <w:spacing w:line="360" w:lineRule="auto"/>
        <w:rPr>
          <w:rFonts w:eastAsia="Times New Roman" w:cs="Times New Roman"/>
          <w:lang w:val="en-GB" w:eastAsia="en-GB"/>
        </w:rPr>
      </w:pPr>
      <w:r w:rsidRPr="35248F51">
        <w:rPr>
          <w:lang w:val="en-GB"/>
        </w:rPr>
        <w:t>Employee engagement is intimately related to corporate culture. Cultures that value recognition, empowerment, and involvement tend to promote higher levels of employee engagement, which is crucial during change programs. Employees who are engaged are more inclined to advocate for change and make constructive contributions to its implementation</w:t>
      </w:r>
      <w:r w:rsidR="00FB1347">
        <w:rPr>
          <w:lang w:val="en-GB"/>
        </w:rPr>
        <w:t xml:space="preserve"> </w:t>
      </w:r>
      <w:r w:rsidR="00B161C4">
        <w:rPr>
          <w:lang w:val="en-GB"/>
        </w:rPr>
        <w:t>(Camer</w:t>
      </w:r>
      <w:r w:rsidR="008324CC">
        <w:rPr>
          <w:lang w:val="en-GB"/>
        </w:rPr>
        <w:t xml:space="preserve">on and Green, </w:t>
      </w:r>
      <w:r w:rsidR="00CC72A7">
        <w:rPr>
          <w:lang w:val="en-GB"/>
        </w:rPr>
        <w:t>2012).</w:t>
      </w:r>
      <w:r>
        <w:br/>
      </w:r>
      <w:r>
        <w:br/>
      </w:r>
      <w:r w:rsidRPr="35248F51">
        <w:rPr>
          <w:lang w:val="en-GB"/>
        </w:rPr>
        <w:t>In contrast, cultures that ignore employee participation may face tremendous pushback during change attempts. For example, in the case of Sears, a lack of employee participation in decision-making resulted in low morale and disengagement, rendering the company's recovery efforts ineffective.</w:t>
      </w:r>
    </w:p>
    <w:p w14:paraId="716F6A84" w14:textId="722B9B3C" w:rsidR="003B1727" w:rsidRPr="003B1727" w:rsidRDefault="611D1B7A" w:rsidP="5C1D93B8">
      <w:pPr>
        <w:spacing w:line="360" w:lineRule="auto"/>
        <w:rPr>
          <w:rFonts w:eastAsia="Times New Roman" w:cs="Times New Roman"/>
          <w:lang w:val="en-GB" w:eastAsia="en-GB"/>
        </w:rPr>
      </w:pPr>
      <w:r w:rsidRPr="6E28459A">
        <w:rPr>
          <w:lang w:val="en-GB"/>
        </w:rPr>
        <w:t>Organisational</w:t>
      </w:r>
      <w:r w:rsidR="003B1727" w:rsidRPr="35248F51">
        <w:rPr>
          <w:lang w:val="en-GB"/>
        </w:rPr>
        <w:t xml:space="preserve"> culture can sometimes be a barrier to transformation. Deeply rooted cultural norms and beliefs might create resistance, making it difficult to implement new processes or structures. Employees may cling to familiar working practices, fearing the uncertainty that change brings. Understanding the cultural obstacles is critical for change agents.</w:t>
      </w:r>
      <w:r w:rsidR="003B1727">
        <w:br/>
      </w:r>
      <w:r w:rsidR="003B1727">
        <w:br/>
      </w:r>
      <w:r w:rsidR="003B1727" w:rsidRPr="35248F51">
        <w:rPr>
          <w:lang w:val="en-GB"/>
        </w:rPr>
        <w:t>Blockbuster's failure to adapt to the digital age can be attributed to a strong culture steeped in old video rental methods. The organisation's failure to adopt new technologies and innovative business models eventually led to its demise.</w:t>
      </w:r>
    </w:p>
    <w:p w14:paraId="0ADB0D6C" w14:textId="1C0084A7" w:rsidR="00F70536" w:rsidRPr="00F70536" w:rsidRDefault="00F70536" w:rsidP="5C1D93B8">
      <w:pPr>
        <w:spacing w:line="360" w:lineRule="auto"/>
        <w:rPr>
          <w:rFonts w:eastAsia="Times New Roman" w:cs="Times New Roman"/>
          <w:lang w:val="en-GB" w:eastAsia="en-GB"/>
        </w:rPr>
      </w:pPr>
      <w:r w:rsidRPr="35248F51">
        <w:rPr>
          <w:lang w:val="en-GB"/>
        </w:rPr>
        <w:t xml:space="preserve">One example of a successful change program affected by organisational culture is IBM's transformation in the 1990s under CEO Lou Gerstner. At the time, IBM was dealing with bureaucratic inefficiencies and a lack of creativity. Gerstner saw that </w:t>
      </w:r>
      <w:r w:rsidR="3248F91E" w:rsidRPr="35248F51">
        <w:rPr>
          <w:lang w:val="en-GB"/>
        </w:rPr>
        <w:t>for</w:t>
      </w:r>
      <w:r w:rsidRPr="35248F51">
        <w:rPr>
          <w:lang w:val="en-GB"/>
        </w:rPr>
        <w:t xml:space="preserve"> the company to thrive, it needed to transform its culture away from internal conflict and toward collaboration and customer focus.</w:t>
      </w:r>
      <w:r>
        <w:br/>
      </w:r>
      <w:r>
        <w:br/>
      </w:r>
      <w:r w:rsidRPr="35248F51">
        <w:rPr>
          <w:lang w:val="en-GB"/>
        </w:rPr>
        <w:t xml:space="preserve">Gerstner undertook </w:t>
      </w:r>
      <w:r w:rsidR="5C7DF3F3" w:rsidRPr="35248F51">
        <w:rPr>
          <w:lang w:val="en-GB"/>
        </w:rPr>
        <w:t>several</w:t>
      </w:r>
      <w:r w:rsidRPr="35248F51">
        <w:rPr>
          <w:lang w:val="en-GB"/>
        </w:rPr>
        <w:t xml:space="preserve"> reform efforts, including reframing IBM's mission, encouraging teamwork, and cultivating an accountable culture. This culture revolution was critical in revitalising the organisation, resulting in increased market share and higher staff morale. The confluence of cultural values and change objectives proved critical to IBM's success.</w:t>
      </w:r>
    </w:p>
    <w:p w14:paraId="3CAFB979" w14:textId="36BA7AFD" w:rsidR="00304BB2" w:rsidRPr="00304BB2" w:rsidRDefault="00304BB2" w:rsidP="5C1D93B8">
      <w:pPr>
        <w:spacing w:line="360" w:lineRule="auto"/>
        <w:rPr>
          <w:rFonts w:eastAsia="Times New Roman" w:cs="Times New Roman"/>
          <w:lang w:val="en-GB" w:eastAsia="en-GB"/>
        </w:rPr>
      </w:pPr>
      <w:r w:rsidRPr="35248F51">
        <w:rPr>
          <w:lang w:val="en-GB"/>
        </w:rPr>
        <w:t>In contrast, the acquisition between Daimler-Benz and Chrysler acts as a cautionary narrative about the consequences of cultural misalignment. Daimler's rigid, formal culture contrasted sharply with Chrysler's more casual, risk-taking attitude.</w:t>
      </w:r>
      <w:r>
        <w:br/>
      </w:r>
      <w:r>
        <w:br/>
      </w:r>
      <w:r w:rsidRPr="35248F51">
        <w:rPr>
          <w:lang w:val="en-GB"/>
        </w:rPr>
        <w:t xml:space="preserve">The lack of cultural integration caused staff uncertainty and disengagement, contributing to the merger's final collapse. This story demonstrates the necessity of cultural evaluation and alignment in transformation initiatives. It serves as a reminder that successful change involves a thorough awareness of the </w:t>
      </w:r>
      <w:r w:rsidR="00070C2C" w:rsidRPr="35248F51">
        <w:rPr>
          <w:lang w:val="en-GB"/>
        </w:rPr>
        <w:t>organisation’s</w:t>
      </w:r>
      <w:r w:rsidRPr="35248F51">
        <w:rPr>
          <w:lang w:val="en-GB"/>
        </w:rPr>
        <w:t xml:space="preserve"> culture, in addition to strategic planning</w:t>
      </w:r>
      <w:r w:rsidR="00F773FC">
        <w:rPr>
          <w:lang w:val="en-GB"/>
        </w:rPr>
        <w:t xml:space="preserve"> (</w:t>
      </w:r>
      <w:r w:rsidR="005052C6">
        <w:rPr>
          <w:lang w:val="en-GB"/>
        </w:rPr>
        <w:t xml:space="preserve">Butler and Leach, </w:t>
      </w:r>
      <w:r w:rsidR="001856F2">
        <w:rPr>
          <w:lang w:val="en-GB"/>
        </w:rPr>
        <w:t>2011).</w:t>
      </w:r>
    </w:p>
    <w:p w14:paraId="00D2B409" w14:textId="77777777" w:rsidR="00735E93" w:rsidRPr="00735E93" w:rsidRDefault="00735E93" w:rsidP="5C1D93B8">
      <w:pPr>
        <w:spacing w:line="360" w:lineRule="auto"/>
        <w:rPr>
          <w:rFonts w:eastAsia="Times New Roman" w:cs="Times New Roman"/>
          <w:lang w:val="en-GB" w:eastAsia="en-GB"/>
        </w:rPr>
      </w:pPr>
      <w:r w:rsidRPr="35248F51">
        <w:rPr>
          <w:lang w:val="en-GB"/>
        </w:rPr>
        <w:t>Leaders can use a variety of tactics to successfully handle cultural influences during transformation initiatives.</w:t>
      </w:r>
      <w:r>
        <w:br/>
      </w:r>
      <w:r>
        <w:br/>
      </w:r>
      <w:r w:rsidRPr="35248F51">
        <w:rPr>
          <w:lang w:val="en-GB"/>
        </w:rPr>
        <w:t>1. Conduct Cultural assessments.</w:t>
      </w:r>
      <w:r>
        <w:br/>
      </w:r>
      <w:r w:rsidRPr="35248F51">
        <w:rPr>
          <w:lang w:val="en-GB"/>
        </w:rPr>
        <w:t>Before implementing change, companies should do extensive cultural assessments to better understand the current cultural landscape. This assessment can help identify potential hurdles and match change initiatives to cultural strengths. Surveys, focus groups, and interviews can help you understand employee opinions and beliefs.</w:t>
      </w:r>
    </w:p>
    <w:p w14:paraId="44743086" w14:textId="754A57A5" w:rsidR="00C847DE" w:rsidRPr="00C847DE" w:rsidRDefault="29618F69" w:rsidP="5C1D93B8">
      <w:pPr>
        <w:spacing w:line="360" w:lineRule="auto"/>
        <w:rPr>
          <w:rFonts w:eastAsia="Times New Roman" w:cs="Times New Roman"/>
          <w:lang w:val="en-GB" w:eastAsia="en-GB"/>
        </w:rPr>
      </w:pPr>
      <w:r w:rsidRPr="0B78CF57">
        <w:rPr>
          <w:lang w:val="en-GB"/>
        </w:rPr>
        <w:t xml:space="preserve">2. </w:t>
      </w:r>
      <w:r w:rsidR="00C847DE" w:rsidRPr="35248F51">
        <w:rPr>
          <w:lang w:val="en-GB"/>
        </w:rPr>
        <w:t>Engage employees in the change process.</w:t>
      </w:r>
      <w:r w:rsidR="00C847DE">
        <w:br/>
      </w:r>
      <w:r w:rsidR="00C847DE" w:rsidRPr="35248F51">
        <w:rPr>
          <w:lang w:val="en-GB"/>
        </w:rPr>
        <w:t xml:space="preserve">Engaging with employees in the change process proves essential for boosting engagement and </w:t>
      </w:r>
      <w:r w:rsidR="00070C2C">
        <w:rPr>
          <w:lang w:val="en-GB"/>
        </w:rPr>
        <w:t>minimising</w:t>
      </w:r>
      <w:r w:rsidR="00C847DE" w:rsidRPr="35248F51">
        <w:rPr>
          <w:lang w:val="en-GB"/>
        </w:rPr>
        <w:t xml:space="preserve"> resistance. Change projects ought to make room for employee input, feedback, and participation. When employees believe their voices have been considered heard, they are more inclined to support the change.</w:t>
      </w:r>
    </w:p>
    <w:p w14:paraId="56953C83" w14:textId="3530B1F0" w:rsidR="00432CD3" w:rsidRPr="00432CD3" w:rsidRDefault="3E1748EA" w:rsidP="5C1D93B8">
      <w:pPr>
        <w:spacing w:line="360" w:lineRule="auto"/>
        <w:rPr>
          <w:rFonts w:eastAsia="Times New Roman" w:cs="Times New Roman"/>
          <w:lang w:val="en-GB" w:eastAsia="en-GB"/>
        </w:rPr>
      </w:pPr>
      <w:r w:rsidRPr="0B78CF57">
        <w:rPr>
          <w:lang w:val="en-GB"/>
        </w:rPr>
        <w:t xml:space="preserve">3. </w:t>
      </w:r>
      <w:r w:rsidR="00432CD3" w:rsidRPr="35248F51">
        <w:rPr>
          <w:lang w:val="en-GB"/>
        </w:rPr>
        <w:t xml:space="preserve">Effective communication is critical to reducing fear and uncertainty during projects of change. Leaders should be open about the reasons for the change, the expected results, and how it will </w:t>
      </w:r>
      <w:r w:rsidR="00070C2C" w:rsidRPr="35248F51">
        <w:rPr>
          <w:lang w:val="en-GB"/>
        </w:rPr>
        <w:t>affect</w:t>
      </w:r>
      <w:r w:rsidR="00432CD3" w:rsidRPr="35248F51">
        <w:rPr>
          <w:lang w:val="en-GB"/>
        </w:rPr>
        <w:t xml:space="preserve"> employees. Regular updates and feedback tools can aid in transparency throughout the process.</w:t>
      </w:r>
    </w:p>
    <w:p w14:paraId="12880F86" w14:textId="451CF52F" w:rsidR="001746DB" w:rsidRPr="001746DB" w:rsidRDefault="23678DBA" w:rsidP="5C1D93B8">
      <w:pPr>
        <w:spacing w:line="360" w:lineRule="auto"/>
        <w:rPr>
          <w:rFonts w:eastAsia="Times New Roman" w:cs="Times New Roman"/>
          <w:lang w:val="en-GB" w:eastAsia="en-GB"/>
        </w:rPr>
      </w:pPr>
      <w:r w:rsidRPr="0B78CF57">
        <w:rPr>
          <w:lang w:val="en-GB"/>
        </w:rPr>
        <w:t xml:space="preserve">4. </w:t>
      </w:r>
      <w:r w:rsidR="001746DB" w:rsidRPr="35248F51">
        <w:rPr>
          <w:lang w:val="en-GB"/>
        </w:rPr>
        <w:t>Leaders must demonstrate the behaviours they want to see in their organisation. Leaders may inspire people to follow in their footsteps by displaying commitment to change and reflecting desirable cultural ideals. This method strengthens the relationship between culture and transformation activities.</w:t>
      </w:r>
      <w:r w:rsidR="001746DB">
        <w:br/>
      </w:r>
      <w:r w:rsidR="001746DB">
        <w:br/>
      </w:r>
      <w:r w:rsidR="001746DB" w:rsidRPr="35248F51">
        <w:rPr>
          <w:lang w:val="en-GB"/>
        </w:rPr>
        <w:t>5. Promote a culture of learning and adaptation.</w:t>
      </w:r>
      <w:r w:rsidR="001746DB">
        <w:br/>
      </w:r>
      <w:r w:rsidR="001746DB" w:rsidRPr="35248F51">
        <w:rPr>
          <w:lang w:val="en-GB"/>
        </w:rPr>
        <w:t>Organisations should foster a culture that values learning and adaptability. Encouraging experimentation, encouraging new thinking, and giving chances for professional development can all assist to foster a climate in which people feel empowered to contribute to change</w:t>
      </w:r>
      <w:r w:rsidR="001856F2">
        <w:rPr>
          <w:lang w:val="en-GB"/>
        </w:rPr>
        <w:t xml:space="preserve"> </w:t>
      </w:r>
      <w:r w:rsidR="000C4E56">
        <w:rPr>
          <w:lang w:val="en-GB"/>
        </w:rPr>
        <w:t>(Senior and Fleming, 2006).</w:t>
      </w:r>
    </w:p>
    <w:p w14:paraId="1CF19E04" w14:textId="2B9211BF" w:rsidR="00D133E3" w:rsidRPr="00D74F1E" w:rsidRDefault="00D133E3" w:rsidP="0B78CF57">
      <w:pPr>
        <w:spacing w:line="360" w:lineRule="auto"/>
        <w:rPr>
          <w:lang w:val="en-GB"/>
        </w:rPr>
      </w:pPr>
    </w:p>
    <w:p w14:paraId="4C7D4AF6" w14:textId="1B18F5C1" w:rsidR="00854AF2" w:rsidRPr="00854AF2" w:rsidRDefault="00854AF2" w:rsidP="0B78CF57">
      <w:pPr>
        <w:spacing w:line="360" w:lineRule="auto"/>
        <w:rPr>
          <w:rFonts w:eastAsia="Times New Roman" w:cs="Times New Roman"/>
          <w:lang w:val="en-GB" w:eastAsia="en-GB"/>
        </w:rPr>
      </w:pPr>
      <w:r w:rsidRPr="35248F51">
        <w:rPr>
          <w:lang w:val="en-GB"/>
        </w:rPr>
        <w:t xml:space="preserve">The impact of </w:t>
      </w:r>
      <w:r w:rsidR="00070C2C">
        <w:rPr>
          <w:lang w:val="en-GB"/>
        </w:rPr>
        <w:t>organisational</w:t>
      </w:r>
      <w:r w:rsidRPr="35248F51">
        <w:rPr>
          <w:lang w:val="en-GB"/>
        </w:rPr>
        <w:t xml:space="preserve"> culture on transformation initiatives is significant and multifaceted. Cultural alignment with change objectives, effective leadership, open communication, and employee involvement are all essential elements in determining whether a change program succeeds or fails. </w:t>
      </w:r>
      <w:r w:rsidR="00070C2C">
        <w:rPr>
          <w:lang w:val="en-GB"/>
        </w:rPr>
        <w:t>Organisational</w:t>
      </w:r>
      <w:r w:rsidRPr="35248F51">
        <w:rPr>
          <w:lang w:val="en-GB"/>
        </w:rPr>
        <w:t xml:space="preserve"> culture theories and models provide useful frameworks for understanding these dynamics, but they must be implemented with a recognition of culture's complexity and flux.</w:t>
      </w:r>
    </w:p>
    <w:p w14:paraId="743D4D0E" w14:textId="7E2B6259" w:rsidR="00D74F1E" w:rsidRPr="00D74F1E" w:rsidRDefault="00D74F1E" w:rsidP="5C1D93B8">
      <w:pPr>
        <w:spacing w:line="360" w:lineRule="auto"/>
        <w:rPr>
          <w:rFonts w:eastAsia="Times New Roman" w:cs="Times New Roman"/>
          <w:lang w:val="en-GB" w:eastAsia="en-GB"/>
        </w:rPr>
      </w:pPr>
      <w:r w:rsidRPr="35248F51">
        <w:rPr>
          <w:lang w:val="en-GB"/>
        </w:rPr>
        <w:t xml:space="preserve">As businesses undergo fast change, executives must get a sophisticated awareness of their corporate culture and use it as a strategic asset. </w:t>
      </w:r>
      <w:r w:rsidR="00070C2C">
        <w:rPr>
          <w:lang w:val="en-GB"/>
        </w:rPr>
        <w:t>Organisations</w:t>
      </w:r>
      <w:r w:rsidRPr="35248F51">
        <w:rPr>
          <w:lang w:val="en-GB"/>
        </w:rPr>
        <w:t xml:space="preserve"> can improve their ability to adapt and thrive in an ever-changing landscape by tackling cultural barriers and cultivating a change-friendly culture. Future study should investigate the relationship between culture and transformation, specifically how businesses might traverse cultural difficulties to achieve long-term success.</w:t>
      </w:r>
      <w:r>
        <w:br/>
      </w:r>
      <w:r>
        <w:br/>
      </w:r>
      <w:r w:rsidRPr="35248F51">
        <w:rPr>
          <w:lang w:val="en-GB"/>
        </w:rPr>
        <w:t xml:space="preserve">To </w:t>
      </w:r>
      <w:r w:rsidR="00CC5300" w:rsidRPr="35248F51">
        <w:rPr>
          <w:lang w:val="en-GB"/>
        </w:rPr>
        <w:t>summarise</w:t>
      </w:r>
      <w:r w:rsidRPr="35248F51">
        <w:rPr>
          <w:lang w:val="en-GB"/>
        </w:rPr>
        <w:t>, organisational culture is more than just a backdrop for change activities; it is an active, dynamic force that can have a significant impact on outcomes. Understanding and leveraging this influence is critical for leaders seeking to successfully manage the obstacles of chang</w:t>
      </w:r>
      <w:r w:rsidR="000C4E56">
        <w:rPr>
          <w:lang w:val="en-GB"/>
        </w:rPr>
        <w:t>e (</w:t>
      </w:r>
      <w:r w:rsidR="00141E36">
        <w:rPr>
          <w:lang w:val="en-GB"/>
        </w:rPr>
        <w:t>G</w:t>
      </w:r>
      <w:r w:rsidR="00892E47">
        <w:rPr>
          <w:lang w:val="en-GB"/>
        </w:rPr>
        <w:t>uird</w:t>
      </w:r>
      <w:r w:rsidR="009D2BBC">
        <w:rPr>
          <w:lang w:val="en-GB"/>
        </w:rPr>
        <w:t>ham, 1998).</w:t>
      </w:r>
    </w:p>
    <w:p w14:paraId="2F6BC11A" w14:textId="728E3276" w:rsidR="316A91E7" w:rsidRDefault="316A91E7" w:rsidP="0B78CF57">
      <w:pPr>
        <w:spacing w:line="360" w:lineRule="auto"/>
        <w:rPr>
          <w:lang w:val="en-GB"/>
        </w:rPr>
      </w:pPr>
      <w:r w:rsidRPr="42B60211">
        <w:rPr>
          <w:lang w:val="en-GB"/>
        </w:rPr>
        <w:t>In the commercial world, organisational change is unavoidable, and those in leadership roles are frequently at the vanguard of this process.</w:t>
      </w:r>
      <w:r w:rsidR="62B1FAFF" w:rsidRPr="42B60211">
        <w:rPr>
          <w:lang w:val="en-GB"/>
        </w:rPr>
        <w:t xml:space="preserve"> This part of the essay will critically examine what the complex nature of challenges are for the leadership role within times of organisational change.</w:t>
      </w:r>
    </w:p>
    <w:p w14:paraId="4D92DDA9" w14:textId="061DA9A7" w:rsidR="51D013D4" w:rsidRDefault="51D013D4" w:rsidP="36F8C3E0">
      <w:pPr>
        <w:spacing w:before="240" w:after="240" w:line="360" w:lineRule="auto"/>
      </w:pPr>
      <w:r w:rsidRPr="6E28459A">
        <w:rPr>
          <w:rFonts w:ascii="Aptos" w:eastAsia="Aptos" w:hAnsi="Aptos" w:cs="Aptos"/>
          <w:lang w:val="en-GB"/>
        </w:rPr>
        <w:t xml:space="preserve">The role of leadership in </w:t>
      </w:r>
      <w:r w:rsidR="798894CC" w:rsidRPr="6E28459A">
        <w:rPr>
          <w:rFonts w:ascii="Aptos" w:eastAsia="Aptos" w:hAnsi="Aptos" w:cs="Aptos"/>
          <w:lang w:val="en-GB"/>
        </w:rPr>
        <w:t>organisations</w:t>
      </w:r>
      <w:r w:rsidRPr="6E28459A">
        <w:rPr>
          <w:rFonts w:ascii="Aptos" w:eastAsia="Aptos" w:hAnsi="Aptos" w:cs="Aptos"/>
          <w:lang w:val="en-GB"/>
        </w:rPr>
        <w:t xml:space="preserve"> during periods of transformation is complex and multidimensional. Any change initiative's success is frequently ascribed to the leadership traits that direct the transformation process in addition to the effectiveness of the change strategy. Leaders face several obstacles as a result of </w:t>
      </w:r>
      <w:r w:rsidR="611D1B7A" w:rsidRPr="6E28459A">
        <w:rPr>
          <w:rFonts w:ascii="Aptos" w:eastAsia="Aptos" w:hAnsi="Aptos" w:cs="Aptos"/>
          <w:lang w:val="en-GB"/>
        </w:rPr>
        <w:t>organisational</w:t>
      </w:r>
      <w:r w:rsidRPr="6E28459A">
        <w:rPr>
          <w:rFonts w:ascii="Aptos" w:eastAsia="Aptos" w:hAnsi="Aptos" w:cs="Aptos"/>
          <w:lang w:val="en-GB"/>
        </w:rPr>
        <w:t xml:space="preserve"> change, whether it is caused by internal factors like restructuring and leadership changes or external forces like market shifts and new technology. During these times, leadership is more complicated than just carrying out a change plan; it involves emotional intelligence, strategic decision-making, communication, and flexibility.</w:t>
      </w:r>
    </w:p>
    <w:p w14:paraId="581A2C4B" w14:textId="0E461D78" w:rsidR="51D013D4" w:rsidRDefault="51D013D4" w:rsidP="002E1EF5">
      <w:pPr>
        <w:spacing w:before="240" w:after="240" w:line="360" w:lineRule="auto"/>
      </w:pPr>
      <w:r w:rsidRPr="6E28459A">
        <w:rPr>
          <w:rFonts w:ascii="Aptos" w:eastAsia="Aptos" w:hAnsi="Aptos" w:cs="Aptos"/>
          <w:lang w:val="en-GB"/>
        </w:rPr>
        <w:t xml:space="preserve">This essay explores the psychological, strategic, structural, and interpersonal aspects of leadership in this setting, critically </w:t>
      </w:r>
      <w:r w:rsidR="54120999" w:rsidRPr="6E28459A">
        <w:rPr>
          <w:rFonts w:ascii="Aptos" w:eastAsia="Aptos" w:hAnsi="Aptos" w:cs="Aptos"/>
          <w:lang w:val="en-GB"/>
        </w:rPr>
        <w:t>analysing</w:t>
      </w:r>
      <w:r w:rsidRPr="6E28459A">
        <w:rPr>
          <w:rFonts w:ascii="Aptos" w:eastAsia="Aptos" w:hAnsi="Aptos" w:cs="Aptos"/>
          <w:lang w:val="en-GB"/>
        </w:rPr>
        <w:t xml:space="preserve"> the complex issues that leaders encounter during </w:t>
      </w:r>
      <w:r w:rsidR="611D1B7A" w:rsidRPr="6E28459A">
        <w:rPr>
          <w:rFonts w:ascii="Aptos" w:eastAsia="Aptos" w:hAnsi="Aptos" w:cs="Aptos"/>
          <w:lang w:val="en-GB"/>
        </w:rPr>
        <w:t>organisational</w:t>
      </w:r>
      <w:r w:rsidRPr="6E28459A">
        <w:rPr>
          <w:rFonts w:ascii="Aptos" w:eastAsia="Aptos" w:hAnsi="Aptos" w:cs="Aptos"/>
          <w:lang w:val="en-GB"/>
        </w:rPr>
        <w:t xml:space="preserve"> transition. To demonstrate the various facets of leadership issues during </w:t>
      </w:r>
      <w:r w:rsidR="611D1B7A" w:rsidRPr="6E28459A">
        <w:rPr>
          <w:rFonts w:ascii="Aptos" w:eastAsia="Aptos" w:hAnsi="Aptos" w:cs="Aptos"/>
          <w:lang w:val="en-GB"/>
        </w:rPr>
        <w:t>organisational</w:t>
      </w:r>
      <w:r w:rsidRPr="6E28459A">
        <w:rPr>
          <w:rFonts w:ascii="Aptos" w:eastAsia="Aptos" w:hAnsi="Aptos" w:cs="Aptos"/>
          <w:lang w:val="en-GB"/>
        </w:rPr>
        <w:t xml:space="preserve"> transition, the essay will also go over leadership theories, academic viewpoints, and real-world case studie</w:t>
      </w:r>
      <w:r w:rsidR="00C63C2B">
        <w:rPr>
          <w:rFonts w:ascii="Aptos" w:eastAsia="Aptos" w:hAnsi="Aptos" w:cs="Aptos"/>
          <w:lang w:val="en-GB"/>
        </w:rPr>
        <w:t>s (</w:t>
      </w:r>
      <w:r w:rsidR="00FB4DA9">
        <w:rPr>
          <w:rFonts w:ascii="Aptos" w:eastAsia="Aptos" w:hAnsi="Aptos" w:cs="Aptos"/>
          <w:lang w:val="en-GB"/>
        </w:rPr>
        <w:t xml:space="preserve">Mullins, </w:t>
      </w:r>
      <w:r w:rsidR="001E704D">
        <w:rPr>
          <w:rFonts w:ascii="Aptos" w:eastAsia="Aptos" w:hAnsi="Aptos" w:cs="Aptos"/>
          <w:lang w:val="en-GB"/>
        </w:rPr>
        <w:t>2010).</w:t>
      </w:r>
    </w:p>
    <w:p w14:paraId="37AE4733" w14:textId="3FD71384" w:rsidR="39FB8D09" w:rsidRDefault="39FB8D09" w:rsidP="002E1EF5">
      <w:pPr>
        <w:spacing w:before="240" w:after="240" w:line="360" w:lineRule="auto"/>
      </w:pPr>
      <w:r w:rsidRPr="6E28459A">
        <w:rPr>
          <w:rFonts w:ascii="Aptos" w:eastAsia="Aptos" w:hAnsi="Aptos" w:cs="Aptos"/>
          <w:lang w:val="en-GB"/>
        </w:rPr>
        <w:t>The process by which an organi</w:t>
      </w:r>
      <w:r w:rsidR="71043944" w:rsidRPr="6E28459A">
        <w:rPr>
          <w:rFonts w:ascii="Aptos" w:eastAsia="Aptos" w:hAnsi="Aptos" w:cs="Aptos"/>
          <w:lang w:val="en-GB"/>
        </w:rPr>
        <w:t>s</w:t>
      </w:r>
      <w:r w:rsidRPr="6E28459A">
        <w:rPr>
          <w:rFonts w:ascii="Aptos" w:eastAsia="Aptos" w:hAnsi="Aptos" w:cs="Aptos"/>
          <w:lang w:val="en-GB"/>
        </w:rPr>
        <w:t xml:space="preserve">ation experiences major changes to its structure, procedures, culture, or strategy is referred to as </w:t>
      </w:r>
      <w:r w:rsidR="611D1B7A" w:rsidRPr="6E28459A">
        <w:rPr>
          <w:rFonts w:ascii="Aptos" w:eastAsia="Aptos" w:hAnsi="Aptos" w:cs="Aptos"/>
          <w:lang w:val="en-GB"/>
        </w:rPr>
        <w:t>organisational</w:t>
      </w:r>
      <w:r w:rsidRPr="6E28459A">
        <w:rPr>
          <w:rFonts w:ascii="Aptos" w:eastAsia="Aptos" w:hAnsi="Aptos" w:cs="Aptos"/>
          <w:lang w:val="en-GB"/>
        </w:rPr>
        <w:t xml:space="preserve"> change. Both incremental (evolutionary) and transformational (revolutionary) change can be brought about by external factors like competition, market demands, or technological advancements, or by internal factors like </w:t>
      </w:r>
      <w:r w:rsidR="611D1B7A" w:rsidRPr="6E28459A">
        <w:rPr>
          <w:rFonts w:ascii="Aptos" w:eastAsia="Aptos" w:hAnsi="Aptos" w:cs="Aptos"/>
          <w:lang w:val="en-GB"/>
        </w:rPr>
        <w:t>organisational</w:t>
      </w:r>
      <w:r w:rsidRPr="6E28459A">
        <w:rPr>
          <w:rFonts w:ascii="Aptos" w:eastAsia="Aptos" w:hAnsi="Aptos" w:cs="Aptos"/>
          <w:lang w:val="en-GB"/>
        </w:rPr>
        <w:t xml:space="preserve"> priorities shifting, leadership changes, or restructuring (Kotter, 1996). In order to accomplish a desired result or adjust to new situations, </w:t>
      </w:r>
      <w:r w:rsidR="611D1B7A" w:rsidRPr="6E28459A">
        <w:rPr>
          <w:rFonts w:ascii="Aptos" w:eastAsia="Aptos" w:hAnsi="Aptos" w:cs="Aptos"/>
          <w:lang w:val="en-GB"/>
        </w:rPr>
        <w:t>organisational</w:t>
      </w:r>
      <w:r w:rsidRPr="6E28459A">
        <w:rPr>
          <w:rFonts w:ascii="Aptos" w:eastAsia="Aptos" w:hAnsi="Aptos" w:cs="Aptos"/>
          <w:lang w:val="en-GB"/>
        </w:rPr>
        <w:t xml:space="preserve"> change entails changing current practices, methods, or structures.</w:t>
      </w:r>
    </w:p>
    <w:p w14:paraId="2DEDEB25" w14:textId="60103936" w:rsidR="6E28459A" w:rsidRDefault="6E28459A" w:rsidP="7C73C182">
      <w:pPr>
        <w:spacing w:before="240" w:after="240" w:line="360" w:lineRule="auto"/>
        <w:rPr>
          <w:rFonts w:ascii="Aptos" w:eastAsia="Aptos" w:hAnsi="Aptos" w:cs="Aptos"/>
          <w:color w:val="FF0000"/>
          <w:lang w:val="en-GB"/>
        </w:rPr>
      </w:pPr>
    </w:p>
    <w:p w14:paraId="1FF06D63" w14:textId="3E566548" w:rsidR="6D9C1DDD" w:rsidRDefault="6D9C1DDD" w:rsidP="002E1EF5">
      <w:pPr>
        <w:spacing w:before="240" w:after="240" w:line="360" w:lineRule="auto"/>
      </w:pPr>
      <w:r w:rsidRPr="6E28459A">
        <w:rPr>
          <w:rFonts w:ascii="Aptos" w:eastAsia="Aptos" w:hAnsi="Aptos" w:cs="Aptos"/>
          <w:lang w:val="en-GB"/>
        </w:rPr>
        <w:t xml:space="preserve">A framework for comprehending the phases of </w:t>
      </w:r>
      <w:r w:rsidR="611D1B7A" w:rsidRPr="6E28459A">
        <w:rPr>
          <w:rFonts w:ascii="Aptos" w:eastAsia="Aptos" w:hAnsi="Aptos" w:cs="Aptos"/>
          <w:lang w:val="en-GB"/>
        </w:rPr>
        <w:t>organisational</w:t>
      </w:r>
      <w:r w:rsidRPr="6E28459A">
        <w:rPr>
          <w:rFonts w:ascii="Aptos" w:eastAsia="Aptos" w:hAnsi="Aptos" w:cs="Aptos"/>
          <w:lang w:val="en-GB"/>
        </w:rPr>
        <w:t xml:space="preserve"> transformation is provided by theories of change, such as Kurt Lewin's (1951) three-step model of unfreezing, altering, and refreezing. A more thorough road map for assisting </w:t>
      </w:r>
      <w:r w:rsidR="798894CC" w:rsidRPr="6E28459A">
        <w:rPr>
          <w:rFonts w:ascii="Aptos" w:eastAsia="Aptos" w:hAnsi="Aptos" w:cs="Aptos"/>
          <w:lang w:val="en-GB"/>
        </w:rPr>
        <w:t>organisations</w:t>
      </w:r>
      <w:r w:rsidRPr="6E28459A">
        <w:rPr>
          <w:rFonts w:ascii="Aptos" w:eastAsia="Aptos" w:hAnsi="Aptos" w:cs="Aptos"/>
          <w:lang w:val="en-GB"/>
        </w:rPr>
        <w:t xml:space="preserve"> in the process of change can also be found in John Kotter's (1996) eight-step approach for leading change. Despite their usefulness, these models fall short in capturing the breadth and complexity of the role that leadership plays in the process. During </w:t>
      </w:r>
      <w:r w:rsidR="611D1B7A" w:rsidRPr="6E28459A">
        <w:rPr>
          <w:rFonts w:ascii="Aptos" w:eastAsia="Aptos" w:hAnsi="Aptos" w:cs="Aptos"/>
          <w:lang w:val="en-GB"/>
        </w:rPr>
        <w:t>organisational</w:t>
      </w:r>
      <w:r w:rsidRPr="6E28459A">
        <w:rPr>
          <w:rFonts w:ascii="Aptos" w:eastAsia="Aptos" w:hAnsi="Aptos" w:cs="Aptos"/>
          <w:lang w:val="en-GB"/>
        </w:rPr>
        <w:t xml:space="preserve"> change, leadership entails managing the emotional, psychological, and interpersonal dynamics inside the organization in addition to the strategic planning and operational execution of the change.</w:t>
      </w:r>
    </w:p>
    <w:p w14:paraId="17A3D0A7" w14:textId="65084D86" w:rsidR="5D75BE57" w:rsidRDefault="5D75BE57" w:rsidP="002E1EF5">
      <w:pPr>
        <w:spacing w:before="240" w:after="240" w:line="360" w:lineRule="auto"/>
      </w:pPr>
      <w:r w:rsidRPr="6E28459A">
        <w:rPr>
          <w:rFonts w:ascii="Aptos" w:eastAsia="Aptos" w:hAnsi="Aptos" w:cs="Aptos"/>
          <w:lang w:val="en-GB"/>
        </w:rPr>
        <w:t xml:space="preserve">Managing employees' emotional and psychological reactions during </w:t>
      </w:r>
      <w:r w:rsidR="611D1B7A" w:rsidRPr="6E28459A">
        <w:rPr>
          <w:rFonts w:ascii="Aptos" w:eastAsia="Aptos" w:hAnsi="Aptos" w:cs="Aptos"/>
          <w:lang w:val="en-GB"/>
        </w:rPr>
        <w:t>organisational</w:t>
      </w:r>
      <w:r w:rsidRPr="6E28459A">
        <w:rPr>
          <w:rFonts w:ascii="Aptos" w:eastAsia="Aptos" w:hAnsi="Aptos" w:cs="Aptos"/>
          <w:lang w:val="en-GB"/>
        </w:rPr>
        <w:t xml:space="preserve"> transformation is one of the main issues facing executives. Fear, worry, anger, and resistance are just a few of the powerful feelings that can be evoked by change, especially when it is seen as disruptive or unclear. The success of the change </w:t>
      </w:r>
      <w:r w:rsidR="26A245E2" w:rsidRPr="6E28459A">
        <w:rPr>
          <w:rFonts w:ascii="Aptos" w:eastAsia="Aptos" w:hAnsi="Aptos" w:cs="Aptos"/>
          <w:lang w:val="en-GB"/>
        </w:rPr>
        <w:t>endeavour</w:t>
      </w:r>
      <w:r w:rsidRPr="6E28459A">
        <w:rPr>
          <w:rFonts w:ascii="Aptos" w:eastAsia="Aptos" w:hAnsi="Aptos" w:cs="Aptos"/>
          <w:lang w:val="en-GB"/>
        </w:rPr>
        <w:t xml:space="preserve"> may be hampered by these emotional reactions, which can also have detrimental effects including disengagement, low morale, and even increased turnover rates. Leaders must therefore be skilled at controlling these feelings while making sure the organization continues its change.</w:t>
      </w:r>
    </w:p>
    <w:p w14:paraId="57F02283" w14:textId="0E729E0C" w:rsidR="34364005" w:rsidRDefault="34364005" w:rsidP="002E1EF5">
      <w:pPr>
        <w:spacing w:before="240" w:after="240" w:line="360" w:lineRule="auto"/>
        <w:rPr>
          <w:rFonts w:ascii="Aptos" w:eastAsia="Aptos" w:hAnsi="Aptos" w:cs="Aptos"/>
          <w:lang w:val="en-GB"/>
        </w:rPr>
      </w:pPr>
      <w:r w:rsidRPr="6E28459A">
        <w:rPr>
          <w:rFonts w:ascii="Aptos" w:eastAsia="Aptos" w:hAnsi="Aptos" w:cs="Aptos"/>
          <w:lang w:val="en-GB"/>
        </w:rPr>
        <w:t xml:space="preserve">One of the most frequent psychological issues that leaders deal with when their </w:t>
      </w:r>
      <w:r w:rsidR="798894CC" w:rsidRPr="6E28459A">
        <w:rPr>
          <w:rFonts w:ascii="Aptos" w:eastAsia="Aptos" w:hAnsi="Aptos" w:cs="Aptos"/>
          <w:lang w:val="en-GB"/>
        </w:rPr>
        <w:t>organisations</w:t>
      </w:r>
      <w:r w:rsidRPr="6E28459A">
        <w:rPr>
          <w:rFonts w:ascii="Aptos" w:eastAsia="Aptos" w:hAnsi="Aptos" w:cs="Aptos"/>
          <w:lang w:val="en-GB"/>
        </w:rPr>
        <w:t xml:space="preserve"> undergo transition is resistance to change. Fear of the unknown, perceived dangers to job security, worries about losing status or authority, and a lack of faith in leadership are some of the reasons why employees may oppose change. Employee resistance may also occur if they don't think the change is necessary or if they think it was poorly planned or conveyed (Kotter </w:t>
      </w:r>
      <w:r w:rsidR="245A0072" w:rsidRPr="693360C7">
        <w:rPr>
          <w:rFonts w:ascii="Aptos" w:eastAsia="Aptos" w:hAnsi="Aptos" w:cs="Aptos"/>
          <w:lang w:val="en-GB"/>
        </w:rPr>
        <w:t>and</w:t>
      </w:r>
      <w:r w:rsidRPr="6E28459A">
        <w:rPr>
          <w:rFonts w:ascii="Aptos" w:eastAsia="Aptos" w:hAnsi="Aptos" w:cs="Aptos"/>
          <w:lang w:val="en-GB"/>
        </w:rPr>
        <w:t xml:space="preserve"> Schlesinger, 2008).</w:t>
      </w:r>
    </w:p>
    <w:p w14:paraId="307A1165" w14:textId="27093932" w:rsidR="4EFC1897" w:rsidRDefault="4EFC1897" w:rsidP="002E1EF5">
      <w:pPr>
        <w:spacing w:before="240" w:after="240" w:line="360" w:lineRule="auto"/>
      </w:pPr>
      <w:r w:rsidRPr="6E28459A">
        <w:rPr>
          <w:rFonts w:ascii="Aptos" w:eastAsia="Aptos" w:hAnsi="Aptos" w:cs="Aptos"/>
          <w:lang w:val="en-GB"/>
        </w:rPr>
        <w:t xml:space="preserve">In order to overcome opposition and foster an atmosphere where change is seen as an opportunity rather than a threat, leaders must devise strategies. Kotter and Schlesinger (2008) list </w:t>
      </w:r>
      <w:r w:rsidR="2C43B128" w:rsidRPr="6E28459A">
        <w:rPr>
          <w:rFonts w:ascii="Aptos" w:eastAsia="Aptos" w:hAnsi="Aptos" w:cs="Aptos"/>
          <w:lang w:val="en-GB"/>
        </w:rPr>
        <w:t>a few</w:t>
      </w:r>
      <w:r w:rsidRPr="6E28459A">
        <w:rPr>
          <w:rFonts w:ascii="Aptos" w:eastAsia="Aptos" w:hAnsi="Aptos" w:cs="Aptos"/>
          <w:lang w:val="en-GB"/>
        </w:rPr>
        <w:t xml:space="preserve"> strategies for handling resistance, such as communication and education, involvement and participation, support and facilitation, agreement and negotiation, and coercion and manipulation. Even while communication and education are frequently the simplest approaches, more difficult types of resistance can call for a mix of these tactics. To boost employees' sense of control over the shift, for instance, leaders would need to involve them in decision-making processes. They might also need to offer emotional support to individuals who are having a hard time adjusting to the unpredictability of change.</w:t>
      </w:r>
    </w:p>
    <w:p w14:paraId="526F5A8E" w14:textId="452E696F" w:rsidR="12FA356A" w:rsidRDefault="12FA356A" w:rsidP="002E1EF5">
      <w:pPr>
        <w:spacing w:before="240" w:after="240" w:line="360" w:lineRule="auto"/>
      </w:pPr>
      <w:r w:rsidRPr="7C73C182">
        <w:rPr>
          <w:rFonts w:ascii="Aptos" w:eastAsia="Aptos" w:hAnsi="Aptos" w:cs="Aptos"/>
          <w:lang w:val="en-GB"/>
        </w:rPr>
        <w:t xml:space="preserve">Emotionally intelligent (EI) leaders are especially adept at handling resistance. According to Goleman (1998), emotional intelligence is the capacity to identify and control one's own emotions as well as those of others. High EI leaders are better able to relate to their staff, allay their worries, and provide a feeling of stability throughout the transition. Leaders may lessen resistance and assist staff in overcoming the psychological obstacles that come up during uncertain times by </w:t>
      </w:r>
      <w:r w:rsidR="00B10E8B" w:rsidRPr="7C73C182">
        <w:rPr>
          <w:rFonts w:ascii="Aptos" w:eastAsia="Aptos" w:hAnsi="Aptos" w:cs="Aptos"/>
          <w:lang w:val="en-GB"/>
        </w:rPr>
        <w:t>recognising</w:t>
      </w:r>
      <w:r w:rsidRPr="7C73C182">
        <w:rPr>
          <w:rFonts w:ascii="Aptos" w:eastAsia="Aptos" w:hAnsi="Aptos" w:cs="Aptos"/>
          <w:lang w:val="en-GB"/>
        </w:rPr>
        <w:t xml:space="preserve"> the emotional impact of change and providing assistance.</w:t>
      </w:r>
    </w:p>
    <w:p w14:paraId="3E3B2C04" w14:textId="0807C05A" w:rsidR="18D3EAFC" w:rsidRDefault="18D3EAFC" w:rsidP="002E1EF5">
      <w:pPr>
        <w:spacing w:before="240" w:after="240" w:line="360" w:lineRule="auto"/>
      </w:pPr>
      <w:r w:rsidRPr="6E28459A">
        <w:rPr>
          <w:rFonts w:ascii="Aptos" w:eastAsia="Aptos" w:hAnsi="Aptos" w:cs="Aptos"/>
          <w:lang w:val="en-GB"/>
        </w:rPr>
        <w:t xml:space="preserve">Another significant difficulty for leaders during </w:t>
      </w:r>
      <w:r w:rsidR="611D1B7A" w:rsidRPr="6E28459A">
        <w:rPr>
          <w:rFonts w:ascii="Aptos" w:eastAsia="Aptos" w:hAnsi="Aptos" w:cs="Aptos"/>
          <w:lang w:val="en-GB"/>
        </w:rPr>
        <w:t>organisational</w:t>
      </w:r>
      <w:r w:rsidRPr="6E28459A">
        <w:rPr>
          <w:rFonts w:ascii="Aptos" w:eastAsia="Aptos" w:hAnsi="Aptos" w:cs="Aptos"/>
          <w:lang w:val="en-GB"/>
        </w:rPr>
        <w:t xml:space="preserve"> change is to rebuild and sustain trust. </w:t>
      </w:r>
      <w:r w:rsidR="611D1B7A" w:rsidRPr="6E28459A">
        <w:rPr>
          <w:rFonts w:ascii="Aptos" w:eastAsia="Aptos" w:hAnsi="Aptos" w:cs="Aptos"/>
          <w:lang w:val="en-GB"/>
        </w:rPr>
        <w:t>Organisational</w:t>
      </w:r>
      <w:r w:rsidRPr="6E28459A">
        <w:rPr>
          <w:rFonts w:ascii="Aptos" w:eastAsia="Aptos" w:hAnsi="Aptos" w:cs="Aptos"/>
          <w:lang w:val="en-GB"/>
        </w:rPr>
        <w:t xml:space="preserve"> change, particularly when it is poorly communicated or managed, can cause a breach in the psychological contract between employees and the </w:t>
      </w:r>
      <w:r w:rsidR="0072454B" w:rsidRPr="6E28459A">
        <w:rPr>
          <w:rFonts w:ascii="Aptos" w:eastAsia="Aptos" w:hAnsi="Aptos" w:cs="Aptos"/>
          <w:lang w:val="en-GB"/>
        </w:rPr>
        <w:t>organisation</w:t>
      </w:r>
      <w:r w:rsidRPr="6E28459A">
        <w:rPr>
          <w:rFonts w:ascii="Aptos" w:eastAsia="Aptos" w:hAnsi="Aptos" w:cs="Aptos"/>
          <w:lang w:val="en-GB"/>
        </w:rPr>
        <w:t>. Rousseau (1995) defines the psychological contract as an unwritten set of expectations between employees and their employer that includes job stability, career advancement, and work-life balance. When change breaks these expectations, employees may feel deceived or undermined, eroding trust and reducing loyalty to the busines</w:t>
      </w:r>
      <w:r w:rsidR="00473DDB">
        <w:rPr>
          <w:rFonts w:ascii="Aptos" w:eastAsia="Aptos" w:hAnsi="Aptos" w:cs="Aptos"/>
          <w:lang w:val="en-GB"/>
        </w:rPr>
        <w:t xml:space="preserve">s </w:t>
      </w:r>
      <w:r w:rsidR="00235A33">
        <w:rPr>
          <w:rFonts w:ascii="Aptos" w:eastAsia="Aptos" w:hAnsi="Aptos" w:cs="Aptos"/>
          <w:lang w:val="en-GB"/>
        </w:rPr>
        <w:t>(Goldman, 1998).</w:t>
      </w:r>
    </w:p>
    <w:p w14:paraId="4FABBB17" w14:textId="4F30E4B0" w:rsidR="18D3EAFC" w:rsidRDefault="18D3EAFC" w:rsidP="002E1EF5">
      <w:pPr>
        <w:spacing w:before="240" w:after="240" w:line="360" w:lineRule="auto"/>
      </w:pPr>
      <w:r w:rsidRPr="6E28459A">
        <w:rPr>
          <w:rFonts w:ascii="Aptos" w:eastAsia="Aptos" w:hAnsi="Aptos" w:cs="Aptos"/>
          <w:lang w:val="en-GB"/>
        </w:rPr>
        <w:t xml:space="preserve">To rebuild confidence during periods of transition, leaders must communicate openly, be consistent in their actions, and respond to employee concerns. Kotter (1996) </w:t>
      </w:r>
      <w:r w:rsidR="00950F9B">
        <w:rPr>
          <w:rFonts w:ascii="Aptos" w:eastAsia="Aptos" w:hAnsi="Aptos" w:cs="Aptos"/>
          <w:lang w:val="en-GB"/>
        </w:rPr>
        <w:t>emphasises</w:t>
      </w:r>
      <w:r w:rsidRPr="6E28459A">
        <w:rPr>
          <w:rFonts w:ascii="Aptos" w:eastAsia="Aptos" w:hAnsi="Aptos" w:cs="Aptos"/>
          <w:lang w:val="en-GB"/>
        </w:rPr>
        <w:t xml:space="preserve"> the necessity of clearly and routinely expressing the vision for change to employees so that they understand why the change is being implemented and the benefits it will bring. Leaders must also be present and accessible throughout the transformation process, providing reassurance and answering questions directly. Trust is not rebuilt quickly, but through continuous actions and a commitment to transparency, leaders may rebuild employees' trust in their leadership and the change </w:t>
      </w:r>
      <w:r w:rsidR="430A7112" w:rsidRPr="6E28459A">
        <w:rPr>
          <w:rFonts w:ascii="Aptos" w:eastAsia="Aptos" w:hAnsi="Aptos" w:cs="Aptos"/>
          <w:lang w:val="en-GB"/>
        </w:rPr>
        <w:t>endeavour</w:t>
      </w:r>
      <w:r w:rsidRPr="6E28459A">
        <w:rPr>
          <w:rFonts w:ascii="Aptos" w:eastAsia="Aptos" w:hAnsi="Aptos" w:cs="Aptos"/>
          <w:lang w:val="en-GB"/>
        </w:rPr>
        <w:t>.</w:t>
      </w:r>
    </w:p>
    <w:p w14:paraId="3DCC46CA" w14:textId="19508A9A" w:rsidR="1BBAA80B" w:rsidRDefault="1BBAA80B" w:rsidP="002E1EF5">
      <w:pPr>
        <w:spacing w:before="240" w:after="240" w:line="360" w:lineRule="auto"/>
      </w:pPr>
      <w:r w:rsidRPr="6E28459A">
        <w:rPr>
          <w:rFonts w:ascii="Aptos" w:eastAsia="Aptos" w:hAnsi="Aptos" w:cs="Aptos"/>
          <w:lang w:val="en-GB"/>
        </w:rPr>
        <w:t xml:space="preserve">Leaders must address not only the psychological and emotional components of change, but also the strategic and structural issues that occur throughout </w:t>
      </w:r>
      <w:r w:rsidR="611D1B7A" w:rsidRPr="6E28459A">
        <w:rPr>
          <w:rFonts w:ascii="Aptos" w:eastAsia="Aptos" w:hAnsi="Aptos" w:cs="Aptos"/>
          <w:lang w:val="en-GB"/>
        </w:rPr>
        <w:t>organisational</w:t>
      </w:r>
      <w:r w:rsidRPr="6E28459A">
        <w:rPr>
          <w:rFonts w:ascii="Aptos" w:eastAsia="Aptos" w:hAnsi="Aptos" w:cs="Aptos"/>
          <w:lang w:val="en-GB"/>
        </w:rPr>
        <w:t xml:space="preserve"> transition. </w:t>
      </w:r>
      <w:r w:rsidR="611D1B7A" w:rsidRPr="6E28459A">
        <w:rPr>
          <w:rFonts w:ascii="Aptos" w:eastAsia="Aptos" w:hAnsi="Aptos" w:cs="Aptos"/>
          <w:lang w:val="en-GB"/>
        </w:rPr>
        <w:t>Organisational</w:t>
      </w:r>
      <w:r w:rsidRPr="6E28459A">
        <w:rPr>
          <w:rFonts w:ascii="Aptos" w:eastAsia="Aptos" w:hAnsi="Aptos" w:cs="Aptos"/>
          <w:lang w:val="en-GB"/>
        </w:rPr>
        <w:t xml:space="preserve"> transformation frequently necessitates changes to the </w:t>
      </w:r>
      <w:r w:rsidR="009A6B85">
        <w:rPr>
          <w:rFonts w:ascii="Aptos" w:eastAsia="Aptos" w:hAnsi="Aptos" w:cs="Aptos"/>
          <w:lang w:val="en-GB"/>
        </w:rPr>
        <w:t>organisation’s</w:t>
      </w:r>
      <w:r w:rsidRPr="6E28459A">
        <w:rPr>
          <w:rFonts w:ascii="Aptos" w:eastAsia="Aptos" w:hAnsi="Aptos" w:cs="Aptos"/>
          <w:lang w:val="en-GB"/>
        </w:rPr>
        <w:t xml:space="preserve"> goals, processes, and structure, as well as the allocation of resources to support the transition</w:t>
      </w:r>
      <w:r w:rsidR="00EF0722">
        <w:rPr>
          <w:rFonts w:ascii="Aptos" w:eastAsia="Aptos" w:hAnsi="Aptos" w:cs="Aptos"/>
          <w:lang w:val="en-GB"/>
        </w:rPr>
        <w:t xml:space="preserve"> (Kotter, </w:t>
      </w:r>
      <w:r w:rsidR="00FE4432">
        <w:rPr>
          <w:rFonts w:ascii="Aptos" w:eastAsia="Aptos" w:hAnsi="Aptos" w:cs="Aptos"/>
          <w:lang w:val="en-GB"/>
        </w:rPr>
        <w:t>1996).</w:t>
      </w:r>
    </w:p>
    <w:p w14:paraId="7892EAED" w14:textId="1D4232C7" w:rsidR="77C6E06E" w:rsidRDefault="77C6E06E" w:rsidP="002E1EF5">
      <w:pPr>
        <w:spacing w:before="240" w:after="240" w:line="360" w:lineRule="auto"/>
      </w:pPr>
      <w:r w:rsidRPr="6E28459A">
        <w:rPr>
          <w:rFonts w:ascii="Aptos" w:eastAsia="Aptos" w:hAnsi="Aptos" w:cs="Aptos"/>
          <w:lang w:val="en-GB"/>
        </w:rPr>
        <w:t xml:space="preserve">Leaders must build a clear and compelling vision to steer the transition process. This vision must state the objective of the change, the expected results, and the procedures required to attain them. A well-defined vision helps to align the </w:t>
      </w:r>
      <w:r w:rsidR="009A6B85">
        <w:rPr>
          <w:rFonts w:ascii="Aptos" w:eastAsia="Aptos" w:hAnsi="Aptos" w:cs="Aptos"/>
          <w:lang w:val="en-GB"/>
        </w:rPr>
        <w:t>organisation’s</w:t>
      </w:r>
      <w:r w:rsidRPr="6E28459A">
        <w:rPr>
          <w:rFonts w:ascii="Aptos" w:eastAsia="Aptos" w:hAnsi="Aptos" w:cs="Aptos"/>
          <w:lang w:val="en-GB"/>
        </w:rPr>
        <w:t xml:space="preserve"> efforts, gives employees a sense of direction, and motivates them to strive toward a shared objective. According to strategic leadership theory (Boal &amp; Hooijberg, 2001), good leaders strike a balance between short-term and long-term goals, keeping the </w:t>
      </w:r>
      <w:r w:rsidR="00A14673">
        <w:rPr>
          <w:rFonts w:ascii="Aptos" w:eastAsia="Aptos" w:hAnsi="Aptos" w:cs="Aptos"/>
          <w:lang w:val="en-GB"/>
        </w:rPr>
        <w:t>organisation</w:t>
      </w:r>
      <w:r w:rsidRPr="6E28459A">
        <w:rPr>
          <w:rFonts w:ascii="Aptos" w:eastAsia="Aptos" w:hAnsi="Aptos" w:cs="Aptos"/>
          <w:lang w:val="en-GB"/>
        </w:rPr>
        <w:t xml:space="preserve"> focused on both urgent requirements and future progress.</w:t>
      </w:r>
    </w:p>
    <w:p w14:paraId="22D1B707" w14:textId="65617F69" w:rsidR="214A8399" w:rsidRDefault="214A8399" w:rsidP="002E1EF5">
      <w:pPr>
        <w:spacing w:line="360" w:lineRule="auto"/>
      </w:pPr>
      <w:r w:rsidRPr="6E28459A">
        <w:rPr>
          <w:rFonts w:ascii="Aptos" w:eastAsia="Aptos" w:hAnsi="Aptos" w:cs="Aptos"/>
          <w:lang w:val="en-GB"/>
        </w:rPr>
        <w:t xml:space="preserve">In addition to defining the vision, leaders must create a strategic plan outlining the steps required to carry out the change. This strategy should define the main stakeholders, the resources needed, and the schedule for implementation. Strategic planning at times of change also </w:t>
      </w:r>
      <w:r w:rsidR="66114C1F" w:rsidRPr="6E28459A">
        <w:rPr>
          <w:rFonts w:ascii="Aptos" w:eastAsia="Aptos" w:hAnsi="Aptos" w:cs="Aptos"/>
          <w:lang w:val="en-GB"/>
        </w:rPr>
        <w:t>includes</w:t>
      </w:r>
      <w:r w:rsidRPr="6E28459A">
        <w:rPr>
          <w:rFonts w:ascii="Aptos" w:eastAsia="Aptos" w:hAnsi="Aptos" w:cs="Aptos"/>
          <w:lang w:val="en-GB"/>
        </w:rPr>
        <w:t xml:space="preserve"> assessing potential risks and developing contingency plans to deal with any difficulties that may arise during the transition. </w:t>
      </w:r>
    </w:p>
    <w:p w14:paraId="3AE1ED2D" w14:textId="61D19B7F" w:rsidR="214A8399" w:rsidRDefault="214A8399" w:rsidP="002E1EF5">
      <w:pPr>
        <w:spacing w:before="240" w:after="240" w:line="360" w:lineRule="auto"/>
        <w:rPr>
          <w:rFonts w:ascii="Aptos" w:eastAsia="Aptos" w:hAnsi="Aptos" w:cs="Aptos"/>
          <w:lang w:val="en-GB"/>
        </w:rPr>
      </w:pPr>
      <w:r w:rsidRPr="6E28459A">
        <w:rPr>
          <w:rFonts w:ascii="Aptos" w:eastAsia="Aptos" w:hAnsi="Aptos" w:cs="Aptos"/>
          <w:lang w:val="en-GB"/>
        </w:rPr>
        <w:t xml:space="preserve">Leaders must also verify that the transformation plan is consistent with the organisation's overall aims and values. Leaders must balance the needs of numerous stakeholders, like as employees, customers, shareholders, and the community, while making strategic decisions. According to Boal and Hooijberg (2001), effective strategic leadership requires leaders to handle diverse and occasionally opposing interests while maintaining focused on the </w:t>
      </w:r>
      <w:r w:rsidR="00D472AC">
        <w:rPr>
          <w:rFonts w:ascii="Aptos" w:eastAsia="Aptos" w:hAnsi="Aptos" w:cs="Aptos"/>
          <w:lang w:val="en-GB"/>
        </w:rPr>
        <w:t>organisation’s</w:t>
      </w:r>
      <w:r w:rsidRPr="6E28459A">
        <w:rPr>
          <w:rFonts w:ascii="Aptos" w:eastAsia="Aptos" w:hAnsi="Aptos" w:cs="Aptos"/>
          <w:lang w:val="en-GB"/>
        </w:rPr>
        <w:t xml:space="preserve"> long-term success. </w:t>
      </w:r>
    </w:p>
    <w:p w14:paraId="28184DCE" w14:textId="7206967E" w:rsidR="611D1B7A" w:rsidRDefault="611D1B7A" w:rsidP="002E1EF5">
      <w:pPr>
        <w:spacing w:before="240" w:after="240" w:line="360" w:lineRule="auto"/>
      </w:pPr>
      <w:r w:rsidRPr="6E28459A">
        <w:rPr>
          <w:rFonts w:ascii="Aptos" w:eastAsia="Aptos" w:hAnsi="Aptos" w:cs="Aptos"/>
          <w:lang w:val="en-GB"/>
        </w:rPr>
        <w:t>Organisational</w:t>
      </w:r>
      <w:r w:rsidR="73F8EAEC" w:rsidRPr="6E28459A">
        <w:rPr>
          <w:rFonts w:ascii="Aptos" w:eastAsia="Aptos" w:hAnsi="Aptos" w:cs="Aptos"/>
          <w:lang w:val="en-GB"/>
        </w:rPr>
        <w:t xml:space="preserve"> change frequently demands changes to the structure and procedures of the </w:t>
      </w:r>
      <w:r w:rsidR="001B78ED">
        <w:rPr>
          <w:rFonts w:ascii="Aptos" w:eastAsia="Aptos" w:hAnsi="Aptos" w:cs="Aptos"/>
          <w:lang w:val="en-GB"/>
        </w:rPr>
        <w:t>organisation</w:t>
      </w:r>
      <w:r w:rsidR="73F8EAEC" w:rsidRPr="6E28459A">
        <w:rPr>
          <w:rFonts w:ascii="Aptos" w:eastAsia="Aptos" w:hAnsi="Aptos" w:cs="Aptos"/>
          <w:lang w:val="en-GB"/>
        </w:rPr>
        <w:t xml:space="preserve">. These structural changes can be especially difficult for leaders because they may necessitate redefining positions, reallocating resources, or changing the way work is </w:t>
      </w:r>
      <w:r w:rsidR="001B78ED">
        <w:rPr>
          <w:rFonts w:ascii="Aptos" w:eastAsia="Aptos" w:hAnsi="Aptos" w:cs="Aptos"/>
          <w:lang w:val="en-GB"/>
        </w:rPr>
        <w:t>organised</w:t>
      </w:r>
      <w:r w:rsidR="73F8EAEC" w:rsidRPr="6E28459A">
        <w:rPr>
          <w:rFonts w:ascii="Aptos" w:eastAsia="Aptos" w:hAnsi="Aptos" w:cs="Aptos"/>
          <w:lang w:val="en-GB"/>
        </w:rPr>
        <w:t xml:space="preserve"> and handled. Leaders must ensure that the new structure supports the change's objectives while remaining operationally efficient.</w:t>
      </w:r>
    </w:p>
    <w:p w14:paraId="72CA3E98" w14:textId="7B9BBF0B" w:rsidR="73F8EAEC" w:rsidRDefault="73F8EAEC" w:rsidP="002E1EF5">
      <w:pPr>
        <w:spacing w:before="240" w:after="240" w:line="360" w:lineRule="auto"/>
      </w:pPr>
      <w:r w:rsidRPr="6E28459A">
        <w:rPr>
          <w:rFonts w:ascii="Aptos" w:eastAsia="Aptos" w:hAnsi="Aptos" w:cs="Aptos"/>
          <w:lang w:val="en-GB"/>
        </w:rPr>
        <w:t xml:space="preserve">For example, if the change involves the implementation of new technology or processes, leaders must ensure that personnel are properly taught to use the new tools. This could include investing in new training programs, engaging outside specialists, or offering continuing assistance to employees as they adjust to the new system. Leaders must also ensure that the </w:t>
      </w:r>
      <w:r w:rsidR="001B78ED">
        <w:rPr>
          <w:rFonts w:ascii="Aptos" w:eastAsia="Aptos" w:hAnsi="Aptos" w:cs="Aptos"/>
          <w:lang w:val="en-GB"/>
        </w:rPr>
        <w:t>organisation’s</w:t>
      </w:r>
      <w:r w:rsidRPr="6E28459A">
        <w:rPr>
          <w:rFonts w:ascii="Aptos" w:eastAsia="Aptos" w:hAnsi="Aptos" w:cs="Aptos"/>
          <w:lang w:val="en-GB"/>
        </w:rPr>
        <w:t xml:space="preserve"> processes and systems are in sync with the new strategy, and that there are clear lines of power and accountability. A lack of clarity in duties and responsibilities during times of transition can result in confusion, inefficiency, and resistance.</w:t>
      </w:r>
    </w:p>
    <w:p w14:paraId="0C2EA6C0" w14:textId="64513E0B" w:rsidR="5B423698" w:rsidRDefault="5B423698" w:rsidP="002E1EF5">
      <w:pPr>
        <w:spacing w:before="240" w:after="240" w:line="360" w:lineRule="auto"/>
      </w:pPr>
      <w:r w:rsidRPr="6E28459A">
        <w:rPr>
          <w:rFonts w:ascii="Aptos" w:eastAsia="Aptos" w:hAnsi="Aptos" w:cs="Aptos"/>
          <w:lang w:val="en-GB"/>
        </w:rPr>
        <w:t>While strategic and structural concerns are critical, effective change leadership necessitates strong interpersonal abilities as well. Leaders must cultivate relationships, promote collaboration, and inspire people to embrace the transformation process. Effective leadership involves the ability to inspire and influence people, particularly during times of uncertainty</w:t>
      </w:r>
      <w:r w:rsidR="001B78ED">
        <w:rPr>
          <w:rFonts w:ascii="Aptos" w:eastAsia="Aptos" w:hAnsi="Aptos" w:cs="Aptos"/>
          <w:lang w:val="en-GB"/>
        </w:rPr>
        <w:t xml:space="preserve"> (</w:t>
      </w:r>
      <w:r w:rsidR="006308A4">
        <w:rPr>
          <w:rFonts w:ascii="Aptos" w:eastAsia="Aptos" w:hAnsi="Aptos" w:cs="Aptos"/>
          <w:lang w:val="en-GB"/>
        </w:rPr>
        <w:t xml:space="preserve">Boal </w:t>
      </w:r>
      <w:r w:rsidR="00535E03">
        <w:rPr>
          <w:rFonts w:ascii="Aptos" w:eastAsia="Aptos" w:hAnsi="Aptos" w:cs="Aptos"/>
          <w:lang w:val="en-GB"/>
        </w:rPr>
        <w:t>and Hoo</w:t>
      </w:r>
      <w:r w:rsidR="00274F3B">
        <w:rPr>
          <w:rFonts w:ascii="Aptos" w:eastAsia="Aptos" w:hAnsi="Aptos" w:cs="Aptos"/>
          <w:lang w:val="en-GB"/>
        </w:rPr>
        <w:t>ijberg, 2001).</w:t>
      </w:r>
    </w:p>
    <w:p w14:paraId="4A15EE9A" w14:textId="1B967755" w:rsidR="42B60211" w:rsidRDefault="1ACB8B92" w:rsidP="002E1EF5">
      <w:pPr>
        <w:spacing w:before="240" w:after="240" w:line="360" w:lineRule="auto"/>
      </w:pPr>
      <w:r w:rsidRPr="6E28459A">
        <w:rPr>
          <w:rFonts w:ascii="Aptos" w:eastAsia="Aptos" w:hAnsi="Aptos" w:cs="Aptos"/>
          <w:lang w:val="en-GB"/>
        </w:rPr>
        <w:t xml:space="preserve">During periods of change, employees may feel uncertain or apprehensive about their future in the </w:t>
      </w:r>
      <w:r w:rsidR="00274F3B">
        <w:rPr>
          <w:rFonts w:ascii="Aptos" w:eastAsia="Aptos" w:hAnsi="Aptos" w:cs="Aptos"/>
          <w:lang w:val="en-GB"/>
        </w:rPr>
        <w:t>organisation</w:t>
      </w:r>
      <w:r w:rsidRPr="6E28459A">
        <w:rPr>
          <w:rFonts w:ascii="Aptos" w:eastAsia="Aptos" w:hAnsi="Aptos" w:cs="Aptos"/>
          <w:lang w:val="en-GB"/>
        </w:rPr>
        <w:t xml:space="preserve">. Leaders must </w:t>
      </w:r>
      <w:r w:rsidR="00274F3B">
        <w:rPr>
          <w:rFonts w:ascii="Aptos" w:eastAsia="Aptos" w:hAnsi="Aptos" w:cs="Aptos"/>
          <w:lang w:val="en-GB"/>
        </w:rPr>
        <w:t>prioritise</w:t>
      </w:r>
      <w:r w:rsidRPr="6E28459A">
        <w:rPr>
          <w:rFonts w:ascii="Aptos" w:eastAsia="Aptos" w:hAnsi="Aptos" w:cs="Aptos"/>
          <w:lang w:val="en-GB"/>
        </w:rPr>
        <w:t xml:space="preserve"> preserving staff morale and engagement, as disengaged employees are less likely to embrace and may even oppose the change. Transformational leadership theory (Bass, 1985) </w:t>
      </w:r>
      <w:r w:rsidR="00274F3B">
        <w:rPr>
          <w:rFonts w:ascii="Aptos" w:eastAsia="Aptos" w:hAnsi="Aptos" w:cs="Aptos"/>
          <w:lang w:val="en-GB"/>
        </w:rPr>
        <w:t>emphasises</w:t>
      </w:r>
      <w:r w:rsidRPr="6E28459A">
        <w:rPr>
          <w:rFonts w:ascii="Aptos" w:eastAsia="Aptos" w:hAnsi="Aptos" w:cs="Aptos"/>
          <w:lang w:val="en-GB"/>
        </w:rPr>
        <w:t xml:space="preserve"> the necessity of inspiring and motivating followers to attain a shared vision. Transformational leaders may </w:t>
      </w:r>
      <w:r w:rsidR="7F1E7358" w:rsidRPr="6E28459A">
        <w:rPr>
          <w:rFonts w:ascii="Aptos" w:eastAsia="Aptos" w:hAnsi="Aptos" w:cs="Aptos"/>
          <w:lang w:val="en-GB"/>
        </w:rPr>
        <w:t>instil</w:t>
      </w:r>
      <w:r w:rsidRPr="6E28459A">
        <w:rPr>
          <w:rFonts w:ascii="Aptos" w:eastAsia="Aptos" w:hAnsi="Aptos" w:cs="Aptos"/>
          <w:lang w:val="en-GB"/>
        </w:rPr>
        <w:t xml:space="preserve"> a feeling of shared purpose and enthusiasm in colleagues, allowing them to negotiate the hurdles of change.</w:t>
      </w:r>
    </w:p>
    <w:p w14:paraId="3D582D87" w14:textId="2DDB7B7C" w:rsidR="42B60211" w:rsidRDefault="1ACB8B92" w:rsidP="002E1EF5">
      <w:pPr>
        <w:spacing w:before="240" w:after="240" w:line="360" w:lineRule="auto"/>
      </w:pPr>
      <w:r w:rsidRPr="6E28459A">
        <w:rPr>
          <w:rFonts w:ascii="Aptos" w:eastAsia="Aptos" w:hAnsi="Aptos" w:cs="Aptos"/>
          <w:lang w:val="en-GB"/>
        </w:rPr>
        <w:t>Providing chances for employee involvement can also help to boost motivation during times of transition. When employees believe they have a stake in the change process, they are more inclined to accept it and contribute to its success. Leaders can engage staff by soliciting feedback, promoting participation in decision-making, and acknowledging their contributions. Leaders can boost staff engagement and lessen change resistance by instilling a sense of ownership and commitment</w:t>
      </w:r>
      <w:r w:rsidR="00EA0875">
        <w:rPr>
          <w:rFonts w:ascii="Aptos" w:eastAsia="Aptos" w:hAnsi="Aptos" w:cs="Aptos"/>
          <w:lang w:val="en-GB"/>
        </w:rPr>
        <w:t xml:space="preserve"> (B</w:t>
      </w:r>
      <w:r w:rsidR="005F29FC">
        <w:rPr>
          <w:rFonts w:ascii="Aptos" w:eastAsia="Aptos" w:hAnsi="Aptos" w:cs="Aptos"/>
          <w:lang w:val="en-GB"/>
        </w:rPr>
        <w:t>ass, 1985).</w:t>
      </w:r>
    </w:p>
    <w:p w14:paraId="65928177" w14:textId="23001BBC" w:rsidR="42B60211" w:rsidRDefault="4D2161CA" w:rsidP="002E1EF5">
      <w:pPr>
        <w:spacing w:before="240" w:after="240" w:line="360" w:lineRule="auto"/>
      </w:pPr>
      <w:r w:rsidRPr="6E28459A">
        <w:rPr>
          <w:rFonts w:ascii="Aptos" w:eastAsia="Aptos" w:hAnsi="Aptos" w:cs="Aptos"/>
          <w:lang w:val="en-GB"/>
        </w:rPr>
        <w:t xml:space="preserve">Communication is critical during organisational change to ensure that employees understand the rationale for the change, the precise processes involved, and the expected consequences. According to Kotter (1996), the capacity to convey a compelling vision is critical for successfully leading change. Leaders must not only explain why the change is </w:t>
      </w:r>
      <w:r w:rsidR="1CD2C616" w:rsidRPr="6E28459A">
        <w:rPr>
          <w:rFonts w:ascii="Aptos" w:eastAsia="Aptos" w:hAnsi="Aptos" w:cs="Aptos"/>
          <w:lang w:val="en-GB"/>
        </w:rPr>
        <w:t>important but</w:t>
      </w:r>
      <w:r w:rsidRPr="6E28459A">
        <w:rPr>
          <w:rFonts w:ascii="Aptos" w:eastAsia="Aptos" w:hAnsi="Aptos" w:cs="Aptos"/>
          <w:lang w:val="en-GB"/>
        </w:rPr>
        <w:t xml:space="preserve"> also inspire and motivate staff to accept it. This necessitates leaders developing a clear message that connects with employees at all levels of the business.</w:t>
      </w:r>
    </w:p>
    <w:p w14:paraId="179D42FF" w14:textId="53B9BB5E" w:rsidR="42B60211" w:rsidRDefault="4D2161CA" w:rsidP="002E1EF5">
      <w:pPr>
        <w:spacing w:before="240" w:after="240" w:line="360" w:lineRule="auto"/>
      </w:pPr>
      <w:r w:rsidRPr="6E28459A">
        <w:rPr>
          <w:rFonts w:ascii="Aptos" w:eastAsia="Aptos" w:hAnsi="Aptos" w:cs="Aptos"/>
          <w:lang w:val="en-GB"/>
        </w:rPr>
        <w:t xml:space="preserve">Transparent and regular communication promotes trust. When employees feel educated and participated in the process, they are more likely to be confident in their jobs and the </w:t>
      </w:r>
      <w:r w:rsidR="00B73F50">
        <w:rPr>
          <w:rFonts w:ascii="Aptos" w:eastAsia="Aptos" w:hAnsi="Aptos" w:cs="Aptos"/>
          <w:lang w:val="en-GB"/>
        </w:rPr>
        <w:t>organisation’s</w:t>
      </w:r>
      <w:r w:rsidRPr="6E28459A">
        <w:rPr>
          <w:rFonts w:ascii="Aptos" w:eastAsia="Aptos" w:hAnsi="Aptos" w:cs="Aptos"/>
          <w:lang w:val="en-GB"/>
        </w:rPr>
        <w:t xml:space="preserve"> future. According to Kotter and Schlesinger (2008), trust between leaders and employees is critical for overcoming resistance, as people are more willing to accept change when they believe the leadership has their best interests at heart. Leaders must </w:t>
      </w:r>
      <w:r w:rsidR="00EE127C">
        <w:rPr>
          <w:rFonts w:ascii="Aptos" w:eastAsia="Aptos" w:hAnsi="Aptos" w:cs="Aptos"/>
          <w:lang w:val="en-GB"/>
        </w:rPr>
        <w:t>prioritise</w:t>
      </w:r>
      <w:r w:rsidRPr="6E28459A">
        <w:rPr>
          <w:rFonts w:ascii="Aptos" w:eastAsia="Aptos" w:hAnsi="Aptos" w:cs="Aptos"/>
          <w:lang w:val="en-GB"/>
        </w:rPr>
        <w:t xml:space="preserve"> open lines of communication throughout the transition process to create employee ownership and buy-in</w:t>
      </w:r>
      <w:r w:rsidR="000F29B9">
        <w:rPr>
          <w:rFonts w:ascii="Aptos" w:eastAsia="Aptos" w:hAnsi="Aptos" w:cs="Aptos"/>
          <w:lang w:val="en-GB"/>
        </w:rPr>
        <w:t xml:space="preserve"> (Kotter and Schle</w:t>
      </w:r>
      <w:r w:rsidR="004D3E90">
        <w:rPr>
          <w:rFonts w:ascii="Aptos" w:eastAsia="Aptos" w:hAnsi="Aptos" w:cs="Aptos"/>
          <w:lang w:val="en-GB"/>
        </w:rPr>
        <w:t xml:space="preserve">singer, </w:t>
      </w:r>
      <w:r w:rsidR="003938BF">
        <w:rPr>
          <w:rFonts w:ascii="Aptos" w:eastAsia="Aptos" w:hAnsi="Aptos" w:cs="Aptos"/>
          <w:lang w:val="en-GB"/>
        </w:rPr>
        <w:t>2008).</w:t>
      </w:r>
    </w:p>
    <w:p w14:paraId="61953F87" w14:textId="22B35055" w:rsidR="42B60211" w:rsidRDefault="4D2161CA" w:rsidP="002E1EF5">
      <w:pPr>
        <w:spacing w:before="240" w:after="240" w:line="360" w:lineRule="auto"/>
      </w:pPr>
      <w:r w:rsidRPr="6E28459A">
        <w:rPr>
          <w:rFonts w:ascii="Aptos" w:eastAsia="Aptos" w:hAnsi="Aptos" w:cs="Aptos"/>
          <w:lang w:val="en-GB"/>
        </w:rPr>
        <w:t>Effective communication also helps to reduce ambiguity. Change frequently produces ambiguity and anxiety of the unknown. Clear communication can help ease these fears by providing staff with the information they need to comprehend the changes being implemented. Furthermore, leaders must respond to concerns and queries in a timely manner while displaying empathy and transparency. When employees believe their concerns are being acknowledged, they are less likely to feel threatened by the changes.</w:t>
      </w:r>
    </w:p>
    <w:p w14:paraId="17564ECB" w14:textId="48CD7F2B" w:rsidR="42B60211" w:rsidRDefault="4D2161CA" w:rsidP="002E1EF5">
      <w:pPr>
        <w:spacing w:before="240" w:after="240" w:line="360" w:lineRule="auto"/>
      </w:pPr>
      <w:r w:rsidRPr="6E28459A">
        <w:rPr>
          <w:rFonts w:ascii="Aptos" w:eastAsia="Aptos" w:hAnsi="Aptos" w:cs="Aptos"/>
          <w:lang w:val="en-GB"/>
        </w:rPr>
        <w:t xml:space="preserve">Despite its importance, effective communication during </w:t>
      </w:r>
      <w:r w:rsidR="611D1B7A" w:rsidRPr="6E28459A">
        <w:rPr>
          <w:rFonts w:ascii="Aptos" w:eastAsia="Aptos" w:hAnsi="Aptos" w:cs="Aptos"/>
          <w:lang w:val="en-GB"/>
        </w:rPr>
        <w:t>organisational</w:t>
      </w:r>
      <w:r w:rsidRPr="6E28459A">
        <w:rPr>
          <w:rFonts w:ascii="Aptos" w:eastAsia="Aptos" w:hAnsi="Aptos" w:cs="Aptos"/>
          <w:lang w:val="en-GB"/>
        </w:rPr>
        <w:t xml:space="preserve"> transition presents numerous problems. Employee resistance is one of the most significant issues. People naturally oppose change because they are afraid of the unknown, are concerned about their job stability, or do not trust their leaders. Leaders may face opposition from employees who believe the change is unneeded or poorly prepared, </w:t>
      </w:r>
      <w:r w:rsidR="0089616A">
        <w:rPr>
          <w:rFonts w:ascii="Aptos" w:eastAsia="Aptos" w:hAnsi="Aptos" w:cs="Aptos"/>
          <w:lang w:val="en-GB"/>
        </w:rPr>
        <w:t>jeopardising</w:t>
      </w:r>
      <w:r w:rsidRPr="6E28459A">
        <w:rPr>
          <w:rFonts w:ascii="Aptos" w:eastAsia="Aptos" w:hAnsi="Aptos" w:cs="Aptos"/>
          <w:lang w:val="en-GB"/>
        </w:rPr>
        <w:t xml:space="preserve"> the transition process. According to Kotter (1996), leaders must confront this resistance by clearly articulating the need for change, sharing triumphs and progress, and actively engaging staff in the change process.</w:t>
      </w:r>
    </w:p>
    <w:p w14:paraId="1BA8D312" w14:textId="4BD95AC5" w:rsidR="42B60211" w:rsidRDefault="4D2161CA" w:rsidP="002E1EF5">
      <w:pPr>
        <w:spacing w:before="240" w:after="240" w:line="360" w:lineRule="auto"/>
      </w:pPr>
      <w:r w:rsidRPr="6E28459A">
        <w:rPr>
          <w:rFonts w:ascii="Aptos" w:eastAsia="Aptos" w:hAnsi="Aptos" w:cs="Aptos"/>
          <w:lang w:val="en-GB"/>
        </w:rPr>
        <w:t xml:space="preserve">Another problem is ensuring that communication reaches all employees and remains consistent. In huge corporations, the message may become skewed or diluted as it progresses up the hierarchy. Employees in various departments or geographical regions may potentially receive conflicting signals, resulting in confusion or misalignment. Leaders must ensure that their communication is consistent and that critical themes are reinforced throughout several channels, including meetings, emails, newsletters, and internal intranet systems. Regular updates and feedback loops are also necessary to ensure that the message is </w:t>
      </w:r>
      <w:r w:rsidR="46D192E9" w:rsidRPr="6E28459A">
        <w:rPr>
          <w:rFonts w:ascii="Aptos" w:eastAsia="Aptos" w:hAnsi="Aptos" w:cs="Aptos"/>
          <w:lang w:val="en-GB"/>
        </w:rPr>
        <w:t>clear,</w:t>
      </w:r>
      <w:r w:rsidRPr="6E28459A">
        <w:rPr>
          <w:rFonts w:ascii="Aptos" w:eastAsia="Aptos" w:hAnsi="Aptos" w:cs="Aptos"/>
          <w:lang w:val="en-GB"/>
        </w:rPr>
        <w:t xml:space="preserve"> and that staff remain informed throughout the process.</w:t>
      </w:r>
    </w:p>
    <w:p w14:paraId="59747EA3" w14:textId="74FD6B3A" w:rsidR="42B60211" w:rsidRDefault="4D2161CA" w:rsidP="002E1EF5">
      <w:pPr>
        <w:spacing w:before="240" w:after="240" w:line="360" w:lineRule="auto"/>
      </w:pPr>
      <w:r w:rsidRPr="6E28459A">
        <w:rPr>
          <w:rFonts w:ascii="Aptos" w:eastAsia="Aptos" w:hAnsi="Aptos" w:cs="Aptos"/>
          <w:lang w:val="en-GB"/>
        </w:rPr>
        <w:t xml:space="preserve">Leaders must also adjust their communications to meet the demands of various staff groups. For example, frontline employees may demand more precise and practical knowledge on how the change will </w:t>
      </w:r>
      <w:r w:rsidR="002E1EF5" w:rsidRPr="6E28459A">
        <w:rPr>
          <w:rFonts w:ascii="Aptos" w:eastAsia="Aptos" w:hAnsi="Aptos" w:cs="Aptos"/>
          <w:lang w:val="en-GB"/>
        </w:rPr>
        <w:t>affect</w:t>
      </w:r>
      <w:r w:rsidRPr="6E28459A">
        <w:rPr>
          <w:rFonts w:ascii="Aptos" w:eastAsia="Aptos" w:hAnsi="Aptos" w:cs="Aptos"/>
          <w:lang w:val="en-GB"/>
        </w:rPr>
        <w:t xml:space="preserve"> their daily tasks, but top leaders may require strategic insights into the initiative's long-term vision. Failure to address the varied problems of diverse groups can lead to frustration and disengagement. Leaders should adopt a tailored approach to communication and employ a range of strategies to ensure that all stakeholders are properly informed and engaged</w:t>
      </w:r>
      <w:r w:rsidR="00DD0643">
        <w:rPr>
          <w:rFonts w:ascii="Aptos" w:eastAsia="Aptos" w:hAnsi="Aptos" w:cs="Aptos"/>
          <w:lang w:val="en-GB"/>
        </w:rPr>
        <w:t xml:space="preserve"> (Kotter, </w:t>
      </w:r>
      <w:r w:rsidR="00227135">
        <w:rPr>
          <w:rFonts w:ascii="Aptos" w:eastAsia="Aptos" w:hAnsi="Aptos" w:cs="Aptos"/>
          <w:lang w:val="en-GB"/>
        </w:rPr>
        <w:t>1996).</w:t>
      </w:r>
    </w:p>
    <w:p w14:paraId="50FFEF84" w14:textId="62363495" w:rsidR="196BC8F5" w:rsidRDefault="196BC8F5" w:rsidP="2474890E">
      <w:pPr>
        <w:spacing w:before="240" w:after="240" w:line="360" w:lineRule="auto"/>
        <w:rPr>
          <w:rFonts w:ascii="Aptos" w:eastAsia="Aptos" w:hAnsi="Aptos" w:cs="Aptos"/>
          <w:lang w:val="en-GB"/>
        </w:rPr>
      </w:pPr>
      <w:r w:rsidRPr="6E28459A">
        <w:rPr>
          <w:rFonts w:ascii="Aptos" w:eastAsia="Aptos" w:hAnsi="Aptos" w:cs="Aptos"/>
          <w:lang w:val="en-GB"/>
        </w:rPr>
        <w:t xml:space="preserve">The transition of Nokia in the late 2000s serves as an example of leadership throughout </w:t>
      </w:r>
      <w:r w:rsidR="611D1B7A" w:rsidRPr="6E28459A">
        <w:rPr>
          <w:rFonts w:ascii="Aptos" w:eastAsia="Aptos" w:hAnsi="Aptos" w:cs="Aptos"/>
          <w:lang w:val="en-GB"/>
        </w:rPr>
        <w:t>organisational</w:t>
      </w:r>
      <w:r w:rsidRPr="6E28459A">
        <w:rPr>
          <w:rFonts w:ascii="Aptos" w:eastAsia="Aptos" w:hAnsi="Aptos" w:cs="Aptos"/>
          <w:lang w:val="en-GB"/>
        </w:rPr>
        <w:t xml:space="preserve"> change. Nokia, once the dominating player in the mobile phone business, struggled to keep up with the rise of smartphones and touchscreen technology. Nokia, led by CEO Stephen Elop, made the brave choice to leave its own operating system, Symbian, in </w:t>
      </w:r>
      <w:r w:rsidR="002E1EF5" w:rsidRPr="6E28459A">
        <w:rPr>
          <w:rFonts w:ascii="Aptos" w:eastAsia="Aptos" w:hAnsi="Aptos" w:cs="Aptos"/>
          <w:lang w:val="en-GB"/>
        </w:rPr>
        <w:t>favour</w:t>
      </w:r>
      <w:r w:rsidRPr="6E28459A">
        <w:rPr>
          <w:rFonts w:ascii="Aptos" w:eastAsia="Aptos" w:hAnsi="Aptos" w:cs="Aptos"/>
          <w:lang w:val="en-GB"/>
        </w:rPr>
        <w:t xml:space="preserve"> of Microsoft's Windows Phone platform.</w:t>
      </w:r>
    </w:p>
    <w:p w14:paraId="4625EB14" w14:textId="6FFA98D6" w:rsidR="196BC8F5" w:rsidRDefault="196BC8F5" w:rsidP="002E1EF5">
      <w:pPr>
        <w:spacing w:before="240" w:after="240" w:line="360" w:lineRule="auto"/>
      </w:pPr>
      <w:r w:rsidRPr="6E28459A">
        <w:rPr>
          <w:rFonts w:ascii="Aptos" w:eastAsia="Aptos" w:hAnsi="Aptos" w:cs="Aptos"/>
          <w:lang w:val="en-GB"/>
        </w:rPr>
        <w:t xml:space="preserve">Elop's tenure was </w:t>
      </w:r>
      <w:r w:rsidR="00227135">
        <w:rPr>
          <w:rFonts w:ascii="Aptos" w:eastAsia="Aptos" w:hAnsi="Aptos" w:cs="Aptos"/>
          <w:lang w:val="en-GB"/>
        </w:rPr>
        <w:t>characterised</w:t>
      </w:r>
      <w:r w:rsidRPr="6E28459A">
        <w:rPr>
          <w:rFonts w:ascii="Aptos" w:eastAsia="Aptos" w:hAnsi="Aptos" w:cs="Aptos"/>
          <w:lang w:val="en-GB"/>
        </w:rPr>
        <w:t xml:space="preserve"> by both successes and challenges. On the one hand, his choice to change Nokia's approach was vital to adapt to shifting market conditions. However, the </w:t>
      </w:r>
      <w:bookmarkStart w:id="0" w:name="_Int_thtUVoCO"/>
      <w:r w:rsidRPr="6E28459A">
        <w:rPr>
          <w:rFonts w:ascii="Aptos" w:eastAsia="Aptos" w:hAnsi="Aptos" w:cs="Aptos"/>
          <w:lang w:val="en-GB"/>
        </w:rPr>
        <w:t>manner in which</w:t>
      </w:r>
      <w:bookmarkEnd w:id="0"/>
      <w:r w:rsidRPr="6E28459A">
        <w:rPr>
          <w:rFonts w:ascii="Aptos" w:eastAsia="Aptos" w:hAnsi="Aptos" w:cs="Aptos"/>
          <w:lang w:val="en-GB"/>
        </w:rPr>
        <w:t xml:space="preserve"> the change was communicated was problematic. Elop's infamous "burning platform" email, in which he compared Nokia's condition to a sinking oil rig, was widely condemned as unnecessarily harsh and discouraging. Many employees believed that the memo demonstrated a lack of confidence in their talents and produced a sense of dread.</w:t>
      </w:r>
    </w:p>
    <w:p w14:paraId="05FD1BB3" w14:textId="22C471B6" w:rsidR="196BC8F5" w:rsidRDefault="196BC8F5" w:rsidP="002E1EF5">
      <w:pPr>
        <w:spacing w:before="240" w:after="240" w:line="360" w:lineRule="auto"/>
      </w:pPr>
      <w:r w:rsidRPr="6E28459A">
        <w:rPr>
          <w:rFonts w:ascii="Aptos" w:eastAsia="Aptos" w:hAnsi="Aptos" w:cs="Aptos"/>
          <w:lang w:val="en-GB"/>
        </w:rPr>
        <w:t xml:space="preserve">Nokia's leadership issues demonstrate the complexities of leading change, especially in terms of communication, staff morale, and resistance management. While Elop's strategic decision was eventually required, how the change was communicated to employees had a substantial impact on the company's difficulties during the transition. The story </w:t>
      </w:r>
      <w:r w:rsidR="00FB68F8">
        <w:rPr>
          <w:rFonts w:ascii="Aptos" w:eastAsia="Aptos" w:hAnsi="Aptos" w:cs="Aptos"/>
          <w:lang w:val="en-GB"/>
        </w:rPr>
        <w:t>emphasises</w:t>
      </w:r>
      <w:r w:rsidRPr="6E28459A">
        <w:rPr>
          <w:rFonts w:ascii="Aptos" w:eastAsia="Aptos" w:hAnsi="Aptos" w:cs="Aptos"/>
          <w:lang w:val="en-GB"/>
        </w:rPr>
        <w:t xml:space="preserve"> the significance of emotional intelligence, transparency, and empathy in facilitating successful change.</w:t>
      </w:r>
    </w:p>
    <w:p w14:paraId="2D4D0428" w14:textId="77777777" w:rsidR="00F32DA7" w:rsidRDefault="4DC1AC2D" w:rsidP="002E1EF5">
      <w:pPr>
        <w:spacing w:before="240" w:after="240" w:line="360" w:lineRule="auto"/>
        <w:rPr>
          <w:rFonts w:ascii="Aptos" w:eastAsia="Aptos" w:hAnsi="Aptos" w:cs="Aptos"/>
          <w:lang w:val="en-GB"/>
        </w:rPr>
      </w:pPr>
      <w:r w:rsidRPr="6E28459A">
        <w:rPr>
          <w:rFonts w:ascii="Aptos" w:eastAsia="Aptos" w:hAnsi="Aptos" w:cs="Aptos"/>
          <w:lang w:val="en-GB"/>
        </w:rPr>
        <w:t xml:space="preserve">The leadership position during periods of </w:t>
      </w:r>
      <w:r w:rsidR="611D1B7A" w:rsidRPr="6E28459A">
        <w:rPr>
          <w:rFonts w:ascii="Aptos" w:eastAsia="Aptos" w:hAnsi="Aptos" w:cs="Aptos"/>
          <w:lang w:val="en-GB"/>
        </w:rPr>
        <w:t>organisational</w:t>
      </w:r>
      <w:r w:rsidRPr="6E28459A">
        <w:rPr>
          <w:rFonts w:ascii="Aptos" w:eastAsia="Aptos" w:hAnsi="Aptos" w:cs="Aptos"/>
          <w:lang w:val="en-GB"/>
        </w:rPr>
        <w:t xml:space="preserve"> transition is broad and complicated. Leaders must deal with a range of issues, including managing resistance, regaining trust, having a clear vision and plan, and increasing employee engagement. Strategic decision-making, emotional intelligence, effective communication, and interpersonal skills are all required for successful leadership during a time of change</w:t>
      </w:r>
      <w:r w:rsidR="008A0E7F">
        <w:rPr>
          <w:rFonts w:ascii="Aptos" w:eastAsia="Aptos" w:hAnsi="Aptos" w:cs="Aptos"/>
          <w:lang w:val="en-GB"/>
        </w:rPr>
        <w:t xml:space="preserve"> (Se</w:t>
      </w:r>
      <w:r w:rsidR="008F1B14">
        <w:rPr>
          <w:rFonts w:ascii="Aptos" w:eastAsia="Aptos" w:hAnsi="Aptos" w:cs="Aptos"/>
          <w:lang w:val="en-GB"/>
        </w:rPr>
        <w:t>nior and Fle</w:t>
      </w:r>
      <w:r w:rsidR="000E5007">
        <w:rPr>
          <w:rFonts w:ascii="Aptos" w:eastAsia="Aptos" w:hAnsi="Aptos" w:cs="Aptos"/>
          <w:lang w:val="en-GB"/>
        </w:rPr>
        <w:t>ming, 2006).</w:t>
      </w:r>
      <w:r w:rsidR="00737371">
        <w:rPr>
          <w:rFonts w:ascii="Aptos" w:eastAsia="Aptos" w:hAnsi="Aptos" w:cs="Aptos"/>
          <w:lang w:val="en-GB"/>
        </w:rPr>
        <w:t xml:space="preserve"> </w:t>
      </w:r>
    </w:p>
    <w:p w14:paraId="1C9FDB7E" w14:textId="1A6ED7D8" w:rsidR="095D122B" w:rsidRDefault="4DC1AC2D" w:rsidP="002E1EF5">
      <w:pPr>
        <w:spacing w:before="240" w:after="240" w:line="360" w:lineRule="auto"/>
        <w:rPr>
          <w:rFonts w:ascii="Aptos" w:eastAsia="Aptos" w:hAnsi="Aptos" w:cs="Aptos"/>
          <w:lang w:val="en-GB"/>
        </w:rPr>
      </w:pPr>
      <w:r w:rsidRPr="6E28459A">
        <w:rPr>
          <w:rFonts w:ascii="Aptos" w:eastAsia="Aptos" w:hAnsi="Aptos" w:cs="Aptos"/>
          <w:lang w:val="en-GB"/>
        </w:rPr>
        <w:t xml:space="preserve"> Theories such as emotional intelligence (Goleman, 1998), transformational leadership (Bass, 1985), and strategic leadership (Boal </w:t>
      </w:r>
      <w:r w:rsidR="761AC80E" w:rsidRPr="5EC53260">
        <w:rPr>
          <w:rFonts w:ascii="Aptos" w:eastAsia="Aptos" w:hAnsi="Aptos" w:cs="Aptos"/>
          <w:lang w:val="en-GB"/>
        </w:rPr>
        <w:t>and</w:t>
      </w:r>
      <w:r w:rsidRPr="6E28459A">
        <w:rPr>
          <w:rFonts w:ascii="Aptos" w:eastAsia="Aptos" w:hAnsi="Aptos" w:cs="Aptos"/>
          <w:lang w:val="en-GB"/>
        </w:rPr>
        <w:t xml:space="preserve"> Hooijberg, 2001) provide useful insights into the difficulties of leadership during change. Real-world case studies, such as Nokia's strategic shift, highlight the vital role of leadership in achieving effective organisational transformation. Finally, the success of </w:t>
      </w:r>
      <w:r w:rsidR="611D1B7A" w:rsidRPr="6E28459A">
        <w:rPr>
          <w:rFonts w:ascii="Aptos" w:eastAsia="Aptos" w:hAnsi="Aptos" w:cs="Aptos"/>
          <w:lang w:val="en-GB"/>
        </w:rPr>
        <w:t>organisational</w:t>
      </w:r>
      <w:r w:rsidRPr="6E28459A">
        <w:rPr>
          <w:rFonts w:ascii="Aptos" w:eastAsia="Aptos" w:hAnsi="Aptos" w:cs="Aptos"/>
          <w:lang w:val="en-GB"/>
        </w:rPr>
        <w:t xml:space="preserve"> transformation is determined not only by the vision and plan, but also by the leader's capacity to assist employees through the emotional, psychological, and interpersonal obstacles that arise during periods of uncertainty</w:t>
      </w:r>
      <w:r w:rsidR="00050076">
        <w:rPr>
          <w:rFonts w:ascii="Aptos" w:eastAsia="Aptos" w:hAnsi="Aptos" w:cs="Aptos"/>
          <w:lang w:val="en-GB"/>
        </w:rPr>
        <w:t xml:space="preserve"> (Bass, </w:t>
      </w:r>
      <w:r w:rsidR="005E499D">
        <w:rPr>
          <w:rFonts w:ascii="Aptos" w:eastAsia="Aptos" w:hAnsi="Aptos" w:cs="Aptos"/>
          <w:lang w:val="en-GB"/>
        </w:rPr>
        <w:t>1985).</w:t>
      </w:r>
    </w:p>
    <w:p w14:paraId="08767CCE" w14:textId="04405FFA" w:rsidR="42B60211" w:rsidRDefault="42B60211" w:rsidP="42B60211">
      <w:pPr>
        <w:spacing w:line="360" w:lineRule="auto"/>
        <w:rPr>
          <w:color w:val="FF0000"/>
          <w:lang w:val="en-GB"/>
        </w:rPr>
      </w:pPr>
    </w:p>
    <w:p w14:paraId="42CABBA7" w14:textId="09330A73" w:rsidR="42B60211" w:rsidRDefault="42B60211" w:rsidP="42B60211">
      <w:pPr>
        <w:spacing w:line="360" w:lineRule="auto"/>
        <w:rPr>
          <w:lang w:val="en-GB"/>
        </w:rPr>
      </w:pPr>
    </w:p>
    <w:p w14:paraId="3EE5E3E8" w14:textId="77777777" w:rsidR="0093489C" w:rsidRDefault="0093489C" w:rsidP="0B78CF57">
      <w:pPr>
        <w:spacing w:line="360" w:lineRule="auto"/>
        <w:rPr>
          <w:lang w:val="en-GB"/>
        </w:rPr>
      </w:pPr>
    </w:p>
    <w:p w14:paraId="06DC416F" w14:textId="77777777" w:rsidR="0093489C" w:rsidRDefault="0093489C" w:rsidP="0B78CF57">
      <w:pPr>
        <w:spacing w:line="360" w:lineRule="auto"/>
        <w:rPr>
          <w:lang w:val="en-GB"/>
        </w:rPr>
      </w:pPr>
    </w:p>
    <w:p w14:paraId="4F12607D" w14:textId="77777777" w:rsidR="0093489C" w:rsidRDefault="0093489C" w:rsidP="0B78CF57">
      <w:pPr>
        <w:spacing w:line="360" w:lineRule="auto"/>
        <w:rPr>
          <w:lang w:val="en-GB"/>
        </w:rPr>
      </w:pPr>
    </w:p>
    <w:p w14:paraId="17A46055" w14:textId="3DCBF254" w:rsidR="162A11E5" w:rsidRDefault="162A11E5" w:rsidP="162A11E5">
      <w:pPr>
        <w:spacing w:line="360" w:lineRule="auto"/>
        <w:rPr>
          <w:lang w:val="en-GB"/>
        </w:rPr>
      </w:pPr>
    </w:p>
    <w:p w14:paraId="7F576AF8" w14:textId="3971D54D" w:rsidR="3C1D07DC" w:rsidRDefault="006856E9" w:rsidP="162A11E5">
      <w:pPr>
        <w:spacing w:line="360" w:lineRule="auto"/>
        <w:rPr>
          <w:lang w:val="en-GB"/>
        </w:rPr>
      </w:pPr>
      <w:r w:rsidRPr="162A11E5">
        <w:rPr>
          <w:lang w:val="en-GB"/>
        </w:rPr>
        <w:t>Reference</w:t>
      </w:r>
    </w:p>
    <w:p w14:paraId="50E7B907" w14:textId="2BE2B587" w:rsidR="1DCB1AB9" w:rsidRDefault="1DCB1AB9" w:rsidP="7C73C182">
      <w:pPr>
        <w:spacing w:before="240" w:after="240" w:line="360" w:lineRule="auto"/>
        <w:rPr>
          <w:rFonts w:asciiTheme="majorHAnsi" w:eastAsiaTheme="majorEastAsia" w:hAnsiTheme="majorHAnsi" w:cstheme="majorBidi"/>
          <w:color w:val="000000" w:themeColor="text1"/>
          <w:lang w:val="en-GB"/>
        </w:rPr>
      </w:pPr>
      <w:r w:rsidRPr="7C73C182">
        <w:rPr>
          <w:rFonts w:asciiTheme="majorHAnsi" w:eastAsiaTheme="majorEastAsia" w:hAnsiTheme="majorHAnsi" w:cstheme="majorBidi"/>
          <w:color w:val="000000" w:themeColor="text1"/>
          <w:lang w:val="en-GB"/>
        </w:rPr>
        <w:t xml:space="preserve">Alvesson, M. and Sveningsson, S. (2016) </w:t>
      </w:r>
      <w:r w:rsidRPr="7C73C182">
        <w:rPr>
          <w:rFonts w:asciiTheme="majorHAnsi" w:eastAsiaTheme="majorEastAsia" w:hAnsiTheme="majorHAnsi" w:cstheme="majorBidi"/>
          <w:i/>
          <w:iCs/>
          <w:color w:val="000000" w:themeColor="text1"/>
          <w:lang w:val="en-GB"/>
        </w:rPr>
        <w:t xml:space="preserve">Changing </w:t>
      </w:r>
      <w:r w:rsidR="611D1B7A" w:rsidRPr="7C73C182">
        <w:rPr>
          <w:rFonts w:asciiTheme="majorHAnsi" w:eastAsiaTheme="majorEastAsia" w:hAnsiTheme="majorHAnsi" w:cstheme="majorBidi"/>
          <w:i/>
          <w:iCs/>
          <w:color w:val="000000" w:themeColor="text1"/>
          <w:lang w:val="en-GB"/>
        </w:rPr>
        <w:t>Organisational</w:t>
      </w:r>
      <w:r w:rsidRPr="7C73C182">
        <w:rPr>
          <w:rFonts w:asciiTheme="majorHAnsi" w:eastAsiaTheme="majorEastAsia" w:hAnsiTheme="majorHAnsi" w:cstheme="majorBidi"/>
          <w:i/>
          <w:iCs/>
          <w:color w:val="000000" w:themeColor="text1"/>
          <w:lang w:val="en-GB"/>
        </w:rPr>
        <w:t xml:space="preserve"> Culture: Cultural Change Work in Progress</w:t>
      </w:r>
      <w:r w:rsidRPr="7C73C182">
        <w:rPr>
          <w:rFonts w:asciiTheme="majorHAnsi" w:eastAsiaTheme="majorEastAsia" w:hAnsiTheme="majorHAnsi" w:cstheme="majorBidi"/>
          <w:color w:val="000000" w:themeColor="text1"/>
          <w:lang w:val="en-GB"/>
        </w:rPr>
        <w:t>. (2nd ed.) Abingdon, Oxon: Routledge.</w:t>
      </w:r>
    </w:p>
    <w:p w14:paraId="261B7A58" w14:textId="4D99E49D" w:rsidR="433054B5" w:rsidRDefault="433054B5" w:rsidP="7C73C182">
      <w:pPr>
        <w:spacing w:before="240" w:after="240" w:line="360" w:lineRule="auto"/>
      </w:pPr>
      <w:r w:rsidRPr="7C73C182">
        <w:rPr>
          <w:rFonts w:ascii="Aptos Display" w:eastAsia="Aptos Display" w:hAnsi="Aptos Display" w:cs="Aptos Display"/>
          <w:lang w:val="en-GB"/>
        </w:rPr>
        <w:t xml:space="preserve">Bass, B. M. (1985). </w:t>
      </w:r>
      <w:r w:rsidRPr="7C73C182">
        <w:rPr>
          <w:rFonts w:ascii="Aptos Display" w:eastAsia="Aptos Display" w:hAnsi="Aptos Display" w:cs="Aptos Display"/>
          <w:i/>
          <w:iCs/>
          <w:lang w:val="en-GB"/>
        </w:rPr>
        <w:t>Leadership and performance beyond expectations</w:t>
      </w:r>
      <w:r w:rsidRPr="7C73C182">
        <w:rPr>
          <w:rFonts w:ascii="Aptos Display" w:eastAsia="Aptos Display" w:hAnsi="Aptos Display" w:cs="Aptos Display"/>
          <w:lang w:val="en-GB"/>
        </w:rPr>
        <w:t>. Free Press.</w:t>
      </w:r>
    </w:p>
    <w:p w14:paraId="20BBCC79" w14:textId="4BD08A7A" w:rsidR="433054B5" w:rsidRDefault="433054B5" w:rsidP="7C73C182">
      <w:pPr>
        <w:spacing w:before="240" w:after="240" w:line="360" w:lineRule="auto"/>
      </w:pPr>
      <w:r w:rsidRPr="7C73C182">
        <w:rPr>
          <w:rFonts w:ascii="Aptos Display" w:eastAsia="Aptos Display" w:hAnsi="Aptos Display" w:cs="Aptos Display"/>
          <w:lang w:val="en-GB"/>
        </w:rPr>
        <w:t xml:space="preserve">Boal, K. B., </w:t>
      </w:r>
      <w:r w:rsidR="502AD518" w:rsidRPr="7C73C182">
        <w:rPr>
          <w:rFonts w:ascii="Aptos Display" w:eastAsia="Aptos Display" w:hAnsi="Aptos Display" w:cs="Aptos Display"/>
          <w:lang w:val="en-GB"/>
        </w:rPr>
        <w:t>and</w:t>
      </w:r>
      <w:r w:rsidRPr="7C73C182">
        <w:rPr>
          <w:rFonts w:ascii="Aptos Display" w:eastAsia="Aptos Display" w:hAnsi="Aptos Display" w:cs="Aptos Display"/>
          <w:lang w:val="en-GB"/>
        </w:rPr>
        <w:t xml:space="preserve"> Hooijberg, R. (2001). Strategic leadership research: Moving on. </w:t>
      </w:r>
      <w:r w:rsidRPr="7C73C182">
        <w:rPr>
          <w:rFonts w:ascii="Aptos Display" w:eastAsia="Aptos Display" w:hAnsi="Aptos Display" w:cs="Aptos Display"/>
          <w:i/>
          <w:iCs/>
          <w:lang w:val="en-GB"/>
        </w:rPr>
        <w:t>The Leadership Quarterly, 12</w:t>
      </w:r>
      <w:r w:rsidRPr="7C73C182">
        <w:rPr>
          <w:rFonts w:ascii="Aptos Display" w:eastAsia="Aptos Display" w:hAnsi="Aptos Display" w:cs="Aptos Display"/>
          <w:lang w:val="en-GB"/>
        </w:rPr>
        <w:t>(1), 109-136.</w:t>
      </w:r>
    </w:p>
    <w:p w14:paraId="6CE276E8" w14:textId="2400420D" w:rsidR="433054B5" w:rsidRDefault="433054B5" w:rsidP="7C73C182">
      <w:pPr>
        <w:spacing w:before="240" w:after="240" w:line="360" w:lineRule="auto"/>
      </w:pPr>
      <w:r w:rsidRPr="7C73C182">
        <w:rPr>
          <w:rFonts w:ascii="Aptos Display" w:eastAsia="Aptos Display" w:hAnsi="Aptos Display" w:cs="Aptos Display"/>
          <w:lang w:val="en-GB"/>
        </w:rPr>
        <w:t xml:space="preserve">Burns, J. M. (1978). </w:t>
      </w:r>
      <w:r w:rsidRPr="7C73C182">
        <w:rPr>
          <w:rFonts w:ascii="Aptos Display" w:eastAsia="Aptos Display" w:hAnsi="Aptos Display" w:cs="Aptos Display"/>
          <w:i/>
          <w:iCs/>
          <w:lang w:val="en-GB"/>
        </w:rPr>
        <w:t>Leadership</w:t>
      </w:r>
      <w:r w:rsidRPr="7C73C182">
        <w:rPr>
          <w:rFonts w:ascii="Aptos Display" w:eastAsia="Aptos Display" w:hAnsi="Aptos Display" w:cs="Aptos Display"/>
          <w:lang w:val="en-GB"/>
        </w:rPr>
        <w:t>. Harper &amp; Row.</w:t>
      </w:r>
    </w:p>
    <w:p w14:paraId="1F8C47E1" w14:textId="4299CA6F" w:rsidR="3C1D07DC" w:rsidRDefault="3C1D07DC" w:rsidP="0B78CF57">
      <w:pPr>
        <w:spacing w:line="360" w:lineRule="auto"/>
        <w:rPr>
          <w:rFonts w:asciiTheme="majorHAnsi" w:eastAsiaTheme="majorEastAsia" w:hAnsiTheme="majorHAnsi" w:cstheme="majorBidi"/>
          <w:color w:val="000000" w:themeColor="text1"/>
          <w:lang w:val="en-GB"/>
        </w:rPr>
      </w:pPr>
      <w:r w:rsidRPr="0B78CF57">
        <w:rPr>
          <w:rFonts w:asciiTheme="majorHAnsi" w:eastAsiaTheme="majorEastAsia" w:hAnsiTheme="majorHAnsi" w:cstheme="majorBidi"/>
          <w:color w:val="000000" w:themeColor="text1"/>
          <w:lang w:val="en-GB"/>
        </w:rPr>
        <w:t xml:space="preserve">Burnes, B. (2004) </w:t>
      </w:r>
      <w:r w:rsidRPr="0B78CF57">
        <w:rPr>
          <w:rFonts w:asciiTheme="majorHAnsi" w:eastAsiaTheme="majorEastAsia" w:hAnsiTheme="majorHAnsi" w:cstheme="majorBidi"/>
          <w:i/>
          <w:iCs/>
          <w:color w:val="000000" w:themeColor="text1"/>
          <w:lang w:val="en-GB"/>
        </w:rPr>
        <w:t>Managing Change</w:t>
      </w:r>
      <w:r w:rsidRPr="0B78CF57">
        <w:rPr>
          <w:rFonts w:asciiTheme="majorHAnsi" w:eastAsiaTheme="majorEastAsia" w:hAnsiTheme="majorHAnsi" w:cstheme="majorBidi"/>
          <w:color w:val="000000" w:themeColor="text1"/>
          <w:lang w:val="en-GB"/>
        </w:rPr>
        <w:t xml:space="preserve">. (4th ed) Harlow: Pearson Education Limited. </w:t>
      </w:r>
    </w:p>
    <w:p w14:paraId="5CB70ED2" w14:textId="0D20375C" w:rsidR="4D6FFAF8" w:rsidRDefault="4D6FFAF8" w:rsidP="7C73C182">
      <w:pPr>
        <w:spacing w:before="240" w:after="240" w:line="360" w:lineRule="auto"/>
        <w:rPr>
          <w:rFonts w:asciiTheme="majorHAnsi" w:eastAsiaTheme="majorEastAsia" w:hAnsiTheme="majorHAnsi" w:cstheme="majorBidi"/>
          <w:color w:val="000000" w:themeColor="text1"/>
          <w:lang w:val="en-GB"/>
        </w:rPr>
      </w:pPr>
      <w:r w:rsidRPr="7C73C182">
        <w:rPr>
          <w:rFonts w:asciiTheme="majorHAnsi" w:eastAsiaTheme="majorEastAsia" w:hAnsiTheme="majorHAnsi" w:cstheme="majorBidi"/>
          <w:color w:val="000000" w:themeColor="text1"/>
          <w:lang w:val="en-GB"/>
        </w:rPr>
        <w:t>Butler, L. and Leach, N. (2011) A</w:t>
      </w:r>
      <w:r w:rsidRPr="7C73C182">
        <w:rPr>
          <w:rFonts w:asciiTheme="majorHAnsi" w:eastAsiaTheme="majorEastAsia" w:hAnsiTheme="majorHAnsi" w:cstheme="majorBidi"/>
          <w:i/>
          <w:iCs/>
          <w:color w:val="000000" w:themeColor="text1"/>
          <w:lang w:val="en-GB"/>
        </w:rPr>
        <w:t>ction Learning for Change: A Practical Guide for Managers</w:t>
      </w:r>
      <w:r w:rsidRPr="7C73C182">
        <w:rPr>
          <w:rFonts w:asciiTheme="majorHAnsi" w:eastAsiaTheme="majorEastAsia" w:hAnsiTheme="majorHAnsi" w:cstheme="majorBidi"/>
          <w:color w:val="000000" w:themeColor="text1"/>
          <w:lang w:val="en-GB"/>
        </w:rPr>
        <w:t>. Cirencester: Management Books 2000 Ltd.</w:t>
      </w:r>
    </w:p>
    <w:p w14:paraId="32DC4EF2" w14:textId="3D1EE478" w:rsidR="3C1D07DC" w:rsidRDefault="3C1D07DC" w:rsidP="6E28459A">
      <w:pPr>
        <w:spacing w:line="360" w:lineRule="auto"/>
        <w:rPr>
          <w:rFonts w:asciiTheme="majorHAnsi" w:eastAsiaTheme="majorEastAsia" w:hAnsiTheme="majorHAnsi" w:cstheme="majorBidi"/>
          <w:color w:val="000000" w:themeColor="text1"/>
          <w:lang w:val="en-GB"/>
        </w:rPr>
      </w:pPr>
      <w:r w:rsidRPr="6E28459A">
        <w:rPr>
          <w:rFonts w:asciiTheme="majorHAnsi" w:eastAsiaTheme="majorEastAsia" w:hAnsiTheme="majorHAnsi" w:cstheme="majorBidi"/>
          <w:color w:val="000000" w:themeColor="text1"/>
          <w:lang w:val="en-GB"/>
        </w:rPr>
        <w:t xml:space="preserve">Cameron, E. and Green, M. (2012) </w:t>
      </w:r>
      <w:r w:rsidRPr="6E28459A">
        <w:rPr>
          <w:rFonts w:asciiTheme="majorHAnsi" w:eastAsiaTheme="majorEastAsia" w:hAnsiTheme="majorHAnsi" w:cstheme="majorBidi"/>
          <w:i/>
          <w:iCs/>
          <w:color w:val="000000" w:themeColor="text1"/>
          <w:lang w:val="en-GB"/>
        </w:rPr>
        <w:t xml:space="preserve">Making Sense of Change Management: A Complete Guide to the Models Tools and Techniques of </w:t>
      </w:r>
      <w:r w:rsidR="611D1B7A" w:rsidRPr="6E28459A">
        <w:rPr>
          <w:rFonts w:asciiTheme="majorHAnsi" w:eastAsiaTheme="majorEastAsia" w:hAnsiTheme="majorHAnsi" w:cstheme="majorBidi"/>
          <w:i/>
          <w:iCs/>
          <w:color w:val="000000" w:themeColor="text1"/>
          <w:lang w:val="en-GB"/>
        </w:rPr>
        <w:t>Organisational</w:t>
      </w:r>
      <w:r w:rsidRPr="6E28459A">
        <w:rPr>
          <w:rFonts w:asciiTheme="majorHAnsi" w:eastAsiaTheme="majorEastAsia" w:hAnsiTheme="majorHAnsi" w:cstheme="majorBidi"/>
          <w:i/>
          <w:iCs/>
          <w:color w:val="000000" w:themeColor="text1"/>
          <w:lang w:val="en-GB"/>
        </w:rPr>
        <w:t xml:space="preserve"> Change</w:t>
      </w:r>
      <w:r w:rsidRPr="6E28459A">
        <w:rPr>
          <w:rFonts w:asciiTheme="majorHAnsi" w:eastAsiaTheme="majorEastAsia" w:hAnsiTheme="majorHAnsi" w:cstheme="majorBidi"/>
          <w:color w:val="000000" w:themeColor="text1"/>
          <w:lang w:val="en-GB"/>
        </w:rPr>
        <w:t xml:space="preserve">. (3rd ed) London: Kogan Page. </w:t>
      </w:r>
    </w:p>
    <w:p w14:paraId="6F6CEB75" w14:textId="0B55FC39" w:rsidR="4B9054A9" w:rsidRDefault="4B9054A9" w:rsidP="42B60211">
      <w:pPr>
        <w:spacing w:line="360" w:lineRule="auto"/>
      </w:pPr>
      <w:r w:rsidRPr="42B60211">
        <w:rPr>
          <w:rFonts w:ascii="Aptos Display" w:eastAsia="Aptos Display" w:hAnsi="Aptos Display" w:cs="Aptos Display"/>
          <w:lang w:val="en-GB"/>
        </w:rPr>
        <w:t xml:space="preserve">Goleman, D. (1998). </w:t>
      </w:r>
      <w:r w:rsidRPr="42B60211">
        <w:rPr>
          <w:rFonts w:ascii="Aptos Display" w:eastAsia="Aptos Display" w:hAnsi="Aptos Display" w:cs="Aptos Display"/>
          <w:i/>
          <w:iCs/>
          <w:lang w:val="en-GB"/>
        </w:rPr>
        <w:t>Working with emotional intelligence</w:t>
      </w:r>
      <w:r w:rsidRPr="42B60211">
        <w:rPr>
          <w:rFonts w:ascii="Aptos Display" w:eastAsia="Aptos Display" w:hAnsi="Aptos Display" w:cs="Aptos Display"/>
          <w:lang w:val="en-GB"/>
        </w:rPr>
        <w:t>. Bantam Books.</w:t>
      </w:r>
    </w:p>
    <w:p w14:paraId="79D61095" w14:textId="6E24DAFF" w:rsidR="0FC3E47D" w:rsidRDefault="0FC3E47D" w:rsidP="7C73C182">
      <w:pPr>
        <w:spacing w:before="240" w:after="240" w:line="360" w:lineRule="auto"/>
        <w:rPr>
          <w:rFonts w:asciiTheme="majorHAnsi" w:eastAsiaTheme="majorEastAsia" w:hAnsiTheme="majorHAnsi" w:cstheme="majorBidi"/>
          <w:color w:val="000000" w:themeColor="text1"/>
          <w:lang w:val="en-GB"/>
        </w:rPr>
      </w:pPr>
      <w:r w:rsidRPr="7C73C182">
        <w:rPr>
          <w:rFonts w:asciiTheme="majorHAnsi" w:eastAsiaTheme="majorEastAsia" w:hAnsiTheme="majorHAnsi" w:cstheme="majorBidi"/>
          <w:color w:val="000000" w:themeColor="text1"/>
          <w:lang w:val="en-GB"/>
        </w:rPr>
        <w:t>Guirdham, M. (2005)</w:t>
      </w:r>
      <w:r w:rsidRPr="7C73C182">
        <w:rPr>
          <w:rFonts w:asciiTheme="majorHAnsi" w:eastAsiaTheme="majorEastAsia" w:hAnsiTheme="majorHAnsi" w:cstheme="majorBidi"/>
          <w:i/>
          <w:iCs/>
          <w:color w:val="000000" w:themeColor="text1"/>
          <w:lang w:val="en-GB"/>
        </w:rPr>
        <w:t xml:space="preserve"> Communicating Across Cultures at Work</w:t>
      </w:r>
      <w:r w:rsidRPr="7C73C182">
        <w:rPr>
          <w:rFonts w:asciiTheme="majorHAnsi" w:eastAsiaTheme="majorEastAsia" w:hAnsiTheme="majorHAnsi" w:cstheme="majorBidi"/>
          <w:color w:val="000000" w:themeColor="text1"/>
          <w:lang w:val="en-GB"/>
        </w:rPr>
        <w:t>. (2nd ed) Basingstoke: Palgrave Macmillan.</w:t>
      </w:r>
    </w:p>
    <w:p w14:paraId="046DC3B2" w14:textId="13F42B9B" w:rsidR="0FC3E47D" w:rsidRDefault="48036CE7" w:rsidP="7C73C182">
      <w:pPr>
        <w:spacing w:before="240" w:after="240" w:line="360" w:lineRule="auto"/>
      </w:pPr>
      <w:r w:rsidRPr="7C73C182">
        <w:rPr>
          <w:rFonts w:ascii="Aptos Display" w:eastAsia="Aptos Display" w:hAnsi="Aptos Display" w:cs="Aptos Display"/>
          <w:lang w:val="en-GB"/>
        </w:rPr>
        <w:t xml:space="preserve">Kotter, J. P. (1996). </w:t>
      </w:r>
      <w:r w:rsidRPr="7C73C182">
        <w:rPr>
          <w:rFonts w:ascii="Aptos Display" w:eastAsia="Aptos Display" w:hAnsi="Aptos Display" w:cs="Aptos Display"/>
          <w:i/>
          <w:iCs/>
          <w:lang w:val="en-GB"/>
        </w:rPr>
        <w:t>Leading change</w:t>
      </w:r>
      <w:r w:rsidRPr="7C73C182">
        <w:rPr>
          <w:rFonts w:ascii="Aptos Display" w:eastAsia="Aptos Display" w:hAnsi="Aptos Display" w:cs="Aptos Display"/>
          <w:lang w:val="en-GB"/>
        </w:rPr>
        <w:t>. Harvard Business Press.</w:t>
      </w:r>
    </w:p>
    <w:p w14:paraId="5541D977" w14:textId="7705A4D6" w:rsidR="0FC3E47D" w:rsidRDefault="48036CE7" w:rsidP="7C73C182">
      <w:pPr>
        <w:spacing w:before="240" w:after="240" w:line="360" w:lineRule="auto"/>
      </w:pPr>
      <w:r w:rsidRPr="7C73C182">
        <w:rPr>
          <w:rFonts w:ascii="Aptos Display" w:eastAsia="Aptos Display" w:hAnsi="Aptos Display" w:cs="Aptos Display"/>
          <w:lang w:val="en-GB"/>
        </w:rPr>
        <w:t xml:space="preserve">Kotter, J. P., </w:t>
      </w:r>
      <w:r w:rsidR="7147B506" w:rsidRPr="7C73C182">
        <w:rPr>
          <w:rFonts w:ascii="Aptos Display" w:eastAsia="Aptos Display" w:hAnsi="Aptos Display" w:cs="Aptos Display"/>
          <w:lang w:val="en-GB"/>
        </w:rPr>
        <w:t>and</w:t>
      </w:r>
      <w:r w:rsidRPr="7C73C182">
        <w:rPr>
          <w:rFonts w:ascii="Aptos Display" w:eastAsia="Aptos Display" w:hAnsi="Aptos Display" w:cs="Aptos Display"/>
          <w:lang w:val="en-GB"/>
        </w:rPr>
        <w:t xml:space="preserve"> Schlesinger, L. A. (2008). Choosing strategies for change. </w:t>
      </w:r>
      <w:r w:rsidRPr="7C73C182">
        <w:rPr>
          <w:rFonts w:ascii="Aptos Display" w:eastAsia="Aptos Display" w:hAnsi="Aptos Display" w:cs="Aptos Display"/>
          <w:i/>
          <w:iCs/>
          <w:lang w:val="en-GB"/>
        </w:rPr>
        <w:t>Harvard Business Review, 86</w:t>
      </w:r>
      <w:r w:rsidRPr="7C73C182">
        <w:rPr>
          <w:rFonts w:ascii="Aptos Display" w:eastAsia="Aptos Display" w:hAnsi="Aptos Display" w:cs="Aptos Display"/>
          <w:lang w:val="en-GB"/>
        </w:rPr>
        <w:t>(7), 130-139.</w:t>
      </w:r>
    </w:p>
    <w:p w14:paraId="3D161684" w14:textId="2967CA5F" w:rsidR="0FC3E47D" w:rsidRDefault="48036CE7" w:rsidP="7C73C182">
      <w:pPr>
        <w:spacing w:before="240" w:after="240" w:line="360" w:lineRule="auto"/>
      </w:pPr>
      <w:r w:rsidRPr="7C73C182">
        <w:rPr>
          <w:rFonts w:ascii="Aptos Display" w:eastAsia="Aptos Display" w:hAnsi="Aptos Display" w:cs="Aptos Display"/>
          <w:lang w:val="en-GB"/>
        </w:rPr>
        <w:t xml:space="preserve">Kubler-Ross, E. (1969). </w:t>
      </w:r>
      <w:r w:rsidRPr="7C73C182">
        <w:rPr>
          <w:rFonts w:ascii="Aptos Display" w:eastAsia="Aptos Display" w:hAnsi="Aptos Display" w:cs="Aptos Display"/>
          <w:i/>
          <w:iCs/>
          <w:lang w:val="en-GB"/>
        </w:rPr>
        <w:t>On death and dying</w:t>
      </w:r>
      <w:r w:rsidRPr="7C73C182">
        <w:rPr>
          <w:rFonts w:ascii="Aptos Display" w:eastAsia="Aptos Display" w:hAnsi="Aptos Display" w:cs="Aptos Display"/>
          <w:lang w:val="en-GB"/>
        </w:rPr>
        <w:t>. Macmillan.</w:t>
      </w:r>
    </w:p>
    <w:p w14:paraId="77644926" w14:textId="492575C2" w:rsidR="0FC3E47D" w:rsidRDefault="0FC3E47D" w:rsidP="7C73C182">
      <w:pPr>
        <w:spacing w:before="240" w:after="240" w:line="360" w:lineRule="auto"/>
        <w:rPr>
          <w:rFonts w:asciiTheme="majorHAnsi" w:eastAsiaTheme="majorEastAsia" w:hAnsiTheme="majorHAnsi" w:cstheme="majorBidi"/>
          <w:color w:val="000000" w:themeColor="text1"/>
          <w:lang w:val="en-GB"/>
        </w:rPr>
      </w:pPr>
      <w:r w:rsidRPr="7C73C182">
        <w:rPr>
          <w:rFonts w:asciiTheme="majorHAnsi" w:eastAsiaTheme="majorEastAsia" w:hAnsiTheme="majorHAnsi" w:cstheme="majorBidi"/>
          <w:color w:val="000000" w:themeColor="text1"/>
          <w:lang w:val="en-GB"/>
        </w:rPr>
        <w:t xml:space="preserve">Marquet, L. (2015) </w:t>
      </w:r>
      <w:r w:rsidRPr="7C73C182">
        <w:rPr>
          <w:rFonts w:asciiTheme="majorHAnsi" w:eastAsiaTheme="majorEastAsia" w:hAnsiTheme="majorHAnsi" w:cstheme="majorBidi"/>
          <w:i/>
          <w:iCs/>
          <w:color w:val="000000" w:themeColor="text1"/>
          <w:lang w:val="en-GB"/>
        </w:rPr>
        <w:t>Turn Your Ship Around.</w:t>
      </w:r>
      <w:r w:rsidRPr="7C73C182">
        <w:rPr>
          <w:rFonts w:asciiTheme="majorHAnsi" w:eastAsiaTheme="majorEastAsia" w:hAnsiTheme="majorHAnsi" w:cstheme="majorBidi"/>
          <w:color w:val="000000" w:themeColor="text1"/>
          <w:lang w:val="en-GB"/>
        </w:rPr>
        <w:t xml:space="preserve"> New York: Penguin.</w:t>
      </w:r>
    </w:p>
    <w:p w14:paraId="5AC25345" w14:textId="5A842DCA" w:rsidR="0FC3E47D" w:rsidRDefault="0FC3E47D" w:rsidP="7C73C182">
      <w:pPr>
        <w:spacing w:before="240" w:after="240" w:line="360" w:lineRule="auto"/>
        <w:rPr>
          <w:rFonts w:asciiTheme="majorHAnsi" w:eastAsiaTheme="majorEastAsia" w:hAnsiTheme="majorHAnsi" w:cstheme="majorBidi"/>
          <w:color w:val="000000" w:themeColor="text1"/>
          <w:lang w:val="en-GB"/>
        </w:rPr>
      </w:pPr>
      <w:r w:rsidRPr="7C73C182">
        <w:rPr>
          <w:rFonts w:asciiTheme="majorHAnsi" w:eastAsiaTheme="majorEastAsia" w:hAnsiTheme="majorHAnsi" w:cstheme="majorBidi"/>
          <w:color w:val="000000" w:themeColor="text1"/>
          <w:lang w:val="en-GB"/>
        </w:rPr>
        <w:t xml:space="preserve">Mullins, L. (2010) </w:t>
      </w:r>
      <w:r w:rsidRPr="7C73C182">
        <w:rPr>
          <w:rFonts w:asciiTheme="majorHAnsi" w:eastAsiaTheme="majorEastAsia" w:hAnsiTheme="majorHAnsi" w:cstheme="majorBidi"/>
          <w:i/>
          <w:iCs/>
          <w:color w:val="000000" w:themeColor="text1"/>
          <w:lang w:val="en-GB"/>
        </w:rPr>
        <w:t>Management and Organisational Behaviour.</w:t>
      </w:r>
      <w:r w:rsidRPr="7C73C182">
        <w:rPr>
          <w:rFonts w:asciiTheme="majorHAnsi" w:eastAsiaTheme="majorEastAsia" w:hAnsiTheme="majorHAnsi" w:cstheme="majorBidi"/>
          <w:color w:val="000000" w:themeColor="text1"/>
          <w:lang w:val="en-GB"/>
        </w:rPr>
        <w:t xml:space="preserve"> (9th ed) Harlow: Pearson Education Limited.</w:t>
      </w:r>
    </w:p>
    <w:p w14:paraId="5391E73C" w14:textId="7B5242EC" w:rsidR="0FC3E47D" w:rsidRDefault="0FC3E47D" w:rsidP="7C73C182">
      <w:pPr>
        <w:spacing w:before="240" w:after="240" w:line="360" w:lineRule="auto"/>
        <w:rPr>
          <w:rFonts w:asciiTheme="majorHAnsi" w:eastAsiaTheme="majorEastAsia" w:hAnsiTheme="majorHAnsi" w:cstheme="majorBidi"/>
          <w:color w:val="000000" w:themeColor="text1"/>
          <w:lang w:val="en-GB"/>
        </w:rPr>
      </w:pPr>
      <w:r w:rsidRPr="7C73C182">
        <w:rPr>
          <w:rFonts w:asciiTheme="majorHAnsi" w:eastAsiaTheme="majorEastAsia" w:hAnsiTheme="majorHAnsi" w:cstheme="majorBidi"/>
          <w:color w:val="000000" w:themeColor="text1"/>
          <w:lang w:val="en-GB"/>
        </w:rPr>
        <w:t>Revans, R. (2011)</w:t>
      </w:r>
      <w:r w:rsidRPr="7C73C182">
        <w:rPr>
          <w:rFonts w:asciiTheme="majorHAnsi" w:eastAsiaTheme="majorEastAsia" w:hAnsiTheme="majorHAnsi" w:cstheme="majorBidi"/>
          <w:i/>
          <w:iCs/>
          <w:color w:val="000000" w:themeColor="text1"/>
          <w:lang w:val="en-GB"/>
        </w:rPr>
        <w:t xml:space="preserve"> ABC of Action Learning</w:t>
      </w:r>
      <w:r w:rsidRPr="7C73C182">
        <w:rPr>
          <w:rFonts w:asciiTheme="majorHAnsi" w:eastAsiaTheme="majorEastAsia" w:hAnsiTheme="majorHAnsi" w:cstheme="majorBidi"/>
          <w:color w:val="000000" w:themeColor="text1"/>
          <w:lang w:val="en-GB"/>
        </w:rPr>
        <w:t>. Farnham: Gower Publishing.</w:t>
      </w:r>
    </w:p>
    <w:p w14:paraId="3D290849" w14:textId="7BA90959" w:rsidR="1FB8DD02" w:rsidRDefault="1FB8DD02" w:rsidP="7C73C182">
      <w:pPr>
        <w:spacing w:before="240" w:after="240" w:line="360" w:lineRule="auto"/>
      </w:pPr>
      <w:r w:rsidRPr="7C73C182">
        <w:rPr>
          <w:rFonts w:ascii="Aptos Display" w:eastAsia="Aptos Display" w:hAnsi="Aptos Display" w:cs="Aptos Display"/>
          <w:lang w:val="en-GB"/>
        </w:rPr>
        <w:t xml:space="preserve">Rousseau, D. M. (1995). Psychological contracts in </w:t>
      </w:r>
      <w:r w:rsidR="798894CC" w:rsidRPr="7C73C182">
        <w:rPr>
          <w:rFonts w:ascii="Aptos Display" w:eastAsia="Aptos Display" w:hAnsi="Aptos Display" w:cs="Aptos Display"/>
          <w:lang w:val="en-GB"/>
        </w:rPr>
        <w:t>organisations</w:t>
      </w:r>
      <w:r w:rsidRPr="7C73C182">
        <w:rPr>
          <w:rFonts w:ascii="Aptos Display" w:eastAsia="Aptos Display" w:hAnsi="Aptos Display" w:cs="Aptos Display"/>
          <w:lang w:val="en-GB"/>
        </w:rPr>
        <w:t xml:space="preserve">: Understanding written and unwritten agreements. </w:t>
      </w:r>
      <w:r w:rsidRPr="7C73C182">
        <w:rPr>
          <w:rFonts w:ascii="Aptos Display" w:eastAsia="Aptos Display" w:hAnsi="Aptos Display" w:cs="Aptos Display"/>
          <w:i/>
          <w:iCs/>
          <w:lang w:val="en-GB"/>
        </w:rPr>
        <w:t>Sage Publications</w:t>
      </w:r>
      <w:r w:rsidRPr="7C73C182">
        <w:rPr>
          <w:rFonts w:ascii="Aptos Display" w:eastAsia="Aptos Display" w:hAnsi="Aptos Display" w:cs="Aptos Display"/>
          <w:lang w:val="en-GB"/>
        </w:rPr>
        <w:t>.</w:t>
      </w:r>
    </w:p>
    <w:p w14:paraId="74BDE8C1" w14:textId="10B298F2" w:rsidR="0FC3E47D" w:rsidRDefault="0FC3E47D" w:rsidP="7C73C182">
      <w:pPr>
        <w:spacing w:before="240" w:after="240" w:line="360" w:lineRule="auto"/>
        <w:rPr>
          <w:rFonts w:asciiTheme="majorHAnsi" w:eastAsiaTheme="majorEastAsia" w:hAnsiTheme="majorHAnsi" w:cstheme="majorBidi"/>
          <w:color w:val="000000" w:themeColor="text1"/>
          <w:lang w:val="en-GB"/>
        </w:rPr>
      </w:pPr>
      <w:r w:rsidRPr="7C73C182">
        <w:rPr>
          <w:rFonts w:asciiTheme="majorHAnsi" w:eastAsiaTheme="majorEastAsia" w:hAnsiTheme="majorHAnsi" w:cstheme="majorBidi"/>
          <w:color w:val="000000" w:themeColor="text1"/>
          <w:lang w:val="en-GB"/>
        </w:rPr>
        <w:t xml:space="preserve">Schein, E. (2004) </w:t>
      </w:r>
      <w:r w:rsidR="611D1B7A" w:rsidRPr="7C73C182">
        <w:rPr>
          <w:rFonts w:asciiTheme="majorHAnsi" w:eastAsiaTheme="majorEastAsia" w:hAnsiTheme="majorHAnsi" w:cstheme="majorBidi"/>
          <w:i/>
          <w:iCs/>
          <w:color w:val="000000" w:themeColor="text1"/>
          <w:lang w:val="en-GB"/>
        </w:rPr>
        <w:t>Organisational</w:t>
      </w:r>
      <w:r w:rsidRPr="7C73C182">
        <w:rPr>
          <w:rFonts w:asciiTheme="majorHAnsi" w:eastAsiaTheme="majorEastAsia" w:hAnsiTheme="majorHAnsi" w:cstheme="majorBidi"/>
          <w:i/>
          <w:iCs/>
          <w:color w:val="000000" w:themeColor="text1"/>
          <w:lang w:val="en-GB"/>
        </w:rPr>
        <w:t xml:space="preserve"> Culture and Leadership</w:t>
      </w:r>
      <w:r w:rsidRPr="7C73C182">
        <w:rPr>
          <w:rFonts w:asciiTheme="majorHAnsi" w:eastAsiaTheme="majorEastAsia" w:hAnsiTheme="majorHAnsi" w:cstheme="majorBidi"/>
          <w:color w:val="000000" w:themeColor="text1"/>
          <w:lang w:val="en-GB"/>
        </w:rPr>
        <w:t>. (3rd ed) San Francisco: Jossey-Bass.</w:t>
      </w:r>
    </w:p>
    <w:p w14:paraId="47DBF1E8" w14:textId="7DB99FDB" w:rsidR="3C1D07DC" w:rsidRDefault="3C1D07DC" w:rsidP="7C73C182">
      <w:pPr>
        <w:spacing w:before="240" w:after="240" w:line="360" w:lineRule="auto"/>
        <w:rPr>
          <w:rFonts w:asciiTheme="majorHAnsi" w:eastAsiaTheme="majorEastAsia" w:hAnsiTheme="majorHAnsi" w:cstheme="majorBidi"/>
          <w:color w:val="000000" w:themeColor="text1"/>
          <w:lang w:val="en-GB"/>
        </w:rPr>
      </w:pPr>
      <w:r w:rsidRPr="7C73C182">
        <w:rPr>
          <w:rFonts w:asciiTheme="majorHAnsi" w:eastAsiaTheme="majorEastAsia" w:hAnsiTheme="majorHAnsi" w:cstheme="majorBidi"/>
          <w:color w:val="000000" w:themeColor="text1"/>
          <w:lang w:val="en-GB"/>
        </w:rPr>
        <w:t xml:space="preserve">Senior, B. and Fleming, J. (2006) </w:t>
      </w:r>
      <w:r w:rsidR="611D1B7A" w:rsidRPr="7C73C182">
        <w:rPr>
          <w:rFonts w:asciiTheme="majorHAnsi" w:eastAsiaTheme="majorEastAsia" w:hAnsiTheme="majorHAnsi" w:cstheme="majorBidi"/>
          <w:i/>
          <w:iCs/>
          <w:color w:val="000000" w:themeColor="text1"/>
          <w:lang w:val="en-GB"/>
        </w:rPr>
        <w:t>Organisational</w:t>
      </w:r>
      <w:r w:rsidRPr="7C73C182">
        <w:rPr>
          <w:rFonts w:asciiTheme="majorHAnsi" w:eastAsiaTheme="majorEastAsia" w:hAnsiTheme="majorHAnsi" w:cstheme="majorBidi"/>
          <w:i/>
          <w:iCs/>
          <w:color w:val="000000" w:themeColor="text1"/>
          <w:lang w:val="en-GB"/>
        </w:rPr>
        <w:t xml:space="preserve"> Change.</w:t>
      </w:r>
      <w:r w:rsidRPr="7C73C182">
        <w:rPr>
          <w:rFonts w:asciiTheme="majorHAnsi" w:eastAsiaTheme="majorEastAsia" w:hAnsiTheme="majorHAnsi" w:cstheme="majorBidi"/>
          <w:color w:val="000000" w:themeColor="text1"/>
          <w:lang w:val="en-GB"/>
        </w:rPr>
        <w:t xml:space="preserve"> (3rd ed) Harlow: Pearson Education Limited. </w:t>
      </w:r>
    </w:p>
    <w:p w14:paraId="63DAD15A" w14:textId="77777777" w:rsidR="00854AF2" w:rsidRPr="009479DD" w:rsidRDefault="00854AF2" w:rsidP="5C1D93B8">
      <w:pPr>
        <w:spacing w:line="360" w:lineRule="auto"/>
        <w:rPr>
          <w:lang w:val="en-GB"/>
        </w:rPr>
      </w:pPr>
    </w:p>
    <w:p w14:paraId="77841C26" w14:textId="77777777" w:rsidR="00DB3EDF" w:rsidRPr="00287F9E" w:rsidRDefault="00DB3EDF" w:rsidP="5C1D93B8">
      <w:pPr>
        <w:spacing w:line="360" w:lineRule="auto"/>
        <w:rPr>
          <w:lang w:val="en-GB"/>
        </w:rPr>
      </w:pPr>
    </w:p>
    <w:p w14:paraId="6B235661" w14:textId="77777777" w:rsidR="00A0490A" w:rsidRPr="00393069" w:rsidRDefault="00A0490A" w:rsidP="5C1D93B8">
      <w:pPr>
        <w:spacing w:after="0" w:line="360" w:lineRule="auto"/>
        <w:rPr>
          <w:rFonts w:ascii="Times New Roman" w:eastAsia="Times New Roman" w:hAnsi="Times New Roman" w:cs="Times New Roman"/>
          <w:lang w:val="en-GB" w:eastAsia="en-GB"/>
        </w:rPr>
      </w:pPr>
    </w:p>
    <w:p w14:paraId="6B5D0E6F" w14:textId="77777777" w:rsidR="005C57FF" w:rsidRPr="005C57FF" w:rsidRDefault="005C57FF" w:rsidP="005C57FF">
      <w:pPr>
        <w:spacing w:after="0" w:line="360" w:lineRule="auto"/>
        <w:rPr>
          <w:rFonts w:eastAsia="Times New Roman" w:cs="Times New Roman"/>
          <w:lang w:val="en-GB" w:eastAsia="en-GB"/>
        </w:rPr>
      </w:pPr>
    </w:p>
    <w:p w14:paraId="3F963385" w14:textId="77777777" w:rsidR="005C57FF" w:rsidRPr="00E07E76" w:rsidRDefault="005C57FF" w:rsidP="005C57FF">
      <w:pPr>
        <w:spacing w:after="0" w:line="360" w:lineRule="auto"/>
        <w:rPr>
          <w:rFonts w:eastAsia="Times New Roman" w:cs="Times New Roman"/>
          <w:lang w:val="en-GB" w:eastAsia="en-GB"/>
        </w:rPr>
      </w:pPr>
    </w:p>
    <w:p w14:paraId="49FDCB05" w14:textId="77777777" w:rsidR="00D1164C" w:rsidRPr="005C57FF" w:rsidRDefault="00D1164C" w:rsidP="005C57FF">
      <w:pPr>
        <w:spacing w:before="240" w:after="240" w:line="360" w:lineRule="auto"/>
      </w:pPr>
    </w:p>
    <w:p w14:paraId="0F26A3F7" w14:textId="5AA444C8" w:rsidR="008E7A2B" w:rsidRPr="005C57FF" w:rsidRDefault="008E7A2B" w:rsidP="005C57FF">
      <w:pPr>
        <w:spacing w:before="240" w:after="240" w:line="360" w:lineRule="auto"/>
        <w:rPr>
          <w:rFonts w:eastAsia="Aptos" w:cs="Aptos"/>
        </w:rPr>
      </w:pPr>
    </w:p>
    <w:p w14:paraId="2C078E63" w14:textId="7E77C775" w:rsidR="008E7A2B" w:rsidRPr="005C57FF" w:rsidRDefault="008E7A2B" w:rsidP="42B60211">
      <w:pPr>
        <w:spacing w:before="240" w:after="240" w:line="360" w:lineRule="auto"/>
        <w:rPr>
          <w:rFonts w:ascii="Aptos" w:eastAsia="Aptos" w:hAnsi="Aptos" w:cs="Aptos"/>
        </w:rPr>
      </w:pPr>
    </w:p>
    <w:sectPr w:rsidR="008E7A2B" w:rsidRPr="005C57FF">
      <w:headerReference w:type="default" r:id="rId6"/>
      <w:footerReference w:type="default" r:id="rId7"/>
      <w:headerReference w:type="firs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BD674" w14:textId="77777777" w:rsidR="00F6505F" w:rsidRDefault="00F6505F" w:rsidP="00F35388">
      <w:pPr>
        <w:spacing w:after="0" w:line="240" w:lineRule="auto"/>
      </w:pPr>
      <w:r>
        <w:separator/>
      </w:r>
    </w:p>
  </w:endnote>
  <w:endnote w:type="continuationSeparator" w:id="0">
    <w:p w14:paraId="182F5C0B" w14:textId="77777777" w:rsidR="00F6505F" w:rsidRDefault="00F6505F" w:rsidP="00F35388">
      <w:pPr>
        <w:spacing w:after="0" w:line="240" w:lineRule="auto"/>
      </w:pPr>
      <w:r>
        <w:continuationSeparator/>
      </w:r>
    </w:p>
  </w:endnote>
  <w:endnote w:type="continuationNotice" w:id="1">
    <w:p w14:paraId="29169F96" w14:textId="77777777" w:rsidR="00F6505F" w:rsidRDefault="00F6505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2B2B2F7" w14:paraId="4A6248CB" w14:textId="77777777" w:rsidTr="22B2B2F7">
      <w:trPr>
        <w:trHeight w:val="300"/>
      </w:trPr>
      <w:tc>
        <w:tcPr>
          <w:tcW w:w="3120" w:type="dxa"/>
        </w:tcPr>
        <w:p w14:paraId="5813766B" w14:textId="0A17EE31" w:rsidR="22B2B2F7" w:rsidRDefault="22B2B2F7" w:rsidP="22B2B2F7">
          <w:pPr>
            <w:pStyle w:val="Header"/>
            <w:ind w:left="-115"/>
          </w:pPr>
        </w:p>
      </w:tc>
      <w:tc>
        <w:tcPr>
          <w:tcW w:w="3120" w:type="dxa"/>
        </w:tcPr>
        <w:p w14:paraId="49F9341B" w14:textId="0C6E6718" w:rsidR="22B2B2F7" w:rsidRDefault="22B2B2F7" w:rsidP="22B2B2F7">
          <w:pPr>
            <w:pStyle w:val="Header"/>
            <w:jc w:val="center"/>
          </w:pPr>
        </w:p>
      </w:tc>
      <w:tc>
        <w:tcPr>
          <w:tcW w:w="3120" w:type="dxa"/>
        </w:tcPr>
        <w:p w14:paraId="1FE7E650" w14:textId="5DCC92E2" w:rsidR="22B2B2F7" w:rsidRDefault="22B2B2F7" w:rsidP="22B2B2F7">
          <w:pPr>
            <w:pStyle w:val="Header"/>
            <w:ind w:right="-115"/>
            <w:jc w:val="right"/>
          </w:pPr>
          <w:r>
            <w:fldChar w:fldCharType="begin"/>
          </w:r>
          <w:r>
            <w:instrText>PAGE</w:instrText>
          </w:r>
          <w:r>
            <w:fldChar w:fldCharType="separate"/>
          </w:r>
          <w:r w:rsidR="0093489C">
            <w:rPr>
              <w:noProof/>
            </w:rPr>
            <w:t>19</w:t>
          </w:r>
          <w:r>
            <w:fldChar w:fldCharType="end"/>
          </w:r>
        </w:p>
      </w:tc>
    </w:tr>
  </w:tbl>
  <w:p w14:paraId="14848519" w14:textId="648975D3" w:rsidR="00F35388" w:rsidRDefault="00F353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2B2B2F7" w14:paraId="1C995FEE" w14:textId="77777777" w:rsidTr="22B2B2F7">
      <w:trPr>
        <w:trHeight w:val="300"/>
      </w:trPr>
      <w:tc>
        <w:tcPr>
          <w:tcW w:w="3120" w:type="dxa"/>
        </w:tcPr>
        <w:p w14:paraId="3A6157F1" w14:textId="0AE93B59" w:rsidR="22B2B2F7" w:rsidRDefault="22B2B2F7" w:rsidP="22B2B2F7">
          <w:pPr>
            <w:pStyle w:val="Header"/>
            <w:ind w:left="-115"/>
          </w:pPr>
        </w:p>
      </w:tc>
      <w:tc>
        <w:tcPr>
          <w:tcW w:w="3120" w:type="dxa"/>
        </w:tcPr>
        <w:p w14:paraId="636B48EF" w14:textId="7B7CDE0C" w:rsidR="22B2B2F7" w:rsidRDefault="22B2B2F7" w:rsidP="22B2B2F7">
          <w:pPr>
            <w:pStyle w:val="Header"/>
            <w:jc w:val="center"/>
          </w:pPr>
        </w:p>
      </w:tc>
      <w:tc>
        <w:tcPr>
          <w:tcW w:w="3120" w:type="dxa"/>
        </w:tcPr>
        <w:p w14:paraId="58CDD244" w14:textId="1646529E" w:rsidR="22B2B2F7" w:rsidRDefault="22B2B2F7" w:rsidP="22B2B2F7">
          <w:pPr>
            <w:pStyle w:val="Header"/>
            <w:ind w:right="-115"/>
            <w:jc w:val="right"/>
          </w:pPr>
        </w:p>
      </w:tc>
    </w:tr>
  </w:tbl>
  <w:p w14:paraId="2DD07123" w14:textId="0E810698" w:rsidR="00F35388" w:rsidRDefault="00F353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53ABC" w14:textId="77777777" w:rsidR="00F6505F" w:rsidRDefault="00F6505F" w:rsidP="00F35388">
      <w:pPr>
        <w:spacing w:after="0" w:line="240" w:lineRule="auto"/>
      </w:pPr>
      <w:r>
        <w:separator/>
      </w:r>
    </w:p>
  </w:footnote>
  <w:footnote w:type="continuationSeparator" w:id="0">
    <w:p w14:paraId="1DE709A0" w14:textId="77777777" w:rsidR="00F6505F" w:rsidRDefault="00F6505F" w:rsidP="00F35388">
      <w:pPr>
        <w:spacing w:after="0" w:line="240" w:lineRule="auto"/>
      </w:pPr>
      <w:r>
        <w:continuationSeparator/>
      </w:r>
    </w:p>
  </w:footnote>
  <w:footnote w:type="continuationNotice" w:id="1">
    <w:p w14:paraId="2F9C882D" w14:textId="77777777" w:rsidR="00F6505F" w:rsidRDefault="00F6505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2B2B2F7" w14:paraId="0993B5BB" w14:textId="77777777" w:rsidTr="22B2B2F7">
      <w:trPr>
        <w:trHeight w:val="300"/>
      </w:trPr>
      <w:tc>
        <w:tcPr>
          <w:tcW w:w="3120" w:type="dxa"/>
        </w:tcPr>
        <w:p w14:paraId="59D7D426" w14:textId="081C30B1" w:rsidR="22B2B2F7" w:rsidRDefault="22B2B2F7" w:rsidP="22B2B2F7">
          <w:pPr>
            <w:pStyle w:val="Header"/>
            <w:ind w:left="-115"/>
          </w:pPr>
        </w:p>
      </w:tc>
      <w:tc>
        <w:tcPr>
          <w:tcW w:w="3120" w:type="dxa"/>
        </w:tcPr>
        <w:p w14:paraId="3E54170B" w14:textId="351CE771" w:rsidR="22B2B2F7" w:rsidRDefault="22B2B2F7" w:rsidP="22B2B2F7">
          <w:pPr>
            <w:pStyle w:val="Header"/>
            <w:jc w:val="center"/>
          </w:pPr>
        </w:p>
      </w:tc>
      <w:tc>
        <w:tcPr>
          <w:tcW w:w="3120" w:type="dxa"/>
        </w:tcPr>
        <w:p w14:paraId="08C94E79" w14:textId="03148F15" w:rsidR="22B2B2F7" w:rsidRDefault="22B2B2F7" w:rsidP="22B2B2F7">
          <w:pPr>
            <w:pStyle w:val="Header"/>
            <w:ind w:right="-115"/>
            <w:jc w:val="right"/>
          </w:pPr>
        </w:p>
      </w:tc>
    </w:tr>
  </w:tbl>
  <w:p w14:paraId="7DBEBA8B" w14:textId="0828439E" w:rsidR="00F35388" w:rsidRDefault="00F3538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22B2B2F7" w14:paraId="5FE933FE" w14:textId="77777777" w:rsidTr="22B2B2F7">
      <w:trPr>
        <w:trHeight w:val="300"/>
      </w:trPr>
      <w:tc>
        <w:tcPr>
          <w:tcW w:w="3120" w:type="dxa"/>
        </w:tcPr>
        <w:p w14:paraId="0B264297" w14:textId="1FE65A97" w:rsidR="22B2B2F7" w:rsidRDefault="22B2B2F7" w:rsidP="22B2B2F7">
          <w:pPr>
            <w:pStyle w:val="Header"/>
            <w:ind w:left="-115"/>
          </w:pPr>
        </w:p>
      </w:tc>
      <w:tc>
        <w:tcPr>
          <w:tcW w:w="3120" w:type="dxa"/>
        </w:tcPr>
        <w:p w14:paraId="75226A88" w14:textId="058C73BD" w:rsidR="22B2B2F7" w:rsidRDefault="22B2B2F7" w:rsidP="22B2B2F7">
          <w:pPr>
            <w:pStyle w:val="Header"/>
            <w:jc w:val="center"/>
          </w:pPr>
        </w:p>
      </w:tc>
      <w:tc>
        <w:tcPr>
          <w:tcW w:w="3120" w:type="dxa"/>
        </w:tcPr>
        <w:p w14:paraId="10300B29" w14:textId="1D92B919" w:rsidR="22B2B2F7" w:rsidRDefault="22B2B2F7" w:rsidP="22B2B2F7">
          <w:pPr>
            <w:pStyle w:val="Header"/>
            <w:ind w:right="-115"/>
            <w:jc w:val="right"/>
          </w:pPr>
        </w:p>
      </w:tc>
    </w:tr>
  </w:tbl>
  <w:p w14:paraId="5C0360A3" w14:textId="3435F2F1" w:rsidR="00F35388" w:rsidRDefault="00F35388">
    <w:pPr>
      <w:pStyle w:val="Header"/>
    </w:pPr>
  </w:p>
</w:hdr>
</file>

<file path=word/intelligence2.xml><?xml version="1.0" encoding="utf-8"?>
<int2:intelligence xmlns:int2="http://schemas.microsoft.com/office/intelligence/2020/intelligence" xmlns:oel="http://schemas.microsoft.com/office/2019/extlst">
  <int2:observations>
    <int2:textHash int2:hashCode="kByidkXaRxGvMx" int2:id="DlUMgmmP">
      <int2:state int2:value="Rejected" int2:type="AugLoop_Text_Critique"/>
    </int2:textHash>
    <int2:bookmark int2:bookmarkName="_Int_thtUVoCO" int2:invalidationBookmarkName="" int2:hashCode="OSvJmvgT/qjOHD" int2:id="W2yxfOWH">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22D8B6"/>
    <w:rsid w:val="00025875"/>
    <w:rsid w:val="00043057"/>
    <w:rsid w:val="000478CB"/>
    <w:rsid w:val="00050076"/>
    <w:rsid w:val="00070C2C"/>
    <w:rsid w:val="00075ED0"/>
    <w:rsid w:val="000B061F"/>
    <w:rsid w:val="000B2701"/>
    <w:rsid w:val="000B3D37"/>
    <w:rsid w:val="000C2733"/>
    <w:rsid w:val="000C2AC4"/>
    <w:rsid w:val="000C4E56"/>
    <w:rsid w:val="000D70AF"/>
    <w:rsid w:val="000E5007"/>
    <w:rsid w:val="000F29B9"/>
    <w:rsid w:val="00141E36"/>
    <w:rsid w:val="001563E2"/>
    <w:rsid w:val="001746DB"/>
    <w:rsid w:val="001850E5"/>
    <w:rsid w:val="001856F2"/>
    <w:rsid w:val="001B78ED"/>
    <w:rsid w:val="001C0206"/>
    <w:rsid w:val="001C6910"/>
    <w:rsid w:val="001E2046"/>
    <w:rsid w:val="001E704D"/>
    <w:rsid w:val="0020634F"/>
    <w:rsid w:val="00227135"/>
    <w:rsid w:val="00235A33"/>
    <w:rsid w:val="00274F3B"/>
    <w:rsid w:val="00287F9E"/>
    <w:rsid w:val="00294C2D"/>
    <w:rsid w:val="002A628B"/>
    <w:rsid w:val="002B4FF5"/>
    <w:rsid w:val="002E1EF5"/>
    <w:rsid w:val="002E28BC"/>
    <w:rsid w:val="002E49B9"/>
    <w:rsid w:val="002E4A82"/>
    <w:rsid w:val="002F5C82"/>
    <w:rsid w:val="00304BB2"/>
    <w:rsid w:val="00331908"/>
    <w:rsid w:val="00351CDC"/>
    <w:rsid w:val="003520E1"/>
    <w:rsid w:val="003624BB"/>
    <w:rsid w:val="0037093A"/>
    <w:rsid w:val="003766CC"/>
    <w:rsid w:val="00393069"/>
    <w:rsid w:val="003938BF"/>
    <w:rsid w:val="003A601F"/>
    <w:rsid w:val="003B1727"/>
    <w:rsid w:val="0042347F"/>
    <w:rsid w:val="00431DB7"/>
    <w:rsid w:val="00432CD3"/>
    <w:rsid w:val="00434669"/>
    <w:rsid w:val="00473DDB"/>
    <w:rsid w:val="0048724D"/>
    <w:rsid w:val="004C0376"/>
    <w:rsid w:val="004C37C7"/>
    <w:rsid w:val="004C59EE"/>
    <w:rsid w:val="004D3E90"/>
    <w:rsid w:val="004E221D"/>
    <w:rsid w:val="004E5B6C"/>
    <w:rsid w:val="005052C6"/>
    <w:rsid w:val="005156BA"/>
    <w:rsid w:val="00520939"/>
    <w:rsid w:val="00535E03"/>
    <w:rsid w:val="005446D3"/>
    <w:rsid w:val="00585A81"/>
    <w:rsid w:val="00593A65"/>
    <w:rsid w:val="005C57FF"/>
    <w:rsid w:val="005D457B"/>
    <w:rsid w:val="005E499D"/>
    <w:rsid w:val="005F29FC"/>
    <w:rsid w:val="006308A4"/>
    <w:rsid w:val="00647E5D"/>
    <w:rsid w:val="00683679"/>
    <w:rsid w:val="0068560F"/>
    <w:rsid w:val="006856E9"/>
    <w:rsid w:val="006B29DE"/>
    <w:rsid w:val="006F2929"/>
    <w:rsid w:val="007052DA"/>
    <w:rsid w:val="00705D6D"/>
    <w:rsid w:val="0072454B"/>
    <w:rsid w:val="00735E93"/>
    <w:rsid w:val="00737371"/>
    <w:rsid w:val="00743CFD"/>
    <w:rsid w:val="00752675"/>
    <w:rsid w:val="00790ED3"/>
    <w:rsid w:val="007E7B45"/>
    <w:rsid w:val="007F6931"/>
    <w:rsid w:val="008324CC"/>
    <w:rsid w:val="00854AF2"/>
    <w:rsid w:val="00864BF1"/>
    <w:rsid w:val="008663BE"/>
    <w:rsid w:val="00881CDC"/>
    <w:rsid w:val="00892E47"/>
    <w:rsid w:val="0089616A"/>
    <w:rsid w:val="008A0E7F"/>
    <w:rsid w:val="008B4EE3"/>
    <w:rsid w:val="008E7A2B"/>
    <w:rsid w:val="008F1B14"/>
    <w:rsid w:val="008F55D0"/>
    <w:rsid w:val="00911B6D"/>
    <w:rsid w:val="00931516"/>
    <w:rsid w:val="0093489C"/>
    <w:rsid w:val="009479DD"/>
    <w:rsid w:val="00950F9B"/>
    <w:rsid w:val="009543BA"/>
    <w:rsid w:val="00956C99"/>
    <w:rsid w:val="00966685"/>
    <w:rsid w:val="00991501"/>
    <w:rsid w:val="009A6B85"/>
    <w:rsid w:val="009C6C17"/>
    <w:rsid w:val="009D2BBC"/>
    <w:rsid w:val="00A0490A"/>
    <w:rsid w:val="00A123A5"/>
    <w:rsid w:val="00A14673"/>
    <w:rsid w:val="00A33B50"/>
    <w:rsid w:val="00A92FD3"/>
    <w:rsid w:val="00AD60A1"/>
    <w:rsid w:val="00AF05AF"/>
    <w:rsid w:val="00AF325A"/>
    <w:rsid w:val="00B10E8B"/>
    <w:rsid w:val="00B161C4"/>
    <w:rsid w:val="00B25D64"/>
    <w:rsid w:val="00B70F85"/>
    <w:rsid w:val="00B73F50"/>
    <w:rsid w:val="00B901F3"/>
    <w:rsid w:val="00BA78CC"/>
    <w:rsid w:val="00C078F4"/>
    <w:rsid w:val="00C21E89"/>
    <w:rsid w:val="00C27A24"/>
    <w:rsid w:val="00C40C5C"/>
    <w:rsid w:val="00C63C2B"/>
    <w:rsid w:val="00C67E10"/>
    <w:rsid w:val="00C847DE"/>
    <w:rsid w:val="00CB35A0"/>
    <w:rsid w:val="00CB71F0"/>
    <w:rsid w:val="00CC3F74"/>
    <w:rsid w:val="00CC5300"/>
    <w:rsid w:val="00CC72A7"/>
    <w:rsid w:val="00D01442"/>
    <w:rsid w:val="00D1164C"/>
    <w:rsid w:val="00D133E3"/>
    <w:rsid w:val="00D236C0"/>
    <w:rsid w:val="00D40A66"/>
    <w:rsid w:val="00D472AC"/>
    <w:rsid w:val="00D57D93"/>
    <w:rsid w:val="00D64C1A"/>
    <w:rsid w:val="00D672FB"/>
    <w:rsid w:val="00D74F1E"/>
    <w:rsid w:val="00D76AB4"/>
    <w:rsid w:val="00DB3EDF"/>
    <w:rsid w:val="00DB5C5A"/>
    <w:rsid w:val="00DD0643"/>
    <w:rsid w:val="00E07E76"/>
    <w:rsid w:val="00E528C2"/>
    <w:rsid w:val="00E81900"/>
    <w:rsid w:val="00EA084E"/>
    <w:rsid w:val="00EA0875"/>
    <w:rsid w:val="00EB4B3A"/>
    <w:rsid w:val="00EE127C"/>
    <w:rsid w:val="00EF0722"/>
    <w:rsid w:val="00EF5DB5"/>
    <w:rsid w:val="00F32DA7"/>
    <w:rsid w:val="00F35388"/>
    <w:rsid w:val="00F35C0A"/>
    <w:rsid w:val="00F4388E"/>
    <w:rsid w:val="00F6505F"/>
    <w:rsid w:val="00F70536"/>
    <w:rsid w:val="00F773FC"/>
    <w:rsid w:val="00FA1E8A"/>
    <w:rsid w:val="00FB1347"/>
    <w:rsid w:val="00FB4DA9"/>
    <w:rsid w:val="00FB68F8"/>
    <w:rsid w:val="00FE43F3"/>
    <w:rsid w:val="00FE4432"/>
    <w:rsid w:val="00FE6986"/>
    <w:rsid w:val="00FF3E81"/>
    <w:rsid w:val="0141913C"/>
    <w:rsid w:val="0342D036"/>
    <w:rsid w:val="036A2285"/>
    <w:rsid w:val="03F9B7E7"/>
    <w:rsid w:val="048E40DA"/>
    <w:rsid w:val="04DBADE5"/>
    <w:rsid w:val="0530D772"/>
    <w:rsid w:val="05621024"/>
    <w:rsid w:val="06249B82"/>
    <w:rsid w:val="064DABA8"/>
    <w:rsid w:val="06C4FC5C"/>
    <w:rsid w:val="078ED3A3"/>
    <w:rsid w:val="07C1403C"/>
    <w:rsid w:val="08391BE9"/>
    <w:rsid w:val="08D4014C"/>
    <w:rsid w:val="095D122B"/>
    <w:rsid w:val="0960BDF2"/>
    <w:rsid w:val="0A2A8DA8"/>
    <w:rsid w:val="0B78CF57"/>
    <w:rsid w:val="0C2FE65B"/>
    <w:rsid w:val="0CF74827"/>
    <w:rsid w:val="0DC89300"/>
    <w:rsid w:val="0E221726"/>
    <w:rsid w:val="0F58C933"/>
    <w:rsid w:val="0FC3E47D"/>
    <w:rsid w:val="103B42B0"/>
    <w:rsid w:val="10CF5C75"/>
    <w:rsid w:val="11146608"/>
    <w:rsid w:val="11D1B573"/>
    <w:rsid w:val="11E5EF90"/>
    <w:rsid w:val="1224D23D"/>
    <w:rsid w:val="12FA356A"/>
    <w:rsid w:val="14000A0D"/>
    <w:rsid w:val="143217C4"/>
    <w:rsid w:val="1502F919"/>
    <w:rsid w:val="162A11E5"/>
    <w:rsid w:val="1650878F"/>
    <w:rsid w:val="16858B82"/>
    <w:rsid w:val="16F1C8A2"/>
    <w:rsid w:val="18D3EAFC"/>
    <w:rsid w:val="18D484E3"/>
    <w:rsid w:val="191E683C"/>
    <w:rsid w:val="196BC8F5"/>
    <w:rsid w:val="1AB4CD0D"/>
    <w:rsid w:val="1ACB8B92"/>
    <w:rsid w:val="1B117EA1"/>
    <w:rsid w:val="1B5F31CA"/>
    <w:rsid w:val="1BBAA80B"/>
    <w:rsid w:val="1BECEC2A"/>
    <w:rsid w:val="1CD2C616"/>
    <w:rsid w:val="1D95E996"/>
    <w:rsid w:val="1DA50163"/>
    <w:rsid w:val="1DCB1AB9"/>
    <w:rsid w:val="1F544216"/>
    <w:rsid w:val="1FB8DD02"/>
    <w:rsid w:val="200D78CE"/>
    <w:rsid w:val="214A8399"/>
    <w:rsid w:val="218309D2"/>
    <w:rsid w:val="2232FAAA"/>
    <w:rsid w:val="22837498"/>
    <w:rsid w:val="22B2B2F7"/>
    <w:rsid w:val="22BBB059"/>
    <w:rsid w:val="22E1E664"/>
    <w:rsid w:val="23678DBA"/>
    <w:rsid w:val="238D0246"/>
    <w:rsid w:val="245A0072"/>
    <w:rsid w:val="2474890E"/>
    <w:rsid w:val="24855E7F"/>
    <w:rsid w:val="24AC9705"/>
    <w:rsid w:val="24CF3C24"/>
    <w:rsid w:val="256376CC"/>
    <w:rsid w:val="25967AFB"/>
    <w:rsid w:val="263CCB46"/>
    <w:rsid w:val="26A245E2"/>
    <w:rsid w:val="2768CD1D"/>
    <w:rsid w:val="282018D0"/>
    <w:rsid w:val="28A506D2"/>
    <w:rsid w:val="29197A78"/>
    <w:rsid w:val="29618F69"/>
    <w:rsid w:val="2A4D6306"/>
    <w:rsid w:val="2B1527F7"/>
    <w:rsid w:val="2C29606E"/>
    <w:rsid w:val="2C43B128"/>
    <w:rsid w:val="2CAD7A3F"/>
    <w:rsid w:val="2E5B9096"/>
    <w:rsid w:val="2E642DFA"/>
    <w:rsid w:val="2E81F2CA"/>
    <w:rsid w:val="2E97ED78"/>
    <w:rsid w:val="2EB02541"/>
    <w:rsid w:val="2F075E3E"/>
    <w:rsid w:val="2FC8E4CF"/>
    <w:rsid w:val="2FFA80C6"/>
    <w:rsid w:val="305D5DA8"/>
    <w:rsid w:val="31633F44"/>
    <w:rsid w:val="316A91E7"/>
    <w:rsid w:val="3248F91E"/>
    <w:rsid w:val="32579D3F"/>
    <w:rsid w:val="32DFB2EA"/>
    <w:rsid w:val="331D2514"/>
    <w:rsid w:val="3348FC2E"/>
    <w:rsid w:val="335152B8"/>
    <w:rsid w:val="34364005"/>
    <w:rsid w:val="35248F51"/>
    <w:rsid w:val="35C65442"/>
    <w:rsid w:val="3601417E"/>
    <w:rsid w:val="36635E6F"/>
    <w:rsid w:val="36F8C3E0"/>
    <w:rsid w:val="377C7513"/>
    <w:rsid w:val="38146DCF"/>
    <w:rsid w:val="38639A51"/>
    <w:rsid w:val="39506BF5"/>
    <w:rsid w:val="39D69015"/>
    <w:rsid w:val="39FB8D09"/>
    <w:rsid w:val="3C1D07DC"/>
    <w:rsid w:val="3D0253D5"/>
    <w:rsid w:val="3D670E82"/>
    <w:rsid w:val="3D6EFBF8"/>
    <w:rsid w:val="3DE48C84"/>
    <w:rsid w:val="3E1748EA"/>
    <w:rsid w:val="3E8D26CB"/>
    <w:rsid w:val="4017FE13"/>
    <w:rsid w:val="40491294"/>
    <w:rsid w:val="4055B1BA"/>
    <w:rsid w:val="40E752BD"/>
    <w:rsid w:val="411DD605"/>
    <w:rsid w:val="42B60211"/>
    <w:rsid w:val="430A7112"/>
    <w:rsid w:val="433054B5"/>
    <w:rsid w:val="43D93860"/>
    <w:rsid w:val="442F1A89"/>
    <w:rsid w:val="445253F3"/>
    <w:rsid w:val="445F6AAB"/>
    <w:rsid w:val="44C7F633"/>
    <w:rsid w:val="44E41F09"/>
    <w:rsid w:val="45FE7D19"/>
    <w:rsid w:val="46D192E9"/>
    <w:rsid w:val="47944D13"/>
    <w:rsid w:val="48036CE7"/>
    <w:rsid w:val="48D5A2EE"/>
    <w:rsid w:val="4956314C"/>
    <w:rsid w:val="4976CE79"/>
    <w:rsid w:val="4AA9240C"/>
    <w:rsid w:val="4AC0A3D9"/>
    <w:rsid w:val="4B9054A9"/>
    <w:rsid w:val="4D2161CA"/>
    <w:rsid w:val="4D6FFAF8"/>
    <w:rsid w:val="4DBEE503"/>
    <w:rsid w:val="4DC1AC2D"/>
    <w:rsid w:val="4E6B9FF1"/>
    <w:rsid w:val="4E75AC6B"/>
    <w:rsid w:val="4EFC1897"/>
    <w:rsid w:val="502AD518"/>
    <w:rsid w:val="503FDF01"/>
    <w:rsid w:val="507D2C68"/>
    <w:rsid w:val="50F16FB6"/>
    <w:rsid w:val="5146E4A0"/>
    <w:rsid w:val="5185F609"/>
    <w:rsid w:val="51D013D4"/>
    <w:rsid w:val="520B891B"/>
    <w:rsid w:val="5222D8B6"/>
    <w:rsid w:val="540AFD2D"/>
    <w:rsid w:val="54120999"/>
    <w:rsid w:val="545987C2"/>
    <w:rsid w:val="548E1E27"/>
    <w:rsid w:val="55BEFB27"/>
    <w:rsid w:val="58C23885"/>
    <w:rsid w:val="5960C7FE"/>
    <w:rsid w:val="5AED4206"/>
    <w:rsid w:val="5B1CD987"/>
    <w:rsid w:val="5B423698"/>
    <w:rsid w:val="5C04CC14"/>
    <w:rsid w:val="5C1D93B8"/>
    <w:rsid w:val="5C696FF1"/>
    <w:rsid w:val="5C7DF3F3"/>
    <w:rsid w:val="5CB15CC1"/>
    <w:rsid w:val="5D75BE57"/>
    <w:rsid w:val="5EC53260"/>
    <w:rsid w:val="5F2A4B75"/>
    <w:rsid w:val="6050D094"/>
    <w:rsid w:val="611D1B7A"/>
    <w:rsid w:val="6139B7AD"/>
    <w:rsid w:val="62AB4BE0"/>
    <w:rsid w:val="62B1FAFF"/>
    <w:rsid w:val="62C22452"/>
    <w:rsid w:val="63DF5585"/>
    <w:rsid w:val="640950AD"/>
    <w:rsid w:val="64645A9D"/>
    <w:rsid w:val="64B5CCEB"/>
    <w:rsid w:val="653F9E86"/>
    <w:rsid w:val="659A68F8"/>
    <w:rsid w:val="66114C1F"/>
    <w:rsid w:val="680AD296"/>
    <w:rsid w:val="683BF86A"/>
    <w:rsid w:val="693360C7"/>
    <w:rsid w:val="69DC2860"/>
    <w:rsid w:val="69E685EA"/>
    <w:rsid w:val="6A68BDB4"/>
    <w:rsid w:val="6CEAC34F"/>
    <w:rsid w:val="6D9C1DDD"/>
    <w:rsid w:val="6DF0C38A"/>
    <w:rsid w:val="6E28459A"/>
    <w:rsid w:val="6F5737FA"/>
    <w:rsid w:val="6FA5148D"/>
    <w:rsid w:val="6FBE3734"/>
    <w:rsid w:val="70102530"/>
    <w:rsid w:val="70C558CA"/>
    <w:rsid w:val="71043944"/>
    <w:rsid w:val="712D46B0"/>
    <w:rsid w:val="7147B506"/>
    <w:rsid w:val="716027A1"/>
    <w:rsid w:val="716B444D"/>
    <w:rsid w:val="724E9A5D"/>
    <w:rsid w:val="73F8EAEC"/>
    <w:rsid w:val="74373A3F"/>
    <w:rsid w:val="74E18C8B"/>
    <w:rsid w:val="750C9C6F"/>
    <w:rsid w:val="761AC80E"/>
    <w:rsid w:val="766C0ECA"/>
    <w:rsid w:val="7694A706"/>
    <w:rsid w:val="77A2A987"/>
    <w:rsid w:val="77C6E06E"/>
    <w:rsid w:val="798894CC"/>
    <w:rsid w:val="79F5445B"/>
    <w:rsid w:val="7A466026"/>
    <w:rsid w:val="7B35D080"/>
    <w:rsid w:val="7BE82F90"/>
    <w:rsid w:val="7C73C182"/>
    <w:rsid w:val="7CF55659"/>
    <w:rsid w:val="7F1E7358"/>
    <w:rsid w:val="7F23589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02B6F"/>
  <w15:chartTrackingRefBased/>
  <w15:docId w15:val="{C90E429C-9794-44D0-84AA-F7A4C14C5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link w:val="HeaderChar"/>
    <w:uiPriority w:val="99"/>
    <w:unhideWhenUsed/>
    <w:rsid w:val="00F353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388"/>
  </w:style>
  <w:style w:type="paragraph" w:styleId="Footer">
    <w:name w:val="footer"/>
    <w:basedOn w:val="Normal"/>
    <w:link w:val="FooterChar"/>
    <w:uiPriority w:val="99"/>
    <w:unhideWhenUsed/>
    <w:rsid w:val="00F353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388"/>
  </w:style>
  <w:style w:type="table" w:styleId="TableGrid">
    <w:name w:val="Table Grid"/>
    <w:basedOn w:val="TableNormal"/>
    <w:uiPriority w:val="59"/>
    <w:rsid w:val="00F35388"/>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44339">
      <w:bodyDiv w:val="1"/>
      <w:marLeft w:val="0"/>
      <w:marRight w:val="0"/>
      <w:marTop w:val="0"/>
      <w:marBottom w:val="0"/>
      <w:divBdr>
        <w:top w:val="none" w:sz="0" w:space="0" w:color="auto"/>
        <w:left w:val="none" w:sz="0" w:space="0" w:color="auto"/>
        <w:bottom w:val="none" w:sz="0" w:space="0" w:color="auto"/>
        <w:right w:val="none" w:sz="0" w:space="0" w:color="auto"/>
      </w:divBdr>
    </w:div>
    <w:div w:id="71195498">
      <w:bodyDiv w:val="1"/>
      <w:marLeft w:val="0"/>
      <w:marRight w:val="0"/>
      <w:marTop w:val="0"/>
      <w:marBottom w:val="0"/>
      <w:divBdr>
        <w:top w:val="none" w:sz="0" w:space="0" w:color="auto"/>
        <w:left w:val="none" w:sz="0" w:space="0" w:color="auto"/>
        <w:bottom w:val="none" w:sz="0" w:space="0" w:color="auto"/>
        <w:right w:val="none" w:sz="0" w:space="0" w:color="auto"/>
      </w:divBdr>
    </w:div>
    <w:div w:id="76172342">
      <w:bodyDiv w:val="1"/>
      <w:marLeft w:val="0"/>
      <w:marRight w:val="0"/>
      <w:marTop w:val="0"/>
      <w:marBottom w:val="0"/>
      <w:divBdr>
        <w:top w:val="none" w:sz="0" w:space="0" w:color="auto"/>
        <w:left w:val="none" w:sz="0" w:space="0" w:color="auto"/>
        <w:bottom w:val="none" w:sz="0" w:space="0" w:color="auto"/>
        <w:right w:val="none" w:sz="0" w:space="0" w:color="auto"/>
      </w:divBdr>
    </w:div>
    <w:div w:id="91898928">
      <w:bodyDiv w:val="1"/>
      <w:marLeft w:val="0"/>
      <w:marRight w:val="0"/>
      <w:marTop w:val="0"/>
      <w:marBottom w:val="0"/>
      <w:divBdr>
        <w:top w:val="none" w:sz="0" w:space="0" w:color="auto"/>
        <w:left w:val="none" w:sz="0" w:space="0" w:color="auto"/>
        <w:bottom w:val="none" w:sz="0" w:space="0" w:color="auto"/>
        <w:right w:val="none" w:sz="0" w:space="0" w:color="auto"/>
      </w:divBdr>
    </w:div>
    <w:div w:id="189497119">
      <w:bodyDiv w:val="1"/>
      <w:marLeft w:val="0"/>
      <w:marRight w:val="0"/>
      <w:marTop w:val="0"/>
      <w:marBottom w:val="0"/>
      <w:divBdr>
        <w:top w:val="none" w:sz="0" w:space="0" w:color="auto"/>
        <w:left w:val="none" w:sz="0" w:space="0" w:color="auto"/>
        <w:bottom w:val="none" w:sz="0" w:space="0" w:color="auto"/>
        <w:right w:val="none" w:sz="0" w:space="0" w:color="auto"/>
      </w:divBdr>
    </w:div>
    <w:div w:id="213539766">
      <w:bodyDiv w:val="1"/>
      <w:marLeft w:val="0"/>
      <w:marRight w:val="0"/>
      <w:marTop w:val="0"/>
      <w:marBottom w:val="0"/>
      <w:divBdr>
        <w:top w:val="none" w:sz="0" w:space="0" w:color="auto"/>
        <w:left w:val="none" w:sz="0" w:space="0" w:color="auto"/>
        <w:bottom w:val="none" w:sz="0" w:space="0" w:color="auto"/>
        <w:right w:val="none" w:sz="0" w:space="0" w:color="auto"/>
      </w:divBdr>
    </w:div>
    <w:div w:id="335036143">
      <w:bodyDiv w:val="1"/>
      <w:marLeft w:val="0"/>
      <w:marRight w:val="0"/>
      <w:marTop w:val="0"/>
      <w:marBottom w:val="0"/>
      <w:divBdr>
        <w:top w:val="none" w:sz="0" w:space="0" w:color="auto"/>
        <w:left w:val="none" w:sz="0" w:space="0" w:color="auto"/>
        <w:bottom w:val="none" w:sz="0" w:space="0" w:color="auto"/>
        <w:right w:val="none" w:sz="0" w:space="0" w:color="auto"/>
      </w:divBdr>
    </w:div>
    <w:div w:id="345062396">
      <w:bodyDiv w:val="1"/>
      <w:marLeft w:val="0"/>
      <w:marRight w:val="0"/>
      <w:marTop w:val="0"/>
      <w:marBottom w:val="0"/>
      <w:divBdr>
        <w:top w:val="none" w:sz="0" w:space="0" w:color="auto"/>
        <w:left w:val="none" w:sz="0" w:space="0" w:color="auto"/>
        <w:bottom w:val="none" w:sz="0" w:space="0" w:color="auto"/>
        <w:right w:val="none" w:sz="0" w:space="0" w:color="auto"/>
      </w:divBdr>
    </w:div>
    <w:div w:id="376702473">
      <w:bodyDiv w:val="1"/>
      <w:marLeft w:val="0"/>
      <w:marRight w:val="0"/>
      <w:marTop w:val="0"/>
      <w:marBottom w:val="0"/>
      <w:divBdr>
        <w:top w:val="none" w:sz="0" w:space="0" w:color="auto"/>
        <w:left w:val="none" w:sz="0" w:space="0" w:color="auto"/>
        <w:bottom w:val="none" w:sz="0" w:space="0" w:color="auto"/>
        <w:right w:val="none" w:sz="0" w:space="0" w:color="auto"/>
      </w:divBdr>
    </w:div>
    <w:div w:id="428232920">
      <w:bodyDiv w:val="1"/>
      <w:marLeft w:val="0"/>
      <w:marRight w:val="0"/>
      <w:marTop w:val="0"/>
      <w:marBottom w:val="0"/>
      <w:divBdr>
        <w:top w:val="none" w:sz="0" w:space="0" w:color="auto"/>
        <w:left w:val="none" w:sz="0" w:space="0" w:color="auto"/>
        <w:bottom w:val="none" w:sz="0" w:space="0" w:color="auto"/>
        <w:right w:val="none" w:sz="0" w:space="0" w:color="auto"/>
      </w:divBdr>
    </w:div>
    <w:div w:id="558514111">
      <w:bodyDiv w:val="1"/>
      <w:marLeft w:val="0"/>
      <w:marRight w:val="0"/>
      <w:marTop w:val="0"/>
      <w:marBottom w:val="0"/>
      <w:divBdr>
        <w:top w:val="none" w:sz="0" w:space="0" w:color="auto"/>
        <w:left w:val="none" w:sz="0" w:space="0" w:color="auto"/>
        <w:bottom w:val="none" w:sz="0" w:space="0" w:color="auto"/>
        <w:right w:val="none" w:sz="0" w:space="0" w:color="auto"/>
      </w:divBdr>
    </w:div>
    <w:div w:id="590285355">
      <w:bodyDiv w:val="1"/>
      <w:marLeft w:val="0"/>
      <w:marRight w:val="0"/>
      <w:marTop w:val="0"/>
      <w:marBottom w:val="0"/>
      <w:divBdr>
        <w:top w:val="none" w:sz="0" w:space="0" w:color="auto"/>
        <w:left w:val="none" w:sz="0" w:space="0" w:color="auto"/>
        <w:bottom w:val="none" w:sz="0" w:space="0" w:color="auto"/>
        <w:right w:val="none" w:sz="0" w:space="0" w:color="auto"/>
      </w:divBdr>
    </w:div>
    <w:div w:id="701590943">
      <w:bodyDiv w:val="1"/>
      <w:marLeft w:val="0"/>
      <w:marRight w:val="0"/>
      <w:marTop w:val="0"/>
      <w:marBottom w:val="0"/>
      <w:divBdr>
        <w:top w:val="none" w:sz="0" w:space="0" w:color="auto"/>
        <w:left w:val="none" w:sz="0" w:space="0" w:color="auto"/>
        <w:bottom w:val="none" w:sz="0" w:space="0" w:color="auto"/>
        <w:right w:val="none" w:sz="0" w:space="0" w:color="auto"/>
      </w:divBdr>
    </w:div>
    <w:div w:id="772628574">
      <w:bodyDiv w:val="1"/>
      <w:marLeft w:val="0"/>
      <w:marRight w:val="0"/>
      <w:marTop w:val="0"/>
      <w:marBottom w:val="0"/>
      <w:divBdr>
        <w:top w:val="none" w:sz="0" w:space="0" w:color="auto"/>
        <w:left w:val="none" w:sz="0" w:space="0" w:color="auto"/>
        <w:bottom w:val="none" w:sz="0" w:space="0" w:color="auto"/>
        <w:right w:val="none" w:sz="0" w:space="0" w:color="auto"/>
      </w:divBdr>
    </w:div>
    <w:div w:id="830289731">
      <w:bodyDiv w:val="1"/>
      <w:marLeft w:val="0"/>
      <w:marRight w:val="0"/>
      <w:marTop w:val="0"/>
      <w:marBottom w:val="0"/>
      <w:divBdr>
        <w:top w:val="none" w:sz="0" w:space="0" w:color="auto"/>
        <w:left w:val="none" w:sz="0" w:space="0" w:color="auto"/>
        <w:bottom w:val="none" w:sz="0" w:space="0" w:color="auto"/>
        <w:right w:val="none" w:sz="0" w:space="0" w:color="auto"/>
      </w:divBdr>
    </w:div>
    <w:div w:id="1046561142">
      <w:bodyDiv w:val="1"/>
      <w:marLeft w:val="0"/>
      <w:marRight w:val="0"/>
      <w:marTop w:val="0"/>
      <w:marBottom w:val="0"/>
      <w:divBdr>
        <w:top w:val="none" w:sz="0" w:space="0" w:color="auto"/>
        <w:left w:val="none" w:sz="0" w:space="0" w:color="auto"/>
        <w:bottom w:val="none" w:sz="0" w:space="0" w:color="auto"/>
        <w:right w:val="none" w:sz="0" w:space="0" w:color="auto"/>
      </w:divBdr>
    </w:div>
    <w:div w:id="1049183878">
      <w:bodyDiv w:val="1"/>
      <w:marLeft w:val="0"/>
      <w:marRight w:val="0"/>
      <w:marTop w:val="0"/>
      <w:marBottom w:val="0"/>
      <w:divBdr>
        <w:top w:val="none" w:sz="0" w:space="0" w:color="auto"/>
        <w:left w:val="none" w:sz="0" w:space="0" w:color="auto"/>
        <w:bottom w:val="none" w:sz="0" w:space="0" w:color="auto"/>
        <w:right w:val="none" w:sz="0" w:space="0" w:color="auto"/>
      </w:divBdr>
    </w:div>
    <w:div w:id="1122960154">
      <w:bodyDiv w:val="1"/>
      <w:marLeft w:val="0"/>
      <w:marRight w:val="0"/>
      <w:marTop w:val="0"/>
      <w:marBottom w:val="0"/>
      <w:divBdr>
        <w:top w:val="none" w:sz="0" w:space="0" w:color="auto"/>
        <w:left w:val="none" w:sz="0" w:space="0" w:color="auto"/>
        <w:bottom w:val="none" w:sz="0" w:space="0" w:color="auto"/>
        <w:right w:val="none" w:sz="0" w:space="0" w:color="auto"/>
      </w:divBdr>
    </w:div>
    <w:div w:id="1182161835">
      <w:bodyDiv w:val="1"/>
      <w:marLeft w:val="0"/>
      <w:marRight w:val="0"/>
      <w:marTop w:val="0"/>
      <w:marBottom w:val="0"/>
      <w:divBdr>
        <w:top w:val="none" w:sz="0" w:space="0" w:color="auto"/>
        <w:left w:val="none" w:sz="0" w:space="0" w:color="auto"/>
        <w:bottom w:val="none" w:sz="0" w:space="0" w:color="auto"/>
        <w:right w:val="none" w:sz="0" w:space="0" w:color="auto"/>
      </w:divBdr>
    </w:div>
    <w:div w:id="1222520101">
      <w:bodyDiv w:val="1"/>
      <w:marLeft w:val="0"/>
      <w:marRight w:val="0"/>
      <w:marTop w:val="0"/>
      <w:marBottom w:val="0"/>
      <w:divBdr>
        <w:top w:val="none" w:sz="0" w:space="0" w:color="auto"/>
        <w:left w:val="none" w:sz="0" w:space="0" w:color="auto"/>
        <w:bottom w:val="none" w:sz="0" w:space="0" w:color="auto"/>
        <w:right w:val="none" w:sz="0" w:space="0" w:color="auto"/>
      </w:divBdr>
    </w:div>
    <w:div w:id="1326393893">
      <w:bodyDiv w:val="1"/>
      <w:marLeft w:val="0"/>
      <w:marRight w:val="0"/>
      <w:marTop w:val="0"/>
      <w:marBottom w:val="0"/>
      <w:divBdr>
        <w:top w:val="none" w:sz="0" w:space="0" w:color="auto"/>
        <w:left w:val="none" w:sz="0" w:space="0" w:color="auto"/>
        <w:bottom w:val="none" w:sz="0" w:space="0" w:color="auto"/>
        <w:right w:val="none" w:sz="0" w:space="0" w:color="auto"/>
      </w:divBdr>
    </w:div>
    <w:div w:id="1334914763">
      <w:bodyDiv w:val="1"/>
      <w:marLeft w:val="0"/>
      <w:marRight w:val="0"/>
      <w:marTop w:val="0"/>
      <w:marBottom w:val="0"/>
      <w:divBdr>
        <w:top w:val="none" w:sz="0" w:space="0" w:color="auto"/>
        <w:left w:val="none" w:sz="0" w:space="0" w:color="auto"/>
        <w:bottom w:val="none" w:sz="0" w:space="0" w:color="auto"/>
        <w:right w:val="none" w:sz="0" w:space="0" w:color="auto"/>
      </w:divBdr>
    </w:div>
    <w:div w:id="1407458990">
      <w:bodyDiv w:val="1"/>
      <w:marLeft w:val="0"/>
      <w:marRight w:val="0"/>
      <w:marTop w:val="0"/>
      <w:marBottom w:val="0"/>
      <w:divBdr>
        <w:top w:val="none" w:sz="0" w:space="0" w:color="auto"/>
        <w:left w:val="none" w:sz="0" w:space="0" w:color="auto"/>
        <w:bottom w:val="none" w:sz="0" w:space="0" w:color="auto"/>
        <w:right w:val="none" w:sz="0" w:space="0" w:color="auto"/>
      </w:divBdr>
    </w:div>
    <w:div w:id="1524707069">
      <w:bodyDiv w:val="1"/>
      <w:marLeft w:val="0"/>
      <w:marRight w:val="0"/>
      <w:marTop w:val="0"/>
      <w:marBottom w:val="0"/>
      <w:divBdr>
        <w:top w:val="none" w:sz="0" w:space="0" w:color="auto"/>
        <w:left w:val="none" w:sz="0" w:space="0" w:color="auto"/>
        <w:bottom w:val="none" w:sz="0" w:space="0" w:color="auto"/>
        <w:right w:val="none" w:sz="0" w:space="0" w:color="auto"/>
      </w:divBdr>
    </w:div>
    <w:div w:id="1676876706">
      <w:bodyDiv w:val="1"/>
      <w:marLeft w:val="0"/>
      <w:marRight w:val="0"/>
      <w:marTop w:val="0"/>
      <w:marBottom w:val="0"/>
      <w:divBdr>
        <w:top w:val="none" w:sz="0" w:space="0" w:color="auto"/>
        <w:left w:val="none" w:sz="0" w:space="0" w:color="auto"/>
        <w:bottom w:val="none" w:sz="0" w:space="0" w:color="auto"/>
        <w:right w:val="none" w:sz="0" w:space="0" w:color="auto"/>
      </w:divBdr>
    </w:div>
    <w:div w:id="1753045154">
      <w:bodyDiv w:val="1"/>
      <w:marLeft w:val="0"/>
      <w:marRight w:val="0"/>
      <w:marTop w:val="0"/>
      <w:marBottom w:val="0"/>
      <w:divBdr>
        <w:top w:val="none" w:sz="0" w:space="0" w:color="auto"/>
        <w:left w:val="none" w:sz="0" w:space="0" w:color="auto"/>
        <w:bottom w:val="none" w:sz="0" w:space="0" w:color="auto"/>
        <w:right w:val="none" w:sz="0" w:space="0" w:color="auto"/>
      </w:divBdr>
    </w:div>
    <w:div w:id="1765614596">
      <w:bodyDiv w:val="1"/>
      <w:marLeft w:val="0"/>
      <w:marRight w:val="0"/>
      <w:marTop w:val="0"/>
      <w:marBottom w:val="0"/>
      <w:divBdr>
        <w:top w:val="none" w:sz="0" w:space="0" w:color="auto"/>
        <w:left w:val="none" w:sz="0" w:space="0" w:color="auto"/>
        <w:bottom w:val="none" w:sz="0" w:space="0" w:color="auto"/>
        <w:right w:val="none" w:sz="0" w:space="0" w:color="auto"/>
      </w:divBdr>
    </w:div>
    <w:div w:id="1797679802">
      <w:bodyDiv w:val="1"/>
      <w:marLeft w:val="0"/>
      <w:marRight w:val="0"/>
      <w:marTop w:val="0"/>
      <w:marBottom w:val="0"/>
      <w:divBdr>
        <w:top w:val="none" w:sz="0" w:space="0" w:color="auto"/>
        <w:left w:val="none" w:sz="0" w:space="0" w:color="auto"/>
        <w:bottom w:val="none" w:sz="0" w:space="0" w:color="auto"/>
        <w:right w:val="none" w:sz="0" w:space="0" w:color="auto"/>
      </w:divBdr>
    </w:div>
    <w:div w:id="1880433184">
      <w:bodyDiv w:val="1"/>
      <w:marLeft w:val="0"/>
      <w:marRight w:val="0"/>
      <w:marTop w:val="0"/>
      <w:marBottom w:val="0"/>
      <w:divBdr>
        <w:top w:val="none" w:sz="0" w:space="0" w:color="auto"/>
        <w:left w:val="none" w:sz="0" w:space="0" w:color="auto"/>
        <w:bottom w:val="none" w:sz="0" w:space="0" w:color="auto"/>
        <w:right w:val="none" w:sz="0" w:space="0" w:color="auto"/>
      </w:divBdr>
    </w:div>
    <w:div w:id="1949309661">
      <w:bodyDiv w:val="1"/>
      <w:marLeft w:val="0"/>
      <w:marRight w:val="0"/>
      <w:marTop w:val="0"/>
      <w:marBottom w:val="0"/>
      <w:divBdr>
        <w:top w:val="none" w:sz="0" w:space="0" w:color="auto"/>
        <w:left w:val="none" w:sz="0" w:space="0" w:color="auto"/>
        <w:bottom w:val="none" w:sz="0" w:space="0" w:color="auto"/>
        <w:right w:val="none" w:sz="0" w:space="0" w:color="auto"/>
      </w:divBdr>
    </w:div>
    <w:div w:id="1951889110">
      <w:bodyDiv w:val="1"/>
      <w:marLeft w:val="0"/>
      <w:marRight w:val="0"/>
      <w:marTop w:val="0"/>
      <w:marBottom w:val="0"/>
      <w:divBdr>
        <w:top w:val="none" w:sz="0" w:space="0" w:color="auto"/>
        <w:left w:val="none" w:sz="0" w:space="0" w:color="auto"/>
        <w:bottom w:val="none" w:sz="0" w:space="0" w:color="auto"/>
        <w:right w:val="none" w:sz="0" w:space="0" w:color="auto"/>
      </w:divBdr>
    </w:div>
    <w:div w:id="1957906543">
      <w:bodyDiv w:val="1"/>
      <w:marLeft w:val="0"/>
      <w:marRight w:val="0"/>
      <w:marTop w:val="0"/>
      <w:marBottom w:val="0"/>
      <w:divBdr>
        <w:top w:val="none" w:sz="0" w:space="0" w:color="auto"/>
        <w:left w:val="none" w:sz="0" w:space="0" w:color="auto"/>
        <w:bottom w:val="none" w:sz="0" w:space="0" w:color="auto"/>
        <w:right w:val="none" w:sz="0" w:space="0" w:color="auto"/>
      </w:divBdr>
    </w:div>
    <w:div w:id="1970627515">
      <w:bodyDiv w:val="1"/>
      <w:marLeft w:val="0"/>
      <w:marRight w:val="0"/>
      <w:marTop w:val="0"/>
      <w:marBottom w:val="0"/>
      <w:divBdr>
        <w:top w:val="none" w:sz="0" w:space="0" w:color="auto"/>
        <w:left w:val="none" w:sz="0" w:space="0" w:color="auto"/>
        <w:bottom w:val="none" w:sz="0" w:space="0" w:color="auto"/>
        <w:right w:val="none" w:sz="0" w:space="0" w:color="auto"/>
      </w:divBdr>
    </w:div>
    <w:div w:id="2032994668">
      <w:bodyDiv w:val="1"/>
      <w:marLeft w:val="0"/>
      <w:marRight w:val="0"/>
      <w:marTop w:val="0"/>
      <w:marBottom w:val="0"/>
      <w:divBdr>
        <w:top w:val="none" w:sz="0" w:space="0" w:color="auto"/>
        <w:left w:val="none" w:sz="0" w:space="0" w:color="auto"/>
        <w:bottom w:val="none" w:sz="0" w:space="0" w:color="auto"/>
        <w:right w:val="none" w:sz="0" w:space="0" w:color="auto"/>
      </w:divBdr>
    </w:div>
    <w:div w:id="2047486804">
      <w:bodyDiv w:val="1"/>
      <w:marLeft w:val="0"/>
      <w:marRight w:val="0"/>
      <w:marTop w:val="0"/>
      <w:marBottom w:val="0"/>
      <w:divBdr>
        <w:top w:val="none" w:sz="0" w:space="0" w:color="auto"/>
        <w:left w:val="none" w:sz="0" w:space="0" w:color="auto"/>
        <w:bottom w:val="none" w:sz="0" w:space="0" w:color="auto"/>
        <w:right w:val="none" w:sz="0" w:space="0" w:color="auto"/>
      </w:divBdr>
    </w:div>
    <w:div w:id="2053112215">
      <w:bodyDiv w:val="1"/>
      <w:marLeft w:val="0"/>
      <w:marRight w:val="0"/>
      <w:marTop w:val="0"/>
      <w:marBottom w:val="0"/>
      <w:divBdr>
        <w:top w:val="none" w:sz="0" w:space="0" w:color="auto"/>
        <w:left w:val="none" w:sz="0" w:space="0" w:color="auto"/>
        <w:bottom w:val="none" w:sz="0" w:space="0" w:color="auto"/>
        <w:right w:val="none" w:sz="0" w:space="0" w:color="auto"/>
      </w:divBdr>
    </w:div>
    <w:div w:id="2057002138">
      <w:bodyDiv w:val="1"/>
      <w:marLeft w:val="0"/>
      <w:marRight w:val="0"/>
      <w:marTop w:val="0"/>
      <w:marBottom w:val="0"/>
      <w:divBdr>
        <w:top w:val="none" w:sz="0" w:space="0" w:color="auto"/>
        <w:left w:val="none" w:sz="0" w:space="0" w:color="auto"/>
        <w:bottom w:val="none" w:sz="0" w:space="0" w:color="auto"/>
        <w:right w:val="none" w:sz="0" w:space="0" w:color="auto"/>
      </w:divBdr>
    </w:div>
    <w:div w:id="2074498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footer" Target="footer1.xml"/><Relationship Id="rId12"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5951</Words>
  <Characters>33924</Characters>
  <Application>Microsoft Office Word</Application>
  <DocSecurity>4</DocSecurity>
  <Lines>282</Lines>
  <Paragraphs>79</Paragraphs>
  <ScaleCrop>false</ScaleCrop>
  <Company/>
  <LinksUpToDate>false</LinksUpToDate>
  <CharactersWithSpaces>39796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Holifield (Welsh Ambulance Service NHS Trust)</dc:creator>
  <cp:keywords/>
  <dc:description/>
  <cp:lastModifiedBy>Kate Holifield (Welsh Ambulance Service NHS Trust)</cp:lastModifiedBy>
  <cp:revision>135</cp:revision>
  <dcterms:created xsi:type="dcterms:W3CDTF">2024-09-27T22:06:00Z</dcterms:created>
  <dcterms:modified xsi:type="dcterms:W3CDTF">2025-02-17T01:20:00Z</dcterms:modified>
</cp:coreProperties>
</file>