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29291" w14:textId="18360EC9" w:rsidR="004C2D93" w:rsidRPr="004C2D93" w:rsidRDefault="004C2D93" w:rsidP="004C2D93">
      <w:pPr>
        <w:spacing w:after="120" w:line="240" w:lineRule="auto"/>
        <w:rPr>
          <w:rFonts w:ascii="Times New Roman" w:hAnsi="Times New Roman" w:cs="Times New Roman"/>
          <w:b/>
          <w:bCs/>
          <w:sz w:val="28"/>
          <w:szCs w:val="28"/>
          <w:lang w:val="en-GB"/>
        </w:rPr>
      </w:pPr>
    </w:p>
    <w:p w14:paraId="58FD84E3" w14:textId="77777777" w:rsidR="004C2D93" w:rsidRPr="004C2D93" w:rsidRDefault="004C2D93" w:rsidP="004C2D93">
      <w:pPr>
        <w:spacing w:after="0" w:line="240" w:lineRule="auto"/>
        <w:jc w:val="center"/>
        <w:rPr>
          <w:rFonts w:ascii="Times New Roman" w:eastAsia="MS Minngs" w:hAnsi="Times New Roman" w:cs="Times New Roman"/>
          <w:b/>
          <w:bCs/>
          <w:sz w:val="28"/>
          <w:szCs w:val="28"/>
          <w:lang w:val="en-GB" w:eastAsia="en-GB"/>
        </w:rPr>
      </w:pPr>
      <w:r w:rsidRPr="004C2D93">
        <w:rPr>
          <w:rFonts w:ascii="Times New Roman" w:eastAsia="MS Minngs" w:hAnsi="Times New Roman" w:cs="Times New Roman"/>
          <w:b/>
          <w:bCs/>
          <w:sz w:val="28"/>
          <w:szCs w:val="28"/>
          <w:lang w:val="en-GB" w:eastAsia="en-GB"/>
        </w:rPr>
        <w:t>School of Sport, Health &amp; Outdoor Education</w:t>
      </w:r>
    </w:p>
    <w:p w14:paraId="10DFEBDC" w14:textId="77777777" w:rsidR="004C2D93" w:rsidRPr="004C2D93" w:rsidRDefault="004C2D93" w:rsidP="004C2D93">
      <w:pPr>
        <w:spacing w:after="0" w:line="276" w:lineRule="auto"/>
        <w:rPr>
          <w:b/>
          <w:bCs/>
          <w:sz w:val="16"/>
          <w:szCs w:val="16"/>
          <w:lang w:val="en-GB"/>
        </w:rPr>
      </w:pPr>
    </w:p>
    <w:p w14:paraId="7967FFE8" w14:textId="77777777" w:rsidR="004C2D93" w:rsidRPr="004C2D93" w:rsidRDefault="004C2D93" w:rsidP="004C2D93">
      <w:pPr>
        <w:spacing w:after="0" w:line="240" w:lineRule="auto"/>
        <w:jc w:val="center"/>
        <w:rPr>
          <w:rFonts w:ascii="Times New Roman" w:eastAsia="MS Minngs" w:hAnsi="Times New Roman" w:cs="Times New Roman"/>
          <w:sz w:val="32"/>
          <w:szCs w:val="32"/>
          <w:u w:val="single"/>
          <w:lang w:val="en-GB" w:eastAsia="en-GB"/>
        </w:rPr>
      </w:pPr>
      <w:r w:rsidRPr="004C2D93">
        <w:rPr>
          <w:rFonts w:ascii="Times New Roman" w:eastAsia="MS Minngs" w:hAnsi="Times New Roman" w:cs="Times New Roman"/>
          <w:sz w:val="32"/>
          <w:szCs w:val="32"/>
          <w:u w:val="single"/>
          <w:lang w:val="en-GB" w:eastAsia="en-GB"/>
        </w:rPr>
        <w:t>Assessment Feedback Sheet</w:t>
      </w:r>
    </w:p>
    <w:p w14:paraId="25D14ED6" w14:textId="77777777" w:rsidR="004C2D93" w:rsidRPr="004C2D93" w:rsidRDefault="004C2D93" w:rsidP="004C2D93">
      <w:pPr>
        <w:spacing w:after="0" w:line="240" w:lineRule="auto"/>
        <w:jc w:val="center"/>
        <w:rPr>
          <w:rFonts w:ascii="Times New Roman" w:eastAsia="MS Minngs" w:hAnsi="Times New Roman" w:cs="Times New Roman"/>
          <w:sz w:val="16"/>
          <w:szCs w:val="16"/>
          <w:u w:val="single"/>
          <w:lang w:val="en-GB" w:eastAsia="en-GB"/>
        </w:rPr>
      </w:pPr>
    </w:p>
    <w:p w14:paraId="69CA1C6A" w14:textId="652249D8" w:rsidR="004C2D93" w:rsidRPr="004C2D93" w:rsidRDefault="004C2D93" w:rsidP="004C2D93">
      <w:pPr>
        <w:spacing w:after="0" w:line="240" w:lineRule="auto"/>
        <w:jc w:val="both"/>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bCs/>
          <w:sz w:val="24"/>
          <w:szCs w:val="24"/>
          <w:lang w:val="en-GB" w:eastAsia="en-GB"/>
        </w:rPr>
        <w:tab/>
        <w:t xml:space="preserve">                Student No./Name:</w:t>
      </w:r>
      <w:r>
        <w:rPr>
          <w:rFonts w:ascii="Times New Roman" w:eastAsia="MS Minngs" w:hAnsi="Times New Roman" w:cs="Times New Roman"/>
          <w:b/>
          <w:bCs/>
          <w:sz w:val="24"/>
          <w:szCs w:val="24"/>
          <w:lang w:val="en-GB" w:eastAsia="en-GB"/>
        </w:rPr>
        <w:t xml:space="preserve"> 1901872/Lauren Rustage</w:t>
      </w:r>
      <w:r w:rsidRPr="004C2D93">
        <w:rPr>
          <w:rFonts w:ascii="Times New Roman" w:eastAsia="MS Minngs" w:hAnsi="Times New Roman" w:cs="Times New Roman"/>
          <w:b/>
          <w:bCs/>
          <w:sz w:val="24"/>
          <w:szCs w:val="24"/>
          <w:lang w:val="en-GB" w:eastAsia="en-GB"/>
        </w:rPr>
        <w:tab/>
      </w:r>
    </w:p>
    <w:p w14:paraId="09B102F3" w14:textId="2A899FC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bCs/>
          <w:sz w:val="24"/>
          <w:szCs w:val="24"/>
          <w:lang w:val="en-GB" w:eastAsia="en-GB"/>
        </w:rPr>
        <w:t xml:space="preserve">                            Module: Introduction to Sport and Exercise Psychology</w:t>
      </w:r>
      <w:r w:rsidRPr="004C2D93">
        <w:rPr>
          <w:rFonts w:ascii="Times New Roman" w:eastAsia="MS Minngs" w:hAnsi="Times New Roman" w:cs="Times New Roman"/>
          <w:sz w:val="24"/>
          <w:szCs w:val="24"/>
          <w:lang w:val="en-GB" w:eastAsia="en-GB"/>
        </w:rPr>
        <w:t xml:space="preserve"> </w:t>
      </w:r>
    </w:p>
    <w:p w14:paraId="66CAE217" w14:textId="55DCF1D3" w:rsidR="004C2D93" w:rsidRPr="004C2D93" w:rsidRDefault="004C2D93" w:rsidP="004C2D93">
      <w:pPr>
        <w:spacing w:after="0" w:line="240" w:lineRule="auto"/>
        <w:rPr>
          <w:rFonts w:ascii="Times New Roman" w:eastAsia="MS Minngs" w:hAnsi="Times New Roman" w:cs="Times New Roman"/>
          <w:bCs/>
          <w:sz w:val="24"/>
          <w:szCs w:val="24"/>
          <w:lang w:val="en-GB" w:eastAsia="en-GB"/>
        </w:rPr>
      </w:pPr>
      <w:r w:rsidRPr="004C2D93">
        <w:rPr>
          <w:rFonts w:ascii="Times New Roman" w:eastAsia="MS Minngs" w:hAnsi="Times New Roman" w:cs="Times New Roman"/>
          <w:b/>
          <w:sz w:val="24"/>
          <w:szCs w:val="24"/>
          <w:lang w:val="en-GB" w:eastAsia="en-GB"/>
        </w:rPr>
        <w:t xml:space="preserve">                             Module Code:</w:t>
      </w:r>
      <w:r w:rsidRPr="004C2D93">
        <w:rPr>
          <w:rFonts w:ascii="Times New Roman" w:eastAsia="MS Minngs" w:hAnsi="Times New Roman" w:cs="Times New Roman"/>
          <w:sz w:val="24"/>
          <w:szCs w:val="24"/>
          <w:lang w:val="en-GB" w:eastAsia="en-GB"/>
        </w:rPr>
        <w:t xml:space="preserve"> </w:t>
      </w:r>
      <w:r w:rsidRPr="004C2D93">
        <w:rPr>
          <w:rFonts w:ascii="Times New Roman" w:eastAsia="MS Minngs" w:hAnsi="Times New Roman" w:cs="Times New Roman"/>
          <w:bCs/>
          <w:sz w:val="24"/>
          <w:szCs w:val="24"/>
          <w:lang w:val="en-GB" w:eastAsia="en-GB"/>
        </w:rPr>
        <w:t>SHSS4086</w:t>
      </w:r>
    </w:p>
    <w:p w14:paraId="105086F1" w14:textId="77777777" w:rsidR="004C2D93" w:rsidRPr="004C2D93" w:rsidRDefault="004C2D93" w:rsidP="004C2D93">
      <w:pPr>
        <w:spacing w:after="0" w:line="240" w:lineRule="auto"/>
        <w:rPr>
          <w:rFonts w:ascii="Times New Roman" w:eastAsia="MS Minngs" w:hAnsi="Times New Roman" w:cs="Times New Roman"/>
          <w:b/>
          <w:bCs/>
          <w:sz w:val="16"/>
          <w:szCs w:val="16"/>
          <w:u w:val="single"/>
          <w:lang w:val="en-GB" w:eastAsia="en-GB"/>
        </w:rPr>
      </w:pPr>
    </w:p>
    <w:p w14:paraId="7C558551" w14:textId="77777777" w:rsidR="004C2D93" w:rsidRPr="004C2D93" w:rsidRDefault="004C2D93" w:rsidP="004C2D93">
      <w:pPr>
        <w:spacing w:after="0" w:line="240" w:lineRule="auto"/>
        <w:rPr>
          <w:rFonts w:ascii="Times New Roman" w:eastAsia="MS Minngs" w:hAnsi="Times New Roman" w:cs="Times New Roman"/>
          <w:b/>
          <w:bCs/>
          <w:sz w:val="16"/>
          <w:szCs w:val="16"/>
          <w:u w:val="single"/>
          <w:lang w:val="en-GB"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795"/>
        <w:gridCol w:w="848"/>
      </w:tblGrid>
      <w:tr w:rsidR="004C2D93" w:rsidRPr="004C2D93" w14:paraId="2C113356" w14:textId="77777777" w:rsidTr="77D4052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7E87659" w14:textId="77777777" w:rsidR="004C2D93" w:rsidRPr="004C2D93" w:rsidRDefault="004C2D93" w:rsidP="004C2D93">
            <w:pPr>
              <w:spacing w:after="0" w:line="240" w:lineRule="auto"/>
              <w:jc w:val="center"/>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sz w:val="18"/>
                <w:szCs w:val="18"/>
                <w:lang w:val="en-GB" w:eastAsia="en-GB"/>
              </w:rPr>
              <w:t>Personal Evaluation</w:t>
            </w:r>
            <w:r w:rsidRPr="004C2D93">
              <w:rPr>
                <w:rFonts w:ascii="Times New Roman" w:eastAsia="MS Minngs" w:hAnsi="Times New Roman" w:cs="Times New Roman"/>
                <w:bCs/>
                <w:sz w:val="18"/>
                <w:szCs w:val="18"/>
                <w:lang w:val="en-GB" w:eastAsia="en-GB"/>
              </w:rPr>
              <w:t xml:space="preserve"> – to support your academic progress please complete the section below </w:t>
            </w:r>
            <w:r w:rsidRPr="004C2D93">
              <w:rPr>
                <w:rFonts w:ascii="Times New Roman" w:eastAsia="MS Minngs" w:hAnsi="Times New Roman" w:cs="Times New Roman"/>
                <w:b/>
                <w:bCs/>
                <w:sz w:val="18"/>
                <w:szCs w:val="18"/>
                <w:u w:val="single"/>
                <w:lang w:val="en-GB" w:eastAsia="en-GB"/>
              </w:rPr>
              <w:t>BEFORE</w:t>
            </w:r>
            <w:r w:rsidRPr="004C2D93">
              <w:rPr>
                <w:rFonts w:ascii="Times New Roman" w:eastAsia="MS Minngs" w:hAnsi="Times New Roman" w:cs="Times New Roman"/>
                <w:bCs/>
                <w:sz w:val="18"/>
                <w:szCs w:val="18"/>
                <w:lang w:val="en-GB" w:eastAsia="en-GB"/>
              </w:rPr>
              <w:t xml:space="preserve"> submitting your work.</w:t>
            </w:r>
          </w:p>
        </w:tc>
      </w:tr>
      <w:tr w:rsidR="004C2D93" w:rsidRPr="004C2D93" w14:paraId="15FAB0ED" w14:textId="77777777" w:rsidTr="77D4052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AEB3F96" w14:textId="77777777" w:rsidR="004C2D93" w:rsidRPr="004C2D93" w:rsidRDefault="004C2D93" w:rsidP="004C2D93">
            <w:pPr>
              <w:spacing w:after="0" w:line="276" w:lineRule="auto"/>
              <w:ind w:left="113" w:right="113"/>
              <w:rPr>
                <w:sz w:val="16"/>
                <w:szCs w:val="16"/>
                <w:lang w:val="en-GB"/>
              </w:rPr>
            </w:pPr>
            <w:r w:rsidRPr="004C2D93">
              <w:rPr>
                <w:bCs/>
                <w:sz w:val="18"/>
                <w:szCs w:val="18"/>
                <w:lang w:val="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DF33310" w14:textId="7BEB55C5" w:rsidR="004C2D93" w:rsidRPr="00390732" w:rsidRDefault="00390732" w:rsidP="004C2D93">
            <w:pPr>
              <w:spacing w:after="0" w:line="240" w:lineRule="auto"/>
              <w:jc w:val="center"/>
              <w:rPr>
                <w:rFonts w:ascii="Times New Roman" w:eastAsia="MS Minngs" w:hAnsi="Times New Roman" w:cs="Times New Roman"/>
                <w:sz w:val="24"/>
                <w:szCs w:val="24"/>
                <w:lang w:val="en-GB" w:eastAsia="en-GB"/>
              </w:rPr>
            </w:pPr>
            <w:r>
              <w:rPr>
                <w:rFonts w:ascii="Times New Roman" w:eastAsia="MS Minngs" w:hAnsi="Times New Roman" w:cs="Times New Roman"/>
                <w:sz w:val="24"/>
                <w:szCs w:val="24"/>
                <w:lang w:val="en-GB" w:eastAsia="en-GB"/>
              </w:rPr>
              <w:t xml:space="preserve">I researched many barriers and strategies </w:t>
            </w:r>
            <w:r w:rsidR="005E1A43">
              <w:rPr>
                <w:rFonts w:ascii="Times New Roman" w:eastAsia="MS Minngs" w:hAnsi="Times New Roman" w:cs="Times New Roman"/>
                <w:sz w:val="24"/>
                <w:szCs w:val="24"/>
                <w:lang w:val="en-GB" w:eastAsia="en-GB"/>
              </w:rPr>
              <w:t>which allowed me to have good subject knowledge.</w:t>
            </w:r>
          </w:p>
        </w:tc>
      </w:tr>
      <w:tr w:rsidR="004C2D93" w:rsidRPr="004C2D93" w14:paraId="0277BA10" w14:textId="77777777" w:rsidTr="77D4052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622BD8" w14:textId="77777777" w:rsidR="004C2D93" w:rsidRPr="004C2D93" w:rsidRDefault="004C2D93" w:rsidP="004C2D93">
            <w:pPr>
              <w:spacing w:after="0" w:line="276" w:lineRule="auto"/>
              <w:ind w:left="113" w:right="113"/>
              <w:rPr>
                <w:sz w:val="16"/>
                <w:szCs w:val="16"/>
                <w:lang w:val="en-GB"/>
              </w:rPr>
            </w:pPr>
            <w:r w:rsidRPr="004C2D93">
              <w:rPr>
                <w:bCs/>
                <w:sz w:val="18"/>
                <w:szCs w:val="18"/>
                <w:lang w:val="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A38DCB4" w14:textId="4362878A" w:rsidR="004C2D93" w:rsidRPr="005E1A43" w:rsidRDefault="005E1A43" w:rsidP="004C2D93">
            <w:pPr>
              <w:spacing w:after="0" w:line="240" w:lineRule="auto"/>
              <w:jc w:val="center"/>
              <w:rPr>
                <w:rFonts w:ascii="Times New Roman" w:eastAsia="MS Minngs" w:hAnsi="Times New Roman" w:cs="Times New Roman"/>
                <w:sz w:val="24"/>
                <w:szCs w:val="24"/>
                <w:lang w:val="en-GB" w:eastAsia="en-GB"/>
              </w:rPr>
            </w:pPr>
            <w:r>
              <w:rPr>
                <w:rFonts w:ascii="Times New Roman" w:eastAsia="MS Minngs" w:hAnsi="Times New Roman" w:cs="Times New Roman"/>
                <w:sz w:val="24"/>
                <w:szCs w:val="24"/>
                <w:lang w:val="en-GB" w:eastAsia="en-GB"/>
              </w:rPr>
              <w:t>Planning exactly what I was going to say may have helped me when writing the essay.</w:t>
            </w:r>
          </w:p>
        </w:tc>
      </w:tr>
      <w:tr w:rsidR="004C2D93" w:rsidRPr="004C2D93" w14:paraId="6DF988C3" w14:textId="77777777" w:rsidTr="77D4052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29B507" w14:textId="77777777" w:rsidR="004C2D93" w:rsidRPr="004C2D93" w:rsidRDefault="004C2D93" w:rsidP="004C2D93">
            <w:pPr>
              <w:spacing w:after="0" w:line="276" w:lineRule="auto"/>
              <w:ind w:left="113" w:right="113"/>
              <w:rPr>
                <w:sz w:val="16"/>
                <w:szCs w:val="16"/>
                <w:lang w:val="en-GB"/>
              </w:rPr>
            </w:pPr>
            <w:r w:rsidRPr="004C2D93">
              <w:rPr>
                <w:bCs/>
                <w:sz w:val="18"/>
                <w:szCs w:val="18"/>
                <w:lang w:val="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12B6BF" w14:textId="1E148553" w:rsidR="004C2D93" w:rsidRPr="005E1A43" w:rsidRDefault="005E1A43" w:rsidP="004C2D93">
            <w:pPr>
              <w:spacing w:after="0" w:line="240" w:lineRule="auto"/>
              <w:jc w:val="center"/>
              <w:rPr>
                <w:rFonts w:ascii="Times New Roman" w:eastAsia="MS Minngs" w:hAnsi="Times New Roman" w:cs="Times New Roman"/>
                <w:sz w:val="24"/>
                <w:szCs w:val="24"/>
                <w:lang w:val="en-GB" w:eastAsia="en-GB"/>
              </w:rPr>
            </w:pPr>
            <w:r>
              <w:rPr>
                <w:rFonts w:ascii="Times New Roman" w:eastAsia="MS Minngs" w:hAnsi="Times New Roman" w:cs="Times New Roman"/>
                <w:sz w:val="24"/>
                <w:szCs w:val="24"/>
                <w:lang w:val="en-GB" w:eastAsia="en-GB"/>
              </w:rPr>
              <w:t>Discovering new ways to overcome barriers, allowing me to encourage pupils I will teach.</w:t>
            </w:r>
            <w:bookmarkStart w:id="0" w:name="_GoBack"/>
            <w:bookmarkEnd w:id="0"/>
          </w:p>
        </w:tc>
      </w:tr>
      <w:tr w:rsidR="004C2D93" w:rsidRPr="004C2D93" w14:paraId="65D15113" w14:textId="77777777" w:rsidTr="77D4052A">
        <w:trPr>
          <w:cantSplit/>
        </w:trPr>
        <w:tc>
          <w:tcPr>
            <w:tcW w:w="2305" w:type="dxa"/>
            <w:vMerge w:val="restart"/>
            <w:tcBorders>
              <w:top w:val="single" w:sz="4" w:space="0" w:color="auto"/>
              <w:left w:val="thinThickLargeGap" w:sz="24" w:space="0" w:color="auto"/>
              <w:bottom w:val="single" w:sz="6" w:space="0" w:color="auto"/>
            </w:tcBorders>
          </w:tcPr>
          <w:p w14:paraId="190096B4"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p>
          <w:p w14:paraId="46A24697" w14:textId="77777777" w:rsidR="004C2D93" w:rsidRPr="004C2D93" w:rsidRDefault="004C2D93" w:rsidP="004C2D93">
            <w:pPr>
              <w:spacing w:after="0" w:line="240" w:lineRule="auto"/>
              <w:jc w:val="center"/>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bCs/>
                <w:sz w:val="24"/>
                <w:szCs w:val="24"/>
                <w:lang w:val="en-GB"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A7AE878" w14:textId="77777777" w:rsidR="004C2D93" w:rsidRPr="004C2D93" w:rsidRDefault="004C2D93" w:rsidP="004C2D93">
            <w:pPr>
              <w:spacing w:after="0" w:line="276" w:lineRule="auto"/>
              <w:ind w:left="113" w:right="113"/>
              <w:rPr>
                <w:sz w:val="16"/>
                <w:szCs w:val="16"/>
                <w:lang w:val="en-GB"/>
              </w:rPr>
            </w:pPr>
            <w:r w:rsidRPr="004C2D93">
              <w:rPr>
                <w:sz w:val="16"/>
                <w:szCs w:val="16"/>
                <w:lang w:val="en-GB"/>
              </w:rPr>
              <w:t>Learning</w:t>
            </w:r>
          </w:p>
          <w:p w14:paraId="383526BA" w14:textId="77777777" w:rsidR="004C2D93" w:rsidRPr="004C2D93" w:rsidRDefault="004C2D93" w:rsidP="004C2D93">
            <w:pPr>
              <w:spacing w:after="0" w:line="276" w:lineRule="auto"/>
              <w:ind w:left="113" w:right="113"/>
              <w:rPr>
                <w:sz w:val="16"/>
                <w:szCs w:val="16"/>
                <w:lang w:val="en-GB"/>
              </w:rPr>
            </w:pPr>
            <w:r w:rsidRPr="004C2D93">
              <w:rPr>
                <w:sz w:val="16"/>
                <w:szCs w:val="16"/>
                <w:lang w:val="en-GB"/>
              </w:rPr>
              <w:t>Outcomes</w:t>
            </w:r>
          </w:p>
          <w:p w14:paraId="6A1B6CF5" w14:textId="77777777" w:rsidR="004C2D93" w:rsidRPr="004C2D93" w:rsidRDefault="004C2D93" w:rsidP="004C2D93">
            <w:pPr>
              <w:spacing w:after="0" w:line="276" w:lineRule="auto"/>
              <w:ind w:left="113" w:right="113"/>
              <w:rPr>
                <w:sz w:val="16"/>
                <w:szCs w:val="16"/>
                <w:lang w:val="en-GB"/>
              </w:rPr>
            </w:pPr>
          </w:p>
          <w:p w14:paraId="392FE678" w14:textId="77777777" w:rsidR="004C2D93" w:rsidRPr="004C2D93" w:rsidRDefault="004C2D93" w:rsidP="004C2D93">
            <w:pPr>
              <w:spacing w:after="0" w:line="240" w:lineRule="auto"/>
              <w:ind w:left="113" w:right="113"/>
              <w:jc w:val="center"/>
              <w:rPr>
                <w:rFonts w:ascii="Times New Roman" w:eastAsia="MS Minngs" w:hAnsi="Times New Roman" w:cs="Times New Roman"/>
                <w:b/>
                <w:bCs/>
                <w:sz w:val="16"/>
                <w:szCs w:val="16"/>
                <w:lang w:val="en-GB"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DA95FE8" w14:textId="77777777" w:rsidR="004C2D93" w:rsidRPr="004C2D93" w:rsidRDefault="004C2D93" w:rsidP="004C2D93">
            <w:pPr>
              <w:spacing w:after="0" w:line="240" w:lineRule="auto"/>
              <w:jc w:val="center"/>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bCs/>
                <w:sz w:val="24"/>
                <w:szCs w:val="24"/>
                <w:lang w:val="en-GB" w:eastAsia="en-GB"/>
              </w:rPr>
              <w:t>GRADE</w:t>
            </w:r>
          </w:p>
        </w:tc>
      </w:tr>
      <w:tr w:rsidR="004C2D93" w:rsidRPr="004C2D93" w14:paraId="48761623" w14:textId="77777777" w:rsidTr="77D4052A">
        <w:trPr>
          <w:cantSplit/>
        </w:trPr>
        <w:tc>
          <w:tcPr>
            <w:tcW w:w="2305" w:type="dxa"/>
            <w:vMerge/>
          </w:tcPr>
          <w:p w14:paraId="2A20213E"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p>
        </w:tc>
        <w:tc>
          <w:tcPr>
            <w:tcW w:w="540" w:type="dxa"/>
            <w:gridSpan w:val="2"/>
            <w:vMerge/>
          </w:tcPr>
          <w:p w14:paraId="2DA80B1C"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p>
        </w:tc>
        <w:tc>
          <w:tcPr>
            <w:tcW w:w="922" w:type="dxa"/>
            <w:tcBorders>
              <w:top w:val="single" w:sz="6" w:space="0" w:color="auto"/>
              <w:left w:val="single" w:sz="6" w:space="0" w:color="auto"/>
              <w:right w:val="single" w:sz="6" w:space="0" w:color="auto"/>
            </w:tcBorders>
          </w:tcPr>
          <w:p w14:paraId="22BF04DE"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Poor</w:t>
            </w:r>
          </w:p>
          <w:p w14:paraId="152A8E5F"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&lt; 20%</w:t>
            </w:r>
          </w:p>
          <w:p w14:paraId="1CA47E33" w14:textId="77777777" w:rsidR="004C2D93" w:rsidRPr="004C2D93" w:rsidRDefault="004C2D93" w:rsidP="004C2D93">
            <w:pPr>
              <w:spacing w:after="0" w:line="240" w:lineRule="auto"/>
              <w:jc w:val="center"/>
              <w:rPr>
                <w:rFonts w:ascii="Times New Roman" w:eastAsia="MS Minngs" w:hAnsi="Times New Roman" w:cs="Times New Roman"/>
                <w:sz w:val="16"/>
                <w:szCs w:val="16"/>
                <w:lang w:val="en-GB" w:eastAsia="en-GB"/>
              </w:rPr>
            </w:pPr>
          </w:p>
        </w:tc>
        <w:tc>
          <w:tcPr>
            <w:tcW w:w="923" w:type="dxa"/>
            <w:tcBorders>
              <w:top w:val="single" w:sz="6" w:space="0" w:color="auto"/>
              <w:left w:val="single" w:sz="6" w:space="0" w:color="auto"/>
              <w:right w:val="single" w:sz="6" w:space="0" w:color="auto"/>
            </w:tcBorders>
          </w:tcPr>
          <w:p w14:paraId="6D8A1A08" w14:textId="77777777" w:rsidR="004C2D93" w:rsidRPr="004C2D93" w:rsidRDefault="004C2D93" w:rsidP="004C2D93">
            <w:pPr>
              <w:spacing w:after="0" w:line="240" w:lineRule="auto"/>
              <w:jc w:val="center"/>
              <w:rPr>
                <w:rFonts w:ascii="Times New Roman" w:eastAsia="MS Minngs" w:hAnsi="Times New Roman" w:cs="Times New Roman"/>
                <w:b/>
                <w:sz w:val="16"/>
                <w:szCs w:val="16"/>
                <w:lang w:val="en-GB" w:eastAsia="en-GB"/>
              </w:rPr>
            </w:pPr>
            <w:r w:rsidRPr="004C2D93">
              <w:rPr>
                <w:rFonts w:ascii="Times New Roman" w:eastAsia="MS Minngs" w:hAnsi="Times New Roman" w:cs="Times New Roman"/>
                <w:b/>
                <w:sz w:val="16"/>
                <w:szCs w:val="16"/>
                <w:lang w:val="en-GB" w:eastAsia="en-GB"/>
              </w:rPr>
              <w:t>Weak</w:t>
            </w:r>
          </w:p>
          <w:p w14:paraId="661584E3" w14:textId="77777777" w:rsidR="004C2D93" w:rsidRPr="004C2D93" w:rsidRDefault="004C2D93" w:rsidP="004C2D93">
            <w:pPr>
              <w:spacing w:after="0" w:line="240" w:lineRule="auto"/>
              <w:jc w:val="center"/>
              <w:rPr>
                <w:rFonts w:ascii="Times New Roman" w:eastAsia="MS Minngs" w:hAnsi="Times New Roman" w:cs="Times New Roman"/>
                <w:b/>
                <w:sz w:val="16"/>
                <w:szCs w:val="16"/>
                <w:lang w:val="en-GB" w:eastAsia="en-GB"/>
              </w:rPr>
            </w:pPr>
            <w:r w:rsidRPr="004C2D93">
              <w:rPr>
                <w:rFonts w:ascii="Times New Roman" w:eastAsia="MS Minngs" w:hAnsi="Times New Roman" w:cs="Times New Roman"/>
                <w:b/>
                <w:sz w:val="16"/>
                <w:szCs w:val="16"/>
                <w:lang w:val="en-GB" w:eastAsia="en-GB"/>
              </w:rPr>
              <w:t>20-29%</w:t>
            </w:r>
          </w:p>
        </w:tc>
        <w:tc>
          <w:tcPr>
            <w:tcW w:w="922" w:type="dxa"/>
            <w:gridSpan w:val="2"/>
            <w:tcBorders>
              <w:top w:val="single" w:sz="6" w:space="0" w:color="auto"/>
              <w:left w:val="single" w:sz="6" w:space="0" w:color="auto"/>
              <w:right w:val="single" w:sz="6" w:space="0" w:color="auto"/>
            </w:tcBorders>
          </w:tcPr>
          <w:p w14:paraId="6297EC87"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Unsatisfactory</w:t>
            </w:r>
          </w:p>
          <w:p w14:paraId="7959DEBE"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30-39%</w:t>
            </w:r>
          </w:p>
        </w:tc>
        <w:tc>
          <w:tcPr>
            <w:tcW w:w="923" w:type="dxa"/>
            <w:tcBorders>
              <w:top w:val="single" w:sz="6" w:space="0" w:color="auto"/>
              <w:left w:val="single" w:sz="6" w:space="0" w:color="auto"/>
              <w:bottom w:val="single" w:sz="6" w:space="0" w:color="auto"/>
              <w:right w:val="single" w:sz="6" w:space="0" w:color="auto"/>
            </w:tcBorders>
          </w:tcPr>
          <w:p w14:paraId="07C307DA"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Satisfactory</w:t>
            </w:r>
          </w:p>
          <w:p w14:paraId="6010EE2A"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40 – 49%</w:t>
            </w:r>
          </w:p>
        </w:tc>
        <w:tc>
          <w:tcPr>
            <w:tcW w:w="922" w:type="dxa"/>
            <w:tcBorders>
              <w:top w:val="single" w:sz="6" w:space="0" w:color="auto"/>
              <w:left w:val="single" w:sz="6" w:space="0" w:color="auto"/>
              <w:bottom w:val="single" w:sz="6" w:space="0" w:color="auto"/>
              <w:right w:val="single" w:sz="6" w:space="0" w:color="auto"/>
            </w:tcBorders>
          </w:tcPr>
          <w:p w14:paraId="048DB567"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Good</w:t>
            </w:r>
          </w:p>
          <w:p w14:paraId="4B74D25C"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50 – 59%</w:t>
            </w:r>
          </w:p>
        </w:tc>
        <w:tc>
          <w:tcPr>
            <w:tcW w:w="923" w:type="dxa"/>
            <w:tcBorders>
              <w:top w:val="single" w:sz="6" w:space="0" w:color="auto"/>
              <w:left w:val="single" w:sz="6" w:space="0" w:color="auto"/>
              <w:bottom w:val="single" w:sz="6" w:space="0" w:color="auto"/>
              <w:right w:val="single" w:sz="6" w:space="0" w:color="auto"/>
            </w:tcBorders>
          </w:tcPr>
          <w:p w14:paraId="5BB6F820"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Very Good</w:t>
            </w:r>
          </w:p>
          <w:p w14:paraId="1559C243"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60 – 69%</w:t>
            </w:r>
          </w:p>
        </w:tc>
        <w:tc>
          <w:tcPr>
            <w:tcW w:w="922" w:type="dxa"/>
            <w:gridSpan w:val="2"/>
            <w:tcBorders>
              <w:top w:val="single" w:sz="6" w:space="0" w:color="auto"/>
              <w:left w:val="single" w:sz="6" w:space="0" w:color="auto"/>
              <w:right w:val="single" w:sz="6" w:space="0" w:color="auto"/>
            </w:tcBorders>
          </w:tcPr>
          <w:p w14:paraId="2F7E47A0"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Excellent</w:t>
            </w:r>
          </w:p>
          <w:p w14:paraId="1A8EA350"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70 – 84%</w:t>
            </w:r>
          </w:p>
        </w:tc>
        <w:tc>
          <w:tcPr>
            <w:tcW w:w="795" w:type="dxa"/>
            <w:tcBorders>
              <w:top w:val="single" w:sz="6" w:space="0" w:color="auto"/>
              <w:left w:val="single" w:sz="6" w:space="0" w:color="auto"/>
              <w:right w:val="single" w:sz="6" w:space="0" w:color="auto"/>
            </w:tcBorders>
          </w:tcPr>
          <w:p w14:paraId="6D1BF3E6"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Exceptional</w:t>
            </w:r>
          </w:p>
          <w:p w14:paraId="6468B577" w14:textId="77777777" w:rsidR="004C2D93" w:rsidRPr="004C2D93" w:rsidRDefault="004C2D93" w:rsidP="004C2D93">
            <w:pPr>
              <w:spacing w:after="0" w:line="240" w:lineRule="auto"/>
              <w:jc w:val="center"/>
              <w:rPr>
                <w:rFonts w:ascii="Times New Roman" w:eastAsia="MS Minngs" w:hAnsi="Times New Roman" w:cs="Times New Roman"/>
                <w:b/>
                <w:bCs/>
                <w:sz w:val="16"/>
                <w:szCs w:val="16"/>
                <w:lang w:val="en-GB" w:eastAsia="en-GB"/>
              </w:rPr>
            </w:pPr>
            <w:r w:rsidRPr="004C2D93">
              <w:rPr>
                <w:rFonts w:ascii="Times New Roman" w:eastAsia="MS Minngs" w:hAnsi="Times New Roman" w:cs="Times New Roman"/>
                <w:b/>
                <w:bCs/>
                <w:sz w:val="16"/>
                <w:szCs w:val="16"/>
                <w:lang w:val="en-GB" w:eastAsia="en-GB"/>
              </w:rPr>
              <w:t>85– 100%</w:t>
            </w:r>
          </w:p>
        </w:tc>
        <w:tc>
          <w:tcPr>
            <w:tcW w:w="848" w:type="dxa"/>
            <w:tcBorders>
              <w:top w:val="single" w:sz="6" w:space="0" w:color="auto"/>
              <w:left w:val="single" w:sz="6" w:space="0" w:color="auto"/>
              <w:bottom w:val="single" w:sz="6" w:space="0" w:color="auto"/>
              <w:right w:val="thinThickLargeGap" w:sz="24" w:space="0" w:color="auto"/>
            </w:tcBorders>
          </w:tcPr>
          <w:p w14:paraId="20067A43"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p>
          <w:p w14:paraId="338D22A0"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 xml:space="preserve">  %</w:t>
            </w:r>
          </w:p>
        </w:tc>
      </w:tr>
      <w:tr w:rsidR="004C2D93" w:rsidRPr="004C2D93" w14:paraId="57C657AD" w14:textId="77777777" w:rsidTr="77D4052A">
        <w:tc>
          <w:tcPr>
            <w:tcW w:w="2305" w:type="dxa"/>
            <w:tcBorders>
              <w:top w:val="single" w:sz="6" w:space="0" w:color="auto"/>
              <w:left w:val="thinThickLargeGap" w:sz="24" w:space="0" w:color="auto"/>
              <w:bottom w:val="single" w:sz="6" w:space="0" w:color="auto"/>
            </w:tcBorders>
          </w:tcPr>
          <w:p w14:paraId="753C1786" w14:textId="77777777" w:rsidR="004C2D93" w:rsidRPr="004C2D93" w:rsidRDefault="004C2D93" w:rsidP="004C2D93">
            <w:pPr>
              <w:spacing w:after="0" w:line="276" w:lineRule="auto"/>
              <w:rPr>
                <w:rFonts w:ascii="Times New Roman" w:hAnsi="Times New Roman" w:cs="Times New Roman"/>
                <w:lang w:val="en-GB"/>
              </w:rPr>
            </w:pPr>
            <w:r w:rsidRPr="004C2D93">
              <w:rPr>
                <w:rFonts w:ascii="Times New Roman" w:hAnsi="Times New Roman" w:cs="Times New Roman"/>
                <w:lang w:val="en-GB"/>
              </w:rPr>
              <w:t>Introduction to the essay</w:t>
            </w:r>
          </w:p>
        </w:tc>
        <w:tc>
          <w:tcPr>
            <w:tcW w:w="540" w:type="dxa"/>
            <w:gridSpan w:val="2"/>
            <w:tcBorders>
              <w:top w:val="single" w:sz="6" w:space="0" w:color="auto"/>
              <w:bottom w:val="single" w:sz="6" w:space="0" w:color="auto"/>
              <w:right w:val="single" w:sz="6" w:space="0" w:color="auto"/>
            </w:tcBorders>
          </w:tcPr>
          <w:p w14:paraId="1D5F7594"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1</w:t>
            </w:r>
          </w:p>
        </w:tc>
        <w:tc>
          <w:tcPr>
            <w:tcW w:w="922" w:type="dxa"/>
            <w:tcBorders>
              <w:left w:val="single" w:sz="6" w:space="0" w:color="auto"/>
              <w:right w:val="single" w:sz="6" w:space="0" w:color="auto"/>
            </w:tcBorders>
          </w:tcPr>
          <w:p w14:paraId="722E7904"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14:paraId="7BE58EE0"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30A73477"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19949445"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7408E924"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14E4EE43" w14:textId="77777777" w:rsidR="004C2D93" w:rsidRPr="004C2D93" w:rsidRDefault="004C2D93" w:rsidP="004C2D93">
            <w:pPr>
              <w:spacing w:after="0" w:line="240" w:lineRule="auto"/>
              <w:jc w:val="right"/>
              <w:rPr>
                <w:rFonts w:ascii="Times New Roman" w:eastAsia="MS Minngs" w:hAnsi="Times New Roman" w:cs="Times New Roman"/>
                <w:sz w:val="24"/>
                <w:szCs w:val="24"/>
                <w:lang w:val="en-GB" w:eastAsia="en-GB"/>
              </w:rPr>
            </w:pPr>
          </w:p>
        </w:tc>
        <w:tc>
          <w:tcPr>
            <w:tcW w:w="922" w:type="dxa"/>
            <w:gridSpan w:val="2"/>
            <w:tcBorders>
              <w:left w:val="single" w:sz="6" w:space="0" w:color="auto"/>
              <w:right w:val="single" w:sz="6" w:space="0" w:color="auto"/>
            </w:tcBorders>
          </w:tcPr>
          <w:p w14:paraId="2D952E46"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right w:val="single" w:sz="6" w:space="0" w:color="auto"/>
            </w:tcBorders>
          </w:tcPr>
          <w:p w14:paraId="4F1CF42B"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6" w:space="0" w:color="auto"/>
              <w:right w:val="thinThickLargeGap" w:sz="24" w:space="0" w:color="auto"/>
            </w:tcBorders>
          </w:tcPr>
          <w:p w14:paraId="24CFED10"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5%</w:t>
            </w:r>
          </w:p>
        </w:tc>
      </w:tr>
      <w:tr w:rsidR="004C2D93" w:rsidRPr="004C2D93" w14:paraId="236EA6C1" w14:textId="77777777" w:rsidTr="77D4052A">
        <w:tc>
          <w:tcPr>
            <w:tcW w:w="2305" w:type="dxa"/>
            <w:tcBorders>
              <w:top w:val="single" w:sz="6" w:space="0" w:color="auto"/>
              <w:left w:val="thinThickLargeGap" w:sz="24" w:space="0" w:color="auto"/>
              <w:bottom w:val="single" w:sz="6" w:space="0" w:color="auto"/>
            </w:tcBorders>
          </w:tcPr>
          <w:p w14:paraId="6F1E7205" w14:textId="77777777" w:rsidR="004C2D93" w:rsidRPr="004C2D93" w:rsidRDefault="004C2D93" w:rsidP="004C2D93">
            <w:pPr>
              <w:spacing w:after="0" w:line="276" w:lineRule="auto"/>
              <w:rPr>
                <w:rFonts w:ascii="Times New Roman" w:hAnsi="Times New Roman" w:cs="Times New Roman"/>
                <w:sz w:val="20"/>
                <w:szCs w:val="20"/>
                <w:lang w:val="en-GB"/>
              </w:rPr>
            </w:pPr>
            <w:r w:rsidRPr="004C2D93">
              <w:rPr>
                <w:rFonts w:ascii="Times New Roman" w:hAnsi="Times New Roman" w:cs="Times New Roman"/>
                <w:sz w:val="20"/>
                <w:szCs w:val="20"/>
                <w:lang w:val="en-GB"/>
              </w:rPr>
              <w:t>Identification of an appropriate age-group to discuss</w:t>
            </w:r>
          </w:p>
        </w:tc>
        <w:tc>
          <w:tcPr>
            <w:tcW w:w="540" w:type="dxa"/>
            <w:gridSpan w:val="2"/>
            <w:tcBorders>
              <w:top w:val="single" w:sz="6" w:space="0" w:color="auto"/>
              <w:bottom w:val="single" w:sz="6" w:space="0" w:color="auto"/>
              <w:right w:val="single" w:sz="6" w:space="0" w:color="auto"/>
            </w:tcBorders>
          </w:tcPr>
          <w:p w14:paraId="7E09126A"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2</w:t>
            </w:r>
          </w:p>
        </w:tc>
        <w:tc>
          <w:tcPr>
            <w:tcW w:w="922" w:type="dxa"/>
            <w:tcBorders>
              <w:left w:val="single" w:sz="6" w:space="0" w:color="auto"/>
              <w:right w:val="single" w:sz="6" w:space="0" w:color="auto"/>
            </w:tcBorders>
          </w:tcPr>
          <w:p w14:paraId="3D145C3A"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14:paraId="5122F051"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446A25B2"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37350870" w14:textId="77777777" w:rsidR="004C2D93" w:rsidRPr="004C2D93" w:rsidRDefault="004C2D93" w:rsidP="004C2D93">
            <w:pPr>
              <w:spacing w:after="0" w:line="240" w:lineRule="auto"/>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08918450" w14:textId="77777777" w:rsidR="004C2D93" w:rsidRPr="004C2D93" w:rsidRDefault="004C2D93" w:rsidP="004C2D93">
            <w:pPr>
              <w:spacing w:after="0" w:line="240" w:lineRule="auto"/>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518D9973" w14:textId="77777777" w:rsidR="004C2D93" w:rsidRPr="004C2D93" w:rsidRDefault="004C2D93" w:rsidP="004C2D93">
            <w:pPr>
              <w:spacing w:after="0" w:line="276" w:lineRule="auto"/>
              <w:rPr>
                <w:lang w:val="en-GB"/>
              </w:rPr>
            </w:pPr>
          </w:p>
        </w:tc>
        <w:tc>
          <w:tcPr>
            <w:tcW w:w="922" w:type="dxa"/>
            <w:gridSpan w:val="2"/>
            <w:tcBorders>
              <w:left w:val="single" w:sz="6" w:space="0" w:color="auto"/>
              <w:right w:val="single" w:sz="6" w:space="0" w:color="auto"/>
            </w:tcBorders>
          </w:tcPr>
          <w:p w14:paraId="4044A6F2"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right w:val="single" w:sz="6" w:space="0" w:color="auto"/>
            </w:tcBorders>
          </w:tcPr>
          <w:p w14:paraId="24C56769"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6" w:space="0" w:color="auto"/>
              <w:right w:val="thinThickLargeGap" w:sz="24" w:space="0" w:color="auto"/>
            </w:tcBorders>
          </w:tcPr>
          <w:p w14:paraId="441CE449"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5%</w:t>
            </w:r>
          </w:p>
        </w:tc>
      </w:tr>
      <w:tr w:rsidR="004C2D93" w:rsidRPr="004C2D93" w14:paraId="5090264E" w14:textId="77777777" w:rsidTr="77D4052A">
        <w:tc>
          <w:tcPr>
            <w:tcW w:w="2305" w:type="dxa"/>
            <w:tcBorders>
              <w:top w:val="single" w:sz="6" w:space="0" w:color="auto"/>
              <w:left w:val="thinThickLargeGap" w:sz="24" w:space="0" w:color="auto"/>
              <w:bottom w:val="single" w:sz="6" w:space="0" w:color="auto"/>
            </w:tcBorders>
          </w:tcPr>
          <w:p w14:paraId="66FFF29B" w14:textId="77777777" w:rsidR="004C2D93" w:rsidRPr="004C2D93" w:rsidRDefault="004C2D93" w:rsidP="004C2D93">
            <w:pPr>
              <w:spacing w:after="0" w:line="276" w:lineRule="auto"/>
              <w:rPr>
                <w:rFonts w:ascii="Times New Roman" w:hAnsi="Times New Roman" w:cs="Times New Roman"/>
                <w:b/>
                <w:sz w:val="18"/>
                <w:szCs w:val="18"/>
                <w:lang w:val="en-GB"/>
              </w:rPr>
            </w:pPr>
            <w:r w:rsidRPr="004C2D93">
              <w:rPr>
                <w:rFonts w:ascii="Times New Roman" w:hAnsi="Times New Roman" w:cs="Times New Roman"/>
                <w:sz w:val="20"/>
                <w:szCs w:val="20"/>
                <w:lang w:val="en-GB"/>
              </w:rPr>
              <w:t>Discussion of potential psychological benefits for the chosen age-group</w:t>
            </w:r>
          </w:p>
        </w:tc>
        <w:tc>
          <w:tcPr>
            <w:tcW w:w="540" w:type="dxa"/>
            <w:gridSpan w:val="2"/>
            <w:tcBorders>
              <w:top w:val="single" w:sz="6" w:space="0" w:color="auto"/>
              <w:bottom w:val="single" w:sz="6" w:space="0" w:color="auto"/>
              <w:right w:val="single" w:sz="6" w:space="0" w:color="auto"/>
            </w:tcBorders>
          </w:tcPr>
          <w:p w14:paraId="040B22DE"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2,4</w:t>
            </w:r>
          </w:p>
          <w:p w14:paraId="3A454A1C"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p>
        </w:tc>
        <w:tc>
          <w:tcPr>
            <w:tcW w:w="922" w:type="dxa"/>
            <w:tcBorders>
              <w:left w:val="single" w:sz="6" w:space="0" w:color="auto"/>
              <w:right w:val="single" w:sz="6" w:space="0" w:color="auto"/>
            </w:tcBorders>
          </w:tcPr>
          <w:p w14:paraId="0F38D523"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14:paraId="125565B3"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712B5087"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25BD3658"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66DA85A3"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6845BCD7"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566A8342"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right w:val="single" w:sz="6" w:space="0" w:color="auto"/>
            </w:tcBorders>
          </w:tcPr>
          <w:p w14:paraId="4F3A5E2E"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6" w:space="0" w:color="auto"/>
              <w:right w:val="thinThickLargeGap" w:sz="24" w:space="0" w:color="auto"/>
            </w:tcBorders>
          </w:tcPr>
          <w:p w14:paraId="0D3BF76F"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20%</w:t>
            </w:r>
          </w:p>
        </w:tc>
      </w:tr>
      <w:tr w:rsidR="004C2D93" w:rsidRPr="004C2D93" w14:paraId="1EE75DAE" w14:textId="77777777" w:rsidTr="77D4052A">
        <w:tc>
          <w:tcPr>
            <w:tcW w:w="2305" w:type="dxa"/>
            <w:tcBorders>
              <w:top w:val="single" w:sz="6" w:space="0" w:color="auto"/>
              <w:left w:val="thinThickLargeGap" w:sz="24" w:space="0" w:color="auto"/>
              <w:bottom w:val="single" w:sz="6" w:space="0" w:color="auto"/>
            </w:tcBorders>
          </w:tcPr>
          <w:p w14:paraId="451A5507" w14:textId="77777777" w:rsidR="004C2D93" w:rsidRPr="004C2D93" w:rsidRDefault="004C2D93" w:rsidP="004C2D93">
            <w:pPr>
              <w:spacing w:after="0" w:line="276" w:lineRule="auto"/>
              <w:rPr>
                <w:rFonts w:ascii="Times New Roman" w:hAnsi="Times New Roman" w:cs="Times New Roman"/>
                <w:sz w:val="20"/>
                <w:szCs w:val="20"/>
                <w:lang w:val="en-GB"/>
              </w:rPr>
            </w:pPr>
            <w:r w:rsidRPr="004C2D93">
              <w:rPr>
                <w:rFonts w:ascii="Times New Roman" w:hAnsi="Times New Roman" w:cs="Times New Roman"/>
                <w:sz w:val="20"/>
                <w:szCs w:val="20"/>
                <w:lang w:val="en-GB"/>
              </w:rPr>
              <w:t>Discussion of potential barriers for the chosen age-group</w:t>
            </w:r>
          </w:p>
        </w:tc>
        <w:tc>
          <w:tcPr>
            <w:tcW w:w="540" w:type="dxa"/>
            <w:gridSpan w:val="2"/>
            <w:tcBorders>
              <w:top w:val="single" w:sz="6" w:space="0" w:color="auto"/>
              <w:bottom w:val="single" w:sz="6" w:space="0" w:color="auto"/>
              <w:right w:val="single" w:sz="6" w:space="0" w:color="auto"/>
            </w:tcBorders>
          </w:tcPr>
          <w:p w14:paraId="1E3CCD74"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3,4</w:t>
            </w:r>
          </w:p>
        </w:tc>
        <w:tc>
          <w:tcPr>
            <w:tcW w:w="922" w:type="dxa"/>
            <w:tcBorders>
              <w:left w:val="single" w:sz="6" w:space="0" w:color="auto"/>
              <w:right w:val="single" w:sz="6" w:space="0" w:color="auto"/>
            </w:tcBorders>
          </w:tcPr>
          <w:p w14:paraId="1DA2A1CD"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right w:val="single" w:sz="6" w:space="0" w:color="auto"/>
            </w:tcBorders>
          </w:tcPr>
          <w:p w14:paraId="0325F3F8"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620D10F0"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2A4FA899"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6" w:space="0" w:color="auto"/>
              <w:right w:val="single" w:sz="6" w:space="0" w:color="auto"/>
            </w:tcBorders>
          </w:tcPr>
          <w:p w14:paraId="4D03C528"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6" w:space="0" w:color="auto"/>
              <w:right w:val="single" w:sz="6" w:space="0" w:color="auto"/>
            </w:tcBorders>
          </w:tcPr>
          <w:p w14:paraId="24AF65A0"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right w:val="single" w:sz="6" w:space="0" w:color="auto"/>
            </w:tcBorders>
          </w:tcPr>
          <w:p w14:paraId="77DA79A6"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right w:val="single" w:sz="6" w:space="0" w:color="auto"/>
            </w:tcBorders>
          </w:tcPr>
          <w:p w14:paraId="1379BCEF"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6" w:space="0" w:color="auto"/>
              <w:right w:val="thinThickLargeGap" w:sz="24" w:space="0" w:color="auto"/>
            </w:tcBorders>
          </w:tcPr>
          <w:p w14:paraId="4051D864"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20%</w:t>
            </w:r>
          </w:p>
        </w:tc>
      </w:tr>
      <w:tr w:rsidR="004C2D93" w:rsidRPr="004C2D93" w14:paraId="67BAAD16" w14:textId="77777777" w:rsidTr="77D4052A">
        <w:tc>
          <w:tcPr>
            <w:tcW w:w="2305" w:type="dxa"/>
            <w:tcBorders>
              <w:top w:val="single" w:sz="6" w:space="0" w:color="auto"/>
              <w:left w:val="thinThickLargeGap" w:sz="24" w:space="0" w:color="auto"/>
              <w:bottom w:val="single" w:sz="4" w:space="0" w:color="auto"/>
            </w:tcBorders>
          </w:tcPr>
          <w:p w14:paraId="2D019E86" w14:textId="77777777" w:rsidR="004C2D93" w:rsidRPr="004C2D93" w:rsidRDefault="004C2D93" w:rsidP="004C2D93">
            <w:pPr>
              <w:spacing w:after="0" w:line="240" w:lineRule="auto"/>
              <w:ind w:left="-15"/>
              <w:rPr>
                <w:rFonts w:ascii="Times New Roman" w:eastAsia="MS Minngs" w:hAnsi="Times New Roman" w:cs="Times New Roman"/>
                <w:sz w:val="20"/>
                <w:szCs w:val="20"/>
                <w:lang w:val="en-GB" w:eastAsia="en-GB"/>
              </w:rPr>
            </w:pPr>
            <w:r w:rsidRPr="004C2D93">
              <w:rPr>
                <w:rFonts w:ascii="Times New Roman" w:eastAsia="MS Minngs" w:hAnsi="Times New Roman" w:cs="Times New Roman"/>
                <w:sz w:val="20"/>
                <w:szCs w:val="20"/>
                <w:lang w:val="en-GB" w:eastAsia="en-GB"/>
              </w:rPr>
              <w:t>Identification and explanation of strategy 1</w:t>
            </w:r>
          </w:p>
        </w:tc>
        <w:tc>
          <w:tcPr>
            <w:tcW w:w="540" w:type="dxa"/>
            <w:gridSpan w:val="2"/>
            <w:tcBorders>
              <w:top w:val="single" w:sz="6" w:space="0" w:color="auto"/>
              <w:bottom w:val="single" w:sz="4" w:space="0" w:color="auto"/>
              <w:right w:val="single" w:sz="6" w:space="0" w:color="auto"/>
            </w:tcBorders>
          </w:tcPr>
          <w:p w14:paraId="322B4B01"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4,5</w:t>
            </w:r>
          </w:p>
        </w:tc>
        <w:tc>
          <w:tcPr>
            <w:tcW w:w="922" w:type="dxa"/>
            <w:tcBorders>
              <w:left w:val="single" w:sz="6" w:space="0" w:color="auto"/>
              <w:bottom w:val="single" w:sz="4" w:space="0" w:color="auto"/>
              <w:right w:val="single" w:sz="6" w:space="0" w:color="auto"/>
            </w:tcBorders>
          </w:tcPr>
          <w:p w14:paraId="41E9346A"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bottom w:val="single" w:sz="4" w:space="0" w:color="auto"/>
              <w:right w:val="single" w:sz="6" w:space="0" w:color="auto"/>
            </w:tcBorders>
          </w:tcPr>
          <w:p w14:paraId="2A8C9230"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6DD10072"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060AFA6C"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6E35AF03"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1C88059F"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294C5E3C"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bottom w:val="single" w:sz="4" w:space="0" w:color="auto"/>
              <w:right w:val="single" w:sz="6" w:space="0" w:color="auto"/>
            </w:tcBorders>
          </w:tcPr>
          <w:p w14:paraId="71C7E37C"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4" w:space="0" w:color="auto"/>
              <w:right w:val="thinThickLargeGap" w:sz="24" w:space="0" w:color="auto"/>
            </w:tcBorders>
          </w:tcPr>
          <w:p w14:paraId="1C6EF506"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15%</w:t>
            </w:r>
          </w:p>
        </w:tc>
      </w:tr>
      <w:tr w:rsidR="004C2D93" w:rsidRPr="004C2D93" w14:paraId="1DDB6C3A" w14:textId="77777777" w:rsidTr="77D4052A">
        <w:tc>
          <w:tcPr>
            <w:tcW w:w="2305" w:type="dxa"/>
            <w:tcBorders>
              <w:top w:val="single" w:sz="6" w:space="0" w:color="auto"/>
              <w:left w:val="thinThickLargeGap" w:sz="24" w:space="0" w:color="auto"/>
              <w:bottom w:val="single" w:sz="4" w:space="0" w:color="auto"/>
            </w:tcBorders>
          </w:tcPr>
          <w:p w14:paraId="7F8F10E3" w14:textId="77777777" w:rsidR="004C2D93" w:rsidRPr="004C2D93" w:rsidRDefault="004C2D93" w:rsidP="004C2D93">
            <w:pPr>
              <w:spacing w:after="0" w:line="240" w:lineRule="auto"/>
              <w:ind w:left="-15"/>
              <w:rPr>
                <w:rFonts w:ascii="Times New Roman" w:eastAsia="MS Minngs" w:hAnsi="Times New Roman" w:cs="Times New Roman"/>
                <w:sz w:val="20"/>
                <w:szCs w:val="20"/>
                <w:lang w:val="en-GB" w:eastAsia="en-GB"/>
              </w:rPr>
            </w:pPr>
            <w:r w:rsidRPr="004C2D93">
              <w:rPr>
                <w:rFonts w:ascii="Times New Roman" w:eastAsia="MS Minngs" w:hAnsi="Times New Roman" w:cs="Times New Roman"/>
                <w:sz w:val="20"/>
                <w:szCs w:val="20"/>
                <w:lang w:val="en-GB" w:eastAsia="en-GB"/>
              </w:rPr>
              <w:t>Identification and explanation of strategy 2</w:t>
            </w:r>
          </w:p>
        </w:tc>
        <w:tc>
          <w:tcPr>
            <w:tcW w:w="540" w:type="dxa"/>
            <w:gridSpan w:val="2"/>
            <w:tcBorders>
              <w:top w:val="single" w:sz="6" w:space="0" w:color="auto"/>
              <w:bottom w:val="single" w:sz="4" w:space="0" w:color="auto"/>
              <w:right w:val="single" w:sz="6" w:space="0" w:color="auto"/>
            </w:tcBorders>
          </w:tcPr>
          <w:p w14:paraId="2E87C3E2"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4,5</w:t>
            </w:r>
          </w:p>
        </w:tc>
        <w:tc>
          <w:tcPr>
            <w:tcW w:w="922" w:type="dxa"/>
            <w:tcBorders>
              <w:left w:val="single" w:sz="6" w:space="0" w:color="auto"/>
              <w:bottom w:val="single" w:sz="4" w:space="0" w:color="auto"/>
              <w:right w:val="single" w:sz="6" w:space="0" w:color="auto"/>
            </w:tcBorders>
          </w:tcPr>
          <w:p w14:paraId="297292D7"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bottom w:val="single" w:sz="4" w:space="0" w:color="auto"/>
              <w:right w:val="single" w:sz="6" w:space="0" w:color="auto"/>
            </w:tcBorders>
          </w:tcPr>
          <w:p w14:paraId="2B77FE80"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356B3769"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6D3998D9"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55A9B7A3"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6AF6DD53"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1B95B5B0"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bottom w:val="single" w:sz="4" w:space="0" w:color="auto"/>
              <w:right w:val="single" w:sz="6" w:space="0" w:color="auto"/>
            </w:tcBorders>
          </w:tcPr>
          <w:p w14:paraId="5967D037"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4" w:space="0" w:color="auto"/>
              <w:right w:val="thinThickLargeGap" w:sz="24" w:space="0" w:color="auto"/>
            </w:tcBorders>
          </w:tcPr>
          <w:p w14:paraId="7EABBF6B"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15%</w:t>
            </w:r>
          </w:p>
        </w:tc>
      </w:tr>
      <w:tr w:rsidR="004C2D93" w:rsidRPr="004C2D93" w14:paraId="06CCF256" w14:textId="77777777" w:rsidTr="77D4052A">
        <w:tc>
          <w:tcPr>
            <w:tcW w:w="2305" w:type="dxa"/>
            <w:tcBorders>
              <w:top w:val="single" w:sz="6" w:space="0" w:color="auto"/>
              <w:left w:val="thinThickLargeGap" w:sz="24" w:space="0" w:color="auto"/>
              <w:bottom w:val="single" w:sz="4" w:space="0" w:color="auto"/>
            </w:tcBorders>
          </w:tcPr>
          <w:p w14:paraId="05D3A665" w14:textId="77777777" w:rsidR="004C2D93" w:rsidRPr="004C2D93" w:rsidRDefault="004C2D93" w:rsidP="004C2D93">
            <w:pPr>
              <w:spacing w:after="0" w:line="240" w:lineRule="auto"/>
              <w:ind w:left="-15"/>
              <w:rPr>
                <w:rFonts w:ascii="Times New Roman" w:eastAsia="MS Minngs" w:hAnsi="Times New Roman" w:cs="Times New Roman"/>
                <w:sz w:val="20"/>
                <w:szCs w:val="20"/>
                <w:lang w:val="en-GB" w:eastAsia="en-GB"/>
              </w:rPr>
            </w:pPr>
            <w:r w:rsidRPr="004C2D93">
              <w:rPr>
                <w:rFonts w:ascii="Times New Roman" w:eastAsia="MS Minngs" w:hAnsi="Times New Roman" w:cs="Times New Roman"/>
                <w:sz w:val="20"/>
                <w:szCs w:val="20"/>
                <w:lang w:val="en-GB" w:eastAsia="en-GB"/>
              </w:rPr>
              <w:t>Identification and explanation of strategy 3</w:t>
            </w:r>
          </w:p>
        </w:tc>
        <w:tc>
          <w:tcPr>
            <w:tcW w:w="540" w:type="dxa"/>
            <w:gridSpan w:val="2"/>
            <w:tcBorders>
              <w:top w:val="single" w:sz="6" w:space="0" w:color="auto"/>
              <w:bottom w:val="single" w:sz="4" w:space="0" w:color="auto"/>
              <w:right w:val="single" w:sz="6" w:space="0" w:color="auto"/>
            </w:tcBorders>
          </w:tcPr>
          <w:p w14:paraId="23A32272"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4,5</w:t>
            </w:r>
          </w:p>
        </w:tc>
        <w:tc>
          <w:tcPr>
            <w:tcW w:w="922" w:type="dxa"/>
            <w:tcBorders>
              <w:left w:val="single" w:sz="6" w:space="0" w:color="auto"/>
              <w:bottom w:val="single" w:sz="4" w:space="0" w:color="auto"/>
              <w:right w:val="single" w:sz="6" w:space="0" w:color="auto"/>
            </w:tcBorders>
          </w:tcPr>
          <w:p w14:paraId="446D3A44"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bottom w:val="single" w:sz="4" w:space="0" w:color="auto"/>
              <w:right w:val="single" w:sz="6" w:space="0" w:color="auto"/>
            </w:tcBorders>
          </w:tcPr>
          <w:p w14:paraId="2D612E27"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043453C8"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667EC950"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28FE01F8"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339E3CE5"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5892E0B3"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bottom w:val="single" w:sz="4" w:space="0" w:color="auto"/>
              <w:right w:val="single" w:sz="6" w:space="0" w:color="auto"/>
            </w:tcBorders>
          </w:tcPr>
          <w:p w14:paraId="15C3261F"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4" w:space="0" w:color="auto"/>
              <w:right w:val="thinThickLargeGap" w:sz="24" w:space="0" w:color="auto"/>
            </w:tcBorders>
          </w:tcPr>
          <w:p w14:paraId="7A9A26BC"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15%</w:t>
            </w:r>
          </w:p>
        </w:tc>
      </w:tr>
      <w:tr w:rsidR="004C2D93" w:rsidRPr="004C2D93" w14:paraId="186736A2" w14:textId="77777777" w:rsidTr="77D4052A">
        <w:tc>
          <w:tcPr>
            <w:tcW w:w="2305" w:type="dxa"/>
            <w:tcBorders>
              <w:top w:val="single" w:sz="6" w:space="0" w:color="auto"/>
              <w:left w:val="thinThickLargeGap" w:sz="24" w:space="0" w:color="auto"/>
              <w:bottom w:val="single" w:sz="4" w:space="0" w:color="auto"/>
            </w:tcBorders>
          </w:tcPr>
          <w:p w14:paraId="7F79806A" w14:textId="77777777" w:rsidR="004C2D93" w:rsidRPr="004C2D93" w:rsidRDefault="004C2D93" w:rsidP="004C2D93">
            <w:pPr>
              <w:spacing w:after="0" w:line="240" w:lineRule="auto"/>
              <w:ind w:left="-15"/>
              <w:rPr>
                <w:rFonts w:ascii="Times New Roman" w:eastAsia="MS Minngs" w:hAnsi="Times New Roman" w:cs="Times New Roman"/>
                <w:sz w:val="20"/>
                <w:szCs w:val="20"/>
                <w:lang w:val="en-GB" w:eastAsia="en-GB"/>
              </w:rPr>
            </w:pPr>
            <w:r w:rsidRPr="004C2D93">
              <w:rPr>
                <w:rFonts w:ascii="Times New Roman" w:eastAsia="MS Minngs" w:hAnsi="Times New Roman" w:cs="Times New Roman"/>
                <w:sz w:val="20"/>
                <w:szCs w:val="20"/>
                <w:lang w:val="en-GB" w:eastAsia="en-GB"/>
              </w:rPr>
              <w:t>Summary of the essay content</w:t>
            </w:r>
          </w:p>
        </w:tc>
        <w:tc>
          <w:tcPr>
            <w:tcW w:w="540" w:type="dxa"/>
            <w:gridSpan w:val="2"/>
            <w:tcBorders>
              <w:top w:val="single" w:sz="6" w:space="0" w:color="auto"/>
              <w:bottom w:val="single" w:sz="4" w:space="0" w:color="auto"/>
              <w:right w:val="single" w:sz="6" w:space="0" w:color="auto"/>
            </w:tcBorders>
          </w:tcPr>
          <w:p w14:paraId="73406508" w14:textId="77777777" w:rsidR="004C2D93" w:rsidRPr="004C2D93" w:rsidRDefault="004C2D93" w:rsidP="004C2D93">
            <w:pPr>
              <w:spacing w:after="0" w:line="240" w:lineRule="auto"/>
              <w:jc w:val="center"/>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1,4,5,</w:t>
            </w:r>
          </w:p>
        </w:tc>
        <w:tc>
          <w:tcPr>
            <w:tcW w:w="922" w:type="dxa"/>
            <w:tcBorders>
              <w:left w:val="single" w:sz="6" w:space="0" w:color="auto"/>
              <w:bottom w:val="single" w:sz="4" w:space="0" w:color="auto"/>
              <w:right w:val="single" w:sz="6" w:space="0" w:color="auto"/>
            </w:tcBorders>
          </w:tcPr>
          <w:p w14:paraId="0870CDEF"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left w:val="single" w:sz="6" w:space="0" w:color="auto"/>
              <w:bottom w:val="single" w:sz="4" w:space="0" w:color="auto"/>
              <w:right w:val="single" w:sz="6" w:space="0" w:color="auto"/>
            </w:tcBorders>
          </w:tcPr>
          <w:p w14:paraId="6A98FE32"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0A5CC319"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23B53E05"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7B191889" w14:textId="77777777" w:rsidR="004C2D93" w:rsidRPr="004C2D93" w:rsidRDefault="004C2D93" w:rsidP="004C2D93">
            <w:pPr>
              <w:spacing w:after="0" w:line="240" w:lineRule="auto"/>
              <w:jc w:val="right"/>
              <w:rPr>
                <w:rFonts w:ascii="Times New Roman" w:eastAsia="MS Minngs" w:hAnsi="Times New Roman" w:cs="Times New Roman"/>
                <w:sz w:val="18"/>
                <w:szCs w:val="18"/>
                <w:lang w:val="en-GB" w:eastAsia="en-GB"/>
              </w:rPr>
            </w:pPr>
          </w:p>
        </w:tc>
        <w:tc>
          <w:tcPr>
            <w:tcW w:w="923" w:type="dxa"/>
            <w:tcBorders>
              <w:top w:val="single" w:sz="6" w:space="0" w:color="auto"/>
              <w:left w:val="single" w:sz="6" w:space="0" w:color="auto"/>
              <w:bottom w:val="single" w:sz="4" w:space="0" w:color="auto"/>
              <w:right w:val="single" w:sz="6" w:space="0" w:color="auto"/>
            </w:tcBorders>
          </w:tcPr>
          <w:p w14:paraId="0CCF2DFE" w14:textId="77777777" w:rsidR="004C2D93" w:rsidRPr="004C2D93" w:rsidRDefault="004C2D93" w:rsidP="004C2D93">
            <w:pPr>
              <w:spacing w:after="0" w:line="240" w:lineRule="auto"/>
              <w:ind w:firstLine="281"/>
              <w:jc w:val="right"/>
              <w:rPr>
                <w:rFonts w:ascii="Times New Roman" w:eastAsia="MS Minngs" w:hAnsi="Times New Roman" w:cs="Times New Roman"/>
                <w:sz w:val="18"/>
                <w:szCs w:val="18"/>
                <w:lang w:val="en-GB" w:eastAsia="en-GB"/>
              </w:rPr>
            </w:pPr>
          </w:p>
        </w:tc>
        <w:tc>
          <w:tcPr>
            <w:tcW w:w="922" w:type="dxa"/>
            <w:gridSpan w:val="2"/>
            <w:tcBorders>
              <w:left w:val="single" w:sz="6" w:space="0" w:color="auto"/>
              <w:bottom w:val="single" w:sz="4" w:space="0" w:color="auto"/>
              <w:right w:val="single" w:sz="6" w:space="0" w:color="auto"/>
            </w:tcBorders>
          </w:tcPr>
          <w:p w14:paraId="0324243F"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795" w:type="dxa"/>
            <w:tcBorders>
              <w:left w:val="single" w:sz="6" w:space="0" w:color="auto"/>
              <w:bottom w:val="single" w:sz="4" w:space="0" w:color="auto"/>
              <w:right w:val="single" w:sz="6" w:space="0" w:color="auto"/>
            </w:tcBorders>
          </w:tcPr>
          <w:p w14:paraId="1C8F367E" w14:textId="77777777" w:rsidR="004C2D93" w:rsidRPr="004C2D93" w:rsidRDefault="004C2D93" w:rsidP="004C2D93">
            <w:pPr>
              <w:spacing w:after="0" w:line="240" w:lineRule="auto"/>
              <w:jc w:val="center"/>
              <w:rPr>
                <w:rFonts w:ascii="Times New Roman" w:eastAsia="MS Minngs" w:hAnsi="Times New Roman" w:cs="Times New Roman"/>
                <w:sz w:val="18"/>
                <w:szCs w:val="18"/>
                <w:lang w:val="en-GB" w:eastAsia="en-GB"/>
              </w:rPr>
            </w:pPr>
          </w:p>
        </w:tc>
        <w:tc>
          <w:tcPr>
            <w:tcW w:w="848" w:type="dxa"/>
            <w:tcBorders>
              <w:top w:val="single" w:sz="6" w:space="0" w:color="auto"/>
              <w:left w:val="single" w:sz="6" w:space="0" w:color="auto"/>
              <w:bottom w:val="single" w:sz="4" w:space="0" w:color="auto"/>
              <w:right w:val="thinThickLargeGap" w:sz="24" w:space="0" w:color="auto"/>
            </w:tcBorders>
          </w:tcPr>
          <w:p w14:paraId="3D2A3CB1"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5%</w:t>
            </w:r>
          </w:p>
        </w:tc>
      </w:tr>
      <w:tr w:rsidR="004C2D93" w:rsidRPr="004C2D93" w14:paraId="4A1514B1" w14:textId="77777777" w:rsidTr="77D4052A">
        <w:trPr>
          <w:cantSplit/>
          <w:trHeight w:val="282"/>
        </w:trPr>
        <w:tc>
          <w:tcPr>
            <w:tcW w:w="10097" w:type="dxa"/>
            <w:gridSpan w:val="13"/>
            <w:tcBorders>
              <w:left w:val="thinThickLargeGap" w:sz="24" w:space="0" w:color="auto"/>
              <w:right w:val="single" w:sz="4" w:space="0" w:color="auto"/>
            </w:tcBorders>
          </w:tcPr>
          <w:p w14:paraId="4AA7A0A5"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sz w:val="18"/>
                <w:szCs w:val="18"/>
                <w:lang w:val="en-GB" w:eastAsia="en-GB"/>
              </w:rPr>
              <w:t xml:space="preserve">It is expected that students will present work that is proof read, correctly referenced and adheres to the </w:t>
            </w:r>
            <w:r w:rsidRPr="004C2D93">
              <w:rPr>
                <w:rFonts w:ascii="Times New Roman" w:eastAsia="MS Minngs" w:hAnsi="Times New Roman" w:cs="Times New Roman"/>
                <w:b/>
                <w:sz w:val="18"/>
                <w:szCs w:val="18"/>
                <w:lang w:val="en-GB" w:eastAsia="en-GB"/>
              </w:rPr>
              <w:t>Assessment Checklist.</w:t>
            </w:r>
            <w:r w:rsidRPr="004C2D93">
              <w:rPr>
                <w:rFonts w:ascii="Times New Roman" w:eastAsia="MS Minngs" w:hAnsi="Times New Roman" w:cs="Times New Roman"/>
                <w:sz w:val="18"/>
                <w:szCs w:val="18"/>
                <w:lang w:val="en-GB" w:eastAsia="en-GB"/>
              </w:rPr>
              <w:t xml:space="preserve"> Therefore a range of 0 – 10 marks will be deducted for non-completion of any of the points on the </w:t>
            </w:r>
            <w:r w:rsidRPr="004C2D93">
              <w:rPr>
                <w:rFonts w:ascii="Times New Roman" w:eastAsia="MS Minngs" w:hAnsi="Times New Roman" w:cs="Times New Roman"/>
                <w:b/>
                <w:sz w:val="18"/>
                <w:szCs w:val="18"/>
                <w:lang w:val="en-GB" w:eastAsia="en-GB"/>
              </w:rPr>
              <w:t>checklist below</w:t>
            </w:r>
            <w:r w:rsidRPr="004C2D93">
              <w:rPr>
                <w:rFonts w:ascii="Times New Roman" w:eastAsia="MS Minngs" w:hAnsi="Times New Roman" w:cs="Times New Roman"/>
                <w:sz w:val="18"/>
                <w:szCs w:val="18"/>
                <w:lang w:val="en-GB" w:eastAsia="en-GB"/>
              </w:rPr>
              <w:t>.</w:t>
            </w:r>
          </w:p>
        </w:tc>
        <w:tc>
          <w:tcPr>
            <w:tcW w:w="848" w:type="dxa"/>
            <w:tcBorders>
              <w:left w:val="single" w:sz="4" w:space="0" w:color="auto"/>
              <w:right w:val="thinThickLargeGap" w:sz="24" w:space="0" w:color="auto"/>
            </w:tcBorders>
          </w:tcPr>
          <w:p w14:paraId="1BCAB1D6"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p>
        </w:tc>
      </w:tr>
      <w:tr w:rsidR="004C2D93" w:rsidRPr="004C2D93" w14:paraId="75AED93B" w14:textId="77777777" w:rsidTr="77D4052A">
        <w:trPr>
          <w:cantSplit/>
          <w:trHeight w:val="1645"/>
        </w:trPr>
        <w:tc>
          <w:tcPr>
            <w:tcW w:w="10945" w:type="dxa"/>
            <w:gridSpan w:val="14"/>
            <w:tcBorders>
              <w:left w:val="thinThickLargeGap" w:sz="24" w:space="0" w:color="auto"/>
              <w:right w:val="thinThickLargeGap" w:sz="24" w:space="0" w:color="auto"/>
            </w:tcBorders>
          </w:tcPr>
          <w:p w14:paraId="25C79BC0" w14:textId="77777777" w:rsidR="004C2D93" w:rsidRPr="004C2D93" w:rsidRDefault="004C2D93" w:rsidP="004C2D93">
            <w:pPr>
              <w:spacing w:after="0" w:line="240" w:lineRule="auto"/>
              <w:rPr>
                <w:rFonts w:ascii="Times New Roman" w:eastAsia="MS Minngs" w:hAnsi="Times New Roman" w:cs="Times New Roman"/>
                <w:b/>
                <w:bCs/>
                <w:sz w:val="24"/>
                <w:szCs w:val="24"/>
                <w:lang w:val="en-GB" w:eastAsia="en-GB"/>
              </w:rPr>
            </w:pPr>
            <w:r w:rsidRPr="004C2D93">
              <w:rPr>
                <w:rFonts w:ascii="Times New Roman" w:eastAsia="MS Minngs" w:hAnsi="Times New Roman" w:cs="Times New Roman"/>
                <w:b/>
                <w:bCs/>
                <w:sz w:val="24"/>
                <w:szCs w:val="24"/>
                <w:lang w:val="en-GB" w:eastAsia="en-GB"/>
              </w:rPr>
              <w:lastRenderedPageBreak/>
              <w:t>TUTOR COMMENTS:</w:t>
            </w:r>
          </w:p>
        </w:tc>
      </w:tr>
      <w:tr w:rsidR="004C2D93" w:rsidRPr="004C2D93" w14:paraId="2F5D189E" w14:textId="77777777" w:rsidTr="77D4052A">
        <w:trPr>
          <w:cantSplit/>
          <w:trHeight w:val="63"/>
        </w:trPr>
        <w:tc>
          <w:tcPr>
            <w:tcW w:w="2661" w:type="dxa"/>
            <w:gridSpan w:val="2"/>
            <w:tcBorders>
              <w:left w:val="thinThickLargeGap" w:sz="24" w:space="0" w:color="auto"/>
              <w:bottom w:val="thickThinLargeGap" w:sz="24" w:space="0" w:color="auto"/>
            </w:tcBorders>
          </w:tcPr>
          <w:p w14:paraId="4FD0AD62"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 xml:space="preserve"> Submission date:  20/03/2020</w:t>
            </w:r>
          </w:p>
          <w:p w14:paraId="139879AC"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via Turnitin</w:t>
            </w:r>
          </w:p>
        </w:tc>
        <w:tc>
          <w:tcPr>
            <w:tcW w:w="2337" w:type="dxa"/>
            <w:gridSpan w:val="4"/>
            <w:tcBorders>
              <w:bottom w:val="thickThinLargeGap" w:sz="24" w:space="0" w:color="auto"/>
            </w:tcBorders>
          </w:tcPr>
          <w:p w14:paraId="5B8072A1"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Return date:</w:t>
            </w:r>
          </w:p>
          <w:p w14:paraId="69BA7EB3"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(at least within 4 weeks)</w:t>
            </w:r>
          </w:p>
        </w:tc>
        <w:tc>
          <w:tcPr>
            <w:tcW w:w="3600" w:type="dxa"/>
            <w:gridSpan w:val="5"/>
            <w:tcBorders>
              <w:bottom w:val="thickThinLargeGap" w:sz="24" w:space="0" w:color="auto"/>
            </w:tcBorders>
          </w:tcPr>
          <w:p w14:paraId="329B8EAA"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 xml:space="preserve">Tutor:  Alison </w:t>
            </w:r>
            <w:proofErr w:type="spellStart"/>
            <w:r w:rsidRPr="004C2D93">
              <w:rPr>
                <w:rFonts w:ascii="Times New Roman" w:eastAsia="MS Minngs" w:hAnsi="Times New Roman" w:cs="Times New Roman"/>
                <w:b/>
                <w:bCs/>
                <w:sz w:val="18"/>
                <w:szCs w:val="18"/>
                <w:lang w:val="en-GB" w:eastAsia="en-GB"/>
              </w:rPr>
              <w:t>Connaughton</w:t>
            </w:r>
            <w:proofErr w:type="spellEnd"/>
          </w:p>
        </w:tc>
        <w:tc>
          <w:tcPr>
            <w:tcW w:w="2347" w:type="dxa"/>
            <w:gridSpan w:val="3"/>
            <w:tcBorders>
              <w:bottom w:val="thickThinLargeGap" w:sz="24" w:space="0" w:color="auto"/>
              <w:right w:val="thinThickLargeGap" w:sz="24" w:space="0" w:color="auto"/>
            </w:tcBorders>
          </w:tcPr>
          <w:p w14:paraId="14BCF058" w14:textId="77777777" w:rsidR="004C2D93" w:rsidRPr="004C2D93" w:rsidRDefault="004C2D93" w:rsidP="004C2D93">
            <w:pPr>
              <w:spacing w:after="0" w:line="240" w:lineRule="auto"/>
              <w:rPr>
                <w:rFonts w:ascii="Times New Roman" w:eastAsia="MS Minngs" w:hAnsi="Times New Roman" w:cs="Times New Roman"/>
                <w:b/>
                <w:bCs/>
                <w:sz w:val="18"/>
                <w:szCs w:val="18"/>
                <w:lang w:val="en-GB" w:eastAsia="en-GB"/>
              </w:rPr>
            </w:pPr>
            <w:r w:rsidRPr="004C2D93">
              <w:rPr>
                <w:rFonts w:ascii="Times New Roman" w:eastAsia="MS Minngs" w:hAnsi="Times New Roman" w:cs="Times New Roman"/>
                <w:b/>
                <w:bCs/>
                <w:sz w:val="18"/>
                <w:szCs w:val="18"/>
                <w:lang w:val="en-GB" w:eastAsia="en-GB"/>
              </w:rPr>
              <w:t xml:space="preserve">Mark: </w:t>
            </w:r>
          </w:p>
        </w:tc>
      </w:tr>
    </w:tbl>
    <w:p w14:paraId="2186252A" w14:textId="77777777" w:rsidR="004C2D93" w:rsidRPr="004C2D93" w:rsidRDefault="004C2D93" w:rsidP="004C2D93">
      <w:pPr>
        <w:spacing w:after="0" w:line="240" w:lineRule="auto"/>
        <w:rPr>
          <w:rFonts w:ascii="Times New Roman" w:eastAsia="MS Minngs" w:hAnsi="Times New Roman" w:cs="Times New Roman"/>
          <w:b/>
          <w:bCs/>
          <w:sz w:val="28"/>
          <w:szCs w:val="28"/>
          <w:u w:val="single"/>
          <w:lang w:val="en-GB" w:eastAsia="en-GB"/>
        </w:rPr>
      </w:pPr>
    </w:p>
    <w:p w14:paraId="20D1BEFE" w14:textId="4F75E2E2" w:rsidR="77D4052A" w:rsidRDefault="77D4052A">
      <w:r>
        <w:br w:type="page"/>
      </w:r>
    </w:p>
    <w:p w14:paraId="5BD06626" w14:textId="77777777" w:rsidR="004C2D93" w:rsidRPr="004C2D93" w:rsidRDefault="77D4052A" w:rsidP="77D4052A">
      <w:pPr>
        <w:spacing w:after="120" w:line="240" w:lineRule="auto"/>
        <w:rPr>
          <w:rFonts w:ascii="Times New Roman" w:eastAsia="Times New Roman" w:hAnsi="Times New Roman" w:cs="Times New Roman"/>
          <w:sz w:val="28"/>
          <w:szCs w:val="28"/>
          <w:lang w:val="en-GB" w:eastAsia="en-GB"/>
        </w:rPr>
      </w:pPr>
      <w:r w:rsidRPr="77D4052A">
        <w:rPr>
          <w:rFonts w:ascii="Times New Roman" w:eastAsia="Times New Roman" w:hAnsi="Times New Roman" w:cs="Times New Roman"/>
          <w:sz w:val="28"/>
          <w:szCs w:val="28"/>
          <w:lang w:val="en-GB" w:eastAsia="en-GB"/>
        </w:rPr>
        <w:lastRenderedPageBreak/>
        <w:t xml:space="preserve">For an age-group of your choice (e.g. teenagers, age 65+), explain the potential </w:t>
      </w:r>
      <w:r w:rsidRPr="77D4052A">
        <w:rPr>
          <w:rFonts w:ascii="Times New Roman" w:eastAsia="Times New Roman" w:hAnsi="Times New Roman" w:cs="Times New Roman"/>
          <w:b/>
          <w:bCs/>
          <w:i/>
          <w:iCs/>
          <w:sz w:val="28"/>
          <w:szCs w:val="28"/>
          <w:lang w:val="en-GB" w:eastAsia="en-GB"/>
        </w:rPr>
        <w:t>psychological</w:t>
      </w:r>
      <w:r w:rsidRPr="77D4052A">
        <w:rPr>
          <w:rFonts w:ascii="Times New Roman" w:eastAsia="Times New Roman" w:hAnsi="Times New Roman" w:cs="Times New Roman"/>
          <w:sz w:val="28"/>
          <w:szCs w:val="28"/>
          <w:lang w:val="en-GB" w:eastAsia="en-GB"/>
        </w:rPr>
        <w:t xml:space="preserve"> benefits of physical activity that this population group may experience. </w:t>
      </w:r>
    </w:p>
    <w:p w14:paraId="6EC3779B" w14:textId="777D04AB" w:rsidR="004C2D93" w:rsidRPr="004C2D93" w:rsidRDefault="77D4052A" w:rsidP="77D4052A">
      <w:pPr>
        <w:spacing w:after="120" w:line="240" w:lineRule="auto"/>
        <w:rPr>
          <w:rFonts w:ascii="Times New Roman" w:eastAsia="Times New Roman" w:hAnsi="Times New Roman" w:cs="Times New Roman"/>
          <w:sz w:val="28"/>
          <w:szCs w:val="28"/>
          <w:lang w:val="en-GB" w:eastAsia="en-GB"/>
        </w:rPr>
      </w:pPr>
      <w:r w:rsidRPr="77D4052A">
        <w:rPr>
          <w:rFonts w:ascii="Times New Roman" w:eastAsia="Times New Roman" w:hAnsi="Times New Roman" w:cs="Times New Roman"/>
          <w:sz w:val="28"/>
          <w:szCs w:val="28"/>
          <w:lang w:val="en-GB" w:eastAsia="en-GB"/>
        </w:rPr>
        <w:t>Identify and explain three different approaches or strategies that could be used to overcome barriers to exercise and increase participation and adherence levels for your chosen age-group.</w:t>
      </w:r>
    </w:p>
    <w:p w14:paraId="753CDEF8" w14:textId="4B316F91"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Physical activity has many psychological benefits for children, 2 years – 20 years (</w:t>
      </w:r>
      <w:proofErr w:type="spellStart"/>
      <w:r w:rsidRPr="77D4052A">
        <w:rPr>
          <w:rFonts w:ascii="Times New Roman" w:eastAsia="Times New Roman" w:hAnsi="Times New Roman" w:cs="Times New Roman"/>
          <w:sz w:val="24"/>
          <w:szCs w:val="24"/>
        </w:rPr>
        <w:t>Gallahue</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Ozmun</w:t>
      </w:r>
      <w:proofErr w:type="spellEnd"/>
      <w:r w:rsidRPr="77D4052A">
        <w:rPr>
          <w:rFonts w:ascii="Times New Roman" w:eastAsia="Times New Roman" w:hAnsi="Times New Roman" w:cs="Times New Roman"/>
          <w:sz w:val="24"/>
          <w:szCs w:val="24"/>
        </w:rPr>
        <w:t xml:space="preserve"> &amp; </w:t>
      </w:r>
      <w:proofErr w:type="spellStart"/>
      <w:r w:rsidRPr="77D4052A">
        <w:rPr>
          <w:rFonts w:ascii="Times New Roman" w:eastAsia="Times New Roman" w:hAnsi="Times New Roman" w:cs="Times New Roman"/>
          <w:sz w:val="24"/>
          <w:szCs w:val="24"/>
        </w:rPr>
        <w:t>Goodway</w:t>
      </w:r>
      <w:proofErr w:type="spellEnd"/>
      <w:r w:rsidRPr="77D4052A">
        <w:rPr>
          <w:rFonts w:ascii="Times New Roman" w:eastAsia="Times New Roman" w:hAnsi="Times New Roman" w:cs="Times New Roman"/>
          <w:sz w:val="24"/>
          <w:szCs w:val="24"/>
        </w:rPr>
        <w:t xml:space="preserve">, 2012). Benefits can help children within the classroom or in other aspects of their life (Bailey et al. 2009). However, children may be deprived of these benefits because of the barriers faced (Gordon-Larsen et al. 2004). This essay discusses barriers children may face and explains the strategies which can be used in order to overcome these. It is </w:t>
      </w:r>
      <w:proofErr w:type="spellStart"/>
      <w:r w:rsidRPr="77D4052A">
        <w:rPr>
          <w:rFonts w:ascii="Times New Roman" w:eastAsia="Times New Roman" w:hAnsi="Times New Roman" w:cs="Times New Roman"/>
          <w:sz w:val="24"/>
          <w:szCs w:val="24"/>
        </w:rPr>
        <w:t>recognised</w:t>
      </w:r>
      <w:proofErr w:type="spellEnd"/>
      <w:r w:rsidRPr="77D4052A">
        <w:rPr>
          <w:rFonts w:ascii="Times New Roman" w:eastAsia="Times New Roman" w:hAnsi="Times New Roman" w:cs="Times New Roman"/>
          <w:sz w:val="24"/>
          <w:szCs w:val="24"/>
        </w:rPr>
        <w:t xml:space="preserve"> that Physical Education, Physical Activity and Sport have similar meanings therefore studies using these terms will be used throughout the essay (AfPE, 2020). Ryan and Deci (2018) state the Self Determination Theory examines how social, behavioral and cultural conditions either enhance or hinder psychological capacities within not only physical activity but also a range of other aspects of their life.</w:t>
      </w:r>
    </w:p>
    <w:p w14:paraId="3D1DD9E8" w14:textId="2184EFCC" w:rsidR="4054F5FF"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A psychological benefit of physical activity is development of domains of learning, these include; Cognitive, Social, Physical and Affective (The National Curriculum for PE in Wales 2008). These domains holistically develop a child, the affective domain covers the psychological and well-being of the child (Bailey et al., 2009). Bailey et al. (2009) found that motivation, anxiety and confidence were all positively developed through being physically active, specifically being physically active within Physical Education. There is evidence to suggest having mixed gender classes within Schools will have a positive effect on the social domain (</w:t>
      </w:r>
      <w:proofErr w:type="spellStart"/>
      <w:r w:rsidRPr="77D4052A">
        <w:rPr>
          <w:rFonts w:ascii="Times New Roman" w:eastAsia="Times New Roman" w:hAnsi="Times New Roman" w:cs="Times New Roman"/>
          <w:sz w:val="24"/>
          <w:szCs w:val="24"/>
        </w:rPr>
        <w:t>Gallahue</w:t>
      </w:r>
      <w:proofErr w:type="spellEnd"/>
      <w:r w:rsidRPr="77D4052A">
        <w:rPr>
          <w:rFonts w:ascii="Times New Roman" w:eastAsia="Times New Roman" w:hAnsi="Times New Roman" w:cs="Times New Roman"/>
          <w:sz w:val="24"/>
          <w:szCs w:val="24"/>
        </w:rPr>
        <w:t xml:space="preserve"> 1996). However, Constantinou, Manson and Silverman (2009) suggests this can have a negative effect on the girls affective domain, as they did a study on why there is a decrease of girls participating in physical active and one of the reasons the girls gave was that boys were too competitive. From this, depending on whether there are mixed classes within Physical Education it can enhance or hinder how capable not only the girls feel but also the boys (Deci &amp; Ryan, 2018). When teachers plan which learning outcomes to aim for within their lessons, they need to consider domains of learning in order for children to enjoy, develop and thrive whilst being physically active (The National Curriculum for PE in Wales 2008). </w:t>
      </w:r>
    </w:p>
    <w:p w14:paraId="081B4F60" w14:textId="5475A42A"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From this, another psychological benefit of children being physically active is the development of the cognitive domain (Bailey et al. 2009). When the cognitive domain is developed, children can have an increase in concentration within the classroom, this allows children to achieve higher grades (Bailey et al. 2009). Although Bailey et al. (2009) did find some correlation between children being physically active and increased concentration within classroom Linder (1999) suggests these benefits could be achieved by having a break from sedentary work. Linder (2002) argues this and states, schools that are performing academically higher also have higher physical activity rates. Although there is evidence that suggests increased physical activity can’t directly be linked with increased concentration, (Linder, 1999) most of the evidence does link </w:t>
      </w:r>
      <w:r w:rsidRPr="77D4052A">
        <w:rPr>
          <w:rFonts w:ascii="Times New Roman" w:eastAsia="Times New Roman" w:hAnsi="Times New Roman" w:cs="Times New Roman"/>
          <w:sz w:val="24"/>
          <w:szCs w:val="24"/>
        </w:rPr>
        <w:lastRenderedPageBreak/>
        <w:t>increased concentration with higher physical activity rates (Linder, 2002. Bailey et al., 2009 &amp; The National Curriculum for PE in Wales 2008).</w:t>
      </w:r>
    </w:p>
    <w:p w14:paraId="180D9541" w14:textId="2EAAE192" w:rsidR="4054F5FF"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 xml:space="preserve">There are many barriers which children may face preventing them becoming physically active (Gordon-Larsen et al. 2004). When conducting research Gordon-Larsen et al. (2004) found cost had an impact on whether children could or couldn’t participate in physical activities in their local areas. One parent within Gordon-Larsen et al. (2004) research suggested that their child couldn’t participate in these physical activities within their local area as they could not afford it. It is understandable how cultural conditions have an impact on how often a child participates in physical activity and also what activity they do, as some have little choice because they can’t afford it (Deci &amp; Ryan, 2018). Although it is important to discover these perceived barriers, physical activity doesn’t have to be expensive or even cost anything (Change4Life, 2020). Change4Life (2020) is a national ambition set out by the government to inspire families, schools and clubs to get children to be more active and eat healthier. </w:t>
      </w:r>
    </w:p>
    <w:p w14:paraId="1D80DF52" w14:textId="1523C38E" w:rsidR="4054F5FF"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 xml:space="preserve">Change4Life (2020) works with schools on various factors which can determine the quality of life children have, this includes the weight of children. Parents or careers will get a letter from the school to tell them their child's weight and how they can encourage and help their child become a healthier weight by creating healthy meals and being more active (Change4Life 2020). However, Davis et al. (2018) implies that parents of children who are classed as overweight are blamed and shamed for this. Contradicting this, a slimmer child can still have a poor diet and be just as physically inactive (NHS, 2017). Parents who feel this shame may pass these feelings onto the child, this can damage their self-perception (Biddle &amp; </w:t>
      </w:r>
      <w:proofErr w:type="spellStart"/>
      <w:r w:rsidRPr="77D4052A">
        <w:rPr>
          <w:rFonts w:ascii="Times New Roman" w:eastAsia="Times New Roman" w:hAnsi="Times New Roman" w:cs="Times New Roman"/>
          <w:sz w:val="24"/>
          <w:szCs w:val="24"/>
        </w:rPr>
        <w:t>Mutrie</w:t>
      </w:r>
      <w:proofErr w:type="spellEnd"/>
      <w:r w:rsidRPr="77D4052A">
        <w:rPr>
          <w:rFonts w:ascii="Times New Roman" w:eastAsia="Times New Roman" w:hAnsi="Times New Roman" w:cs="Times New Roman"/>
          <w:sz w:val="24"/>
          <w:szCs w:val="24"/>
        </w:rPr>
        <w:t>, 2008). This national ambition is a way to really encourage children to become more active and healthier through the activities on the website, which are designed around things children enjoy, such as Disney characters (Change4Life, 2020).</w:t>
      </w:r>
    </w:p>
    <w:p w14:paraId="1A8F90B2" w14:textId="00AD6C94" w:rsidR="2BBBA963"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Another barrier that may be stopping children participating in physical activity is lack of motivation through the feelings of competence and confidence (Biddle &amp; </w:t>
      </w:r>
      <w:proofErr w:type="spellStart"/>
      <w:r w:rsidRPr="77D4052A">
        <w:rPr>
          <w:rFonts w:ascii="Times New Roman" w:eastAsia="Times New Roman" w:hAnsi="Times New Roman" w:cs="Times New Roman"/>
          <w:sz w:val="24"/>
          <w:szCs w:val="24"/>
        </w:rPr>
        <w:t>Mutrie</w:t>
      </w:r>
      <w:proofErr w:type="spellEnd"/>
      <w:r w:rsidRPr="77D4052A">
        <w:rPr>
          <w:rFonts w:ascii="Times New Roman" w:eastAsia="Times New Roman" w:hAnsi="Times New Roman" w:cs="Times New Roman"/>
          <w:sz w:val="24"/>
          <w:szCs w:val="24"/>
        </w:rPr>
        <w:t>, 2008). This can generally be seen within Physical Education lessons in School, more specifically Secondary School girls (</w:t>
      </w:r>
      <w:proofErr w:type="spellStart"/>
      <w:r w:rsidRPr="77D4052A">
        <w:rPr>
          <w:rFonts w:ascii="Times New Roman" w:eastAsia="Times New Roman" w:hAnsi="Times New Roman" w:cs="Times New Roman"/>
          <w:sz w:val="24"/>
          <w:szCs w:val="24"/>
        </w:rPr>
        <w:t>Antala</w:t>
      </w:r>
      <w:proofErr w:type="spellEnd"/>
      <w:r w:rsidRPr="77D4052A">
        <w:rPr>
          <w:rFonts w:ascii="Times New Roman" w:eastAsia="Times New Roman" w:hAnsi="Times New Roman" w:cs="Times New Roman"/>
          <w:sz w:val="24"/>
          <w:szCs w:val="24"/>
        </w:rPr>
        <w:t xml:space="preserve">, Simone, &amp; </w:t>
      </w:r>
      <w:proofErr w:type="spellStart"/>
      <w:r w:rsidRPr="77D4052A">
        <w:rPr>
          <w:rFonts w:ascii="Times New Roman" w:eastAsia="Times New Roman" w:hAnsi="Times New Roman" w:cs="Times New Roman"/>
          <w:sz w:val="24"/>
          <w:szCs w:val="24"/>
        </w:rPr>
        <w:t>Czakova</w:t>
      </w:r>
      <w:proofErr w:type="spellEnd"/>
      <w:r w:rsidRPr="77D4052A">
        <w:rPr>
          <w:rFonts w:ascii="Times New Roman" w:eastAsia="Times New Roman" w:hAnsi="Times New Roman" w:cs="Times New Roman"/>
          <w:sz w:val="24"/>
          <w:szCs w:val="24"/>
        </w:rPr>
        <w:t xml:space="preserve">, 2014). Within a study carried out by </w:t>
      </w:r>
      <w:proofErr w:type="spellStart"/>
      <w:r w:rsidRPr="77D4052A">
        <w:rPr>
          <w:rFonts w:ascii="Times New Roman" w:eastAsia="Times New Roman" w:hAnsi="Times New Roman" w:cs="Times New Roman"/>
          <w:sz w:val="24"/>
          <w:szCs w:val="24"/>
        </w:rPr>
        <w:t>Antala</w:t>
      </w:r>
      <w:proofErr w:type="spellEnd"/>
      <w:r w:rsidRPr="77D4052A">
        <w:rPr>
          <w:rFonts w:ascii="Times New Roman" w:eastAsia="Times New Roman" w:hAnsi="Times New Roman" w:cs="Times New Roman"/>
          <w:sz w:val="24"/>
          <w:szCs w:val="24"/>
        </w:rPr>
        <w:t xml:space="preserve">, Simone, &amp; </w:t>
      </w:r>
      <w:proofErr w:type="spellStart"/>
      <w:r w:rsidRPr="77D4052A">
        <w:rPr>
          <w:rFonts w:ascii="Times New Roman" w:eastAsia="Times New Roman" w:hAnsi="Times New Roman" w:cs="Times New Roman"/>
          <w:sz w:val="24"/>
          <w:szCs w:val="24"/>
        </w:rPr>
        <w:t>Czakova</w:t>
      </w:r>
      <w:proofErr w:type="spellEnd"/>
      <w:r w:rsidRPr="77D4052A">
        <w:rPr>
          <w:rFonts w:ascii="Times New Roman" w:eastAsia="Times New Roman" w:hAnsi="Times New Roman" w:cs="Times New Roman"/>
          <w:sz w:val="24"/>
          <w:szCs w:val="24"/>
        </w:rPr>
        <w:t xml:space="preserve"> (2014) they found that 46.5% of boys enjoyed Physical Education and only 17.6% of girls felt this way. However, it is suggested that girls prefer Physical Activity when it is less competitive, within Physical Education this can be overcome through the areas of learning such as creative activities and health, fitness and well-being (The National Curriculum for PE in Wales 2008). </w:t>
      </w:r>
    </w:p>
    <w:p w14:paraId="427534C7" w14:textId="4E560623" w:rsidR="1CCE1C6E"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An approach that can conquer this barrier is using models within Physical Education lessons (Metzler, 2011). The teacher decides which models are used within their lesson (Metzler, 2011). A model is generally used over a term and there are multiple models for the different areas of learning within The National Curriculum for PE in Wales (2008). These include; Health, Fitness and Well-being, Competitive Activities, Adventurous Activities and Creative Activities (The National Curriculum for PE in Wales 2008). Models allow teachers to decide which activities are best for their class, even the weaker pupils, to enhance cultural, social and behavioral conditions to allow pupils to become enriched Physical Education students (Ryan &amp; Deci, 2018).</w:t>
      </w:r>
    </w:p>
    <w:p w14:paraId="3771BEA6" w14:textId="19CEA5FD" w:rsidR="1CCE1C6E"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lastRenderedPageBreak/>
        <w:t xml:space="preserve"> A model which covers all aspects of this barrier is the Sport Education Model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&amp; Van Der Mars, 2011). This specific model allows the more able pupils to compete against similar abilities, this can increase the confidence of the pupils as they know there is a chance they can win, which motivates them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&amp; Van Der Mars, 2011). As pupils develop throughout the model their physical competence increases as they have been practicing with similar people throughout the term, this can give them a better perception of themselves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&amp; Van Der Mars, 2011). Throughout this model pupils are put into teams, the teams are where the competition element comes in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&amp; Van Der Mars, 2011). Even if a pupil is the weakest in the class, they can still earn points for their team for effort and for participating, allowing weaker pupils the chance to win the ‘league’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xml:space="preserve">, &amp; Van Der Mars, 2011). When pupils get a positive experience of being active, they are more likely to continue this activity, or try a new one, in their community as their confidence and competence has increased (Murdoch, &amp; Whitehead, 2013. &amp; </w:t>
      </w: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xml:space="preserve">, &amp; Van Der Mars, 2011). </w:t>
      </w:r>
    </w:p>
    <w:p w14:paraId="70BF1C1D" w14:textId="7CAEF97C" w:rsidR="1CCE1C6E"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 xml:space="preserve">Technology is said to have had a massive part in the decrease of children being physically active through the years (Public Health England, 2013). The recommended amount of physically active minutes in the UK is sixty minutes of moderate to vigorous exercise (NHS, 2019). However, less than 30% of children are getting this amount of physical activity (Public Health England, 2013).  Although technology may have a negative effect on the amount of physical activity children get Gordon-Larsen et al. (2004) conducted some research asking parents why they thought children weren't as physically active and technology wasn’t mentioned as much as other barriers talked about within this study. </w:t>
      </w:r>
    </w:p>
    <w:p w14:paraId="428EE520" w14:textId="33FA14FB" w:rsidR="1CCE1C6E"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An award-winning campaign which can overcome this barrier is ‘The Eat Them To Defeat Them’ (VegPower, 2020). This campaign isn't directly linked to being more active, but it does encourage children to eat more vegetables, and a healthy diet means children are likely to be more physically active (NHS, 2018).  This campaign promotes eating healthier via adverts on TV and social media apps, allowing children to see these regularly (VegPower, 2020). From a trial of this campaign in 2019, children who saw the adverts were twice as likely to eat vegetables and have a positive attitude to a healthy lifestyle, including being more active (VegPower, 2020).</w:t>
      </w:r>
    </w:p>
    <w:p w14:paraId="371523F6" w14:textId="2414D5F2" w:rsidR="4EFDCB11" w:rsidRDefault="77D4052A" w:rsidP="77D4052A">
      <w:pPr>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To conclude, although there are many psychological benefits and other benefits of being active there will always be barriers to overcome, the same can be said for any age group (Gordon-Larsen et al. 2004). Benefits of physical activity can include increased concentration in classes and an increase in confidence. The only way to achieve the benefits of physical activity is to overcome the barriers (Gordon-Larsen et al. 2004). These strategies are accessible to everyone and include home and school life, so if the family don’t understand the importance of physical activity hopefully the school will be as they have a duty to (The National Curriculum for PE in Wales 2008 &amp; Change4Life, 2020). There are many ways to enhance the cultural, behavioral and social conditions when participating in physical activity especially within Physical Education and when teachers consider these conditions they can decide what is best to teach depending on where they teach and the pupils (Ryan &amp; Deci, 2018).</w:t>
      </w:r>
    </w:p>
    <w:p w14:paraId="23333A15" w14:textId="77777777" w:rsidR="00783D83"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Word Count: 1,62</w:t>
      </w:r>
      <w:r w:rsidR="00783D83">
        <w:rPr>
          <w:rFonts w:ascii="Times New Roman" w:eastAsia="Times New Roman" w:hAnsi="Times New Roman" w:cs="Times New Roman"/>
          <w:sz w:val="24"/>
          <w:szCs w:val="24"/>
        </w:rPr>
        <w:t>3</w:t>
      </w:r>
    </w:p>
    <w:p w14:paraId="71C5E80B" w14:textId="79F766E4" w:rsidR="2BBBA963"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8"/>
          <w:szCs w:val="28"/>
        </w:rPr>
        <w:lastRenderedPageBreak/>
        <w:t>References</w:t>
      </w:r>
    </w:p>
    <w:p w14:paraId="168B74D5" w14:textId="4119EDCB" w:rsidR="2BBBA963" w:rsidRDefault="77D4052A" w:rsidP="77D4052A">
      <w:pPr>
        <w:rPr>
          <w:rFonts w:ascii="Times New Roman" w:eastAsia="Times New Roman" w:hAnsi="Times New Roman" w:cs="Times New Roman"/>
          <w:sz w:val="24"/>
          <w:szCs w:val="24"/>
        </w:rPr>
      </w:pPr>
      <w:proofErr w:type="spellStart"/>
      <w:r w:rsidRPr="77D4052A">
        <w:rPr>
          <w:rFonts w:ascii="Times New Roman" w:eastAsia="Times New Roman" w:hAnsi="Times New Roman" w:cs="Times New Roman"/>
          <w:sz w:val="24"/>
          <w:szCs w:val="24"/>
        </w:rPr>
        <w:t>Antala</w:t>
      </w:r>
      <w:proofErr w:type="spellEnd"/>
      <w:r w:rsidRPr="77D4052A">
        <w:rPr>
          <w:rFonts w:ascii="Times New Roman" w:eastAsia="Times New Roman" w:hAnsi="Times New Roman" w:cs="Times New Roman"/>
          <w:sz w:val="24"/>
          <w:szCs w:val="24"/>
        </w:rPr>
        <w:t xml:space="preserve">, Simone, &amp; </w:t>
      </w:r>
      <w:proofErr w:type="spellStart"/>
      <w:r w:rsidRPr="77D4052A">
        <w:rPr>
          <w:rFonts w:ascii="Times New Roman" w:eastAsia="Times New Roman" w:hAnsi="Times New Roman" w:cs="Times New Roman"/>
          <w:sz w:val="24"/>
          <w:szCs w:val="24"/>
        </w:rPr>
        <w:t>Czakova</w:t>
      </w:r>
      <w:proofErr w:type="spellEnd"/>
      <w:r w:rsidRPr="77D4052A">
        <w:rPr>
          <w:rFonts w:ascii="Times New Roman" w:eastAsia="Times New Roman" w:hAnsi="Times New Roman" w:cs="Times New Roman"/>
          <w:sz w:val="24"/>
          <w:szCs w:val="24"/>
        </w:rPr>
        <w:t xml:space="preserve">, (2014) Secondary School Students' Opinions on the Selected Problems at PE Lessons. </w:t>
      </w:r>
      <w:r w:rsidRPr="77D4052A">
        <w:rPr>
          <w:rFonts w:ascii="Times New Roman" w:eastAsia="Times New Roman" w:hAnsi="Times New Roman" w:cs="Times New Roman"/>
          <w:i/>
          <w:iCs/>
          <w:sz w:val="24"/>
          <w:szCs w:val="24"/>
        </w:rPr>
        <w:t xml:space="preserve">Sport Science Review, </w:t>
      </w:r>
      <w:r w:rsidRPr="77D4052A">
        <w:rPr>
          <w:rFonts w:ascii="Times New Roman" w:eastAsia="Times New Roman" w:hAnsi="Times New Roman" w:cs="Times New Roman"/>
          <w:b/>
          <w:bCs/>
          <w:sz w:val="24"/>
          <w:szCs w:val="24"/>
        </w:rPr>
        <w:t>23</w:t>
      </w:r>
      <w:r w:rsidRPr="77D4052A">
        <w:rPr>
          <w:rFonts w:ascii="Times New Roman" w:eastAsia="Times New Roman" w:hAnsi="Times New Roman" w:cs="Times New Roman"/>
          <w:sz w:val="24"/>
          <w:szCs w:val="24"/>
        </w:rPr>
        <w:t>(1-2), pp. 39-58.</w:t>
      </w:r>
    </w:p>
    <w:p w14:paraId="5FE91A2D" w14:textId="699A401B" w:rsidR="77D4052A"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Association of Physical Education, 2020. Available at: </w:t>
      </w:r>
      <w:hyperlink r:id="rId6">
        <w:r w:rsidRPr="77D4052A">
          <w:rPr>
            <w:rStyle w:val="Hyperlink"/>
            <w:rFonts w:ascii="Times New Roman" w:eastAsia="Times New Roman" w:hAnsi="Times New Roman" w:cs="Times New Roman"/>
            <w:color w:val="auto"/>
            <w:sz w:val="24"/>
            <w:szCs w:val="24"/>
          </w:rPr>
          <w:t>https://www.afpe.org.uk/</w:t>
        </w:r>
      </w:hyperlink>
      <w:r w:rsidRPr="77D4052A">
        <w:rPr>
          <w:rFonts w:ascii="Times New Roman" w:eastAsia="Times New Roman" w:hAnsi="Times New Roman" w:cs="Times New Roman"/>
          <w:sz w:val="24"/>
          <w:szCs w:val="24"/>
        </w:rPr>
        <w:t xml:space="preserve"> (Accessed on 09/02/2020).</w:t>
      </w:r>
    </w:p>
    <w:p w14:paraId="0517C685" w14:textId="25E4A41C" w:rsidR="4054F5FF" w:rsidRDefault="77D4052A" w:rsidP="77D4052A">
      <w:pPr>
        <w:spacing w:beforeAutospacing="1"/>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 xml:space="preserve">Bailey, R. et al. (2009) ‘The educational benefits claimed for physical education and school sport: an academic review’, </w:t>
      </w:r>
      <w:r w:rsidRPr="77D4052A">
        <w:rPr>
          <w:rFonts w:ascii="Times New Roman" w:eastAsia="Times New Roman" w:hAnsi="Times New Roman" w:cs="Times New Roman"/>
          <w:i/>
          <w:iCs/>
          <w:sz w:val="24"/>
          <w:szCs w:val="24"/>
        </w:rPr>
        <w:t xml:space="preserve">Research Papers in Education. </w:t>
      </w:r>
      <w:r w:rsidRPr="77D4052A">
        <w:rPr>
          <w:rFonts w:ascii="Times New Roman" w:eastAsia="Times New Roman" w:hAnsi="Times New Roman" w:cs="Times New Roman"/>
          <w:sz w:val="24"/>
          <w:szCs w:val="24"/>
        </w:rPr>
        <w:t>24 (1), pp. 1-27.</w:t>
      </w:r>
    </w:p>
    <w:p w14:paraId="7619C46E" w14:textId="10E9FAAF"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Change4Life., 2020 Available at: </w:t>
      </w:r>
      <w:hyperlink r:id="rId7" w:anchor="make-a-change-today">
        <w:r w:rsidRPr="77D4052A">
          <w:rPr>
            <w:rStyle w:val="Hyperlink"/>
            <w:rFonts w:ascii="Times New Roman" w:eastAsia="Times New Roman" w:hAnsi="Times New Roman" w:cs="Times New Roman"/>
            <w:color w:val="auto"/>
            <w:sz w:val="24"/>
            <w:szCs w:val="24"/>
          </w:rPr>
          <w:t>https://www.nhs.uk/change4life/your-childs-weight/home#make-a-change-today</w:t>
        </w:r>
      </w:hyperlink>
      <w:r w:rsidRPr="77D4052A">
        <w:rPr>
          <w:rFonts w:ascii="Times New Roman" w:eastAsia="Times New Roman" w:hAnsi="Times New Roman" w:cs="Times New Roman"/>
          <w:sz w:val="24"/>
          <w:szCs w:val="24"/>
        </w:rPr>
        <w:t xml:space="preserve"> (Accessed on 09/02/2020). </w:t>
      </w:r>
    </w:p>
    <w:p w14:paraId="2C539B3B" w14:textId="4920FA9F"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Davis, J. et al. (2018). Distribution and disavowal: Managing the parental stigma of Children's weight and weight loss. Social Science &amp; Medicine, 219, pp.61–69.</w:t>
      </w:r>
    </w:p>
    <w:p w14:paraId="26A4F528" w14:textId="68BAE75E"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Eat Them To Defeat Them, 2020. Available at: </w:t>
      </w:r>
      <w:hyperlink r:id="rId8">
        <w:r w:rsidRPr="77D4052A">
          <w:rPr>
            <w:rStyle w:val="Hyperlink"/>
            <w:rFonts w:ascii="Times New Roman" w:eastAsia="Times New Roman" w:hAnsi="Times New Roman" w:cs="Times New Roman"/>
            <w:color w:val="auto"/>
            <w:sz w:val="24"/>
            <w:szCs w:val="24"/>
          </w:rPr>
          <w:t>https://eatthemtodefeatthem.com/</w:t>
        </w:r>
      </w:hyperlink>
      <w:r w:rsidRPr="77D4052A">
        <w:rPr>
          <w:rFonts w:ascii="Times New Roman" w:eastAsia="Times New Roman" w:hAnsi="Times New Roman" w:cs="Times New Roman"/>
          <w:sz w:val="24"/>
          <w:szCs w:val="24"/>
        </w:rPr>
        <w:t xml:space="preserve"> (Accessed on 19/02/2020).</w:t>
      </w:r>
    </w:p>
    <w:p w14:paraId="1A58B62E" w14:textId="439A79A3" w:rsidR="4054F5FF" w:rsidRDefault="77D4052A" w:rsidP="77D4052A">
      <w:pPr>
        <w:spacing w:beforeAutospacing="1"/>
        <w:rPr>
          <w:rFonts w:ascii="Times New Roman" w:eastAsia="Times New Roman" w:hAnsi="Times New Roman" w:cs="Times New Roman"/>
          <w:sz w:val="24"/>
          <w:szCs w:val="24"/>
        </w:rPr>
      </w:pPr>
      <w:proofErr w:type="spellStart"/>
      <w:r w:rsidRPr="77D4052A">
        <w:rPr>
          <w:rFonts w:ascii="Times New Roman" w:eastAsia="Times New Roman" w:hAnsi="Times New Roman" w:cs="Times New Roman"/>
          <w:sz w:val="24"/>
          <w:szCs w:val="24"/>
        </w:rPr>
        <w:t>Gallahue</w:t>
      </w:r>
      <w:proofErr w:type="spellEnd"/>
      <w:r w:rsidRPr="77D4052A">
        <w:rPr>
          <w:rFonts w:ascii="Times New Roman" w:eastAsia="Times New Roman" w:hAnsi="Times New Roman" w:cs="Times New Roman"/>
          <w:sz w:val="24"/>
          <w:szCs w:val="24"/>
        </w:rPr>
        <w:t xml:space="preserve">, D., </w:t>
      </w:r>
      <w:proofErr w:type="spellStart"/>
      <w:r w:rsidRPr="77D4052A">
        <w:rPr>
          <w:rFonts w:ascii="Times New Roman" w:eastAsia="Times New Roman" w:hAnsi="Times New Roman" w:cs="Times New Roman"/>
          <w:sz w:val="24"/>
          <w:szCs w:val="24"/>
        </w:rPr>
        <w:t>Ozmun</w:t>
      </w:r>
      <w:proofErr w:type="spellEnd"/>
      <w:r w:rsidRPr="77D4052A">
        <w:rPr>
          <w:rFonts w:ascii="Times New Roman" w:eastAsia="Times New Roman" w:hAnsi="Times New Roman" w:cs="Times New Roman"/>
          <w:sz w:val="24"/>
          <w:szCs w:val="24"/>
        </w:rPr>
        <w:t xml:space="preserve">, J. &amp; </w:t>
      </w:r>
      <w:proofErr w:type="spellStart"/>
      <w:r w:rsidRPr="77D4052A">
        <w:rPr>
          <w:rFonts w:ascii="Times New Roman" w:eastAsia="Times New Roman" w:hAnsi="Times New Roman" w:cs="Times New Roman"/>
          <w:sz w:val="24"/>
          <w:szCs w:val="24"/>
        </w:rPr>
        <w:t>Goodway</w:t>
      </w:r>
      <w:proofErr w:type="spellEnd"/>
      <w:r w:rsidRPr="77D4052A">
        <w:rPr>
          <w:rFonts w:ascii="Times New Roman" w:eastAsia="Times New Roman" w:hAnsi="Times New Roman" w:cs="Times New Roman"/>
          <w:sz w:val="24"/>
          <w:szCs w:val="24"/>
        </w:rPr>
        <w:t>, J. (2012)</w:t>
      </w:r>
      <w:r w:rsidRPr="77D4052A">
        <w:rPr>
          <w:rFonts w:ascii="Times New Roman" w:eastAsia="Times New Roman" w:hAnsi="Times New Roman" w:cs="Times New Roman"/>
          <w:i/>
          <w:iCs/>
          <w:sz w:val="24"/>
          <w:szCs w:val="24"/>
        </w:rPr>
        <w:t xml:space="preserve"> Understanding Motor Development</w:t>
      </w:r>
      <w:r w:rsidRPr="77D4052A">
        <w:rPr>
          <w:rFonts w:ascii="Times New Roman" w:eastAsia="Times New Roman" w:hAnsi="Times New Roman" w:cs="Times New Roman"/>
          <w:sz w:val="24"/>
          <w:szCs w:val="24"/>
        </w:rPr>
        <w:t xml:space="preserve"> (7</w:t>
      </w:r>
      <w:r w:rsidRPr="77D4052A">
        <w:rPr>
          <w:rFonts w:ascii="Times New Roman" w:eastAsia="Times New Roman" w:hAnsi="Times New Roman" w:cs="Times New Roman"/>
          <w:sz w:val="24"/>
          <w:szCs w:val="24"/>
          <w:vertAlign w:val="superscript"/>
        </w:rPr>
        <w:t xml:space="preserve">th ed.) </w:t>
      </w:r>
      <w:r w:rsidRPr="77D4052A">
        <w:rPr>
          <w:rFonts w:ascii="Times New Roman" w:eastAsia="Times New Roman" w:hAnsi="Times New Roman" w:cs="Times New Roman"/>
          <w:sz w:val="24"/>
          <w:szCs w:val="24"/>
        </w:rPr>
        <w:t xml:space="preserve">New York: </w:t>
      </w:r>
      <w:proofErr w:type="spellStart"/>
      <w:r w:rsidRPr="77D4052A">
        <w:rPr>
          <w:rFonts w:ascii="Times New Roman" w:eastAsia="Times New Roman" w:hAnsi="Times New Roman" w:cs="Times New Roman"/>
          <w:sz w:val="24"/>
          <w:szCs w:val="24"/>
        </w:rPr>
        <w:t>McGrawHill</w:t>
      </w:r>
      <w:proofErr w:type="spellEnd"/>
      <w:r w:rsidRPr="77D4052A">
        <w:rPr>
          <w:rFonts w:ascii="Times New Roman" w:eastAsia="Times New Roman" w:hAnsi="Times New Roman" w:cs="Times New Roman"/>
          <w:sz w:val="24"/>
          <w:szCs w:val="24"/>
        </w:rPr>
        <w:t xml:space="preserve">. </w:t>
      </w:r>
    </w:p>
    <w:p w14:paraId="66E26144" w14:textId="73B78455" w:rsidR="4054F5FF" w:rsidRDefault="77D4052A" w:rsidP="77D4052A">
      <w:pPr>
        <w:spacing w:beforeAutospacing="1"/>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Gordon-Larsen, P. et al. (2004). Barriers to physical activity. American Journal of Preventive Medicine, 27(3), pp.218–223. </w:t>
      </w:r>
    </w:p>
    <w:p w14:paraId="2ED07D84" w14:textId="7E3B722C" w:rsidR="4054F5FF" w:rsidRDefault="77D4052A" w:rsidP="77D4052A">
      <w:pPr>
        <w:rPr>
          <w:rFonts w:ascii="Times New Roman" w:eastAsia="Times New Roman" w:hAnsi="Times New Roman" w:cs="Times New Roman"/>
          <w:b/>
          <w:bCs/>
          <w:sz w:val="24"/>
          <w:szCs w:val="24"/>
        </w:rPr>
      </w:pPr>
      <w:r w:rsidRPr="77D4052A">
        <w:rPr>
          <w:rFonts w:ascii="Times New Roman" w:eastAsia="Times New Roman" w:hAnsi="Times New Roman" w:cs="Times New Roman"/>
          <w:sz w:val="24"/>
          <w:szCs w:val="24"/>
        </w:rPr>
        <w:t xml:space="preserve">Linder, K. J. (2002). The Physical Activity Participation–Academic Performance Relationship Revisited: Perceived and Actual Performance and the Effect of Banding, </w:t>
      </w:r>
      <w:r w:rsidRPr="77D4052A">
        <w:rPr>
          <w:rFonts w:ascii="Times New Roman" w:eastAsia="Times New Roman" w:hAnsi="Times New Roman" w:cs="Times New Roman"/>
          <w:i/>
          <w:iCs/>
          <w:sz w:val="24"/>
          <w:szCs w:val="24"/>
        </w:rPr>
        <w:t>Pediatric Exercise Science</w:t>
      </w:r>
      <w:r w:rsidRPr="77D4052A">
        <w:rPr>
          <w:rFonts w:ascii="Times New Roman" w:eastAsia="Times New Roman" w:hAnsi="Times New Roman" w:cs="Times New Roman"/>
          <w:sz w:val="24"/>
          <w:szCs w:val="24"/>
        </w:rPr>
        <w:t xml:space="preserve">, </w:t>
      </w:r>
      <w:r w:rsidRPr="77D4052A">
        <w:rPr>
          <w:rFonts w:ascii="Times New Roman" w:eastAsia="Times New Roman" w:hAnsi="Times New Roman" w:cs="Times New Roman"/>
          <w:i/>
          <w:iCs/>
          <w:sz w:val="24"/>
          <w:szCs w:val="24"/>
        </w:rPr>
        <w:t>14</w:t>
      </w:r>
      <w:r w:rsidRPr="77D4052A">
        <w:rPr>
          <w:rFonts w:ascii="Times New Roman" w:eastAsia="Times New Roman" w:hAnsi="Times New Roman" w:cs="Times New Roman"/>
          <w:sz w:val="24"/>
          <w:szCs w:val="24"/>
        </w:rPr>
        <w:t>(2), 155-169</w:t>
      </w:r>
      <w:r w:rsidRPr="77D4052A">
        <w:rPr>
          <w:rFonts w:ascii="Times New Roman" w:eastAsia="Times New Roman" w:hAnsi="Times New Roman" w:cs="Times New Roman"/>
          <w:b/>
          <w:bCs/>
          <w:sz w:val="24"/>
          <w:szCs w:val="24"/>
        </w:rPr>
        <w:t>.</w:t>
      </w:r>
    </w:p>
    <w:p w14:paraId="7DED29C4" w14:textId="0D443E43"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Linder, K. J. (1999). Sport Participation and Perceived Academic Performance of School Children and Youth. </w:t>
      </w:r>
      <w:r w:rsidRPr="77D4052A">
        <w:rPr>
          <w:rFonts w:ascii="Times New Roman" w:eastAsia="Times New Roman" w:hAnsi="Times New Roman" w:cs="Times New Roman"/>
          <w:i/>
          <w:iCs/>
          <w:sz w:val="24"/>
          <w:szCs w:val="24"/>
        </w:rPr>
        <w:t>Pediatric Exercise Science, 11,</w:t>
      </w:r>
      <w:r w:rsidRPr="77D4052A">
        <w:rPr>
          <w:rFonts w:ascii="Times New Roman" w:eastAsia="Times New Roman" w:hAnsi="Times New Roman" w:cs="Times New Roman"/>
          <w:sz w:val="24"/>
          <w:szCs w:val="24"/>
        </w:rPr>
        <w:t xml:space="preserve"> 129-144</w:t>
      </w:r>
    </w:p>
    <w:p w14:paraId="7120C217" w14:textId="54BDA5B9"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Metzler, M. (2011) </w:t>
      </w:r>
      <w:r w:rsidRPr="77D4052A">
        <w:rPr>
          <w:rFonts w:ascii="Times New Roman" w:eastAsia="Times New Roman" w:hAnsi="Times New Roman" w:cs="Times New Roman"/>
          <w:i/>
          <w:iCs/>
          <w:sz w:val="24"/>
          <w:szCs w:val="24"/>
        </w:rPr>
        <w:t>Instructional Models For Physical Education</w:t>
      </w:r>
      <w:r w:rsidRPr="77D4052A">
        <w:rPr>
          <w:rFonts w:ascii="Times New Roman" w:eastAsia="Times New Roman" w:hAnsi="Times New Roman" w:cs="Times New Roman"/>
          <w:sz w:val="24"/>
          <w:szCs w:val="24"/>
        </w:rPr>
        <w:t xml:space="preserve">. 3rd Edition. Arizona: Holcomb Hathaway. </w:t>
      </w:r>
    </w:p>
    <w:p w14:paraId="2D6F481F" w14:textId="7785DA10"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Murdoch, E. &amp; Whitehead, M. ‘What should pupils learn in Physical Education?’, in Capel, S. &amp; Whitehead, M. (2013) </w:t>
      </w:r>
      <w:r w:rsidRPr="77D4052A">
        <w:rPr>
          <w:rFonts w:ascii="Times New Roman" w:eastAsia="Times New Roman" w:hAnsi="Times New Roman" w:cs="Times New Roman"/>
          <w:i/>
          <w:iCs/>
          <w:sz w:val="24"/>
          <w:szCs w:val="24"/>
        </w:rPr>
        <w:t>Debates in Physical Education.</w:t>
      </w:r>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Oxon</w:t>
      </w:r>
      <w:proofErr w:type="spellEnd"/>
      <w:r w:rsidRPr="77D4052A">
        <w:rPr>
          <w:rFonts w:ascii="Times New Roman" w:eastAsia="Times New Roman" w:hAnsi="Times New Roman" w:cs="Times New Roman"/>
          <w:sz w:val="24"/>
          <w:szCs w:val="24"/>
        </w:rPr>
        <w:t xml:space="preserve">: </w:t>
      </w:r>
      <w:proofErr w:type="spellStart"/>
      <w:r w:rsidRPr="77D4052A">
        <w:rPr>
          <w:rFonts w:ascii="Times New Roman" w:eastAsia="Times New Roman" w:hAnsi="Times New Roman" w:cs="Times New Roman"/>
          <w:sz w:val="24"/>
          <w:szCs w:val="24"/>
        </w:rPr>
        <w:t>Routledge</w:t>
      </w:r>
      <w:proofErr w:type="spellEnd"/>
      <w:r w:rsidRPr="77D4052A">
        <w:rPr>
          <w:rFonts w:ascii="Times New Roman" w:eastAsia="Times New Roman" w:hAnsi="Times New Roman" w:cs="Times New Roman"/>
          <w:sz w:val="24"/>
          <w:szCs w:val="24"/>
        </w:rPr>
        <w:t>.</w:t>
      </w:r>
    </w:p>
    <w:p w14:paraId="4ADC10E7" w14:textId="16FFA719" w:rsidR="1CCE1C6E"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National Health Service, 2019. Available at: </w:t>
      </w:r>
      <w:hyperlink r:id="rId9">
        <w:r w:rsidRPr="77D4052A">
          <w:rPr>
            <w:rStyle w:val="Hyperlink"/>
            <w:rFonts w:ascii="Times New Roman" w:eastAsia="Times New Roman" w:hAnsi="Times New Roman" w:cs="Times New Roman"/>
            <w:color w:val="auto"/>
            <w:sz w:val="24"/>
            <w:szCs w:val="24"/>
          </w:rPr>
          <w:t>https://www.nhs.uk/live-well/exercise/physical-activity-guidelines-children-and-young-people/</w:t>
        </w:r>
      </w:hyperlink>
      <w:r w:rsidRPr="77D4052A">
        <w:rPr>
          <w:rFonts w:ascii="Times New Roman" w:eastAsia="Times New Roman" w:hAnsi="Times New Roman" w:cs="Times New Roman"/>
          <w:sz w:val="24"/>
          <w:szCs w:val="24"/>
        </w:rPr>
        <w:t xml:space="preserve"> (Accessed on 19/02/2020).</w:t>
      </w:r>
    </w:p>
    <w:p w14:paraId="3C4E31EA" w14:textId="501A4FDB"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National Health Service, 2018. Available at: https://www.nhs.uk/live-well/healthy-weight/healthy-weight-children-advice-for-parents/ (Accessed on 19/02/2020). </w:t>
      </w:r>
    </w:p>
    <w:p w14:paraId="26BB7064" w14:textId="777AA6AE" w:rsidR="4054F5FF"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 xml:space="preserve">National Health Service, 2017. Available at: </w:t>
      </w:r>
      <w:hyperlink r:id="rId10">
        <w:r w:rsidRPr="77D4052A">
          <w:rPr>
            <w:rStyle w:val="Hyperlink"/>
            <w:rFonts w:ascii="Times New Roman" w:eastAsia="Times New Roman" w:hAnsi="Times New Roman" w:cs="Times New Roman"/>
            <w:color w:val="auto"/>
            <w:sz w:val="24"/>
            <w:szCs w:val="24"/>
          </w:rPr>
          <w:t>https://www.nhs.uk/live-well/healthy-weight/national-child-measurement-programme/</w:t>
        </w:r>
      </w:hyperlink>
      <w:r w:rsidRPr="77D4052A">
        <w:rPr>
          <w:rFonts w:ascii="Times New Roman" w:eastAsia="Times New Roman" w:hAnsi="Times New Roman" w:cs="Times New Roman"/>
          <w:sz w:val="24"/>
          <w:szCs w:val="24"/>
        </w:rPr>
        <w:t xml:space="preserve"> (Accessed on 19/02/2020).</w:t>
      </w:r>
    </w:p>
    <w:p w14:paraId="01C91D73" w14:textId="418CFA26" w:rsidR="7984B110"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lastRenderedPageBreak/>
        <w:t xml:space="preserve">Public Health England, 2013. Available at: </w:t>
      </w:r>
      <w:hyperlink r:id="rId11">
        <w:r w:rsidRPr="77D4052A">
          <w:rPr>
            <w:rStyle w:val="Hyperlink"/>
            <w:rFonts w:ascii="Times New Roman" w:eastAsia="Times New Roman" w:hAnsi="Times New Roman" w:cs="Times New Roman"/>
            <w:color w:val="auto"/>
            <w:sz w:val="24"/>
            <w:szCs w:val="24"/>
          </w:rPr>
          <w:t>https://www.gov.uk/government/news/sedentary-lifestyles-and-too-much-screen-time-affect-childrens-wellbeing</w:t>
        </w:r>
      </w:hyperlink>
      <w:r w:rsidRPr="77D4052A">
        <w:rPr>
          <w:rFonts w:ascii="Times New Roman" w:eastAsia="Times New Roman" w:hAnsi="Times New Roman" w:cs="Times New Roman"/>
          <w:sz w:val="24"/>
          <w:szCs w:val="24"/>
        </w:rPr>
        <w:t xml:space="preserve"> (Accessed on 19/02/2020).</w:t>
      </w:r>
    </w:p>
    <w:p w14:paraId="2BBE01F9" w14:textId="6C42DD49" w:rsidR="7984B110" w:rsidRDefault="77D4052A" w:rsidP="77D4052A">
      <w:pPr>
        <w:rPr>
          <w:rFonts w:ascii="Times New Roman" w:eastAsia="Times New Roman" w:hAnsi="Times New Roman" w:cs="Times New Roman"/>
          <w:sz w:val="24"/>
          <w:szCs w:val="24"/>
        </w:rPr>
      </w:pPr>
      <w:r w:rsidRPr="77D4052A">
        <w:rPr>
          <w:rFonts w:ascii="Times New Roman" w:eastAsia="Times New Roman" w:hAnsi="Times New Roman" w:cs="Times New Roman"/>
          <w:sz w:val="24"/>
          <w:szCs w:val="24"/>
        </w:rPr>
        <w:t>Ryan, R. &amp; Deci, E. (2018) Self Determination Theory. New York: The Guilford Press.</w:t>
      </w:r>
    </w:p>
    <w:p w14:paraId="5429A532" w14:textId="3DFF3203" w:rsidR="7984B110" w:rsidRDefault="77D4052A" w:rsidP="77D4052A">
      <w:pPr>
        <w:rPr>
          <w:rFonts w:ascii="Times New Roman" w:eastAsia="Times New Roman" w:hAnsi="Times New Roman" w:cs="Times New Roman"/>
          <w:sz w:val="24"/>
          <w:szCs w:val="24"/>
        </w:rPr>
      </w:pPr>
      <w:proofErr w:type="spellStart"/>
      <w:r w:rsidRPr="77D4052A">
        <w:rPr>
          <w:rFonts w:ascii="Times New Roman" w:eastAsia="Times New Roman" w:hAnsi="Times New Roman" w:cs="Times New Roman"/>
          <w:sz w:val="24"/>
          <w:szCs w:val="24"/>
        </w:rPr>
        <w:t>Siedentop</w:t>
      </w:r>
      <w:proofErr w:type="spellEnd"/>
      <w:r w:rsidRPr="77D4052A">
        <w:rPr>
          <w:rFonts w:ascii="Times New Roman" w:eastAsia="Times New Roman" w:hAnsi="Times New Roman" w:cs="Times New Roman"/>
          <w:sz w:val="24"/>
          <w:szCs w:val="24"/>
        </w:rPr>
        <w:t xml:space="preserve">, D., </w:t>
      </w:r>
      <w:proofErr w:type="spellStart"/>
      <w:r w:rsidRPr="77D4052A">
        <w:rPr>
          <w:rFonts w:ascii="Times New Roman" w:eastAsia="Times New Roman" w:hAnsi="Times New Roman" w:cs="Times New Roman"/>
          <w:sz w:val="24"/>
          <w:szCs w:val="24"/>
        </w:rPr>
        <w:t>Hastie</w:t>
      </w:r>
      <w:proofErr w:type="spellEnd"/>
      <w:r w:rsidRPr="77D4052A">
        <w:rPr>
          <w:rFonts w:ascii="Times New Roman" w:eastAsia="Times New Roman" w:hAnsi="Times New Roman" w:cs="Times New Roman"/>
          <w:sz w:val="24"/>
          <w:szCs w:val="24"/>
        </w:rPr>
        <w:t xml:space="preserve">, P. &amp; Van Der Mars, H. (2011) </w:t>
      </w:r>
      <w:r w:rsidRPr="77D4052A">
        <w:rPr>
          <w:rFonts w:ascii="Times New Roman" w:eastAsia="Times New Roman" w:hAnsi="Times New Roman" w:cs="Times New Roman"/>
          <w:i/>
          <w:iCs/>
          <w:sz w:val="24"/>
          <w:szCs w:val="24"/>
        </w:rPr>
        <w:t xml:space="preserve">Complete Guide to Sport Education. </w:t>
      </w:r>
      <w:r w:rsidRPr="77D4052A">
        <w:rPr>
          <w:rFonts w:ascii="Times New Roman" w:eastAsia="Times New Roman" w:hAnsi="Times New Roman" w:cs="Times New Roman"/>
          <w:sz w:val="24"/>
          <w:szCs w:val="24"/>
        </w:rPr>
        <w:t>2nd Edition. Leeds: Human Kinetics.</w:t>
      </w:r>
    </w:p>
    <w:p w14:paraId="53071549" w14:textId="77714811" w:rsidR="4054F5FF" w:rsidRDefault="77D4052A" w:rsidP="77D4052A">
      <w:pPr>
        <w:spacing w:beforeAutospacing="1"/>
        <w:rPr>
          <w:rFonts w:ascii="Times New Roman" w:eastAsia="Times New Roman" w:hAnsi="Times New Roman" w:cs="Times New Roman"/>
          <w:color w:val="000000" w:themeColor="text1"/>
          <w:sz w:val="24"/>
          <w:szCs w:val="24"/>
        </w:rPr>
      </w:pPr>
      <w:r w:rsidRPr="77D4052A">
        <w:rPr>
          <w:rFonts w:ascii="Times New Roman" w:eastAsia="Times New Roman" w:hAnsi="Times New Roman" w:cs="Times New Roman"/>
          <w:sz w:val="24"/>
          <w:szCs w:val="24"/>
        </w:rPr>
        <w:t xml:space="preserve">Welsh Assembly Government (2008) </w:t>
      </w:r>
      <w:r w:rsidRPr="77D4052A">
        <w:rPr>
          <w:rFonts w:ascii="Times New Roman" w:eastAsia="Times New Roman" w:hAnsi="Times New Roman" w:cs="Times New Roman"/>
          <w:i/>
          <w:iCs/>
          <w:sz w:val="24"/>
          <w:szCs w:val="24"/>
        </w:rPr>
        <w:t xml:space="preserve">National Curriculum for PE in Wales. </w:t>
      </w:r>
      <w:r w:rsidRPr="77D4052A">
        <w:rPr>
          <w:rFonts w:ascii="Times New Roman" w:eastAsia="Times New Roman" w:hAnsi="Times New Roman" w:cs="Times New Roman"/>
          <w:sz w:val="24"/>
          <w:szCs w:val="24"/>
        </w:rPr>
        <w:t xml:space="preserve">Available at: </w:t>
      </w:r>
      <w:hyperlink r:id="rId12">
        <w:r w:rsidRPr="77D4052A">
          <w:rPr>
            <w:rStyle w:val="Hyperlink"/>
            <w:rFonts w:ascii="Times New Roman" w:eastAsia="Times New Roman" w:hAnsi="Times New Roman" w:cs="Times New Roman"/>
            <w:color w:val="auto"/>
            <w:sz w:val="24"/>
            <w:szCs w:val="24"/>
          </w:rPr>
          <w:t>https://hwb.gov.wales/storage/7b01cf26-9974-4c3d-bb1f-ee79e111b448/physical-education-inthe-national-curriculum.pdf</w:t>
        </w:r>
      </w:hyperlink>
      <w:r w:rsidRPr="77D4052A">
        <w:rPr>
          <w:rFonts w:ascii="Times New Roman" w:eastAsia="Times New Roman" w:hAnsi="Times New Roman" w:cs="Times New Roman"/>
          <w:sz w:val="24"/>
          <w:szCs w:val="24"/>
        </w:rPr>
        <w:t xml:space="preserve"> (Accessed 17 November 2019).</w:t>
      </w:r>
    </w:p>
    <w:p w14:paraId="01C4FE9C" w14:textId="2FDAF540" w:rsidR="4054F5FF" w:rsidRDefault="4054F5FF" w:rsidP="7984B110">
      <w:pPr>
        <w:rPr>
          <w:rStyle w:val="FootnoteReference"/>
          <w:rFonts w:ascii="Times New Roman" w:eastAsia="Times New Roman" w:hAnsi="Times New Roman" w:cs="Times New Roman"/>
          <w:sz w:val="24"/>
          <w:szCs w:val="24"/>
        </w:rPr>
      </w:pPr>
    </w:p>
    <w:sectPr w:rsidR="4054F5F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873F0" w14:textId="77777777" w:rsidR="008F052D" w:rsidRDefault="008F052D" w:rsidP="004C2D93">
      <w:pPr>
        <w:spacing w:after="0" w:line="240" w:lineRule="auto"/>
      </w:pPr>
      <w:r>
        <w:separator/>
      </w:r>
    </w:p>
  </w:endnote>
  <w:endnote w:type="continuationSeparator" w:id="0">
    <w:p w14:paraId="67711A3D" w14:textId="77777777" w:rsidR="008F052D" w:rsidRDefault="008F052D" w:rsidP="004C2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7D4052A" w14:paraId="1867F703" w14:textId="77777777" w:rsidTr="77D4052A">
      <w:tc>
        <w:tcPr>
          <w:tcW w:w="3120" w:type="dxa"/>
        </w:tcPr>
        <w:p w14:paraId="480739F1" w14:textId="2FA22112" w:rsidR="77D4052A" w:rsidRDefault="77D4052A" w:rsidP="77D4052A">
          <w:pPr>
            <w:pStyle w:val="Header"/>
            <w:ind w:left="-115"/>
          </w:pPr>
        </w:p>
      </w:tc>
      <w:tc>
        <w:tcPr>
          <w:tcW w:w="3120" w:type="dxa"/>
        </w:tcPr>
        <w:p w14:paraId="56C4D619" w14:textId="23783D8F" w:rsidR="77D4052A" w:rsidRDefault="77D4052A" w:rsidP="77D4052A">
          <w:pPr>
            <w:pStyle w:val="Header"/>
            <w:jc w:val="center"/>
          </w:pPr>
        </w:p>
      </w:tc>
      <w:tc>
        <w:tcPr>
          <w:tcW w:w="3120" w:type="dxa"/>
        </w:tcPr>
        <w:p w14:paraId="1714BD72" w14:textId="6C21E449" w:rsidR="77D4052A" w:rsidRDefault="77D4052A" w:rsidP="77D4052A">
          <w:pPr>
            <w:pStyle w:val="Header"/>
            <w:ind w:right="-115"/>
            <w:jc w:val="right"/>
          </w:pPr>
          <w:r>
            <w:fldChar w:fldCharType="begin"/>
          </w:r>
          <w:r>
            <w:instrText>PAGE</w:instrText>
          </w:r>
          <w:r>
            <w:fldChar w:fldCharType="separate"/>
          </w:r>
          <w:r w:rsidR="00783D83">
            <w:rPr>
              <w:noProof/>
            </w:rPr>
            <w:t>1</w:t>
          </w:r>
          <w:r>
            <w:fldChar w:fldCharType="end"/>
          </w:r>
        </w:p>
      </w:tc>
    </w:tr>
  </w:tbl>
  <w:p w14:paraId="0F37F79B" w14:textId="547948CF" w:rsidR="77D4052A" w:rsidRDefault="77D4052A" w:rsidP="77D40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69D2D" w14:textId="77777777" w:rsidR="008F052D" w:rsidRDefault="008F052D" w:rsidP="004C2D93">
      <w:pPr>
        <w:spacing w:after="0" w:line="240" w:lineRule="auto"/>
      </w:pPr>
      <w:r>
        <w:separator/>
      </w:r>
    </w:p>
  </w:footnote>
  <w:footnote w:type="continuationSeparator" w:id="0">
    <w:p w14:paraId="5CE4F436" w14:textId="77777777" w:rsidR="008F052D" w:rsidRDefault="008F052D" w:rsidP="004C2D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7D4052A" w14:paraId="254BC04A" w14:textId="77777777" w:rsidTr="77D4052A">
      <w:tc>
        <w:tcPr>
          <w:tcW w:w="3120" w:type="dxa"/>
        </w:tcPr>
        <w:p w14:paraId="37EE5B02" w14:textId="7D919E97" w:rsidR="77D4052A" w:rsidRDefault="77D4052A" w:rsidP="77D4052A">
          <w:pPr>
            <w:pStyle w:val="Header"/>
            <w:ind w:left="-115"/>
          </w:pPr>
        </w:p>
      </w:tc>
      <w:tc>
        <w:tcPr>
          <w:tcW w:w="3120" w:type="dxa"/>
        </w:tcPr>
        <w:p w14:paraId="0BBF4584" w14:textId="4AF3EFD5" w:rsidR="77D4052A" w:rsidRDefault="77D4052A" w:rsidP="77D4052A">
          <w:pPr>
            <w:pStyle w:val="Header"/>
            <w:jc w:val="center"/>
          </w:pPr>
        </w:p>
      </w:tc>
      <w:tc>
        <w:tcPr>
          <w:tcW w:w="3120" w:type="dxa"/>
        </w:tcPr>
        <w:p w14:paraId="4B893AA9" w14:textId="3E513533" w:rsidR="77D4052A" w:rsidRDefault="77D4052A" w:rsidP="77D4052A">
          <w:pPr>
            <w:pStyle w:val="Header"/>
            <w:ind w:right="-115"/>
            <w:jc w:val="right"/>
          </w:pPr>
        </w:p>
      </w:tc>
    </w:tr>
  </w:tbl>
  <w:p w14:paraId="0A09CD11" w14:textId="451D36EB" w:rsidR="77D4052A" w:rsidRDefault="77D4052A" w:rsidP="77D405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EE7D7A"/>
    <w:rsid w:val="001B7DF5"/>
    <w:rsid w:val="00390732"/>
    <w:rsid w:val="004C2D93"/>
    <w:rsid w:val="005E1A43"/>
    <w:rsid w:val="00703797"/>
    <w:rsid w:val="00783D83"/>
    <w:rsid w:val="008F052D"/>
    <w:rsid w:val="00DA515E"/>
    <w:rsid w:val="0AEE7D7A"/>
    <w:rsid w:val="1CCE1C6E"/>
    <w:rsid w:val="2BBBA963"/>
    <w:rsid w:val="4054F5FF"/>
    <w:rsid w:val="4EFDCB11"/>
    <w:rsid w:val="5F0A87F5"/>
    <w:rsid w:val="7236D768"/>
    <w:rsid w:val="77D4052A"/>
    <w:rsid w:val="7984B1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E7D7A"/>
  <w15:chartTrackingRefBased/>
  <w15:docId w15:val="{47548D13-F521-4F05-BCB4-A0D3CDDC9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odyText">
    <w:name w:val="Body Text"/>
    <w:basedOn w:val="Normal"/>
    <w:link w:val="BodyTextChar"/>
    <w:rsid w:val="004C2D93"/>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4C2D93"/>
    <w:rPr>
      <w:rFonts w:ascii="Times New Roman" w:eastAsia="Times New Roman" w:hAnsi="Times New Roman" w:cs="Times New Roman"/>
      <w:sz w:val="24"/>
      <w:szCs w:val="20"/>
      <w:lang w:val="en-GB" w:eastAsia="en-GB"/>
    </w:rPr>
  </w:style>
  <w:style w:type="paragraph" w:styleId="Title">
    <w:name w:val="Title"/>
    <w:basedOn w:val="Normal"/>
    <w:link w:val="TitleChar"/>
    <w:uiPriority w:val="10"/>
    <w:qFormat/>
    <w:rsid w:val="004C2D93"/>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4C2D93"/>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4C2D93"/>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4C2D93"/>
    <w:rPr>
      <w:rFonts w:ascii="Times New Roman" w:eastAsia="MS Minngs" w:hAnsi="Times New Roman" w:cs="Times New Roman"/>
      <w:sz w:val="32"/>
      <w:szCs w:val="32"/>
      <w:u w:val="single"/>
      <w:lang w:val="en-GB" w:eastAsia="en-GB"/>
    </w:rPr>
  </w:style>
  <w:style w:type="paragraph" w:styleId="Header">
    <w:name w:val="header"/>
    <w:basedOn w:val="Normal"/>
    <w:link w:val="HeaderChar"/>
    <w:uiPriority w:val="99"/>
    <w:unhideWhenUsed/>
    <w:rsid w:val="004C2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D93"/>
  </w:style>
  <w:style w:type="paragraph" w:styleId="Footer">
    <w:name w:val="footer"/>
    <w:basedOn w:val="Normal"/>
    <w:link w:val="FooterChar"/>
    <w:uiPriority w:val="99"/>
    <w:unhideWhenUsed/>
    <w:rsid w:val="004C2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D93"/>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tthemtodefeatthem.com/"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nhs.uk/change4life/your-childs-weight/home" TargetMode="External"/><Relationship Id="rId12" Type="http://schemas.openxmlformats.org/officeDocument/2006/relationships/hyperlink" Target="https://hwb.gov.wales/storage/7b01cf26-9974-4c3d-bb1f-ee79e111b448/physical-education-inthe-national-curriculum.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fpe.org.uk/" TargetMode="External"/><Relationship Id="rId11" Type="http://schemas.openxmlformats.org/officeDocument/2006/relationships/hyperlink" Target="https://www.gov.uk/government/news/sedentary-lifestyles-and-too-much-screen-time-affect-childrens-wellbein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hs.uk/live-well/healthy-weight/national-child-measurement-programme/" TargetMode="External"/><Relationship Id="rId4" Type="http://schemas.openxmlformats.org/officeDocument/2006/relationships/footnotes" Target="footnotes.xml"/><Relationship Id="rId9" Type="http://schemas.openxmlformats.org/officeDocument/2006/relationships/hyperlink" Target="https://www.nhs.uk/live-well/exercise/physical-activity-guidelines-children-and-young-peop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2406</Words>
  <Characters>13719</Characters>
  <Application>Microsoft Office Word</Application>
  <DocSecurity>0</DocSecurity>
  <Lines>114</Lines>
  <Paragraphs>32</Paragraphs>
  <ScaleCrop>false</ScaleCrop>
  <Company/>
  <LinksUpToDate>false</LinksUpToDate>
  <CharactersWithSpaces>16093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Rustage (1901872)</dc:creator>
  <cp:keywords/>
  <dc:description/>
  <cp:lastModifiedBy>Lauren Rustage (1901872)</cp:lastModifiedBy>
  <cp:revision>10</cp:revision>
  <dcterms:created xsi:type="dcterms:W3CDTF">2020-02-19T09:27:00Z</dcterms:created>
  <dcterms:modified xsi:type="dcterms:W3CDTF">2020-03-14T22:03:00Z</dcterms:modified>
</cp:coreProperties>
</file>