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E8F06B" w14:textId="68532D65" w:rsidR="00E83E3C" w:rsidRPr="00765BD8" w:rsidRDefault="003125E2" w:rsidP="00FB3CCD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r w:rsidRPr="00765BD8">
        <w:rPr>
          <w:rFonts w:ascii="Arial" w:hAnsi="Arial" w:cs="Arial"/>
          <w:b/>
          <w:bCs/>
          <w:sz w:val="28"/>
          <w:szCs w:val="28"/>
          <w:lang w:val="en-US"/>
        </w:rPr>
        <w:t>Shauna Curry – 1900085</w:t>
      </w:r>
    </w:p>
    <w:p w14:paraId="5A016065" w14:textId="7AD0E996" w:rsidR="00FB3CCD" w:rsidRDefault="00FB3CCD" w:rsidP="00FB3CCD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AD719D">
        <w:rPr>
          <w:rFonts w:ascii="Arial" w:hAnsi="Arial" w:cs="Arial"/>
          <w:b/>
          <w:bCs/>
          <w:sz w:val="28"/>
          <w:szCs w:val="28"/>
          <w:u w:val="single"/>
          <w:lang w:val="en-US"/>
        </w:rPr>
        <w:t xml:space="preserve">Applying the rules of causation, examine the situation where there may have been </w:t>
      </w:r>
      <w:r w:rsidR="00913E24" w:rsidRPr="00AD719D">
        <w:rPr>
          <w:rFonts w:ascii="Arial" w:hAnsi="Arial" w:cs="Arial"/>
          <w:b/>
          <w:bCs/>
          <w:sz w:val="28"/>
          <w:szCs w:val="28"/>
          <w:u w:val="single"/>
          <w:lang w:val="en-US"/>
        </w:rPr>
        <w:t xml:space="preserve">a break in the chain of causation between the Defendant’s negligence and the loss suffered by the </w:t>
      </w:r>
      <w:r w:rsidR="00AD719D" w:rsidRPr="00AD719D">
        <w:rPr>
          <w:rFonts w:ascii="Arial" w:hAnsi="Arial" w:cs="Arial"/>
          <w:b/>
          <w:bCs/>
          <w:sz w:val="28"/>
          <w:szCs w:val="28"/>
          <w:u w:val="single"/>
          <w:lang w:val="en-US"/>
        </w:rPr>
        <w:t>C</w:t>
      </w:r>
      <w:r w:rsidR="00913E24" w:rsidRPr="00AD719D">
        <w:rPr>
          <w:rFonts w:ascii="Arial" w:hAnsi="Arial" w:cs="Arial"/>
          <w:b/>
          <w:bCs/>
          <w:sz w:val="28"/>
          <w:szCs w:val="28"/>
          <w:u w:val="single"/>
          <w:lang w:val="en-US"/>
        </w:rPr>
        <w:t xml:space="preserve">laimant </w:t>
      </w:r>
      <w:r w:rsidR="00630CF1" w:rsidRPr="00AD719D">
        <w:rPr>
          <w:rFonts w:ascii="Arial" w:hAnsi="Arial" w:cs="Arial"/>
          <w:b/>
          <w:bCs/>
          <w:sz w:val="28"/>
          <w:szCs w:val="28"/>
          <w:u w:val="single"/>
          <w:lang w:val="en-US"/>
        </w:rPr>
        <w:t xml:space="preserve">and the effect that this may have on the Defendant’s liability. </w:t>
      </w:r>
    </w:p>
    <w:p w14:paraId="65A66827" w14:textId="4D7B0D99" w:rsidR="003D7D0A" w:rsidRDefault="003D7D0A" w:rsidP="009431E3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36998625" w14:textId="3A4F72AE" w:rsidR="007E3C8A" w:rsidRDefault="007E3C8A" w:rsidP="004828DE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When applying the rules of causation situations where there has been a break in the chain between the Defendant’s negligence and the loss suffered by the Claimant, ha</w:t>
      </w:r>
      <w:r w:rsidR="00BE20AA">
        <w:rPr>
          <w:rFonts w:ascii="Arial" w:hAnsi="Arial" w:cs="Arial"/>
          <w:sz w:val="28"/>
          <w:szCs w:val="28"/>
          <w:lang w:val="en-US"/>
        </w:rPr>
        <w:t>s</w:t>
      </w:r>
      <w:r>
        <w:rPr>
          <w:rFonts w:ascii="Arial" w:hAnsi="Arial" w:cs="Arial"/>
          <w:sz w:val="28"/>
          <w:szCs w:val="28"/>
          <w:lang w:val="en-US"/>
        </w:rPr>
        <w:t xml:space="preserve"> had an effect on the Defendant’s liability</w:t>
      </w:r>
      <w:r w:rsidR="00265A23">
        <w:rPr>
          <w:rFonts w:ascii="Arial" w:hAnsi="Arial" w:cs="Arial"/>
          <w:sz w:val="28"/>
          <w:szCs w:val="28"/>
          <w:lang w:val="en-US"/>
        </w:rPr>
        <w:t xml:space="preserve"> </w:t>
      </w:r>
      <w:r w:rsidR="00403D82">
        <w:rPr>
          <w:rFonts w:ascii="Arial" w:hAnsi="Arial" w:cs="Arial"/>
          <w:color w:val="000000" w:themeColor="text1"/>
          <w:sz w:val="28"/>
          <w:szCs w:val="28"/>
          <w:lang w:val="en-US"/>
        </w:rPr>
        <w:t>(Oxford Reference, 2020)</w:t>
      </w:r>
      <w:r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273D480F" w14:textId="601777F9" w:rsidR="00533B70" w:rsidRDefault="00DF67E8" w:rsidP="002C3E78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When considering the scope of liability, </w:t>
      </w:r>
      <w:r w:rsidR="00432C34">
        <w:rPr>
          <w:rFonts w:ascii="Arial" w:hAnsi="Arial" w:cs="Arial"/>
          <w:sz w:val="28"/>
          <w:szCs w:val="28"/>
          <w:lang w:val="en-US"/>
        </w:rPr>
        <w:t>i</w:t>
      </w:r>
      <w:r w:rsidR="00054387">
        <w:rPr>
          <w:rFonts w:ascii="Arial" w:hAnsi="Arial" w:cs="Arial"/>
          <w:sz w:val="28"/>
          <w:szCs w:val="28"/>
          <w:lang w:val="en-US"/>
        </w:rPr>
        <w:t xml:space="preserve">t is unquestionable </w:t>
      </w:r>
      <w:r w:rsidR="003838AE">
        <w:rPr>
          <w:rFonts w:ascii="Arial" w:hAnsi="Arial" w:cs="Arial"/>
          <w:sz w:val="28"/>
          <w:szCs w:val="28"/>
          <w:lang w:val="en-US"/>
        </w:rPr>
        <w:t xml:space="preserve">that before a Defendant </w:t>
      </w:r>
      <w:r w:rsidR="003838AE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can be </w:t>
      </w:r>
      <w:r w:rsidR="0039062C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>held liable</w:t>
      </w:r>
      <w:r w:rsidR="008D15E5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39062C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4449E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 causal link </w:t>
      </w:r>
      <w:r w:rsidR="00790014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between the negligence and the harm </w:t>
      </w:r>
      <w:r w:rsidR="00F4449E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must be </w:t>
      </w:r>
      <w:r w:rsidR="00432C34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>established</w:t>
      </w:r>
      <w:r w:rsidR="005F6C1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(Lunney and Oliphant, 2013</w:t>
      </w:r>
      <w:r w:rsidR="00EE6382">
        <w:rPr>
          <w:rFonts w:ascii="Arial" w:hAnsi="Arial" w:cs="Arial"/>
          <w:color w:val="000000" w:themeColor="text1"/>
          <w:sz w:val="28"/>
          <w:szCs w:val="28"/>
          <w:lang w:val="en-US"/>
        </w:rPr>
        <w:t>, p.</w:t>
      </w:r>
      <w:r w:rsidR="009B14F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5D33B0">
        <w:rPr>
          <w:rFonts w:ascii="Arial" w:hAnsi="Arial" w:cs="Arial"/>
          <w:color w:val="000000" w:themeColor="text1"/>
          <w:sz w:val="28"/>
          <w:szCs w:val="28"/>
          <w:lang w:val="en-US"/>
        </w:rPr>
        <w:t>205</w:t>
      </w:r>
      <w:r w:rsidR="005F6C1C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0D2D80" w:rsidRPr="00533966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E70E0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613A78">
        <w:rPr>
          <w:rFonts w:ascii="Arial" w:hAnsi="Arial" w:cs="Arial"/>
          <w:color w:val="000000" w:themeColor="text1"/>
          <w:sz w:val="28"/>
          <w:szCs w:val="28"/>
          <w:lang w:val="en-US"/>
        </w:rPr>
        <w:t>In tortious negligence</w:t>
      </w:r>
      <w:r w:rsidR="009307E5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613A7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Winfield </w:t>
      </w:r>
      <w:r w:rsidR="00094453">
        <w:rPr>
          <w:rFonts w:ascii="Arial" w:hAnsi="Arial" w:cs="Arial"/>
          <w:color w:val="000000" w:themeColor="text1"/>
          <w:sz w:val="28"/>
          <w:szCs w:val="28"/>
          <w:lang w:val="en-US"/>
        </w:rPr>
        <w:t>(</w:t>
      </w:r>
      <w:r w:rsidR="0037362E">
        <w:rPr>
          <w:rFonts w:ascii="Arial" w:hAnsi="Arial" w:cs="Arial"/>
          <w:color w:val="000000" w:themeColor="text1"/>
          <w:sz w:val="28"/>
          <w:szCs w:val="28"/>
          <w:lang w:val="en-US"/>
        </w:rPr>
        <w:t>1934</w:t>
      </w:r>
      <w:r w:rsidR="00613A78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09445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A835A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distinguishes negligent harm from intentional harm </w:t>
      </w:r>
      <w:r w:rsidR="007778D2">
        <w:rPr>
          <w:rFonts w:ascii="Arial" w:hAnsi="Arial" w:cs="Arial"/>
          <w:color w:val="000000" w:themeColor="text1"/>
          <w:sz w:val="28"/>
          <w:szCs w:val="28"/>
          <w:lang w:val="en-US"/>
        </w:rPr>
        <w:t>as the</w:t>
      </w:r>
      <w:r w:rsidR="0030222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re </w:t>
      </w:r>
      <w:r w:rsidR="00A35BA9">
        <w:rPr>
          <w:rFonts w:ascii="Arial" w:hAnsi="Arial" w:cs="Arial"/>
          <w:color w:val="000000" w:themeColor="text1"/>
          <w:sz w:val="28"/>
          <w:szCs w:val="28"/>
          <w:lang w:val="en-US"/>
        </w:rPr>
        <w:t>being</w:t>
      </w:r>
      <w:r w:rsidR="0030222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no desire for the</w:t>
      </w:r>
      <w:r w:rsidR="007778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C47B8B">
        <w:rPr>
          <w:rFonts w:ascii="Arial" w:hAnsi="Arial" w:cs="Arial"/>
          <w:color w:val="000000" w:themeColor="text1"/>
          <w:sz w:val="28"/>
          <w:szCs w:val="28"/>
          <w:lang w:val="en-US"/>
        </w:rPr>
        <w:t>consequential</w:t>
      </w:r>
      <w:r w:rsidR="001939C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C47B8B">
        <w:rPr>
          <w:rFonts w:ascii="Arial" w:hAnsi="Arial" w:cs="Arial"/>
          <w:color w:val="000000" w:themeColor="text1"/>
          <w:sz w:val="28"/>
          <w:szCs w:val="28"/>
          <w:lang w:val="en-US"/>
        </w:rPr>
        <w:t>outcome</w:t>
      </w:r>
      <w:r w:rsidR="00E91541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C2035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7A6CB5">
        <w:rPr>
          <w:rFonts w:ascii="Arial" w:hAnsi="Arial" w:cs="Arial"/>
          <w:color w:val="000000" w:themeColor="text1"/>
          <w:sz w:val="28"/>
          <w:szCs w:val="28"/>
          <w:lang w:val="en-US"/>
        </w:rPr>
        <w:t>Th</w:t>
      </w:r>
      <w:r w:rsidR="00D064AA">
        <w:rPr>
          <w:rFonts w:ascii="Arial" w:hAnsi="Arial" w:cs="Arial"/>
          <w:color w:val="000000" w:themeColor="text1"/>
          <w:sz w:val="28"/>
          <w:szCs w:val="28"/>
          <w:lang w:val="en-US"/>
        </w:rPr>
        <w:t>erefore</w:t>
      </w:r>
      <w:r w:rsidR="007A6CB5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8B789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the concept of negligence has been broken down by the courts </w:t>
      </w:r>
      <w:r w:rsidR="00220263">
        <w:rPr>
          <w:rFonts w:ascii="Arial" w:hAnsi="Arial" w:cs="Arial"/>
          <w:color w:val="000000" w:themeColor="text1"/>
          <w:sz w:val="28"/>
          <w:szCs w:val="28"/>
          <w:lang w:val="en-US"/>
        </w:rPr>
        <w:t>into four components.</w:t>
      </w:r>
      <w:r w:rsidR="00533B70" w:rsidRPr="00533B7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533B7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claimant must prove on the ‘balance of probabilities’ that the defendant owed a duty of care, and breached that duty by failing to meet </w:t>
      </w:r>
      <w:r w:rsidR="00533B70">
        <w:rPr>
          <w:rFonts w:ascii="Arial" w:hAnsi="Arial" w:cs="Arial"/>
          <w:color w:val="000000" w:themeColor="text1"/>
          <w:sz w:val="28"/>
          <w:szCs w:val="28"/>
          <w:lang w:val="en-US"/>
        </w:rPr>
        <w:lastRenderedPageBreak/>
        <w:t>the standard of care required</w:t>
      </w:r>
      <w:r w:rsidR="00D66FA6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533B7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resulting in the claimant suffering loss or damage (Morris, Chawla and Francis, 2019). </w:t>
      </w:r>
    </w:p>
    <w:p w14:paraId="521F0EB0" w14:textId="646E9482" w:rsidR="00E26661" w:rsidRDefault="00493D4A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This </w:t>
      </w:r>
      <w:r w:rsidR="00783B82">
        <w:rPr>
          <w:rFonts w:ascii="Arial" w:hAnsi="Arial" w:cs="Arial"/>
          <w:color w:val="000000" w:themeColor="text1"/>
          <w:sz w:val="28"/>
          <w:szCs w:val="28"/>
          <w:lang w:val="en-US"/>
        </w:rPr>
        <w:t>pre</w:t>
      </w:r>
      <w:r w:rsidR="00566CE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requisite of cause being </w:t>
      </w:r>
      <w:r w:rsidR="00EF6C24">
        <w:rPr>
          <w:rFonts w:ascii="Arial" w:hAnsi="Arial" w:cs="Arial"/>
          <w:color w:val="000000" w:themeColor="text1"/>
          <w:sz w:val="28"/>
          <w:szCs w:val="28"/>
          <w:lang w:val="en-US"/>
        </w:rPr>
        <w:t>decided</w:t>
      </w:r>
      <w:r w:rsidR="00566CE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presents great </w:t>
      </w:r>
      <w:r>
        <w:rPr>
          <w:rFonts w:ascii="Arial" w:hAnsi="Arial" w:cs="Arial"/>
          <w:color w:val="000000" w:themeColor="text1"/>
          <w:sz w:val="28"/>
          <w:szCs w:val="28"/>
          <w:lang w:val="en-US"/>
        </w:rPr>
        <w:t>difficult</w:t>
      </w:r>
      <w:r w:rsidR="00566CE8">
        <w:rPr>
          <w:rFonts w:ascii="Arial" w:hAnsi="Arial" w:cs="Arial"/>
          <w:color w:val="000000" w:themeColor="text1"/>
          <w:sz w:val="28"/>
          <w:szCs w:val="28"/>
          <w:lang w:val="en-US"/>
        </w:rPr>
        <w:t>ies</w:t>
      </w: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605EF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within law and </w:t>
      </w:r>
      <w:r w:rsidR="00F108B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can </w:t>
      </w:r>
      <w:r w:rsidR="00605EF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only </w:t>
      </w:r>
      <w:r w:rsidR="00F108B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be </w:t>
      </w:r>
      <w:r w:rsidR="00EF6C24">
        <w:rPr>
          <w:rFonts w:ascii="Arial" w:hAnsi="Arial" w:cs="Arial"/>
          <w:color w:val="000000" w:themeColor="text1"/>
          <w:sz w:val="28"/>
          <w:szCs w:val="28"/>
          <w:lang w:val="en-US"/>
        </w:rPr>
        <w:t>satisfied</w:t>
      </w:r>
      <w:r w:rsidR="00F108B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E2666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through </w:t>
      </w:r>
      <w:r w:rsidR="008B0AD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two elements; </w:t>
      </w:r>
      <w:r w:rsidR="0076414E">
        <w:rPr>
          <w:rFonts w:ascii="Arial" w:hAnsi="Arial" w:cs="Arial"/>
          <w:color w:val="000000" w:themeColor="text1"/>
          <w:sz w:val="28"/>
          <w:szCs w:val="28"/>
          <w:lang w:val="en-US"/>
        </w:rPr>
        <w:t>Factual and Legal causatio</w:t>
      </w:r>
      <w:r w:rsidR="00AF2D5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n </w:t>
      </w:r>
      <w:r w:rsidR="00844D3E">
        <w:rPr>
          <w:rFonts w:ascii="Arial" w:hAnsi="Arial" w:cs="Arial"/>
          <w:color w:val="000000" w:themeColor="text1"/>
          <w:sz w:val="28"/>
          <w:szCs w:val="28"/>
          <w:lang w:val="en-US"/>
        </w:rPr>
        <w:t>(Lunney and Oliphant, 2013</w:t>
      </w:r>
      <w:r w:rsidR="005D33B0">
        <w:rPr>
          <w:rFonts w:ascii="Arial" w:hAnsi="Arial" w:cs="Arial"/>
          <w:color w:val="000000" w:themeColor="text1"/>
          <w:sz w:val="28"/>
          <w:szCs w:val="28"/>
          <w:lang w:val="en-US"/>
        </w:rPr>
        <w:t>, p.</w:t>
      </w:r>
      <w:r w:rsidR="009B14F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5D33B0">
        <w:rPr>
          <w:rFonts w:ascii="Arial" w:hAnsi="Arial" w:cs="Arial"/>
          <w:color w:val="000000" w:themeColor="text1"/>
          <w:sz w:val="28"/>
          <w:szCs w:val="28"/>
          <w:lang w:val="en-US"/>
        </w:rPr>
        <w:t>205</w:t>
      </w:r>
      <w:r w:rsidR="00844D3E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93408B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844D3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93408B">
        <w:rPr>
          <w:rFonts w:ascii="Arial" w:hAnsi="Arial" w:cs="Arial"/>
          <w:color w:val="000000" w:themeColor="text1"/>
          <w:sz w:val="28"/>
          <w:szCs w:val="28"/>
          <w:lang w:val="en-US"/>
        </w:rPr>
        <w:t>H</w:t>
      </w:r>
      <w:r w:rsidR="00AF2D59">
        <w:rPr>
          <w:rFonts w:ascii="Arial" w:hAnsi="Arial" w:cs="Arial"/>
          <w:color w:val="000000" w:themeColor="text1"/>
          <w:sz w:val="28"/>
          <w:szCs w:val="28"/>
          <w:lang w:val="en-US"/>
        </w:rPr>
        <w:t>owever</w:t>
      </w:r>
      <w:r w:rsidR="00DA31DE">
        <w:rPr>
          <w:rFonts w:ascii="Arial" w:hAnsi="Arial" w:cs="Arial"/>
          <w:sz w:val="28"/>
          <w:szCs w:val="28"/>
          <w:lang w:val="en-US"/>
        </w:rPr>
        <w:t>,</w:t>
      </w:r>
      <w:r w:rsidR="00F234B7">
        <w:rPr>
          <w:rFonts w:ascii="Arial" w:hAnsi="Arial" w:cs="Arial"/>
          <w:sz w:val="28"/>
          <w:szCs w:val="28"/>
          <w:lang w:val="en-US"/>
        </w:rPr>
        <w:t xml:space="preserve"> </w:t>
      </w:r>
      <w:r w:rsidR="00B15303">
        <w:rPr>
          <w:rFonts w:ascii="Arial" w:hAnsi="Arial" w:cs="Arial"/>
          <w:sz w:val="28"/>
          <w:szCs w:val="28"/>
          <w:lang w:val="en-US"/>
        </w:rPr>
        <w:t xml:space="preserve">an </w:t>
      </w:r>
      <w:r w:rsidR="000728F6">
        <w:rPr>
          <w:rFonts w:ascii="Arial" w:hAnsi="Arial" w:cs="Arial"/>
          <w:sz w:val="28"/>
          <w:szCs w:val="28"/>
          <w:lang w:val="en-US"/>
        </w:rPr>
        <w:t>often-overlooked</w:t>
      </w:r>
      <w:r w:rsidR="00B15303">
        <w:rPr>
          <w:rFonts w:ascii="Arial" w:hAnsi="Arial" w:cs="Arial"/>
          <w:sz w:val="28"/>
          <w:szCs w:val="28"/>
          <w:lang w:val="en-US"/>
        </w:rPr>
        <w:t xml:space="preserve"> element </w:t>
      </w:r>
      <w:r w:rsidR="003F1AFD">
        <w:rPr>
          <w:rFonts w:ascii="Arial" w:hAnsi="Arial" w:cs="Arial"/>
          <w:sz w:val="28"/>
          <w:szCs w:val="28"/>
          <w:lang w:val="en-US"/>
        </w:rPr>
        <w:t>is that of ‘Nov</w:t>
      </w:r>
      <w:r w:rsidR="003F1AFD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us Actus Interveniens’</w:t>
      </w:r>
      <w:r w:rsidR="008C494E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(new intervening act)</w:t>
      </w:r>
      <w:r w:rsidR="00FF0DB1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which</w:t>
      </w:r>
      <w:r w:rsidR="00C82F57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break</w:t>
      </w:r>
      <w:r w:rsidR="00FF0DB1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s the</w:t>
      </w:r>
      <w:r w:rsidR="00C82F57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chain of causation</w:t>
      </w:r>
      <w:r w:rsidR="00C95BAE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FC428A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A81D1A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therefor</w:t>
      </w:r>
      <w:r w:rsidR="00131CDF">
        <w:rPr>
          <w:rFonts w:ascii="Arial" w:hAnsi="Arial" w:cs="Arial"/>
          <w:color w:val="000000" w:themeColor="text1"/>
          <w:sz w:val="28"/>
          <w:szCs w:val="28"/>
          <w:lang w:val="en-US"/>
        </w:rPr>
        <w:t>e</w:t>
      </w:r>
      <w:r w:rsidR="00A81D1A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04AE6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can allow the defendant to escape liability</w:t>
      </w:r>
      <w:r w:rsidR="00BC78C2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  <w:r w:rsidR="00FD3FC0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‘Novus A</w:t>
      </w:r>
      <w:r w:rsidR="003F6392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ctus Interveniens’</w:t>
      </w:r>
      <w:r w:rsidR="002518D8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0003AF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can interfere with the causal chain at any point</w:t>
      </w:r>
      <w:r w:rsidR="00FF0DB1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</w:t>
      </w:r>
      <w:r w:rsidR="009A63AA" w:rsidRPr="00245F82">
        <w:rPr>
          <w:rFonts w:ascii="Arial" w:hAnsi="Arial" w:cs="Arial"/>
          <w:color w:val="000000" w:themeColor="text1"/>
          <w:sz w:val="28"/>
          <w:szCs w:val="28"/>
          <w:lang w:val="en-US"/>
        </w:rPr>
        <w:t>Hogan Lovell</w:t>
      </w:r>
      <w:r w:rsidR="009A63AA">
        <w:rPr>
          <w:rFonts w:ascii="Arial" w:hAnsi="Arial" w:cs="Arial"/>
          <w:sz w:val="28"/>
          <w:szCs w:val="28"/>
          <w:lang w:val="en-US"/>
        </w:rPr>
        <w:t>s, 2017</w:t>
      </w:r>
      <w:r w:rsidR="00FF0DB1">
        <w:rPr>
          <w:rFonts w:ascii="Arial" w:hAnsi="Arial" w:cs="Arial"/>
          <w:sz w:val="28"/>
          <w:szCs w:val="28"/>
          <w:lang w:val="en-US"/>
        </w:rPr>
        <w:t>)</w:t>
      </w:r>
      <w:r w:rsidR="00FC428A">
        <w:rPr>
          <w:rFonts w:ascii="Arial" w:hAnsi="Arial" w:cs="Arial"/>
          <w:sz w:val="28"/>
          <w:szCs w:val="28"/>
          <w:lang w:val="en-US"/>
        </w:rPr>
        <w:t>.</w:t>
      </w:r>
    </w:p>
    <w:p w14:paraId="778D8FA5" w14:textId="7BF90015" w:rsidR="002F002C" w:rsidRPr="002F002C" w:rsidRDefault="002F002C" w:rsidP="00670DD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Analysing the underlying policies and principles, and examining situations where </w:t>
      </w:r>
      <w:r w:rsidR="003D17BB">
        <w:rPr>
          <w:rFonts w:ascii="Arial" w:hAnsi="Arial" w:cs="Arial"/>
          <w:sz w:val="28"/>
          <w:szCs w:val="28"/>
          <w:lang w:val="en-US"/>
        </w:rPr>
        <w:t xml:space="preserve">there has been </w:t>
      </w:r>
      <w:r>
        <w:rPr>
          <w:rFonts w:ascii="Arial" w:hAnsi="Arial" w:cs="Arial"/>
          <w:sz w:val="28"/>
          <w:szCs w:val="28"/>
          <w:lang w:val="en-US"/>
        </w:rPr>
        <w:t>a break in the chain of causatio</w:t>
      </w:r>
      <w:r w:rsidR="00292DA6">
        <w:rPr>
          <w:rFonts w:ascii="Arial" w:hAnsi="Arial" w:cs="Arial"/>
          <w:sz w:val="28"/>
          <w:szCs w:val="28"/>
          <w:lang w:val="en-US"/>
        </w:rPr>
        <w:t>n</w:t>
      </w:r>
      <w:r>
        <w:rPr>
          <w:rFonts w:ascii="Arial" w:hAnsi="Arial" w:cs="Arial"/>
          <w:sz w:val="28"/>
          <w:szCs w:val="28"/>
          <w:lang w:val="en-US"/>
        </w:rPr>
        <w:t>, the Defendant’s negligence and the loss suffered by the Claimant as well as the effect this may have on the Defendant’s liability can be substantiated using case law</w:t>
      </w:r>
      <w:r w:rsidR="002A63FA">
        <w:rPr>
          <w:rFonts w:ascii="Arial" w:hAnsi="Arial" w:cs="Arial"/>
          <w:sz w:val="28"/>
          <w:szCs w:val="28"/>
          <w:lang w:val="en-US"/>
        </w:rPr>
        <w:t xml:space="preserve"> (Lunney and Oliphant, 2013</w:t>
      </w:r>
      <w:r w:rsidR="009B14FE">
        <w:rPr>
          <w:rFonts w:ascii="Arial" w:hAnsi="Arial" w:cs="Arial"/>
          <w:sz w:val="28"/>
          <w:szCs w:val="28"/>
          <w:lang w:val="en-US"/>
        </w:rPr>
        <w:t xml:space="preserve">, p. </w:t>
      </w:r>
      <w:r w:rsidR="00ED2C07">
        <w:rPr>
          <w:rFonts w:ascii="Arial" w:hAnsi="Arial" w:cs="Arial"/>
          <w:sz w:val="28"/>
          <w:szCs w:val="28"/>
          <w:lang w:val="en-US"/>
        </w:rPr>
        <w:t>119</w:t>
      </w:r>
      <w:r w:rsidR="002A63FA">
        <w:rPr>
          <w:rFonts w:ascii="Arial" w:hAnsi="Arial" w:cs="Arial"/>
          <w:sz w:val="28"/>
          <w:szCs w:val="28"/>
          <w:lang w:val="en-US"/>
        </w:rPr>
        <w:t>)</w:t>
      </w:r>
      <w:r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66748F1F" w14:textId="48D1726D" w:rsidR="001F749E" w:rsidRDefault="001F749E" w:rsidP="00E364A7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</w:p>
    <w:p w14:paraId="1EBE6EB9" w14:textId="651EF594" w:rsidR="00597FD8" w:rsidRDefault="00AE749A" w:rsidP="00E364A7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>The basic tenet of c</w:t>
      </w:r>
      <w:r w:rsidR="00792E88">
        <w:rPr>
          <w:rFonts w:ascii="Arial" w:hAnsi="Arial" w:cs="Arial"/>
          <w:color w:val="000000" w:themeColor="text1"/>
          <w:sz w:val="28"/>
          <w:szCs w:val="28"/>
          <w:lang w:val="en-US"/>
        </w:rPr>
        <w:t>ausation can be concluded</w:t>
      </w:r>
      <w:r w:rsidR="006B1A7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792E88">
        <w:rPr>
          <w:rFonts w:ascii="Arial" w:hAnsi="Arial" w:cs="Arial"/>
          <w:color w:val="000000" w:themeColor="text1"/>
          <w:sz w:val="28"/>
          <w:szCs w:val="28"/>
          <w:lang w:val="en-US"/>
        </w:rPr>
        <w:t>as a</w:t>
      </w:r>
      <w:r w:rsidR="006F1F5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connection</w:t>
      </w:r>
      <w:r w:rsidR="001F749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between a defendant’s </w:t>
      </w:r>
      <w:r w:rsidR="0015763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reckless </w:t>
      </w:r>
      <w:r w:rsidR="001F749E">
        <w:rPr>
          <w:rFonts w:ascii="Arial" w:hAnsi="Arial" w:cs="Arial"/>
          <w:color w:val="000000" w:themeColor="text1"/>
          <w:sz w:val="28"/>
          <w:szCs w:val="28"/>
          <w:lang w:val="en-US"/>
        </w:rPr>
        <w:t>act or omission</w:t>
      </w:r>
      <w:r w:rsidR="007515C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641AA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which leads to the harm </w:t>
      </w:r>
      <w:r w:rsidR="00A26D1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of a claimant </w:t>
      </w:r>
      <w:r w:rsidR="0047724E">
        <w:rPr>
          <w:rFonts w:ascii="Arial" w:hAnsi="Arial" w:cs="Arial"/>
          <w:color w:val="000000" w:themeColor="text1"/>
          <w:sz w:val="28"/>
          <w:szCs w:val="28"/>
          <w:lang w:val="en-US"/>
        </w:rPr>
        <w:t>(Morris, Chawla and Francis, 2019)</w:t>
      </w:r>
      <w:r w:rsidR="00655595">
        <w:rPr>
          <w:rFonts w:ascii="Arial" w:hAnsi="Arial" w:cs="Arial"/>
          <w:color w:val="000000" w:themeColor="text1"/>
          <w:sz w:val="28"/>
          <w:szCs w:val="28"/>
          <w:lang w:val="en-US"/>
        </w:rPr>
        <w:t>, c</w:t>
      </w:r>
      <w:r w:rsidR="006B1A72">
        <w:rPr>
          <w:rFonts w:ascii="Arial" w:hAnsi="Arial" w:cs="Arial"/>
          <w:color w:val="000000" w:themeColor="text1"/>
          <w:sz w:val="28"/>
          <w:szCs w:val="28"/>
          <w:lang w:val="en-US"/>
        </w:rPr>
        <w:t>ategorised into two stands</w:t>
      </w:r>
      <w:r w:rsidR="00B640A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; </w:t>
      </w:r>
      <w:r w:rsidR="00C41496">
        <w:rPr>
          <w:rFonts w:ascii="Arial" w:hAnsi="Arial" w:cs="Arial"/>
          <w:color w:val="000000" w:themeColor="text1"/>
          <w:sz w:val="28"/>
          <w:szCs w:val="28"/>
          <w:lang w:val="en-US"/>
        </w:rPr>
        <w:t>Factual and Legal</w:t>
      </w:r>
      <w:r w:rsidR="00AA4A4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  <w:r w:rsidR="00B5796D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</w:t>
      </w:r>
      <w:r w:rsidR="00E65D88">
        <w:rPr>
          <w:rFonts w:ascii="Arial" w:hAnsi="Arial" w:cs="Arial"/>
          <w:color w:val="000000" w:themeColor="text1"/>
          <w:sz w:val="28"/>
          <w:szCs w:val="28"/>
          <w:lang w:val="en-US"/>
        </w:rPr>
        <w:t>claimant</w:t>
      </w:r>
      <w:r w:rsidR="004D101A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must prove that the </w:t>
      </w:r>
      <w:r w:rsidR="0067654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defendant’s actions were the cause </w:t>
      </w:r>
      <w:r w:rsidR="0067654C">
        <w:rPr>
          <w:rFonts w:ascii="Arial" w:hAnsi="Arial" w:cs="Arial"/>
          <w:color w:val="000000" w:themeColor="text1"/>
          <w:sz w:val="28"/>
          <w:szCs w:val="28"/>
          <w:lang w:val="en-US"/>
        </w:rPr>
        <w:lastRenderedPageBreak/>
        <w:t xml:space="preserve">of the </w:t>
      </w:r>
      <w:r w:rsidR="00C254AD">
        <w:rPr>
          <w:rFonts w:ascii="Arial" w:hAnsi="Arial" w:cs="Arial"/>
          <w:color w:val="000000" w:themeColor="text1"/>
          <w:sz w:val="28"/>
          <w:szCs w:val="28"/>
          <w:lang w:val="en-US"/>
        </w:rPr>
        <w:t>claimant</w:t>
      </w:r>
      <w:r w:rsidR="00B54EDE">
        <w:rPr>
          <w:rFonts w:ascii="Arial" w:hAnsi="Arial" w:cs="Arial"/>
          <w:color w:val="000000" w:themeColor="text1"/>
          <w:sz w:val="28"/>
          <w:szCs w:val="28"/>
          <w:lang w:val="en-US"/>
        </w:rPr>
        <w:t>’s injuries</w:t>
      </w:r>
      <w:r w:rsidR="005D6DB9">
        <w:rPr>
          <w:rFonts w:ascii="Arial" w:hAnsi="Arial" w:cs="Arial"/>
          <w:color w:val="000000" w:themeColor="text1"/>
          <w:sz w:val="28"/>
          <w:szCs w:val="28"/>
          <w:lang w:val="en-US"/>
        </w:rPr>
        <w:t>, usually decided with the application of the ‘But-for’ test</w:t>
      </w:r>
      <w:r w:rsidR="004136A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; ‘But-for’ the defendant’s </w:t>
      </w:r>
      <w:r w:rsidR="005F4F4C">
        <w:rPr>
          <w:rFonts w:ascii="Arial" w:hAnsi="Arial" w:cs="Arial"/>
          <w:color w:val="000000" w:themeColor="text1"/>
          <w:sz w:val="28"/>
          <w:szCs w:val="28"/>
          <w:lang w:val="en-US"/>
        </w:rPr>
        <w:t>negligence</w:t>
      </w:r>
      <w:r w:rsidR="004136A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would the </w:t>
      </w:r>
      <w:r w:rsidR="005F4F4C">
        <w:rPr>
          <w:rFonts w:ascii="Arial" w:hAnsi="Arial" w:cs="Arial"/>
          <w:color w:val="000000" w:themeColor="text1"/>
          <w:sz w:val="28"/>
          <w:szCs w:val="28"/>
          <w:lang w:val="en-US"/>
        </w:rPr>
        <w:t>claimant have suffered the damage or injury they did?</w:t>
      </w:r>
      <w:r w:rsidR="002E30C5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AA4A40">
        <w:rPr>
          <w:rFonts w:ascii="Arial" w:hAnsi="Arial" w:cs="Arial"/>
          <w:color w:val="000000" w:themeColor="text1"/>
          <w:sz w:val="28"/>
          <w:szCs w:val="28"/>
          <w:lang w:val="en-US"/>
        </w:rPr>
        <w:t>(Lunney and Oliphant, 2013, p. 205).</w:t>
      </w:r>
      <w:r w:rsidR="00A345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3C2EF0">
        <w:rPr>
          <w:rFonts w:ascii="Arial" w:hAnsi="Arial" w:cs="Arial"/>
          <w:color w:val="000000" w:themeColor="text1"/>
          <w:sz w:val="28"/>
          <w:szCs w:val="28"/>
          <w:lang w:val="en-US"/>
        </w:rPr>
        <w:t>Legal</w:t>
      </w:r>
      <w:r w:rsidR="0033103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causation </w:t>
      </w:r>
      <w:r w:rsidR="003C2EF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deals with </w:t>
      </w:r>
      <w:r w:rsidR="00331032">
        <w:rPr>
          <w:rFonts w:ascii="Arial" w:hAnsi="Arial" w:cs="Arial"/>
          <w:color w:val="000000" w:themeColor="text1"/>
          <w:sz w:val="28"/>
          <w:szCs w:val="28"/>
          <w:lang w:val="en-US"/>
        </w:rPr>
        <w:t>the question of remoteness</w:t>
      </w:r>
      <w:r w:rsidR="004166E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A defendant is only responsible for loss that </w:t>
      </w:r>
      <w:r w:rsidR="00D35F6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is </w:t>
      </w:r>
      <w:r w:rsidR="004166E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reasonably foreseeable </w:t>
      </w:r>
      <w:r w:rsidR="00A345AE">
        <w:rPr>
          <w:rFonts w:ascii="Arial" w:hAnsi="Arial" w:cs="Arial"/>
          <w:color w:val="000000" w:themeColor="text1"/>
          <w:sz w:val="28"/>
          <w:szCs w:val="28"/>
          <w:lang w:val="en-US"/>
        </w:rPr>
        <w:t>due to</w:t>
      </w:r>
      <w:r w:rsidR="004166E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his negligence</w:t>
      </w:r>
      <w:r w:rsidR="0018315F" w:rsidRPr="00C31D6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421116" w:rsidRPr="00C31D63">
        <w:rPr>
          <w:rFonts w:ascii="Arial" w:hAnsi="Arial" w:cs="Arial"/>
          <w:color w:val="000000" w:themeColor="text1"/>
          <w:sz w:val="28"/>
          <w:szCs w:val="28"/>
          <w:lang w:val="en-US"/>
        </w:rPr>
        <w:t>(Lunney and Oliphant, 2013, p. 119)</w:t>
      </w:r>
      <w:r w:rsidR="001A4949" w:rsidRPr="00C31D63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EF6A49" w:rsidRPr="00C31D6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214B6F" w:rsidRPr="00C31D6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Tenzer (2017) suggests that legal causation is an arbitrary line drawn, that beyond which, harm is considered to be too remote to allow for compensation. </w:t>
      </w:r>
    </w:p>
    <w:p w14:paraId="09206D4B" w14:textId="368917A4" w:rsidR="00EB4D72" w:rsidRPr="00475202" w:rsidRDefault="008B5F81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When regarding the ‘Thin-skull’ rule </w:t>
      </w:r>
      <w:r w:rsidR="006F075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defendant is liable for all consequences </w:t>
      </w:r>
      <w:r w:rsidR="00A03110">
        <w:rPr>
          <w:rFonts w:ascii="Arial" w:hAnsi="Arial" w:cs="Arial"/>
          <w:color w:val="000000" w:themeColor="text1"/>
          <w:sz w:val="28"/>
          <w:szCs w:val="28"/>
          <w:lang w:val="en-US"/>
        </w:rPr>
        <w:t>irrespective of pre-existing weaknesses or conditions of the claimant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, </w:t>
      </w:r>
      <w:r w:rsidR="00D951E2">
        <w:rPr>
          <w:rFonts w:ascii="Arial" w:hAnsi="Arial" w:cs="Arial"/>
          <w:color w:val="000000" w:themeColor="text1"/>
          <w:sz w:val="28"/>
          <w:szCs w:val="28"/>
          <w:lang w:val="en-US"/>
        </w:rPr>
        <w:t>in effect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tak</w:t>
      </w:r>
      <w:r w:rsidR="000E7D93">
        <w:rPr>
          <w:rFonts w:ascii="Arial" w:hAnsi="Arial" w:cs="Arial"/>
          <w:color w:val="000000" w:themeColor="text1"/>
          <w:sz w:val="28"/>
          <w:szCs w:val="28"/>
          <w:lang w:val="en-US"/>
        </w:rPr>
        <w:t>ing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40E27">
        <w:rPr>
          <w:rFonts w:ascii="Arial" w:hAnsi="Arial" w:cs="Arial"/>
          <w:color w:val="000000" w:themeColor="text1"/>
          <w:sz w:val="28"/>
          <w:szCs w:val="28"/>
          <w:lang w:val="en-US"/>
        </w:rPr>
        <w:t>the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victim as </w:t>
      </w:r>
      <w:r w:rsidR="00F40E27">
        <w:rPr>
          <w:rFonts w:ascii="Arial" w:hAnsi="Arial" w:cs="Arial"/>
          <w:color w:val="000000" w:themeColor="text1"/>
          <w:sz w:val="28"/>
          <w:szCs w:val="28"/>
          <w:lang w:val="en-US"/>
        </w:rPr>
        <w:t>you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find </w:t>
      </w:r>
      <w:r w:rsidR="00F40E2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them 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>(</w:t>
      </w:r>
      <w:r w:rsidR="00F40E27">
        <w:rPr>
          <w:rFonts w:ascii="Arial" w:hAnsi="Arial" w:cs="Arial"/>
          <w:color w:val="000000" w:themeColor="text1"/>
          <w:sz w:val="28"/>
          <w:szCs w:val="28"/>
          <w:lang w:val="en-US"/>
        </w:rPr>
        <w:t>Meikle, 2018</w:t>
      </w:r>
      <w:r w:rsidR="0054771B">
        <w:rPr>
          <w:rFonts w:ascii="Arial" w:hAnsi="Arial" w:cs="Arial"/>
          <w:color w:val="000000" w:themeColor="text1"/>
          <w:sz w:val="28"/>
          <w:szCs w:val="28"/>
          <w:lang w:val="en-US"/>
        </w:rPr>
        <w:t>).</w:t>
      </w:r>
      <w:r w:rsidR="001F484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1E710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In </w:t>
      </w:r>
      <w:r w:rsidR="00C71C42" w:rsidRPr="00C71C42">
        <w:rPr>
          <w:rFonts w:ascii="Arial" w:hAnsi="Arial" w:cs="Arial"/>
          <w:i/>
          <w:iCs/>
          <w:sz w:val="28"/>
          <w:szCs w:val="28"/>
          <w:lang w:val="en-US"/>
        </w:rPr>
        <w:t>Smith v Leech Brain</w:t>
      </w:r>
      <w:r w:rsidR="00960255">
        <w:rPr>
          <w:rFonts w:ascii="Arial" w:hAnsi="Arial" w:cs="Arial"/>
          <w:i/>
          <w:iCs/>
          <w:sz w:val="28"/>
          <w:szCs w:val="28"/>
          <w:lang w:val="en-US"/>
        </w:rPr>
        <w:t xml:space="preserve"> and Co Ltd</w:t>
      </w:r>
      <w:r w:rsidR="00C71C42" w:rsidRPr="00C71C42">
        <w:rPr>
          <w:rFonts w:ascii="Arial" w:hAnsi="Arial" w:cs="Arial"/>
          <w:i/>
          <w:iCs/>
          <w:sz w:val="28"/>
          <w:szCs w:val="28"/>
          <w:lang w:val="en-US"/>
        </w:rPr>
        <w:t xml:space="preserve"> (1962)</w:t>
      </w:r>
      <w:r w:rsidR="00C71C42">
        <w:rPr>
          <w:rFonts w:ascii="Arial" w:hAnsi="Arial" w:cs="Arial"/>
          <w:i/>
          <w:iCs/>
          <w:sz w:val="28"/>
          <w:szCs w:val="28"/>
          <w:lang w:val="en-US"/>
        </w:rPr>
        <w:t xml:space="preserve"> </w:t>
      </w:r>
      <w:r w:rsidR="00C71C42">
        <w:rPr>
          <w:rFonts w:ascii="Arial" w:hAnsi="Arial" w:cs="Arial"/>
          <w:sz w:val="28"/>
          <w:szCs w:val="28"/>
          <w:lang w:val="en-US"/>
        </w:rPr>
        <w:t xml:space="preserve">a claimant with a pre-existing </w:t>
      </w:r>
      <w:r w:rsidR="001E710B">
        <w:rPr>
          <w:rFonts w:ascii="Arial" w:hAnsi="Arial" w:cs="Arial"/>
          <w:sz w:val="28"/>
          <w:szCs w:val="28"/>
          <w:lang w:val="en-US"/>
        </w:rPr>
        <w:t xml:space="preserve">cancerous condition went on to develop cancer as a result </w:t>
      </w:r>
      <w:r w:rsidR="006505BA">
        <w:rPr>
          <w:rFonts w:ascii="Arial" w:hAnsi="Arial" w:cs="Arial"/>
          <w:sz w:val="28"/>
          <w:szCs w:val="28"/>
          <w:lang w:val="en-US"/>
        </w:rPr>
        <w:t>of a burn sustained</w:t>
      </w:r>
      <w:r w:rsidR="008C2C11">
        <w:rPr>
          <w:rFonts w:ascii="Arial" w:hAnsi="Arial" w:cs="Arial"/>
          <w:sz w:val="28"/>
          <w:szCs w:val="28"/>
          <w:lang w:val="en-US"/>
        </w:rPr>
        <w:t xml:space="preserve"> whilst at work. </w:t>
      </w:r>
      <w:r w:rsidR="003F243B">
        <w:rPr>
          <w:rFonts w:ascii="Arial" w:hAnsi="Arial" w:cs="Arial"/>
          <w:sz w:val="28"/>
          <w:szCs w:val="28"/>
          <w:lang w:val="en-US"/>
        </w:rPr>
        <w:t>On the application of the ‘thin-skull’ rule the defendant was h</w:t>
      </w:r>
      <w:r w:rsidR="00C10B23">
        <w:rPr>
          <w:rFonts w:ascii="Arial" w:hAnsi="Arial" w:cs="Arial"/>
          <w:sz w:val="28"/>
          <w:szCs w:val="28"/>
          <w:lang w:val="en-US"/>
        </w:rPr>
        <w:t>e</w:t>
      </w:r>
      <w:r w:rsidR="003F243B">
        <w:rPr>
          <w:rFonts w:ascii="Arial" w:hAnsi="Arial" w:cs="Arial"/>
          <w:sz w:val="28"/>
          <w:szCs w:val="28"/>
          <w:lang w:val="en-US"/>
        </w:rPr>
        <w:t xml:space="preserve">ld liable for the </w:t>
      </w:r>
      <w:r w:rsidR="00B67546">
        <w:rPr>
          <w:rFonts w:ascii="Arial" w:hAnsi="Arial" w:cs="Arial"/>
          <w:sz w:val="28"/>
          <w:szCs w:val="28"/>
          <w:lang w:val="en-US"/>
        </w:rPr>
        <w:t>man’s</w:t>
      </w:r>
      <w:r w:rsidR="003F243B">
        <w:rPr>
          <w:rFonts w:ascii="Arial" w:hAnsi="Arial" w:cs="Arial"/>
          <w:sz w:val="28"/>
          <w:szCs w:val="28"/>
          <w:lang w:val="en-US"/>
        </w:rPr>
        <w:t xml:space="preserve"> death</w:t>
      </w:r>
      <w:r w:rsidR="00475202">
        <w:rPr>
          <w:rFonts w:ascii="Arial" w:hAnsi="Arial" w:cs="Arial"/>
          <w:sz w:val="28"/>
          <w:szCs w:val="28"/>
          <w:lang w:val="en-US"/>
        </w:rPr>
        <w:t xml:space="preserve"> (</w:t>
      </w:r>
      <w:r w:rsidR="00AF3390">
        <w:rPr>
          <w:rFonts w:ascii="Arial" w:hAnsi="Arial" w:cs="Arial"/>
          <w:sz w:val="28"/>
          <w:szCs w:val="28"/>
          <w:lang w:val="en-US"/>
        </w:rPr>
        <w:t>Rowe, 1977</w:t>
      </w:r>
      <w:r w:rsidR="00475202">
        <w:rPr>
          <w:rFonts w:ascii="Arial" w:hAnsi="Arial" w:cs="Arial"/>
          <w:sz w:val="28"/>
          <w:szCs w:val="28"/>
          <w:lang w:val="en-US"/>
        </w:rPr>
        <w:t>)</w:t>
      </w:r>
      <w:r w:rsidR="00633F7D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1C005C6C" w14:textId="7E494969" w:rsidR="00501EFB" w:rsidRPr="005C458F" w:rsidRDefault="00501EFB" w:rsidP="00E364A7">
      <w:pPr>
        <w:spacing w:line="480" w:lineRule="auto"/>
        <w:jc w:val="both"/>
        <w:rPr>
          <w:rFonts w:ascii="Arial" w:hAnsi="Arial" w:cs="Arial"/>
          <w:color w:val="00B0F0"/>
          <w:sz w:val="28"/>
          <w:szCs w:val="28"/>
          <w:lang w:val="en-US"/>
        </w:rPr>
      </w:pPr>
    </w:p>
    <w:p w14:paraId="39DF5B88" w14:textId="28C41EEA" w:rsidR="00D8282B" w:rsidRPr="000C5E46" w:rsidRDefault="00B135C7" w:rsidP="0097271C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When </w:t>
      </w:r>
      <w:r w:rsidR="00271FA3">
        <w:rPr>
          <w:rFonts w:ascii="Arial" w:hAnsi="Arial" w:cs="Arial"/>
          <w:sz w:val="28"/>
          <w:szCs w:val="28"/>
          <w:lang w:val="en-US"/>
        </w:rPr>
        <w:t xml:space="preserve">establishing causation Law Bhoomi (2020) suggests </w:t>
      </w:r>
      <w:r w:rsidR="00DC375D">
        <w:rPr>
          <w:rFonts w:ascii="Arial" w:hAnsi="Arial" w:cs="Arial"/>
          <w:sz w:val="28"/>
          <w:szCs w:val="28"/>
          <w:lang w:val="en-US"/>
        </w:rPr>
        <w:t>that a chain of events determines the c</w:t>
      </w:r>
      <w:r w:rsidR="0096328D">
        <w:rPr>
          <w:rFonts w:ascii="Arial" w:hAnsi="Arial" w:cs="Arial"/>
          <w:sz w:val="28"/>
          <w:szCs w:val="28"/>
          <w:lang w:val="en-US"/>
        </w:rPr>
        <w:t xml:space="preserve">ause of action brought by </w:t>
      </w:r>
      <w:r w:rsidR="00163EEE">
        <w:rPr>
          <w:rFonts w:ascii="Arial" w:hAnsi="Arial" w:cs="Arial"/>
          <w:sz w:val="28"/>
          <w:szCs w:val="28"/>
          <w:lang w:val="en-US"/>
        </w:rPr>
        <w:t xml:space="preserve">the claimant. </w:t>
      </w:r>
      <w:r w:rsidR="008F51B3">
        <w:rPr>
          <w:rFonts w:ascii="Arial" w:hAnsi="Arial" w:cs="Arial"/>
          <w:color w:val="000000" w:themeColor="text1"/>
          <w:sz w:val="28"/>
          <w:szCs w:val="28"/>
          <w:lang w:val="en-US"/>
        </w:rPr>
        <w:t>A</w:t>
      </w:r>
      <w:r w:rsidR="00B02D1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n intervening act</w:t>
      </w:r>
      <w:r w:rsidR="00D75D8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EC5BDA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can break th</w:t>
      </w:r>
      <w:r w:rsidR="00314051">
        <w:rPr>
          <w:rFonts w:ascii="Arial" w:hAnsi="Arial" w:cs="Arial"/>
          <w:color w:val="000000" w:themeColor="text1"/>
          <w:sz w:val="28"/>
          <w:szCs w:val="28"/>
          <w:lang w:val="en-US"/>
        </w:rPr>
        <w:t>at</w:t>
      </w:r>
      <w:r w:rsidR="00EC5BDA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chain</w:t>
      </w:r>
      <w:r w:rsidR="00C30D40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  <w:r w:rsidR="00113E38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‘Novus Actus Interveniens’ a</w:t>
      </w:r>
      <w:r w:rsidR="00113E38" w:rsidRPr="0031405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re </w:t>
      </w:r>
      <w:r w:rsidR="00000689" w:rsidRPr="00314051">
        <w:rPr>
          <w:rFonts w:ascii="Arial" w:hAnsi="Arial" w:cs="Arial"/>
          <w:color w:val="000000" w:themeColor="text1"/>
          <w:sz w:val="28"/>
          <w:szCs w:val="28"/>
          <w:lang w:val="en-US"/>
        </w:rPr>
        <w:lastRenderedPageBreak/>
        <w:t xml:space="preserve">independent </w:t>
      </w:r>
      <w:r w:rsidR="00113E38" w:rsidRPr="00314051">
        <w:rPr>
          <w:rFonts w:ascii="Arial" w:hAnsi="Arial" w:cs="Arial"/>
          <w:color w:val="000000" w:themeColor="text1"/>
          <w:sz w:val="28"/>
          <w:szCs w:val="28"/>
          <w:lang w:val="en-US"/>
        </w:rPr>
        <w:t>unfore</w:t>
      </w:r>
      <w:r w:rsidR="00113E38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seeable events which occur after a negligent ac</w:t>
      </w:r>
      <w:r w:rsidR="006B4987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t</w:t>
      </w:r>
      <w:r w:rsidR="00E63CF8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88389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6506CA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thus </w:t>
      </w:r>
      <w:r w:rsidR="00B36FA7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c</w:t>
      </w:r>
      <w:r w:rsidR="0025705F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ontribut</w:t>
      </w:r>
      <w:r w:rsidR="006506CA">
        <w:rPr>
          <w:rFonts w:ascii="Arial" w:hAnsi="Arial" w:cs="Arial"/>
          <w:color w:val="000000" w:themeColor="text1"/>
          <w:sz w:val="28"/>
          <w:szCs w:val="28"/>
          <w:lang w:val="en-US"/>
        </w:rPr>
        <w:t>ing</w:t>
      </w:r>
      <w:r w:rsidR="0025705F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to the consequence</w:t>
      </w:r>
      <w:r w:rsidR="0093071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b</w:t>
      </w:r>
      <w:r w:rsidR="00743D7A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y </w:t>
      </w:r>
      <w:r w:rsidR="006B40B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a</w:t>
      </w:r>
      <w:r w:rsidR="000232B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ffecting</w:t>
      </w:r>
      <w:r w:rsidR="004E439D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the </w:t>
      </w:r>
      <w:r w:rsidR="006A2F89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defendant’s liability</w:t>
      </w:r>
      <w:r w:rsidR="00CC481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6B40B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031E33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relieving them from responsibility</w:t>
      </w:r>
      <w:r w:rsidR="005539B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and </w:t>
      </w:r>
      <w:r w:rsidR="001E5BF8">
        <w:rPr>
          <w:rFonts w:ascii="Arial" w:hAnsi="Arial" w:cs="Arial"/>
          <w:color w:val="000000" w:themeColor="text1"/>
          <w:sz w:val="28"/>
          <w:szCs w:val="28"/>
          <w:lang w:val="en-US"/>
        </w:rPr>
        <w:t>s</w:t>
      </w:r>
      <w:r w:rsidR="00F6019A">
        <w:rPr>
          <w:rFonts w:ascii="Arial" w:hAnsi="Arial" w:cs="Arial"/>
          <w:color w:val="000000" w:themeColor="text1"/>
          <w:sz w:val="28"/>
          <w:szCs w:val="28"/>
          <w:lang w:val="en-US"/>
        </w:rPr>
        <w:t>ubs</w:t>
      </w:r>
      <w:r w:rsidR="006B40B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equent</w:t>
      </w:r>
      <w:r w:rsidR="00A6048C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ly </w:t>
      </w:r>
      <w:r w:rsidR="005D301F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affecting the</w:t>
      </w:r>
      <w:r w:rsidR="006B40B4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claim</w:t>
      </w:r>
      <w:r w:rsidR="005D301F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ant’s compensation</w:t>
      </w:r>
      <w:r w:rsidR="00C03AAC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(Hogan Lovells, 2017)</w:t>
      </w:r>
      <w:r w:rsidR="006A2F89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  <w:r w:rsidR="00394387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Divided into three </w:t>
      </w:r>
      <w:r w:rsidR="00495643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categories; Natural events, </w:t>
      </w:r>
      <w:r w:rsidR="00A500DD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a</w:t>
      </w:r>
      <w:r w:rsidR="00495643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ctions by a </w:t>
      </w:r>
      <w:r w:rsidR="00CA64F2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third</w:t>
      </w:r>
      <w:r w:rsidR="00023162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-</w:t>
      </w:r>
      <w:r w:rsidR="00495643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party</w:t>
      </w:r>
      <w:r w:rsidR="0094256D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and actions by the claimant himself</w:t>
      </w:r>
      <w:r w:rsidR="003E1CB3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6415A8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(</w:t>
      </w:r>
      <w:r w:rsidR="00401CA7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Brennan, 2017, p. 90)</w:t>
      </w:r>
      <w:r w:rsidR="00DB2118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3E1CB3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6955D2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‘Novus Actus’</w:t>
      </w:r>
      <w:r w:rsidR="009F056A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is a defence that can be used to negate</w:t>
      </w:r>
      <w:r w:rsidR="00404CAE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or </w:t>
      </w:r>
      <w:r w:rsidR="009F056A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reduce liability</w:t>
      </w:r>
      <w:r w:rsidR="000B7B4C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</w:t>
      </w:r>
      <w:r w:rsidR="00154411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Enable law, </w:t>
      </w:r>
      <w:r w:rsidR="002E4D45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2018</w:t>
      </w:r>
      <w:r w:rsidR="000B7B4C" w:rsidRPr="00404CAE">
        <w:rPr>
          <w:rFonts w:ascii="Arial" w:hAnsi="Arial" w:cs="Arial"/>
          <w:color w:val="000000" w:themeColor="text1"/>
          <w:sz w:val="28"/>
          <w:szCs w:val="28"/>
          <w:lang w:val="en-US"/>
        </w:rPr>
        <w:t>).</w:t>
      </w:r>
    </w:p>
    <w:p w14:paraId="71547CED" w14:textId="62647F73" w:rsidR="00DD1694" w:rsidRPr="008F531B" w:rsidRDefault="00DD1694" w:rsidP="00E364A7">
      <w:pPr>
        <w:spacing w:line="480" w:lineRule="auto"/>
        <w:jc w:val="both"/>
        <w:rPr>
          <w:rFonts w:ascii="Arial" w:hAnsi="Arial" w:cs="Arial"/>
          <w:color w:val="00B050"/>
          <w:sz w:val="28"/>
          <w:szCs w:val="28"/>
          <w:lang w:val="en-US"/>
        </w:rPr>
      </w:pPr>
    </w:p>
    <w:p w14:paraId="5CC8C74B" w14:textId="33628C9B" w:rsidR="00E17CFC" w:rsidRPr="000C5E46" w:rsidRDefault="00CC4814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</w:t>
      </w:r>
      <w:r w:rsidR="00FD3253">
        <w:rPr>
          <w:rFonts w:ascii="Arial" w:hAnsi="Arial" w:cs="Arial"/>
          <w:sz w:val="28"/>
          <w:szCs w:val="28"/>
          <w:lang w:val="en-US"/>
        </w:rPr>
        <w:t xml:space="preserve">hroughout </w:t>
      </w:r>
      <w:r w:rsidR="00A500DD">
        <w:rPr>
          <w:rFonts w:ascii="Arial" w:hAnsi="Arial" w:cs="Arial"/>
          <w:sz w:val="28"/>
          <w:szCs w:val="28"/>
          <w:lang w:val="en-US"/>
        </w:rPr>
        <w:t xml:space="preserve">history </w:t>
      </w:r>
      <w:r>
        <w:rPr>
          <w:rFonts w:ascii="Arial" w:hAnsi="Arial" w:cs="Arial"/>
          <w:sz w:val="28"/>
          <w:szCs w:val="28"/>
          <w:lang w:val="en-US"/>
        </w:rPr>
        <w:t xml:space="preserve">many negligence cases </w:t>
      </w:r>
      <w:r w:rsidR="00A500DD">
        <w:rPr>
          <w:rFonts w:ascii="Arial" w:hAnsi="Arial" w:cs="Arial"/>
          <w:sz w:val="28"/>
          <w:szCs w:val="28"/>
          <w:lang w:val="en-US"/>
        </w:rPr>
        <w:t xml:space="preserve">have been </w:t>
      </w:r>
      <w:r w:rsidR="00BA5807">
        <w:rPr>
          <w:rFonts w:ascii="Arial" w:hAnsi="Arial" w:cs="Arial"/>
          <w:sz w:val="28"/>
          <w:szCs w:val="28"/>
          <w:lang w:val="en-US"/>
        </w:rPr>
        <w:t>interrupted</w:t>
      </w:r>
      <w:r w:rsidR="00530789">
        <w:rPr>
          <w:rFonts w:ascii="Arial" w:hAnsi="Arial" w:cs="Arial"/>
          <w:sz w:val="28"/>
          <w:szCs w:val="28"/>
          <w:lang w:val="en-US"/>
        </w:rPr>
        <w:t xml:space="preserve"> </w:t>
      </w:r>
      <w:r w:rsidR="00A500DD">
        <w:rPr>
          <w:rFonts w:ascii="Arial" w:hAnsi="Arial" w:cs="Arial"/>
          <w:sz w:val="28"/>
          <w:szCs w:val="28"/>
          <w:lang w:val="en-US"/>
        </w:rPr>
        <w:t xml:space="preserve">by </w:t>
      </w:r>
      <w:r w:rsidR="00FE2CB3">
        <w:rPr>
          <w:rFonts w:ascii="Arial" w:hAnsi="Arial" w:cs="Arial"/>
          <w:sz w:val="28"/>
          <w:szCs w:val="28"/>
          <w:lang w:val="en-US"/>
        </w:rPr>
        <w:t>‘N</w:t>
      </w:r>
      <w:r w:rsidR="00A500DD">
        <w:rPr>
          <w:rFonts w:ascii="Arial" w:hAnsi="Arial" w:cs="Arial"/>
          <w:sz w:val="28"/>
          <w:szCs w:val="28"/>
          <w:lang w:val="en-US"/>
        </w:rPr>
        <w:t xml:space="preserve">ovus </w:t>
      </w:r>
      <w:r w:rsidR="00FE2CB3">
        <w:rPr>
          <w:rFonts w:ascii="Arial" w:hAnsi="Arial" w:cs="Arial"/>
          <w:sz w:val="28"/>
          <w:szCs w:val="28"/>
          <w:lang w:val="en-US"/>
        </w:rPr>
        <w:t>A</w:t>
      </w:r>
      <w:r w:rsidR="00A500DD">
        <w:rPr>
          <w:rFonts w:ascii="Arial" w:hAnsi="Arial" w:cs="Arial"/>
          <w:sz w:val="28"/>
          <w:szCs w:val="28"/>
          <w:lang w:val="en-US"/>
        </w:rPr>
        <w:t xml:space="preserve">ctus </w:t>
      </w:r>
      <w:r w:rsidR="00FE2CB3">
        <w:rPr>
          <w:rFonts w:ascii="Arial" w:hAnsi="Arial" w:cs="Arial"/>
          <w:sz w:val="28"/>
          <w:szCs w:val="28"/>
          <w:lang w:val="en-US"/>
        </w:rPr>
        <w:t>I</w:t>
      </w:r>
      <w:r w:rsidR="00A500DD">
        <w:rPr>
          <w:rFonts w:ascii="Arial" w:hAnsi="Arial" w:cs="Arial"/>
          <w:sz w:val="28"/>
          <w:szCs w:val="28"/>
          <w:lang w:val="en-US"/>
        </w:rPr>
        <w:t>nterveni</w:t>
      </w:r>
      <w:r w:rsidR="00D01F92">
        <w:rPr>
          <w:rFonts w:ascii="Arial" w:hAnsi="Arial" w:cs="Arial"/>
          <w:sz w:val="28"/>
          <w:szCs w:val="28"/>
          <w:lang w:val="en-US"/>
        </w:rPr>
        <w:t>ens</w:t>
      </w:r>
      <w:r w:rsidR="00FE2CB3">
        <w:rPr>
          <w:rFonts w:ascii="Arial" w:hAnsi="Arial" w:cs="Arial"/>
          <w:sz w:val="28"/>
          <w:szCs w:val="28"/>
          <w:lang w:val="en-US"/>
        </w:rPr>
        <w:t>’</w:t>
      </w:r>
      <w:r w:rsidR="00760633">
        <w:rPr>
          <w:rFonts w:ascii="Arial" w:hAnsi="Arial" w:cs="Arial"/>
          <w:sz w:val="28"/>
          <w:szCs w:val="28"/>
          <w:lang w:val="en-US"/>
        </w:rPr>
        <w:t xml:space="preserve">, </w:t>
      </w:r>
      <w:r w:rsidR="00684AEB">
        <w:rPr>
          <w:rFonts w:ascii="Arial" w:hAnsi="Arial" w:cs="Arial"/>
          <w:sz w:val="28"/>
          <w:szCs w:val="28"/>
          <w:lang w:val="en-US"/>
        </w:rPr>
        <w:t xml:space="preserve">to the extent that it frees the wrongdoer of liability (Hogan Lovells, 2017).  </w:t>
      </w:r>
      <w:r w:rsidR="00AF6A81">
        <w:rPr>
          <w:rFonts w:ascii="Arial" w:hAnsi="Arial" w:cs="Arial"/>
          <w:sz w:val="28"/>
          <w:szCs w:val="28"/>
          <w:lang w:val="en-US"/>
        </w:rPr>
        <w:t xml:space="preserve">Such </w:t>
      </w:r>
      <w:r w:rsidR="00CD6268">
        <w:rPr>
          <w:rFonts w:ascii="Arial" w:hAnsi="Arial" w:cs="Arial"/>
          <w:sz w:val="28"/>
          <w:szCs w:val="28"/>
          <w:lang w:val="en-US"/>
        </w:rPr>
        <w:t xml:space="preserve">cases </w:t>
      </w:r>
      <w:r w:rsidR="001C1FC7">
        <w:rPr>
          <w:rFonts w:ascii="Arial" w:hAnsi="Arial" w:cs="Arial"/>
          <w:sz w:val="28"/>
          <w:szCs w:val="28"/>
          <w:lang w:val="en-US"/>
        </w:rPr>
        <w:t xml:space="preserve">have been </w:t>
      </w:r>
      <w:r w:rsidR="00F602E8">
        <w:rPr>
          <w:rFonts w:ascii="Arial" w:hAnsi="Arial" w:cs="Arial"/>
          <w:sz w:val="28"/>
          <w:szCs w:val="28"/>
          <w:lang w:val="en-US"/>
        </w:rPr>
        <w:t xml:space="preserve">very similar in circumstance however, </w:t>
      </w:r>
      <w:r w:rsidR="00E12FE1">
        <w:rPr>
          <w:rFonts w:ascii="Arial" w:hAnsi="Arial" w:cs="Arial"/>
          <w:sz w:val="28"/>
          <w:szCs w:val="28"/>
          <w:lang w:val="en-US"/>
        </w:rPr>
        <w:t>despite their fact pattern</w:t>
      </w:r>
      <w:r w:rsidR="00C00395">
        <w:rPr>
          <w:rFonts w:ascii="Arial" w:hAnsi="Arial" w:cs="Arial"/>
          <w:sz w:val="28"/>
          <w:szCs w:val="28"/>
          <w:lang w:val="en-US"/>
        </w:rPr>
        <w:t>s</w:t>
      </w:r>
      <w:r w:rsidR="00FE70E8">
        <w:rPr>
          <w:rFonts w:ascii="Arial" w:hAnsi="Arial" w:cs="Arial"/>
          <w:sz w:val="28"/>
          <w:szCs w:val="28"/>
          <w:lang w:val="en-US"/>
        </w:rPr>
        <w:t xml:space="preserve">, subtle differences </w:t>
      </w:r>
      <w:r w:rsidR="006431C5">
        <w:rPr>
          <w:rFonts w:ascii="Arial" w:hAnsi="Arial" w:cs="Arial"/>
          <w:sz w:val="28"/>
          <w:szCs w:val="28"/>
          <w:lang w:val="en-US"/>
        </w:rPr>
        <w:t xml:space="preserve">in </w:t>
      </w:r>
      <w:r w:rsidR="00F8539F">
        <w:rPr>
          <w:rFonts w:ascii="Arial" w:hAnsi="Arial" w:cs="Arial"/>
          <w:sz w:val="28"/>
          <w:szCs w:val="28"/>
          <w:lang w:val="en-US"/>
        </w:rPr>
        <w:t xml:space="preserve">the </w:t>
      </w:r>
      <w:r w:rsidR="005762C2">
        <w:rPr>
          <w:rFonts w:ascii="Arial" w:hAnsi="Arial" w:cs="Arial"/>
          <w:sz w:val="28"/>
          <w:szCs w:val="28"/>
          <w:lang w:val="en-US"/>
        </w:rPr>
        <w:t xml:space="preserve">chain of events </w:t>
      </w:r>
      <w:r w:rsidR="000D177B">
        <w:rPr>
          <w:rFonts w:ascii="Arial" w:hAnsi="Arial" w:cs="Arial"/>
          <w:sz w:val="28"/>
          <w:szCs w:val="28"/>
          <w:lang w:val="en-US"/>
        </w:rPr>
        <w:t>ha</w:t>
      </w:r>
      <w:r w:rsidR="009328E3">
        <w:rPr>
          <w:rFonts w:ascii="Arial" w:hAnsi="Arial" w:cs="Arial"/>
          <w:sz w:val="28"/>
          <w:szCs w:val="28"/>
          <w:lang w:val="en-US"/>
        </w:rPr>
        <w:t>ve altered</w:t>
      </w:r>
      <w:r w:rsidR="000D177B">
        <w:rPr>
          <w:rFonts w:ascii="Arial" w:hAnsi="Arial" w:cs="Arial"/>
          <w:sz w:val="28"/>
          <w:szCs w:val="28"/>
          <w:lang w:val="en-US"/>
        </w:rPr>
        <w:t xml:space="preserve"> the outcome</w:t>
      </w:r>
      <w:r w:rsidR="005D48BF">
        <w:rPr>
          <w:rFonts w:ascii="Arial" w:hAnsi="Arial" w:cs="Arial"/>
          <w:sz w:val="28"/>
          <w:szCs w:val="28"/>
          <w:lang w:val="en-US"/>
        </w:rPr>
        <w:t xml:space="preserve"> </w:t>
      </w:r>
      <w:r w:rsidR="006851BB">
        <w:rPr>
          <w:rFonts w:ascii="Arial" w:hAnsi="Arial" w:cs="Arial"/>
          <w:sz w:val="28"/>
          <w:szCs w:val="28"/>
          <w:lang w:val="en-US"/>
        </w:rPr>
        <w:t>(</w:t>
      </w:r>
      <w:r w:rsidR="00634F20">
        <w:rPr>
          <w:rFonts w:ascii="Arial" w:hAnsi="Arial" w:cs="Arial"/>
          <w:sz w:val="28"/>
          <w:szCs w:val="28"/>
          <w:lang w:val="en-US"/>
        </w:rPr>
        <w:t>Hall Ellis, 2016</w:t>
      </w:r>
      <w:r w:rsidR="006851BB">
        <w:rPr>
          <w:rFonts w:ascii="Arial" w:hAnsi="Arial" w:cs="Arial"/>
          <w:sz w:val="28"/>
          <w:szCs w:val="28"/>
          <w:lang w:val="en-US"/>
        </w:rPr>
        <w:t>)</w:t>
      </w:r>
      <w:r w:rsidR="005762C2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175D4CC4" w14:textId="5BFD38AB" w:rsidR="007E5A75" w:rsidRDefault="007E5A75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48408D02" w14:textId="300249E7" w:rsidR="00096E66" w:rsidRPr="00903F66" w:rsidRDefault="002D61A9" w:rsidP="00E364A7">
      <w:pPr>
        <w:spacing w:line="480" w:lineRule="auto"/>
        <w:jc w:val="both"/>
        <w:rPr>
          <w:rFonts w:ascii="Arial" w:hAnsi="Arial" w:cs="Arial"/>
          <w:color w:val="00B050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A</w:t>
      </w:r>
      <w:r w:rsidR="007A7BD5">
        <w:rPr>
          <w:rFonts w:ascii="Arial" w:hAnsi="Arial" w:cs="Arial"/>
          <w:sz w:val="28"/>
          <w:szCs w:val="28"/>
          <w:lang w:val="en-US"/>
        </w:rPr>
        <w:t xml:space="preserve">n </w:t>
      </w:r>
      <w:r w:rsidR="00F5032B">
        <w:rPr>
          <w:rFonts w:ascii="Arial" w:hAnsi="Arial" w:cs="Arial"/>
          <w:sz w:val="28"/>
          <w:szCs w:val="28"/>
          <w:lang w:val="en-US"/>
        </w:rPr>
        <w:t>interven</w:t>
      </w:r>
      <w:r w:rsidR="00D679D0">
        <w:rPr>
          <w:rFonts w:ascii="Arial" w:hAnsi="Arial" w:cs="Arial"/>
          <w:sz w:val="28"/>
          <w:szCs w:val="28"/>
          <w:lang w:val="en-US"/>
        </w:rPr>
        <w:t>ing</w:t>
      </w:r>
      <w:r w:rsidR="00F5032B">
        <w:rPr>
          <w:rFonts w:ascii="Arial" w:hAnsi="Arial" w:cs="Arial"/>
          <w:sz w:val="28"/>
          <w:szCs w:val="28"/>
          <w:lang w:val="en-US"/>
        </w:rPr>
        <w:t xml:space="preserve"> </w:t>
      </w:r>
      <w:r w:rsidR="007A7BD5">
        <w:rPr>
          <w:rFonts w:ascii="Arial" w:hAnsi="Arial" w:cs="Arial"/>
          <w:sz w:val="28"/>
          <w:szCs w:val="28"/>
          <w:lang w:val="en-US"/>
        </w:rPr>
        <w:t>act of</w:t>
      </w:r>
      <w:r>
        <w:rPr>
          <w:rFonts w:ascii="Arial" w:hAnsi="Arial" w:cs="Arial"/>
          <w:sz w:val="28"/>
          <w:szCs w:val="28"/>
          <w:lang w:val="en-US"/>
        </w:rPr>
        <w:t xml:space="preserve"> n</w:t>
      </w:r>
      <w:r w:rsidR="00B040A1">
        <w:rPr>
          <w:rFonts w:ascii="Arial" w:hAnsi="Arial" w:cs="Arial"/>
          <w:sz w:val="28"/>
          <w:szCs w:val="28"/>
          <w:lang w:val="en-US"/>
        </w:rPr>
        <w:t>atur</w:t>
      </w:r>
      <w:r w:rsidR="007A7BD5">
        <w:rPr>
          <w:rFonts w:ascii="Arial" w:hAnsi="Arial" w:cs="Arial"/>
          <w:sz w:val="28"/>
          <w:szCs w:val="28"/>
          <w:lang w:val="en-US"/>
        </w:rPr>
        <w:t>e</w:t>
      </w:r>
      <w:r w:rsidR="00B040A1">
        <w:rPr>
          <w:rFonts w:ascii="Arial" w:hAnsi="Arial" w:cs="Arial"/>
          <w:sz w:val="28"/>
          <w:szCs w:val="28"/>
          <w:lang w:val="en-US"/>
        </w:rPr>
        <w:t xml:space="preserve"> has the </w:t>
      </w:r>
      <w:r w:rsidR="00C161C8">
        <w:rPr>
          <w:rFonts w:ascii="Arial" w:hAnsi="Arial" w:cs="Arial"/>
          <w:sz w:val="28"/>
          <w:szCs w:val="28"/>
          <w:lang w:val="en-US"/>
        </w:rPr>
        <w:t>ability to break the caus</w:t>
      </w:r>
      <w:r w:rsidR="004C6A74">
        <w:rPr>
          <w:rFonts w:ascii="Arial" w:hAnsi="Arial" w:cs="Arial"/>
          <w:sz w:val="28"/>
          <w:szCs w:val="28"/>
          <w:lang w:val="en-US"/>
        </w:rPr>
        <w:t>al chain</w:t>
      </w:r>
      <w:r w:rsidR="00C161C8">
        <w:rPr>
          <w:rFonts w:ascii="Arial" w:hAnsi="Arial" w:cs="Arial"/>
          <w:sz w:val="28"/>
          <w:szCs w:val="28"/>
          <w:lang w:val="en-US"/>
        </w:rPr>
        <w:t xml:space="preserve">. </w:t>
      </w:r>
      <w:r w:rsidR="002F6D0A">
        <w:rPr>
          <w:rFonts w:ascii="Arial" w:hAnsi="Arial" w:cs="Arial"/>
          <w:sz w:val="28"/>
          <w:szCs w:val="28"/>
          <w:lang w:val="en-US"/>
        </w:rPr>
        <w:t>Yet</w:t>
      </w:r>
      <w:r w:rsidR="00C161C8">
        <w:rPr>
          <w:rFonts w:ascii="Arial" w:hAnsi="Arial" w:cs="Arial"/>
          <w:sz w:val="28"/>
          <w:szCs w:val="28"/>
          <w:lang w:val="en-US"/>
        </w:rPr>
        <w:t xml:space="preserve">, </w:t>
      </w:r>
      <w:r w:rsidR="007D208D">
        <w:rPr>
          <w:rFonts w:ascii="Arial" w:hAnsi="Arial" w:cs="Arial"/>
          <w:sz w:val="28"/>
          <w:szCs w:val="28"/>
          <w:lang w:val="en-US"/>
        </w:rPr>
        <w:t xml:space="preserve">a natural event </w:t>
      </w:r>
      <w:r w:rsidR="00FC3382">
        <w:rPr>
          <w:rFonts w:ascii="Arial" w:hAnsi="Arial" w:cs="Arial"/>
          <w:sz w:val="28"/>
          <w:szCs w:val="28"/>
          <w:lang w:val="en-US"/>
        </w:rPr>
        <w:t>is viewed most commonly as an ‘Act of God’</w:t>
      </w:r>
      <w:r w:rsidR="00932913">
        <w:rPr>
          <w:rFonts w:ascii="Arial" w:hAnsi="Arial" w:cs="Arial"/>
          <w:sz w:val="28"/>
          <w:szCs w:val="28"/>
          <w:lang w:val="en-US"/>
        </w:rPr>
        <w:t xml:space="preserve">, unforeseeable to </w:t>
      </w:r>
      <w:r w:rsidR="009254E6">
        <w:rPr>
          <w:rFonts w:ascii="Arial" w:hAnsi="Arial" w:cs="Arial"/>
          <w:sz w:val="28"/>
          <w:szCs w:val="28"/>
          <w:lang w:val="en-US"/>
        </w:rPr>
        <w:t>the</w:t>
      </w:r>
      <w:r w:rsidR="00932913">
        <w:rPr>
          <w:rFonts w:ascii="Arial" w:hAnsi="Arial" w:cs="Arial"/>
          <w:sz w:val="28"/>
          <w:szCs w:val="28"/>
          <w:lang w:val="en-US"/>
        </w:rPr>
        <w:t xml:space="preserve"> reasonable person.</w:t>
      </w:r>
      <w:r w:rsidR="00DD0523">
        <w:rPr>
          <w:rFonts w:ascii="Arial" w:hAnsi="Arial" w:cs="Arial"/>
          <w:sz w:val="28"/>
          <w:szCs w:val="28"/>
          <w:lang w:val="en-US"/>
        </w:rPr>
        <w:t xml:space="preserve"> </w:t>
      </w:r>
      <w:r w:rsidR="008B1D15">
        <w:rPr>
          <w:rFonts w:ascii="Arial" w:hAnsi="Arial" w:cs="Arial"/>
          <w:sz w:val="28"/>
          <w:szCs w:val="28"/>
          <w:lang w:val="en-US"/>
        </w:rPr>
        <w:t>I</w:t>
      </w:r>
      <w:r w:rsidR="00DD0523">
        <w:rPr>
          <w:rFonts w:ascii="Arial" w:hAnsi="Arial" w:cs="Arial"/>
          <w:sz w:val="28"/>
          <w:szCs w:val="28"/>
          <w:lang w:val="en-US"/>
        </w:rPr>
        <w:t xml:space="preserve">n </w:t>
      </w:r>
      <w:r w:rsidR="00DD0523" w:rsidRPr="00154886">
        <w:rPr>
          <w:rFonts w:ascii="Arial" w:hAnsi="Arial" w:cs="Arial"/>
          <w:i/>
          <w:iCs/>
          <w:sz w:val="28"/>
          <w:szCs w:val="28"/>
          <w:lang w:val="en-US"/>
        </w:rPr>
        <w:t>Carslogie Steamship Co Ltd v Royal Norwegian Government (1952)</w:t>
      </w:r>
      <w:r w:rsidR="00DD0523">
        <w:rPr>
          <w:rFonts w:ascii="Arial" w:hAnsi="Arial" w:cs="Arial"/>
          <w:sz w:val="28"/>
          <w:szCs w:val="28"/>
          <w:lang w:val="en-US"/>
        </w:rPr>
        <w:t xml:space="preserve"> a storm was considered a </w:t>
      </w:r>
      <w:r w:rsidR="008B1D15">
        <w:rPr>
          <w:rFonts w:ascii="Arial" w:hAnsi="Arial" w:cs="Arial"/>
          <w:sz w:val="28"/>
          <w:szCs w:val="28"/>
          <w:lang w:val="en-US"/>
        </w:rPr>
        <w:t>‘</w:t>
      </w:r>
      <w:r w:rsidR="001A7FF7">
        <w:rPr>
          <w:rFonts w:ascii="Arial" w:hAnsi="Arial" w:cs="Arial"/>
          <w:sz w:val="28"/>
          <w:szCs w:val="28"/>
          <w:lang w:val="en-US"/>
        </w:rPr>
        <w:t>n</w:t>
      </w:r>
      <w:r w:rsidR="00DD0523">
        <w:rPr>
          <w:rFonts w:ascii="Arial" w:hAnsi="Arial" w:cs="Arial"/>
          <w:sz w:val="28"/>
          <w:szCs w:val="28"/>
          <w:lang w:val="en-US"/>
        </w:rPr>
        <w:t xml:space="preserve">ovus </w:t>
      </w:r>
      <w:r w:rsidR="001A7FF7">
        <w:rPr>
          <w:rFonts w:ascii="Arial" w:hAnsi="Arial" w:cs="Arial"/>
          <w:sz w:val="28"/>
          <w:szCs w:val="28"/>
          <w:lang w:val="en-US"/>
        </w:rPr>
        <w:t>a</w:t>
      </w:r>
      <w:r w:rsidR="00DD0523">
        <w:rPr>
          <w:rFonts w:ascii="Arial" w:hAnsi="Arial" w:cs="Arial"/>
          <w:sz w:val="28"/>
          <w:szCs w:val="28"/>
          <w:lang w:val="en-US"/>
        </w:rPr>
        <w:t>ctus</w:t>
      </w:r>
      <w:r w:rsidR="008B1D15">
        <w:rPr>
          <w:rFonts w:ascii="Arial" w:hAnsi="Arial" w:cs="Arial"/>
          <w:sz w:val="28"/>
          <w:szCs w:val="28"/>
          <w:lang w:val="en-US"/>
        </w:rPr>
        <w:t>’</w:t>
      </w:r>
      <w:r w:rsidR="00DD0523">
        <w:rPr>
          <w:rFonts w:ascii="Arial" w:hAnsi="Arial" w:cs="Arial"/>
          <w:sz w:val="28"/>
          <w:szCs w:val="28"/>
          <w:lang w:val="en-US"/>
        </w:rPr>
        <w:t xml:space="preserve">. </w:t>
      </w:r>
      <w:r w:rsidR="00DE6CF3">
        <w:rPr>
          <w:rFonts w:ascii="Arial" w:hAnsi="Arial" w:cs="Arial"/>
          <w:sz w:val="28"/>
          <w:szCs w:val="28"/>
          <w:lang w:val="en-US"/>
        </w:rPr>
        <w:t xml:space="preserve">Following </w:t>
      </w:r>
      <w:r w:rsidR="00544F17">
        <w:rPr>
          <w:rFonts w:ascii="Arial" w:hAnsi="Arial" w:cs="Arial"/>
          <w:i/>
          <w:iCs/>
          <w:sz w:val="28"/>
          <w:szCs w:val="28"/>
          <w:lang w:val="en-US"/>
        </w:rPr>
        <w:t>Carslogie’s</w:t>
      </w:r>
      <w:r w:rsidR="00DE6CF3">
        <w:rPr>
          <w:rFonts w:ascii="Arial" w:hAnsi="Arial" w:cs="Arial"/>
          <w:sz w:val="28"/>
          <w:szCs w:val="28"/>
          <w:lang w:val="en-US"/>
        </w:rPr>
        <w:t xml:space="preserve"> collision</w:t>
      </w:r>
      <w:r w:rsidR="00544F17">
        <w:rPr>
          <w:rFonts w:ascii="Arial" w:hAnsi="Arial" w:cs="Arial"/>
          <w:sz w:val="28"/>
          <w:szCs w:val="28"/>
          <w:lang w:val="en-US"/>
        </w:rPr>
        <w:t>,</w:t>
      </w:r>
      <w:r w:rsidR="00DE6CF3">
        <w:rPr>
          <w:rFonts w:ascii="Arial" w:hAnsi="Arial" w:cs="Arial"/>
          <w:sz w:val="28"/>
          <w:szCs w:val="28"/>
          <w:lang w:val="en-US"/>
        </w:rPr>
        <w:t xml:space="preserve"> t</w:t>
      </w:r>
      <w:r w:rsidR="00DD0523">
        <w:rPr>
          <w:rFonts w:ascii="Arial" w:hAnsi="Arial" w:cs="Arial"/>
          <w:sz w:val="28"/>
          <w:szCs w:val="28"/>
          <w:lang w:val="en-US"/>
        </w:rPr>
        <w:t xml:space="preserve">he chain of causation had been broken by the natural </w:t>
      </w:r>
      <w:r w:rsidR="00DD0523">
        <w:rPr>
          <w:rFonts w:ascii="Arial" w:hAnsi="Arial" w:cs="Arial"/>
          <w:sz w:val="28"/>
          <w:szCs w:val="28"/>
          <w:lang w:val="en-US"/>
        </w:rPr>
        <w:lastRenderedPageBreak/>
        <w:t>event of storms at sea, and it was held the defendant’s liability only extended to the loss and damages resulting from the collision</w:t>
      </w:r>
      <w:r w:rsidR="009B088A">
        <w:rPr>
          <w:rFonts w:ascii="Arial" w:hAnsi="Arial" w:cs="Arial"/>
          <w:sz w:val="28"/>
          <w:szCs w:val="28"/>
          <w:lang w:val="en-US"/>
        </w:rPr>
        <w:t>,</w:t>
      </w:r>
      <w:r w:rsidR="00DD0523">
        <w:rPr>
          <w:rFonts w:ascii="Arial" w:hAnsi="Arial" w:cs="Arial"/>
          <w:sz w:val="28"/>
          <w:szCs w:val="28"/>
          <w:lang w:val="en-US"/>
        </w:rPr>
        <w:t xml:space="preserve"> not the subsequent damage sustained by the storm</w:t>
      </w:r>
      <w:r w:rsidR="00BA31CE">
        <w:rPr>
          <w:rFonts w:ascii="Arial" w:hAnsi="Arial" w:cs="Arial"/>
          <w:sz w:val="28"/>
          <w:szCs w:val="28"/>
          <w:lang w:val="en-US"/>
        </w:rPr>
        <w:t xml:space="preserve"> (</w:t>
      </w:r>
      <w:r w:rsidR="004549DF">
        <w:rPr>
          <w:rFonts w:ascii="Arial" w:hAnsi="Arial" w:cs="Arial"/>
          <w:sz w:val="28"/>
          <w:szCs w:val="28"/>
          <w:lang w:val="en-US"/>
        </w:rPr>
        <w:t>Jowitt, 2019</w:t>
      </w:r>
      <w:r w:rsidR="00BA31CE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DD0523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</w:p>
    <w:p w14:paraId="615133A7" w14:textId="18E3D743" w:rsidR="008D2EB0" w:rsidRPr="00140809" w:rsidRDefault="00201266" w:rsidP="00E364A7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Hogan Lovells (2017) </w:t>
      </w:r>
      <w:r w:rsidR="0022214A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suggests that </w:t>
      </w:r>
      <w:r w:rsidR="002F7197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if the defendant’s breach of duty has placed the claimant or his property in a position where that damage was foreseeable, </w:t>
      </w:r>
      <w:r w:rsidR="000C222B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>no</w:t>
      </w:r>
      <w:r w:rsidR="002F7197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‘</w:t>
      </w:r>
      <w:r w:rsidR="00D95844">
        <w:rPr>
          <w:rFonts w:ascii="Arial" w:hAnsi="Arial" w:cs="Arial"/>
          <w:color w:val="000000" w:themeColor="text1"/>
          <w:sz w:val="28"/>
          <w:szCs w:val="28"/>
          <w:lang w:val="en-US"/>
        </w:rPr>
        <w:t>n</w:t>
      </w:r>
      <w:r w:rsidR="002F7197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ovus </w:t>
      </w:r>
      <w:r w:rsidR="00D95844">
        <w:rPr>
          <w:rFonts w:ascii="Arial" w:hAnsi="Arial" w:cs="Arial"/>
          <w:color w:val="000000" w:themeColor="text1"/>
          <w:sz w:val="28"/>
          <w:szCs w:val="28"/>
          <w:lang w:val="en-US"/>
        </w:rPr>
        <w:t>a</w:t>
      </w:r>
      <w:r w:rsidR="002F7197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ctus </w:t>
      </w:r>
      <w:r w:rsidR="00D95844">
        <w:rPr>
          <w:rFonts w:ascii="Arial" w:hAnsi="Arial" w:cs="Arial"/>
          <w:color w:val="000000" w:themeColor="text1"/>
          <w:sz w:val="28"/>
          <w:szCs w:val="28"/>
          <w:lang w:val="en-US"/>
        </w:rPr>
        <w:t>i</w:t>
      </w:r>
      <w:r w:rsidR="002F7197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>nterveniens’ ha</w:t>
      </w:r>
      <w:r w:rsidR="0011444F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>s</w:t>
      </w:r>
      <w:r w:rsidR="002F7197" w:rsidRPr="001163B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occurred.</w:t>
      </w:r>
      <w:r w:rsidR="00BA42BD">
        <w:rPr>
          <w:rFonts w:ascii="Arial" w:hAnsi="Arial" w:cs="Arial"/>
          <w:color w:val="00B050"/>
          <w:sz w:val="28"/>
          <w:szCs w:val="28"/>
          <w:lang w:val="en-US"/>
        </w:rPr>
        <w:t xml:space="preserve"> </w:t>
      </w:r>
      <w:r w:rsidR="00655712">
        <w:rPr>
          <w:rFonts w:ascii="Arial" w:hAnsi="Arial" w:cs="Arial"/>
          <w:sz w:val="28"/>
          <w:szCs w:val="28"/>
          <w:lang w:val="en-US"/>
        </w:rPr>
        <w:t xml:space="preserve">This was the outcome in the case of </w:t>
      </w:r>
      <w:r w:rsidR="00655712" w:rsidRPr="0032698B">
        <w:rPr>
          <w:rFonts w:ascii="Arial" w:hAnsi="Arial" w:cs="Arial"/>
          <w:i/>
          <w:iCs/>
          <w:sz w:val="28"/>
          <w:szCs w:val="28"/>
          <w:lang w:val="en-US"/>
        </w:rPr>
        <w:t>Humber Oil Terminal Trustee Ltd v Owners of Sivand (1998)</w:t>
      </w:r>
      <w:r w:rsidR="00655712">
        <w:rPr>
          <w:rFonts w:ascii="Arial" w:hAnsi="Arial" w:cs="Arial"/>
          <w:sz w:val="28"/>
          <w:szCs w:val="28"/>
          <w:lang w:val="en-US"/>
        </w:rPr>
        <w:t xml:space="preserve"> where </w:t>
      </w:r>
      <w:r w:rsidR="000058DE">
        <w:rPr>
          <w:rFonts w:ascii="Arial" w:hAnsi="Arial" w:cs="Arial"/>
          <w:sz w:val="28"/>
          <w:szCs w:val="28"/>
          <w:lang w:val="en-US"/>
        </w:rPr>
        <w:t xml:space="preserve">the </w:t>
      </w:r>
      <w:r w:rsidR="00655712">
        <w:rPr>
          <w:rFonts w:ascii="Arial" w:hAnsi="Arial" w:cs="Arial"/>
          <w:sz w:val="28"/>
          <w:szCs w:val="28"/>
          <w:lang w:val="en-US"/>
        </w:rPr>
        <w:t xml:space="preserve">defendant negligently damaged a seabed owned by </w:t>
      </w:r>
      <w:r w:rsidR="000058DE">
        <w:rPr>
          <w:rFonts w:ascii="Arial" w:hAnsi="Arial" w:cs="Arial"/>
          <w:sz w:val="28"/>
          <w:szCs w:val="28"/>
          <w:lang w:val="en-US"/>
        </w:rPr>
        <w:t xml:space="preserve">the </w:t>
      </w:r>
      <w:r w:rsidR="00655712">
        <w:rPr>
          <w:rFonts w:ascii="Arial" w:hAnsi="Arial" w:cs="Arial"/>
          <w:sz w:val="28"/>
          <w:szCs w:val="28"/>
          <w:lang w:val="en-US"/>
        </w:rPr>
        <w:t xml:space="preserve">claimant. During the repairs under a standard form of contract the seabed collapsed </w:t>
      </w:r>
      <w:r w:rsidR="003906B0">
        <w:rPr>
          <w:rFonts w:ascii="Arial" w:hAnsi="Arial" w:cs="Arial"/>
          <w:sz w:val="28"/>
          <w:szCs w:val="28"/>
          <w:lang w:val="en-US"/>
        </w:rPr>
        <w:t>resulting in</w:t>
      </w:r>
      <w:r w:rsidR="00655712">
        <w:rPr>
          <w:rFonts w:ascii="Arial" w:hAnsi="Arial" w:cs="Arial"/>
          <w:sz w:val="28"/>
          <w:szCs w:val="28"/>
          <w:lang w:val="en-US"/>
        </w:rPr>
        <w:t xml:space="preserve"> the contractor</w:t>
      </w:r>
      <w:r w:rsidR="003906B0">
        <w:rPr>
          <w:rFonts w:ascii="Arial" w:hAnsi="Arial" w:cs="Arial"/>
          <w:sz w:val="28"/>
          <w:szCs w:val="28"/>
          <w:lang w:val="en-US"/>
        </w:rPr>
        <w:t>’s</w:t>
      </w:r>
      <w:r w:rsidR="00655712">
        <w:rPr>
          <w:rFonts w:ascii="Arial" w:hAnsi="Arial" w:cs="Arial"/>
          <w:sz w:val="28"/>
          <w:szCs w:val="28"/>
          <w:lang w:val="en-US"/>
        </w:rPr>
        <w:t xml:space="preserve"> los</w:t>
      </w:r>
      <w:r w:rsidR="003906B0">
        <w:rPr>
          <w:rFonts w:ascii="Arial" w:hAnsi="Arial" w:cs="Arial"/>
          <w:sz w:val="28"/>
          <w:szCs w:val="28"/>
          <w:lang w:val="en-US"/>
        </w:rPr>
        <w:t>s of</w:t>
      </w:r>
      <w:r w:rsidR="00655712">
        <w:rPr>
          <w:rFonts w:ascii="Arial" w:hAnsi="Arial" w:cs="Arial"/>
          <w:sz w:val="28"/>
          <w:szCs w:val="28"/>
          <w:lang w:val="en-US"/>
        </w:rPr>
        <w:t xml:space="preserve"> a barge. </w:t>
      </w:r>
      <w:r w:rsidR="00E3006C">
        <w:rPr>
          <w:rFonts w:ascii="Arial" w:hAnsi="Arial" w:cs="Arial"/>
          <w:sz w:val="28"/>
          <w:szCs w:val="28"/>
          <w:lang w:val="en-US"/>
        </w:rPr>
        <w:t>It was held that n</w:t>
      </w:r>
      <w:r w:rsidR="00655712">
        <w:rPr>
          <w:rFonts w:ascii="Arial" w:hAnsi="Arial" w:cs="Arial"/>
          <w:sz w:val="28"/>
          <w:szCs w:val="28"/>
          <w:lang w:val="en-US"/>
        </w:rPr>
        <w:t>o ‘</w:t>
      </w:r>
      <w:r w:rsidR="006028C7">
        <w:rPr>
          <w:rFonts w:ascii="Arial" w:hAnsi="Arial" w:cs="Arial"/>
          <w:sz w:val="28"/>
          <w:szCs w:val="28"/>
          <w:lang w:val="en-US"/>
        </w:rPr>
        <w:t>n</w:t>
      </w:r>
      <w:r w:rsidR="00655712">
        <w:rPr>
          <w:rFonts w:ascii="Arial" w:hAnsi="Arial" w:cs="Arial"/>
          <w:sz w:val="28"/>
          <w:szCs w:val="28"/>
          <w:lang w:val="en-US"/>
        </w:rPr>
        <w:t xml:space="preserve">ovus </w:t>
      </w:r>
      <w:r w:rsidR="006028C7">
        <w:rPr>
          <w:rFonts w:ascii="Arial" w:hAnsi="Arial" w:cs="Arial"/>
          <w:sz w:val="28"/>
          <w:szCs w:val="28"/>
          <w:lang w:val="en-US"/>
        </w:rPr>
        <w:t>a</w:t>
      </w:r>
      <w:r w:rsidR="00655712">
        <w:rPr>
          <w:rFonts w:ascii="Arial" w:hAnsi="Arial" w:cs="Arial"/>
          <w:sz w:val="28"/>
          <w:szCs w:val="28"/>
          <w:lang w:val="en-US"/>
        </w:rPr>
        <w:t xml:space="preserve">ctus </w:t>
      </w:r>
      <w:r w:rsidR="006028C7">
        <w:rPr>
          <w:rFonts w:ascii="Arial" w:hAnsi="Arial" w:cs="Arial"/>
          <w:sz w:val="28"/>
          <w:szCs w:val="28"/>
          <w:lang w:val="en-US"/>
        </w:rPr>
        <w:t>i</w:t>
      </w:r>
      <w:r w:rsidR="00655712">
        <w:rPr>
          <w:rFonts w:ascii="Arial" w:hAnsi="Arial" w:cs="Arial"/>
          <w:sz w:val="28"/>
          <w:szCs w:val="28"/>
          <w:lang w:val="en-US"/>
        </w:rPr>
        <w:t>nterveniens’ occurred as the damage was within the realm of foreseeability</w:t>
      </w:r>
      <w:r w:rsidR="00502AA5">
        <w:rPr>
          <w:rFonts w:ascii="Arial" w:hAnsi="Arial" w:cs="Arial"/>
          <w:sz w:val="28"/>
          <w:szCs w:val="28"/>
          <w:lang w:val="en-US"/>
        </w:rPr>
        <w:t>. The defendant was held liable</w:t>
      </w:r>
      <w:r w:rsidR="00655712">
        <w:rPr>
          <w:rFonts w:ascii="Arial" w:hAnsi="Arial" w:cs="Arial"/>
          <w:sz w:val="28"/>
          <w:szCs w:val="28"/>
          <w:lang w:val="en-US"/>
        </w:rPr>
        <w:t xml:space="preserve"> and the claimant was awarded compensation (Daiches, 1998).</w:t>
      </w:r>
      <w:r w:rsidR="003E13EE">
        <w:rPr>
          <w:rFonts w:ascii="Arial" w:hAnsi="Arial" w:cs="Arial"/>
          <w:sz w:val="28"/>
          <w:szCs w:val="28"/>
          <w:lang w:val="en-US"/>
        </w:rPr>
        <w:t xml:space="preserve"> </w:t>
      </w:r>
      <w:r w:rsidR="001F5E44" w:rsidRPr="00BD3A8A">
        <w:rPr>
          <w:rFonts w:ascii="Arial" w:hAnsi="Arial" w:cs="Arial"/>
          <w:color w:val="000000" w:themeColor="text1"/>
          <w:sz w:val="28"/>
          <w:szCs w:val="28"/>
          <w:lang w:val="en-US"/>
        </w:rPr>
        <w:t>Had these events been interpreted differently the seabed could have been ruled as a physical condition, therefore becoming a natural intervening act</w:t>
      </w:r>
      <w:r w:rsidR="008A7A88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, freeing the defendant from liability </w:t>
      </w:r>
      <w:r w:rsidR="001F5E44" w:rsidRPr="00BD3A8A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(Casemine, 2017). </w:t>
      </w:r>
    </w:p>
    <w:p w14:paraId="44B6E40B" w14:textId="77777777" w:rsidR="00D4501F" w:rsidRPr="0086738C" w:rsidRDefault="00D4501F" w:rsidP="00E364A7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</w:p>
    <w:p w14:paraId="0FA5E0D7" w14:textId="611A5E7D" w:rsidR="0054073B" w:rsidRDefault="00C30D9B" w:rsidP="00254C6D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>Actions of a t</w:t>
      </w:r>
      <w:r w:rsidR="000C5E6D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>hird</w:t>
      </w:r>
      <w:r w:rsidR="0054073B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>-</w:t>
      </w:r>
      <w:r w:rsidR="000C5E6D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>party</w:t>
      </w:r>
      <w:r w:rsidR="00EE03E1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54073B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can constitute a break in the chain of causation </w:t>
      </w:r>
      <w:r w:rsidR="000B1C76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>however, the act must be</w:t>
      </w:r>
      <w:r w:rsidR="0054073B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unforeseeable, unreasonable and the immediate </w:t>
      </w:r>
      <w:r w:rsidR="0054073B" w:rsidRPr="0086738C">
        <w:rPr>
          <w:rFonts w:ascii="Arial" w:hAnsi="Arial" w:cs="Arial"/>
          <w:color w:val="000000" w:themeColor="text1"/>
          <w:sz w:val="28"/>
          <w:szCs w:val="28"/>
          <w:lang w:val="en-US"/>
        </w:rPr>
        <w:lastRenderedPageBreak/>
        <w:t>cause of the claimant’s ha</w:t>
      </w:r>
      <w:r w:rsidR="0054073B">
        <w:rPr>
          <w:rFonts w:ascii="Arial" w:hAnsi="Arial" w:cs="Arial"/>
          <w:sz w:val="28"/>
          <w:szCs w:val="28"/>
          <w:lang w:val="en-US"/>
        </w:rPr>
        <w:t xml:space="preserve">rm. </w:t>
      </w:r>
      <w:r w:rsidR="00E83F10">
        <w:rPr>
          <w:rFonts w:ascii="Arial" w:hAnsi="Arial" w:cs="Arial"/>
          <w:sz w:val="28"/>
          <w:szCs w:val="28"/>
          <w:lang w:val="en-US"/>
        </w:rPr>
        <w:t>Alt</w:t>
      </w:r>
      <w:r w:rsidR="0054073B">
        <w:rPr>
          <w:rFonts w:ascii="Arial" w:hAnsi="Arial" w:cs="Arial"/>
          <w:sz w:val="28"/>
          <w:szCs w:val="28"/>
          <w:lang w:val="en-US"/>
        </w:rPr>
        <w:t>hough, if the act is said to be the consequence of the original harm, the third-party will not intervene in the causal chain</w:t>
      </w:r>
      <w:r w:rsidR="00B21BF3">
        <w:rPr>
          <w:rFonts w:ascii="Arial" w:hAnsi="Arial" w:cs="Arial"/>
          <w:sz w:val="28"/>
          <w:szCs w:val="28"/>
          <w:lang w:val="en-US"/>
        </w:rPr>
        <w:t>.</w:t>
      </w:r>
      <w:r w:rsidR="0054073B">
        <w:rPr>
          <w:rFonts w:ascii="Arial" w:hAnsi="Arial" w:cs="Arial"/>
          <w:sz w:val="28"/>
          <w:szCs w:val="28"/>
          <w:lang w:val="en-US"/>
        </w:rPr>
        <w:t xml:space="preserve"> </w:t>
      </w:r>
      <w:r w:rsidR="00854AB4">
        <w:rPr>
          <w:rFonts w:ascii="Arial" w:hAnsi="Arial" w:cs="Arial"/>
          <w:sz w:val="28"/>
          <w:szCs w:val="28"/>
          <w:lang w:val="en-US"/>
        </w:rPr>
        <w:t xml:space="preserve">A </w:t>
      </w:r>
      <w:r w:rsidR="003B3250">
        <w:rPr>
          <w:rFonts w:ascii="Arial" w:hAnsi="Arial" w:cs="Arial"/>
          <w:sz w:val="28"/>
          <w:szCs w:val="28"/>
          <w:lang w:val="en-US"/>
        </w:rPr>
        <w:t>‘</w:t>
      </w:r>
      <w:r w:rsidR="00854AB4">
        <w:rPr>
          <w:rFonts w:ascii="Arial" w:hAnsi="Arial" w:cs="Arial"/>
          <w:sz w:val="28"/>
          <w:szCs w:val="28"/>
          <w:lang w:val="en-US"/>
        </w:rPr>
        <w:t>n</w:t>
      </w:r>
      <w:r w:rsidR="003B3250">
        <w:rPr>
          <w:rFonts w:ascii="Arial" w:hAnsi="Arial" w:cs="Arial"/>
          <w:sz w:val="28"/>
          <w:szCs w:val="28"/>
          <w:lang w:val="en-US"/>
        </w:rPr>
        <w:t xml:space="preserve">ovus </w:t>
      </w:r>
      <w:r w:rsidR="00854AB4">
        <w:rPr>
          <w:rFonts w:ascii="Arial" w:hAnsi="Arial" w:cs="Arial"/>
          <w:sz w:val="28"/>
          <w:szCs w:val="28"/>
          <w:lang w:val="en-US"/>
        </w:rPr>
        <w:t>a</w:t>
      </w:r>
      <w:r w:rsidR="003B3250">
        <w:rPr>
          <w:rFonts w:ascii="Arial" w:hAnsi="Arial" w:cs="Arial"/>
          <w:sz w:val="28"/>
          <w:szCs w:val="28"/>
          <w:lang w:val="en-US"/>
        </w:rPr>
        <w:t>ctus’ caused by a third-party has also produced contradictions in the claimant’s compensatory award</w:t>
      </w:r>
      <w:r w:rsidR="00B21BF3" w:rsidRPr="00B21BF3">
        <w:rPr>
          <w:rFonts w:ascii="Arial" w:hAnsi="Arial" w:cs="Arial"/>
          <w:sz w:val="28"/>
          <w:szCs w:val="28"/>
          <w:lang w:val="en-US"/>
        </w:rPr>
        <w:t xml:space="preserve"> </w:t>
      </w:r>
      <w:r w:rsidR="00B21BF3">
        <w:rPr>
          <w:rFonts w:ascii="Arial" w:hAnsi="Arial" w:cs="Arial"/>
          <w:sz w:val="28"/>
          <w:szCs w:val="28"/>
          <w:lang w:val="en-US"/>
        </w:rPr>
        <w:t>(Stegmaier, 2019).</w:t>
      </w:r>
    </w:p>
    <w:p w14:paraId="733766AA" w14:textId="77777777" w:rsidR="006B46E4" w:rsidRDefault="006540EB" w:rsidP="00860453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In </w:t>
      </w:r>
      <w:r w:rsidR="00754BE0">
        <w:rPr>
          <w:rFonts w:ascii="Arial" w:hAnsi="Arial" w:cs="Arial"/>
          <w:sz w:val="28"/>
          <w:szCs w:val="28"/>
          <w:lang w:val="en-US"/>
        </w:rPr>
        <w:t>e</w:t>
      </w:r>
      <w:r w:rsidR="00C74B0A">
        <w:rPr>
          <w:rFonts w:ascii="Arial" w:hAnsi="Arial" w:cs="Arial"/>
          <w:sz w:val="28"/>
          <w:szCs w:val="28"/>
          <w:lang w:val="en-US"/>
        </w:rPr>
        <w:t>xamining</w:t>
      </w:r>
      <w:r w:rsidR="00D4501F">
        <w:rPr>
          <w:rFonts w:ascii="Arial" w:hAnsi="Arial" w:cs="Arial"/>
          <w:sz w:val="28"/>
          <w:szCs w:val="28"/>
          <w:lang w:val="en-US"/>
        </w:rPr>
        <w:t xml:space="preserve"> </w:t>
      </w:r>
      <w:r w:rsidR="001B4698" w:rsidRPr="00AD0A31">
        <w:rPr>
          <w:rFonts w:ascii="Arial" w:hAnsi="Arial" w:cs="Arial"/>
          <w:i/>
          <w:iCs/>
          <w:sz w:val="28"/>
          <w:szCs w:val="28"/>
          <w:lang w:val="en-US"/>
        </w:rPr>
        <w:t>Knightl</w:t>
      </w:r>
      <w:r w:rsidR="003B60A3">
        <w:rPr>
          <w:rFonts w:ascii="Arial" w:hAnsi="Arial" w:cs="Arial"/>
          <w:i/>
          <w:iCs/>
          <w:sz w:val="28"/>
          <w:szCs w:val="28"/>
          <w:lang w:val="en-US"/>
        </w:rPr>
        <w:t>e</w:t>
      </w:r>
      <w:r w:rsidR="001B4698" w:rsidRPr="00AD0A31">
        <w:rPr>
          <w:rFonts w:ascii="Arial" w:hAnsi="Arial" w:cs="Arial"/>
          <w:i/>
          <w:iCs/>
          <w:sz w:val="28"/>
          <w:szCs w:val="28"/>
          <w:lang w:val="en-US"/>
        </w:rPr>
        <w:t>y v Johns (1982)</w:t>
      </w:r>
      <w:r w:rsidR="00B152B9">
        <w:rPr>
          <w:rFonts w:ascii="Arial" w:hAnsi="Arial" w:cs="Arial"/>
          <w:sz w:val="28"/>
          <w:szCs w:val="28"/>
          <w:lang w:val="en-US"/>
        </w:rPr>
        <w:t xml:space="preserve">, </w:t>
      </w:r>
      <w:r w:rsidR="00981B02">
        <w:rPr>
          <w:rFonts w:ascii="Arial" w:hAnsi="Arial" w:cs="Arial"/>
          <w:sz w:val="28"/>
          <w:szCs w:val="28"/>
          <w:lang w:val="en-US"/>
        </w:rPr>
        <w:t>a</w:t>
      </w:r>
      <w:r w:rsidR="00BB34D5">
        <w:rPr>
          <w:rFonts w:ascii="Arial" w:hAnsi="Arial" w:cs="Arial"/>
          <w:sz w:val="28"/>
          <w:szCs w:val="28"/>
          <w:lang w:val="en-US"/>
        </w:rPr>
        <w:t xml:space="preserve"> defendant</w:t>
      </w:r>
      <w:r w:rsidR="00E46744">
        <w:rPr>
          <w:rFonts w:ascii="Arial" w:hAnsi="Arial" w:cs="Arial"/>
          <w:sz w:val="28"/>
          <w:szCs w:val="28"/>
          <w:lang w:val="en-US"/>
        </w:rPr>
        <w:t>’s negligent</w:t>
      </w:r>
      <w:r w:rsidR="00BB34D5">
        <w:rPr>
          <w:rFonts w:ascii="Arial" w:hAnsi="Arial" w:cs="Arial"/>
          <w:sz w:val="28"/>
          <w:szCs w:val="28"/>
          <w:lang w:val="en-US"/>
        </w:rPr>
        <w:t xml:space="preserve"> driving </w:t>
      </w:r>
      <w:r w:rsidR="001F22B7">
        <w:rPr>
          <w:rFonts w:ascii="Arial" w:hAnsi="Arial" w:cs="Arial"/>
          <w:sz w:val="28"/>
          <w:szCs w:val="28"/>
          <w:lang w:val="en-US"/>
        </w:rPr>
        <w:t xml:space="preserve">caused </w:t>
      </w:r>
      <w:r w:rsidR="00ED793B">
        <w:rPr>
          <w:rFonts w:ascii="Arial" w:hAnsi="Arial" w:cs="Arial"/>
          <w:sz w:val="28"/>
          <w:szCs w:val="28"/>
          <w:lang w:val="en-US"/>
        </w:rPr>
        <w:t>a traffic accident</w:t>
      </w:r>
      <w:r w:rsidR="00606FB9">
        <w:rPr>
          <w:rFonts w:ascii="Arial" w:hAnsi="Arial" w:cs="Arial"/>
          <w:sz w:val="28"/>
          <w:szCs w:val="28"/>
          <w:lang w:val="en-US"/>
        </w:rPr>
        <w:t>. Following the instructions of a senior officer a policeman became injured</w:t>
      </w:r>
      <w:r w:rsidR="003A59CA">
        <w:rPr>
          <w:rFonts w:ascii="Arial" w:hAnsi="Arial" w:cs="Arial"/>
          <w:sz w:val="28"/>
          <w:szCs w:val="28"/>
          <w:lang w:val="en-US"/>
        </w:rPr>
        <w:t xml:space="preserve">. The first defendant </w:t>
      </w:r>
      <w:r w:rsidR="005718A3">
        <w:rPr>
          <w:rFonts w:ascii="Arial" w:hAnsi="Arial" w:cs="Arial"/>
          <w:sz w:val="28"/>
          <w:szCs w:val="28"/>
          <w:lang w:val="en-US"/>
        </w:rPr>
        <w:t xml:space="preserve">accepted negligence but alleged that the negligence of the senior officer and the claimant’s contributory negligence had caused the </w:t>
      </w:r>
      <w:r w:rsidR="007E4204">
        <w:rPr>
          <w:rFonts w:ascii="Arial" w:hAnsi="Arial" w:cs="Arial"/>
          <w:sz w:val="28"/>
          <w:szCs w:val="28"/>
          <w:lang w:val="en-US"/>
        </w:rPr>
        <w:t xml:space="preserve">subsequent </w:t>
      </w:r>
      <w:r w:rsidR="005718A3">
        <w:rPr>
          <w:rFonts w:ascii="Arial" w:hAnsi="Arial" w:cs="Arial"/>
          <w:sz w:val="28"/>
          <w:szCs w:val="28"/>
          <w:lang w:val="en-US"/>
        </w:rPr>
        <w:t>accident</w:t>
      </w:r>
      <w:r w:rsidR="003263DB">
        <w:rPr>
          <w:rFonts w:ascii="Arial" w:hAnsi="Arial" w:cs="Arial"/>
          <w:sz w:val="28"/>
          <w:szCs w:val="28"/>
          <w:lang w:val="en-US"/>
        </w:rPr>
        <w:t xml:space="preserve"> </w:t>
      </w:r>
      <w:r w:rsidR="0006327B">
        <w:rPr>
          <w:rFonts w:ascii="Arial" w:hAnsi="Arial" w:cs="Arial"/>
          <w:sz w:val="28"/>
          <w:szCs w:val="28"/>
          <w:lang w:val="en-US"/>
        </w:rPr>
        <w:t>(</w:t>
      </w:r>
      <w:r w:rsidR="00F717D0">
        <w:rPr>
          <w:rFonts w:ascii="Arial" w:hAnsi="Arial" w:cs="Arial"/>
          <w:sz w:val="28"/>
          <w:szCs w:val="28"/>
          <w:lang w:val="en-US"/>
        </w:rPr>
        <w:t>Hitch</w:t>
      </w:r>
      <w:r w:rsidR="00F8596F">
        <w:rPr>
          <w:rFonts w:ascii="Arial" w:hAnsi="Arial" w:cs="Arial"/>
          <w:sz w:val="28"/>
          <w:szCs w:val="28"/>
          <w:lang w:val="en-US"/>
        </w:rPr>
        <w:t>cock and Stirling</w:t>
      </w:r>
      <w:r w:rsidR="00355DCA">
        <w:rPr>
          <w:rFonts w:ascii="Arial" w:hAnsi="Arial" w:cs="Arial"/>
          <w:sz w:val="28"/>
          <w:szCs w:val="28"/>
          <w:lang w:val="en-US"/>
        </w:rPr>
        <w:t>, 2012</w:t>
      </w:r>
      <w:r w:rsidR="0006327B">
        <w:rPr>
          <w:rFonts w:ascii="Arial" w:hAnsi="Arial" w:cs="Arial"/>
          <w:sz w:val="28"/>
          <w:szCs w:val="28"/>
          <w:lang w:val="en-US"/>
        </w:rPr>
        <w:t>)</w:t>
      </w:r>
      <w:r w:rsidR="00320EEA">
        <w:rPr>
          <w:rFonts w:ascii="Arial" w:hAnsi="Arial" w:cs="Arial"/>
          <w:sz w:val="28"/>
          <w:szCs w:val="28"/>
          <w:lang w:val="en-US"/>
        </w:rPr>
        <w:t xml:space="preserve">. </w:t>
      </w:r>
      <w:r w:rsidR="00AB3C51">
        <w:rPr>
          <w:rFonts w:ascii="Arial" w:hAnsi="Arial" w:cs="Arial"/>
          <w:sz w:val="28"/>
          <w:szCs w:val="28"/>
          <w:lang w:val="en-US"/>
        </w:rPr>
        <w:t xml:space="preserve">The trial </w:t>
      </w:r>
      <w:r w:rsidR="00CA3612">
        <w:rPr>
          <w:rFonts w:ascii="Arial" w:hAnsi="Arial" w:cs="Arial"/>
          <w:sz w:val="28"/>
          <w:szCs w:val="28"/>
          <w:lang w:val="en-US"/>
        </w:rPr>
        <w:t xml:space="preserve">judge held that the </w:t>
      </w:r>
      <w:r w:rsidR="00D573C2">
        <w:rPr>
          <w:rFonts w:ascii="Arial" w:hAnsi="Arial" w:cs="Arial"/>
          <w:sz w:val="28"/>
          <w:szCs w:val="28"/>
          <w:lang w:val="en-US"/>
        </w:rPr>
        <w:t xml:space="preserve">plaintiff and the commanding </w:t>
      </w:r>
      <w:r w:rsidR="00793C30">
        <w:rPr>
          <w:rFonts w:ascii="Arial" w:hAnsi="Arial" w:cs="Arial"/>
          <w:sz w:val="28"/>
          <w:szCs w:val="28"/>
          <w:lang w:val="en-US"/>
        </w:rPr>
        <w:t>officers’</w:t>
      </w:r>
      <w:r w:rsidR="00D573C2">
        <w:rPr>
          <w:rFonts w:ascii="Arial" w:hAnsi="Arial" w:cs="Arial"/>
          <w:sz w:val="28"/>
          <w:szCs w:val="28"/>
          <w:lang w:val="en-US"/>
        </w:rPr>
        <w:t xml:space="preserve"> actions </w:t>
      </w:r>
      <w:r w:rsidR="001705FF">
        <w:rPr>
          <w:rFonts w:ascii="Arial" w:hAnsi="Arial" w:cs="Arial"/>
          <w:sz w:val="28"/>
          <w:szCs w:val="28"/>
          <w:lang w:val="en-US"/>
        </w:rPr>
        <w:t xml:space="preserve">could not be regarded as a ‘novus actus interveniens’ between the </w:t>
      </w:r>
      <w:r w:rsidR="003F470C">
        <w:rPr>
          <w:rFonts w:ascii="Arial" w:hAnsi="Arial" w:cs="Arial"/>
          <w:sz w:val="28"/>
          <w:szCs w:val="28"/>
          <w:lang w:val="en-US"/>
        </w:rPr>
        <w:t>injuries sustained by the plaintiff and the negligence of the first defendant.</w:t>
      </w:r>
      <w:r w:rsidR="00934E99" w:rsidRPr="00934E99">
        <w:rPr>
          <w:rFonts w:ascii="Arial" w:hAnsi="Arial" w:cs="Arial"/>
          <w:sz w:val="28"/>
          <w:szCs w:val="28"/>
          <w:lang w:val="en-US"/>
        </w:rPr>
        <w:t xml:space="preserve"> </w:t>
      </w:r>
      <w:r w:rsidR="00092A7D">
        <w:rPr>
          <w:rFonts w:ascii="Arial" w:hAnsi="Arial" w:cs="Arial"/>
          <w:sz w:val="28"/>
          <w:szCs w:val="28"/>
          <w:lang w:val="en-US"/>
        </w:rPr>
        <w:t>Despite this t</w:t>
      </w:r>
      <w:r w:rsidR="00B67868">
        <w:rPr>
          <w:rFonts w:ascii="Arial" w:hAnsi="Arial" w:cs="Arial"/>
          <w:sz w:val="28"/>
          <w:szCs w:val="28"/>
          <w:lang w:val="en-US"/>
        </w:rPr>
        <w:t xml:space="preserve">he Court of Appeal </w:t>
      </w:r>
      <w:r w:rsidR="007D2FFC">
        <w:rPr>
          <w:rFonts w:ascii="Arial" w:hAnsi="Arial" w:cs="Arial"/>
          <w:sz w:val="28"/>
          <w:szCs w:val="28"/>
          <w:lang w:val="en-US"/>
        </w:rPr>
        <w:t>found</w:t>
      </w:r>
      <w:r w:rsidR="00B67868">
        <w:rPr>
          <w:rFonts w:ascii="Arial" w:hAnsi="Arial" w:cs="Arial"/>
          <w:sz w:val="28"/>
          <w:szCs w:val="28"/>
          <w:lang w:val="en-US"/>
        </w:rPr>
        <w:t xml:space="preserve"> that the </w:t>
      </w:r>
      <w:r w:rsidR="00BA2B42">
        <w:rPr>
          <w:rFonts w:ascii="Arial" w:hAnsi="Arial" w:cs="Arial"/>
          <w:sz w:val="28"/>
          <w:szCs w:val="28"/>
          <w:lang w:val="en-US"/>
        </w:rPr>
        <w:t>senior</w:t>
      </w:r>
      <w:r w:rsidR="004D7C5E">
        <w:rPr>
          <w:rFonts w:ascii="Arial" w:hAnsi="Arial" w:cs="Arial"/>
          <w:sz w:val="28"/>
          <w:szCs w:val="28"/>
          <w:lang w:val="en-US"/>
        </w:rPr>
        <w:t xml:space="preserve"> officer</w:t>
      </w:r>
      <w:r w:rsidR="00BA2B42">
        <w:rPr>
          <w:rFonts w:ascii="Arial" w:hAnsi="Arial" w:cs="Arial"/>
          <w:sz w:val="28"/>
          <w:szCs w:val="28"/>
          <w:lang w:val="en-US"/>
        </w:rPr>
        <w:t xml:space="preserve"> had failed to take reasonable care</w:t>
      </w:r>
      <w:r w:rsidR="00F74853">
        <w:rPr>
          <w:rFonts w:ascii="Arial" w:hAnsi="Arial" w:cs="Arial"/>
          <w:sz w:val="28"/>
          <w:szCs w:val="28"/>
          <w:lang w:val="en-US"/>
        </w:rPr>
        <w:t>, therefore his</w:t>
      </w:r>
      <w:r w:rsidR="00805A31">
        <w:rPr>
          <w:rFonts w:ascii="Arial" w:hAnsi="Arial" w:cs="Arial"/>
          <w:sz w:val="28"/>
          <w:szCs w:val="28"/>
          <w:lang w:val="en-US"/>
        </w:rPr>
        <w:t xml:space="preserve"> negligence </w:t>
      </w:r>
      <w:r w:rsidR="007D7191">
        <w:rPr>
          <w:rFonts w:ascii="Arial" w:hAnsi="Arial" w:cs="Arial"/>
          <w:sz w:val="28"/>
          <w:szCs w:val="28"/>
          <w:lang w:val="en-US"/>
        </w:rPr>
        <w:t>was</w:t>
      </w:r>
      <w:r w:rsidR="00F74853">
        <w:rPr>
          <w:rFonts w:ascii="Arial" w:hAnsi="Arial" w:cs="Arial"/>
          <w:sz w:val="28"/>
          <w:szCs w:val="28"/>
          <w:lang w:val="en-US"/>
        </w:rPr>
        <w:t xml:space="preserve"> held</w:t>
      </w:r>
      <w:r w:rsidR="007D7191">
        <w:rPr>
          <w:rFonts w:ascii="Arial" w:hAnsi="Arial" w:cs="Arial"/>
          <w:sz w:val="28"/>
          <w:szCs w:val="28"/>
          <w:lang w:val="en-US"/>
        </w:rPr>
        <w:t xml:space="preserve"> a novus actus</w:t>
      </w:r>
      <w:r w:rsidR="00DD33A4">
        <w:rPr>
          <w:rFonts w:ascii="Arial" w:hAnsi="Arial" w:cs="Arial"/>
          <w:sz w:val="28"/>
          <w:szCs w:val="28"/>
          <w:lang w:val="en-US"/>
        </w:rPr>
        <w:t xml:space="preserve">; </w:t>
      </w:r>
      <w:r w:rsidR="00454BBD">
        <w:rPr>
          <w:rFonts w:ascii="Arial" w:hAnsi="Arial" w:cs="Arial"/>
          <w:sz w:val="28"/>
          <w:szCs w:val="28"/>
          <w:lang w:val="en-US"/>
        </w:rPr>
        <w:t>breaking the caus</w:t>
      </w:r>
      <w:r w:rsidR="00FC2324">
        <w:rPr>
          <w:rFonts w:ascii="Arial" w:hAnsi="Arial" w:cs="Arial"/>
          <w:sz w:val="28"/>
          <w:szCs w:val="28"/>
          <w:lang w:val="en-US"/>
        </w:rPr>
        <w:t xml:space="preserve">al link between the </w:t>
      </w:r>
      <w:r w:rsidR="00FC23DB">
        <w:rPr>
          <w:rFonts w:ascii="Arial" w:hAnsi="Arial" w:cs="Arial"/>
          <w:sz w:val="28"/>
          <w:szCs w:val="28"/>
          <w:lang w:val="en-US"/>
        </w:rPr>
        <w:t>first defendant’s negligence and the claimant’s injuries</w:t>
      </w:r>
      <w:r w:rsidR="00355DCA">
        <w:rPr>
          <w:rFonts w:ascii="Arial" w:hAnsi="Arial" w:cs="Arial"/>
          <w:sz w:val="28"/>
          <w:szCs w:val="28"/>
          <w:lang w:val="en-US"/>
        </w:rPr>
        <w:t xml:space="preserve"> (Lunney and Oliphant, 2013, pp. </w:t>
      </w:r>
      <w:r w:rsidR="00C85AD0">
        <w:rPr>
          <w:rFonts w:ascii="Arial" w:hAnsi="Arial" w:cs="Arial"/>
          <w:sz w:val="28"/>
          <w:szCs w:val="28"/>
          <w:lang w:val="en-US"/>
        </w:rPr>
        <w:t>256</w:t>
      </w:r>
      <w:r w:rsidR="00355DCA">
        <w:rPr>
          <w:rFonts w:ascii="Arial" w:hAnsi="Arial" w:cs="Arial"/>
          <w:sz w:val="28"/>
          <w:szCs w:val="28"/>
          <w:lang w:val="en-US"/>
        </w:rPr>
        <w:t>)</w:t>
      </w:r>
      <w:r w:rsidR="00454BBD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4F1D9D93" w14:textId="714336E6" w:rsidR="00973A3B" w:rsidRDefault="00503863" w:rsidP="00FD4996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Stephenson LJ </w:t>
      </w:r>
      <w:r w:rsidR="00092A7D">
        <w:rPr>
          <w:rFonts w:ascii="Arial" w:hAnsi="Arial" w:cs="Arial"/>
          <w:sz w:val="28"/>
          <w:szCs w:val="28"/>
          <w:lang w:val="en-US"/>
        </w:rPr>
        <w:t>concurred</w:t>
      </w:r>
      <w:r>
        <w:rPr>
          <w:rFonts w:ascii="Arial" w:hAnsi="Arial" w:cs="Arial"/>
          <w:sz w:val="28"/>
          <w:szCs w:val="28"/>
          <w:lang w:val="en-US"/>
        </w:rPr>
        <w:t xml:space="preserve"> and concluded that consideration on whether the sequence of events was a ‘natural and probable’ consequence of the defendant’s negligence should be questioned. He expressed that in being fair to the senior officer in </w:t>
      </w:r>
      <w:r>
        <w:rPr>
          <w:rFonts w:ascii="Arial" w:hAnsi="Arial" w:cs="Arial"/>
          <w:i/>
          <w:iCs/>
          <w:sz w:val="28"/>
          <w:szCs w:val="28"/>
          <w:lang w:val="en-US"/>
        </w:rPr>
        <w:t>Knightley</w:t>
      </w:r>
      <w:r>
        <w:rPr>
          <w:rFonts w:ascii="Arial" w:hAnsi="Arial" w:cs="Arial"/>
          <w:sz w:val="28"/>
          <w:szCs w:val="28"/>
          <w:lang w:val="en-US"/>
        </w:rPr>
        <w:t xml:space="preserve"> it inadvertently placed too much liability </w:t>
      </w:r>
      <w:r>
        <w:rPr>
          <w:rFonts w:ascii="Arial" w:hAnsi="Arial" w:cs="Arial"/>
          <w:sz w:val="28"/>
          <w:szCs w:val="28"/>
          <w:lang w:val="en-US"/>
        </w:rPr>
        <w:lastRenderedPageBreak/>
        <w:t>on the first defendant</w:t>
      </w:r>
      <w:r w:rsidR="00416F87">
        <w:rPr>
          <w:rFonts w:ascii="Arial" w:hAnsi="Arial" w:cs="Arial"/>
          <w:sz w:val="28"/>
          <w:szCs w:val="28"/>
          <w:lang w:val="en-US"/>
        </w:rPr>
        <w:t>,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E319FB">
        <w:rPr>
          <w:rFonts w:ascii="Arial" w:hAnsi="Arial" w:cs="Arial"/>
          <w:sz w:val="28"/>
          <w:szCs w:val="28"/>
          <w:lang w:val="en-US"/>
        </w:rPr>
        <w:t xml:space="preserve">as the defendant could not have reasonably foreseen the consequential outcome </w:t>
      </w:r>
      <w:r>
        <w:rPr>
          <w:rFonts w:ascii="Arial" w:hAnsi="Arial" w:cs="Arial"/>
          <w:sz w:val="28"/>
          <w:szCs w:val="28"/>
          <w:lang w:val="en-US"/>
        </w:rPr>
        <w:t>(Lunney and O</w:t>
      </w:r>
      <w:r w:rsidRPr="00416F87">
        <w:rPr>
          <w:rFonts w:ascii="Arial" w:hAnsi="Arial" w:cs="Arial"/>
          <w:color w:val="000000" w:themeColor="text1"/>
          <w:sz w:val="28"/>
          <w:szCs w:val="28"/>
          <w:lang w:val="en-US"/>
        </w:rPr>
        <w:t>liphant, 2013, pp. 258-9).</w:t>
      </w:r>
      <w:r w:rsidR="0046153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64AD4" w:rsidRPr="00416F87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Stegmaier </w:t>
      </w:r>
      <w:r w:rsidR="00EE164A">
        <w:rPr>
          <w:rFonts w:ascii="Arial" w:hAnsi="Arial" w:cs="Arial"/>
          <w:color w:val="000000" w:themeColor="text1"/>
          <w:sz w:val="28"/>
          <w:szCs w:val="28"/>
          <w:lang w:val="en-US"/>
        </w:rPr>
        <w:t>(</w:t>
      </w:r>
      <w:r w:rsidR="00D64AD4" w:rsidRPr="00416F87">
        <w:rPr>
          <w:rFonts w:ascii="Arial" w:hAnsi="Arial" w:cs="Arial"/>
          <w:color w:val="000000" w:themeColor="text1"/>
          <w:sz w:val="28"/>
          <w:szCs w:val="28"/>
          <w:lang w:val="en-US"/>
        </w:rPr>
        <w:t>2019)</w:t>
      </w:r>
      <w:r w:rsidR="00EE164A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B8538E">
        <w:rPr>
          <w:rFonts w:ascii="Arial" w:hAnsi="Arial" w:cs="Arial"/>
          <w:color w:val="000000" w:themeColor="text1"/>
          <w:sz w:val="28"/>
          <w:szCs w:val="28"/>
          <w:lang w:val="en-US"/>
        </w:rPr>
        <w:t>agrees and states</w:t>
      </w:r>
      <w:r w:rsidR="00EE164A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that an </w:t>
      </w:r>
      <w:r w:rsidR="00EE164A" w:rsidRPr="00416F87">
        <w:rPr>
          <w:rFonts w:ascii="Arial" w:hAnsi="Arial" w:cs="Arial"/>
          <w:color w:val="000000" w:themeColor="text1"/>
          <w:sz w:val="28"/>
          <w:szCs w:val="28"/>
          <w:lang w:val="en-US"/>
        </w:rPr>
        <w:t>intervening act must be a cause that could not have been reasonably foreseen or anticipated</w:t>
      </w:r>
      <w:r w:rsidR="00461539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</w:p>
    <w:p w14:paraId="2B418997" w14:textId="77777777" w:rsidR="00461539" w:rsidRPr="00461539" w:rsidRDefault="00461539" w:rsidP="00FD4996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</w:p>
    <w:p w14:paraId="7EBC2A6A" w14:textId="20BF10E1" w:rsidR="007F23FC" w:rsidRPr="008B4514" w:rsidRDefault="00A07633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In contrast to </w:t>
      </w:r>
      <w:r>
        <w:rPr>
          <w:rFonts w:ascii="Arial" w:hAnsi="Arial" w:cs="Arial"/>
          <w:i/>
          <w:iCs/>
          <w:sz w:val="28"/>
          <w:szCs w:val="28"/>
          <w:lang w:val="en-US"/>
        </w:rPr>
        <w:t xml:space="preserve">Knightley, Rouse v Squires (1973) </w:t>
      </w:r>
      <w:r w:rsidR="002967F5">
        <w:rPr>
          <w:rFonts w:ascii="Arial" w:hAnsi="Arial" w:cs="Arial"/>
          <w:sz w:val="28"/>
          <w:szCs w:val="28"/>
          <w:lang w:val="en-US"/>
        </w:rPr>
        <w:t xml:space="preserve">apportioned liability </w:t>
      </w:r>
      <w:r w:rsidR="009E6CF8">
        <w:rPr>
          <w:rFonts w:ascii="Arial" w:hAnsi="Arial" w:cs="Arial"/>
          <w:sz w:val="28"/>
          <w:szCs w:val="28"/>
          <w:lang w:val="en-US"/>
        </w:rPr>
        <w:t>between</w:t>
      </w:r>
      <w:r w:rsidR="00865A25">
        <w:rPr>
          <w:rFonts w:ascii="Arial" w:hAnsi="Arial" w:cs="Arial"/>
          <w:sz w:val="28"/>
          <w:szCs w:val="28"/>
          <w:lang w:val="en-US"/>
        </w:rPr>
        <w:t xml:space="preserve"> the defendant</w:t>
      </w:r>
      <w:r w:rsidR="009E6CF8">
        <w:rPr>
          <w:rFonts w:ascii="Arial" w:hAnsi="Arial" w:cs="Arial"/>
          <w:sz w:val="28"/>
          <w:szCs w:val="28"/>
          <w:lang w:val="en-US"/>
        </w:rPr>
        <w:t>s involved</w:t>
      </w:r>
      <w:r w:rsidR="00357999">
        <w:rPr>
          <w:rFonts w:ascii="Arial" w:hAnsi="Arial" w:cs="Arial"/>
          <w:sz w:val="28"/>
          <w:szCs w:val="28"/>
          <w:lang w:val="en-US"/>
        </w:rPr>
        <w:t>,</w:t>
      </w:r>
      <w:r w:rsidR="00865A25">
        <w:rPr>
          <w:rFonts w:ascii="Arial" w:hAnsi="Arial" w:cs="Arial"/>
          <w:sz w:val="28"/>
          <w:szCs w:val="28"/>
          <w:lang w:val="en-US"/>
        </w:rPr>
        <w:t xml:space="preserve"> as</w:t>
      </w:r>
      <w:r w:rsidR="003E2EF5">
        <w:rPr>
          <w:rFonts w:ascii="Arial" w:hAnsi="Arial" w:cs="Arial"/>
          <w:sz w:val="28"/>
          <w:szCs w:val="28"/>
          <w:lang w:val="en-US"/>
        </w:rPr>
        <w:t xml:space="preserve"> the outcome</w:t>
      </w:r>
      <w:r w:rsidR="0080442F">
        <w:rPr>
          <w:rFonts w:ascii="Arial" w:hAnsi="Arial" w:cs="Arial"/>
          <w:sz w:val="28"/>
          <w:szCs w:val="28"/>
          <w:lang w:val="en-US"/>
        </w:rPr>
        <w:t xml:space="preserve"> was a reasonably foreseeable consequence of</w:t>
      </w:r>
      <w:r w:rsidR="00B25BC4">
        <w:rPr>
          <w:rFonts w:ascii="Arial" w:hAnsi="Arial" w:cs="Arial"/>
          <w:sz w:val="28"/>
          <w:szCs w:val="28"/>
          <w:lang w:val="en-US"/>
        </w:rPr>
        <w:t xml:space="preserve"> their</w:t>
      </w:r>
      <w:r w:rsidR="0080442F">
        <w:rPr>
          <w:rFonts w:ascii="Arial" w:hAnsi="Arial" w:cs="Arial"/>
          <w:sz w:val="28"/>
          <w:szCs w:val="28"/>
          <w:lang w:val="en-US"/>
        </w:rPr>
        <w:t xml:space="preserve"> negligent conduct.</w:t>
      </w:r>
      <w:r w:rsidR="00664487">
        <w:rPr>
          <w:rFonts w:ascii="Arial" w:hAnsi="Arial" w:cs="Arial"/>
          <w:sz w:val="28"/>
          <w:szCs w:val="28"/>
          <w:lang w:val="en-US"/>
        </w:rPr>
        <w:t xml:space="preserve"> </w:t>
      </w:r>
      <w:r w:rsidR="00891AB3">
        <w:rPr>
          <w:rFonts w:ascii="Arial" w:hAnsi="Arial" w:cs="Arial"/>
          <w:sz w:val="28"/>
          <w:szCs w:val="28"/>
          <w:lang w:val="en-US"/>
        </w:rPr>
        <w:t xml:space="preserve">The court heard that the </w:t>
      </w:r>
      <w:r w:rsidR="00055DF6">
        <w:rPr>
          <w:rFonts w:ascii="Arial" w:hAnsi="Arial" w:cs="Arial"/>
          <w:sz w:val="28"/>
          <w:szCs w:val="28"/>
          <w:lang w:val="en-US"/>
        </w:rPr>
        <w:t xml:space="preserve">defendant caused an obstruction on the motorway due to his negligent driving. </w:t>
      </w:r>
      <w:r w:rsidR="00B15D6F">
        <w:rPr>
          <w:rFonts w:ascii="Arial" w:hAnsi="Arial" w:cs="Arial"/>
          <w:sz w:val="28"/>
          <w:szCs w:val="28"/>
          <w:lang w:val="en-US"/>
        </w:rPr>
        <w:t xml:space="preserve">This obstruction led to a car colliding with </w:t>
      </w:r>
      <w:r w:rsidR="00AD0661">
        <w:rPr>
          <w:rFonts w:ascii="Arial" w:hAnsi="Arial" w:cs="Arial"/>
          <w:sz w:val="28"/>
          <w:szCs w:val="28"/>
          <w:lang w:val="en-US"/>
        </w:rPr>
        <w:t>a</w:t>
      </w:r>
      <w:r w:rsidR="00B15D6F">
        <w:rPr>
          <w:rFonts w:ascii="Arial" w:hAnsi="Arial" w:cs="Arial"/>
          <w:sz w:val="28"/>
          <w:szCs w:val="28"/>
          <w:lang w:val="en-US"/>
        </w:rPr>
        <w:t xml:space="preserve"> lorry and a further two lorry drivers stopping to assist. A </w:t>
      </w:r>
      <w:r w:rsidR="00465513">
        <w:rPr>
          <w:rFonts w:ascii="Arial" w:hAnsi="Arial" w:cs="Arial"/>
          <w:sz w:val="28"/>
          <w:szCs w:val="28"/>
          <w:lang w:val="en-US"/>
        </w:rPr>
        <w:t xml:space="preserve">fourth lorry driver </w:t>
      </w:r>
      <w:r w:rsidR="00FA518D">
        <w:rPr>
          <w:rFonts w:ascii="Arial" w:hAnsi="Arial" w:cs="Arial"/>
          <w:sz w:val="28"/>
          <w:szCs w:val="28"/>
          <w:lang w:val="en-US"/>
        </w:rPr>
        <w:t xml:space="preserve">negligently </w:t>
      </w:r>
      <w:r w:rsidR="00465513">
        <w:rPr>
          <w:rFonts w:ascii="Arial" w:hAnsi="Arial" w:cs="Arial"/>
          <w:sz w:val="28"/>
          <w:szCs w:val="28"/>
          <w:lang w:val="en-US"/>
        </w:rPr>
        <w:t xml:space="preserve">failed to notice the accident </w:t>
      </w:r>
      <w:r w:rsidR="00CE22E9">
        <w:rPr>
          <w:rFonts w:ascii="Arial" w:hAnsi="Arial" w:cs="Arial"/>
          <w:sz w:val="28"/>
          <w:szCs w:val="28"/>
          <w:lang w:val="en-US"/>
        </w:rPr>
        <w:t xml:space="preserve">in time </w:t>
      </w:r>
      <w:r w:rsidR="00E17260">
        <w:rPr>
          <w:rFonts w:ascii="Arial" w:hAnsi="Arial" w:cs="Arial"/>
          <w:sz w:val="28"/>
          <w:szCs w:val="28"/>
          <w:lang w:val="en-US"/>
        </w:rPr>
        <w:t>which</w:t>
      </w:r>
      <w:r w:rsidR="0011774B">
        <w:rPr>
          <w:rFonts w:ascii="Arial" w:hAnsi="Arial" w:cs="Arial"/>
          <w:sz w:val="28"/>
          <w:szCs w:val="28"/>
          <w:lang w:val="en-US"/>
        </w:rPr>
        <w:t xml:space="preserve"> </w:t>
      </w:r>
      <w:r w:rsidR="008502E3">
        <w:rPr>
          <w:rFonts w:ascii="Arial" w:hAnsi="Arial" w:cs="Arial"/>
          <w:sz w:val="28"/>
          <w:szCs w:val="28"/>
          <w:lang w:val="en-US"/>
        </w:rPr>
        <w:t xml:space="preserve">caused </w:t>
      </w:r>
      <w:r w:rsidR="00DC742E">
        <w:rPr>
          <w:rFonts w:ascii="Arial" w:hAnsi="Arial" w:cs="Arial"/>
          <w:sz w:val="28"/>
          <w:szCs w:val="28"/>
          <w:lang w:val="en-US"/>
        </w:rPr>
        <w:t xml:space="preserve">the claimant’s death. </w:t>
      </w:r>
      <w:r w:rsidR="002870E8">
        <w:rPr>
          <w:rFonts w:ascii="Arial" w:hAnsi="Arial" w:cs="Arial"/>
          <w:sz w:val="28"/>
          <w:szCs w:val="28"/>
          <w:lang w:val="en-US"/>
        </w:rPr>
        <w:t>The trial judge held that the</w:t>
      </w:r>
      <w:r w:rsidR="00892AB7">
        <w:rPr>
          <w:rFonts w:ascii="Arial" w:hAnsi="Arial" w:cs="Arial"/>
          <w:sz w:val="28"/>
          <w:szCs w:val="28"/>
          <w:lang w:val="en-US"/>
        </w:rPr>
        <w:t xml:space="preserve"> second defendant</w:t>
      </w:r>
      <w:r w:rsidR="002870E8">
        <w:rPr>
          <w:rFonts w:ascii="Arial" w:hAnsi="Arial" w:cs="Arial"/>
          <w:sz w:val="28"/>
          <w:szCs w:val="28"/>
          <w:lang w:val="en-US"/>
        </w:rPr>
        <w:t xml:space="preserve"> </w:t>
      </w:r>
      <w:r w:rsidR="00895456">
        <w:rPr>
          <w:rFonts w:ascii="Arial" w:hAnsi="Arial" w:cs="Arial"/>
          <w:sz w:val="28"/>
          <w:szCs w:val="28"/>
          <w:lang w:val="en-US"/>
        </w:rPr>
        <w:t>was solely responsible for the claimant’s death</w:t>
      </w:r>
      <w:r w:rsidR="008C6F55">
        <w:rPr>
          <w:rFonts w:ascii="Arial" w:hAnsi="Arial" w:cs="Arial"/>
          <w:sz w:val="28"/>
          <w:szCs w:val="28"/>
          <w:lang w:val="en-US"/>
        </w:rPr>
        <w:t xml:space="preserve"> (Lunney and Oliphant, 2013, pp. </w:t>
      </w:r>
      <w:r w:rsidR="007C3A0B">
        <w:rPr>
          <w:rFonts w:ascii="Arial" w:hAnsi="Arial" w:cs="Arial"/>
          <w:sz w:val="28"/>
          <w:szCs w:val="28"/>
          <w:lang w:val="en-US"/>
        </w:rPr>
        <w:t>263</w:t>
      </w:r>
      <w:r w:rsidR="008C6F55">
        <w:rPr>
          <w:rFonts w:ascii="Arial" w:hAnsi="Arial" w:cs="Arial"/>
          <w:sz w:val="28"/>
          <w:szCs w:val="28"/>
          <w:lang w:val="en-US"/>
        </w:rPr>
        <w:t>)</w:t>
      </w:r>
      <w:r w:rsidR="00895456">
        <w:rPr>
          <w:rFonts w:ascii="Arial" w:hAnsi="Arial" w:cs="Arial"/>
          <w:sz w:val="28"/>
          <w:szCs w:val="28"/>
          <w:lang w:val="en-US"/>
        </w:rPr>
        <w:t>.</w:t>
      </w:r>
      <w:r w:rsidR="008B0638">
        <w:rPr>
          <w:rFonts w:ascii="Arial" w:hAnsi="Arial" w:cs="Arial"/>
          <w:sz w:val="28"/>
          <w:szCs w:val="28"/>
          <w:lang w:val="en-US"/>
        </w:rPr>
        <w:t xml:space="preserve"> </w:t>
      </w:r>
      <w:r w:rsidR="007F2F40">
        <w:rPr>
          <w:rFonts w:ascii="Arial" w:hAnsi="Arial" w:cs="Arial"/>
          <w:sz w:val="28"/>
          <w:szCs w:val="28"/>
          <w:lang w:val="en-US"/>
        </w:rPr>
        <w:t xml:space="preserve">However, Court of Appeal held that the responsibility for the accident should be apportioned in the ratio of 25/75 between </w:t>
      </w:r>
      <w:r w:rsidR="00B27887">
        <w:rPr>
          <w:rFonts w:ascii="Arial" w:hAnsi="Arial" w:cs="Arial"/>
          <w:sz w:val="28"/>
          <w:szCs w:val="28"/>
          <w:lang w:val="en-US"/>
        </w:rPr>
        <w:t>both</w:t>
      </w:r>
      <w:r w:rsidR="007F2F40">
        <w:rPr>
          <w:rFonts w:ascii="Arial" w:hAnsi="Arial" w:cs="Arial"/>
          <w:sz w:val="28"/>
          <w:szCs w:val="28"/>
          <w:lang w:val="en-US"/>
        </w:rPr>
        <w:t xml:space="preserve"> defendant</w:t>
      </w:r>
      <w:r w:rsidR="00B27887">
        <w:rPr>
          <w:rFonts w:ascii="Arial" w:hAnsi="Arial" w:cs="Arial"/>
          <w:sz w:val="28"/>
          <w:szCs w:val="28"/>
          <w:lang w:val="en-US"/>
        </w:rPr>
        <w:t>s</w:t>
      </w:r>
      <w:r w:rsidR="007F2F40">
        <w:rPr>
          <w:rFonts w:ascii="Arial" w:hAnsi="Arial" w:cs="Arial"/>
          <w:sz w:val="28"/>
          <w:szCs w:val="28"/>
          <w:lang w:val="en-US"/>
        </w:rPr>
        <w:t xml:space="preserve"> (Spurin, 2004).</w:t>
      </w:r>
      <w:r w:rsidR="00847542">
        <w:rPr>
          <w:rFonts w:ascii="Arial" w:hAnsi="Arial" w:cs="Arial"/>
          <w:sz w:val="28"/>
          <w:szCs w:val="28"/>
          <w:lang w:val="en-US"/>
        </w:rPr>
        <w:t xml:space="preserve"> </w:t>
      </w:r>
      <w:r w:rsidR="00825E33">
        <w:rPr>
          <w:rFonts w:ascii="Arial" w:hAnsi="Arial" w:cs="Arial"/>
          <w:sz w:val="28"/>
          <w:szCs w:val="28"/>
          <w:lang w:val="en-US"/>
        </w:rPr>
        <w:t xml:space="preserve">The first defendant was </w:t>
      </w:r>
      <w:r w:rsidR="000F7826">
        <w:rPr>
          <w:rFonts w:ascii="Arial" w:hAnsi="Arial" w:cs="Arial"/>
          <w:sz w:val="28"/>
          <w:szCs w:val="28"/>
          <w:lang w:val="en-US"/>
        </w:rPr>
        <w:t xml:space="preserve">also </w:t>
      </w:r>
      <w:r w:rsidR="00040340">
        <w:rPr>
          <w:rFonts w:ascii="Arial" w:hAnsi="Arial" w:cs="Arial"/>
          <w:sz w:val="28"/>
          <w:szCs w:val="28"/>
          <w:lang w:val="en-US"/>
        </w:rPr>
        <w:t xml:space="preserve">liable </w:t>
      </w:r>
      <w:r w:rsidR="004D0598">
        <w:rPr>
          <w:rFonts w:ascii="Arial" w:hAnsi="Arial" w:cs="Arial"/>
          <w:sz w:val="28"/>
          <w:szCs w:val="28"/>
          <w:lang w:val="en-US"/>
        </w:rPr>
        <w:t xml:space="preserve">for the claimant’s </w:t>
      </w:r>
      <w:r w:rsidR="006E6CC3">
        <w:rPr>
          <w:rFonts w:ascii="Arial" w:hAnsi="Arial" w:cs="Arial"/>
          <w:sz w:val="28"/>
          <w:szCs w:val="28"/>
          <w:lang w:val="en-US"/>
        </w:rPr>
        <w:t xml:space="preserve">death since the </w:t>
      </w:r>
      <w:r w:rsidR="0097686F">
        <w:rPr>
          <w:rFonts w:ascii="Arial" w:hAnsi="Arial" w:cs="Arial"/>
          <w:sz w:val="28"/>
          <w:szCs w:val="28"/>
          <w:lang w:val="en-US"/>
        </w:rPr>
        <w:t xml:space="preserve">second </w:t>
      </w:r>
      <w:r w:rsidR="00733503">
        <w:rPr>
          <w:rFonts w:ascii="Arial" w:hAnsi="Arial" w:cs="Arial"/>
          <w:sz w:val="28"/>
          <w:szCs w:val="28"/>
          <w:lang w:val="en-US"/>
        </w:rPr>
        <w:t>accident was a natural</w:t>
      </w:r>
      <w:r w:rsidR="00E91F42">
        <w:rPr>
          <w:rFonts w:ascii="Arial" w:hAnsi="Arial" w:cs="Arial"/>
          <w:sz w:val="28"/>
          <w:szCs w:val="28"/>
          <w:lang w:val="en-US"/>
        </w:rPr>
        <w:t>,</w:t>
      </w:r>
      <w:r w:rsidR="00733503">
        <w:rPr>
          <w:rFonts w:ascii="Arial" w:hAnsi="Arial" w:cs="Arial"/>
          <w:sz w:val="28"/>
          <w:szCs w:val="28"/>
          <w:lang w:val="en-US"/>
        </w:rPr>
        <w:t xml:space="preserve"> probable</w:t>
      </w:r>
      <w:r w:rsidR="00E91F42">
        <w:rPr>
          <w:rFonts w:ascii="Arial" w:hAnsi="Arial" w:cs="Arial"/>
          <w:sz w:val="28"/>
          <w:szCs w:val="28"/>
          <w:lang w:val="en-US"/>
        </w:rPr>
        <w:t xml:space="preserve"> and foreseeable consequence </w:t>
      </w:r>
      <w:r w:rsidR="003C1D86">
        <w:rPr>
          <w:rFonts w:ascii="Arial" w:hAnsi="Arial" w:cs="Arial"/>
          <w:sz w:val="28"/>
          <w:szCs w:val="28"/>
          <w:lang w:val="en-US"/>
        </w:rPr>
        <w:t>of the first incident</w:t>
      </w:r>
      <w:r w:rsidR="00EC165C">
        <w:rPr>
          <w:rFonts w:ascii="Arial" w:hAnsi="Arial" w:cs="Arial"/>
          <w:sz w:val="28"/>
          <w:szCs w:val="28"/>
          <w:lang w:val="en-US"/>
        </w:rPr>
        <w:t>.</w:t>
      </w:r>
      <w:r w:rsidR="003C1D86">
        <w:rPr>
          <w:rFonts w:ascii="Arial" w:hAnsi="Arial" w:cs="Arial"/>
          <w:sz w:val="28"/>
          <w:szCs w:val="28"/>
          <w:lang w:val="en-US"/>
        </w:rPr>
        <w:t xml:space="preserve"> </w:t>
      </w:r>
      <w:r w:rsidR="00162838">
        <w:rPr>
          <w:rFonts w:ascii="Arial" w:hAnsi="Arial" w:cs="Arial"/>
          <w:sz w:val="28"/>
          <w:szCs w:val="28"/>
          <w:lang w:val="en-US"/>
        </w:rPr>
        <w:t xml:space="preserve">Unlike </w:t>
      </w:r>
      <w:r w:rsidR="00162838" w:rsidRPr="003944EE">
        <w:rPr>
          <w:rFonts w:ascii="Arial" w:hAnsi="Arial" w:cs="Arial"/>
          <w:i/>
          <w:iCs/>
          <w:sz w:val="28"/>
          <w:szCs w:val="28"/>
          <w:lang w:val="en-US"/>
        </w:rPr>
        <w:t>Knightl</w:t>
      </w:r>
      <w:r w:rsidR="003B60A3">
        <w:rPr>
          <w:rFonts w:ascii="Arial" w:hAnsi="Arial" w:cs="Arial"/>
          <w:i/>
          <w:iCs/>
          <w:sz w:val="28"/>
          <w:szCs w:val="28"/>
          <w:lang w:val="en-US"/>
        </w:rPr>
        <w:t>e</w:t>
      </w:r>
      <w:r w:rsidR="00162838" w:rsidRPr="003944EE">
        <w:rPr>
          <w:rFonts w:ascii="Arial" w:hAnsi="Arial" w:cs="Arial"/>
          <w:i/>
          <w:iCs/>
          <w:sz w:val="28"/>
          <w:szCs w:val="28"/>
          <w:lang w:val="en-US"/>
        </w:rPr>
        <w:t>y (1982)</w:t>
      </w:r>
      <w:r w:rsidR="00162838">
        <w:rPr>
          <w:rFonts w:ascii="Arial" w:hAnsi="Arial" w:cs="Arial"/>
          <w:sz w:val="28"/>
          <w:szCs w:val="28"/>
          <w:lang w:val="en-US"/>
        </w:rPr>
        <w:t xml:space="preserve">, the </w:t>
      </w:r>
      <w:r w:rsidR="00AD18AE">
        <w:rPr>
          <w:rFonts w:ascii="Arial" w:hAnsi="Arial" w:cs="Arial"/>
          <w:sz w:val="28"/>
          <w:szCs w:val="28"/>
          <w:lang w:val="en-US"/>
        </w:rPr>
        <w:t xml:space="preserve">first defendant was held </w:t>
      </w:r>
      <w:r w:rsidR="00A3303E">
        <w:rPr>
          <w:rFonts w:ascii="Arial" w:hAnsi="Arial" w:cs="Arial"/>
          <w:sz w:val="28"/>
          <w:szCs w:val="28"/>
          <w:lang w:val="en-US"/>
        </w:rPr>
        <w:t xml:space="preserve">25% </w:t>
      </w:r>
      <w:r w:rsidR="00AD18AE">
        <w:rPr>
          <w:rFonts w:ascii="Arial" w:hAnsi="Arial" w:cs="Arial"/>
          <w:sz w:val="28"/>
          <w:szCs w:val="28"/>
          <w:lang w:val="en-US"/>
        </w:rPr>
        <w:t xml:space="preserve">liable, precisely because </w:t>
      </w:r>
      <w:r w:rsidR="00964BCD">
        <w:rPr>
          <w:rFonts w:ascii="Arial" w:hAnsi="Arial" w:cs="Arial"/>
          <w:sz w:val="28"/>
          <w:szCs w:val="28"/>
          <w:lang w:val="en-US"/>
        </w:rPr>
        <w:t xml:space="preserve">it was foreseeable </w:t>
      </w:r>
      <w:r w:rsidR="004734E2">
        <w:rPr>
          <w:rFonts w:ascii="Arial" w:hAnsi="Arial" w:cs="Arial"/>
          <w:sz w:val="28"/>
          <w:szCs w:val="28"/>
          <w:lang w:val="en-US"/>
        </w:rPr>
        <w:t xml:space="preserve">that other drivers might not be fully alert to the </w:t>
      </w:r>
      <w:r w:rsidR="00772740">
        <w:rPr>
          <w:rFonts w:ascii="Arial" w:hAnsi="Arial" w:cs="Arial"/>
          <w:sz w:val="28"/>
          <w:szCs w:val="28"/>
          <w:lang w:val="en-US"/>
        </w:rPr>
        <w:t xml:space="preserve">traffic </w:t>
      </w:r>
      <w:r w:rsidR="004734E2">
        <w:rPr>
          <w:rFonts w:ascii="Arial" w:hAnsi="Arial" w:cs="Arial"/>
          <w:sz w:val="28"/>
          <w:szCs w:val="28"/>
          <w:lang w:val="en-US"/>
        </w:rPr>
        <w:t xml:space="preserve">danger </w:t>
      </w:r>
      <w:r w:rsidR="00772740">
        <w:rPr>
          <w:rFonts w:ascii="Arial" w:hAnsi="Arial" w:cs="Arial"/>
          <w:sz w:val="28"/>
          <w:szCs w:val="28"/>
          <w:lang w:val="en-US"/>
        </w:rPr>
        <w:t xml:space="preserve">he had caused </w:t>
      </w:r>
      <w:r w:rsidR="00772740">
        <w:rPr>
          <w:rFonts w:ascii="Arial" w:hAnsi="Arial" w:cs="Arial"/>
          <w:sz w:val="28"/>
          <w:szCs w:val="28"/>
          <w:lang w:val="en-US"/>
        </w:rPr>
        <w:lastRenderedPageBreak/>
        <w:t>(Lunney and Oliphant, 2013, pp. 263).</w:t>
      </w:r>
      <w:r w:rsidR="0051614E">
        <w:rPr>
          <w:rFonts w:ascii="Arial" w:hAnsi="Arial" w:cs="Arial"/>
          <w:sz w:val="28"/>
          <w:szCs w:val="28"/>
          <w:lang w:val="en-US"/>
        </w:rPr>
        <w:t xml:space="preserve"> </w:t>
      </w:r>
      <w:r w:rsidR="00B12FA9">
        <w:rPr>
          <w:rFonts w:ascii="Arial" w:hAnsi="Arial" w:cs="Arial"/>
          <w:sz w:val="28"/>
          <w:szCs w:val="28"/>
          <w:lang w:val="en-US"/>
        </w:rPr>
        <w:t>T</w:t>
      </w:r>
      <w:r w:rsidR="00D5397B">
        <w:rPr>
          <w:rFonts w:ascii="Arial" w:hAnsi="Arial" w:cs="Arial"/>
          <w:sz w:val="28"/>
          <w:szCs w:val="28"/>
          <w:lang w:val="en-US"/>
        </w:rPr>
        <w:t>his compari</w:t>
      </w:r>
      <w:r w:rsidR="00B61583">
        <w:rPr>
          <w:rFonts w:ascii="Arial" w:hAnsi="Arial" w:cs="Arial"/>
          <w:sz w:val="28"/>
          <w:szCs w:val="28"/>
          <w:lang w:val="en-US"/>
        </w:rPr>
        <w:t xml:space="preserve">son emphasises </w:t>
      </w:r>
      <w:r w:rsidR="00627DE3">
        <w:rPr>
          <w:rFonts w:ascii="Arial" w:hAnsi="Arial" w:cs="Arial"/>
          <w:sz w:val="28"/>
          <w:szCs w:val="28"/>
          <w:lang w:val="en-US"/>
        </w:rPr>
        <w:t xml:space="preserve">the inconsistencies on </w:t>
      </w:r>
      <w:r w:rsidR="00B61583">
        <w:rPr>
          <w:rFonts w:ascii="Arial" w:hAnsi="Arial" w:cs="Arial"/>
          <w:sz w:val="28"/>
          <w:szCs w:val="28"/>
          <w:lang w:val="en-US"/>
        </w:rPr>
        <w:t>how cases relate</w:t>
      </w:r>
      <w:r w:rsidR="00374DA2">
        <w:rPr>
          <w:rFonts w:ascii="Arial" w:hAnsi="Arial" w:cs="Arial"/>
          <w:sz w:val="28"/>
          <w:szCs w:val="28"/>
          <w:lang w:val="en-US"/>
        </w:rPr>
        <w:t>,</w:t>
      </w:r>
      <w:r w:rsidR="00B61583">
        <w:rPr>
          <w:rFonts w:ascii="Arial" w:hAnsi="Arial" w:cs="Arial"/>
          <w:sz w:val="28"/>
          <w:szCs w:val="28"/>
          <w:lang w:val="en-US"/>
        </w:rPr>
        <w:t xml:space="preserve"> a</w:t>
      </w:r>
      <w:r w:rsidR="00627DE3">
        <w:rPr>
          <w:rFonts w:ascii="Arial" w:hAnsi="Arial" w:cs="Arial"/>
          <w:sz w:val="28"/>
          <w:szCs w:val="28"/>
          <w:lang w:val="en-US"/>
        </w:rPr>
        <w:t>nd</w:t>
      </w:r>
      <w:r w:rsidR="00B61583">
        <w:rPr>
          <w:rFonts w:ascii="Arial" w:hAnsi="Arial" w:cs="Arial"/>
          <w:sz w:val="28"/>
          <w:szCs w:val="28"/>
          <w:lang w:val="en-US"/>
        </w:rPr>
        <w:t xml:space="preserve"> judges ascribe </w:t>
      </w:r>
      <w:r w:rsidR="00627DE3">
        <w:rPr>
          <w:rFonts w:ascii="Arial" w:hAnsi="Arial" w:cs="Arial"/>
          <w:sz w:val="28"/>
          <w:szCs w:val="28"/>
          <w:lang w:val="en-US"/>
        </w:rPr>
        <w:t xml:space="preserve">responsibility </w:t>
      </w:r>
      <w:r w:rsidR="007F2B50">
        <w:rPr>
          <w:rFonts w:ascii="Arial" w:hAnsi="Arial" w:cs="Arial"/>
          <w:sz w:val="28"/>
          <w:szCs w:val="28"/>
          <w:lang w:val="en-US"/>
        </w:rPr>
        <w:t xml:space="preserve">and legal </w:t>
      </w:r>
      <w:r w:rsidR="00B61583">
        <w:rPr>
          <w:rFonts w:ascii="Arial" w:hAnsi="Arial" w:cs="Arial"/>
          <w:sz w:val="28"/>
          <w:szCs w:val="28"/>
          <w:lang w:val="en-US"/>
        </w:rPr>
        <w:t>cul</w:t>
      </w:r>
      <w:r w:rsidR="00627DE3">
        <w:rPr>
          <w:rFonts w:ascii="Arial" w:hAnsi="Arial" w:cs="Arial"/>
          <w:sz w:val="28"/>
          <w:szCs w:val="28"/>
          <w:lang w:val="en-US"/>
        </w:rPr>
        <w:t>p</w:t>
      </w:r>
      <w:r w:rsidR="007F2B50">
        <w:rPr>
          <w:rFonts w:ascii="Arial" w:hAnsi="Arial" w:cs="Arial"/>
          <w:sz w:val="28"/>
          <w:szCs w:val="28"/>
          <w:lang w:val="en-US"/>
        </w:rPr>
        <w:t>ability (T</w:t>
      </w:r>
      <w:r w:rsidR="00802219">
        <w:rPr>
          <w:rFonts w:ascii="Arial" w:hAnsi="Arial" w:cs="Arial"/>
          <w:sz w:val="28"/>
          <w:szCs w:val="28"/>
          <w:lang w:val="en-US"/>
        </w:rPr>
        <w:t>urton, 2012</w:t>
      </w:r>
      <w:r w:rsidR="007F2B50">
        <w:rPr>
          <w:rFonts w:ascii="Arial" w:hAnsi="Arial" w:cs="Arial"/>
          <w:sz w:val="28"/>
          <w:szCs w:val="28"/>
          <w:lang w:val="en-US"/>
        </w:rPr>
        <w:t>).</w:t>
      </w:r>
      <w:r w:rsidR="00377809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7EAB6F1" w14:textId="46C13E4E" w:rsidR="005871FC" w:rsidRDefault="005871FC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19BB0F17" w14:textId="0899DBA5" w:rsidR="00B96022" w:rsidRDefault="00602DF2" w:rsidP="00F2444B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W</w:t>
      </w:r>
      <w:r w:rsidR="00F32373">
        <w:rPr>
          <w:rFonts w:ascii="Arial" w:hAnsi="Arial" w:cs="Arial"/>
          <w:sz w:val="28"/>
          <w:szCs w:val="28"/>
          <w:lang w:val="en-US"/>
        </w:rPr>
        <w:t xml:space="preserve">hen regarding </w:t>
      </w:r>
      <w:r>
        <w:rPr>
          <w:rFonts w:ascii="Arial" w:hAnsi="Arial" w:cs="Arial"/>
          <w:sz w:val="28"/>
          <w:szCs w:val="28"/>
          <w:lang w:val="en-US"/>
        </w:rPr>
        <w:t>third-party, m</w:t>
      </w:r>
      <w:r w:rsidR="008A1D3D">
        <w:rPr>
          <w:rFonts w:ascii="Arial" w:hAnsi="Arial" w:cs="Arial"/>
          <w:sz w:val="28"/>
          <w:szCs w:val="28"/>
          <w:lang w:val="en-US"/>
        </w:rPr>
        <w:t xml:space="preserve">edical negligence does not always </w:t>
      </w:r>
      <w:r w:rsidR="00D216B4">
        <w:rPr>
          <w:rFonts w:ascii="Arial" w:hAnsi="Arial" w:cs="Arial"/>
          <w:sz w:val="28"/>
          <w:szCs w:val="28"/>
          <w:lang w:val="en-US"/>
        </w:rPr>
        <w:t>extinguish the original tortfeasor’s</w:t>
      </w:r>
      <w:r w:rsidR="003969FD">
        <w:rPr>
          <w:rFonts w:ascii="Arial" w:hAnsi="Arial" w:cs="Arial"/>
          <w:sz w:val="28"/>
          <w:szCs w:val="28"/>
          <w:lang w:val="en-US"/>
        </w:rPr>
        <w:t xml:space="preserve"> liability</w:t>
      </w:r>
      <w:r w:rsidR="006216BB">
        <w:rPr>
          <w:rFonts w:ascii="Arial" w:hAnsi="Arial" w:cs="Arial"/>
          <w:sz w:val="28"/>
          <w:szCs w:val="28"/>
          <w:lang w:val="en-US"/>
        </w:rPr>
        <w:t>.</w:t>
      </w:r>
      <w:r w:rsidR="003969FD">
        <w:rPr>
          <w:rFonts w:ascii="Arial" w:hAnsi="Arial" w:cs="Arial"/>
          <w:sz w:val="28"/>
          <w:szCs w:val="28"/>
          <w:lang w:val="en-US"/>
        </w:rPr>
        <w:t xml:space="preserve"> </w:t>
      </w:r>
      <w:r w:rsidR="005871FC">
        <w:rPr>
          <w:rFonts w:ascii="Arial" w:hAnsi="Arial" w:cs="Arial"/>
          <w:sz w:val="28"/>
          <w:szCs w:val="28"/>
          <w:lang w:val="en-US"/>
        </w:rPr>
        <w:t>Cases have</w:t>
      </w:r>
      <w:r w:rsidR="00B23385">
        <w:rPr>
          <w:rFonts w:ascii="Arial" w:hAnsi="Arial" w:cs="Arial"/>
          <w:sz w:val="28"/>
          <w:szCs w:val="28"/>
          <w:lang w:val="en-US"/>
        </w:rPr>
        <w:t xml:space="preserve"> </w:t>
      </w:r>
      <w:r w:rsidR="005871FC">
        <w:rPr>
          <w:rFonts w:ascii="Arial" w:hAnsi="Arial" w:cs="Arial"/>
          <w:sz w:val="28"/>
          <w:szCs w:val="28"/>
          <w:lang w:val="en-US"/>
        </w:rPr>
        <w:t>involve</w:t>
      </w:r>
      <w:r w:rsidR="00B23385">
        <w:rPr>
          <w:rFonts w:ascii="Arial" w:hAnsi="Arial" w:cs="Arial"/>
          <w:sz w:val="28"/>
          <w:szCs w:val="28"/>
          <w:lang w:val="en-US"/>
        </w:rPr>
        <w:t>d</w:t>
      </w:r>
      <w:r w:rsidR="005871FC">
        <w:rPr>
          <w:rFonts w:ascii="Arial" w:hAnsi="Arial" w:cs="Arial"/>
          <w:sz w:val="28"/>
          <w:szCs w:val="28"/>
          <w:lang w:val="en-US"/>
        </w:rPr>
        <w:t xml:space="preserve"> two or more successive</w:t>
      </w:r>
      <w:r w:rsidR="0022671C">
        <w:rPr>
          <w:rFonts w:ascii="Arial" w:hAnsi="Arial" w:cs="Arial"/>
          <w:sz w:val="28"/>
          <w:szCs w:val="28"/>
          <w:lang w:val="en-US"/>
        </w:rPr>
        <w:t xml:space="preserve"> harmful events. The </w:t>
      </w:r>
      <w:r w:rsidR="000072BA">
        <w:rPr>
          <w:rFonts w:ascii="Arial" w:hAnsi="Arial" w:cs="Arial"/>
          <w:sz w:val="28"/>
          <w:szCs w:val="28"/>
          <w:lang w:val="en-US"/>
        </w:rPr>
        <w:t>tortfeasor responsible for the first event</w:t>
      </w:r>
      <w:r w:rsidR="00134E06">
        <w:rPr>
          <w:rFonts w:ascii="Arial" w:hAnsi="Arial" w:cs="Arial"/>
          <w:sz w:val="28"/>
          <w:szCs w:val="28"/>
          <w:lang w:val="en-US"/>
        </w:rPr>
        <w:t>,</w:t>
      </w:r>
      <w:r w:rsidR="000072BA">
        <w:rPr>
          <w:rFonts w:ascii="Arial" w:hAnsi="Arial" w:cs="Arial"/>
          <w:sz w:val="28"/>
          <w:szCs w:val="28"/>
          <w:lang w:val="en-US"/>
        </w:rPr>
        <w:t xml:space="preserve"> </w:t>
      </w:r>
      <w:r w:rsidR="00E8417E">
        <w:rPr>
          <w:rFonts w:ascii="Arial" w:hAnsi="Arial" w:cs="Arial"/>
          <w:sz w:val="28"/>
          <w:szCs w:val="28"/>
          <w:lang w:val="en-US"/>
        </w:rPr>
        <w:t xml:space="preserve">and </w:t>
      </w:r>
      <w:r w:rsidR="003E07A0">
        <w:rPr>
          <w:rFonts w:ascii="Arial" w:hAnsi="Arial" w:cs="Arial"/>
          <w:sz w:val="28"/>
          <w:szCs w:val="28"/>
          <w:lang w:val="en-US"/>
        </w:rPr>
        <w:t xml:space="preserve">upon </w:t>
      </w:r>
      <w:r w:rsidR="0088556B">
        <w:rPr>
          <w:rFonts w:ascii="Arial" w:hAnsi="Arial" w:cs="Arial"/>
          <w:sz w:val="28"/>
          <w:szCs w:val="28"/>
          <w:lang w:val="en-US"/>
        </w:rPr>
        <w:t>consideration</w:t>
      </w:r>
      <w:r w:rsidR="00982D32">
        <w:rPr>
          <w:rFonts w:ascii="Arial" w:hAnsi="Arial" w:cs="Arial"/>
          <w:sz w:val="28"/>
          <w:szCs w:val="28"/>
          <w:lang w:val="en-US"/>
        </w:rPr>
        <w:t>,</w:t>
      </w:r>
      <w:r w:rsidR="0088556B">
        <w:rPr>
          <w:rFonts w:ascii="Arial" w:hAnsi="Arial" w:cs="Arial"/>
          <w:sz w:val="28"/>
          <w:szCs w:val="28"/>
          <w:lang w:val="en-US"/>
        </w:rPr>
        <w:t xml:space="preserve"> </w:t>
      </w:r>
      <w:r w:rsidR="003E07A0">
        <w:rPr>
          <w:rFonts w:ascii="Arial" w:hAnsi="Arial" w:cs="Arial"/>
          <w:sz w:val="28"/>
          <w:szCs w:val="28"/>
          <w:lang w:val="en-US"/>
        </w:rPr>
        <w:t>the court</w:t>
      </w:r>
      <w:r w:rsidR="00FB6510">
        <w:rPr>
          <w:rFonts w:ascii="Arial" w:hAnsi="Arial" w:cs="Arial"/>
          <w:sz w:val="28"/>
          <w:szCs w:val="28"/>
          <w:lang w:val="en-US"/>
        </w:rPr>
        <w:t>s</w:t>
      </w:r>
      <w:r w:rsidR="003E07A0">
        <w:rPr>
          <w:rFonts w:ascii="Arial" w:hAnsi="Arial" w:cs="Arial"/>
          <w:sz w:val="28"/>
          <w:szCs w:val="28"/>
          <w:lang w:val="en-US"/>
        </w:rPr>
        <w:t xml:space="preserve"> </w:t>
      </w:r>
      <w:r w:rsidR="00B622C5">
        <w:rPr>
          <w:rFonts w:ascii="Arial" w:hAnsi="Arial" w:cs="Arial"/>
          <w:sz w:val="28"/>
          <w:szCs w:val="28"/>
          <w:lang w:val="en-US"/>
        </w:rPr>
        <w:t>deciphering</w:t>
      </w:r>
      <w:r w:rsidR="00D53742">
        <w:rPr>
          <w:rFonts w:ascii="Arial" w:hAnsi="Arial" w:cs="Arial"/>
          <w:sz w:val="28"/>
          <w:szCs w:val="28"/>
          <w:lang w:val="en-US"/>
        </w:rPr>
        <w:t xml:space="preserve"> responsibility for a second successive event</w:t>
      </w:r>
      <w:r w:rsidR="00B96022">
        <w:rPr>
          <w:rFonts w:ascii="Arial" w:hAnsi="Arial" w:cs="Arial"/>
          <w:sz w:val="28"/>
          <w:szCs w:val="28"/>
          <w:lang w:val="en-US"/>
        </w:rPr>
        <w:t xml:space="preserve"> (Hitchcock and Stirling, 2012)</w:t>
      </w:r>
      <w:r w:rsidR="00D53742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6630CB44" w14:textId="3DAC6568" w:rsidR="00717F61" w:rsidRPr="00BC7A0A" w:rsidRDefault="00FC60CE" w:rsidP="00F2444B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I</w:t>
      </w:r>
      <w:r w:rsidR="00B01398">
        <w:rPr>
          <w:rFonts w:ascii="Arial" w:hAnsi="Arial" w:cs="Arial"/>
          <w:sz w:val="28"/>
          <w:szCs w:val="28"/>
          <w:lang w:val="en-US"/>
        </w:rPr>
        <w:t>ntervening medical treatment</w:t>
      </w:r>
      <w:r w:rsidR="00CE0F83">
        <w:rPr>
          <w:rFonts w:ascii="Arial" w:hAnsi="Arial" w:cs="Arial"/>
          <w:sz w:val="28"/>
          <w:szCs w:val="28"/>
          <w:lang w:val="en-US"/>
        </w:rPr>
        <w:t xml:space="preserve"> break</w:t>
      </w:r>
      <w:r w:rsidR="000D156E">
        <w:rPr>
          <w:rFonts w:ascii="Arial" w:hAnsi="Arial" w:cs="Arial"/>
          <w:sz w:val="28"/>
          <w:szCs w:val="28"/>
          <w:lang w:val="en-US"/>
        </w:rPr>
        <w:t>s</w:t>
      </w:r>
      <w:r w:rsidR="00CE0F83">
        <w:rPr>
          <w:rFonts w:ascii="Arial" w:hAnsi="Arial" w:cs="Arial"/>
          <w:sz w:val="28"/>
          <w:szCs w:val="28"/>
          <w:lang w:val="en-US"/>
        </w:rPr>
        <w:t xml:space="preserve"> the causal link where gross negligence has </w:t>
      </w:r>
      <w:r>
        <w:rPr>
          <w:rFonts w:ascii="Arial" w:hAnsi="Arial" w:cs="Arial"/>
          <w:sz w:val="28"/>
          <w:szCs w:val="28"/>
          <w:lang w:val="en-US"/>
        </w:rPr>
        <w:t>occurred</w:t>
      </w:r>
      <w:r w:rsidR="002C51F9">
        <w:rPr>
          <w:rFonts w:ascii="Arial" w:hAnsi="Arial" w:cs="Arial"/>
          <w:sz w:val="28"/>
          <w:szCs w:val="28"/>
          <w:lang w:val="en-US"/>
        </w:rPr>
        <w:t xml:space="preserve"> </w:t>
      </w:r>
      <w:r w:rsidR="00B85B4F">
        <w:rPr>
          <w:rFonts w:ascii="Arial" w:hAnsi="Arial" w:cs="Arial"/>
          <w:sz w:val="28"/>
          <w:szCs w:val="28"/>
          <w:lang w:val="en-US"/>
        </w:rPr>
        <w:t xml:space="preserve">as </w:t>
      </w:r>
      <w:r w:rsidR="002C51F9">
        <w:rPr>
          <w:rFonts w:ascii="Arial" w:hAnsi="Arial" w:cs="Arial"/>
          <w:sz w:val="28"/>
          <w:szCs w:val="28"/>
          <w:lang w:val="en-US"/>
        </w:rPr>
        <w:t>seen in</w:t>
      </w:r>
      <w:r w:rsidR="00DF1EC1">
        <w:rPr>
          <w:rFonts w:ascii="Arial" w:hAnsi="Arial" w:cs="Arial"/>
          <w:sz w:val="28"/>
          <w:szCs w:val="28"/>
          <w:lang w:val="en-US"/>
        </w:rPr>
        <w:t xml:space="preserve"> </w:t>
      </w:r>
      <w:r w:rsidR="00DF1EC1">
        <w:rPr>
          <w:rFonts w:ascii="Arial" w:hAnsi="Arial" w:cs="Arial"/>
          <w:i/>
          <w:iCs/>
          <w:sz w:val="28"/>
          <w:szCs w:val="28"/>
          <w:lang w:val="en-US"/>
        </w:rPr>
        <w:t xml:space="preserve">Webb v Barclays Bank Plc and Portsmouth Hospitals NHS Trust (2001) </w:t>
      </w:r>
      <w:r w:rsidR="002C51F9">
        <w:rPr>
          <w:rFonts w:ascii="Arial" w:hAnsi="Arial" w:cs="Arial"/>
          <w:sz w:val="28"/>
          <w:szCs w:val="28"/>
          <w:lang w:val="en-US"/>
        </w:rPr>
        <w:t xml:space="preserve">where a ‘novus actus interveniens’ </w:t>
      </w:r>
      <w:r w:rsidR="00D16668">
        <w:rPr>
          <w:rFonts w:ascii="Arial" w:hAnsi="Arial" w:cs="Arial"/>
          <w:sz w:val="28"/>
          <w:szCs w:val="28"/>
          <w:lang w:val="en-US"/>
        </w:rPr>
        <w:t xml:space="preserve">arose as </w:t>
      </w:r>
      <w:r w:rsidR="001F67DA">
        <w:rPr>
          <w:rFonts w:ascii="Arial" w:hAnsi="Arial" w:cs="Arial"/>
          <w:sz w:val="28"/>
          <w:szCs w:val="28"/>
          <w:lang w:val="en-US"/>
        </w:rPr>
        <w:t xml:space="preserve">a result of gross negligence </w:t>
      </w:r>
      <w:r w:rsidR="009A3B51" w:rsidRPr="00F2444B">
        <w:rPr>
          <w:rFonts w:ascii="Arial" w:hAnsi="Arial" w:cs="Arial"/>
          <w:sz w:val="28"/>
          <w:szCs w:val="28"/>
          <w:lang w:val="en-US"/>
        </w:rPr>
        <w:t>(Lunney and Oliphant, 2013, pp. 264)</w:t>
      </w:r>
      <w:r w:rsidR="00936CC4" w:rsidRPr="00F2444B">
        <w:rPr>
          <w:rFonts w:ascii="Arial" w:hAnsi="Arial" w:cs="Arial"/>
          <w:sz w:val="28"/>
          <w:szCs w:val="28"/>
          <w:lang w:val="en-US"/>
        </w:rPr>
        <w:t>.</w:t>
      </w:r>
    </w:p>
    <w:p w14:paraId="7C31E10C" w14:textId="496488D2" w:rsidR="00CE364E" w:rsidRDefault="00220E9B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 c</w:t>
      </w:r>
      <w:r w:rsidR="004B5F71">
        <w:rPr>
          <w:rFonts w:ascii="Arial" w:hAnsi="Arial" w:cs="Arial"/>
          <w:sz w:val="28"/>
          <w:szCs w:val="28"/>
          <w:lang w:val="en-US"/>
        </w:rPr>
        <w:t xml:space="preserve">laimant suffered </w:t>
      </w:r>
      <w:r w:rsidR="004A0865">
        <w:rPr>
          <w:rFonts w:ascii="Arial" w:hAnsi="Arial" w:cs="Arial"/>
          <w:sz w:val="28"/>
          <w:szCs w:val="28"/>
          <w:lang w:val="en-US"/>
        </w:rPr>
        <w:t xml:space="preserve">from </w:t>
      </w:r>
      <w:r w:rsidR="004B5F71">
        <w:rPr>
          <w:rFonts w:ascii="Arial" w:hAnsi="Arial" w:cs="Arial"/>
          <w:sz w:val="28"/>
          <w:szCs w:val="28"/>
          <w:lang w:val="en-US"/>
        </w:rPr>
        <w:t>polio</w:t>
      </w:r>
      <w:r w:rsidR="004A0865">
        <w:rPr>
          <w:rFonts w:ascii="Arial" w:hAnsi="Arial" w:cs="Arial"/>
          <w:sz w:val="28"/>
          <w:szCs w:val="28"/>
          <w:lang w:val="en-US"/>
        </w:rPr>
        <w:t xml:space="preserve"> </w:t>
      </w:r>
      <w:r w:rsidR="00B22234">
        <w:rPr>
          <w:rFonts w:ascii="Arial" w:hAnsi="Arial" w:cs="Arial"/>
          <w:sz w:val="28"/>
          <w:szCs w:val="28"/>
          <w:lang w:val="en-US"/>
        </w:rPr>
        <w:t>which affected her mobility</w:t>
      </w:r>
      <w:r w:rsidR="00CC629E">
        <w:rPr>
          <w:rFonts w:ascii="Arial" w:hAnsi="Arial" w:cs="Arial"/>
          <w:sz w:val="28"/>
          <w:szCs w:val="28"/>
          <w:lang w:val="en-US"/>
        </w:rPr>
        <w:t xml:space="preserve"> </w:t>
      </w:r>
      <w:r w:rsidR="00F94D74">
        <w:rPr>
          <w:rFonts w:ascii="Arial" w:hAnsi="Arial" w:cs="Arial"/>
          <w:sz w:val="28"/>
          <w:szCs w:val="28"/>
          <w:lang w:val="en-US"/>
        </w:rPr>
        <w:t>resulting in a</w:t>
      </w:r>
      <w:r w:rsidR="00B37AE1">
        <w:rPr>
          <w:rFonts w:ascii="Arial" w:hAnsi="Arial" w:cs="Arial"/>
          <w:sz w:val="28"/>
          <w:szCs w:val="28"/>
          <w:lang w:val="en-US"/>
        </w:rPr>
        <w:t xml:space="preserve"> f</w:t>
      </w:r>
      <w:r w:rsidR="00F94D74">
        <w:rPr>
          <w:rFonts w:ascii="Arial" w:hAnsi="Arial" w:cs="Arial"/>
          <w:sz w:val="28"/>
          <w:szCs w:val="28"/>
          <w:lang w:val="en-US"/>
        </w:rPr>
        <w:t>a</w:t>
      </w:r>
      <w:r w:rsidR="00B37AE1">
        <w:rPr>
          <w:rFonts w:ascii="Arial" w:hAnsi="Arial" w:cs="Arial"/>
          <w:sz w:val="28"/>
          <w:szCs w:val="28"/>
          <w:lang w:val="en-US"/>
        </w:rPr>
        <w:t xml:space="preserve">ll </w:t>
      </w:r>
      <w:r w:rsidR="006F584C">
        <w:rPr>
          <w:rFonts w:ascii="Arial" w:hAnsi="Arial" w:cs="Arial"/>
          <w:sz w:val="28"/>
          <w:szCs w:val="28"/>
          <w:lang w:val="en-US"/>
        </w:rPr>
        <w:t>at</w:t>
      </w:r>
      <w:r w:rsidR="00B37AE1">
        <w:rPr>
          <w:rFonts w:ascii="Arial" w:hAnsi="Arial" w:cs="Arial"/>
          <w:sz w:val="28"/>
          <w:szCs w:val="28"/>
          <w:lang w:val="en-US"/>
        </w:rPr>
        <w:t xml:space="preserve"> work </w:t>
      </w:r>
      <w:r w:rsidR="00162F11">
        <w:rPr>
          <w:rFonts w:ascii="Arial" w:hAnsi="Arial" w:cs="Arial"/>
          <w:sz w:val="28"/>
          <w:szCs w:val="28"/>
          <w:lang w:val="en-US"/>
        </w:rPr>
        <w:t xml:space="preserve">due to her employee’s negligence. </w:t>
      </w:r>
      <w:r w:rsidR="00AC5BC5">
        <w:rPr>
          <w:rFonts w:ascii="Arial" w:hAnsi="Arial" w:cs="Arial"/>
          <w:sz w:val="28"/>
          <w:szCs w:val="28"/>
          <w:lang w:val="en-US"/>
        </w:rPr>
        <w:t>Her polio-affected knee hyper-extended causing excessive problems</w:t>
      </w:r>
      <w:r w:rsidR="00510A1F">
        <w:rPr>
          <w:rFonts w:ascii="Arial" w:hAnsi="Arial" w:cs="Arial"/>
          <w:sz w:val="28"/>
          <w:szCs w:val="28"/>
          <w:lang w:val="en-US"/>
        </w:rPr>
        <w:t xml:space="preserve">. Upon consultation with her </w:t>
      </w:r>
      <w:r w:rsidR="00E727F2">
        <w:rPr>
          <w:rFonts w:ascii="Arial" w:hAnsi="Arial" w:cs="Arial"/>
          <w:sz w:val="28"/>
          <w:szCs w:val="28"/>
          <w:lang w:val="en-US"/>
        </w:rPr>
        <w:t>surgeon,</w:t>
      </w:r>
      <w:r w:rsidR="00510A1F">
        <w:rPr>
          <w:rFonts w:ascii="Arial" w:hAnsi="Arial" w:cs="Arial"/>
          <w:sz w:val="28"/>
          <w:szCs w:val="28"/>
          <w:lang w:val="en-US"/>
        </w:rPr>
        <w:t xml:space="preserve"> she was advised to undergo an above </w:t>
      </w:r>
      <w:r w:rsidR="00C82EE1">
        <w:rPr>
          <w:rFonts w:ascii="Arial" w:hAnsi="Arial" w:cs="Arial"/>
          <w:sz w:val="28"/>
          <w:szCs w:val="28"/>
          <w:lang w:val="en-US"/>
        </w:rPr>
        <w:t>knee amputation.</w:t>
      </w:r>
      <w:r w:rsidR="00CE364E">
        <w:rPr>
          <w:rFonts w:ascii="Arial" w:hAnsi="Arial" w:cs="Arial"/>
          <w:sz w:val="28"/>
          <w:szCs w:val="28"/>
          <w:lang w:val="en-US"/>
        </w:rPr>
        <w:t xml:space="preserve"> </w:t>
      </w:r>
      <w:r w:rsidR="0019506B">
        <w:rPr>
          <w:rFonts w:ascii="Arial" w:hAnsi="Arial" w:cs="Arial"/>
          <w:sz w:val="28"/>
          <w:szCs w:val="28"/>
          <w:lang w:val="en-US"/>
        </w:rPr>
        <w:t>Initial proceedings were brought against her employer</w:t>
      </w:r>
      <w:r w:rsidR="0091680B">
        <w:rPr>
          <w:rFonts w:ascii="Arial" w:hAnsi="Arial" w:cs="Arial"/>
          <w:sz w:val="28"/>
          <w:szCs w:val="28"/>
          <w:lang w:val="en-US"/>
        </w:rPr>
        <w:t xml:space="preserve"> however </w:t>
      </w:r>
      <w:r w:rsidR="006A5CB0">
        <w:rPr>
          <w:rFonts w:ascii="Arial" w:hAnsi="Arial" w:cs="Arial"/>
          <w:sz w:val="28"/>
          <w:szCs w:val="28"/>
          <w:lang w:val="en-US"/>
        </w:rPr>
        <w:t xml:space="preserve">following </w:t>
      </w:r>
      <w:r w:rsidR="004B590F">
        <w:rPr>
          <w:rFonts w:ascii="Arial" w:hAnsi="Arial" w:cs="Arial"/>
          <w:sz w:val="28"/>
          <w:szCs w:val="28"/>
          <w:lang w:val="en-US"/>
        </w:rPr>
        <w:t>her</w:t>
      </w:r>
      <w:r w:rsidR="006A5CB0">
        <w:rPr>
          <w:rFonts w:ascii="Arial" w:hAnsi="Arial" w:cs="Arial"/>
          <w:sz w:val="28"/>
          <w:szCs w:val="28"/>
          <w:lang w:val="en-US"/>
        </w:rPr>
        <w:t xml:space="preserve"> sur</w:t>
      </w:r>
      <w:r w:rsidR="004B590F">
        <w:rPr>
          <w:rFonts w:ascii="Arial" w:hAnsi="Arial" w:cs="Arial"/>
          <w:sz w:val="28"/>
          <w:szCs w:val="28"/>
          <w:lang w:val="en-US"/>
        </w:rPr>
        <w:t xml:space="preserve">geon’s </w:t>
      </w:r>
      <w:r w:rsidR="004B590F">
        <w:rPr>
          <w:rFonts w:ascii="Arial" w:hAnsi="Arial" w:cs="Arial"/>
          <w:sz w:val="28"/>
          <w:szCs w:val="28"/>
          <w:lang w:val="en-US"/>
        </w:rPr>
        <w:lastRenderedPageBreak/>
        <w:t>negligen</w:t>
      </w:r>
      <w:r w:rsidR="007753D2">
        <w:rPr>
          <w:rFonts w:ascii="Arial" w:hAnsi="Arial" w:cs="Arial"/>
          <w:sz w:val="28"/>
          <w:szCs w:val="28"/>
          <w:lang w:val="en-US"/>
        </w:rPr>
        <w:t xml:space="preserve">ce in offering alternative treatment </w:t>
      </w:r>
      <w:r w:rsidR="00A866C6">
        <w:rPr>
          <w:rFonts w:ascii="Arial" w:hAnsi="Arial" w:cs="Arial"/>
          <w:sz w:val="28"/>
          <w:szCs w:val="28"/>
          <w:lang w:val="en-US"/>
        </w:rPr>
        <w:t>she added t</w:t>
      </w:r>
      <w:r w:rsidR="00C327B1">
        <w:rPr>
          <w:rFonts w:ascii="Arial" w:hAnsi="Arial" w:cs="Arial"/>
          <w:sz w:val="28"/>
          <w:szCs w:val="28"/>
          <w:lang w:val="en-US"/>
        </w:rPr>
        <w:t>he</w:t>
      </w:r>
      <w:r w:rsidR="00A866C6">
        <w:rPr>
          <w:rFonts w:ascii="Arial" w:hAnsi="Arial" w:cs="Arial"/>
          <w:sz w:val="28"/>
          <w:szCs w:val="28"/>
          <w:lang w:val="en-US"/>
        </w:rPr>
        <w:t xml:space="preserve"> hospital to the proceedings</w:t>
      </w:r>
      <w:r w:rsidR="00860B68">
        <w:rPr>
          <w:rFonts w:ascii="Arial" w:hAnsi="Arial" w:cs="Arial"/>
          <w:sz w:val="28"/>
          <w:szCs w:val="28"/>
          <w:lang w:val="en-US"/>
        </w:rPr>
        <w:t xml:space="preserve"> </w:t>
      </w:r>
      <w:r w:rsidR="00CB2532">
        <w:rPr>
          <w:rFonts w:ascii="Arial" w:hAnsi="Arial" w:cs="Arial"/>
          <w:sz w:val="28"/>
          <w:szCs w:val="28"/>
          <w:lang w:val="en-US"/>
        </w:rPr>
        <w:t>(Hitchcock and Stirling, 2012)</w:t>
      </w:r>
      <w:r w:rsidR="00697D3C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0226C76D" w14:textId="0003A106" w:rsidR="005F20FD" w:rsidRDefault="00AF70CE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Trial judge </w:t>
      </w:r>
      <w:r w:rsidR="00935CD0">
        <w:rPr>
          <w:rFonts w:ascii="Arial" w:hAnsi="Arial" w:cs="Arial"/>
          <w:sz w:val="28"/>
          <w:szCs w:val="28"/>
          <w:lang w:val="en-US"/>
        </w:rPr>
        <w:t xml:space="preserve">held that the hospital should pay a 40% </w:t>
      </w:r>
      <w:r w:rsidR="00E407D8">
        <w:rPr>
          <w:rFonts w:ascii="Arial" w:hAnsi="Arial" w:cs="Arial"/>
          <w:sz w:val="28"/>
          <w:szCs w:val="28"/>
          <w:lang w:val="en-US"/>
        </w:rPr>
        <w:t xml:space="preserve">contribution </w:t>
      </w:r>
      <w:r w:rsidR="00AB0562">
        <w:rPr>
          <w:rFonts w:ascii="Arial" w:hAnsi="Arial" w:cs="Arial"/>
          <w:sz w:val="28"/>
          <w:szCs w:val="28"/>
          <w:lang w:val="en-US"/>
        </w:rPr>
        <w:t xml:space="preserve">for harm suffered by the claimant on the basis that the consultant was negligent in failing </w:t>
      </w:r>
      <w:r w:rsidR="00070AB2">
        <w:rPr>
          <w:rFonts w:ascii="Arial" w:hAnsi="Arial" w:cs="Arial"/>
          <w:sz w:val="28"/>
          <w:szCs w:val="28"/>
          <w:lang w:val="en-US"/>
        </w:rPr>
        <w:t>to consider alternative treatment</w:t>
      </w:r>
      <w:r w:rsidR="00860B68">
        <w:rPr>
          <w:rFonts w:ascii="Arial" w:hAnsi="Arial" w:cs="Arial"/>
          <w:sz w:val="28"/>
          <w:szCs w:val="28"/>
          <w:lang w:val="en-US"/>
        </w:rPr>
        <w:t>s</w:t>
      </w:r>
      <w:r w:rsidR="000067FD">
        <w:rPr>
          <w:rFonts w:ascii="Arial" w:hAnsi="Arial" w:cs="Arial"/>
          <w:sz w:val="28"/>
          <w:szCs w:val="28"/>
          <w:lang w:val="en-US"/>
        </w:rPr>
        <w:t>. Court of Appeal up</w:t>
      </w:r>
      <w:r w:rsidR="00252684">
        <w:rPr>
          <w:rFonts w:ascii="Arial" w:hAnsi="Arial" w:cs="Arial"/>
          <w:sz w:val="28"/>
          <w:szCs w:val="28"/>
          <w:lang w:val="en-US"/>
        </w:rPr>
        <w:t>held the assessment made</w:t>
      </w:r>
      <w:r w:rsidR="00C037A7">
        <w:rPr>
          <w:rFonts w:ascii="Arial" w:hAnsi="Arial" w:cs="Arial"/>
          <w:sz w:val="28"/>
          <w:szCs w:val="28"/>
          <w:lang w:val="en-US"/>
        </w:rPr>
        <w:t>,</w:t>
      </w:r>
      <w:r w:rsidR="00252684">
        <w:rPr>
          <w:rFonts w:ascii="Arial" w:hAnsi="Arial" w:cs="Arial"/>
          <w:sz w:val="28"/>
          <w:szCs w:val="28"/>
          <w:lang w:val="en-US"/>
        </w:rPr>
        <w:t xml:space="preserve"> concluding the </w:t>
      </w:r>
      <w:r w:rsidR="00C828FD">
        <w:rPr>
          <w:rFonts w:ascii="Arial" w:hAnsi="Arial" w:cs="Arial"/>
          <w:sz w:val="28"/>
          <w:szCs w:val="28"/>
          <w:lang w:val="en-US"/>
        </w:rPr>
        <w:t>surgeon</w:t>
      </w:r>
      <w:r w:rsidR="0009233E">
        <w:rPr>
          <w:rFonts w:ascii="Arial" w:hAnsi="Arial" w:cs="Arial"/>
          <w:sz w:val="28"/>
          <w:szCs w:val="28"/>
          <w:lang w:val="en-US"/>
        </w:rPr>
        <w:t xml:space="preserve">’s negligence </w:t>
      </w:r>
      <w:r w:rsidR="003117AC">
        <w:rPr>
          <w:rFonts w:ascii="Arial" w:hAnsi="Arial" w:cs="Arial"/>
          <w:sz w:val="28"/>
          <w:szCs w:val="28"/>
          <w:lang w:val="en-US"/>
        </w:rPr>
        <w:t xml:space="preserve">as causative </w:t>
      </w:r>
      <w:r w:rsidR="0007766C">
        <w:rPr>
          <w:rFonts w:ascii="Arial" w:hAnsi="Arial" w:cs="Arial"/>
          <w:sz w:val="28"/>
          <w:szCs w:val="28"/>
          <w:lang w:val="en-US"/>
        </w:rPr>
        <w:t>which</w:t>
      </w:r>
      <w:r w:rsidR="003117AC">
        <w:rPr>
          <w:rFonts w:ascii="Arial" w:hAnsi="Arial" w:cs="Arial"/>
          <w:sz w:val="28"/>
          <w:szCs w:val="28"/>
          <w:lang w:val="en-US"/>
        </w:rPr>
        <w:t xml:space="preserve"> </w:t>
      </w:r>
      <w:r w:rsidR="0009233E">
        <w:rPr>
          <w:rFonts w:ascii="Arial" w:hAnsi="Arial" w:cs="Arial"/>
          <w:sz w:val="28"/>
          <w:szCs w:val="28"/>
          <w:lang w:val="en-US"/>
        </w:rPr>
        <w:t>did not constitute a ‘novus actus’</w:t>
      </w:r>
      <w:r w:rsidR="00AA7E81">
        <w:rPr>
          <w:rFonts w:ascii="Arial" w:hAnsi="Arial" w:cs="Arial"/>
          <w:sz w:val="28"/>
          <w:szCs w:val="28"/>
          <w:lang w:val="en-US"/>
        </w:rPr>
        <w:t>.</w:t>
      </w:r>
      <w:r w:rsidR="00443A3A">
        <w:rPr>
          <w:rFonts w:ascii="Arial" w:hAnsi="Arial" w:cs="Arial"/>
          <w:sz w:val="28"/>
          <w:szCs w:val="28"/>
          <w:lang w:val="en-US"/>
        </w:rPr>
        <w:t xml:space="preserve"> </w:t>
      </w:r>
      <w:r w:rsidR="00E81D64">
        <w:rPr>
          <w:rFonts w:ascii="Arial" w:hAnsi="Arial" w:cs="Arial"/>
          <w:sz w:val="28"/>
          <w:szCs w:val="28"/>
          <w:lang w:val="en-US"/>
        </w:rPr>
        <w:t>The</w:t>
      </w:r>
      <w:r w:rsidR="00792AEE">
        <w:rPr>
          <w:rFonts w:ascii="Arial" w:hAnsi="Arial" w:cs="Arial"/>
          <w:sz w:val="28"/>
          <w:szCs w:val="28"/>
          <w:lang w:val="en-US"/>
        </w:rPr>
        <w:t>y</w:t>
      </w:r>
      <w:r w:rsidR="00E81D64">
        <w:rPr>
          <w:rFonts w:ascii="Arial" w:hAnsi="Arial" w:cs="Arial"/>
          <w:sz w:val="28"/>
          <w:szCs w:val="28"/>
          <w:lang w:val="en-US"/>
        </w:rPr>
        <w:t xml:space="preserve"> were </w:t>
      </w:r>
      <w:r w:rsidR="00D469BF">
        <w:rPr>
          <w:rFonts w:ascii="Arial" w:hAnsi="Arial" w:cs="Arial"/>
          <w:sz w:val="28"/>
          <w:szCs w:val="28"/>
          <w:lang w:val="en-US"/>
        </w:rPr>
        <w:t xml:space="preserve">held </w:t>
      </w:r>
      <w:r w:rsidR="0082368F">
        <w:rPr>
          <w:rFonts w:ascii="Arial" w:hAnsi="Arial" w:cs="Arial"/>
          <w:sz w:val="28"/>
          <w:szCs w:val="28"/>
          <w:lang w:val="en-US"/>
        </w:rPr>
        <w:t>jointly</w:t>
      </w:r>
      <w:r w:rsidR="00E81D64">
        <w:rPr>
          <w:rFonts w:ascii="Arial" w:hAnsi="Arial" w:cs="Arial"/>
          <w:sz w:val="28"/>
          <w:szCs w:val="28"/>
          <w:lang w:val="en-US"/>
        </w:rPr>
        <w:t xml:space="preserve"> liable</w:t>
      </w:r>
      <w:r w:rsidR="00CE298B">
        <w:rPr>
          <w:rFonts w:ascii="Arial" w:hAnsi="Arial" w:cs="Arial"/>
          <w:sz w:val="28"/>
          <w:szCs w:val="28"/>
          <w:lang w:val="en-US"/>
        </w:rPr>
        <w:t>;</w:t>
      </w:r>
      <w:r w:rsidR="00792AEE">
        <w:rPr>
          <w:rFonts w:ascii="Arial" w:hAnsi="Arial" w:cs="Arial"/>
          <w:sz w:val="28"/>
          <w:szCs w:val="28"/>
          <w:lang w:val="en-US"/>
        </w:rPr>
        <w:t xml:space="preserve"> </w:t>
      </w:r>
      <w:r w:rsidR="00CE298B">
        <w:rPr>
          <w:rFonts w:ascii="Arial" w:hAnsi="Arial" w:cs="Arial"/>
          <w:sz w:val="28"/>
          <w:szCs w:val="28"/>
          <w:lang w:val="en-US"/>
        </w:rPr>
        <w:t>e</w:t>
      </w:r>
      <w:r w:rsidR="00792AEE">
        <w:rPr>
          <w:rFonts w:ascii="Arial" w:hAnsi="Arial" w:cs="Arial"/>
          <w:sz w:val="28"/>
          <w:szCs w:val="28"/>
          <w:lang w:val="en-US"/>
        </w:rPr>
        <w:t>mployer</w:t>
      </w:r>
      <w:r w:rsidR="00E81D64">
        <w:rPr>
          <w:rFonts w:ascii="Arial" w:hAnsi="Arial" w:cs="Arial"/>
          <w:sz w:val="28"/>
          <w:szCs w:val="28"/>
          <w:lang w:val="en-US"/>
        </w:rPr>
        <w:t xml:space="preserve"> for</w:t>
      </w:r>
      <w:r w:rsidR="00BF59CF">
        <w:rPr>
          <w:rFonts w:ascii="Arial" w:hAnsi="Arial" w:cs="Arial"/>
          <w:sz w:val="28"/>
          <w:szCs w:val="28"/>
          <w:lang w:val="en-US"/>
        </w:rPr>
        <w:t xml:space="preserve"> the damage attributable </w:t>
      </w:r>
      <w:r w:rsidR="00510E9B">
        <w:rPr>
          <w:rFonts w:ascii="Arial" w:hAnsi="Arial" w:cs="Arial"/>
          <w:sz w:val="28"/>
          <w:szCs w:val="28"/>
          <w:lang w:val="en-US"/>
        </w:rPr>
        <w:t>to the initial fall a</w:t>
      </w:r>
      <w:r w:rsidR="00CE298B">
        <w:rPr>
          <w:rFonts w:ascii="Arial" w:hAnsi="Arial" w:cs="Arial"/>
          <w:sz w:val="28"/>
          <w:szCs w:val="28"/>
          <w:lang w:val="en-US"/>
        </w:rPr>
        <w:t>s well as</w:t>
      </w:r>
      <w:r w:rsidR="00510E9B">
        <w:rPr>
          <w:rFonts w:ascii="Arial" w:hAnsi="Arial" w:cs="Arial"/>
          <w:sz w:val="28"/>
          <w:szCs w:val="28"/>
          <w:lang w:val="en-US"/>
        </w:rPr>
        <w:t xml:space="preserve"> 25% </w:t>
      </w:r>
      <w:r w:rsidR="003755E9">
        <w:rPr>
          <w:rFonts w:ascii="Arial" w:hAnsi="Arial" w:cs="Arial"/>
          <w:sz w:val="28"/>
          <w:szCs w:val="28"/>
          <w:lang w:val="en-US"/>
        </w:rPr>
        <w:t>of the damage attributable to the amputation</w:t>
      </w:r>
      <w:r w:rsidR="00C037A7">
        <w:rPr>
          <w:rFonts w:ascii="Arial" w:hAnsi="Arial" w:cs="Arial"/>
          <w:sz w:val="28"/>
          <w:szCs w:val="28"/>
          <w:lang w:val="en-US"/>
        </w:rPr>
        <w:t xml:space="preserve"> </w:t>
      </w:r>
      <w:r w:rsidR="001626F9">
        <w:rPr>
          <w:rFonts w:ascii="Arial" w:hAnsi="Arial" w:cs="Arial"/>
          <w:sz w:val="28"/>
          <w:szCs w:val="28"/>
          <w:lang w:val="en-US"/>
        </w:rPr>
        <w:t>(</w:t>
      </w:r>
      <w:r w:rsidR="00862AC0">
        <w:rPr>
          <w:rFonts w:ascii="Arial" w:hAnsi="Arial" w:cs="Arial"/>
          <w:sz w:val="28"/>
          <w:szCs w:val="28"/>
          <w:lang w:val="en-US"/>
        </w:rPr>
        <w:t xml:space="preserve">Webb v Barclays Bank Plc </w:t>
      </w:r>
      <w:r w:rsidR="00F97B12">
        <w:rPr>
          <w:rFonts w:ascii="Arial" w:hAnsi="Arial" w:cs="Arial"/>
          <w:sz w:val="28"/>
          <w:szCs w:val="28"/>
          <w:lang w:val="en-US"/>
        </w:rPr>
        <w:t xml:space="preserve">and </w:t>
      </w:r>
      <w:r w:rsidR="0047178A">
        <w:rPr>
          <w:rFonts w:ascii="Arial" w:hAnsi="Arial" w:cs="Arial"/>
          <w:sz w:val="28"/>
          <w:szCs w:val="28"/>
          <w:lang w:val="en-US"/>
        </w:rPr>
        <w:t xml:space="preserve">Portsmouth </w:t>
      </w:r>
      <w:r w:rsidR="00725DC8">
        <w:rPr>
          <w:rFonts w:ascii="Arial" w:hAnsi="Arial" w:cs="Arial"/>
          <w:sz w:val="28"/>
          <w:szCs w:val="28"/>
          <w:lang w:val="en-US"/>
        </w:rPr>
        <w:t>H</w:t>
      </w:r>
      <w:r w:rsidR="0047178A">
        <w:rPr>
          <w:rFonts w:ascii="Arial" w:hAnsi="Arial" w:cs="Arial"/>
          <w:sz w:val="28"/>
          <w:szCs w:val="28"/>
          <w:lang w:val="en-US"/>
        </w:rPr>
        <w:t>ospitals NHS Trust</w:t>
      </w:r>
      <w:r w:rsidR="00725DC8">
        <w:rPr>
          <w:rFonts w:ascii="Arial" w:hAnsi="Arial" w:cs="Arial"/>
          <w:sz w:val="28"/>
          <w:szCs w:val="28"/>
          <w:lang w:val="en-US"/>
        </w:rPr>
        <w:t>, 2001</w:t>
      </w:r>
      <w:r w:rsidR="001626F9">
        <w:rPr>
          <w:rFonts w:ascii="Arial" w:hAnsi="Arial" w:cs="Arial"/>
          <w:sz w:val="28"/>
          <w:szCs w:val="28"/>
          <w:lang w:val="en-US"/>
        </w:rPr>
        <w:t>).</w:t>
      </w:r>
      <w:r w:rsidR="004B5F71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3687A4FC" w14:textId="21638660" w:rsidR="00725DC8" w:rsidRPr="005F20FD" w:rsidRDefault="00AF27E3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Henry LJ</w:t>
      </w:r>
      <w:r w:rsidR="00137533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7A7C98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giving the judgement of the court </w:t>
      </w:r>
      <w:r w:rsidR="00351E38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considered that the negligent </w:t>
      </w:r>
      <w:r w:rsidR="00881D81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medical treatment </w:t>
      </w:r>
      <w:r w:rsidR="000222D8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“</w:t>
      </w:r>
      <w:r w:rsidR="00881D81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did not </w:t>
      </w:r>
      <w:r w:rsidR="0088234C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eclipse the original wrong</w:t>
      </w:r>
      <w:r w:rsidR="00B438D5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-</w:t>
      </w:r>
      <w:r w:rsidR="0088234C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doing</w:t>
      </w:r>
      <w:r w:rsidR="00EA25EB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”</w:t>
      </w:r>
      <w:r w:rsidR="004E6419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</w:t>
      </w:r>
      <w:r w:rsidR="003260DA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Hitchcock and Stirling, 2012, pp. </w:t>
      </w:r>
      <w:r w:rsidR="00E51875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12</w:t>
      </w:r>
      <w:r w:rsidR="004E6419" w:rsidRPr="00FF6ADB">
        <w:rPr>
          <w:rFonts w:ascii="Arial" w:hAnsi="Arial" w:cs="Arial"/>
          <w:color w:val="000000" w:themeColor="text1"/>
          <w:sz w:val="28"/>
          <w:szCs w:val="28"/>
          <w:lang w:val="en-US"/>
        </w:rPr>
        <w:t>).</w:t>
      </w:r>
    </w:p>
    <w:p w14:paraId="43C2EE9A" w14:textId="77777777" w:rsidR="00C62072" w:rsidRDefault="00C62072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641FBCFF" w14:textId="48F67B4F" w:rsidR="008122B2" w:rsidRPr="00C2515B" w:rsidRDefault="00D705B2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A </w:t>
      </w:r>
      <w:r w:rsidR="00A26DC6">
        <w:rPr>
          <w:rFonts w:ascii="Arial" w:hAnsi="Arial" w:cs="Arial"/>
          <w:sz w:val="28"/>
          <w:szCs w:val="28"/>
          <w:lang w:val="en-US"/>
        </w:rPr>
        <w:t>defendant will not be liable i</w:t>
      </w:r>
      <w:r w:rsidR="00E3778F">
        <w:rPr>
          <w:rFonts w:ascii="Arial" w:hAnsi="Arial" w:cs="Arial"/>
          <w:sz w:val="28"/>
          <w:szCs w:val="28"/>
          <w:lang w:val="en-US"/>
        </w:rPr>
        <w:t>n tort</w:t>
      </w:r>
      <w:r w:rsidR="00877F5A">
        <w:rPr>
          <w:rFonts w:ascii="Arial" w:hAnsi="Arial" w:cs="Arial"/>
          <w:sz w:val="28"/>
          <w:szCs w:val="28"/>
          <w:lang w:val="en-US"/>
        </w:rPr>
        <w:t xml:space="preserve"> for the independent</w:t>
      </w:r>
      <w:r w:rsidR="000B0A40">
        <w:rPr>
          <w:rFonts w:ascii="Arial" w:hAnsi="Arial" w:cs="Arial"/>
          <w:sz w:val="28"/>
          <w:szCs w:val="28"/>
          <w:lang w:val="en-US"/>
        </w:rPr>
        <w:t>, deliberate acts of a third</w:t>
      </w:r>
      <w:r w:rsidR="009959CF">
        <w:rPr>
          <w:rFonts w:ascii="Arial" w:hAnsi="Arial" w:cs="Arial"/>
          <w:sz w:val="28"/>
          <w:szCs w:val="28"/>
          <w:lang w:val="en-US"/>
        </w:rPr>
        <w:t>-</w:t>
      </w:r>
      <w:r w:rsidR="000B0A40">
        <w:rPr>
          <w:rFonts w:ascii="Arial" w:hAnsi="Arial" w:cs="Arial"/>
          <w:sz w:val="28"/>
          <w:szCs w:val="28"/>
          <w:lang w:val="en-US"/>
        </w:rPr>
        <w:t>party</w:t>
      </w:r>
      <w:r w:rsidR="00260040">
        <w:rPr>
          <w:rFonts w:ascii="Arial" w:hAnsi="Arial" w:cs="Arial"/>
          <w:sz w:val="28"/>
          <w:szCs w:val="28"/>
          <w:lang w:val="en-US"/>
        </w:rPr>
        <w:t xml:space="preserve">. </w:t>
      </w:r>
      <w:r w:rsidR="002B3E1E">
        <w:rPr>
          <w:rFonts w:ascii="Arial" w:hAnsi="Arial" w:cs="Arial"/>
          <w:sz w:val="28"/>
          <w:szCs w:val="28"/>
          <w:lang w:val="en-US"/>
        </w:rPr>
        <w:t>T</w:t>
      </w:r>
      <w:r>
        <w:rPr>
          <w:rFonts w:ascii="Arial" w:hAnsi="Arial" w:cs="Arial"/>
          <w:sz w:val="28"/>
          <w:szCs w:val="28"/>
          <w:lang w:val="en-US"/>
        </w:rPr>
        <w:t>hird</w:t>
      </w:r>
      <w:r w:rsidR="009959CF">
        <w:rPr>
          <w:rFonts w:ascii="Arial" w:hAnsi="Arial" w:cs="Arial"/>
          <w:sz w:val="28"/>
          <w:szCs w:val="28"/>
          <w:lang w:val="en-US"/>
        </w:rPr>
        <w:t>-</w:t>
      </w:r>
      <w:r>
        <w:rPr>
          <w:rFonts w:ascii="Arial" w:hAnsi="Arial" w:cs="Arial"/>
          <w:sz w:val="28"/>
          <w:szCs w:val="28"/>
          <w:lang w:val="en-US"/>
        </w:rPr>
        <w:t>part</w:t>
      </w:r>
      <w:r w:rsidR="00ED3045">
        <w:rPr>
          <w:rFonts w:ascii="Arial" w:hAnsi="Arial" w:cs="Arial"/>
          <w:sz w:val="28"/>
          <w:szCs w:val="28"/>
          <w:lang w:val="en-US"/>
        </w:rPr>
        <w:t>y</w:t>
      </w:r>
      <w:r>
        <w:rPr>
          <w:rFonts w:ascii="Arial" w:hAnsi="Arial" w:cs="Arial"/>
          <w:sz w:val="28"/>
          <w:szCs w:val="28"/>
          <w:lang w:val="en-US"/>
        </w:rPr>
        <w:t xml:space="preserve"> act</w:t>
      </w:r>
      <w:r w:rsidR="00ED01C0">
        <w:rPr>
          <w:rFonts w:ascii="Arial" w:hAnsi="Arial" w:cs="Arial"/>
          <w:sz w:val="28"/>
          <w:szCs w:val="28"/>
          <w:lang w:val="en-US"/>
        </w:rPr>
        <w:t>ions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533B1A">
        <w:rPr>
          <w:rFonts w:ascii="Arial" w:hAnsi="Arial" w:cs="Arial"/>
          <w:sz w:val="28"/>
          <w:szCs w:val="28"/>
          <w:lang w:val="en-US"/>
        </w:rPr>
        <w:t xml:space="preserve">will not break the chain of causation </w:t>
      </w:r>
      <w:r w:rsidR="00896E43">
        <w:rPr>
          <w:rFonts w:ascii="Arial" w:hAnsi="Arial" w:cs="Arial"/>
          <w:sz w:val="28"/>
          <w:szCs w:val="28"/>
          <w:lang w:val="en-US"/>
        </w:rPr>
        <w:t xml:space="preserve">if the </w:t>
      </w:r>
      <w:r w:rsidR="000C0261">
        <w:rPr>
          <w:rFonts w:ascii="Arial" w:hAnsi="Arial" w:cs="Arial"/>
          <w:sz w:val="28"/>
          <w:szCs w:val="28"/>
          <w:lang w:val="en-US"/>
        </w:rPr>
        <w:t>defend</w:t>
      </w:r>
      <w:r w:rsidR="000C0261" w:rsidRPr="00A0492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ant’s </w:t>
      </w:r>
      <w:r w:rsidR="00B71D7C" w:rsidRPr="00A0492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legal </w:t>
      </w:r>
      <w:r w:rsidR="000C0261" w:rsidRPr="00A0492F">
        <w:rPr>
          <w:rFonts w:ascii="Arial" w:hAnsi="Arial" w:cs="Arial"/>
          <w:color w:val="000000" w:themeColor="text1"/>
          <w:sz w:val="28"/>
          <w:szCs w:val="28"/>
          <w:lang w:val="en-US"/>
        </w:rPr>
        <w:t>duty</w:t>
      </w:r>
      <w:r w:rsidR="000C0261">
        <w:rPr>
          <w:rFonts w:ascii="Arial" w:hAnsi="Arial" w:cs="Arial"/>
          <w:sz w:val="28"/>
          <w:szCs w:val="28"/>
          <w:lang w:val="en-US"/>
        </w:rPr>
        <w:t xml:space="preserve"> i</w:t>
      </w:r>
      <w:r w:rsidR="00CB049B">
        <w:rPr>
          <w:rFonts w:ascii="Arial" w:hAnsi="Arial" w:cs="Arial"/>
          <w:sz w:val="28"/>
          <w:szCs w:val="28"/>
          <w:lang w:val="en-US"/>
        </w:rPr>
        <w:t>ncluded</w:t>
      </w:r>
      <w:r w:rsidR="000C0261">
        <w:rPr>
          <w:rFonts w:ascii="Arial" w:hAnsi="Arial" w:cs="Arial"/>
          <w:sz w:val="28"/>
          <w:szCs w:val="28"/>
          <w:lang w:val="en-US"/>
        </w:rPr>
        <w:t xml:space="preserve"> </w:t>
      </w:r>
      <w:r w:rsidR="0081129B">
        <w:rPr>
          <w:rFonts w:ascii="Arial" w:hAnsi="Arial" w:cs="Arial"/>
          <w:sz w:val="28"/>
          <w:szCs w:val="28"/>
          <w:lang w:val="en-US"/>
        </w:rPr>
        <w:t>protecting</w:t>
      </w:r>
      <w:r w:rsidR="000C0261">
        <w:rPr>
          <w:rFonts w:ascii="Arial" w:hAnsi="Arial" w:cs="Arial"/>
          <w:sz w:val="28"/>
          <w:szCs w:val="28"/>
          <w:lang w:val="en-US"/>
        </w:rPr>
        <w:t xml:space="preserve"> the claimant or</w:t>
      </w:r>
      <w:r w:rsidR="0081129B">
        <w:rPr>
          <w:rFonts w:ascii="Arial" w:hAnsi="Arial" w:cs="Arial"/>
          <w:sz w:val="28"/>
          <w:szCs w:val="28"/>
          <w:lang w:val="en-US"/>
        </w:rPr>
        <w:t xml:space="preserve"> his</w:t>
      </w:r>
      <w:r w:rsidR="000C0261">
        <w:rPr>
          <w:rFonts w:ascii="Arial" w:hAnsi="Arial" w:cs="Arial"/>
          <w:sz w:val="28"/>
          <w:szCs w:val="28"/>
          <w:lang w:val="en-US"/>
        </w:rPr>
        <w:t xml:space="preserve"> property against </w:t>
      </w:r>
      <w:r w:rsidR="006F7621">
        <w:rPr>
          <w:rFonts w:ascii="Arial" w:hAnsi="Arial" w:cs="Arial"/>
          <w:sz w:val="28"/>
          <w:szCs w:val="28"/>
          <w:lang w:val="en-US"/>
        </w:rPr>
        <w:t xml:space="preserve">such </w:t>
      </w:r>
      <w:r w:rsidR="000C0261">
        <w:rPr>
          <w:rFonts w:ascii="Arial" w:hAnsi="Arial" w:cs="Arial"/>
          <w:sz w:val="28"/>
          <w:szCs w:val="28"/>
          <w:lang w:val="en-US"/>
        </w:rPr>
        <w:t>damage from a third</w:t>
      </w:r>
      <w:r w:rsidR="001E7F2E">
        <w:rPr>
          <w:rFonts w:ascii="Arial" w:hAnsi="Arial" w:cs="Arial"/>
          <w:sz w:val="28"/>
          <w:szCs w:val="28"/>
          <w:lang w:val="en-US"/>
        </w:rPr>
        <w:t>-</w:t>
      </w:r>
      <w:r w:rsidR="000C0261">
        <w:rPr>
          <w:rFonts w:ascii="Arial" w:hAnsi="Arial" w:cs="Arial"/>
          <w:sz w:val="28"/>
          <w:szCs w:val="28"/>
          <w:lang w:val="en-US"/>
        </w:rPr>
        <w:t>party</w:t>
      </w:r>
      <w:r w:rsidR="0081129B">
        <w:rPr>
          <w:rFonts w:ascii="Arial" w:hAnsi="Arial" w:cs="Arial"/>
          <w:sz w:val="28"/>
          <w:szCs w:val="28"/>
          <w:lang w:val="en-US"/>
        </w:rPr>
        <w:t>.</w:t>
      </w:r>
      <w:r w:rsidR="004F647D">
        <w:rPr>
          <w:rFonts w:ascii="Arial" w:hAnsi="Arial" w:cs="Arial"/>
          <w:sz w:val="28"/>
          <w:szCs w:val="28"/>
          <w:lang w:val="en-US"/>
        </w:rPr>
        <w:t xml:space="preserve"> This </w:t>
      </w:r>
      <w:r w:rsidR="00563AA0">
        <w:rPr>
          <w:rFonts w:ascii="Arial" w:hAnsi="Arial" w:cs="Arial"/>
          <w:sz w:val="28"/>
          <w:szCs w:val="28"/>
          <w:lang w:val="en-US"/>
        </w:rPr>
        <w:t>alludes</w:t>
      </w:r>
      <w:r w:rsidR="004F647D">
        <w:rPr>
          <w:rFonts w:ascii="Arial" w:hAnsi="Arial" w:cs="Arial"/>
          <w:sz w:val="28"/>
          <w:szCs w:val="28"/>
          <w:lang w:val="en-US"/>
        </w:rPr>
        <w:t xml:space="preserve"> to the case; </w:t>
      </w:r>
      <w:r w:rsidR="00563AA0" w:rsidRPr="005949C3">
        <w:rPr>
          <w:rFonts w:ascii="Arial" w:hAnsi="Arial" w:cs="Arial"/>
          <w:i/>
          <w:iCs/>
          <w:sz w:val="28"/>
          <w:szCs w:val="28"/>
          <w:lang w:val="en-US"/>
        </w:rPr>
        <w:t>Stansbie v Troman (1948)</w:t>
      </w:r>
      <w:r w:rsidR="00563AA0">
        <w:rPr>
          <w:rFonts w:ascii="Arial" w:hAnsi="Arial" w:cs="Arial"/>
          <w:sz w:val="28"/>
          <w:szCs w:val="28"/>
          <w:lang w:val="en-US"/>
        </w:rPr>
        <w:t xml:space="preserve"> where the </w:t>
      </w:r>
      <w:r w:rsidR="00E753EB">
        <w:rPr>
          <w:rFonts w:ascii="Arial" w:hAnsi="Arial" w:cs="Arial"/>
          <w:sz w:val="28"/>
          <w:szCs w:val="28"/>
          <w:lang w:val="en-US"/>
        </w:rPr>
        <w:t>defendan</w:t>
      </w:r>
      <w:r w:rsidR="00A34FD4">
        <w:rPr>
          <w:rFonts w:ascii="Arial" w:hAnsi="Arial" w:cs="Arial"/>
          <w:sz w:val="28"/>
          <w:szCs w:val="28"/>
          <w:lang w:val="en-US"/>
        </w:rPr>
        <w:t>t</w:t>
      </w:r>
      <w:r w:rsidR="00124526">
        <w:rPr>
          <w:rFonts w:ascii="Arial" w:hAnsi="Arial" w:cs="Arial"/>
          <w:sz w:val="28"/>
          <w:szCs w:val="28"/>
          <w:lang w:val="en-US"/>
        </w:rPr>
        <w:t>’s</w:t>
      </w:r>
      <w:r w:rsidR="00E753EB">
        <w:rPr>
          <w:rFonts w:ascii="Arial" w:hAnsi="Arial" w:cs="Arial"/>
          <w:sz w:val="28"/>
          <w:szCs w:val="28"/>
          <w:lang w:val="en-US"/>
        </w:rPr>
        <w:t xml:space="preserve"> failed duty in </w:t>
      </w:r>
      <w:r w:rsidR="004F2F38">
        <w:rPr>
          <w:rFonts w:ascii="Arial" w:hAnsi="Arial" w:cs="Arial"/>
          <w:sz w:val="28"/>
          <w:szCs w:val="28"/>
          <w:lang w:val="en-US"/>
        </w:rPr>
        <w:t>securing</w:t>
      </w:r>
      <w:r w:rsidR="00E753EB">
        <w:rPr>
          <w:rFonts w:ascii="Arial" w:hAnsi="Arial" w:cs="Arial"/>
          <w:sz w:val="28"/>
          <w:szCs w:val="28"/>
          <w:lang w:val="en-US"/>
        </w:rPr>
        <w:t xml:space="preserve"> the claimant’s </w:t>
      </w:r>
      <w:r w:rsidR="00E753EB">
        <w:rPr>
          <w:rFonts w:ascii="Arial" w:hAnsi="Arial" w:cs="Arial"/>
          <w:sz w:val="28"/>
          <w:szCs w:val="28"/>
          <w:lang w:val="en-US"/>
        </w:rPr>
        <w:lastRenderedPageBreak/>
        <w:t xml:space="preserve">property led to </w:t>
      </w:r>
      <w:r w:rsidR="00374776">
        <w:rPr>
          <w:rFonts w:ascii="Arial" w:hAnsi="Arial" w:cs="Arial"/>
          <w:sz w:val="28"/>
          <w:szCs w:val="28"/>
          <w:lang w:val="en-US"/>
        </w:rPr>
        <w:t xml:space="preserve">robbery. </w:t>
      </w:r>
      <w:r w:rsidR="00E708C0">
        <w:rPr>
          <w:rFonts w:ascii="Arial" w:hAnsi="Arial" w:cs="Arial"/>
          <w:sz w:val="28"/>
          <w:szCs w:val="28"/>
          <w:lang w:val="en-US"/>
        </w:rPr>
        <w:t>The intervention of the third-party thief did not break the chain of causation</w:t>
      </w:r>
      <w:r w:rsidR="00BF6CBB">
        <w:rPr>
          <w:rFonts w:ascii="Arial" w:hAnsi="Arial" w:cs="Arial"/>
          <w:sz w:val="28"/>
          <w:szCs w:val="28"/>
          <w:lang w:val="en-US"/>
        </w:rPr>
        <w:t xml:space="preserve"> as it was </w:t>
      </w:r>
      <w:r w:rsidR="00214224">
        <w:rPr>
          <w:rFonts w:ascii="Arial" w:hAnsi="Arial" w:cs="Arial"/>
          <w:sz w:val="28"/>
          <w:szCs w:val="28"/>
          <w:lang w:val="en-US"/>
        </w:rPr>
        <w:t xml:space="preserve">the defendant’s </w:t>
      </w:r>
      <w:r w:rsidR="00E00022">
        <w:rPr>
          <w:rFonts w:ascii="Arial" w:hAnsi="Arial" w:cs="Arial"/>
          <w:sz w:val="28"/>
          <w:szCs w:val="28"/>
          <w:lang w:val="en-US"/>
        </w:rPr>
        <w:t>unreasonable care which caused the</w:t>
      </w:r>
      <w:r w:rsidR="001F501C">
        <w:rPr>
          <w:rFonts w:ascii="Arial" w:hAnsi="Arial" w:cs="Arial"/>
          <w:sz w:val="28"/>
          <w:szCs w:val="28"/>
          <w:lang w:val="en-US"/>
        </w:rPr>
        <w:t xml:space="preserve"> claimant’s loss</w:t>
      </w:r>
      <w:r w:rsidR="0034097E">
        <w:rPr>
          <w:rFonts w:ascii="Arial" w:hAnsi="Arial" w:cs="Arial"/>
          <w:sz w:val="28"/>
          <w:szCs w:val="28"/>
          <w:lang w:val="en-US"/>
        </w:rPr>
        <w:t xml:space="preserve"> (McIvor, </w:t>
      </w:r>
      <w:r w:rsidR="009B46C1">
        <w:rPr>
          <w:rFonts w:ascii="Arial" w:hAnsi="Arial" w:cs="Arial"/>
          <w:sz w:val="28"/>
          <w:szCs w:val="28"/>
          <w:lang w:val="en-US"/>
        </w:rPr>
        <w:t>2003</w:t>
      </w:r>
      <w:r w:rsidR="0034097E">
        <w:rPr>
          <w:rFonts w:ascii="Arial" w:hAnsi="Arial" w:cs="Arial"/>
          <w:sz w:val="28"/>
          <w:szCs w:val="28"/>
          <w:lang w:val="en-US"/>
        </w:rPr>
        <w:t>)</w:t>
      </w:r>
      <w:r w:rsidR="00E00022">
        <w:rPr>
          <w:rFonts w:ascii="Arial" w:hAnsi="Arial" w:cs="Arial"/>
          <w:sz w:val="28"/>
          <w:szCs w:val="28"/>
          <w:lang w:val="en-US"/>
        </w:rPr>
        <w:t xml:space="preserve">. </w:t>
      </w:r>
      <w:r w:rsidR="00E708C0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46E61A0" w14:textId="25CE22C5" w:rsidR="000631F7" w:rsidRDefault="000631F7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180EB2CC" w14:textId="4ED28E4E" w:rsidR="00575430" w:rsidRDefault="00F95829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007B090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 further </w:t>
      </w:r>
      <w:r w:rsidR="000631F7" w:rsidRPr="007B090C">
        <w:rPr>
          <w:rFonts w:ascii="Arial" w:hAnsi="Arial" w:cs="Arial"/>
          <w:color w:val="000000" w:themeColor="text1"/>
          <w:sz w:val="28"/>
          <w:szCs w:val="28"/>
          <w:lang w:val="en-US"/>
        </w:rPr>
        <w:t>im</w:t>
      </w:r>
      <w:r w:rsidR="000631F7" w:rsidRPr="00080502">
        <w:rPr>
          <w:rFonts w:ascii="Arial" w:hAnsi="Arial" w:cs="Arial"/>
          <w:color w:val="000000" w:themeColor="text1"/>
          <w:sz w:val="28"/>
          <w:szCs w:val="28"/>
          <w:lang w:val="en-US"/>
        </w:rPr>
        <w:t>portant constituent of ‘Novus Actus Interveniens’ is</w:t>
      </w:r>
      <w:r w:rsidR="00080502" w:rsidRPr="0008050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B8276B">
        <w:rPr>
          <w:rFonts w:ascii="Arial" w:hAnsi="Arial" w:cs="Arial"/>
          <w:sz w:val="28"/>
          <w:szCs w:val="28"/>
          <w:lang w:val="en-US"/>
        </w:rPr>
        <w:t>where the claimant’s own act is alleged to have broken the c</w:t>
      </w:r>
      <w:r w:rsidR="00861FAA">
        <w:rPr>
          <w:rFonts w:ascii="Arial" w:hAnsi="Arial" w:cs="Arial"/>
          <w:sz w:val="28"/>
          <w:szCs w:val="28"/>
          <w:lang w:val="en-US"/>
        </w:rPr>
        <w:t>ausal</w:t>
      </w:r>
      <w:r w:rsidR="00B8276B">
        <w:rPr>
          <w:rFonts w:ascii="Arial" w:hAnsi="Arial" w:cs="Arial"/>
          <w:sz w:val="28"/>
          <w:szCs w:val="28"/>
          <w:lang w:val="en-US"/>
        </w:rPr>
        <w:t xml:space="preserve"> </w:t>
      </w:r>
      <w:r w:rsidR="00861FAA">
        <w:rPr>
          <w:rFonts w:ascii="Arial" w:hAnsi="Arial" w:cs="Arial"/>
          <w:sz w:val="28"/>
          <w:szCs w:val="28"/>
          <w:lang w:val="en-US"/>
        </w:rPr>
        <w:t>chain</w:t>
      </w:r>
      <w:r w:rsidR="00503985">
        <w:rPr>
          <w:rFonts w:ascii="Arial" w:hAnsi="Arial" w:cs="Arial"/>
          <w:sz w:val="28"/>
          <w:szCs w:val="28"/>
          <w:lang w:val="en-US"/>
        </w:rPr>
        <w:t>.</w:t>
      </w:r>
      <w:r w:rsidR="00013306">
        <w:rPr>
          <w:rFonts w:ascii="Arial" w:hAnsi="Arial" w:cs="Arial"/>
          <w:sz w:val="28"/>
          <w:szCs w:val="28"/>
          <w:lang w:val="en-US"/>
        </w:rPr>
        <w:t xml:space="preserve"> </w:t>
      </w:r>
      <w:r w:rsidR="00E8091A">
        <w:rPr>
          <w:rFonts w:ascii="Arial" w:hAnsi="Arial" w:cs="Arial"/>
          <w:sz w:val="28"/>
          <w:szCs w:val="28"/>
          <w:lang w:val="en-US"/>
        </w:rPr>
        <w:t>Where the new intervening act is that of the claimant</w:t>
      </w:r>
      <w:r w:rsidR="009765A3">
        <w:rPr>
          <w:rFonts w:ascii="Arial" w:hAnsi="Arial" w:cs="Arial"/>
          <w:sz w:val="28"/>
          <w:szCs w:val="28"/>
          <w:lang w:val="en-US"/>
        </w:rPr>
        <w:t>,</w:t>
      </w:r>
      <w:r w:rsidR="00E8091A">
        <w:rPr>
          <w:rFonts w:ascii="Arial" w:hAnsi="Arial" w:cs="Arial"/>
          <w:sz w:val="28"/>
          <w:szCs w:val="28"/>
          <w:lang w:val="en-US"/>
        </w:rPr>
        <w:t xml:space="preserve"> </w:t>
      </w:r>
      <w:r w:rsidR="00A012E0">
        <w:rPr>
          <w:rFonts w:ascii="Arial" w:hAnsi="Arial" w:cs="Arial"/>
          <w:sz w:val="28"/>
          <w:szCs w:val="28"/>
          <w:lang w:val="en-US"/>
        </w:rPr>
        <w:t>the test is whether the claimant acted res</w:t>
      </w:r>
      <w:r w:rsidR="008A0DBE">
        <w:rPr>
          <w:rFonts w:ascii="Arial" w:hAnsi="Arial" w:cs="Arial"/>
          <w:sz w:val="28"/>
          <w:szCs w:val="28"/>
          <w:lang w:val="en-US"/>
        </w:rPr>
        <w:t>p</w:t>
      </w:r>
      <w:r w:rsidR="00A012E0">
        <w:rPr>
          <w:rFonts w:ascii="Arial" w:hAnsi="Arial" w:cs="Arial"/>
          <w:sz w:val="28"/>
          <w:szCs w:val="28"/>
          <w:lang w:val="en-US"/>
        </w:rPr>
        <w:t>ons</w:t>
      </w:r>
      <w:r w:rsidR="008A0DBE">
        <w:rPr>
          <w:rFonts w:ascii="Arial" w:hAnsi="Arial" w:cs="Arial"/>
          <w:sz w:val="28"/>
          <w:szCs w:val="28"/>
          <w:lang w:val="en-US"/>
        </w:rPr>
        <w:t>i</w:t>
      </w:r>
      <w:r w:rsidR="00A012E0">
        <w:rPr>
          <w:rFonts w:ascii="Arial" w:hAnsi="Arial" w:cs="Arial"/>
          <w:sz w:val="28"/>
          <w:szCs w:val="28"/>
          <w:lang w:val="en-US"/>
        </w:rPr>
        <w:t xml:space="preserve">bly </w:t>
      </w:r>
      <w:r w:rsidR="00151564">
        <w:rPr>
          <w:rFonts w:ascii="Arial" w:hAnsi="Arial" w:cs="Arial"/>
          <w:sz w:val="28"/>
          <w:szCs w:val="28"/>
          <w:lang w:val="en-US"/>
        </w:rPr>
        <w:t>u</w:t>
      </w:r>
      <w:r w:rsidR="00A012E0">
        <w:rPr>
          <w:rFonts w:ascii="Arial" w:hAnsi="Arial" w:cs="Arial"/>
          <w:sz w:val="28"/>
          <w:szCs w:val="28"/>
          <w:lang w:val="en-US"/>
        </w:rPr>
        <w:t>n</w:t>
      </w:r>
      <w:r w:rsidR="00151564">
        <w:rPr>
          <w:rFonts w:ascii="Arial" w:hAnsi="Arial" w:cs="Arial"/>
          <w:sz w:val="28"/>
          <w:szCs w:val="28"/>
          <w:lang w:val="en-US"/>
        </w:rPr>
        <w:t>der</w:t>
      </w:r>
      <w:r w:rsidR="00A012E0">
        <w:rPr>
          <w:rFonts w:ascii="Arial" w:hAnsi="Arial" w:cs="Arial"/>
          <w:sz w:val="28"/>
          <w:szCs w:val="28"/>
          <w:lang w:val="en-US"/>
        </w:rPr>
        <w:t xml:space="preserve"> the circumstances. </w:t>
      </w:r>
      <w:r w:rsidR="00DF4B80">
        <w:rPr>
          <w:rFonts w:ascii="Arial" w:hAnsi="Arial" w:cs="Arial"/>
          <w:sz w:val="28"/>
          <w:szCs w:val="28"/>
          <w:lang w:val="en-US"/>
        </w:rPr>
        <w:t xml:space="preserve">A </w:t>
      </w:r>
      <w:r w:rsidR="002F7601">
        <w:rPr>
          <w:rFonts w:ascii="Arial" w:hAnsi="Arial" w:cs="Arial"/>
          <w:sz w:val="28"/>
          <w:szCs w:val="28"/>
          <w:lang w:val="en-US"/>
        </w:rPr>
        <w:t xml:space="preserve">break </w:t>
      </w:r>
      <w:r w:rsidR="002001E4">
        <w:rPr>
          <w:rFonts w:ascii="Arial" w:hAnsi="Arial" w:cs="Arial"/>
          <w:sz w:val="28"/>
          <w:szCs w:val="28"/>
          <w:lang w:val="en-US"/>
        </w:rPr>
        <w:t>in the causal chain can occur</w:t>
      </w:r>
      <w:r w:rsidR="002F7601">
        <w:rPr>
          <w:rFonts w:ascii="Arial" w:hAnsi="Arial" w:cs="Arial"/>
          <w:sz w:val="28"/>
          <w:szCs w:val="28"/>
          <w:lang w:val="en-US"/>
        </w:rPr>
        <w:t xml:space="preserve"> wh</w:t>
      </w:r>
      <w:r w:rsidR="005B10E1">
        <w:rPr>
          <w:rFonts w:ascii="Arial" w:hAnsi="Arial" w:cs="Arial"/>
          <w:sz w:val="28"/>
          <w:szCs w:val="28"/>
          <w:lang w:val="en-US"/>
        </w:rPr>
        <w:t xml:space="preserve">ere </w:t>
      </w:r>
      <w:r w:rsidR="00DD6D1E">
        <w:rPr>
          <w:rFonts w:ascii="Arial" w:hAnsi="Arial" w:cs="Arial"/>
          <w:sz w:val="28"/>
          <w:szCs w:val="28"/>
          <w:lang w:val="en-US"/>
        </w:rPr>
        <w:t>the</w:t>
      </w:r>
      <w:r w:rsidR="00457D31">
        <w:rPr>
          <w:rFonts w:ascii="Arial" w:hAnsi="Arial" w:cs="Arial"/>
          <w:sz w:val="28"/>
          <w:szCs w:val="28"/>
          <w:lang w:val="en-US"/>
        </w:rPr>
        <w:t xml:space="preserve"> </w:t>
      </w:r>
      <w:r w:rsidR="005B10E1">
        <w:rPr>
          <w:rFonts w:ascii="Arial" w:hAnsi="Arial" w:cs="Arial"/>
          <w:sz w:val="28"/>
          <w:szCs w:val="28"/>
          <w:lang w:val="en-US"/>
        </w:rPr>
        <w:t xml:space="preserve">claimant’s </w:t>
      </w:r>
      <w:r w:rsidR="00DD6D1E">
        <w:rPr>
          <w:rFonts w:ascii="Arial" w:hAnsi="Arial" w:cs="Arial"/>
          <w:sz w:val="28"/>
          <w:szCs w:val="28"/>
          <w:lang w:val="en-US"/>
        </w:rPr>
        <w:t>l</w:t>
      </w:r>
      <w:r w:rsidR="00B87689">
        <w:rPr>
          <w:rFonts w:ascii="Arial" w:hAnsi="Arial" w:cs="Arial"/>
          <w:sz w:val="28"/>
          <w:szCs w:val="28"/>
          <w:lang w:val="en-US"/>
        </w:rPr>
        <w:t>ack of care for his own safety</w:t>
      </w:r>
      <w:r w:rsidR="00511A4A">
        <w:rPr>
          <w:rFonts w:ascii="Arial" w:hAnsi="Arial" w:cs="Arial"/>
          <w:sz w:val="28"/>
          <w:szCs w:val="28"/>
          <w:lang w:val="en-US"/>
        </w:rPr>
        <w:t xml:space="preserve"> and </w:t>
      </w:r>
      <w:r w:rsidR="00281ACD">
        <w:rPr>
          <w:rFonts w:ascii="Arial" w:hAnsi="Arial" w:cs="Arial"/>
          <w:sz w:val="28"/>
          <w:szCs w:val="28"/>
          <w:lang w:val="en-US"/>
        </w:rPr>
        <w:t>unreasonable</w:t>
      </w:r>
      <w:r w:rsidR="00B87689">
        <w:rPr>
          <w:rFonts w:ascii="Arial" w:hAnsi="Arial" w:cs="Arial"/>
          <w:sz w:val="28"/>
          <w:szCs w:val="28"/>
          <w:lang w:val="en-US"/>
        </w:rPr>
        <w:t xml:space="preserve"> </w:t>
      </w:r>
      <w:r w:rsidR="005B10E1">
        <w:rPr>
          <w:rFonts w:ascii="Arial" w:hAnsi="Arial" w:cs="Arial"/>
          <w:sz w:val="28"/>
          <w:szCs w:val="28"/>
          <w:lang w:val="en-US"/>
        </w:rPr>
        <w:t xml:space="preserve">conduct </w:t>
      </w:r>
      <w:r w:rsidR="0015421C">
        <w:rPr>
          <w:rFonts w:ascii="Arial" w:hAnsi="Arial" w:cs="Arial"/>
          <w:sz w:val="28"/>
          <w:szCs w:val="28"/>
          <w:lang w:val="en-US"/>
        </w:rPr>
        <w:t xml:space="preserve">leads to </w:t>
      </w:r>
      <w:r w:rsidR="003D4D2A">
        <w:rPr>
          <w:rFonts w:ascii="Arial" w:hAnsi="Arial" w:cs="Arial"/>
          <w:sz w:val="28"/>
          <w:szCs w:val="28"/>
          <w:lang w:val="en-US"/>
        </w:rPr>
        <w:t>the eventual harm</w:t>
      </w:r>
      <w:r w:rsidR="004D5A86">
        <w:rPr>
          <w:rFonts w:ascii="Arial" w:hAnsi="Arial" w:cs="Arial"/>
          <w:sz w:val="28"/>
          <w:szCs w:val="28"/>
          <w:lang w:val="en-US"/>
        </w:rPr>
        <w:t>.</w:t>
      </w:r>
      <w:r w:rsidR="00A23E0B">
        <w:rPr>
          <w:rFonts w:ascii="Arial" w:hAnsi="Arial" w:cs="Arial"/>
          <w:sz w:val="28"/>
          <w:szCs w:val="28"/>
          <w:lang w:val="en-US"/>
        </w:rPr>
        <w:t xml:space="preserve"> </w:t>
      </w:r>
      <w:r w:rsidR="004D5A86">
        <w:rPr>
          <w:rFonts w:ascii="Arial" w:hAnsi="Arial" w:cs="Arial"/>
          <w:sz w:val="28"/>
          <w:szCs w:val="28"/>
          <w:lang w:val="en-US"/>
        </w:rPr>
        <w:t>T</w:t>
      </w:r>
      <w:r w:rsidR="00A23E0B">
        <w:rPr>
          <w:rFonts w:ascii="Arial" w:hAnsi="Arial" w:cs="Arial"/>
          <w:sz w:val="28"/>
          <w:szCs w:val="28"/>
          <w:lang w:val="en-US"/>
        </w:rPr>
        <w:t>his would constitute an intervening act,</w:t>
      </w:r>
      <w:r w:rsidR="005658F2">
        <w:rPr>
          <w:rFonts w:ascii="Arial" w:hAnsi="Arial" w:cs="Arial"/>
          <w:sz w:val="28"/>
          <w:szCs w:val="28"/>
          <w:lang w:val="en-US"/>
        </w:rPr>
        <w:t xml:space="preserve"> </w:t>
      </w:r>
      <w:r w:rsidR="00B65625">
        <w:rPr>
          <w:rFonts w:ascii="Arial" w:hAnsi="Arial" w:cs="Arial"/>
          <w:sz w:val="28"/>
          <w:szCs w:val="28"/>
          <w:lang w:val="en-US"/>
        </w:rPr>
        <w:t>exonerating</w:t>
      </w:r>
      <w:r w:rsidR="00EF7186">
        <w:rPr>
          <w:rFonts w:ascii="Arial" w:hAnsi="Arial" w:cs="Arial"/>
          <w:sz w:val="28"/>
          <w:szCs w:val="28"/>
          <w:lang w:val="en-US"/>
        </w:rPr>
        <w:t xml:space="preserve"> the defendant of liability </w:t>
      </w:r>
      <w:r w:rsidR="00503985">
        <w:rPr>
          <w:rFonts w:ascii="Arial" w:hAnsi="Arial" w:cs="Arial"/>
          <w:sz w:val="28"/>
          <w:szCs w:val="28"/>
          <w:lang w:val="en-US"/>
        </w:rPr>
        <w:t>(Hayden, 2000).</w:t>
      </w:r>
    </w:p>
    <w:p w14:paraId="1787BFEB" w14:textId="4DDA67D9" w:rsidR="00BF08FB" w:rsidRDefault="00BF08FB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1A68984D" w14:textId="28BFAA90" w:rsidR="006B7F69" w:rsidRDefault="009537EE" w:rsidP="00E364A7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i/>
          <w:iCs/>
          <w:sz w:val="28"/>
          <w:szCs w:val="28"/>
          <w:lang w:val="en-US"/>
        </w:rPr>
        <w:t>McKew v Holland &amp; Hannen</w:t>
      </w:r>
      <w:r w:rsidR="00C22AB5">
        <w:rPr>
          <w:rFonts w:ascii="Arial" w:hAnsi="Arial" w:cs="Arial"/>
          <w:i/>
          <w:iCs/>
          <w:sz w:val="28"/>
          <w:szCs w:val="28"/>
          <w:lang w:val="en-US"/>
        </w:rPr>
        <w:t xml:space="preserve"> and Cubitts (Scotland) Ltd (1969) </w:t>
      </w:r>
      <w:r w:rsidR="004A453D">
        <w:rPr>
          <w:rFonts w:ascii="Arial" w:hAnsi="Arial" w:cs="Arial"/>
          <w:sz w:val="28"/>
          <w:szCs w:val="28"/>
          <w:lang w:val="en-US"/>
        </w:rPr>
        <w:t xml:space="preserve">is a </w:t>
      </w:r>
      <w:r w:rsidR="0008498E">
        <w:rPr>
          <w:rFonts w:ascii="Arial" w:hAnsi="Arial" w:cs="Arial"/>
          <w:sz w:val="28"/>
          <w:szCs w:val="28"/>
          <w:lang w:val="en-US"/>
        </w:rPr>
        <w:t>rare</w:t>
      </w:r>
      <w:r w:rsidR="004D0458">
        <w:rPr>
          <w:rFonts w:ascii="Arial" w:hAnsi="Arial" w:cs="Arial"/>
          <w:sz w:val="28"/>
          <w:szCs w:val="28"/>
          <w:lang w:val="en-US"/>
        </w:rPr>
        <w:t xml:space="preserve"> case where </w:t>
      </w:r>
      <w:r w:rsidR="005B09DA">
        <w:rPr>
          <w:rFonts w:ascii="Arial" w:hAnsi="Arial" w:cs="Arial"/>
          <w:sz w:val="28"/>
          <w:szCs w:val="28"/>
          <w:lang w:val="en-US"/>
        </w:rPr>
        <w:t xml:space="preserve">the </w:t>
      </w:r>
      <w:r w:rsidR="00506C1C">
        <w:rPr>
          <w:rFonts w:ascii="Arial" w:hAnsi="Arial" w:cs="Arial"/>
          <w:sz w:val="28"/>
          <w:szCs w:val="28"/>
          <w:lang w:val="en-US"/>
        </w:rPr>
        <w:t>cons</w:t>
      </w:r>
      <w:r w:rsidR="005B09DA">
        <w:rPr>
          <w:rFonts w:ascii="Arial" w:hAnsi="Arial" w:cs="Arial"/>
          <w:sz w:val="28"/>
          <w:szCs w:val="28"/>
          <w:lang w:val="en-US"/>
        </w:rPr>
        <w:t>equent act of the claimant br</w:t>
      </w:r>
      <w:r w:rsidR="00EE3CFD">
        <w:rPr>
          <w:rFonts w:ascii="Arial" w:hAnsi="Arial" w:cs="Arial"/>
          <w:sz w:val="28"/>
          <w:szCs w:val="28"/>
          <w:lang w:val="en-US"/>
        </w:rPr>
        <w:t>o</w:t>
      </w:r>
      <w:r w:rsidR="005B09DA">
        <w:rPr>
          <w:rFonts w:ascii="Arial" w:hAnsi="Arial" w:cs="Arial"/>
          <w:sz w:val="28"/>
          <w:szCs w:val="28"/>
          <w:lang w:val="en-US"/>
        </w:rPr>
        <w:t>k</w:t>
      </w:r>
      <w:r w:rsidR="00EE3CFD">
        <w:rPr>
          <w:rFonts w:ascii="Arial" w:hAnsi="Arial" w:cs="Arial"/>
          <w:sz w:val="28"/>
          <w:szCs w:val="28"/>
          <w:lang w:val="en-US"/>
        </w:rPr>
        <w:t>e</w:t>
      </w:r>
      <w:r w:rsidR="005B09DA">
        <w:rPr>
          <w:rFonts w:ascii="Arial" w:hAnsi="Arial" w:cs="Arial"/>
          <w:sz w:val="28"/>
          <w:szCs w:val="28"/>
          <w:lang w:val="en-US"/>
        </w:rPr>
        <w:t xml:space="preserve"> the chain of causation</w:t>
      </w:r>
      <w:r w:rsidR="00A57F98">
        <w:rPr>
          <w:rFonts w:ascii="Arial" w:hAnsi="Arial" w:cs="Arial"/>
          <w:sz w:val="28"/>
          <w:szCs w:val="28"/>
          <w:lang w:val="en-US"/>
        </w:rPr>
        <w:t xml:space="preserve"> (</w:t>
      </w:r>
      <w:r w:rsidR="00DE17DE">
        <w:rPr>
          <w:rFonts w:ascii="Arial" w:hAnsi="Arial" w:cs="Arial"/>
          <w:sz w:val="28"/>
          <w:szCs w:val="28"/>
          <w:lang w:val="en-US"/>
        </w:rPr>
        <w:t>Lunney and Oliphant, 2013, pp. 260</w:t>
      </w:r>
      <w:r w:rsidR="00A57F98">
        <w:rPr>
          <w:rFonts w:ascii="Arial" w:hAnsi="Arial" w:cs="Arial"/>
          <w:sz w:val="28"/>
          <w:szCs w:val="28"/>
          <w:lang w:val="en-US"/>
        </w:rPr>
        <w:t>)</w:t>
      </w:r>
      <w:r w:rsidR="001C2498">
        <w:rPr>
          <w:rFonts w:ascii="Arial" w:hAnsi="Arial" w:cs="Arial"/>
          <w:sz w:val="28"/>
          <w:szCs w:val="28"/>
          <w:lang w:val="en-US"/>
        </w:rPr>
        <w:t xml:space="preserve">. </w:t>
      </w:r>
      <w:r w:rsidR="000D7FF5">
        <w:rPr>
          <w:rFonts w:ascii="Arial" w:hAnsi="Arial" w:cs="Arial"/>
          <w:sz w:val="28"/>
          <w:szCs w:val="28"/>
          <w:lang w:val="en-US"/>
        </w:rPr>
        <w:t xml:space="preserve">The claimant </w:t>
      </w:r>
      <w:r w:rsidR="00B15800">
        <w:rPr>
          <w:rFonts w:ascii="Arial" w:hAnsi="Arial" w:cs="Arial"/>
          <w:sz w:val="28"/>
          <w:szCs w:val="28"/>
          <w:lang w:val="en-US"/>
        </w:rPr>
        <w:t>alleged that the injuries he sustained when falling down a</w:t>
      </w:r>
      <w:r w:rsidR="005646B5">
        <w:rPr>
          <w:rFonts w:ascii="Arial" w:hAnsi="Arial" w:cs="Arial"/>
          <w:sz w:val="28"/>
          <w:szCs w:val="28"/>
          <w:lang w:val="en-US"/>
        </w:rPr>
        <w:t xml:space="preserve"> </w:t>
      </w:r>
      <w:r w:rsidR="00B15800">
        <w:rPr>
          <w:rFonts w:ascii="Arial" w:hAnsi="Arial" w:cs="Arial"/>
          <w:sz w:val="28"/>
          <w:szCs w:val="28"/>
          <w:lang w:val="en-US"/>
        </w:rPr>
        <w:t xml:space="preserve">flight of stairs </w:t>
      </w:r>
      <w:r w:rsidR="00541991">
        <w:rPr>
          <w:rFonts w:ascii="Arial" w:hAnsi="Arial" w:cs="Arial"/>
          <w:sz w:val="28"/>
          <w:szCs w:val="28"/>
          <w:lang w:val="en-US"/>
        </w:rPr>
        <w:t xml:space="preserve">with no handrail </w:t>
      </w:r>
      <w:r w:rsidR="00B15800">
        <w:rPr>
          <w:rFonts w:ascii="Arial" w:hAnsi="Arial" w:cs="Arial"/>
          <w:sz w:val="28"/>
          <w:szCs w:val="28"/>
          <w:lang w:val="en-US"/>
        </w:rPr>
        <w:t>w</w:t>
      </w:r>
      <w:r w:rsidR="00FB2165">
        <w:rPr>
          <w:rFonts w:ascii="Arial" w:hAnsi="Arial" w:cs="Arial"/>
          <w:sz w:val="28"/>
          <w:szCs w:val="28"/>
          <w:lang w:val="en-US"/>
        </w:rPr>
        <w:t>ere</w:t>
      </w:r>
      <w:r w:rsidR="00B15800">
        <w:rPr>
          <w:rFonts w:ascii="Arial" w:hAnsi="Arial" w:cs="Arial"/>
          <w:sz w:val="28"/>
          <w:szCs w:val="28"/>
          <w:lang w:val="en-US"/>
        </w:rPr>
        <w:t xml:space="preserve"> attributable to his employers as </w:t>
      </w:r>
      <w:r w:rsidR="00230D8E">
        <w:rPr>
          <w:rFonts w:ascii="Arial" w:hAnsi="Arial" w:cs="Arial"/>
          <w:sz w:val="28"/>
          <w:szCs w:val="28"/>
          <w:lang w:val="en-US"/>
        </w:rPr>
        <w:t xml:space="preserve">they were </w:t>
      </w:r>
      <w:r w:rsidR="00C52C9E">
        <w:rPr>
          <w:rFonts w:ascii="Arial" w:hAnsi="Arial" w:cs="Arial"/>
          <w:sz w:val="28"/>
          <w:szCs w:val="28"/>
          <w:lang w:val="en-US"/>
        </w:rPr>
        <w:t xml:space="preserve">culpable for an </w:t>
      </w:r>
      <w:r w:rsidR="009B6FD6">
        <w:rPr>
          <w:rFonts w:ascii="Arial" w:hAnsi="Arial" w:cs="Arial"/>
          <w:sz w:val="28"/>
          <w:szCs w:val="28"/>
          <w:lang w:val="en-US"/>
        </w:rPr>
        <w:t>existing</w:t>
      </w:r>
      <w:r w:rsidR="006A708D">
        <w:rPr>
          <w:rFonts w:ascii="Arial" w:hAnsi="Arial" w:cs="Arial"/>
          <w:sz w:val="28"/>
          <w:szCs w:val="28"/>
          <w:lang w:val="en-US"/>
        </w:rPr>
        <w:t xml:space="preserve"> earlier</w:t>
      </w:r>
      <w:r w:rsidR="00C52C9E">
        <w:rPr>
          <w:rFonts w:ascii="Arial" w:hAnsi="Arial" w:cs="Arial"/>
          <w:sz w:val="28"/>
          <w:szCs w:val="28"/>
          <w:lang w:val="en-US"/>
        </w:rPr>
        <w:t xml:space="preserve"> </w:t>
      </w:r>
      <w:r w:rsidR="006A708D">
        <w:rPr>
          <w:rFonts w:ascii="Arial" w:hAnsi="Arial" w:cs="Arial"/>
          <w:sz w:val="28"/>
          <w:szCs w:val="28"/>
          <w:lang w:val="en-US"/>
        </w:rPr>
        <w:t>in</w:t>
      </w:r>
      <w:r w:rsidR="009B6FD6">
        <w:rPr>
          <w:rFonts w:ascii="Arial" w:hAnsi="Arial" w:cs="Arial"/>
          <w:sz w:val="28"/>
          <w:szCs w:val="28"/>
          <w:lang w:val="en-US"/>
        </w:rPr>
        <w:t>dustrial in</w:t>
      </w:r>
      <w:r w:rsidR="006A708D">
        <w:rPr>
          <w:rFonts w:ascii="Arial" w:hAnsi="Arial" w:cs="Arial"/>
          <w:sz w:val="28"/>
          <w:szCs w:val="28"/>
          <w:lang w:val="en-US"/>
        </w:rPr>
        <w:t>jury</w:t>
      </w:r>
      <w:r w:rsidR="009B6FD6">
        <w:rPr>
          <w:rFonts w:ascii="Arial" w:hAnsi="Arial" w:cs="Arial"/>
          <w:sz w:val="28"/>
          <w:szCs w:val="28"/>
          <w:lang w:val="en-US"/>
        </w:rPr>
        <w:t>.</w:t>
      </w:r>
      <w:r w:rsidR="00C72F0F">
        <w:rPr>
          <w:rFonts w:ascii="Arial" w:hAnsi="Arial" w:cs="Arial"/>
          <w:sz w:val="28"/>
          <w:szCs w:val="28"/>
          <w:lang w:val="en-US"/>
        </w:rPr>
        <w:t xml:space="preserve"> </w:t>
      </w:r>
      <w:r w:rsidR="003506A2">
        <w:rPr>
          <w:rFonts w:ascii="Arial" w:hAnsi="Arial" w:cs="Arial"/>
          <w:sz w:val="28"/>
          <w:szCs w:val="28"/>
          <w:lang w:val="en-US"/>
        </w:rPr>
        <w:t xml:space="preserve">The claimant </w:t>
      </w:r>
      <w:r w:rsidR="00EB46F5">
        <w:rPr>
          <w:rFonts w:ascii="Arial" w:hAnsi="Arial" w:cs="Arial"/>
          <w:sz w:val="28"/>
          <w:szCs w:val="28"/>
          <w:lang w:val="en-US"/>
        </w:rPr>
        <w:t xml:space="preserve">inferred that the </w:t>
      </w:r>
      <w:r w:rsidR="00160C20">
        <w:rPr>
          <w:rFonts w:ascii="Arial" w:hAnsi="Arial" w:cs="Arial"/>
          <w:sz w:val="28"/>
          <w:szCs w:val="28"/>
          <w:lang w:val="en-US"/>
        </w:rPr>
        <w:t xml:space="preserve">fall was caused </w:t>
      </w:r>
      <w:r w:rsidR="003317E2">
        <w:rPr>
          <w:rFonts w:ascii="Arial" w:hAnsi="Arial" w:cs="Arial"/>
          <w:sz w:val="28"/>
          <w:szCs w:val="28"/>
          <w:lang w:val="en-US"/>
        </w:rPr>
        <w:t>by his leg giving way</w:t>
      </w:r>
      <w:r w:rsidR="009B6FD6">
        <w:rPr>
          <w:rFonts w:ascii="Arial" w:hAnsi="Arial" w:cs="Arial"/>
          <w:sz w:val="28"/>
          <w:szCs w:val="28"/>
          <w:lang w:val="en-US"/>
        </w:rPr>
        <w:t xml:space="preserve"> (Buckley, 2018).</w:t>
      </w:r>
      <w:r w:rsidR="006A708D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2735B179" w14:textId="5893AABE" w:rsidR="002D4179" w:rsidRDefault="0041225A" w:rsidP="007B6A44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 xml:space="preserve">The court </w:t>
      </w:r>
      <w:r w:rsidR="00703D29">
        <w:rPr>
          <w:rFonts w:ascii="Arial" w:hAnsi="Arial" w:cs="Arial"/>
          <w:sz w:val="28"/>
          <w:szCs w:val="28"/>
          <w:lang w:val="en-US"/>
        </w:rPr>
        <w:t>held that in deciding to descend the staircase without assistance</w:t>
      </w:r>
      <w:r w:rsidR="00B1079B">
        <w:rPr>
          <w:rFonts w:ascii="Arial" w:hAnsi="Arial" w:cs="Arial"/>
          <w:sz w:val="28"/>
          <w:szCs w:val="28"/>
          <w:lang w:val="en-US"/>
        </w:rPr>
        <w:t xml:space="preserve">, </w:t>
      </w:r>
      <w:r w:rsidR="002E1661">
        <w:rPr>
          <w:rFonts w:ascii="Arial" w:hAnsi="Arial" w:cs="Arial"/>
          <w:sz w:val="28"/>
          <w:szCs w:val="28"/>
          <w:lang w:val="en-US"/>
        </w:rPr>
        <w:t>the defendant had knowingly act</w:t>
      </w:r>
      <w:r w:rsidR="00E21988">
        <w:rPr>
          <w:rFonts w:ascii="Arial" w:hAnsi="Arial" w:cs="Arial"/>
          <w:sz w:val="28"/>
          <w:szCs w:val="28"/>
          <w:lang w:val="en-US"/>
        </w:rPr>
        <w:t>ed</w:t>
      </w:r>
      <w:r w:rsidR="002E1661">
        <w:rPr>
          <w:rFonts w:ascii="Arial" w:hAnsi="Arial" w:cs="Arial"/>
          <w:sz w:val="28"/>
          <w:szCs w:val="28"/>
          <w:lang w:val="en-US"/>
        </w:rPr>
        <w:t xml:space="preserve"> unreasonably</w:t>
      </w:r>
      <w:r w:rsidR="00A04765">
        <w:rPr>
          <w:rFonts w:ascii="Arial" w:hAnsi="Arial" w:cs="Arial"/>
          <w:sz w:val="28"/>
          <w:szCs w:val="28"/>
          <w:lang w:val="en-US"/>
        </w:rPr>
        <w:t>.</w:t>
      </w:r>
      <w:r w:rsidR="002E1661">
        <w:rPr>
          <w:rFonts w:ascii="Arial" w:hAnsi="Arial" w:cs="Arial"/>
          <w:sz w:val="28"/>
          <w:szCs w:val="28"/>
          <w:lang w:val="en-US"/>
        </w:rPr>
        <w:t xml:space="preserve"> </w:t>
      </w:r>
      <w:r w:rsidR="00873A65">
        <w:rPr>
          <w:rFonts w:ascii="Arial" w:hAnsi="Arial" w:cs="Arial"/>
          <w:sz w:val="28"/>
          <w:szCs w:val="28"/>
          <w:lang w:val="en-US"/>
        </w:rPr>
        <w:t>His actions were viewed as a</w:t>
      </w:r>
      <w:r w:rsidR="00BD73C4">
        <w:rPr>
          <w:rFonts w:ascii="Arial" w:hAnsi="Arial" w:cs="Arial"/>
          <w:sz w:val="28"/>
          <w:szCs w:val="28"/>
          <w:lang w:val="en-US"/>
        </w:rPr>
        <w:t>n intervening act</w:t>
      </w:r>
      <w:r w:rsidR="007D1EB1">
        <w:rPr>
          <w:rFonts w:ascii="Arial" w:hAnsi="Arial" w:cs="Arial"/>
          <w:sz w:val="28"/>
          <w:szCs w:val="28"/>
          <w:lang w:val="en-US"/>
        </w:rPr>
        <w:t xml:space="preserve">, </w:t>
      </w:r>
      <w:r w:rsidR="00873A65">
        <w:rPr>
          <w:rFonts w:ascii="Arial" w:hAnsi="Arial" w:cs="Arial"/>
          <w:sz w:val="28"/>
          <w:szCs w:val="28"/>
          <w:lang w:val="en-US"/>
        </w:rPr>
        <w:t>subsequently breaking the chain of causation.</w:t>
      </w:r>
      <w:r w:rsidR="00A04765">
        <w:rPr>
          <w:rFonts w:ascii="Arial" w:hAnsi="Arial" w:cs="Arial"/>
          <w:sz w:val="28"/>
          <w:szCs w:val="28"/>
          <w:lang w:val="en-US"/>
        </w:rPr>
        <w:t xml:space="preserve"> Therefore, </w:t>
      </w:r>
      <w:r w:rsidR="00A73CE8">
        <w:rPr>
          <w:rFonts w:ascii="Arial" w:hAnsi="Arial" w:cs="Arial"/>
          <w:sz w:val="28"/>
          <w:szCs w:val="28"/>
          <w:lang w:val="en-US"/>
        </w:rPr>
        <w:t xml:space="preserve">the defendant </w:t>
      </w:r>
      <w:r w:rsidR="00A04765">
        <w:rPr>
          <w:rFonts w:ascii="Arial" w:hAnsi="Arial" w:cs="Arial"/>
          <w:sz w:val="28"/>
          <w:szCs w:val="28"/>
          <w:lang w:val="en-US"/>
        </w:rPr>
        <w:t>was only liable for his negligence</w:t>
      </w:r>
      <w:r w:rsidR="00A90ADB">
        <w:rPr>
          <w:rFonts w:ascii="Arial" w:hAnsi="Arial" w:cs="Arial"/>
          <w:sz w:val="28"/>
          <w:szCs w:val="28"/>
          <w:lang w:val="en-US"/>
        </w:rPr>
        <w:t xml:space="preserve">, not the claimant’s </w:t>
      </w:r>
      <w:r w:rsidR="00FD76FB">
        <w:rPr>
          <w:rFonts w:ascii="Arial" w:hAnsi="Arial" w:cs="Arial"/>
          <w:sz w:val="28"/>
          <w:szCs w:val="28"/>
          <w:lang w:val="en-US"/>
        </w:rPr>
        <w:t>injuries sustained by his reckless decision making</w:t>
      </w:r>
      <w:r w:rsidR="00A04765">
        <w:rPr>
          <w:rFonts w:ascii="Arial" w:hAnsi="Arial" w:cs="Arial"/>
          <w:sz w:val="28"/>
          <w:szCs w:val="28"/>
          <w:lang w:val="en-US"/>
        </w:rPr>
        <w:t xml:space="preserve"> (Enable Law, 2018).</w:t>
      </w:r>
      <w:r w:rsidR="00AC33A8">
        <w:rPr>
          <w:rFonts w:ascii="Arial" w:hAnsi="Arial" w:cs="Arial"/>
          <w:sz w:val="28"/>
          <w:szCs w:val="28"/>
          <w:lang w:val="en-US"/>
        </w:rPr>
        <w:t xml:space="preserve"> </w:t>
      </w:r>
      <w:r w:rsidR="00881DD9">
        <w:rPr>
          <w:rFonts w:ascii="Arial" w:hAnsi="Arial" w:cs="Arial"/>
          <w:sz w:val="28"/>
          <w:szCs w:val="28"/>
          <w:lang w:val="en-US"/>
        </w:rPr>
        <w:t>Lord Re</w:t>
      </w:r>
      <w:r w:rsidR="0041446B">
        <w:rPr>
          <w:rFonts w:ascii="Arial" w:hAnsi="Arial" w:cs="Arial"/>
          <w:sz w:val="28"/>
          <w:szCs w:val="28"/>
          <w:lang w:val="en-US"/>
        </w:rPr>
        <w:t xml:space="preserve">id held that it was an unreasonable act </w:t>
      </w:r>
      <w:r w:rsidR="00FC5AA6">
        <w:rPr>
          <w:rFonts w:ascii="Arial" w:hAnsi="Arial" w:cs="Arial"/>
          <w:sz w:val="28"/>
          <w:szCs w:val="28"/>
          <w:lang w:val="en-US"/>
        </w:rPr>
        <w:t xml:space="preserve">for </w:t>
      </w:r>
      <w:r w:rsidR="0041446B">
        <w:rPr>
          <w:rFonts w:ascii="Arial" w:hAnsi="Arial" w:cs="Arial"/>
          <w:sz w:val="28"/>
          <w:szCs w:val="28"/>
          <w:lang w:val="en-US"/>
        </w:rPr>
        <w:t>which the defendant</w:t>
      </w:r>
      <w:r w:rsidR="00FC5AA6">
        <w:rPr>
          <w:rFonts w:ascii="Arial" w:hAnsi="Arial" w:cs="Arial"/>
          <w:sz w:val="28"/>
          <w:szCs w:val="28"/>
          <w:lang w:val="en-US"/>
        </w:rPr>
        <w:t xml:space="preserve"> was not responsible</w:t>
      </w:r>
      <w:r w:rsidR="005F6BBF">
        <w:rPr>
          <w:rFonts w:ascii="Arial" w:hAnsi="Arial" w:cs="Arial"/>
          <w:sz w:val="28"/>
          <w:szCs w:val="28"/>
          <w:lang w:val="en-US"/>
        </w:rPr>
        <w:t xml:space="preserve"> (Lunney and Oliphant, 2013, pp. 260)</w:t>
      </w:r>
      <w:r w:rsidR="00FC5AA6">
        <w:rPr>
          <w:rFonts w:ascii="Arial" w:hAnsi="Arial" w:cs="Arial"/>
          <w:sz w:val="28"/>
          <w:szCs w:val="28"/>
          <w:lang w:val="en-US"/>
        </w:rPr>
        <w:t>.</w:t>
      </w:r>
      <w:r w:rsidR="005F6BBF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340A2DE4" w14:textId="77777777" w:rsidR="00AF76BC" w:rsidRPr="00E677E1" w:rsidRDefault="00AF76BC" w:rsidP="007B6A44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</w:p>
    <w:p w14:paraId="2F3AE423" w14:textId="10BE7641" w:rsidR="00053C8B" w:rsidRDefault="0002715B" w:rsidP="007B6A44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In contrast to </w:t>
      </w:r>
      <w:r w:rsidR="0014274E">
        <w:rPr>
          <w:rFonts w:ascii="Arial" w:hAnsi="Arial" w:cs="Arial"/>
          <w:i/>
          <w:iCs/>
          <w:sz w:val="28"/>
          <w:szCs w:val="28"/>
          <w:lang w:val="en-US"/>
        </w:rPr>
        <w:t>McKew</w:t>
      </w:r>
      <w:r w:rsidR="00222074">
        <w:rPr>
          <w:rFonts w:ascii="Arial" w:hAnsi="Arial" w:cs="Arial"/>
          <w:i/>
          <w:iCs/>
          <w:sz w:val="28"/>
          <w:szCs w:val="28"/>
          <w:lang w:val="en-US"/>
        </w:rPr>
        <w:t>,</w:t>
      </w:r>
      <w:r w:rsidR="00A85CBB" w:rsidRPr="002D4179">
        <w:rPr>
          <w:rFonts w:ascii="Arial" w:hAnsi="Arial" w:cs="Arial"/>
          <w:sz w:val="28"/>
          <w:szCs w:val="28"/>
          <w:lang w:val="en-US"/>
        </w:rPr>
        <w:t xml:space="preserve"> </w:t>
      </w:r>
      <w:r w:rsidR="00A85CBB" w:rsidRPr="002D4179">
        <w:rPr>
          <w:rFonts w:ascii="Arial" w:hAnsi="Arial" w:cs="Arial"/>
          <w:i/>
          <w:iCs/>
          <w:sz w:val="28"/>
          <w:szCs w:val="28"/>
          <w:lang w:val="en-US"/>
        </w:rPr>
        <w:t>Wieland v Cyril Lord Carpets Ltd (1969</w:t>
      </w:r>
      <w:r w:rsidR="00222074">
        <w:rPr>
          <w:rFonts w:ascii="Arial" w:hAnsi="Arial" w:cs="Arial"/>
          <w:i/>
          <w:iCs/>
          <w:sz w:val="28"/>
          <w:szCs w:val="28"/>
          <w:lang w:val="en-US"/>
        </w:rPr>
        <w:t xml:space="preserve">) </w:t>
      </w:r>
      <w:r w:rsidR="00222074">
        <w:rPr>
          <w:rFonts w:ascii="Arial" w:hAnsi="Arial" w:cs="Arial"/>
          <w:sz w:val="28"/>
          <w:szCs w:val="28"/>
          <w:lang w:val="en-US"/>
        </w:rPr>
        <w:t xml:space="preserve">held that the claimant had not acted unreasonably </w:t>
      </w:r>
      <w:r w:rsidR="00C04CC5">
        <w:rPr>
          <w:rFonts w:ascii="Arial" w:hAnsi="Arial" w:cs="Arial"/>
          <w:sz w:val="28"/>
          <w:szCs w:val="28"/>
          <w:lang w:val="en-US"/>
        </w:rPr>
        <w:t>in attempt</w:t>
      </w:r>
      <w:r w:rsidR="00AF4C7C">
        <w:rPr>
          <w:rFonts w:ascii="Arial" w:hAnsi="Arial" w:cs="Arial"/>
          <w:sz w:val="28"/>
          <w:szCs w:val="28"/>
          <w:lang w:val="en-US"/>
        </w:rPr>
        <w:t>ing</w:t>
      </w:r>
      <w:r w:rsidR="00C04CC5">
        <w:rPr>
          <w:rFonts w:ascii="Arial" w:hAnsi="Arial" w:cs="Arial"/>
          <w:sz w:val="28"/>
          <w:szCs w:val="28"/>
          <w:lang w:val="en-US"/>
        </w:rPr>
        <w:t xml:space="preserve"> to descend a staircase</w:t>
      </w:r>
      <w:r w:rsidR="006312ED">
        <w:rPr>
          <w:rFonts w:ascii="Arial" w:hAnsi="Arial" w:cs="Arial"/>
          <w:sz w:val="28"/>
          <w:szCs w:val="28"/>
          <w:lang w:val="en-US"/>
        </w:rPr>
        <w:t>,</w:t>
      </w:r>
      <w:r w:rsidR="00BC1092">
        <w:rPr>
          <w:rFonts w:ascii="Arial" w:hAnsi="Arial" w:cs="Arial"/>
          <w:sz w:val="28"/>
          <w:szCs w:val="28"/>
          <w:lang w:val="en-US"/>
        </w:rPr>
        <w:t xml:space="preserve"> </w:t>
      </w:r>
      <w:r w:rsidR="0054216A">
        <w:rPr>
          <w:rFonts w:ascii="Arial" w:hAnsi="Arial" w:cs="Arial"/>
          <w:sz w:val="28"/>
          <w:szCs w:val="28"/>
          <w:lang w:val="en-US"/>
        </w:rPr>
        <w:t>keeping the causal chain in-tact.</w:t>
      </w:r>
      <w:r w:rsidR="00BC1092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3B1052A" w14:textId="645F9DFE" w:rsidR="00E73191" w:rsidRDefault="008479D5" w:rsidP="00F0250E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The court heard that a </w:t>
      </w:r>
      <w:r w:rsidR="00312FF3">
        <w:rPr>
          <w:rFonts w:ascii="Arial" w:hAnsi="Arial" w:cs="Arial"/>
          <w:sz w:val="28"/>
          <w:szCs w:val="28"/>
          <w:lang w:val="en-US"/>
        </w:rPr>
        <w:t xml:space="preserve">previous injury to </w:t>
      </w:r>
      <w:r w:rsidR="00476EC9">
        <w:rPr>
          <w:rFonts w:ascii="Arial" w:hAnsi="Arial" w:cs="Arial"/>
          <w:sz w:val="28"/>
          <w:szCs w:val="28"/>
          <w:lang w:val="en-US"/>
        </w:rPr>
        <w:t xml:space="preserve">the </w:t>
      </w:r>
      <w:r w:rsidR="00312FF3">
        <w:rPr>
          <w:rFonts w:ascii="Arial" w:hAnsi="Arial" w:cs="Arial"/>
          <w:sz w:val="28"/>
          <w:szCs w:val="28"/>
          <w:lang w:val="en-US"/>
        </w:rPr>
        <w:t xml:space="preserve">claimant’s neck as a result of the defendant’s negligence </w:t>
      </w:r>
      <w:r w:rsidR="00C21DAD">
        <w:rPr>
          <w:rFonts w:ascii="Arial" w:hAnsi="Arial" w:cs="Arial"/>
          <w:sz w:val="28"/>
          <w:szCs w:val="28"/>
          <w:lang w:val="en-US"/>
        </w:rPr>
        <w:t xml:space="preserve">meant that the claimant had to wear a surgical collar which </w:t>
      </w:r>
      <w:r w:rsidR="00493202">
        <w:rPr>
          <w:rFonts w:ascii="Arial" w:hAnsi="Arial" w:cs="Arial"/>
          <w:sz w:val="28"/>
          <w:szCs w:val="28"/>
          <w:lang w:val="en-US"/>
        </w:rPr>
        <w:t xml:space="preserve">prevented her wearing bifocals. </w:t>
      </w:r>
      <w:r w:rsidR="00B4193F">
        <w:rPr>
          <w:rFonts w:ascii="Arial" w:hAnsi="Arial" w:cs="Arial"/>
          <w:sz w:val="28"/>
          <w:szCs w:val="28"/>
          <w:lang w:val="en-US"/>
        </w:rPr>
        <w:t>The c</w:t>
      </w:r>
      <w:r w:rsidR="0076109C">
        <w:rPr>
          <w:rFonts w:ascii="Arial" w:hAnsi="Arial" w:cs="Arial"/>
          <w:sz w:val="28"/>
          <w:szCs w:val="28"/>
          <w:lang w:val="en-US"/>
        </w:rPr>
        <w:t>laimant</w:t>
      </w:r>
      <w:r w:rsidR="00920E63">
        <w:rPr>
          <w:rFonts w:ascii="Arial" w:hAnsi="Arial" w:cs="Arial"/>
          <w:sz w:val="28"/>
          <w:szCs w:val="28"/>
          <w:lang w:val="en-US"/>
        </w:rPr>
        <w:t xml:space="preserve"> fell whilst descending </w:t>
      </w:r>
      <w:r w:rsidR="00B4193F">
        <w:rPr>
          <w:rFonts w:ascii="Arial" w:hAnsi="Arial" w:cs="Arial"/>
          <w:sz w:val="28"/>
          <w:szCs w:val="28"/>
          <w:lang w:val="en-US"/>
        </w:rPr>
        <w:t>a</w:t>
      </w:r>
      <w:r w:rsidR="009306A5">
        <w:rPr>
          <w:rFonts w:ascii="Arial" w:hAnsi="Arial" w:cs="Arial"/>
          <w:sz w:val="28"/>
          <w:szCs w:val="28"/>
          <w:lang w:val="en-US"/>
        </w:rPr>
        <w:t xml:space="preserve"> flight of stairs</w:t>
      </w:r>
      <w:r w:rsidR="00CF36C3">
        <w:rPr>
          <w:rFonts w:ascii="Arial" w:hAnsi="Arial" w:cs="Arial"/>
          <w:sz w:val="28"/>
          <w:szCs w:val="28"/>
          <w:lang w:val="en-US"/>
        </w:rPr>
        <w:t xml:space="preserve"> (Casson, 1970)</w:t>
      </w:r>
      <w:r w:rsidR="0003134E">
        <w:rPr>
          <w:rFonts w:ascii="Arial" w:hAnsi="Arial" w:cs="Arial"/>
          <w:sz w:val="28"/>
          <w:szCs w:val="28"/>
          <w:lang w:val="en-US"/>
        </w:rPr>
        <w:t>, t</w:t>
      </w:r>
      <w:r w:rsidR="0043134F">
        <w:rPr>
          <w:rFonts w:ascii="Arial" w:hAnsi="Arial" w:cs="Arial"/>
          <w:sz w:val="28"/>
          <w:szCs w:val="28"/>
          <w:lang w:val="en-US"/>
        </w:rPr>
        <w:t xml:space="preserve">he court ruled </w:t>
      </w:r>
      <w:r w:rsidR="001A7F25">
        <w:rPr>
          <w:rFonts w:ascii="Arial" w:hAnsi="Arial" w:cs="Arial"/>
          <w:sz w:val="28"/>
          <w:szCs w:val="28"/>
          <w:lang w:val="en-US"/>
        </w:rPr>
        <w:t xml:space="preserve">in favour of the claimant as </w:t>
      </w:r>
      <w:r w:rsidR="00F80246">
        <w:rPr>
          <w:rFonts w:ascii="Arial" w:hAnsi="Arial" w:cs="Arial"/>
          <w:sz w:val="28"/>
          <w:szCs w:val="28"/>
          <w:lang w:val="en-US"/>
        </w:rPr>
        <w:t>the fall was attributable to the defendant’s original negligence</w:t>
      </w:r>
      <w:r w:rsidR="004566E2">
        <w:rPr>
          <w:rFonts w:ascii="Arial" w:hAnsi="Arial" w:cs="Arial"/>
          <w:sz w:val="28"/>
          <w:szCs w:val="28"/>
          <w:lang w:val="en-US"/>
        </w:rPr>
        <w:t xml:space="preserve">. Therefore, </w:t>
      </w:r>
      <w:r w:rsidR="001A7F25">
        <w:rPr>
          <w:rFonts w:ascii="Arial" w:hAnsi="Arial" w:cs="Arial"/>
          <w:sz w:val="28"/>
          <w:szCs w:val="28"/>
          <w:lang w:val="en-US"/>
        </w:rPr>
        <w:t>i</w:t>
      </w:r>
      <w:r w:rsidR="00A1717C">
        <w:rPr>
          <w:rFonts w:ascii="Arial" w:hAnsi="Arial" w:cs="Arial"/>
          <w:sz w:val="28"/>
          <w:szCs w:val="28"/>
          <w:lang w:val="en-US"/>
        </w:rPr>
        <w:t xml:space="preserve">t was not </w:t>
      </w:r>
      <w:r w:rsidR="00C81F07">
        <w:rPr>
          <w:rFonts w:ascii="Arial" w:hAnsi="Arial" w:cs="Arial"/>
          <w:sz w:val="28"/>
          <w:szCs w:val="28"/>
          <w:lang w:val="en-US"/>
        </w:rPr>
        <w:t xml:space="preserve">unreasonable for her to </w:t>
      </w:r>
      <w:r w:rsidR="00CE108E">
        <w:rPr>
          <w:rFonts w:ascii="Arial" w:hAnsi="Arial" w:cs="Arial"/>
          <w:sz w:val="28"/>
          <w:szCs w:val="28"/>
          <w:lang w:val="en-US"/>
        </w:rPr>
        <w:t xml:space="preserve">not </w:t>
      </w:r>
      <w:r w:rsidR="00C81F07">
        <w:rPr>
          <w:rFonts w:ascii="Arial" w:hAnsi="Arial" w:cs="Arial"/>
          <w:sz w:val="28"/>
          <w:szCs w:val="28"/>
          <w:lang w:val="en-US"/>
        </w:rPr>
        <w:t xml:space="preserve">wear the </w:t>
      </w:r>
      <w:r w:rsidR="00BF40AB">
        <w:rPr>
          <w:rFonts w:ascii="Arial" w:hAnsi="Arial" w:cs="Arial"/>
          <w:sz w:val="28"/>
          <w:szCs w:val="28"/>
          <w:lang w:val="en-US"/>
        </w:rPr>
        <w:t>bifocals</w:t>
      </w:r>
      <w:r w:rsidR="00F25E22">
        <w:rPr>
          <w:rFonts w:ascii="Arial" w:hAnsi="Arial" w:cs="Arial"/>
          <w:sz w:val="28"/>
          <w:szCs w:val="28"/>
          <w:lang w:val="en-US"/>
        </w:rPr>
        <w:t xml:space="preserve">, </w:t>
      </w:r>
      <w:r w:rsidR="00DB1AC1">
        <w:rPr>
          <w:rFonts w:ascii="Arial" w:hAnsi="Arial" w:cs="Arial"/>
          <w:sz w:val="28"/>
          <w:szCs w:val="28"/>
          <w:lang w:val="en-US"/>
        </w:rPr>
        <w:t xml:space="preserve">as </w:t>
      </w:r>
      <w:r w:rsidR="00F25E22">
        <w:rPr>
          <w:rFonts w:ascii="Arial" w:hAnsi="Arial" w:cs="Arial"/>
          <w:sz w:val="28"/>
          <w:szCs w:val="28"/>
          <w:lang w:val="en-US"/>
        </w:rPr>
        <w:t xml:space="preserve">the first injury meant that </w:t>
      </w:r>
      <w:r w:rsidR="00CE108E">
        <w:rPr>
          <w:rFonts w:ascii="Arial" w:hAnsi="Arial" w:cs="Arial"/>
          <w:sz w:val="28"/>
          <w:szCs w:val="28"/>
          <w:lang w:val="en-US"/>
        </w:rPr>
        <w:t>this would prove difficult</w:t>
      </w:r>
      <w:r w:rsidR="00BF40AB">
        <w:rPr>
          <w:rFonts w:ascii="Arial" w:hAnsi="Arial" w:cs="Arial"/>
          <w:sz w:val="28"/>
          <w:szCs w:val="28"/>
          <w:lang w:val="en-US"/>
        </w:rPr>
        <w:t>,</w:t>
      </w:r>
      <w:r w:rsidR="00CE108E">
        <w:rPr>
          <w:rFonts w:ascii="Arial" w:hAnsi="Arial" w:cs="Arial"/>
          <w:sz w:val="28"/>
          <w:szCs w:val="28"/>
          <w:lang w:val="en-US"/>
        </w:rPr>
        <w:t xml:space="preserve"> resulting in the claimant</w:t>
      </w:r>
      <w:r w:rsidR="00A66EA8">
        <w:rPr>
          <w:rFonts w:ascii="Arial" w:hAnsi="Arial" w:cs="Arial"/>
          <w:sz w:val="28"/>
          <w:szCs w:val="28"/>
          <w:lang w:val="en-US"/>
        </w:rPr>
        <w:t xml:space="preserve"> not </w:t>
      </w:r>
      <w:r w:rsidR="00A66EA8">
        <w:rPr>
          <w:rFonts w:ascii="Arial" w:hAnsi="Arial" w:cs="Arial"/>
          <w:sz w:val="28"/>
          <w:szCs w:val="28"/>
          <w:lang w:val="en-US"/>
        </w:rPr>
        <w:lastRenderedPageBreak/>
        <w:t>cop</w:t>
      </w:r>
      <w:r w:rsidR="00DD061F">
        <w:rPr>
          <w:rFonts w:ascii="Arial" w:hAnsi="Arial" w:cs="Arial"/>
          <w:sz w:val="28"/>
          <w:szCs w:val="28"/>
          <w:lang w:val="en-US"/>
        </w:rPr>
        <w:t>ing</w:t>
      </w:r>
      <w:r w:rsidR="00A66EA8">
        <w:rPr>
          <w:rFonts w:ascii="Arial" w:hAnsi="Arial" w:cs="Arial"/>
          <w:sz w:val="28"/>
          <w:szCs w:val="28"/>
          <w:lang w:val="en-US"/>
        </w:rPr>
        <w:t xml:space="preserve"> with the</w:t>
      </w:r>
      <w:r w:rsidR="002B45F9">
        <w:rPr>
          <w:rFonts w:ascii="Arial" w:hAnsi="Arial" w:cs="Arial"/>
          <w:sz w:val="28"/>
          <w:szCs w:val="28"/>
          <w:lang w:val="en-US"/>
        </w:rPr>
        <w:t xml:space="preserve"> tasks which were</w:t>
      </w:r>
      <w:r w:rsidR="00A66EA8">
        <w:rPr>
          <w:rFonts w:ascii="Arial" w:hAnsi="Arial" w:cs="Arial"/>
          <w:sz w:val="28"/>
          <w:szCs w:val="28"/>
          <w:lang w:val="en-US"/>
        </w:rPr>
        <w:t xml:space="preserve"> reasonable and </w:t>
      </w:r>
      <w:r w:rsidR="00EB40C8">
        <w:rPr>
          <w:rFonts w:ascii="Arial" w:hAnsi="Arial" w:cs="Arial"/>
          <w:sz w:val="28"/>
          <w:szCs w:val="28"/>
          <w:lang w:val="en-US"/>
        </w:rPr>
        <w:t>foreseeable vi</w:t>
      </w:r>
      <w:r w:rsidR="009F2E96">
        <w:rPr>
          <w:rFonts w:ascii="Arial" w:hAnsi="Arial" w:cs="Arial"/>
          <w:sz w:val="28"/>
          <w:szCs w:val="28"/>
          <w:lang w:val="en-US"/>
        </w:rPr>
        <w:t xml:space="preserve">cissitudes of life </w:t>
      </w:r>
      <w:r w:rsidR="00827BB1">
        <w:rPr>
          <w:rFonts w:ascii="Arial" w:hAnsi="Arial" w:cs="Arial"/>
          <w:sz w:val="28"/>
          <w:szCs w:val="28"/>
          <w:lang w:val="en-US"/>
        </w:rPr>
        <w:t>(Spurin, 2004).</w:t>
      </w:r>
    </w:p>
    <w:p w14:paraId="48AEC3B5" w14:textId="5E8D9D92" w:rsidR="00C4007D" w:rsidRPr="00D402F8" w:rsidRDefault="004C3E46" w:rsidP="00C4007D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4769F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Given the fact patterns </w:t>
      </w:r>
      <w:r w:rsidR="006D6835" w:rsidRPr="004769F4">
        <w:rPr>
          <w:rFonts w:ascii="Arial" w:hAnsi="Arial" w:cs="Arial"/>
          <w:color w:val="000000" w:themeColor="text1"/>
          <w:sz w:val="28"/>
          <w:szCs w:val="28"/>
          <w:lang w:val="en-US"/>
        </w:rPr>
        <w:t>of</w:t>
      </w:r>
      <w:r w:rsidRPr="004769F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Pr="004769F4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McKew </w:t>
      </w:r>
      <w:r w:rsidRPr="004769F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and </w:t>
      </w:r>
      <w:r w:rsidRPr="004769F4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Wieland </w:t>
      </w:r>
      <w:r w:rsidR="00424A32" w:rsidRPr="004769F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it is </w:t>
      </w:r>
      <w:r w:rsidR="0053324C" w:rsidRPr="004769F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evident that </w:t>
      </w:r>
      <w:r w:rsidR="00404B0E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particular </w:t>
      </w:r>
      <w:r w:rsidR="00A66E18">
        <w:rPr>
          <w:rFonts w:ascii="Arial" w:hAnsi="Arial" w:cs="Arial"/>
          <w:color w:val="000000" w:themeColor="text1"/>
          <w:sz w:val="28"/>
          <w:szCs w:val="28"/>
          <w:lang w:val="en-US"/>
        </w:rPr>
        <w:t>principle</w:t>
      </w:r>
      <w:r w:rsidR="00683FCD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does not always apply </w:t>
      </w:r>
      <w:r w:rsidR="00DE22F3">
        <w:rPr>
          <w:rFonts w:ascii="Arial" w:hAnsi="Arial" w:cs="Arial"/>
          <w:color w:val="000000" w:themeColor="text1"/>
          <w:sz w:val="28"/>
          <w:szCs w:val="28"/>
          <w:lang w:val="en-US"/>
        </w:rPr>
        <w:t>when debating and deciding cases involving claims</w:t>
      </w:r>
      <w:r w:rsidR="00D402F8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D47CC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402F8">
        <w:rPr>
          <w:rFonts w:ascii="Arial" w:hAnsi="Arial" w:cs="Arial"/>
          <w:color w:val="000000" w:themeColor="text1"/>
          <w:sz w:val="28"/>
          <w:szCs w:val="28"/>
          <w:lang w:val="en-US"/>
        </w:rPr>
        <w:t>T</w:t>
      </w:r>
      <w:r w:rsidR="00C84BF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his </w:t>
      </w:r>
      <w:r w:rsidR="00D812BC">
        <w:rPr>
          <w:rFonts w:ascii="Arial" w:hAnsi="Arial" w:cs="Arial"/>
          <w:color w:val="000000" w:themeColor="text1"/>
          <w:sz w:val="28"/>
          <w:szCs w:val="28"/>
          <w:lang w:val="en-US"/>
        </w:rPr>
        <w:t>poses</w:t>
      </w:r>
      <w:r w:rsidR="00C84BF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serious risk in developing principles in the field of tort </w:t>
      </w:r>
      <w:r w:rsidR="00D47CC3">
        <w:rPr>
          <w:rFonts w:ascii="Arial" w:hAnsi="Arial" w:cs="Arial"/>
          <w:color w:val="000000" w:themeColor="text1"/>
          <w:sz w:val="28"/>
          <w:szCs w:val="28"/>
          <w:lang w:val="en-US"/>
        </w:rPr>
        <w:t>(</w:t>
      </w:r>
      <w:r w:rsidR="00757A36">
        <w:rPr>
          <w:rFonts w:ascii="Arial" w:hAnsi="Arial" w:cs="Arial"/>
          <w:color w:val="000000" w:themeColor="text1"/>
          <w:sz w:val="28"/>
          <w:szCs w:val="28"/>
          <w:lang w:val="en-US"/>
        </w:rPr>
        <w:t>Supreme Court, 2017</w:t>
      </w:r>
      <w:r w:rsidR="00D47CC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). </w:t>
      </w:r>
    </w:p>
    <w:p w14:paraId="1E55D5D9" w14:textId="5DF9B1CF" w:rsidR="00C4007D" w:rsidRDefault="00C4007D" w:rsidP="00C4007D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4B0BA577" w14:textId="08ED3578" w:rsidR="008838B5" w:rsidRDefault="006312A5" w:rsidP="002A5F3A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When considering suicide and determining the defendant’s responsibility</w:t>
      </w:r>
      <w:r w:rsidR="00B75AFD">
        <w:rPr>
          <w:rFonts w:ascii="Arial" w:hAnsi="Arial" w:cs="Arial"/>
          <w:sz w:val="28"/>
          <w:szCs w:val="28"/>
          <w:lang w:val="en-US"/>
        </w:rPr>
        <w:t>,</w:t>
      </w:r>
      <w:r w:rsidR="00E50534">
        <w:rPr>
          <w:rFonts w:ascii="Arial" w:hAnsi="Arial" w:cs="Arial"/>
          <w:sz w:val="28"/>
          <w:szCs w:val="28"/>
          <w:lang w:val="en-US"/>
        </w:rPr>
        <w:t xml:space="preserve"> </w:t>
      </w:r>
      <w:r w:rsidR="00C206EC">
        <w:rPr>
          <w:rFonts w:ascii="Arial" w:hAnsi="Arial" w:cs="Arial"/>
          <w:sz w:val="28"/>
          <w:szCs w:val="28"/>
          <w:lang w:val="en-US"/>
        </w:rPr>
        <w:t xml:space="preserve">a claimant’s own act </w:t>
      </w:r>
      <w:r w:rsidR="00E61042">
        <w:rPr>
          <w:rFonts w:ascii="Arial" w:hAnsi="Arial" w:cs="Arial"/>
          <w:sz w:val="28"/>
          <w:szCs w:val="28"/>
          <w:lang w:val="en-US"/>
        </w:rPr>
        <w:t xml:space="preserve">can break the chain of causation. However, it is imperative for authorities to be accountable </w:t>
      </w:r>
      <w:r w:rsidR="00043772">
        <w:rPr>
          <w:rFonts w:ascii="Arial" w:hAnsi="Arial" w:cs="Arial"/>
          <w:sz w:val="28"/>
          <w:szCs w:val="28"/>
          <w:lang w:val="en-US"/>
        </w:rPr>
        <w:t>and not escape liability (</w:t>
      </w:r>
      <w:r w:rsidR="007C4384">
        <w:rPr>
          <w:rFonts w:ascii="Arial" w:hAnsi="Arial" w:cs="Arial"/>
          <w:sz w:val="28"/>
          <w:szCs w:val="28"/>
          <w:lang w:val="en-US"/>
        </w:rPr>
        <w:t>Foster, 2008</w:t>
      </w:r>
      <w:r w:rsidR="00043772">
        <w:rPr>
          <w:rFonts w:ascii="Arial" w:hAnsi="Arial" w:cs="Arial"/>
          <w:sz w:val="28"/>
          <w:szCs w:val="28"/>
          <w:lang w:val="en-US"/>
        </w:rPr>
        <w:t xml:space="preserve">). </w:t>
      </w:r>
      <w:r w:rsidR="00A85CBB" w:rsidRPr="001828AF">
        <w:rPr>
          <w:rFonts w:ascii="Arial" w:hAnsi="Arial" w:cs="Arial"/>
          <w:i/>
          <w:iCs/>
          <w:sz w:val="28"/>
          <w:szCs w:val="28"/>
          <w:lang w:val="en-US"/>
        </w:rPr>
        <w:t>Reeves v Commissioner of Police of the Metropolis (1999)</w:t>
      </w:r>
      <w:r w:rsidR="00A85CBB">
        <w:rPr>
          <w:rFonts w:ascii="Arial" w:hAnsi="Arial" w:cs="Arial"/>
          <w:sz w:val="28"/>
          <w:szCs w:val="28"/>
          <w:lang w:val="en-US"/>
        </w:rPr>
        <w:t xml:space="preserve"> </w:t>
      </w:r>
      <w:r w:rsidR="007B04D5">
        <w:rPr>
          <w:rFonts w:ascii="Arial" w:hAnsi="Arial" w:cs="Arial"/>
          <w:sz w:val="28"/>
          <w:szCs w:val="28"/>
          <w:lang w:val="en-US"/>
        </w:rPr>
        <w:t xml:space="preserve">a tort negligence </w:t>
      </w:r>
      <w:r w:rsidR="0036160A">
        <w:rPr>
          <w:rFonts w:ascii="Arial" w:hAnsi="Arial" w:cs="Arial"/>
          <w:sz w:val="28"/>
          <w:szCs w:val="28"/>
          <w:lang w:val="en-US"/>
        </w:rPr>
        <w:t xml:space="preserve">case </w:t>
      </w:r>
      <w:r w:rsidR="007B04D5">
        <w:rPr>
          <w:rFonts w:ascii="Arial" w:hAnsi="Arial" w:cs="Arial"/>
          <w:sz w:val="28"/>
          <w:szCs w:val="28"/>
          <w:lang w:val="en-US"/>
        </w:rPr>
        <w:t xml:space="preserve">regarding </w:t>
      </w:r>
      <w:r w:rsidR="00E96B08">
        <w:rPr>
          <w:rFonts w:ascii="Arial" w:hAnsi="Arial" w:cs="Arial"/>
          <w:sz w:val="28"/>
          <w:szCs w:val="28"/>
          <w:lang w:val="en-US"/>
        </w:rPr>
        <w:t xml:space="preserve">a </w:t>
      </w:r>
      <w:r w:rsidR="007B04D5">
        <w:rPr>
          <w:rFonts w:ascii="Arial" w:hAnsi="Arial" w:cs="Arial"/>
          <w:sz w:val="28"/>
          <w:szCs w:val="28"/>
          <w:lang w:val="en-US"/>
        </w:rPr>
        <w:t>detainee suicide</w:t>
      </w:r>
      <w:r w:rsidR="00E96B08">
        <w:rPr>
          <w:rFonts w:ascii="Arial" w:hAnsi="Arial" w:cs="Arial"/>
          <w:sz w:val="28"/>
          <w:szCs w:val="28"/>
          <w:lang w:val="en-US"/>
        </w:rPr>
        <w:t>,</w:t>
      </w:r>
      <w:r w:rsidR="0036160A">
        <w:rPr>
          <w:rFonts w:ascii="Arial" w:hAnsi="Arial" w:cs="Arial"/>
          <w:sz w:val="28"/>
          <w:szCs w:val="28"/>
          <w:lang w:val="en-US"/>
        </w:rPr>
        <w:t xml:space="preserve"> </w:t>
      </w:r>
      <w:r w:rsidR="00792895">
        <w:rPr>
          <w:rFonts w:ascii="Arial" w:hAnsi="Arial" w:cs="Arial"/>
          <w:sz w:val="28"/>
          <w:szCs w:val="28"/>
          <w:lang w:val="en-US"/>
        </w:rPr>
        <w:t xml:space="preserve">heard </w:t>
      </w:r>
      <w:r w:rsidR="007731B3">
        <w:rPr>
          <w:rFonts w:ascii="Arial" w:hAnsi="Arial" w:cs="Arial"/>
          <w:sz w:val="28"/>
          <w:szCs w:val="28"/>
          <w:lang w:val="en-US"/>
        </w:rPr>
        <w:t xml:space="preserve">that </w:t>
      </w:r>
      <w:r w:rsidR="004203A9">
        <w:rPr>
          <w:rFonts w:ascii="Arial" w:hAnsi="Arial" w:cs="Arial"/>
          <w:sz w:val="28"/>
          <w:szCs w:val="28"/>
          <w:lang w:val="en-US"/>
        </w:rPr>
        <w:t xml:space="preserve">a prisoner committed suicide </w:t>
      </w:r>
      <w:r w:rsidR="00533A8F">
        <w:rPr>
          <w:rFonts w:ascii="Arial" w:hAnsi="Arial" w:cs="Arial"/>
          <w:sz w:val="28"/>
          <w:szCs w:val="28"/>
          <w:lang w:val="en-US"/>
        </w:rPr>
        <w:t xml:space="preserve">whilst in his custody cell. </w:t>
      </w:r>
      <w:r w:rsidR="00171A73">
        <w:rPr>
          <w:rFonts w:ascii="Arial" w:hAnsi="Arial" w:cs="Arial"/>
          <w:sz w:val="28"/>
          <w:szCs w:val="28"/>
          <w:lang w:val="en-US"/>
        </w:rPr>
        <w:t>The prisoner was known to have such tendencies</w:t>
      </w:r>
      <w:r w:rsidR="007B04D5">
        <w:rPr>
          <w:rFonts w:ascii="Arial" w:hAnsi="Arial" w:cs="Arial"/>
          <w:sz w:val="28"/>
          <w:szCs w:val="28"/>
          <w:lang w:val="en-US"/>
        </w:rPr>
        <w:t xml:space="preserve"> </w:t>
      </w:r>
      <w:r w:rsidR="00DA3FDC">
        <w:rPr>
          <w:rFonts w:ascii="Arial" w:hAnsi="Arial" w:cs="Arial"/>
          <w:sz w:val="28"/>
          <w:szCs w:val="28"/>
          <w:lang w:val="en-US"/>
        </w:rPr>
        <w:t xml:space="preserve">therefore, a known suicide risk. </w:t>
      </w:r>
      <w:r w:rsidR="00092566">
        <w:rPr>
          <w:rFonts w:ascii="Arial" w:hAnsi="Arial" w:cs="Arial"/>
          <w:sz w:val="28"/>
          <w:szCs w:val="28"/>
          <w:lang w:val="en-US"/>
        </w:rPr>
        <w:t xml:space="preserve">In view on this, </w:t>
      </w:r>
      <w:r w:rsidR="00691361">
        <w:rPr>
          <w:rFonts w:ascii="Arial" w:hAnsi="Arial" w:cs="Arial"/>
          <w:sz w:val="28"/>
          <w:szCs w:val="28"/>
          <w:lang w:val="en-US"/>
        </w:rPr>
        <w:t>and on discovering that the officers had negligently left the viewing flap on the cell door open</w:t>
      </w:r>
      <w:r w:rsidR="00872057">
        <w:rPr>
          <w:rFonts w:ascii="Arial" w:hAnsi="Arial" w:cs="Arial"/>
          <w:sz w:val="28"/>
          <w:szCs w:val="28"/>
          <w:lang w:val="en-US"/>
        </w:rPr>
        <w:t xml:space="preserve"> </w:t>
      </w:r>
      <w:r w:rsidR="00C531AF">
        <w:rPr>
          <w:rFonts w:ascii="Arial" w:hAnsi="Arial" w:cs="Arial"/>
          <w:sz w:val="28"/>
          <w:szCs w:val="28"/>
          <w:lang w:val="en-US"/>
        </w:rPr>
        <w:t>enabling</w:t>
      </w:r>
      <w:r w:rsidR="00872057">
        <w:rPr>
          <w:rFonts w:ascii="Arial" w:hAnsi="Arial" w:cs="Arial"/>
          <w:sz w:val="28"/>
          <w:szCs w:val="28"/>
          <w:lang w:val="en-US"/>
        </w:rPr>
        <w:t xml:space="preserve"> the claimant </w:t>
      </w:r>
      <w:r w:rsidR="00C531AF">
        <w:rPr>
          <w:rFonts w:ascii="Arial" w:hAnsi="Arial" w:cs="Arial"/>
          <w:sz w:val="28"/>
          <w:szCs w:val="28"/>
          <w:lang w:val="en-US"/>
        </w:rPr>
        <w:t xml:space="preserve">to </w:t>
      </w:r>
      <w:r w:rsidR="00CD5389">
        <w:rPr>
          <w:rFonts w:ascii="Arial" w:hAnsi="Arial" w:cs="Arial"/>
          <w:sz w:val="28"/>
          <w:szCs w:val="28"/>
          <w:lang w:val="en-US"/>
        </w:rPr>
        <w:t>hang himself</w:t>
      </w:r>
      <w:r w:rsidR="00C531AF">
        <w:rPr>
          <w:rFonts w:ascii="Arial" w:hAnsi="Arial" w:cs="Arial"/>
          <w:sz w:val="28"/>
          <w:szCs w:val="28"/>
          <w:lang w:val="en-US"/>
        </w:rPr>
        <w:t>,</w:t>
      </w:r>
      <w:r w:rsidR="00691361">
        <w:rPr>
          <w:rFonts w:ascii="Arial" w:hAnsi="Arial" w:cs="Arial"/>
          <w:sz w:val="28"/>
          <w:szCs w:val="28"/>
          <w:lang w:val="en-US"/>
        </w:rPr>
        <w:t xml:space="preserve"> </w:t>
      </w:r>
      <w:r w:rsidR="00092566">
        <w:rPr>
          <w:rFonts w:ascii="Arial" w:hAnsi="Arial" w:cs="Arial"/>
          <w:sz w:val="28"/>
          <w:szCs w:val="28"/>
          <w:lang w:val="en-US"/>
        </w:rPr>
        <w:t>t</w:t>
      </w:r>
      <w:r w:rsidR="00DA3FDC">
        <w:rPr>
          <w:rFonts w:ascii="Arial" w:hAnsi="Arial" w:cs="Arial"/>
          <w:sz w:val="28"/>
          <w:szCs w:val="28"/>
          <w:lang w:val="en-US"/>
        </w:rPr>
        <w:t xml:space="preserve">he claimant’s estate </w:t>
      </w:r>
      <w:r w:rsidR="00092566">
        <w:rPr>
          <w:rFonts w:ascii="Arial" w:hAnsi="Arial" w:cs="Arial"/>
          <w:sz w:val="28"/>
          <w:szCs w:val="28"/>
          <w:lang w:val="en-US"/>
        </w:rPr>
        <w:t xml:space="preserve">sued the police for negligence. </w:t>
      </w:r>
      <w:r w:rsidR="00B8221D">
        <w:rPr>
          <w:rFonts w:ascii="Arial" w:hAnsi="Arial" w:cs="Arial"/>
          <w:sz w:val="28"/>
          <w:szCs w:val="28"/>
          <w:lang w:val="en-US"/>
        </w:rPr>
        <w:t>The House of Lo</w:t>
      </w:r>
      <w:r w:rsidR="00075269">
        <w:rPr>
          <w:rFonts w:ascii="Arial" w:hAnsi="Arial" w:cs="Arial"/>
          <w:sz w:val="28"/>
          <w:szCs w:val="28"/>
          <w:lang w:val="en-US"/>
        </w:rPr>
        <w:t xml:space="preserve">rds </w:t>
      </w:r>
      <w:r w:rsidR="00185A0F">
        <w:rPr>
          <w:rFonts w:ascii="Arial" w:hAnsi="Arial" w:cs="Arial"/>
          <w:sz w:val="28"/>
          <w:szCs w:val="28"/>
          <w:lang w:val="en-US"/>
        </w:rPr>
        <w:t xml:space="preserve">saw the defendant admit they were in breach of their duty </w:t>
      </w:r>
      <w:r w:rsidR="00DB1EBF">
        <w:rPr>
          <w:rFonts w:ascii="Arial" w:hAnsi="Arial" w:cs="Arial"/>
          <w:sz w:val="28"/>
          <w:szCs w:val="28"/>
          <w:lang w:val="en-US"/>
        </w:rPr>
        <w:t>and</w:t>
      </w:r>
      <w:r w:rsidR="00C712C4">
        <w:rPr>
          <w:rFonts w:ascii="Arial" w:hAnsi="Arial" w:cs="Arial"/>
          <w:sz w:val="28"/>
          <w:szCs w:val="28"/>
          <w:lang w:val="en-US"/>
        </w:rPr>
        <w:t xml:space="preserve"> argued that the claimant’s act should be viewed as a ‘novus actus interveniens’ </w:t>
      </w:r>
      <w:r w:rsidR="00C0546B">
        <w:rPr>
          <w:rFonts w:ascii="Arial" w:hAnsi="Arial" w:cs="Arial"/>
          <w:sz w:val="28"/>
          <w:szCs w:val="28"/>
          <w:lang w:val="en-US"/>
        </w:rPr>
        <w:t>(Lunney and Oliphant, 2013, pp. 261).</w:t>
      </w:r>
      <w:r w:rsidR="00723F02">
        <w:rPr>
          <w:rFonts w:ascii="Arial" w:hAnsi="Arial" w:cs="Arial"/>
          <w:sz w:val="28"/>
          <w:szCs w:val="28"/>
          <w:lang w:val="en-US"/>
        </w:rPr>
        <w:t xml:space="preserve"> </w:t>
      </w:r>
      <w:r w:rsidR="00AB4F66">
        <w:rPr>
          <w:rFonts w:ascii="Arial" w:hAnsi="Arial" w:cs="Arial"/>
          <w:sz w:val="28"/>
          <w:szCs w:val="28"/>
          <w:lang w:val="en-US"/>
        </w:rPr>
        <w:lastRenderedPageBreak/>
        <w:t xml:space="preserve">It could not be treated as a ‘novus actus interveniens’ </w:t>
      </w:r>
      <w:r w:rsidR="005C1918">
        <w:rPr>
          <w:rFonts w:ascii="Arial" w:hAnsi="Arial" w:cs="Arial"/>
          <w:sz w:val="28"/>
          <w:szCs w:val="28"/>
          <w:lang w:val="en-US"/>
        </w:rPr>
        <w:t>and the House of Lords allowed the contributory negligent argument</w:t>
      </w:r>
      <w:r w:rsidR="00615F02">
        <w:rPr>
          <w:rFonts w:ascii="Arial" w:hAnsi="Arial" w:cs="Arial"/>
          <w:sz w:val="28"/>
          <w:szCs w:val="28"/>
          <w:lang w:val="en-US"/>
        </w:rPr>
        <w:t>,</w:t>
      </w:r>
      <w:r w:rsidR="0056600F">
        <w:rPr>
          <w:rFonts w:ascii="Arial" w:hAnsi="Arial" w:cs="Arial"/>
          <w:sz w:val="28"/>
          <w:szCs w:val="28"/>
          <w:lang w:val="en-US"/>
        </w:rPr>
        <w:t xml:space="preserve"> therefore the claimant’s damages w</w:t>
      </w:r>
      <w:r w:rsidR="00C35086">
        <w:rPr>
          <w:rFonts w:ascii="Arial" w:hAnsi="Arial" w:cs="Arial"/>
          <w:sz w:val="28"/>
          <w:szCs w:val="28"/>
          <w:lang w:val="en-US"/>
        </w:rPr>
        <w:t>ere</w:t>
      </w:r>
      <w:r w:rsidR="0056600F">
        <w:rPr>
          <w:rFonts w:ascii="Arial" w:hAnsi="Arial" w:cs="Arial"/>
          <w:sz w:val="28"/>
          <w:szCs w:val="28"/>
          <w:lang w:val="en-US"/>
        </w:rPr>
        <w:t xml:space="preserve"> reduced by 50%</w:t>
      </w:r>
      <w:r w:rsidR="005C1918">
        <w:rPr>
          <w:rFonts w:ascii="Arial" w:hAnsi="Arial" w:cs="Arial"/>
          <w:sz w:val="28"/>
          <w:szCs w:val="28"/>
          <w:lang w:val="en-US"/>
        </w:rPr>
        <w:t xml:space="preserve"> </w:t>
      </w:r>
      <w:r w:rsidR="00EA7A24">
        <w:rPr>
          <w:rFonts w:ascii="Arial" w:hAnsi="Arial" w:cs="Arial"/>
          <w:sz w:val="28"/>
          <w:szCs w:val="28"/>
          <w:lang w:val="en-US"/>
        </w:rPr>
        <w:t>(</w:t>
      </w:r>
      <w:r w:rsidR="00D051F1">
        <w:rPr>
          <w:rFonts w:ascii="Arial" w:hAnsi="Arial" w:cs="Arial"/>
          <w:sz w:val="28"/>
          <w:szCs w:val="28"/>
          <w:lang w:val="en-US"/>
        </w:rPr>
        <w:t>Foster, 2008</w:t>
      </w:r>
      <w:r w:rsidR="00EA7A24">
        <w:rPr>
          <w:rFonts w:ascii="Arial" w:hAnsi="Arial" w:cs="Arial"/>
          <w:sz w:val="28"/>
          <w:szCs w:val="28"/>
          <w:lang w:val="en-US"/>
        </w:rPr>
        <w:t>).</w:t>
      </w:r>
      <w:r w:rsidR="00C712C4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3C8D4686" w14:textId="61D164CD" w:rsidR="006C081B" w:rsidRDefault="00042B9A" w:rsidP="00F12880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Contrasting to </w:t>
      </w:r>
      <w:r>
        <w:rPr>
          <w:rFonts w:ascii="Arial" w:hAnsi="Arial" w:cs="Arial"/>
          <w:i/>
          <w:iCs/>
          <w:sz w:val="28"/>
          <w:szCs w:val="28"/>
          <w:lang w:val="en-US"/>
        </w:rPr>
        <w:t>Reeves,</w:t>
      </w:r>
      <w:r w:rsidR="00007DDA">
        <w:rPr>
          <w:rFonts w:ascii="Arial" w:hAnsi="Arial" w:cs="Arial"/>
          <w:sz w:val="28"/>
          <w:szCs w:val="28"/>
          <w:lang w:val="en-US"/>
        </w:rPr>
        <w:t xml:space="preserve"> but addressing the act of committing suicide</w:t>
      </w:r>
      <w:r w:rsidR="00615F02">
        <w:rPr>
          <w:rFonts w:ascii="Arial" w:hAnsi="Arial" w:cs="Arial"/>
          <w:sz w:val="28"/>
          <w:szCs w:val="28"/>
          <w:lang w:val="en-US"/>
        </w:rPr>
        <w:t>,</w:t>
      </w:r>
      <w:r>
        <w:rPr>
          <w:rFonts w:ascii="Arial" w:hAnsi="Arial" w:cs="Arial"/>
          <w:i/>
          <w:iCs/>
          <w:sz w:val="28"/>
          <w:szCs w:val="28"/>
          <w:lang w:val="en-US"/>
        </w:rPr>
        <w:t xml:space="preserve"> </w:t>
      </w:r>
      <w:r w:rsidR="00A85CBB" w:rsidRPr="008838B5">
        <w:rPr>
          <w:rFonts w:ascii="Arial" w:hAnsi="Arial" w:cs="Arial"/>
          <w:i/>
          <w:iCs/>
          <w:sz w:val="28"/>
          <w:szCs w:val="28"/>
          <w:lang w:val="en-US"/>
        </w:rPr>
        <w:t>Corr v IBC Vehicles (2006)</w:t>
      </w:r>
      <w:r w:rsidR="00A85CBB">
        <w:rPr>
          <w:rFonts w:ascii="Arial" w:hAnsi="Arial" w:cs="Arial"/>
          <w:sz w:val="28"/>
          <w:szCs w:val="28"/>
          <w:lang w:val="en-US"/>
        </w:rPr>
        <w:t xml:space="preserve"> </w:t>
      </w:r>
      <w:r w:rsidR="00363E41">
        <w:rPr>
          <w:rFonts w:ascii="Arial" w:hAnsi="Arial" w:cs="Arial"/>
          <w:sz w:val="28"/>
          <w:szCs w:val="28"/>
          <w:lang w:val="en-US"/>
        </w:rPr>
        <w:t>fell within the requirements of a ‘novus actus interveniens’</w:t>
      </w:r>
      <w:r w:rsidR="00EC1219">
        <w:rPr>
          <w:rFonts w:ascii="Arial" w:hAnsi="Arial" w:cs="Arial"/>
          <w:sz w:val="28"/>
          <w:szCs w:val="28"/>
          <w:lang w:val="en-US"/>
        </w:rPr>
        <w:t xml:space="preserve"> due to foreseeability. In effect, the harm was</w:t>
      </w:r>
      <w:r w:rsidR="006E625E">
        <w:rPr>
          <w:rFonts w:ascii="Arial" w:hAnsi="Arial" w:cs="Arial"/>
          <w:sz w:val="28"/>
          <w:szCs w:val="28"/>
          <w:lang w:val="en-US"/>
        </w:rPr>
        <w:t xml:space="preserve"> a reasonably </w:t>
      </w:r>
      <w:r w:rsidR="00EC1219">
        <w:rPr>
          <w:rFonts w:ascii="Arial" w:hAnsi="Arial" w:cs="Arial"/>
          <w:sz w:val="28"/>
          <w:szCs w:val="28"/>
          <w:lang w:val="en-US"/>
        </w:rPr>
        <w:t>foreseeable consequence of the claimant’s depression</w:t>
      </w:r>
      <w:r w:rsidR="00865BBF">
        <w:rPr>
          <w:rFonts w:ascii="Arial" w:hAnsi="Arial" w:cs="Arial"/>
          <w:sz w:val="28"/>
          <w:szCs w:val="28"/>
          <w:lang w:val="en-US"/>
        </w:rPr>
        <w:t xml:space="preserve"> following an accident at work where he suffered a physical injury, disfigurement and PTSD</w:t>
      </w:r>
      <w:r w:rsidR="006C7ED9">
        <w:rPr>
          <w:rFonts w:ascii="Arial" w:hAnsi="Arial" w:cs="Arial"/>
          <w:sz w:val="28"/>
          <w:szCs w:val="28"/>
          <w:lang w:val="en-US"/>
        </w:rPr>
        <w:t xml:space="preserve"> (Lunney and Oliphant, 2013, pp. 261)</w:t>
      </w:r>
      <w:r w:rsidR="00865BBF">
        <w:rPr>
          <w:rFonts w:ascii="Arial" w:hAnsi="Arial" w:cs="Arial"/>
          <w:sz w:val="28"/>
          <w:szCs w:val="28"/>
          <w:lang w:val="en-US"/>
        </w:rPr>
        <w:t xml:space="preserve">. </w:t>
      </w:r>
      <w:r w:rsidR="00B85171">
        <w:rPr>
          <w:rFonts w:ascii="Arial" w:hAnsi="Arial" w:cs="Arial"/>
          <w:sz w:val="28"/>
          <w:szCs w:val="28"/>
          <w:lang w:val="en-US"/>
        </w:rPr>
        <w:t>L</w:t>
      </w:r>
      <w:r w:rsidR="00AB0A8A">
        <w:rPr>
          <w:rFonts w:ascii="Arial" w:hAnsi="Arial" w:cs="Arial"/>
          <w:sz w:val="28"/>
          <w:szCs w:val="28"/>
          <w:lang w:val="en-US"/>
        </w:rPr>
        <w:t xml:space="preserve">ord Justice </w:t>
      </w:r>
      <w:r w:rsidR="00A47DAC">
        <w:rPr>
          <w:rFonts w:ascii="Arial" w:hAnsi="Arial" w:cs="Arial"/>
          <w:sz w:val="28"/>
          <w:szCs w:val="28"/>
          <w:lang w:val="en-US"/>
        </w:rPr>
        <w:t xml:space="preserve">explained that the negligence by the defendant </w:t>
      </w:r>
      <w:r w:rsidR="00054FBE">
        <w:rPr>
          <w:rFonts w:ascii="Arial" w:hAnsi="Arial" w:cs="Arial"/>
          <w:sz w:val="28"/>
          <w:szCs w:val="28"/>
          <w:lang w:val="en-US"/>
        </w:rPr>
        <w:t>was attributable to the psych</w:t>
      </w:r>
      <w:r w:rsidR="00F41490">
        <w:rPr>
          <w:rFonts w:ascii="Arial" w:hAnsi="Arial" w:cs="Arial"/>
          <w:sz w:val="28"/>
          <w:szCs w:val="28"/>
          <w:lang w:val="en-US"/>
        </w:rPr>
        <w:t>i</w:t>
      </w:r>
      <w:r w:rsidR="00054FBE">
        <w:rPr>
          <w:rFonts w:ascii="Arial" w:hAnsi="Arial" w:cs="Arial"/>
          <w:sz w:val="28"/>
          <w:szCs w:val="28"/>
          <w:lang w:val="en-US"/>
        </w:rPr>
        <w:t xml:space="preserve">atric harm </w:t>
      </w:r>
      <w:r w:rsidR="001908EF">
        <w:rPr>
          <w:rFonts w:ascii="Arial" w:hAnsi="Arial" w:cs="Arial"/>
          <w:sz w:val="28"/>
          <w:szCs w:val="28"/>
          <w:lang w:val="en-US"/>
        </w:rPr>
        <w:t>and physical damage suffered by the claimant</w:t>
      </w:r>
      <w:r w:rsidR="00E04026">
        <w:rPr>
          <w:rFonts w:ascii="Arial" w:hAnsi="Arial" w:cs="Arial"/>
          <w:sz w:val="28"/>
          <w:szCs w:val="28"/>
          <w:lang w:val="en-US"/>
        </w:rPr>
        <w:t>,</w:t>
      </w:r>
      <w:r w:rsidR="00E21844">
        <w:rPr>
          <w:rFonts w:ascii="Arial" w:hAnsi="Arial" w:cs="Arial"/>
          <w:sz w:val="28"/>
          <w:szCs w:val="28"/>
          <w:lang w:val="en-US"/>
        </w:rPr>
        <w:t xml:space="preserve"> </w:t>
      </w:r>
      <w:r w:rsidR="00233209">
        <w:rPr>
          <w:rFonts w:ascii="Arial" w:hAnsi="Arial" w:cs="Arial"/>
          <w:sz w:val="28"/>
          <w:szCs w:val="28"/>
          <w:lang w:val="en-US"/>
        </w:rPr>
        <w:t xml:space="preserve">which led to the claimant becoming increasingly depressed, committing suicide six years later </w:t>
      </w:r>
      <w:r w:rsidR="00F53A20">
        <w:rPr>
          <w:rFonts w:ascii="Arial" w:hAnsi="Arial" w:cs="Arial"/>
          <w:sz w:val="28"/>
          <w:szCs w:val="28"/>
          <w:lang w:val="en-US"/>
        </w:rPr>
        <w:t>(</w:t>
      </w:r>
      <w:r w:rsidR="00BB0859">
        <w:rPr>
          <w:rFonts w:ascii="Arial" w:hAnsi="Arial" w:cs="Arial"/>
          <w:sz w:val="28"/>
          <w:szCs w:val="28"/>
          <w:lang w:val="en-US"/>
        </w:rPr>
        <w:t>Corr v IBC Vehicles, 2006</w:t>
      </w:r>
      <w:r w:rsidR="00F53A20">
        <w:rPr>
          <w:rFonts w:ascii="Arial" w:hAnsi="Arial" w:cs="Arial"/>
          <w:sz w:val="28"/>
          <w:szCs w:val="28"/>
          <w:lang w:val="en-US"/>
        </w:rPr>
        <w:t>).</w:t>
      </w:r>
    </w:p>
    <w:p w14:paraId="498BAB7C" w14:textId="77777777" w:rsidR="00E979B4" w:rsidRPr="00E1443F" w:rsidRDefault="00E979B4" w:rsidP="00F12880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</w:p>
    <w:p w14:paraId="16CBD253" w14:textId="50DCAD0B" w:rsidR="00DD7A21" w:rsidRPr="001324D2" w:rsidRDefault="00473960" w:rsidP="00B91709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T</w:t>
      </w:r>
      <w:r w:rsidR="00B5188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he law becomes</w:t>
      </w:r>
      <w:r w:rsidR="00AA7F77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B5188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com</w:t>
      </w:r>
      <w:r w:rsidR="00197A4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plicated</w:t>
      </w:r>
      <w:r w:rsidR="00B5188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regard</w:t>
      </w:r>
      <w:r w:rsidR="006C081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ing</w:t>
      </w:r>
      <w:r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‘novus actus interveniens’ </w:t>
      </w:r>
      <w:r w:rsidR="00AA7F77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when </w:t>
      </w:r>
      <w:r w:rsidR="00D06C7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blame can be apportioned between two defendants</w:t>
      </w:r>
      <w:r w:rsidR="008D0144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  <w:r w:rsidR="00C01E50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In effect a</w:t>
      </w:r>
      <w:r w:rsidR="00596AC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n unrelated</w:t>
      </w:r>
      <w:r w:rsidR="00C01E50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supervening </w:t>
      </w:r>
      <w:r w:rsidR="00596AC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event causing the same </w:t>
      </w:r>
      <w:r w:rsidR="002515D7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harm as that of which the claimant would be suing the initial </w:t>
      </w:r>
      <w:r w:rsidR="00B61017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defendant</w:t>
      </w:r>
      <w:r w:rsidR="00FF39A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</w:t>
      </w:r>
      <w:r w:rsidR="00B72188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Lunney </w:t>
      </w:r>
      <w:r w:rsidR="00DD6DE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and Oliphant</w:t>
      </w:r>
      <w:r w:rsidR="00603944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, 2013, pp. </w:t>
      </w:r>
      <w:r w:rsidR="00F5648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244</w:t>
      </w:r>
      <w:r w:rsidR="00FF39A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B61017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596AC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F39A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Multiple sufficient causes </w:t>
      </w:r>
      <w:r w:rsidR="00F64E5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have clearly </w:t>
      </w:r>
      <w:r w:rsidR="006C340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provoked i</w:t>
      </w:r>
      <w:r w:rsidR="00B5188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ncoherent approaches to </w:t>
      </w:r>
      <w:r w:rsidR="00B5188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lastRenderedPageBreak/>
        <w:t>cases</w:t>
      </w:r>
      <w:r w:rsidR="002C2E5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This is evident in </w:t>
      </w:r>
      <w:r w:rsidR="00F66C8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the similarit</w:t>
      </w:r>
      <w:r w:rsidR="00292322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i</w:t>
      </w:r>
      <w:r w:rsidR="00F66C8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es yet contrasting outcomes in </w:t>
      </w:r>
      <w:r w:rsidR="00F66C86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Baker </w:t>
      </w:r>
      <w:r w:rsidR="00292322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v Will</w:t>
      </w:r>
      <w:r w:rsidR="00337B42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oughby (1970)</w:t>
      </w:r>
      <w:r w:rsidR="00337B42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66C8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and </w:t>
      </w:r>
      <w:r w:rsidR="00F66C86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Jobling</w:t>
      </w:r>
      <w:r w:rsidR="00337B42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v Associated Da</w:t>
      </w:r>
      <w:r w:rsidR="00E1443F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i</w:t>
      </w:r>
      <w:r w:rsidR="00337B42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ries</w:t>
      </w:r>
      <w:r w:rsidR="00E1443F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Ltd (1982)</w:t>
      </w:r>
      <w:r w:rsidR="00DD7A2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F5648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176A1">
        <w:rPr>
          <w:rFonts w:ascii="Arial" w:hAnsi="Arial" w:cs="Arial"/>
          <w:color w:val="000000" w:themeColor="text1"/>
          <w:sz w:val="28"/>
          <w:szCs w:val="28"/>
          <w:lang w:val="en-US"/>
        </w:rPr>
        <w:t>I</w:t>
      </w:r>
      <w:r w:rsidR="00DD7A2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n both cases the claimant was injured by the defendant’s negligence, but suffered successive injuries before the trial (Spurin, 2004).</w:t>
      </w:r>
      <w:r w:rsidR="002C085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</w:p>
    <w:p w14:paraId="5DEC4ABE" w14:textId="11963CC7" w:rsidR="00033E5A" w:rsidRPr="001324D2" w:rsidRDefault="00C81EB3" w:rsidP="00B91709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In </w:t>
      </w:r>
      <w:r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Baker</w:t>
      </w:r>
      <w:r w:rsidR="00D21691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, </w:t>
      </w:r>
      <w:r w:rsidR="00D2169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defendant was held liable for the </w:t>
      </w:r>
      <w:r w:rsidR="00807A3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claimant’s </w:t>
      </w:r>
      <w:r w:rsidR="00D2169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ongoing disability</w:t>
      </w:r>
      <w:r w:rsidR="00EE6A20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sustained</w:t>
      </w:r>
      <w:r w:rsidR="00807A3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4369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from</w:t>
      </w:r>
      <w:r w:rsidR="00EE6A20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a car accident</w:t>
      </w:r>
      <w:r w:rsidR="00D2169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4369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due </w:t>
      </w:r>
      <w:r w:rsidR="008A1D4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to the </w:t>
      </w:r>
      <w:r w:rsidR="003359B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defendant’s</w:t>
      </w:r>
      <w:r w:rsidR="00744D2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negligence. </w:t>
      </w:r>
      <w:r w:rsidR="00D621A2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Pre-trial the claimant suffered a gun-shot wound leading to the am</w:t>
      </w:r>
      <w:r w:rsidR="001457C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putation of his injured leg. </w:t>
      </w:r>
      <w:r w:rsidR="00AC48C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court held that the defendant could not rely on the subsequent incident </w:t>
      </w:r>
      <w:r w:rsidR="000D33C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as the inability for the defendant to lead a full life from the initial injur</w:t>
      </w:r>
      <w:r w:rsidR="00F2233C">
        <w:rPr>
          <w:rFonts w:ascii="Arial" w:hAnsi="Arial" w:cs="Arial"/>
          <w:color w:val="000000" w:themeColor="text1"/>
          <w:sz w:val="28"/>
          <w:szCs w:val="28"/>
          <w:lang w:val="en-US"/>
        </w:rPr>
        <w:t>y</w:t>
      </w:r>
      <w:r w:rsidR="000D33C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superseded the latter</w:t>
      </w:r>
      <w:r w:rsidR="00840D0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</w:t>
      </w:r>
      <w:r w:rsidR="00B71F6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Spurin, 2004</w:t>
      </w:r>
      <w:r w:rsidR="00840D0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0D33C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B71F6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44053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In sta</w:t>
      </w:r>
      <w:r w:rsidR="00212AD4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r</w:t>
      </w:r>
      <w:r w:rsidR="00F44053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k contrast, </w:t>
      </w:r>
      <w:r w:rsidR="00676043" w:rsidRPr="001324D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Jobling</w:t>
      </w:r>
      <w:r w:rsidR="005D3E9A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4C03A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saw </w:t>
      </w:r>
      <w:r w:rsidR="005D3E9A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</w:t>
      </w:r>
      <w:r w:rsidR="00CF449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claimant </w:t>
      </w:r>
      <w:r w:rsidR="00B0241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injuring his back due to his employer’s negligence</w:t>
      </w:r>
      <w:r w:rsidR="009217A4">
        <w:rPr>
          <w:rFonts w:ascii="Arial" w:hAnsi="Arial" w:cs="Arial"/>
          <w:color w:val="000000" w:themeColor="text1"/>
          <w:sz w:val="28"/>
          <w:szCs w:val="28"/>
          <w:lang w:val="en-US"/>
        </w:rPr>
        <w:t>,</w:t>
      </w:r>
      <w:r w:rsidR="009E252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4C16F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only </w:t>
      </w:r>
      <w:r w:rsidR="00057C7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enabling him to</w:t>
      </w:r>
      <w:r w:rsidR="009217A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057C7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undertake light duties</w:t>
      </w:r>
      <w:r w:rsidR="00D060E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, </w:t>
      </w:r>
      <w:r w:rsidR="00057C7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reducing his </w:t>
      </w:r>
      <w:r w:rsidR="009E252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earning</w:t>
      </w:r>
      <w:r w:rsidR="00D060E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capacity</w:t>
      </w:r>
      <w:r w:rsidR="009E252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by 50%</w:t>
      </w:r>
      <w:r w:rsidR="0070241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  <w:r w:rsidR="00C63263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Pre-trial the claimant contracted myelo</w:t>
      </w:r>
      <w:r w:rsidR="00CD21C3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pathy; </w:t>
      </w:r>
      <w:r w:rsidR="00F5033F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rendering him unable to work</w:t>
      </w:r>
      <w:r w:rsidR="00273CFE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</w:t>
      </w:r>
      <w:r w:rsidR="00204234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Lunney and Oliphant, 2013, pp. 248</w:t>
      </w:r>
      <w:r w:rsidR="00273CFE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30027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The court </w:t>
      </w:r>
      <w:r w:rsidR="007528CC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of first instance held the defendant </w:t>
      </w:r>
      <w:r w:rsidR="003E099D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would remain </w:t>
      </w:r>
      <w:r w:rsidR="000010B0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liable </w:t>
      </w:r>
      <w:r w:rsidR="00776C7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for </w:t>
      </w:r>
      <w:r w:rsidR="0087476B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loss of </w:t>
      </w:r>
      <w:r w:rsidR="00776C7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50% of future earnings</w:t>
      </w:r>
      <w:r w:rsidR="000D614F">
        <w:rPr>
          <w:rFonts w:ascii="Arial" w:hAnsi="Arial" w:cs="Arial"/>
          <w:color w:val="000000" w:themeColor="text1"/>
          <w:sz w:val="28"/>
          <w:szCs w:val="28"/>
          <w:lang w:val="en-US"/>
        </w:rPr>
        <w:t>. T</w:t>
      </w:r>
      <w:r w:rsidR="00273CFE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his ruling </w:t>
      </w:r>
      <w:r w:rsidR="00E43A3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was reversed on appeal conclud</w:t>
      </w:r>
      <w:r w:rsidR="00315C09">
        <w:rPr>
          <w:rFonts w:ascii="Arial" w:hAnsi="Arial" w:cs="Arial"/>
          <w:color w:val="000000" w:themeColor="text1"/>
          <w:sz w:val="28"/>
          <w:szCs w:val="28"/>
          <w:lang w:val="en-US"/>
        </w:rPr>
        <w:t>ing</w:t>
      </w:r>
      <w:r w:rsidR="00E43A3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that </w:t>
      </w:r>
      <w:r w:rsidR="00092F01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damages for loss of earnings </w:t>
      </w:r>
      <w:r w:rsidR="007C169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were only recoverable from the time of initial injury to the diagnosis of myelop</w:t>
      </w:r>
      <w:r w:rsidR="00204234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a</w:t>
      </w:r>
      <w:r w:rsidR="007C169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thy</w:t>
      </w:r>
      <w:r w:rsidR="0046116D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804FAA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(</w:t>
      </w:r>
      <w:r w:rsidR="008F4570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Ger</w:t>
      </w:r>
      <w:r w:rsidR="00C31FC8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ven, Lever and Larouche, 2001</w:t>
      </w:r>
      <w:r w:rsidR="00804FAA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).</w:t>
      </w:r>
      <w:r w:rsidR="007575B9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F1B7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The onset of disease was </w:t>
      </w:r>
      <w:r w:rsidR="007F0FD5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seen as a vicissitude of life to which no action in tort arises.</w:t>
      </w:r>
      <w:r w:rsidR="00684E3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This has been </w:t>
      </w:r>
      <w:r w:rsidR="00684E3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lastRenderedPageBreak/>
        <w:t xml:space="preserve">criticised as being a </w:t>
      </w:r>
      <w:r w:rsidR="00F9716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‘</w:t>
      </w:r>
      <w:r w:rsidR="00684E3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heads I win, tails you lose</w:t>
      </w:r>
      <w:r w:rsidR="00F9716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’ </w:t>
      </w:r>
      <w:r w:rsidR="0066145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scenario </w:t>
      </w:r>
      <w:r w:rsidR="00F9716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and discriminates in favour of defendants</w:t>
      </w:r>
      <w:r w:rsidR="005006F3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(Turton, </w:t>
      </w:r>
      <w:r w:rsidR="0040293A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2012</w:t>
      </w:r>
      <w:r w:rsidR="005006F3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F97166" w:rsidRPr="001324D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. </w:t>
      </w:r>
    </w:p>
    <w:p w14:paraId="0B2446E2" w14:textId="59A6480C" w:rsidR="00F83B27" w:rsidRDefault="00F83B27" w:rsidP="00F12880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009D8AF3" w14:textId="7E84CE77" w:rsidR="00752583" w:rsidRPr="00615326" w:rsidRDefault="00CC60C7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A finite test is yet to be established as to what classifies a break in the chain of causation. It could be argued that decision making inevitably falls on the experience and common sense of the judge</w:t>
      </w:r>
      <w:r w:rsidR="000D24EF">
        <w:rPr>
          <w:rFonts w:ascii="Arial" w:hAnsi="Arial" w:cs="Arial"/>
          <w:sz w:val="28"/>
          <w:szCs w:val="28"/>
          <w:lang w:val="en-US"/>
        </w:rPr>
        <w:t>, which leads to less certain outcomes</w:t>
      </w:r>
      <w:r>
        <w:rPr>
          <w:rFonts w:ascii="Arial" w:hAnsi="Arial" w:cs="Arial"/>
          <w:sz w:val="28"/>
          <w:szCs w:val="28"/>
          <w:lang w:val="en-US"/>
        </w:rPr>
        <w:t xml:space="preserve">. </w:t>
      </w:r>
      <w:r w:rsidR="00085A96">
        <w:rPr>
          <w:rFonts w:ascii="Arial" w:hAnsi="Arial" w:cs="Arial"/>
          <w:sz w:val="28"/>
          <w:szCs w:val="28"/>
          <w:lang w:val="en-US"/>
        </w:rPr>
        <w:t xml:space="preserve">This has been </w:t>
      </w:r>
      <w:r w:rsidR="00A874C2">
        <w:rPr>
          <w:rFonts w:ascii="Arial" w:hAnsi="Arial" w:cs="Arial"/>
          <w:sz w:val="28"/>
          <w:szCs w:val="28"/>
          <w:lang w:val="en-US"/>
        </w:rPr>
        <w:t>demon</w:t>
      </w:r>
      <w:r w:rsidR="00B45261">
        <w:rPr>
          <w:rFonts w:ascii="Arial" w:hAnsi="Arial" w:cs="Arial"/>
          <w:sz w:val="28"/>
          <w:szCs w:val="28"/>
          <w:lang w:val="en-US"/>
        </w:rPr>
        <w:t>strated</w:t>
      </w:r>
      <w:r w:rsidR="00085A96">
        <w:rPr>
          <w:rFonts w:ascii="Arial" w:hAnsi="Arial" w:cs="Arial"/>
          <w:sz w:val="28"/>
          <w:szCs w:val="28"/>
          <w:lang w:val="en-US"/>
        </w:rPr>
        <w:t xml:space="preserve"> </w:t>
      </w:r>
      <w:r w:rsidR="006B40B5">
        <w:rPr>
          <w:rFonts w:ascii="Arial" w:hAnsi="Arial" w:cs="Arial"/>
          <w:sz w:val="28"/>
          <w:szCs w:val="28"/>
          <w:lang w:val="en-US"/>
        </w:rPr>
        <w:t xml:space="preserve">throughout </w:t>
      </w:r>
      <w:r w:rsidR="00085A96">
        <w:rPr>
          <w:rFonts w:ascii="Arial" w:hAnsi="Arial" w:cs="Arial"/>
          <w:sz w:val="28"/>
          <w:szCs w:val="28"/>
          <w:lang w:val="en-US"/>
        </w:rPr>
        <w:t xml:space="preserve">when trying to </w:t>
      </w:r>
      <w:r w:rsidR="00FE3AB9">
        <w:rPr>
          <w:rFonts w:ascii="Arial" w:hAnsi="Arial" w:cs="Arial"/>
          <w:sz w:val="28"/>
          <w:szCs w:val="28"/>
          <w:lang w:val="en-US"/>
        </w:rPr>
        <w:t xml:space="preserve">establish where there has been </w:t>
      </w:r>
      <w:r w:rsidR="00B45261">
        <w:rPr>
          <w:rFonts w:ascii="Arial" w:hAnsi="Arial" w:cs="Arial"/>
          <w:sz w:val="28"/>
          <w:szCs w:val="28"/>
          <w:lang w:val="en-US"/>
        </w:rPr>
        <w:t>a break in the chain of causation</w:t>
      </w:r>
      <w:r w:rsidR="00EE2DB1">
        <w:rPr>
          <w:rFonts w:ascii="Arial" w:hAnsi="Arial" w:cs="Arial"/>
          <w:sz w:val="28"/>
          <w:szCs w:val="28"/>
          <w:lang w:val="en-US"/>
        </w:rPr>
        <w:t xml:space="preserve">. </w:t>
      </w:r>
      <w:r w:rsidR="00695C9E">
        <w:rPr>
          <w:rFonts w:ascii="Arial" w:hAnsi="Arial" w:cs="Arial"/>
          <w:sz w:val="28"/>
          <w:szCs w:val="28"/>
          <w:lang w:val="en-US"/>
        </w:rPr>
        <w:t xml:space="preserve">The emphasis of negligence is the ability for the claimant to recover the losses they have sustained, ensuring that all parties are treated fairly. </w:t>
      </w:r>
      <w:r w:rsidR="000C0E61">
        <w:rPr>
          <w:rFonts w:ascii="Arial" w:hAnsi="Arial" w:cs="Arial"/>
          <w:sz w:val="28"/>
          <w:szCs w:val="28"/>
          <w:lang w:val="en-US"/>
        </w:rPr>
        <w:t xml:space="preserve">Contradictions in case law </w:t>
      </w:r>
      <w:r w:rsidR="004F6BEA">
        <w:rPr>
          <w:rFonts w:ascii="Arial" w:hAnsi="Arial" w:cs="Arial"/>
          <w:sz w:val="28"/>
          <w:szCs w:val="28"/>
          <w:lang w:val="en-US"/>
        </w:rPr>
        <w:t xml:space="preserve">have </w:t>
      </w:r>
      <w:r w:rsidR="00FC156A">
        <w:rPr>
          <w:rFonts w:ascii="Arial" w:hAnsi="Arial" w:cs="Arial"/>
          <w:sz w:val="28"/>
          <w:szCs w:val="28"/>
          <w:lang w:val="en-US"/>
        </w:rPr>
        <w:t xml:space="preserve">proportioned blame on defendant’s </w:t>
      </w:r>
      <w:r w:rsidR="00E0398C">
        <w:rPr>
          <w:rFonts w:ascii="Arial" w:hAnsi="Arial" w:cs="Arial"/>
          <w:sz w:val="28"/>
          <w:szCs w:val="28"/>
          <w:lang w:val="en-US"/>
        </w:rPr>
        <w:t xml:space="preserve">although when </w:t>
      </w:r>
      <w:r w:rsidR="00F36F55">
        <w:rPr>
          <w:rFonts w:ascii="Arial" w:hAnsi="Arial" w:cs="Arial"/>
          <w:sz w:val="28"/>
          <w:szCs w:val="28"/>
          <w:lang w:val="en-US"/>
        </w:rPr>
        <w:t>examining</w:t>
      </w:r>
      <w:r w:rsidR="00E0398C">
        <w:rPr>
          <w:rFonts w:ascii="Arial" w:hAnsi="Arial" w:cs="Arial"/>
          <w:sz w:val="28"/>
          <w:szCs w:val="28"/>
          <w:lang w:val="en-US"/>
        </w:rPr>
        <w:t xml:space="preserve"> fact patterns </w:t>
      </w:r>
      <w:r w:rsidR="000E4130">
        <w:rPr>
          <w:rFonts w:ascii="Arial" w:hAnsi="Arial" w:cs="Arial"/>
          <w:sz w:val="28"/>
          <w:szCs w:val="28"/>
          <w:lang w:val="en-US"/>
        </w:rPr>
        <w:t>in</w:t>
      </w:r>
      <w:r w:rsidR="00F36F55">
        <w:rPr>
          <w:rFonts w:ascii="Arial" w:hAnsi="Arial" w:cs="Arial"/>
          <w:sz w:val="28"/>
          <w:szCs w:val="28"/>
          <w:lang w:val="en-US"/>
        </w:rPr>
        <w:t xml:space="preserve"> </w:t>
      </w:r>
      <w:r w:rsidR="00AB29EC">
        <w:rPr>
          <w:rFonts w:ascii="Arial" w:hAnsi="Arial" w:cs="Arial"/>
          <w:sz w:val="28"/>
          <w:szCs w:val="28"/>
          <w:lang w:val="en-US"/>
        </w:rPr>
        <w:t xml:space="preserve">similar cases </w:t>
      </w:r>
      <w:r w:rsidR="00596F36">
        <w:rPr>
          <w:rFonts w:ascii="Arial" w:hAnsi="Arial" w:cs="Arial"/>
          <w:sz w:val="28"/>
          <w:szCs w:val="28"/>
          <w:lang w:val="en-US"/>
        </w:rPr>
        <w:t>blame shifts due to a</w:t>
      </w:r>
      <w:r w:rsidR="000E4130">
        <w:rPr>
          <w:rFonts w:ascii="Arial" w:hAnsi="Arial" w:cs="Arial"/>
          <w:sz w:val="28"/>
          <w:szCs w:val="28"/>
          <w:lang w:val="en-US"/>
        </w:rPr>
        <w:t xml:space="preserve"> ‘novus actus interveniens’</w:t>
      </w:r>
      <w:r w:rsidR="00596F36">
        <w:rPr>
          <w:rFonts w:ascii="Arial" w:hAnsi="Arial" w:cs="Arial"/>
          <w:sz w:val="28"/>
          <w:szCs w:val="28"/>
          <w:lang w:val="en-US"/>
        </w:rPr>
        <w:t xml:space="preserve">. </w:t>
      </w:r>
      <w:r w:rsidR="000A5063">
        <w:rPr>
          <w:rFonts w:ascii="Arial" w:hAnsi="Arial" w:cs="Arial"/>
          <w:sz w:val="28"/>
          <w:szCs w:val="28"/>
          <w:lang w:val="en-US"/>
        </w:rPr>
        <w:t>D</w:t>
      </w:r>
      <w:r w:rsidR="00885927">
        <w:rPr>
          <w:rFonts w:ascii="Arial" w:hAnsi="Arial" w:cs="Arial"/>
          <w:sz w:val="28"/>
          <w:szCs w:val="28"/>
          <w:lang w:val="en-US"/>
        </w:rPr>
        <w:t>istinctions and contradictions</w:t>
      </w:r>
      <w:r w:rsidR="00D222E0">
        <w:rPr>
          <w:rFonts w:ascii="Arial" w:hAnsi="Arial" w:cs="Arial"/>
          <w:sz w:val="28"/>
          <w:szCs w:val="28"/>
          <w:lang w:val="en-US"/>
        </w:rPr>
        <w:t xml:space="preserve"> are evident and it has become obvious that any judgement can be overturned by the legislatur</w:t>
      </w:r>
      <w:r w:rsidR="006C7276">
        <w:rPr>
          <w:rFonts w:ascii="Arial" w:hAnsi="Arial" w:cs="Arial"/>
          <w:sz w:val="28"/>
          <w:szCs w:val="28"/>
          <w:lang w:val="en-US"/>
        </w:rPr>
        <w:t>e</w:t>
      </w:r>
      <w:r w:rsidR="0044028F">
        <w:rPr>
          <w:rFonts w:ascii="Arial" w:hAnsi="Arial" w:cs="Arial"/>
          <w:sz w:val="28"/>
          <w:szCs w:val="28"/>
          <w:lang w:val="en-US"/>
        </w:rPr>
        <w:t>.</w:t>
      </w:r>
    </w:p>
    <w:p w14:paraId="5FE95634" w14:textId="159CEA86" w:rsidR="00C44438" w:rsidRDefault="00C44438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3FDDE428" w14:textId="77777777" w:rsidR="00C44438" w:rsidRPr="0037509E" w:rsidRDefault="00C44438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51780FF6" w14:textId="77777777" w:rsidR="00735186" w:rsidRDefault="00735186" w:rsidP="005C52B1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</w:p>
    <w:p w14:paraId="2B96230B" w14:textId="77777777" w:rsidR="00735186" w:rsidRDefault="00735186" w:rsidP="005C52B1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</w:p>
    <w:p w14:paraId="261C53BA" w14:textId="06093DD7" w:rsidR="005E17FF" w:rsidRPr="00756831" w:rsidRDefault="001A2CEA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 w:rsidRPr="0042217D">
        <w:rPr>
          <w:rFonts w:ascii="Arial" w:hAnsi="Arial" w:cs="Arial"/>
          <w:b/>
          <w:bCs/>
          <w:sz w:val="28"/>
          <w:szCs w:val="28"/>
          <w:u w:val="single"/>
          <w:lang w:val="en-US"/>
        </w:rPr>
        <w:lastRenderedPageBreak/>
        <w:t>Reference List</w:t>
      </w:r>
      <w:r w:rsidR="00CC48C6" w:rsidRPr="00CC48C6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3776E601" w14:textId="25AFBAB1" w:rsidR="00597DB1" w:rsidRDefault="00597DB1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Baker</w:t>
      </w:r>
      <w:r w:rsidR="00DF0011">
        <w:rPr>
          <w:rFonts w:ascii="Arial" w:hAnsi="Arial" w:cs="Arial"/>
          <w:sz w:val="28"/>
          <w:szCs w:val="28"/>
          <w:lang w:val="en-US"/>
        </w:rPr>
        <w:t xml:space="preserve"> v Willou</w:t>
      </w:r>
      <w:r w:rsidR="003344DE">
        <w:rPr>
          <w:rFonts w:ascii="Arial" w:hAnsi="Arial" w:cs="Arial"/>
          <w:sz w:val="28"/>
          <w:szCs w:val="28"/>
          <w:lang w:val="en-US"/>
        </w:rPr>
        <w:t>ghby</w:t>
      </w:r>
      <w:r w:rsidR="00656A8C">
        <w:rPr>
          <w:rFonts w:ascii="Arial" w:hAnsi="Arial" w:cs="Arial"/>
          <w:sz w:val="28"/>
          <w:szCs w:val="28"/>
          <w:lang w:val="en-US"/>
        </w:rPr>
        <w:t xml:space="preserve"> [1970] </w:t>
      </w:r>
      <w:r w:rsidR="00657CAC">
        <w:rPr>
          <w:rFonts w:ascii="Arial" w:hAnsi="Arial" w:cs="Arial"/>
          <w:sz w:val="28"/>
          <w:szCs w:val="28"/>
          <w:lang w:val="en-US"/>
        </w:rPr>
        <w:t>AC 467</w:t>
      </w:r>
    </w:p>
    <w:p w14:paraId="1E585BF8" w14:textId="18A9EEF3" w:rsidR="001F4027" w:rsidRDefault="001F4027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Brennan</w:t>
      </w:r>
      <w:r w:rsidR="00761948">
        <w:rPr>
          <w:rFonts w:ascii="Arial" w:hAnsi="Arial" w:cs="Arial"/>
          <w:sz w:val="28"/>
          <w:szCs w:val="28"/>
          <w:lang w:val="en-US"/>
        </w:rPr>
        <w:t xml:space="preserve">, C. (2017) </w:t>
      </w:r>
      <w:r w:rsidR="00761948">
        <w:rPr>
          <w:rFonts w:ascii="Arial" w:hAnsi="Arial" w:cs="Arial"/>
          <w:i/>
          <w:iCs/>
          <w:sz w:val="28"/>
          <w:szCs w:val="28"/>
          <w:lang w:val="en-US"/>
        </w:rPr>
        <w:t xml:space="preserve">Tort Law Concentrate: Law Revision and Study Guide. </w:t>
      </w:r>
      <w:r w:rsidR="009B4D0B">
        <w:rPr>
          <w:rFonts w:ascii="Arial" w:hAnsi="Arial" w:cs="Arial"/>
          <w:sz w:val="28"/>
          <w:szCs w:val="28"/>
          <w:lang w:val="en-US"/>
        </w:rPr>
        <w:t>4</w:t>
      </w:r>
      <w:r w:rsidR="009B4D0B" w:rsidRPr="009B4D0B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9B4D0B">
        <w:rPr>
          <w:rFonts w:ascii="Arial" w:hAnsi="Arial" w:cs="Arial"/>
          <w:sz w:val="28"/>
          <w:szCs w:val="28"/>
          <w:lang w:val="en-US"/>
        </w:rPr>
        <w:t xml:space="preserve"> Ed. </w:t>
      </w:r>
      <w:r w:rsidR="00DF775A">
        <w:rPr>
          <w:rFonts w:ascii="Arial" w:hAnsi="Arial" w:cs="Arial"/>
          <w:sz w:val="28"/>
          <w:szCs w:val="28"/>
          <w:lang w:val="en-US"/>
        </w:rPr>
        <w:t>United Kingdom</w:t>
      </w:r>
      <w:r w:rsidR="009B4D0B">
        <w:rPr>
          <w:rFonts w:ascii="Arial" w:hAnsi="Arial" w:cs="Arial"/>
          <w:sz w:val="28"/>
          <w:szCs w:val="28"/>
          <w:lang w:val="en-US"/>
        </w:rPr>
        <w:t>: Ox</w:t>
      </w:r>
      <w:r w:rsidR="0009724B">
        <w:rPr>
          <w:rFonts w:ascii="Arial" w:hAnsi="Arial" w:cs="Arial"/>
          <w:sz w:val="28"/>
          <w:szCs w:val="28"/>
          <w:lang w:val="en-US"/>
        </w:rPr>
        <w:t xml:space="preserve">ford University Press </w:t>
      </w:r>
    </w:p>
    <w:p w14:paraId="4A40A848" w14:textId="6C418F6D" w:rsidR="00EB3C07" w:rsidRPr="00144FF8" w:rsidRDefault="00EB3C07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Buckley, </w:t>
      </w:r>
      <w:r w:rsidR="00E80C97">
        <w:rPr>
          <w:rFonts w:ascii="Arial" w:hAnsi="Arial" w:cs="Arial"/>
          <w:sz w:val="28"/>
          <w:szCs w:val="28"/>
          <w:lang w:val="en-US"/>
        </w:rPr>
        <w:t xml:space="preserve">R. A. (2018) </w:t>
      </w:r>
      <w:r w:rsidR="00144FF8">
        <w:rPr>
          <w:rFonts w:ascii="Arial" w:hAnsi="Arial" w:cs="Arial"/>
          <w:i/>
          <w:iCs/>
          <w:sz w:val="28"/>
          <w:szCs w:val="28"/>
          <w:lang w:val="en-US"/>
        </w:rPr>
        <w:t xml:space="preserve">Escaping Liability. </w:t>
      </w:r>
      <w:r w:rsidR="00144FF8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5" w:history="1">
        <w:r w:rsidR="00E27024" w:rsidRPr="00E40F9B">
          <w:rPr>
            <w:rStyle w:val="Hyperlink"/>
            <w:rFonts w:ascii="Arial" w:hAnsi="Arial" w:cs="Arial"/>
            <w:sz w:val="28"/>
            <w:szCs w:val="28"/>
            <w:lang w:val="en-US"/>
          </w:rPr>
          <w:t>https://www.newlawjournal.co.uk/docs/default-source/article_files/012_nlj_7804_specialist_negligence_buckley.pdf?sfvrsn=146d16ca_2</w:t>
        </w:r>
      </w:hyperlink>
      <w:r w:rsidR="00E27024">
        <w:rPr>
          <w:rFonts w:ascii="Arial" w:hAnsi="Arial" w:cs="Arial"/>
          <w:sz w:val="28"/>
          <w:szCs w:val="28"/>
          <w:lang w:val="en-US"/>
        </w:rPr>
        <w:t xml:space="preserve"> (Accessed on: 2</w:t>
      </w:r>
      <w:r w:rsidR="00E27024" w:rsidRPr="00E27024">
        <w:rPr>
          <w:rFonts w:ascii="Arial" w:hAnsi="Arial" w:cs="Arial"/>
          <w:sz w:val="28"/>
          <w:szCs w:val="28"/>
          <w:vertAlign w:val="superscript"/>
          <w:lang w:val="en-US"/>
        </w:rPr>
        <w:t>nd</w:t>
      </w:r>
      <w:r w:rsidR="00E27024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243B42E9" w14:textId="4F58DB0F" w:rsidR="00CB5862" w:rsidRDefault="00CB5862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Carslogie </w:t>
      </w:r>
      <w:r w:rsidR="00D63B50">
        <w:rPr>
          <w:rFonts w:ascii="Arial" w:hAnsi="Arial" w:cs="Arial"/>
          <w:sz w:val="28"/>
          <w:szCs w:val="28"/>
          <w:lang w:val="en-US"/>
        </w:rPr>
        <w:t xml:space="preserve">Steamship </w:t>
      </w:r>
      <w:r w:rsidR="00253289">
        <w:rPr>
          <w:rFonts w:ascii="Arial" w:hAnsi="Arial" w:cs="Arial"/>
          <w:sz w:val="28"/>
          <w:szCs w:val="28"/>
          <w:lang w:val="en-US"/>
        </w:rPr>
        <w:t xml:space="preserve">Co Ltd </w:t>
      </w:r>
      <w:r w:rsidR="00D63B50">
        <w:rPr>
          <w:rFonts w:ascii="Arial" w:hAnsi="Arial" w:cs="Arial"/>
          <w:sz w:val="28"/>
          <w:szCs w:val="28"/>
          <w:lang w:val="en-US"/>
        </w:rPr>
        <w:t>v</w:t>
      </w:r>
      <w:r w:rsidR="00253289">
        <w:rPr>
          <w:rFonts w:ascii="Arial" w:hAnsi="Arial" w:cs="Arial"/>
          <w:sz w:val="28"/>
          <w:szCs w:val="28"/>
          <w:lang w:val="en-US"/>
        </w:rPr>
        <w:t xml:space="preserve"> </w:t>
      </w:r>
      <w:r w:rsidR="00A826D9">
        <w:rPr>
          <w:rFonts w:ascii="Arial" w:hAnsi="Arial" w:cs="Arial"/>
          <w:sz w:val="28"/>
          <w:szCs w:val="28"/>
          <w:lang w:val="en-US"/>
        </w:rPr>
        <w:t xml:space="preserve">Royal Norwegian Government </w:t>
      </w:r>
      <w:r w:rsidR="00183706">
        <w:rPr>
          <w:rFonts w:ascii="Arial" w:hAnsi="Arial" w:cs="Arial"/>
          <w:sz w:val="28"/>
          <w:szCs w:val="28"/>
          <w:lang w:val="en-US"/>
        </w:rPr>
        <w:t>[195</w:t>
      </w:r>
      <w:r w:rsidR="00954F64">
        <w:rPr>
          <w:rFonts w:ascii="Arial" w:hAnsi="Arial" w:cs="Arial"/>
          <w:sz w:val="28"/>
          <w:szCs w:val="28"/>
          <w:lang w:val="en-US"/>
        </w:rPr>
        <w:t xml:space="preserve">2] </w:t>
      </w:r>
      <w:r w:rsidR="003E26DB">
        <w:rPr>
          <w:rFonts w:ascii="Arial" w:hAnsi="Arial" w:cs="Arial"/>
          <w:sz w:val="28"/>
          <w:szCs w:val="28"/>
          <w:lang w:val="en-US"/>
        </w:rPr>
        <w:t>AC 2</w:t>
      </w:r>
      <w:r w:rsidR="00AE27BD">
        <w:rPr>
          <w:rFonts w:ascii="Arial" w:hAnsi="Arial" w:cs="Arial"/>
          <w:sz w:val="28"/>
          <w:szCs w:val="28"/>
          <w:lang w:val="en-US"/>
        </w:rPr>
        <w:t>92</w:t>
      </w:r>
      <w:r w:rsidR="00D63B50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ED8B6AD" w14:textId="7CCAFDE3" w:rsidR="008B75FD" w:rsidRDefault="008B75FD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Corr</w:t>
      </w:r>
      <w:r w:rsidR="0007281D">
        <w:rPr>
          <w:rFonts w:ascii="Arial" w:hAnsi="Arial" w:cs="Arial"/>
          <w:sz w:val="28"/>
          <w:szCs w:val="28"/>
          <w:lang w:val="en-US"/>
        </w:rPr>
        <w:t xml:space="preserve"> v </w:t>
      </w:r>
      <w:r w:rsidR="009B21EC">
        <w:rPr>
          <w:rFonts w:ascii="Arial" w:hAnsi="Arial" w:cs="Arial"/>
          <w:sz w:val="28"/>
          <w:szCs w:val="28"/>
          <w:lang w:val="en-US"/>
        </w:rPr>
        <w:t xml:space="preserve">IBC Vehicles </w:t>
      </w:r>
      <w:r w:rsidR="00341DA6">
        <w:rPr>
          <w:rFonts w:ascii="Arial" w:hAnsi="Arial" w:cs="Arial"/>
          <w:sz w:val="28"/>
          <w:szCs w:val="28"/>
          <w:lang w:val="en-US"/>
        </w:rPr>
        <w:t xml:space="preserve">Ltd </w:t>
      </w:r>
      <w:r w:rsidR="00DD0477">
        <w:rPr>
          <w:rFonts w:ascii="Arial" w:hAnsi="Arial" w:cs="Arial"/>
          <w:sz w:val="28"/>
          <w:szCs w:val="28"/>
          <w:lang w:val="en-US"/>
        </w:rPr>
        <w:t>[</w:t>
      </w:r>
      <w:r w:rsidR="00600DC9">
        <w:rPr>
          <w:rFonts w:ascii="Arial" w:hAnsi="Arial" w:cs="Arial"/>
          <w:sz w:val="28"/>
          <w:szCs w:val="28"/>
          <w:lang w:val="en-US"/>
        </w:rPr>
        <w:t>200</w:t>
      </w:r>
      <w:r w:rsidR="00466A16">
        <w:rPr>
          <w:rFonts w:ascii="Arial" w:hAnsi="Arial" w:cs="Arial"/>
          <w:sz w:val="28"/>
          <w:szCs w:val="28"/>
          <w:lang w:val="en-US"/>
        </w:rPr>
        <w:t>8] UK</w:t>
      </w:r>
      <w:r w:rsidR="00484622">
        <w:rPr>
          <w:rFonts w:ascii="Arial" w:hAnsi="Arial" w:cs="Arial"/>
          <w:sz w:val="28"/>
          <w:szCs w:val="28"/>
          <w:lang w:val="en-US"/>
        </w:rPr>
        <w:t>HL 13</w:t>
      </w:r>
      <w:r w:rsidR="003652B8">
        <w:rPr>
          <w:rFonts w:ascii="Arial" w:hAnsi="Arial" w:cs="Arial"/>
          <w:sz w:val="28"/>
          <w:szCs w:val="28"/>
          <w:lang w:val="en-US"/>
        </w:rPr>
        <w:t xml:space="preserve">, </w:t>
      </w:r>
      <w:r w:rsidR="00A06642">
        <w:rPr>
          <w:rFonts w:ascii="Arial" w:hAnsi="Arial" w:cs="Arial"/>
          <w:sz w:val="28"/>
          <w:szCs w:val="28"/>
          <w:lang w:val="en-US"/>
        </w:rPr>
        <w:t xml:space="preserve">[2008] </w:t>
      </w:r>
      <w:r w:rsidR="00A64EC6">
        <w:rPr>
          <w:rFonts w:ascii="Arial" w:hAnsi="Arial" w:cs="Arial"/>
          <w:sz w:val="28"/>
          <w:szCs w:val="28"/>
          <w:lang w:val="en-US"/>
        </w:rPr>
        <w:t>AC 884</w:t>
      </w:r>
    </w:p>
    <w:p w14:paraId="127AFA55" w14:textId="45DCAE9D" w:rsidR="00E7460F" w:rsidRPr="00522253" w:rsidRDefault="00E7460F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Casemine (2017) </w:t>
      </w:r>
      <w:r w:rsidR="00967D52">
        <w:rPr>
          <w:rFonts w:ascii="Arial" w:hAnsi="Arial" w:cs="Arial"/>
          <w:i/>
          <w:iCs/>
          <w:sz w:val="28"/>
          <w:szCs w:val="28"/>
          <w:lang w:val="en-US"/>
        </w:rPr>
        <w:t>Humber Oil Terminal Trustee Ltd v Sivand, Owners of Ship</w:t>
      </w:r>
      <w:r w:rsidR="00522253">
        <w:rPr>
          <w:rFonts w:ascii="Arial" w:hAnsi="Arial" w:cs="Arial"/>
          <w:i/>
          <w:iCs/>
          <w:sz w:val="28"/>
          <w:szCs w:val="28"/>
          <w:lang w:val="en-US"/>
        </w:rPr>
        <w:t xml:space="preserve">. </w:t>
      </w:r>
      <w:r w:rsidR="00522253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6" w:history="1">
        <w:r w:rsidR="009F6DF3" w:rsidRPr="00E40F9B">
          <w:rPr>
            <w:rStyle w:val="Hyperlink"/>
            <w:rFonts w:ascii="Arial" w:hAnsi="Arial" w:cs="Arial"/>
            <w:sz w:val="28"/>
            <w:szCs w:val="28"/>
            <w:lang w:val="en-US"/>
          </w:rPr>
          <w:t>https://www.casemine.com/judgement/uk/5a938b3f60d03e5f6b82bc55/amp</w:t>
        </w:r>
      </w:hyperlink>
      <w:r w:rsidR="009F6DF3">
        <w:rPr>
          <w:rFonts w:ascii="Arial" w:hAnsi="Arial" w:cs="Arial"/>
          <w:sz w:val="28"/>
          <w:szCs w:val="28"/>
          <w:lang w:val="en-US"/>
        </w:rPr>
        <w:t xml:space="preserve"> (Accessed on: 1</w:t>
      </w:r>
      <w:r w:rsidR="009F6DF3" w:rsidRPr="009F6DF3">
        <w:rPr>
          <w:rFonts w:ascii="Arial" w:hAnsi="Arial" w:cs="Arial"/>
          <w:sz w:val="28"/>
          <w:szCs w:val="28"/>
          <w:vertAlign w:val="superscript"/>
          <w:lang w:val="en-US"/>
        </w:rPr>
        <w:t>st</w:t>
      </w:r>
      <w:r w:rsidR="009F6DF3">
        <w:rPr>
          <w:rFonts w:ascii="Arial" w:hAnsi="Arial" w:cs="Arial"/>
          <w:sz w:val="28"/>
          <w:szCs w:val="28"/>
          <w:lang w:val="en-US"/>
        </w:rPr>
        <w:t xml:space="preserve"> October, 2020</w:t>
      </w:r>
      <w:r w:rsidR="004D45CB">
        <w:rPr>
          <w:rFonts w:ascii="Arial" w:hAnsi="Arial" w:cs="Arial"/>
          <w:sz w:val="28"/>
          <w:szCs w:val="28"/>
          <w:lang w:val="en-US"/>
        </w:rPr>
        <w:t>)</w:t>
      </w:r>
    </w:p>
    <w:p w14:paraId="5B605636" w14:textId="09A71F54" w:rsidR="00460014" w:rsidRPr="00FC2CC4" w:rsidRDefault="00460014" w:rsidP="005C52B1">
      <w:pPr>
        <w:spacing w:line="480" w:lineRule="auto"/>
        <w:jc w:val="both"/>
        <w:rPr>
          <w:rFonts w:ascii="Arial" w:hAnsi="Arial" w:cs="Arial"/>
          <w:color w:val="00B050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Casson, </w:t>
      </w:r>
      <w:r w:rsidR="006B7839">
        <w:rPr>
          <w:rFonts w:ascii="Arial" w:hAnsi="Arial" w:cs="Arial"/>
          <w:sz w:val="28"/>
          <w:szCs w:val="28"/>
          <w:lang w:val="en-US"/>
        </w:rPr>
        <w:t xml:space="preserve">D. B. (1970) </w:t>
      </w:r>
      <w:r w:rsidR="00337335">
        <w:rPr>
          <w:rFonts w:ascii="Arial" w:hAnsi="Arial" w:cs="Arial"/>
          <w:sz w:val="28"/>
          <w:szCs w:val="28"/>
          <w:lang w:val="en-US"/>
        </w:rPr>
        <w:t xml:space="preserve">‘Foreseeable Act </w:t>
      </w:r>
      <w:r w:rsidR="00C55883">
        <w:rPr>
          <w:rFonts w:ascii="Arial" w:hAnsi="Arial" w:cs="Arial"/>
          <w:sz w:val="28"/>
          <w:szCs w:val="28"/>
          <w:lang w:val="en-US"/>
        </w:rPr>
        <w:t xml:space="preserve">as Novus Actus Interveniens’, </w:t>
      </w:r>
      <w:r w:rsidR="00C55883">
        <w:rPr>
          <w:rFonts w:ascii="Arial" w:hAnsi="Arial" w:cs="Arial"/>
          <w:i/>
          <w:iCs/>
          <w:sz w:val="28"/>
          <w:szCs w:val="28"/>
          <w:lang w:val="en-US"/>
        </w:rPr>
        <w:t xml:space="preserve">The Modern Law </w:t>
      </w:r>
      <w:r w:rsidR="00FC2CC4">
        <w:rPr>
          <w:rFonts w:ascii="Arial" w:hAnsi="Arial" w:cs="Arial"/>
          <w:i/>
          <w:iCs/>
          <w:sz w:val="28"/>
          <w:szCs w:val="28"/>
          <w:lang w:val="en-US"/>
        </w:rPr>
        <w:t xml:space="preserve">Review, </w:t>
      </w:r>
      <w:r w:rsidR="008338F0">
        <w:rPr>
          <w:rFonts w:ascii="Arial" w:hAnsi="Arial" w:cs="Arial"/>
          <w:sz w:val="28"/>
          <w:szCs w:val="28"/>
          <w:lang w:val="en-US"/>
        </w:rPr>
        <w:t>33 (4)</w:t>
      </w:r>
      <w:r w:rsidR="00B662A8">
        <w:rPr>
          <w:rFonts w:ascii="Arial" w:hAnsi="Arial" w:cs="Arial"/>
          <w:sz w:val="28"/>
          <w:szCs w:val="28"/>
          <w:lang w:val="en-US"/>
        </w:rPr>
        <w:t>, pp. 450-453</w:t>
      </w:r>
      <w:r w:rsidR="0047436A">
        <w:rPr>
          <w:rFonts w:ascii="Arial" w:hAnsi="Arial" w:cs="Arial"/>
          <w:sz w:val="28"/>
          <w:szCs w:val="28"/>
          <w:lang w:val="en-US"/>
        </w:rPr>
        <w:t xml:space="preserve">. Available at: </w:t>
      </w:r>
      <w:hyperlink r:id="rId7" w:history="1">
        <w:r w:rsidR="00926E9F" w:rsidRPr="00E40F9B">
          <w:rPr>
            <w:rStyle w:val="Hyperlink"/>
            <w:rFonts w:ascii="Arial" w:hAnsi="Arial" w:cs="Arial"/>
            <w:sz w:val="28"/>
            <w:szCs w:val="28"/>
            <w:lang w:val="en-US"/>
          </w:rPr>
          <w:t>https://www.jstor.org/stable/1094303?seq=1</w:t>
        </w:r>
      </w:hyperlink>
      <w:r w:rsidR="00926E9F">
        <w:rPr>
          <w:rFonts w:ascii="Arial" w:hAnsi="Arial" w:cs="Arial"/>
          <w:sz w:val="28"/>
          <w:szCs w:val="28"/>
          <w:lang w:val="en-US"/>
        </w:rPr>
        <w:t xml:space="preserve"> (Accessed on: 3</w:t>
      </w:r>
      <w:r w:rsidR="00926E9F" w:rsidRPr="00926E9F">
        <w:rPr>
          <w:rFonts w:ascii="Arial" w:hAnsi="Arial" w:cs="Arial"/>
          <w:sz w:val="28"/>
          <w:szCs w:val="28"/>
          <w:vertAlign w:val="superscript"/>
          <w:lang w:val="en-US"/>
        </w:rPr>
        <w:t>rd</w:t>
      </w:r>
      <w:r w:rsidR="00926E9F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0842E532" w14:textId="50323A4F" w:rsidR="00EB16DA" w:rsidRDefault="00EB16DA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 xml:space="preserve">Daiches, M. (1998) </w:t>
      </w:r>
      <w:r w:rsidR="00440D41">
        <w:rPr>
          <w:rFonts w:ascii="Arial" w:hAnsi="Arial" w:cs="Arial"/>
          <w:i/>
          <w:iCs/>
          <w:sz w:val="28"/>
          <w:szCs w:val="28"/>
          <w:lang w:val="en-US"/>
        </w:rPr>
        <w:t>Humber Oil v The Owners of the ship “Sivand”</w:t>
      </w:r>
      <w:r w:rsidR="008F3F98">
        <w:rPr>
          <w:rFonts w:ascii="Arial" w:hAnsi="Arial" w:cs="Arial"/>
          <w:i/>
          <w:iCs/>
          <w:sz w:val="28"/>
          <w:szCs w:val="28"/>
          <w:lang w:val="en-US"/>
        </w:rPr>
        <w:t xml:space="preserve"> – Court of Appeal (Evans, Hobhouse and Pill LJJ) </w:t>
      </w:r>
      <w:r w:rsidR="007D7AED">
        <w:rPr>
          <w:rFonts w:ascii="Arial" w:hAnsi="Arial" w:cs="Arial"/>
          <w:i/>
          <w:iCs/>
          <w:sz w:val="28"/>
          <w:szCs w:val="28"/>
          <w:lang w:val="en-US"/>
        </w:rPr>
        <w:t>–</w:t>
      </w:r>
      <w:r w:rsidR="008F3F98">
        <w:rPr>
          <w:rFonts w:ascii="Arial" w:hAnsi="Arial" w:cs="Arial"/>
          <w:i/>
          <w:iCs/>
          <w:sz w:val="28"/>
          <w:szCs w:val="28"/>
          <w:lang w:val="en-US"/>
        </w:rPr>
        <w:t xml:space="preserve"> </w:t>
      </w:r>
      <w:r w:rsidR="007D7AED">
        <w:rPr>
          <w:rFonts w:ascii="Arial" w:hAnsi="Arial" w:cs="Arial"/>
          <w:i/>
          <w:iCs/>
          <w:sz w:val="28"/>
          <w:szCs w:val="28"/>
          <w:lang w:val="en-US"/>
        </w:rPr>
        <w:t xml:space="preserve">29 January 1998. </w:t>
      </w:r>
      <w:r w:rsidR="007D7AED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8" w:history="1">
        <w:r w:rsidR="003743B7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https://www.lmln.com/practice-and-procedure/tort-claims/article20466.ece</w:t>
        </w:r>
      </w:hyperlink>
      <w:r w:rsidR="003743B7">
        <w:rPr>
          <w:rFonts w:ascii="Arial" w:hAnsi="Arial" w:cs="Arial"/>
          <w:sz w:val="28"/>
          <w:szCs w:val="28"/>
          <w:lang w:val="en-US"/>
        </w:rPr>
        <w:t xml:space="preserve"> (Accessed on: </w:t>
      </w:r>
      <w:r w:rsidR="006348B4">
        <w:rPr>
          <w:rFonts w:ascii="Arial" w:hAnsi="Arial" w:cs="Arial"/>
          <w:sz w:val="28"/>
          <w:szCs w:val="28"/>
          <w:lang w:val="en-US"/>
        </w:rPr>
        <w:t>31</w:t>
      </w:r>
      <w:r w:rsidR="006348B4" w:rsidRPr="006348B4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6348B4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31F3C5FC" w14:textId="5A847B7A" w:rsidR="00981CE9" w:rsidRDefault="00981CE9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>Enable Law (</w:t>
      </w:r>
      <w:r w:rsidR="00B10A35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>2018</w:t>
      </w:r>
      <w:r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>)</w:t>
      </w:r>
      <w:r w:rsidR="00B10A35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B10A35" w:rsidRPr="005B6F49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Everything you need to know about Causation in Medical N</w:t>
      </w:r>
      <w:r w:rsidR="00D4062A" w:rsidRPr="005B6F49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egligence cases. </w:t>
      </w:r>
      <w:r w:rsidR="00D4062A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>Available at:</w:t>
      </w:r>
      <w:r w:rsidR="00D4062A">
        <w:rPr>
          <w:rFonts w:ascii="Arial" w:hAnsi="Arial" w:cs="Arial"/>
          <w:color w:val="FF0000"/>
          <w:sz w:val="28"/>
          <w:szCs w:val="28"/>
          <w:lang w:val="en-US"/>
        </w:rPr>
        <w:t xml:space="preserve"> </w:t>
      </w:r>
      <w:hyperlink r:id="rId9" w:history="1">
        <w:r w:rsidR="00B54C7B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https://www.enablelaw.com/news/expert-opinion/everything-you-need-to-know-about-causation-in-medical-negligence-cases/</w:t>
        </w:r>
      </w:hyperlink>
      <w:r w:rsidR="00B54C7B">
        <w:rPr>
          <w:rFonts w:ascii="Arial" w:hAnsi="Arial" w:cs="Arial"/>
          <w:color w:val="FF0000"/>
          <w:sz w:val="28"/>
          <w:szCs w:val="28"/>
          <w:lang w:val="en-US"/>
        </w:rPr>
        <w:t xml:space="preserve"> </w:t>
      </w:r>
      <w:r w:rsidR="00B54C7B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(Accessed on: </w:t>
      </w:r>
      <w:r w:rsidR="000009F7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>29</w:t>
      </w:r>
      <w:r w:rsidR="000009F7" w:rsidRPr="005B6F49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th</w:t>
      </w:r>
      <w:r w:rsidR="000009F7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October, 2020)</w:t>
      </w:r>
    </w:p>
    <w:p w14:paraId="2781D2A9" w14:textId="3BEDA557" w:rsidR="00CF256C" w:rsidRPr="002B252C" w:rsidRDefault="00CF256C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Foster, S. (2008) </w:t>
      </w:r>
      <w:r w:rsidR="000C1001">
        <w:rPr>
          <w:rFonts w:ascii="Arial" w:hAnsi="Arial" w:cs="Arial"/>
          <w:color w:val="000000" w:themeColor="text1"/>
          <w:sz w:val="28"/>
          <w:szCs w:val="28"/>
          <w:lang w:val="en-US"/>
        </w:rPr>
        <w:t>‘Reeves v. Commissioner of Police of the Metropolis</w:t>
      </w:r>
      <w:r w:rsidR="002B252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[1998] 2 all ER 381’, </w:t>
      </w:r>
      <w:r w:rsidR="002B252C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Journal of Social Welfare and Family Law, </w:t>
      </w:r>
      <w:r w:rsidR="0075683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20 (4), pp. 421-437. </w:t>
      </w:r>
    </w:p>
    <w:p w14:paraId="6DAD33E8" w14:textId="139C74C5" w:rsidR="00A4692F" w:rsidRPr="00FC7662" w:rsidRDefault="00A4692F" w:rsidP="005C52B1">
      <w:pPr>
        <w:spacing w:line="480" w:lineRule="auto"/>
        <w:jc w:val="both"/>
        <w:rPr>
          <w:rFonts w:ascii="Arial" w:hAnsi="Arial" w:cs="Arial"/>
          <w:i/>
          <w:iCs/>
          <w:color w:val="FF0000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Gerven, W. V., </w:t>
      </w:r>
      <w:r w:rsidR="008C2FA3">
        <w:rPr>
          <w:rFonts w:ascii="Arial" w:hAnsi="Arial" w:cs="Arial"/>
          <w:color w:val="000000" w:themeColor="text1"/>
          <w:sz w:val="28"/>
          <w:szCs w:val="28"/>
          <w:lang w:val="en-US"/>
        </w:rPr>
        <w:t>Lever, J. F. and Larouche, P. (2001)</w:t>
      </w:r>
      <w:r w:rsidR="00FC7662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FC7662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Tort Law</w:t>
      </w:r>
      <w:r w:rsidR="00470D31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: Ius Commune Casebooks for the Common Law of Europe. </w:t>
      </w:r>
      <w:r w:rsidR="00C025E3">
        <w:rPr>
          <w:rFonts w:ascii="Arial" w:hAnsi="Arial" w:cs="Arial"/>
          <w:color w:val="000000" w:themeColor="text1"/>
          <w:sz w:val="28"/>
          <w:szCs w:val="28"/>
          <w:lang w:val="en-US"/>
        </w:rPr>
        <w:t>1</w:t>
      </w:r>
      <w:r w:rsidR="00C025E3" w:rsidRPr="00C025E3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st</w:t>
      </w:r>
      <w:r w:rsidR="00C025E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Ed. </w:t>
      </w:r>
      <w:r w:rsidR="00C77B3A">
        <w:rPr>
          <w:rFonts w:ascii="Arial" w:hAnsi="Arial" w:cs="Arial"/>
          <w:color w:val="000000" w:themeColor="text1"/>
          <w:sz w:val="28"/>
          <w:szCs w:val="28"/>
          <w:lang w:val="en-US"/>
        </w:rPr>
        <w:t>Oxford</w:t>
      </w:r>
      <w:r w:rsidR="00DE5785">
        <w:rPr>
          <w:rFonts w:ascii="Arial" w:hAnsi="Arial" w:cs="Arial"/>
          <w:color w:val="000000" w:themeColor="text1"/>
          <w:sz w:val="28"/>
          <w:szCs w:val="28"/>
          <w:lang w:val="en-US"/>
        </w:rPr>
        <w:t>:</w:t>
      </w:r>
      <w:r w:rsidR="003010C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DE5785">
        <w:rPr>
          <w:rFonts w:ascii="Arial" w:hAnsi="Arial" w:cs="Arial"/>
          <w:color w:val="000000" w:themeColor="text1"/>
          <w:sz w:val="28"/>
          <w:szCs w:val="28"/>
          <w:lang w:val="en-US"/>
        </w:rPr>
        <w:t>Hart Publishing.</w:t>
      </w:r>
      <w:r w:rsidR="00470D31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</w:t>
      </w:r>
    </w:p>
    <w:p w14:paraId="1F7B1790" w14:textId="56175B6A" w:rsidR="00A451F0" w:rsidRDefault="00A451F0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Gov.uk. (2016) </w:t>
      </w:r>
      <w:r w:rsidR="004100C6">
        <w:rPr>
          <w:rFonts w:ascii="Arial" w:hAnsi="Arial" w:cs="Arial"/>
          <w:i/>
          <w:iCs/>
          <w:sz w:val="28"/>
          <w:szCs w:val="28"/>
          <w:lang w:val="en-US"/>
        </w:rPr>
        <w:t>HM</w:t>
      </w:r>
      <w:r w:rsidR="00625C3C">
        <w:rPr>
          <w:rFonts w:ascii="Arial" w:hAnsi="Arial" w:cs="Arial"/>
          <w:i/>
          <w:iCs/>
          <w:sz w:val="28"/>
          <w:szCs w:val="28"/>
          <w:lang w:val="en-US"/>
        </w:rPr>
        <w:t xml:space="preserve">RC </w:t>
      </w:r>
      <w:r w:rsidR="00D23181">
        <w:rPr>
          <w:rFonts w:ascii="Arial" w:hAnsi="Arial" w:cs="Arial"/>
          <w:i/>
          <w:iCs/>
          <w:sz w:val="28"/>
          <w:szCs w:val="28"/>
          <w:lang w:val="en-US"/>
        </w:rPr>
        <w:t xml:space="preserve">internal </w:t>
      </w:r>
      <w:r w:rsidR="005A6E1F">
        <w:rPr>
          <w:rFonts w:ascii="Arial" w:hAnsi="Arial" w:cs="Arial"/>
          <w:i/>
          <w:iCs/>
          <w:sz w:val="28"/>
          <w:szCs w:val="28"/>
          <w:lang w:val="en-US"/>
        </w:rPr>
        <w:t>manual</w:t>
      </w:r>
      <w:r w:rsidR="00187126">
        <w:rPr>
          <w:rFonts w:ascii="Arial" w:hAnsi="Arial" w:cs="Arial"/>
          <w:i/>
          <w:iCs/>
          <w:sz w:val="28"/>
          <w:szCs w:val="28"/>
          <w:lang w:val="en-US"/>
        </w:rPr>
        <w:t>. Enqui</w:t>
      </w:r>
      <w:r w:rsidR="008721C5">
        <w:rPr>
          <w:rFonts w:ascii="Arial" w:hAnsi="Arial" w:cs="Arial"/>
          <w:i/>
          <w:iCs/>
          <w:sz w:val="28"/>
          <w:szCs w:val="28"/>
          <w:lang w:val="en-US"/>
        </w:rPr>
        <w:t xml:space="preserve">ry manual. </w:t>
      </w:r>
      <w:r w:rsidR="000529A0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0" w:history="1">
        <w:r w:rsidR="00F83BBA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https://www.gov.uk/hmrc-internal-manuals/enquiry-manual/em5125</w:t>
        </w:r>
      </w:hyperlink>
      <w:r w:rsidR="00F83BBA">
        <w:rPr>
          <w:rFonts w:ascii="Arial" w:hAnsi="Arial" w:cs="Arial"/>
          <w:sz w:val="28"/>
          <w:szCs w:val="28"/>
          <w:lang w:val="en-US"/>
        </w:rPr>
        <w:t xml:space="preserve"> (Accessed on: 28</w:t>
      </w:r>
      <w:r w:rsidR="00F83BBA" w:rsidRPr="00F83BBA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F83BBA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7199210A" w14:textId="1102C70C" w:rsidR="00D22AE5" w:rsidRDefault="00B57D4A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Hall Ellis (2016) </w:t>
      </w:r>
      <w:r>
        <w:rPr>
          <w:rFonts w:ascii="Arial" w:hAnsi="Arial" w:cs="Arial"/>
          <w:i/>
          <w:iCs/>
          <w:sz w:val="28"/>
          <w:szCs w:val="28"/>
          <w:lang w:val="en-US"/>
        </w:rPr>
        <w:t>Causation of loss: law and damages (breaks in causation: novus actus interveniens)</w:t>
      </w:r>
      <w:r w:rsidR="00925916">
        <w:rPr>
          <w:rFonts w:ascii="Arial" w:hAnsi="Arial" w:cs="Arial"/>
          <w:i/>
          <w:iCs/>
          <w:sz w:val="28"/>
          <w:szCs w:val="28"/>
          <w:lang w:val="en-US"/>
        </w:rPr>
        <w:t xml:space="preserve">. </w:t>
      </w:r>
      <w:r w:rsidR="00925916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1" w:history="1">
        <w:r w:rsidR="00663272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https://www.hallellis.co.uk/causation-loss-damages/</w:t>
        </w:r>
      </w:hyperlink>
      <w:r w:rsidR="00663272">
        <w:rPr>
          <w:rFonts w:ascii="Arial" w:hAnsi="Arial" w:cs="Arial"/>
          <w:sz w:val="28"/>
          <w:szCs w:val="28"/>
          <w:lang w:val="en-US"/>
        </w:rPr>
        <w:t xml:space="preserve"> (Accessed on: 29</w:t>
      </w:r>
      <w:r w:rsidR="00663272" w:rsidRPr="00663272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663272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329AC883" w14:textId="6843114B" w:rsidR="00983F9C" w:rsidRPr="000606AB" w:rsidRDefault="00983F9C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 xml:space="preserve">Hayden, P. T. (2000) </w:t>
      </w:r>
      <w:r w:rsidR="00566931">
        <w:rPr>
          <w:rFonts w:ascii="Arial" w:hAnsi="Arial" w:cs="Arial"/>
          <w:i/>
          <w:iCs/>
          <w:sz w:val="28"/>
          <w:szCs w:val="28"/>
          <w:lang w:val="en-US"/>
        </w:rPr>
        <w:t xml:space="preserve">Butterfield Rides Again: </w:t>
      </w:r>
      <w:r w:rsidR="00537419">
        <w:rPr>
          <w:rFonts w:ascii="Arial" w:hAnsi="Arial" w:cs="Arial"/>
          <w:i/>
          <w:iCs/>
          <w:sz w:val="28"/>
          <w:szCs w:val="28"/>
          <w:lang w:val="en-US"/>
        </w:rPr>
        <w:t xml:space="preserve">Plaintiff’s </w:t>
      </w:r>
      <w:r w:rsidR="0091214A">
        <w:rPr>
          <w:rFonts w:ascii="Arial" w:hAnsi="Arial" w:cs="Arial"/>
          <w:i/>
          <w:iCs/>
          <w:sz w:val="28"/>
          <w:szCs w:val="28"/>
          <w:lang w:val="en-US"/>
        </w:rPr>
        <w:t xml:space="preserve">Negligence </w:t>
      </w:r>
      <w:r w:rsidR="0049342E">
        <w:rPr>
          <w:rFonts w:ascii="Arial" w:hAnsi="Arial" w:cs="Arial"/>
          <w:i/>
          <w:iCs/>
          <w:sz w:val="28"/>
          <w:szCs w:val="28"/>
          <w:lang w:val="en-US"/>
        </w:rPr>
        <w:t xml:space="preserve">as Superseding </w:t>
      </w:r>
      <w:r w:rsidR="00D11BA5">
        <w:rPr>
          <w:rFonts w:ascii="Arial" w:hAnsi="Arial" w:cs="Arial"/>
          <w:i/>
          <w:iCs/>
          <w:sz w:val="28"/>
          <w:szCs w:val="28"/>
          <w:lang w:val="en-US"/>
        </w:rPr>
        <w:t xml:space="preserve">or Sole </w:t>
      </w:r>
      <w:r w:rsidR="006C2DE8">
        <w:rPr>
          <w:rFonts w:ascii="Arial" w:hAnsi="Arial" w:cs="Arial"/>
          <w:i/>
          <w:iCs/>
          <w:sz w:val="28"/>
          <w:szCs w:val="28"/>
          <w:lang w:val="en-US"/>
        </w:rPr>
        <w:t xml:space="preserve">Proximate Cause </w:t>
      </w:r>
      <w:r w:rsidR="007C5471">
        <w:rPr>
          <w:rFonts w:ascii="Arial" w:hAnsi="Arial" w:cs="Arial"/>
          <w:i/>
          <w:iCs/>
          <w:sz w:val="28"/>
          <w:szCs w:val="28"/>
          <w:lang w:val="en-US"/>
        </w:rPr>
        <w:t xml:space="preserve">in Systems of Pure </w:t>
      </w:r>
      <w:r w:rsidR="000606AB">
        <w:rPr>
          <w:rFonts w:ascii="Arial" w:hAnsi="Arial" w:cs="Arial"/>
          <w:i/>
          <w:iCs/>
          <w:sz w:val="28"/>
          <w:szCs w:val="28"/>
          <w:lang w:val="en-US"/>
        </w:rPr>
        <w:t xml:space="preserve">Comparative Responsibility. </w:t>
      </w:r>
      <w:r w:rsidR="000606AB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2" w:history="1">
        <w:r w:rsidR="00CA4CE2" w:rsidRPr="00E40F9B">
          <w:rPr>
            <w:rStyle w:val="Hyperlink"/>
            <w:rFonts w:ascii="Arial" w:hAnsi="Arial" w:cs="Arial"/>
            <w:sz w:val="28"/>
            <w:szCs w:val="28"/>
            <w:lang w:val="en-US"/>
          </w:rPr>
          <w:t>https://www.digitalcommons.imu.edu/cgi/viewcontent.cgi?article=2215%context=llr&amp;httpsredir=1&amp;referer=</w:t>
        </w:r>
      </w:hyperlink>
      <w:r w:rsidR="00CA4CE2">
        <w:rPr>
          <w:rFonts w:ascii="Arial" w:hAnsi="Arial" w:cs="Arial"/>
          <w:sz w:val="28"/>
          <w:szCs w:val="28"/>
          <w:lang w:val="en-US"/>
        </w:rPr>
        <w:t xml:space="preserve"> (Accessed on: 2</w:t>
      </w:r>
      <w:r w:rsidR="00CA4CE2" w:rsidRPr="00CA4CE2">
        <w:rPr>
          <w:rFonts w:ascii="Arial" w:hAnsi="Arial" w:cs="Arial"/>
          <w:sz w:val="28"/>
          <w:szCs w:val="28"/>
          <w:vertAlign w:val="superscript"/>
          <w:lang w:val="en-US"/>
        </w:rPr>
        <w:t>nd</w:t>
      </w:r>
      <w:r w:rsidR="00CA4CE2">
        <w:rPr>
          <w:rFonts w:ascii="Arial" w:hAnsi="Arial" w:cs="Arial"/>
          <w:sz w:val="28"/>
          <w:szCs w:val="28"/>
          <w:lang w:val="en-US"/>
        </w:rPr>
        <w:t xml:space="preserve"> November, 2020)</w:t>
      </w:r>
    </w:p>
    <w:p w14:paraId="1EE3BF56" w14:textId="5B0E09FD" w:rsidR="00C85AD0" w:rsidRPr="0014220A" w:rsidRDefault="00C85AD0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Hitchcock, </w:t>
      </w:r>
      <w:r w:rsidR="00C35378">
        <w:rPr>
          <w:rFonts w:ascii="Arial" w:hAnsi="Arial" w:cs="Arial"/>
          <w:sz w:val="28"/>
          <w:szCs w:val="28"/>
          <w:lang w:val="en-US"/>
        </w:rPr>
        <w:t xml:space="preserve">P. and Stirling, </w:t>
      </w:r>
      <w:r w:rsidR="00A322AE">
        <w:rPr>
          <w:rFonts w:ascii="Arial" w:hAnsi="Arial" w:cs="Arial"/>
          <w:sz w:val="28"/>
          <w:szCs w:val="28"/>
          <w:lang w:val="en-US"/>
        </w:rPr>
        <w:t xml:space="preserve">C. (2012) </w:t>
      </w:r>
      <w:r w:rsidR="00885D76">
        <w:rPr>
          <w:rFonts w:ascii="Arial" w:hAnsi="Arial" w:cs="Arial"/>
          <w:i/>
          <w:iCs/>
          <w:sz w:val="28"/>
          <w:szCs w:val="28"/>
          <w:lang w:val="en-US"/>
        </w:rPr>
        <w:t xml:space="preserve">Drawing the </w:t>
      </w:r>
      <w:r w:rsidR="00226DA7">
        <w:rPr>
          <w:rFonts w:ascii="Arial" w:hAnsi="Arial" w:cs="Arial"/>
          <w:i/>
          <w:iCs/>
          <w:sz w:val="28"/>
          <w:szCs w:val="28"/>
          <w:lang w:val="en-US"/>
        </w:rPr>
        <w:t xml:space="preserve">Fault Line: </w:t>
      </w:r>
      <w:r w:rsidR="00EB2AE1">
        <w:rPr>
          <w:rFonts w:ascii="Arial" w:hAnsi="Arial" w:cs="Arial"/>
          <w:i/>
          <w:iCs/>
          <w:sz w:val="28"/>
          <w:szCs w:val="28"/>
          <w:lang w:val="en-US"/>
        </w:rPr>
        <w:t xml:space="preserve">Multiple Tortfeasors </w:t>
      </w:r>
      <w:r w:rsidR="0014220A">
        <w:rPr>
          <w:rFonts w:ascii="Arial" w:hAnsi="Arial" w:cs="Arial"/>
          <w:i/>
          <w:iCs/>
          <w:sz w:val="28"/>
          <w:szCs w:val="28"/>
          <w:lang w:val="en-US"/>
        </w:rPr>
        <w:t xml:space="preserve">and Intervening Acts. </w:t>
      </w:r>
      <w:r w:rsidR="0014220A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3" w:history="1">
        <w:r w:rsidR="00896DBB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https://www.482pe539799u3ynseg2hl1r3-wpengine.netdna-ssl.com/wp-content/uploads/2012/11/2012-november-drawing-the-fault-line.pdf</w:t>
        </w:r>
      </w:hyperlink>
      <w:r w:rsidR="00896DBB">
        <w:rPr>
          <w:rFonts w:ascii="Arial" w:hAnsi="Arial" w:cs="Arial"/>
          <w:sz w:val="28"/>
          <w:szCs w:val="28"/>
          <w:lang w:val="en-US"/>
        </w:rPr>
        <w:t xml:space="preserve"> (Accessed on: 30</w:t>
      </w:r>
      <w:r w:rsidR="00896DBB" w:rsidRPr="00896DBB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896DBB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69DD1507" w14:textId="75C342BD" w:rsidR="000D1000" w:rsidRDefault="006A2E78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Hogan Lovells (2017) </w:t>
      </w:r>
      <w:r>
        <w:rPr>
          <w:rFonts w:ascii="Arial" w:hAnsi="Arial" w:cs="Arial"/>
          <w:i/>
          <w:iCs/>
          <w:sz w:val="28"/>
          <w:szCs w:val="28"/>
          <w:lang w:val="en-US"/>
        </w:rPr>
        <w:t xml:space="preserve">Novus Actus Interveniens. </w:t>
      </w:r>
      <w:r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4" w:history="1">
        <w:r w:rsidR="002E665A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https://www.hoganlovells.com/en/publications/novus-actus-interveniens</w:t>
        </w:r>
      </w:hyperlink>
      <w:r w:rsidR="002E665A">
        <w:rPr>
          <w:rFonts w:ascii="Arial" w:hAnsi="Arial" w:cs="Arial"/>
          <w:sz w:val="28"/>
          <w:szCs w:val="28"/>
          <w:lang w:val="en-US"/>
        </w:rPr>
        <w:t xml:space="preserve"> (Accessed on: 28</w:t>
      </w:r>
      <w:r w:rsidR="002E665A" w:rsidRPr="002E665A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2E665A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2E840740" w14:textId="325EF2F1" w:rsidR="00B71DBA" w:rsidRDefault="00B71DBA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Humber </w:t>
      </w:r>
      <w:r w:rsidR="00873D25">
        <w:rPr>
          <w:rFonts w:ascii="Arial" w:hAnsi="Arial" w:cs="Arial"/>
          <w:sz w:val="28"/>
          <w:szCs w:val="28"/>
          <w:lang w:val="en-US"/>
        </w:rPr>
        <w:t xml:space="preserve">Oil </w:t>
      </w:r>
      <w:r w:rsidR="00816017">
        <w:rPr>
          <w:rFonts w:ascii="Arial" w:hAnsi="Arial" w:cs="Arial"/>
          <w:sz w:val="28"/>
          <w:szCs w:val="28"/>
          <w:lang w:val="en-US"/>
        </w:rPr>
        <w:t xml:space="preserve">Terminal </w:t>
      </w:r>
      <w:r w:rsidR="00B31AFC">
        <w:rPr>
          <w:rFonts w:ascii="Arial" w:hAnsi="Arial" w:cs="Arial"/>
          <w:sz w:val="28"/>
          <w:szCs w:val="28"/>
          <w:lang w:val="en-US"/>
        </w:rPr>
        <w:t>Trustee</w:t>
      </w:r>
      <w:r w:rsidR="00DE6B7D">
        <w:rPr>
          <w:rFonts w:ascii="Arial" w:hAnsi="Arial" w:cs="Arial"/>
          <w:sz w:val="28"/>
          <w:szCs w:val="28"/>
          <w:lang w:val="en-US"/>
        </w:rPr>
        <w:t xml:space="preserve"> Ltd v </w:t>
      </w:r>
      <w:r w:rsidR="00D14C98">
        <w:rPr>
          <w:rFonts w:ascii="Arial" w:hAnsi="Arial" w:cs="Arial"/>
          <w:sz w:val="28"/>
          <w:szCs w:val="28"/>
          <w:lang w:val="en-US"/>
        </w:rPr>
        <w:t xml:space="preserve">Sivand, Owners of </w:t>
      </w:r>
      <w:r w:rsidR="00101BAA">
        <w:rPr>
          <w:rFonts w:ascii="Arial" w:hAnsi="Arial" w:cs="Arial"/>
          <w:sz w:val="28"/>
          <w:szCs w:val="28"/>
          <w:lang w:val="en-US"/>
        </w:rPr>
        <w:t xml:space="preserve">Ship [1998] </w:t>
      </w:r>
      <w:r w:rsidR="002B7950">
        <w:rPr>
          <w:rFonts w:ascii="Arial" w:hAnsi="Arial" w:cs="Arial"/>
          <w:sz w:val="28"/>
          <w:szCs w:val="28"/>
          <w:lang w:val="en-US"/>
        </w:rPr>
        <w:t xml:space="preserve">EWCA </w:t>
      </w:r>
      <w:r w:rsidR="0082011B">
        <w:rPr>
          <w:rFonts w:ascii="Arial" w:hAnsi="Arial" w:cs="Arial"/>
          <w:sz w:val="28"/>
          <w:szCs w:val="28"/>
          <w:lang w:val="en-US"/>
        </w:rPr>
        <w:t>Civ 100</w:t>
      </w:r>
    </w:p>
    <w:p w14:paraId="7F9AD267" w14:textId="6FBAD33B" w:rsidR="00BB2F2E" w:rsidRDefault="00BB2F2E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Jobling v Associated Dairies </w:t>
      </w:r>
      <w:r w:rsidR="00680B4A">
        <w:rPr>
          <w:rFonts w:ascii="Arial" w:hAnsi="Arial" w:cs="Arial"/>
          <w:sz w:val="28"/>
          <w:szCs w:val="28"/>
          <w:lang w:val="en-US"/>
        </w:rPr>
        <w:t>Ltd</w:t>
      </w:r>
      <w:r w:rsidR="008236F1">
        <w:rPr>
          <w:rFonts w:ascii="Arial" w:hAnsi="Arial" w:cs="Arial"/>
          <w:sz w:val="28"/>
          <w:szCs w:val="28"/>
          <w:lang w:val="en-US"/>
        </w:rPr>
        <w:t xml:space="preserve"> [1982] </w:t>
      </w:r>
      <w:r w:rsidR="00E62D16">
        <w:rPr>
          <w:rFonts w:ascii="Arial" w:hAnsi="Arial" w:cs="Arial"/>
          <w:sz w:val="28"/>
          <w:szCs w:val="28"/>
          <w:lang w:val="en-US"/>
        </w:rPr>
        <w:t>AC 794</w:t>
      </w:r>
    </w:p>
    <w:p w14:paraId="76C2750F" w14:textId="2F715A98" w:rsidR="007E4D6C" w:rsidRDefault="007E4D6C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Jowitt, V. (2019) </w:t>
      </w:r>
      <w:r w:rsidR="002C4EA0">
        <w:rPr>
          <w:rFonts w:ascii="Arial" w:hAnsi="Arial" w:cs="Arial"/>
          <w:i/>
          <w:iCs/>
          <w:sz w:val="28"/>
          <w:szCs w:val="28"/>
          <w:lang w:val="en-US"/>
        </w:rPr>
        <w:t>Carslogie Steamship Co Ltd v Royal Norweg</w:t>
      </w:r>
      <w:r w:rsidR="00FC5983">
        <w:rPr>
          <w:rFonts w:ascii="Arial" w:hAnsi="Arial" w:cs="Arial"/>
          <w:i/>
          <w:iCs/>
          <w:sz w:val="28"/>
          <w:szCs w:val="28"/>
          <w:lang w:val="en-US"/>
        </w:rPr>
        <w:t>ia</w:t>
      </w:r>
      <w:r w:rsidR="002C4EA0">
        <w:rPr>
          <w:rFonts w:ascii="Arial" w:hAnsi="Arial" w:cs="Arial"/>
          <w:i/>
          <w:iCs/>
          <w:sz w:val="28"/>
          <w:szCs w:val="28"/>
          <w:lang w:val="en-US"/>
        </w:rPr>
        <w:t>n Government: HL 1952</w:t>
      </w:r>
      <w:r w:rsidR="0033038D">
        <w:rPr>
          <w:rFonts w:ascii="Arial" w:hAnsi="Arial" w:cs="Arial"/>
          <w:i/>
          <w:iCs/>
          <w:sz w:val="28"/>
          <w:szCs w:val="28"/>
          <w:lang w:val="en-US"/>
        </w:rPr>
        <w:t xml:space="preserve">. </w:t>
      </w:r>
      <w:r w:rsidR="0033038D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5" w:history="1">
        <w:r w:rsidR="00AA3E62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https://www.google.co.uk/amp/s/swarb.co.uk/carslogie-steamship-co-ltd-v-</w:t>
        </w:r>
        <w:r w:rsidR="00AA3E62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lastRenderedPageBreak/>
          <w:t>royal-norwegian-government-hl-1952/amp/</w:t>
        </w:r>
      </w:hyperlink>
      <w:r w:rsidR="00AA3E62">
        <w:rPr>
          <w:rFonts w:ascii="Arial" w:hAnsi="Arial" w:cs="Arial"/>
          <w:sz w:val="28"/>
          <w:szCs w:val="28"/>
          <w:lang w:val="en-US"/>
        </w:rPr>
        <w:t xml:space="preserve"> (Accessed on: 31</w:t>
      </w:r>
      <w:r w:rsidR="00AA3E62" w:rsidRPr="00AA3E62">
        <w:rPr>
          <w:rFonts w:ascii="Arial" w:hAnsi="Arial" w:cs="Arial"/>
          <w:sz w:val="28"/>
          <w:szCs w:val="28"/>
          <w:vertAlign w:val="superscript"/>
          <w:lang w:val="en-US"/>
        </w:rPr>
        <w:t>st</w:t>
      </w:r>
      <w:r w:rsidR="00AA3E62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2AAD3FBA" w14:textId="33EE192E" w:rsidR="00640C8D" w:rsidRDefault="00640C8D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Knightl</w:t>
      </w:r>
      <w:r w:rsidR="00B66F61">
        <w:rPr>
          <w:rFonts w:ascii="Arial" w:hAnsi="Arial" w:cs="Arial"/>
          <w:sz w:val="28"/>
          <w:szCs w:val="28"/>
          <w:lang w:val="en-US"/>
        </w:rPr>
        <w:t xml:space="preserve">ey </w:t>
      </w:r>
      <w:r w:rsidR="00CB1889">
        <w:rPr>
          <w:rFonts w:ascii="Arial" w:hAnsi="Arial" w:cs="Arial"/>
          <w:sz w:val="28"/>
          <w:szCs w:val="28"/>
          <w:lang w:val="en-US"/>
        </w:rPr>
        <w:t xml:space="preserve">v Johns </w:t>
      </w:r>
      <w:r w:rsidR="0036639E">
        <w:rPr>
          <w:rFonts w:ascii="Arial" w:hAnsi="Arial" w:cs="Arial"/>
          <w:sz w:val="28"/>
          <w:szCs w:val="28"/>
          <w:lang w:val="en-US"/>
        </w:rPr>
        <w:t>&amp; Ors</w:t>
      </w:r>
      <w:r w:rsidR="00C2358C">
        <w:rPr>
          <w:rFonts w:ascii="Arial" w:hAnsi="Arial" w:cs="Arial"/>
          <w:sz w:val="28"/>
          <w:szCs w:val="28"/>
          <w:lang w:val="en-US"/>
        </w:rPr>
        <w:t xml:space="preserve"> [19</w:t>
      </w:r>
      <w:r w:rsidR="00D136A9">
        <w:rPr>
          <w:rFonts w:ascii="Arial" w:hAnsi="Arial" w:cs="Arial"/>
          <w:sz w:val="28"/>
          <w:szCs w:val="28"/>
          <w:lang w:val="en-US"/>
        </w:rPr>
        <w:t xml:space="preserve">82] </w:t>
      </w:r>
      <w:r w:rsidR="004A10C5">
        <w:rPr>
          <w:rFonts w:ascii="Arial" w:hAnsi="Arial" w:cs="Arial"/>
          <w:sz w:val="28"/>
          <w:szCs w:val="28"/>
          <w:lang w:val="en-US"/>
        </w:rPr>
        <w:t xml:space="preserve">1 WLR </w:t>
      </w:r>
      <w:r w:rsidR="007F16E9">
        <w:rPr>
          <w:rFonts w:ascii="Arial" w:hAnsi="Arial" w:cs="Arial"/>
          <w:sz w:val="28"/>
          <w:szCs w:val="28"/>
          <w:lang w:val="en-US"/>
        </w:rPr>
        <w:t>349</w:t>
      </w:r>
    </w:p>
    <w:p w14:paraId="06A9383F" w14:textId="7DC38041" w:rsidR="00721B8B" w:rsidRPr="0081765C" w:rsidRDefault="00721B8B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Law Bhoomi (2020) </w:t>
      </w:r>
      <w:r w:rsidR="00064CD0" w:rsidRPr="005B6F49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Novus Actus Interveniens. </w:t>
      </w:r>
      <w:r w:rsidR="00064CD0" w:rsidRPr="005B6F4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Available at: </w:t>
      </w:r>
      <w:hyperlink r:id="rId16" w:history="1">
        <w:r w:rsidR="003443D7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https://www.lawbhoomi.com/novus-actus-interveniens</w:t>
        </w:r>
      </w:hyperlink>
      <w:r w:rsidR="003443D7">
        <w:rPr>
          <w:rFonts w:ascii="Arial" w:hAnsi="Arial" w:cs="Arial"/>
          <w:color w:val="FF0000"/>
          <w:sz w:val="28"/>
          <w:szCs w:val="28"/>
          <w:lang w:val="en-US"/>
        </w:rPr>
        <w:t xml:space="preserve"> </w:t>
      </w:r>
      <w:r w:rsidR="003443D7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>(Accessed on: 31</w:t>
      </w:r>
      <w:r w:rsidR="003443D7" w:rsidRPr="0081765C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st</w:t>
      </w:r>
      <w:r w:rsidR="003443D7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October, 2020)</w:t>
      </w:r>
    </w:p>
    <w:p w14:paraId="6B39CBC8" w14:textId="2E7C918B" w:rsidR="00773913" w:rsidRDefault="0099504F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Lunney, M. and Oliphant, K. (2013) </w:t>
      </w:r>
      <w:r w:rsidR="00BC5D05" w:rsidRPr="00173D91">
        <w:rPr>
          <w:rFonts w:ascii="Arial" w:hAnsi="Arial" w:cs="Arial"/>
          <w:i/>
          <w:iCs/>
          <w:sz w:val="28"/>
          <w:szCs w:val="28"/>
          <w:lang w:val="en-US"/>
        </w:rPr>
        <w:t>Tort Law. Text and Materials.</w:t>
      </w:r>
      <w:r w:rsidR="00BC5D05">
        <w:rPr>
          <w:rFonts w:ascii="Arial" w:hAnsi="Arial" w:cs="Arial"/>
          <w:sz w:val="28"/>
          <w:szCs w:val="28"/>
          <w:lang w:val="en-US"/>
        </w:rPr>
        <w:t xml:space="preserve"> 5</w:t>
      </w:r>
      <w:r w:rsidR="00BC5D05" w:rsidRPr="00BC5D05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BC5D05">
        <w:rPr>
          <w:rFonts w:ascii="Arial" w:hAnsi="Arial" w:cs="Arial"/>
          <w:sz w:val="28"/>
          <w:szCs w:val="28"/>
          <w:lang w:val="en-US"/>
        </w:rPr>
        <w:t xml:space="preserve"> Ed. New York:</w:t>
      </w:r>
      <w:r w:rsidR="008906EE">
        <w:rPr>
          <w:rFonts w:ascii="Arial" w:hAnsi="Arial" w:cs="Arial"/>
          <w:sz w:val="28"/>
          <w:szCs w:val="28"/>
          <w:lang w:val="en-US"/>
        </w:rPr>
        <w:t xml:space="preserve"> Oxford University Press.</w:t>
      </w:r>
    </w:p>
    <w:p w14:paraId="7BE85E07" w14:textId="48FFC4D9" w:rsidR="009B46C1" w:rsidRDefault="009B46C1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McIvor, </w:t>
      </w:r>
      <w:r w:rsidR="00EC562E">
        <w:rPr>
          <w:rFonts w:ascii="Arial" w:hAnsi="Arial" w:cs="Arial"/>
          <w:sz w:val="28"/>
          <w:szCs w:val="28"/>
          <w:lang w:val="en-US"/>
        </w:rPr>
        <w:t xml:space="preserve">C. M. (2003) </w:t>
      </w:r>
      <w:r w:rsidR="008B6649">
        <w:rPr>
          <w:rFonts w:ascii="Arial" w:hAnsi="Arial" w:cs="Arial"/>
          <w:i/>
          <w:iCs/>
          <w:sz w:val="28"/>
          <w:szCs w:val="28"/>
          <w:lang w:val="en-US"/>
        </w:rPr>
        <w:t xml:space="preserve">Liability in tort </w:t>
      </w:r>
      <w:r w:rsidR="008E6468">
        <w:rPr>
          <w:rFonts w:ascii="Arial" w:hAnsi="Arial" w:cs="Arial"/>
          <w:i/>
          <w:iCs/>
          <w:sz w:val="28"/>
          <w:szCs w:val="28"/>
          <w:lang w:val="en-US"/>
        </w:rPr>
        <w:t>for the a</w:t>
      </w:r>
      <w:r w:rsidR="00466F97">
        <w:rPr>
          <w:rFonts w:ascii="Arial" w:hAnsi="Arial" w:cs="Arial"/>
          <w:i/>
          <w:iCs/>
          <w:sz w:val="28"/>
          <w:szCs w:val="28"/>
          <w:lang w:val="en-US"/>
        </w:rPr>
        <w:t>cts of third parti</w:t>
      </w:r>
      <w:r w:rsidR="00F728DF">
        <w:rPr>
          <w:rFonts w:ascii="Arial" w:hAnsi="Arial" w:cs="Arial"/>
          <w:i/>
          <w:iCs/>
          <w:sz w:val="28"/>
          <w:szCs w:val="28"/>
          <w:lang w:val="en-US"/>
        </w:rPr>
        <w:t xml:space="preserve">es: a search for </w:t>
      </w:r>
      <w:r w:rsidR="00EB170E">
        <w:rPr>
          <w:rFonts w:ascii="Arial" w:hAnsi="Arial" w:cs="Arial"/>
          <w:i/>
          <w:iCs/>
          <w:sz w:val="28"/>
          <w:szCs w:val="28"/>
          <w:lang w:val="en-US"/>
        </w:rPr>
        <w:t>coherence</w:t>
      </w:r>
      <w:r w:rsidR="002768BA">
        <w:rPr>
          <w:rFonts w:ascii="Arial" w:hAnsi="Arial" w:cs="Arial"/>
          <w:i/>
          <w:iCs/>
          <w:sz w:val="28"/>
          <w:szCs w:val="28"/>
          <w:lang w:val="en-US"/>
        </w:rPr>
        <w:t xml:space="preserve">. </w:t>
      </w:r>
      <w:r w:rsidR="002768BA">
        <w:rPr>
          <w:rFonts w:ascii="Arial" w:hAnsi="Arial" w:cs="Arial"/>
          <w:sz w:val="28"/>
          <w:szCs w:val="28"/>
          <w:lang w:val="en-US"/>
        </w:rPr>
        <w:t>Unpublished PhD</w:t>
      </w:r>
      <w:r w:rsidR="00CE325F">
        <w:rPr>
          <w:rFonts w:ascii="Arial" w:hAnsi="Arial" w:cs="Arial"/>
          <w:sz w:val="28"/>
          <w:szCs w:val="28"/>
          <w:lang w:val="en-US"/>
        </w:rPr>
        <w:t xml:space="preserve"> thesis. </w:t>
      </w:r>
      <w:r w:rsidR="004C5F2E">
        <w:rPr>
          <w:rFonts w:ascii="Arial" w:hAnsi="Arial" w:cs="Arial"/>
          <w:sz w:val="28"/>
          <w:szCs w:val="28"/>
          <w:lang w:val="en-US"/>
        </w:rPr>
        <w:t>University of Dur</w:t>
      </w:r>
      <w:r w:rsidR="00AF0B77">
        <w:rPr>
          <w:rFonts w:ascii="Arial" w:hAnsi="Arial" w:cs="Arial"/>
          <w:sz w:val="28"/>
          <w:szCs w:val="28"/>
          <w:lang w:val="en-US"/>
        </w:rPr>
        <w:t>h</w:t>
      </w:r>
      <w:r w:rsidR="0059259B">
        <w:rPr>
          <w:rFonts w:ascii="Arial" w:hAnsi="Arial" w:cs="Arial"/>
          <w:sz w:val="28"/>
          <w:szCs w:val="28"/>
          <w:lang w:val="en-US"/>
        </w:rPr>
        <w:t xml:space="preserve">am. Available at: </w:t>
      </w:r>
      <w:hyperlink r:id="rId17" w:history="1">
        <w:r w:rsidR="00F116EB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https://www.etheses.dur.ac.uk/3693/1/3693_1254.pdf?UkUDh:CyT=</w:t>
        </w:r>
      </w:hyperlink>
      <w:r w:rsidR="00F116EB">
        <w:rPr>
          <w:rFonts w:ascii="Arial" w:hAnsi="Arial" w:cs="Arial"/>
          <w:sz w:val="28"/>
          <w:szCs w:val="28"/>
          <w:lang w:val="en-US"/>
        </w:rPr>
        <w:t xml:space="preserve"> (Accessed on: 1</w:t>
      </w:r>
      <w:r w:rsidR="00F116EB" w:rsidRPr="00F116EB">
        <w:rPr>
          <w:rFonts w:ascii="Arial" w:hAnsi="Arial" w:cs="Arial"/>
          <w:sz w:val="28"/>
          <w:szCs w:val="28"/>
          <w:vertAlign w:val="superscript"/>
          <w:lang w:val="en-US"/>
        </w:rPr>
        <w:t>st</w:t>
      </w:r>
      <w:r w:rsidR="00F116EB">
        <w:rPr>
          <w:rFonts w:ascii="Arial" w:hAnsi="Arial" w:cs="Arial"/>
          <w:sz w:val="28"/>
          <w:szCs w:val="28"/>
          <w:lang w:val="en-US"/>
        </w:rPr>
        <w:t xml:space="preserve"> November, 2020)</w:t>
      </w:r>
    </w:p>
    <w:p w14:paraId="791EC066" w14:textId="66FD3012" w:rsidR="00B902BB" w:rsidRPr="00DE7D26" w:rsidRDefault="00253545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McKew </w:t>
      </w:r>
      <w:r w:rsidR="003D6FBE">
        <w:rPr>
          <w:rFonts w:ascii="Arial" w:hAnsi="Arial" w:cs="Arial"/>
          <w:sz w:val="28"/>
          <w:szCs w:val="28"/>
          <w:lang w:val="en-US"/>
        </w:rPr>
        <w:t xml:space="preserve">v Holland </w:t>
      </w:r>
      <w:r w:rsidR="003D083A">
        <w:rPr>
          <w:rFonts w:ascii="Arial" w:hAnsi="Arial" w:cs="Arial"/>
          <w:sz w:val="28"/>
          <w:szCs w:val="28"/>
          <w:lang w:val="en-US"/>
        </w:rPr>
        <w:t>and Hannen Cub</w:t>
      </w:r>
      <w:r w:rsidR="009308AC">
        <w:rPr>
          <w:rFonts w:ascii="Arial" w:hAnsi="Arial" w:cs="Arial"/>
          <w:sz w:val="28"/>
          <w:szCs w:val="28"/>
          <w:lang w:val="en-US"/>
        </w:rPr>
        <w:t xml:space="preserve">itts </w:t>
      </w:r>
      <w:r w:rsidR="00B770E3">
        <w:rPr>
          <w:rFonts w:ascii="Arial" w:hAnsi="Arial" w:cs="Arial"/>
          <w:sz w:val="28"/>
          <w:szCs w:val="28"/>
          <w:lang w:val="en-US"/>
        </w:rPr>
        <w:t xml:space="preserve">(Scotland) Ltd </w:t>
      </w:r>
      <w:r w:rsidR="00D47026">
        <w:rPr>
          <w:rFonts w:ascii="Arial" w:hAnsi="Arial" w:cs="Arial"/>
          <w:sz w:val="28"/>
          <w:szCs w:val="28"/>
          <w:lang w:val="en-US"/>
        </w:rPr>
        <w:t xml:space="preserve">[1969] </w:t>
      </w:r>
      <w:r w:rsidR="002D1820">
        <w:rPr>
          <w:rFonts w:ascii="Arial" w:hAnsi="Arial" w:cs="Arial"/>
          <w:sz w:val="28"/>
          <w:szCs w:val="28"/>
          <w:lang w:val="en-US"/>
        </w:rPr>
        <w:t>2</w:t>
      </w:r>
      <w:r w:rsidR="00670245">
        <w:rPr>
          <w:rFonts w:ascii="Arial" w:hAnsi="Arial" w:cs="Arial"/>
          <w:sz w:val="28"/>
          <w:szCs w:val="28"/>
          <w:lang w:val="en-US"/>
        </w:rPr>
        <w:t xml:space="preserve"> All </w:t>
      </w:r>
      <w:r w:rsidR="005F7CBA">
        <w:rPr>
          <w:rFonts w:ascii="Arial" w:hAnsi="Arial" w:cs="Arial"/>
          <w:sz w:val="28"/>
          <w:szCs w:val="28"/>
          <w:lang w:val="en-US"/>
        </w:rPr>
        <w:t>ER 16</w:t>
      </w:r>
      <w:r w:rsidR="000902E1">
        <w:rPr>
          <w:rFonts w:ascii="Arial" w:hAnsi="Arial" w:cs="Arial"/>
          <w:sz w:val="28"/>
          <w:szCs w:val="28"/>
          <w:lang w:val="en-US"/>
        </w:rPr>
        <w:t>21</w:t>
      </w:r>
      <w:r w:rsidR="00F05A2D">
        <w:rPr>
          <w:rFonts w:ascii="Arial" w:hAnsi="Arial" w:cs="Arial"/>
          <w:sz w:val="28"/>
          <w:szCs w:val="28"/>
          <w:lang w:val="en-US"/>
        </w:rPr>
        <w:t>, [</w:t>
      </w:r>
      <w:r w:rsidR="00352911">
        <w:rPr>
          <w:rFonts w:ascii="Arial" w:hAnsi="Arial" w:cs="Arial"/>
          <w:sz w:val="28"/>
          <w:szCs w:val="28"/>
          <w:lang w:val="en-US"/>
        </w:rPr>
        <w:t>196</w:t>
      </w:r>
      <w:r w:rsidR="009D5821">
        <w:rPr>
          <w:rFonts w:ascii="Arial" w:hAnsi="Arial" w:cs="Arial"/>
          <w:sz w:val="28"/>
          <w:szCs w:val="28"/>
          <w:lang w:val="en-US"/>
        </w:rPr>
        <w:t>9] UKHL 9</w:t>
      </w:r>
    </w:p>
    <w:p w14:paraId="283CA584" w14:textId="4213355D" w:rsidR="00217084" w:rsidRDefault="00217084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Morris,</w:t>
      </w:r>
      <w:r w:rsidR="00F05933">
        <w:rPr>
          <w:rFonts w:ascii="Arial" w:hAnsi="Arial" w:cs="Arial"/>
          <w:sz w:val="28"/>
          <w:szCs w:val="28"/>
          <w:lang w:val="en-US"/>
        </w:rPr>
        <w:t xml:space="preserve"> C., </w:t>
      </w:r>
      <w:r w:rsidR="00B20733">
        <w:rPr>
          <w:rFonts w:ascii="Arial" w:hAnsi="Arial" w:cs="Arial"/>
          <w:sz w:val="28"/>
          <w:szCs w:val="28"/>
          <w:lang w:val="en-US"/>
        </w:rPr>
        <w:t>Chawla, G. and Francis, T.</w:t>
      </w:r>
      <w:r w:rsidR="00C847AB">
        <w:rPr>
          <w:rFonts w:ascii="Arial" w:hAnsi="Arial" w:cs="Arial"/>
          <w:sz w:val="28"/>
          <w:szCs w:val="28"/>
          <w:lang w:val="en-US"/>
        </w:rPr>
        <w:t xml:space="preserve"> </w:t>
      </w:r>
      <w:r w:rsidR="003D5972">
        <w:rPr>
          <w:rFonts w:ascii="Arial" w:hAnsi="Arial" w:cs="Arial"/>
          <w:sz w:val="28"/>
          <w:szCs w:val="28"/>
          <w:lang w:val="en-US"/>
        </w:rPr>
        <w:t>‘Fore</w:t>
      </w:r>
      <w:r w:rsidR="0032182D">
        <w:rPr>
          <w:rFonts w:ascii="Arial" w:hAnsi="Arial" w:cs="Arial"/>
          <w:sz w:val="28"/>
          <w:szCs w:val="28"/>
          <w:lang w:val="en-US"/>
        </w:rPr>
        <w:t xml:space="preserve">seeability </w:t>
      </w:r>
      <w:r w:rsidR="006E2CF8">
        <w:rPr>
          <w:rFonts w:ascii="Arial" w:hAnsi="Arial" w:cs="Arial"/>
          <w:sz w:val="28"/>
          <w:szCs w:val="28"/>
          <w:lang w:val="en-US"/>
        </w:rPr>
        <w:t xml:space="preserve">and causation in clinical </w:t>
      </w:r>
      <w:r w:rsidR="00AE4663">
        <w:rPr>
          <w:rFonts w:ascii="Arial" w:hAnsi="Arial" w:cs="Arial"/>
          <w:sz w:val="28"/>
          <w:szCs w:val="28"/>
          <w:lang w:val="en-US"/>
        </w:rPr>
        <w:t xml:space="preserve">negligence cases’, </w:t>
      </w:r>
      <w:r w:rsidR="00BB31DE">
        <w:rPr>
          <w:rFonts w:ascii="Arial" w:hAnsi="Arial" w:cs="Arial"/>
          <w:i/>
          <w:iCs/>
          <w:sz w:val="28"/>
          <w:szCs w:val="28"/>
          <w:lang w:val="en-US"/>
        </w:rPr>
        <w:t>Hempsons</w:t>
      </w:r>
      <w:r w:rsidR="00CF1B61">
        <w:rPr>
          <w:rFonts w:ascii="Arial" w:hAnsi="Arial" w:cs="Arial"/>
          <w:i/>
          <w:iCs/>
          <w:sz w:val="28"/>
          <w:szCs w:val="28"/>
          <w:lang w:val="en-US"/>
        </w:rPr>
        <w:t xml:space="preserve">, </w:t>
      </w:r>
      <w:r w:rsidR="00FE3797">
        <w:rPr>
          <w:rFonts w:ascii="Arial" w:hAnsi="Arial" w:cs="Arial"/>
          <w:sz w:val="28"/>
          <w:szCs w:val="28"/>
          <w:lang w:val="en-US"/>
        </w:rPr>
        <w:t>14</w:t>
      </w:r>
      <w:r w:rsidR="00FE3797" w:rsidRPr="00FE3797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FE3797">
        <w:rPr>
          <w:rFonts w:ascii="Arial" w:hAnsi="Arial" w:cs="Arial"/>
          <w:sz w:val="28"/>
          <w:szCs w:val="28"/>
          <w:lang w:val="en-US"/>
        </w:rPr>
        <w:t xml:space="preserve"> June. Available at: </w:t>
      </w:r>
      <w:hyperlink r:id="rId18" w:history="1">
        <w:r w:rsidR="00B164AE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https://www.hempsons.co.uk/news-articles/foreseeability-and-causation-in-clinical-negligence-cases/</w:t>
        </w:r>
      </w:hyperlink>
      <w:r w:rsidR="00B164AE">
        <w:rPr>
          <w:rFonts w:ascii="Arial" w:hAnsi="Arial" w:cs="Arial"/>
          <w:sz w:val="28"/>
          <w:szCs w:val="28"/>
          <w:lang w:val="en-US"/>
        </w:rPr>
        <w:t xml:space="preserve"> (Accessed on: 28</w:t>
      </w:r>
      <w:r w:rsidR="00B164AE" w:rsidRPr="00B164AE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B164AE">
        <w:rPr>
          <w:rFonts w:ascii="Arial" w:hAnsi="Arial" w:cs="Arial"/>
          <w:sz w:val="28"/>
          <w:szCs w:val="28"/>
          <w:lang w:val="en-US"/>
        </w:rPr>
        <w:t xml:space="preserve"> October, 2020).</w:t>
      </w:r>
    </w:p>
    <w:p w14:paraId="75F30CA5" w14:textId="32B6E722" w:rsidR="00696725" w:rsidRDefault="00696725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 xml:space="preserve">Oxford Reference (2020) </w:t>
      </w:r>
      <w:r>
        <w:rPr>
          <w:rFonts w:ascii="Arial" w:hAnsi="Arial" w:cs="Arial"/>
          <w:i/>
          <w:iCs/>
          <w:sz w:val="28"/>
          <w:szCs w:val="28"/>
          <w:lang w:val="en-US"/>
        </w:rPr>
        <w:t>Novus Actus Interveniens</w:t>
      </w:r>
      <w:r w:rsidR="00B035EB">
        <w:rPr>
          <w:rFonts w:ascii="Arial" w:hAnsi="Arial" w:cs="Arial"/>
          <w:i/>
          <w:iCs/>
          <w:sz w:val="28"/>
          <w:szCs w:val="28"/>
          <w:lang w:val="en-US"/>
        </w:rPr>
        <w:t xml:space="preserve">. </w:t>
      </w:r>
      <w:r w:rsidR="00B035EB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19" w:history="1">
        <w:r w:rsidR="00FA1CA3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https://www.oxfordreference.com/view/10.1093/oi/authority.20110803100240793</w:t>
        </w:r>
      </w:hyperlink>
      <w:r w:rsidR="00FA1CA3">
        <w:rPr>
          <w:rFonts w:ascii="Arial" w:hAnsi="Arial" w:cs="Arial"/>
          <w:sz w:val="28"/>
          <w:szCs w:val="28"/>
          <w:lang w:val="en-US"/>
        </w:rPr>
        <w:t xml:space="preserve"> (Accessed on: 28</w:t>
      </w:r>
      <w:r w:rsidR="00FA1CA3" w:rsidRPr="00FA1CA3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="00FA1CA3">
        <w:rPr>
          <w:rFonts w:ascii="Arial" w:hAnsi="Arial" w:cs="Arial"/>
          <w:sz w:val="28"/>
          <w:szCs w:val="28"/>
          <w:lang w:val="en-US"/>
        </w:rPr>
        <w:t xml:space="preserve"> October, 2020)</w:t>
      </w:r>
    </w:p>
    <w:p w14:paraId="2DCDD0C1" w14:textId="2B2C622D" w:rsidR="003A7BA1" w:rsidRDefault="003A7BA1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Reeves</w:t>
      </w:r>
      <w:r w:rsidR="004C7FD3">
        <w:rPr>
          <w:rFonts w:ascii="Arial" w:hAnsi="Arial" w:cs="Arial"/>
          <w:sz w:val="28"/>
          <w:szCs w:val="28"/>
          <w:lang w:val="en-US"/>
        </w:rPr>
        <w:t xml:space="preserve"> </w:t>
      </w:r>
      <w:r w:rsidR="00901DD2">
        <w:rPr>
          <w:rFonts w:ascii="Arial" w:hAnsi="Arial" w:cs="Arial"/>
          <w:sz w:val="28"/>
          <w:szCs w:val="28"/>
          <w:lang w:val="en-US"/>
        </w:rPr>
        <w:t>v C</w:t>
      </w:r>
      <w:r w:rsidR="00CC4ABD">
        <w:rPr>
          <w:rFonts w:ascii="Arial" w:hAnsi="Arial" w:cs="Arial"/>
          <w:sz w:val="28"/>
          <w:szCs w:val="28"/>
          <w:lang w:val="en-US"/>
        </w:rPr>
        <w:t xml:space="preserve">ommissioner of Police </w:t>
      </w:r>
      <w:r w:rsidR="000D5003">
        <w:rPr>
          <w:rFonts w:ascii="Arial" w:hAnsi="Arial" w:cs="Arial"/>
          <w:sz w:val="28"/>
          <w:szCs w:val="28"/>
          <w:lang w:val="en-US"/>
        </w:rPr>
        <w:t>of the M</w:t>
      </w:r>
      <w:r w:rsidR="008F011E">
        <w:rPr>
          <w:rFonts w:ascii="Arial" w:hAnsi="Arial" w:cs="Arial"/>
          <w:sz w:val="28"/>
          <w:szCs w:val="28"/>
          <w:lang w:val="en-US"/>
        </w:rPr>
        <w:t xml:space="preserve">etropolis </w:t>
      </w:r>
      <w:r w:rsidR="006931B4">
        <w:rPr>
          <w:rFonts w:ascii="Arial" w:hAnsi="Arial" w:cs="Arial"/>
          <w:sz w:val="28"/>
          <w:szCs w:val="28"/>
          <w:lang w:val="en-US"/>
        </w:rPr>
        <w:t>[2000]</w:t>
      </w:r>
      <w:r w:rsidR="001C72E2">
        <w:rPr>
          <w:rFonts w:ascii="Arial" w:hAnsi="Arial" w:cs="Arial"/>
          <w:sz w:val="28"/>
          <w:szCs w:val="28"/>
          <w:lang w:val="en-US"/>
        </w:rPr>
        <w:t xml:space="preserve"> 1 AC 360</w:t>
      </w:r>
    </w:p>
    <w:p w14:paraId="418A78B8" w14:textId="5C7B96BE" w:rsidR="00DC3765" w:rsidRDefault="00DC3765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Rouse v </w:t>
      </w:r>
      <w:r w:rsidR="00C6330C">
        <w:rPr>
          <w:rFonts w:ascii="Arial" w:hAnsi="Arial" w:cs="Arial"/>
          <w:sz w:val="28"/>
          <w:szCs w:val="28"/>
          <w:lang w:val="en-US"/>
        </w:rPr>
        <w:t xml:space="preserve">Squires </w:t>
      </w:r>
      <w:r w:rsidR="004E19BA">
        <w:rPr>
          <w:rFonts w:ascii="Arial" w:hAnsi="Arial" w:cs="Arial"/>
          <w:sz w:val="28"/>
          <w:szCs w:val="28"/>
          <w:lang w:val="en-US"/>
        </w:rPr>
        <w:t xml:space="preserve">[1973] QB </w:t>
      </w:r>
      <w:r w:rsidR="00101138">
        <w:rPr>
          <w:rFonts w:ascii="Arial" w:hAnsi="Arial" w:cs="Arial"/>
          <w:sz w:val="28"/>
          <w:szCs w:val="28"/>
          <w:lang w:val="en-US"/>
        </w:rPr>
        <w:t>889</w:t>
      </w:r>
    </w:p>
    <w:p w14:paraId="0C52E3BF" w14:textId="686E4F70" w:rsidR="000573E5" w:rsidRDefault="000573E5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Rowe, P. </w:t>
      </w:r>
      <w:r w:rsidR="002733B2">
        <w:rPr>
          <w:rFonts w:ascii="Arial" w:hAnsi="Arial" w:cs="Arial"/>
          <w:sz w:val="28"/>
          <w:szCs w:val="28"/>
          <w:lang w:val="en-US"/>
        </w:rPr>
        <w:t>J</w:t>
      </w:r>
      <w:r>
        <w:rPr>
          <w:rFonts w:ascii="Arial" w:hAnsi="Arial" w:cs="Arial"/>
          <w:sz w:val="28"/>
          <w:szCs w:val="28"/>
          <w:lang w:val="en-US"/>
        </w:rPr>
        <w:t>. (1977) ‘</w:t>
      </w:r>
      <w:r w:rsidR="00FC2B53">
        <w:rPr>
          <w:rFonts w:ascii="Arial" w:hAnsi="Arial" w:cs="Arial"/>
          <w:sz w:val="28"/>
          <w:szCs w:val="28"/>
          <w:lang w:val="en-US"/>
        </w:rPr>
        <w:t xml:space="preserve">The Demise of the </w:t>
      </w:r>
      <w:r w:rsidR="005F26F4">
        <w:rPr>
          <w:rFonts w:ascii="Arial" w:hAnsi="Arial" w:cs="Arial"/>
          <w:sz w:val="28"/>
          <w:szCs w:val="28"/>
          <w:lang w:val="en-US"/>
        </w:rPr>
        <w:t xml:space="preserve">Thin Skull Rule’, </w:t>
      </w:r>
      <w:r w:rsidR="005F26F4">
        <w:rPr>
          <w:rFonts w:ascii="Arial" w:hAnsi="Arial" w:cs="Arial"/>
          <w:i/>
          <w:iCs/>
          <w:sz w:val="28"/>
          <w:szCs w:val="28"/>
          <w:lang w:val="en-US"/>
        </w:rPr>
        <w:t>The Modern Law Review,</w:t>
      </w:r>
      <w:r w:rsidR="00A17C18">
        <w:rPr>
          <w:rFonts w:ascii="Arial" w:hAnsi="Arial" w:cs="Arial"/>
          <w:i/>
          <w:iCs/>
          <w:sz w:val="28"/>
          <w:szCs w:val="28"/>
          <w:lang w:val="en-US"/>
        </w:rPr>
        <w:t xml:space="preserve"> </w:t>
      </w:r>
      <w:r w:rsidR="00A17C18">
        <w:rPr>
          <w:rFonts w:ascii="Arial" w:hAnsi="Arial" w:cs="Arial"/>
          <w:sz w:val="28"/>
          <w:szCs w:val="28"/>
          <w:lang w:val="en-US"/>
        </w:rPr>
        <w:t xml:space="preserve">40 (4), pp. </w:t>
      </w:r>
      <w:r w:rsidR="008E678C">
        <w:rPr>
          <w:rFonts w:ascii="Arial" w:hAnsi="Arial" w:cs="Arial"/>
          <w:sz w:val="28"/>
          <w:szCs w:val="28"/>
          <w:lang w:val="en-US"/>
        </w:rPr>
        <w:t>377-</w:t>
      </w:r>
      <w:r w:rsidR="00EE2B9E">
        <w:rPr>
          <w:rFonts w:ascii="Arial" w:hAnsi="Arial" w:cs="Arial"/>
          <w:sz w:val="28"/>
          <w:szCs w:val="28"/>
          <w:lang w:val="en-US"/>
        </w:rPr>
        <w:t>3</w:t>
      </w:r>
      <w:r w:rsidR="008E678C">
        <w:rPr>
          <w:rFonts w:ascii="Arial" w:hAnsi="Arial" w:cs="Arial"/>
          <w:sz w:val="28"/>
          <w:szCs w:val="28"/>
          <w:lang w:val="en-US"/>
        </w:rPr>
        <w:t>88</w:t>
      </w:r>
      <w:r w:rsidR="00EE2B9E">
        <w:rPr>
          <w:rFonts w:ascii="Arial" w:hAnsi="Arial" w:cs="Arial"/>
          <w:sz w:val="28"/>
          <w:szCs w:val="28"/>
          <w:lang w:val="en-US"/>
        </w:rPr>
        <w:t xml:space="preserve">. Available at: </w:t>
      </w:r>
      <w:hyperlink r:id="rId20" w:history="1">
        <w:r w:rsidR="0059764D" w:rsidRPr="00E40F9B">
          <w:rPr>
            <w:rStyle w:val="Hyperlink"/>
            <w:rFonts w:ascii="Arial" w:hAnsi="Arial" w:cs="Arial"/>
            <w:sz w:val="28"/>
            <w:szCs w:val="28"/>
            <w:lang w:val="en-US"/>
          </w:rPr>
          <w:t>https://www.onlinelibrary.wiley.com/doi/pdf10.1111/j.1468-2230.1977.tb02429.x</w:t>
        </w:r>
      </w:hyperlink>
      <w:r w:rsidR="0059764D">
        <w:rPr>
          <w:rFonts w:ascii="Arial" w:hAnsi="Arial" w:cs="Arial"/>
          <w:sz w:val="28"/>
          <w:szCs w:val="28"/>
          <w:lang w:val="en-US"/>
        </w:rPr>
        <w:t xml:space="preserve"> (Accessed on: 3</w:t>
      </w:r>
      <w:r w:rsidR="0059764D" w:rsidRPr="0059764D">
        <w:rPr>
          <w:rFonts w:ascii="Arial" w:hAnsi="Arial" w:cs="Arial"/>
          <w:sz w:val="28"/>
          <w:szCs w:val="28"/>
          <w:vertAlign w:val="superscript"/>
          <w:lang w:val="en-US"/>
        </w:rPr>
        <w:t>rd</w:t>
      </w:r>
      <w:r w:rsidR="0059764D">
        <w:rPr>
          <w:rFonts w:ascii="Arial" w:hAnsi="Arial" w:cs="Arial"/>
          <w:sz w:val="28"/>
          <w:szCs w:val="28"/>
          <w:lang w:val="en-US"/>
        </w:rPr>
        <w:t xml:space="preserve"> November, 2020)</w:t>
      </w:r>
    </w:p>
    <w:p w14:paraId="6AEA5CB8" w14:textId="4B8DA90C" w:rsidR="00454FD8" w:rsidRPr="005F26F4" w:rsidRDefault="00454FD8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Smith v Leech Brain </w:t>
      </w:r>
      <w:r w:rsidR="00E22AFC">
        <w:rPr>
          <w:rFonts w:ascii="Arial" w:hAnsi="Arial" w:cs="Arial"/>
          <w:sz w:val="28"/>
          <w:szCs w:val="28"/>
          <w:lang w:val="en-US"/>
        </w:rPr>
        <w:t>and Co Ltd [1962] QB 405</w:t>
      </w:r>
    </w:p>
    <w:p w14:paraId="40DA6E9B" w14:textId="3D4C7C2D" w:rsidR="0055416B" w:rsidRDefault="0055416B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Spurin, C.H. (2004) </w:t>
      </w:r>
      <w:r w:rsidR="00134579">
        <w:rPr>
          <w:rFonts w:ascii="Arial" w:hAnsi="Arial" w:cs="Arial"/>
          <w:i/>
          <w:iCs/>
          <w:sz w:val="28"/>
          <w:szCs w:val="28"/>
          <w:lang w:val="en-US"/>
        </w:rPr>
        <w:t xml:space="preserve">The Law of International </w:t>
      </w:r>
      <w:r w:rsidR="001B5FFB">
        <w:rPr>
          <w:rFonts w:ascii="Arial" w:hAnsi="Arial" w:cs="Arial"/>
          <w:i/>
          <w:iCs/>
          <w:sz w:val="28"/>
          <w:szCs w:val="28"/>
          <w:lang w:val="en-US"/>
        </w:rPr>
        <w:t xml:space="preserve">Trade and Carriage </w:t>
      </w:r>
      <w:r w:rsidR="00D778C7">
        <w:rPr>
          <w:rFonts w:ascii="Arial" w:hAnsi="Arial" w:cs="Arial"/>
          <w:i/>
          <w:iCs/>
          <w:sz w:val="28"/>
          <w:szCs w:val="28"/>
          <w:lang w:val="en-US"/>
        </w:rPr>
        <w:t xml:space="preserve">of Goods: </w:t>
      </w:r>
      <w:r w:rsidR="00BC506B">
        <w:rPr>
          <w:rFonts w:ascii="Arial" w:hAnsi="Arial" w:cs="Arial"/>
          <w:i/>
          <w:iCs/>
          <w:sz w:val="28"/>
          <w:szCs w:val="28"/>
          <w:lang w:val="en-US"/>
        </w:rPr>
        <w:t>Breach of the Duty</w:t>
      </w:r>
      <w:r w:rsidR="008E4E22">
        <w:rPr>
          <w:rFonts w:ascii="Arial" w:hAnsi="Arial" w:cs="Arial"/>
          <w:i/>
          <w:iCs/>
          <w:sz w:val="28"/>
          <w:szCs w:val="28"/>
          <w:lang w:val="en-US"/>
        </w:rPr>
        <w:t xml:space="preserve"> of Care in Negligence. </w:t>
      </w:r>
      <w:r w:rsidR="008E4E22">
        <w:rPr>
          <w:rFonts w:ascii="Arial" w:hAnsi="Arial" w:cs="Arial"/>
          <w:sz w:val="28"/>
          <w:szCs w:val="28"/>
          <w:lang w:val="en-US"/>
        </w:rPr>
        <w:t xml:space="preserve">Available at: </w:t>
      </w:r>
      <w:hyperlink r:id="rId21" w:history="1">
        <w:r w:rsidR="00995864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https://www.nadr.co.uk/articles/published/shipping/004CHAPTERFOURTRADE2.pdf</w:t>
        </w:r>
      </w:hyperlink>
      <w:r w:rsidR="00995864">
        <w:rPr>
          <w:rFonts w:ascii="Arial" w:hAnsi="Arial" w:cs="Arial"/>
          <w:sz w:val="28"/>
          <w:szCs w:val="28"/>
          <w:lang w:val="en-US"/>
        </w:rPr>
        <w:t xml:space="preserve"> (Accessed on: 1</w:t>
      </w:r>
      <w:r w:rsidR="00995864" w:rsidRPr="00995864">
        <w:rPr>
          <w:rFonts w:ascii="Arial" w:hAnsi="Arial" w:cs="Arial"/>
          <w:sz w:val="28"/>
          <w:szCs w:val="28"/>
          <w:vertAlign w:val="superscript"/>
          <w:lang w:val="en-US"/>
        </w:rPr>
        <w:t>st</w:t>
      </w:r>
      <w:r w:rsidR="00995864">
        <w:rPr>
          <w:rFonts w:ascii="Arial" w:hAnsi="Arial" w:cs="Arial"/>
          <w:sz w:val="28"/>
          <w:szCs w:val="28"/>
          <w:lang w:val="en-US"/>
        </w:rPr>
        <w:t xml:space="preserve"> November, 2020)</w:t>
      </w:r>
    </w:p>
    <w:p w14:paraId="3A449A86" w14:textId="78A16399" w:rsidR="000E0659" w:rsidRPr="008E4E22" w:rsidRDefault="000E0659" w:rsidP="005C52B1">
      <w:pPr>
        <w:spacing w:line="480" w:lineRule="auto"/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Stansbie v Troman </w:t>
      </w:r>
      <w:r w:rsidR="00717AE3">
        <w:rPr>
          <w:rFonts w:ascii="Arial" w:hAnsi="Arial" w:cs="Arial"/>
          <w:sz w:val="28"/>
          <w:szCs w:val="28"/>
          <w:lang w:val="en-US"/>
        </w:rPr>
        <w:t xml:space="preserve">[1948] </w:t>
      </w:r>
      <w:r w:rsidR="005B71B0">
        <w:rPr>
          <w:rFonts w:ascii="Arial" w:hAnsi="Arial" w:cs="Arial"/>
          <w:sz w:val="28"/>
          <w:szCs w:val="28"/>
          <w:lang w:val="en-US"/>
        </w:rPr>
        <w:t xml:space="preserve">1 All </w:t>
      </w:r>
      <w:r w:rsidR="001F783A">
        <w:rPr>
          <w:rFonts w:ascii="Arial" w:hAnsi="Arial" w:cs="Arial"/>
          <w:sz w:val="28"/>
          <w:szCs w:val="28"/>
          <w:lang w:val="en-US"/>
        </w:rPr>
        <w:t>ER 599</w:t>
      </w:r>
    </w:p>
    <w:p w14:paraId="42A9EFD2" w14:textId="7EDE63B9" w:rsidR="00267C72" w:rsidRDefault="00DC12F8" w:rsidP="005C52B1">
      <w:pPr>
        <w:spacing w:line="480" w:lineRule="auto"/>
        <w:jc w:val="both"/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</w:pPr>
      <w:r w:rsidRPr="005653BF">
        <w:rPr>
          <w:rFonts w:ascii="Arial" w:hAnsi="Arial" w:cs="Arial"/>
          <w:color w:val="000000" w:themeColor="text1"/>
          <w:sz w:val="28"/>
          <w:szCs w:val="28"/>
          <w:lang w:val="en-US"/>
        </w:rPr>
        <w:t>Stegmai</w:t>
      </w:r>
      <w:r w:rsidR="00895AF3" w:rsidRPr="005653B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er, </w:t>
      </w:r>
      <w:r w:rsidR="00C564DE" w:rsidRPr="005653B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C. (2019) </w:t>
      </w:r>
      <w:r w:rsidR="00C86988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Application of </w:t>
      </w:r>
      <w:r w:rsidR="00395E8F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Intervening and Super</w:t>
      </w:r>
      <w:r w:rsidR="00A658E7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seding Act</w:t>
      </w:r>
      <w:r w:rsidR="0076670D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in Negligence </w:t>
      </w:r>
      <w:r w:rsidR="00C64736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C</w:t>
      </w:r>
      <w:r w:rsidR="0076670D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ases</w:t>
      </w:r>
      <w:r w:rsidR="00C64736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as a basis </w:t>
      </w:r>
      <w:r w:rsidR="00AE5BC4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for Summary Judgement</w:t>
      </w:r>
      <w:r w:rsidR="003E0877" w:rsidRPr="005653BF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. </w:t>
      </w:r>
      <w:r w:rsidR="003E0877" w:rsidRPr="005653B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Available at: </w:t>
      </w:r>
      <w:hyperlink r:id="rId22" w:history="1">
        <w:r w:rsidR="00DE5886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https://www.collinsandlacy.com/application-of-intervening-and-superseding-</w:t>
        </w:r>
        <w:r w:rsidR="00DE5886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lastRenderedPageBreak/>
          <w:t>act-in-negligence-cases-as-a-basis-for-summary-judgement/</w:t>
        </w:r>
      </w:hyperlink>
      <w:r w:rsidR="00DE5886">
        <w:rPr>
          <w:rFonts w:ascii="Arial" w:hAnsi="Arial" w:cs="Arial"/>
          <w:color w:val="FF0000"/>
          <w:sz w:val="28"/>
          <w:szCs w:val="28"/>
          <w:lang w:val="en-US"/>
        </w:rPr>
        <w:t xml:space="preserve"> </w:t>
      </w:r>
      <w:r w:rsidR="00DE5886" w:rsidRPr="00C077C1">
        <w:rPr>
          <w:rFonts w:ascii="Arial" w:hAnsi="Arial" w:cs="Arial"/>
          <w:color w:val="000000" w:themeColor="text1"/>
          <w:sz w:val="28"/>
          <w:szCs w:val="28"/>
          <w:lang w:val="en-US"/>
        </w:rPr>
        <w:t>(Accessed on: 31</w:t>
      </w:r>
      <w:r w:rsidR="00DE5886" w:rsidRPr="00C077C1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st</w:t>
      </w:r>
      <w:r w:rsidR="00DE5886" w:rsidRPr="00C077C1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October, 2020)</w:t>
      </w:r>
      <w:r w:rsidR="0076670D" w:rsidRPr="00C077C1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</w:t>
      </w:r>
    </w:p>
    <w:p w14:paraId="34A4A47F" w14:textId="26F1AD0C" w:rsidR="004C56E3" w:rsidRPr="00C9143D" w:rsidRDefault="005B597C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Supreme Court (2017) </w:t>
      </w:r>
      <w:r w:rsidR="00840733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Implications of Tort Law </w:t>
      </w:r>
      <w:r w:rsidR="00C9143D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decisions. </w:t>
      </w:r>
      <w:r w:rsidR="00C9143D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Available at: </w:t>
      </w:r>
      <w:hyperlink r:id="rId23" w:history="1">
        <w:r w:rsidR="00C925A4" w:rsidRPr="00C00ABC">
          <w:rPr>
            <w:rStyle w:val="Hyperlink"/>
            <w:rFonts w:ascii="Arial" w:hAnsi="Arial" w:cs="Arial"/>
            <w:sz w:val="28"/>
            <w:szCs w:val="28"/>
            <w:lang w:val="en-US"/>
          </w:rPr>
          <w:t>https://wwwsupremecourt.uk/docs/speech-170513.pdf</w:t>
        </w:r>
      </w:hyperlink>
      <w:r w:rsidR="00C925A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(Accessed on: 3</w:t>
      </w:r>
      <w:r w:rsidR="00C925A4" w:rsidRPr="00C925A4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rd</w:t>
      </w:r>
      <w:r w:rsidR="00C925A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November, 2020)</w:t>
      </w:r>
    </w:p>
    <w:p w14:paraId="3906EAAB" w14:textId="1DD92E4D" w:rsidR="00615D37" w:rsidRPr="00FB7F3B" w:rsidRDefault="001877FF" w:rsidP="005C52B1">
      <w:pPr>
        <w:spacing w:line="480" w:lineRule="auto"/>
        <w:jc w:val="both"/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>Turton</w:t>
      </w:r>
      <w:r w:rsidR="00FE742D">
        <w:rPr>
          <w:rFonts w:ascii="Arial" w:hAnsi="Arial" w:cs="Arial"/>
          <w:color w:val="000000" w:themeColor="text1"/>
          <w:sz w:val="28"/>
          <w:szCs w:val="28"/>
          <w:lang w:val="en-US"/>
        </w:rPr>
        <w:t>, G. (2012)</w:t>
      </w:r>
      <w:r w:rsidR="00D43AC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</w:t>
      </w:r>
      <w:r w:rsidR="00BB3D73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A Critical Analysis of the Current Approach of the Court</w:t>
      </w:r>
      <w:r w:rsidR="000E0285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s and Academics to the Problem of Evidential</w:t>
      </w:r>
      <w:r w:rsidR="001F766C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Uncertainty in Causation in Tort Law</w:t>
      </w:r>
      <w:r w:rsidR="002C3069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. </w:t>
      </w:r>
      <w:r w:rsidR="002C306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Unpublished PhD. </w:t>
      </w:r>
      <w:r w:rsidR="00D825F1">
        <w:rPr>
          <w:rFonts w:ascii="Arial" w:hAnsi="Arial" w:cs="Arial"/>
          <w:color w:val="000000" w:themeColor="text1"/>
          <w:sz w:val="28"/>
          <w:szCs w:val="28"/>
          <w:lang w:val="en-US"/>
        </w:rPr>
        <w:t>University of Birmingham</w:t>
      </w:r>
      <w:r w:rsidR="002015DE">
        <w:rPr>
          <w:rFonts w:ascii="Arial" w:hAnsi="Arial" w:cs="Arial"/>
          <w:color w:val="000000" w:themeColor="text1"/>
          <w:sz w:val="28"/>
          <w:szCs w:val="28"/>
          <w:lang w:val="en-US"/>
        </w:rPr>
        <w:t>.</w:t>
      </w:r>
      <w:r w:rsidR="00BB3D73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 </w:t>
      </w:r>
    </w:p>
    <w:p w14:paraId="016F1FAC" w14:textId="6F0C965E" w:rsidR="001021A5" w:rsidRDefault="001021A5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Tenzer, L. G. (2017) </w:t>
      </w:r>
      <w:r w:rsidRPr="0081765C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>Torts: Negligence</w:t>
      </w:r>
      <w:r w:rsidR="007C5040" w:rsidRPr="0081765C">
        <w:rPr>
          <w:rFonts w:ascii="Arial" w:hAnsi="Arial" w:cs="Arial"/>
          <w:i/>
          <w:iCs/>
          <w:color w:val="000000" w:themeColor="text1"/>
          <w:sz w:val="28"/>
          <w:szCs w:val="28"/>
          <w:lang w:val="en-US"/>
        </w:rPr>
        <w:t xml:space="preserve">; Causation. </w:t>
      </w:r>
      <w:r w:rsidR="007C5040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>[Podcast]. 28</w:t>
      </w:r>
      <w:r w:rsidR="007C5040" w:rsidRPr="0081765C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th</w:t>
      </w:r>
      <w:r w:rsidR="007C5040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November. Available at: </w:t>
      </w:r>
      <w:hyperlink r:id="rId24" w:history="1">
        <w:r w:rsidR="00F821EE" w:rsidRPr="006F3851">
          <w:rPr>
            <w:rStyle w:val="Hyperlink"/>
            <w:rFonts w:ascii="Arial" w:hAnsi="Arial" w:cs="Arial"/>
            <w:sz w:val="28"/>
            <w:szCs w:val="28"/>
            <w:lang w:val="en-US"/>
          </w:rPr>
          <w:t>https://open.spotify.com/episode/5YWxJIqV44YZ2chExHcHku?si=BADkqlDPR2SYvTabjAyh6g</w:t>
        </w:r>
      </w:hyperlink>
      <w:r w:rsidR="00F821EE">
        <w:rPr>
          <w:rFonts w:ascii="Arial" w:hAnsi="Arial" w:cs="Arial"/>
          <w:color w:val="FF0000"/>
          <w:sz w:val="28"/>
          <w:szCs w:val="28"/>
          <w:lang w:val="en-US"/>
        </w:rPr>
        <w:t xml:space="preserve"> </w:t>
      </w:r>
      <w:r w:rsidR="00F821EE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(Accessed on: </w:t>
      </w:r>
      <w:r w:rsidR="00061B1C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>28</w:t>
      </w:r>
      <w:r w:rsidR="00061B1C" w:rsidRPr="0081765C">
        <w:rPr>
          <w:rFonts w:ascii="Arial" w:hAnsi="Arial" w:cs="Arial"/>
          <w:color w:val="000000" w:themeColor="text1"/>
          <w:sz w:val="28"/>
          <w:szCs w:val="28"/>
          <w:vertAlign w:val="superscript"/>
          <w:lang w:val="en-US"/>
        </w:rPr>
        <w:t>th</w:t>
      </w:r>
      <w:r w:rsidR="00061B1C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October, 2020).</w:t>
      </w:r>
    </w:p>
    <w:p w14:paraId="50F17F38" w14:textId="313295FA" w:rsidR="00C031B0" w:rsidRDefault="002E469D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>Webb</w:t>
      </w:r>
      <w:r w:rsidR="0000540F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v Barclays Bank Plc </w:t>
      </w:r>
      <w:r w:rsidR="000D62D3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and Portsmouth </w:t>
      </w:r>
      <w:r w:rsidR="00505A93">
        <w:rPr>
          <w:rFonts w:ascii="Arial" w:hAnsi="Arial" w:cs="Arial"/>
          <w:color w:val="000000" w:themeColor="text1"/>
          <w:sz w:val="28"/>
          <w:szCs w:val="28"/>
          <w:lang w:val="en-US"/>
        </w:rPr>
        <w:t>Hospitals NHS Trust</w:t>
      </w:r>
      <w:r w:rsidR="003C71C6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[2001] </w:t>
      </w:r>
      <w:r w:rsidR="00C968B8">
        <w:rPr>
          <w:rFonts w:ascii="Arial" w:hAnsi="Arial" w:cs="Arial"/>
          <w:color w:val="000000" w:themeColor="text1"/>
          <w:sz w:val="28"/>
          <w:szCs w:val="28"/>
          <w:lang w:val="en-US"/>
        </w:rPr>
        <w:t>EW</w:t>
      </w:r>
      <w:r w:rsidR="00F80D6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CA Civ </w:t>
      </w:r>
      <w:r w:rsidR="00A41037">
        <w:rPr>
          <w:rFonts w:ascii="Arial" w:hAnsi="Arial" w:cs="Arial"/>
          <w:color w:val="000000" w:themeColor="text1"/>
          <w:sz w:val="28"/>
          <w:szCs w:val="28"/>
          <w:lang w:val="en-US"/>
        </w:rPr>
        <w:t>1141</w:t>
      </w:r>
    </w:p>
    <w:p w14:paraId="7CB060B9" w14:textId="0F060ADB" w:rsidR="00DD671E" w:rsidRPr="0081765C" w:rsidRDefault="005771BD" w:rsidP="005C52B1">
      <w:pPr>
        <w:spacing w:line="480" w:lineRule="auto"/>
        <w:jc w:val="both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Wieland </w:t>
      </w:r>
      <w:r w:rsidR="00B3661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v Cyril </w:t>
      </w:r>
      <w:r w:rsidR="00E23910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Lord Carpets </w:t>
      </w:r>
      <w:r w:rsidR="00FB108B">
        <w:rPr>
          <w:rFonts w:ascii="Arial" w:hAnsi="Arial" w:cs="Arial"/>
          <w:color w:val="000000" w:themeColor="text1"/>
          <w:sz w:val="28"/>
          <w:szCs w:val="28"/>
          <w:lang w:val="en-US"/>
        </w:rPr>
        <w:t>Ltd [19</w:t>
      </w:r>
      <w:r w:rsidR="00982F44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69] </w:t>
      </w:r>
      <w:r w:rsidR="004D1D96">
        <w:rPr>
          <w:rFonts w:ascii="Arial" w:hAnsi="Arial" w:cs="Arial"/>
          <w:color w:val="000000" w:themeColor="text1"/>
          <w:sz w:val="28"/>
          <w:szCs w:val="28"/>
          <w:lang w:val="en-US"/>
        </w:rPr>
        <w:t>3 All</w:t>
      </w:r>
      <w:r w:rsidR="00047FBD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ER</w:t>
      </w:r>
      <w:r w:rsidR="00D04A79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 1006</w:t>
      </w:r>
    </w:p>
    <w:p w14:paraId="4F35E3D2" w14:textId="58ACB753" w:rsidR="00091A6C" w:rsidRPr="00C44438" w:rsidRDefault="0037362E" w:rsidP="00C44438">
      <w:pPr>
        <w:spacing w:line="480" w:lineRule="auto"/>
        <w:jc w:val="both"/>
        <w:rPr>
          <w:rFonts w:ascii="Arial" w:hAnsi="Arial" w:cs="Arial"/>
          <w:i/>
          <w:iCs/>
          <w:sz w:val="28"/>
          <w:szCs w:val="28"/>
          <w:lang w:val="en-US"/>
        </w:rPr>
      </w:pPr>
      <w:r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 xml:space="preserve">Winfield, </w:t>
      </w:r>
      <w:r w:rsidR="000167A1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>P. H. (19</w:t>
      </w:r>
      <w:r w:rsidR="00C62A41" w:rsidRPr="0081765C">
        <w:rPr>
          <w:rFonts w:ascii="Arial" w:hAnsi="Arial" w:cs="Arial"/>
          <w:color w:val="000000" w:themeColor="text1"/>
          <w:sz w:val="28"/>
          <w:szCs w:val="28"/>
          <w:lang w:val="en-US"/>
        </w:rPr>
        <w:t>3</w:t>
      </w:r>
      <w:r w:rsidR="00C62A41">
        <w:rPr>
          <w:rFonts w:ascii="Arial" w:hAnsi="Arial" w:cs="Arial"/>
          <w:sz w:val="28"/>
          <w:szCs w:val="28"/>
          <w:lang w:val="en-US"/>
        </w:rPr>
        <w:t xml:space="preserve">4) </w:t>
      </w:r>
      <w:r w:rsidR="00B949B3">
        <w:rPr>
          <w:rFonts w:ascii="Arial" w:hAnsi="Arial" w:cs="Arial"/>
          <w:sz w:val="28"/>
          <w:szCs w:val="28"/>
          <w:lang w:val="en-US"/>
        </w:rPr>
        <w:t>‘</w:t>
      </w:r>
      <w:r w:rsidR="0026044B">
        <w:rPr>
          <w:rFonts w:ascii="Arial" w:hAnsi="Arial" w:cs="Arial"/>
          <w:sz w:val="28"/>
          <w:szCs w:val="28"/>
          <w:lang w:val="en-US"/>
        </w:rPr>
        <w:t xml:space="preserve">Duty in Tortious Negligence’, </w:t>
      </w:r>
      <w:r w:rsidR="00717315">
        <w:rPr>
          <w:rFonts w:ascii="Arial" w:hAnsi="Arial" w:cs="Arial"/>
          <w:i/>
          <w:iCs/>
          <w:sz w:val="28"/>
          <w:szCs w:val="28"/>
          <w:lang w:val="en-US"/>
        </w:rPr>
        <w:t>Columbia Law Review Association, Inc</w:t>
      </w:r>
      <w:r w:rsidR="00F74C7A">
        <w:rPr>
          <w:rFonts w:ascii="Arial" w:hAnsi="Arial" w:cs="Arial"/>
          <w:i/>
          <w:iCs/>
          <w:sz w:val="28"/>
          <w:szCs w:val="28"/>
          <w:lang w:val="en-US"/>
        </w:rPr>
        <w:t xml:space="preserve">, </w:t>
      </w:r>
      <w:r w:rsidR="00F74C7A">
        <w:rPr>
          <w:rFonts w:ascii="Arial" w:hAnsi="Arial" w:cs="Arial"/>
          <w:sz w:val="28"/>
          <w:szCs w:val="28"/>
          <w:lang w:val="en-US"/>
        </w:rPr>
        <w:t>34(1)</w:t>
      </w:r>
      <w:r w:rsidR="007515E7">
        <w:rPr>
          <w:rFonts w:ascii="Arial" w:hAnsi="Arial" w:cs="Arial"/>
          <w:sz w:val="28"/>
          <w:szCs w:val="28"/>
          <w:lang w:val="en-US"/>
        </w:rPr>
        <w:t>, pp. 41-66</w:t>
      </w:r>
      <w:r w:rsidR="005B1C53">
        <w:rPr>
          <w:rFonts w:ascii="Arial" w:hAnsi="Arial" w:cs="Arial"/>
          <w:sz w:val="28"/>
          <w:szCs w:val="28"/>
          <w:lang w:val="en-US"/>
        </w:rPr>
        <w:t>. DOI: 10.2307/111</w:t>
      </w:r>
      <w:r w:rsidR="00B50BAA">
        <w:rPr>
          <w:rFonts w:ascii="Arial" w:hAnsi="Arial" w:cs="Arial"/>
          <w:sz w:val="28"/>
          <w:szCs w:val="28"/>
          <w:lang w:val="en-US"/>
        </w:rPr>
        <w:t xml:space="preserve">5632 </w:t>
      </w:r>
      <w:r w:rsidR="00717315">
        <w:rPr>
          <w:rFonts w:ascii="Arial" w:hAnsi="Arial" w:cs="Arial"/>
          <w:i/>
          <w:iCs/>
          <w:sz w:val="28"/>
          <w:szCs w:val="28"/>
          <w:lang w:val="en-US"/>
        </w:rPr>
        <w:t xml:space="preserve"> </w:t>
      </w:r>
    </w:p>
    <w:p w14:paraId="665A5BDB" w14:textId="3382C7F6" w:rsidR="00091A6C" w:rsidRDefault="00091A6C" w:rsidP="003125E2">
      <w:pPr>
        <w:jc w:val="both"/>
        <w:rPr>
          <w:rFonts w:ascii="Arial" w:hAnsi="Arial" w:cs="Arial"/>
          <w:sz w:val="28"/>
          <w:szCs w:val="28"/>
        </w:rPr>
      </w:pPr>
    </w:p>
    <w:p w14:paraId="3B3DF552" w14:textId="55FE0AE2" w:rsidR="00091A6C" w:rsidRPr="00E83E3C" w:rsidRDefault="008555E6" w:rsidP="003125E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sectPr w:rsidR="00091A6C" w:rsidRPr="00E83E3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9185A4F"/>
    <w:multiLevelType w:val="hybridMultilevel"/>
    <w:tmpl w:val="8C0E7BBA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664B19"/>
    <w:multiLevelType w:val="hybridMultilevel"/>
    <w:tmpl w:val="AB58CC2C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8138F5"/>
    <w:multiLevelType w:val="hybridMultilevel"/>
    <w:tmpl w:val="A680F180"/>
    <w:lvl w:ilvl="0" w:tplc="FFFFFFFF">
      <w:start w:val="2"/>
      <w:numFmt w:val="bullet"/>
      <w:lvlText w:val=""/>
      <w:lvlJc w:val="left"/>
      <w:pPr>
        <w:ind w:left="720" w:hanging="360"/>
      </w:pPr>
      <w:rPr>
        <w:rFonts w:ascii="Symbol" w:eastAsiaTheme="minorEastAsia" w:hAnsi="Symbol" w:cs="Arial" w:hint="default"/>
        <w:i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E3C"/>
    <w:rsid w:val="000003AF"/>
    <w:rsid w:val="00000689"/>
    <w:rsid w:val="000009F7"/>
    <w:rsid w:val="00000F2B"/>
    <w:rsid w:val="000010B0"/>
    <w:rsid w:val="00001EEC"/>
    <w:rsid w:val="0000278B"/>
    <w:rsid w:val="00005214"/>
    <w:rsid w:val="0000540F"/>
    <w:rsid w:val="000058DE"/>
    <w:rsid w:val="00006471"/>
    <w:rsid w:val="000067FD"/>
    <w:rsid w:val="00006DBF"/>
    <w:rsid w:val="00006F92"/>
    <w:rsid w:val="000072BA"/>
    <w:rsid w:val="00007427"/>
    <w:rsid w:val="000077D6"/>
    <w:rsid w:val="00007DDA"/>
    <w:rsid w:val="0001028B"/>
    <w:rsid w:val="00013306"/>
    <w:rsid w:val="00015EE2"/>
    <w:rsid w:val="00016743"/>
    <w:rsid w:val="000167A1"/>
    <w:rsid w:val="0001704B"/>
    <w:rsid w:val="0001733A"/>
    <w:rsid w:val="0002040F"/>
    <w:rsid w:val="00020B6D"/>
    <w:rsid w:val="000215EA"/>
    <w:rsid w:val="000222D8"/>
    <w:rsid w:val="00022D2E"/>
    <w:rsid w:val="00022ECA"/>
    <w:rsid w:val="00023162"/>
    <w:rsid w:val="000232B4"/>
    <w:rsid w:val="00023CA0"/>
    <w:rsid w:val="00024950"/>
    <w:rsid w:val="00024BF7"/>
    <w:rsid w:val="00024D7C"/>
    <w:rsid w:val="0002715B"/>
    <w:rsid w:val="000309C5"/>
    <w:rsid w:val="00030D00"/>
    <w:rsid w:val="0003134E"/>
    <w:rsid w:val="00031848"/>
    <w:rsid w:val="00031BAB"/>
    <w:rsid w:val="00031DAC"/>
    <w:rsid w:val="00031E33"/>
    <w:rsid w:val="000337EE"/>
    <w:rsid w:val="00033E5A"/>
    <w:rsid w:val="000342AF"/>
    <w:rsid w:val="000364EC"/>
    <w:rsid w:val="00036CED"/>
    <w:rsid w:val="00040340"/>
    <w:rsid w:val="000403C4"/>
    <w:rsid w:val="00042B9A"/>
    <w:rsid w:val="00043772"/>
    <w:rsid w:val="00043C97"/>
    <w:rsid w:val="00044E9F"/>
    <w:rsid w:val="00047328"/>
    <w:rsid w:val="000474F3"/>
    <w:rsid w:val="00047787"/>
    <w:rsid w:val="00047FBD"/>
    <w:rsid w:val="00050C7F"/>
    <w:rsid w:val="000510BC"/>
    <w:rsid w:val="0005166D"/>
    <w:rsid w:val="000528B4"/>
    <w:rsid w:val="000529A0"/>
    <w:rsid w:val="00053C8B"/>
    <w:rsid w:val="00054387"/>
    <w:rsid w:val="00054FBE"/>
    <w:rsid w:val="00055020"/>
    <w:rsid w:val="00055DF6"/>
    <w:rsid w:val="000573E5"/>
    <w:rsid w:val="00057C71"/>
    <w:rsid w:val="000606AB"/>
    <w:rsid w:val="00060D8A"/>
    <w:rsid w:val="000611A0"/>
    <w:rsid w:val="00061B1C"/>
    <w:rsid w:val="00061BF9"/>
    <w:rsid w:val="00062A6A"/>
    <w:rsid w:val="000631F7"/>
    <w:rsid w:val="0006327B"/>
    <w:rsid w:val="00063CC0"/>
    <w:rsid w:val="00064862"/>
    <w:rsid w:val="00064CD0"/>
    <w:rsid w:val="000664E7"/>
    <w:rsid w:val="0006759B"/>
    <w:rsid w:val="000706DE"/>
    <w:rsid w:val="00070AB2"/>
    <w:rsid w:val="00071A45"/>
    <w:rsid w:val="0007281D"/>
    <w:rsid w:val="000728F6"/>
    <w:rsid w:val="0007290A"/>
    <w:rsid w:val="00072A36"/>
    <w:rsid w:val="00072DBA"/>
    <w:rsid w:val="00075269"/>
    <w:rsid w:val="000757C1"/>
    <w:rsid w:val="0007759E"/>
    <w:rsid w:val="0007766C"/>
    <w:rsid w:val="00080502"/>
    <w:rsid w:val="00080530"/>
    <w:rsid w:val="00080693"/>
    <w:rsid w:val="00081B10"/>
    <w:rsid w:val="00082148"/>
    <w:rsid w:val="00082AC9"/>
    <w:rsid w:val="0008498E"/>
    <w:rsid w:val="00085402"/>
    <w:rsid w:val="00085A96"/>
    <w:rsid w:val="00086F86"/>
    <w:rsid w:val="000902E1"/>
    <w:rsid w:val="000918D3"/>
    <w:rsid w:val="00091A6C"/>
    <w:rsid w:val="00091C2E"/>
    <w:rsid w:val="0009233E"/>
    <w:rsid w:val="00092566"/>
    <w:rsid w:val="00092A7D"/>
    <w:rsid w:val="00092C25"/>
    <w:rsid w:val="00092F01"/>
    <w:rsid w:val="00093943"/>
    <w:rsid w:val="00094453"/>
    <w:rsid w:val="0009463D"/>
    <w:rsid w:val="00095045"/>
    <w:rsid w:val="00096E66"/>
    <w:rsid w:val="00097014"/>
    <w:rsid w:val="0009724B"/>
    <w:rsid w:val="00097F17"/>
    <w:rsid w:val="000A181B"/>
    <w:rsid w:val="000A25DB"/>
    <w:rsid w:val="000A270F"/>
    <w:rsid w:val="000A2DEF"/>
    <w:rsid w:val="000A3996"/>
    <w:rsid w:val="000A3C32"/>
    <w:rsid w:val="000A5063"/>
    <w:rsid w:val="000A53EA"/>
    <w:rsid w:val="000A607D"/>
    <w:rsid w:val="000B0A40"/>
    <w:rsid w:val="000B15A9"/>
    <w:rsid w:val="000B1B35"/>
    <w:rsid w:val="000B1C17"/>
    <w:rsid w:val="000B1C76"/>
    <w:rsid w:val="000B5540"/>
    <w:rsid w:val="000B55F6"/>
    <w:rsid w:val="000B7524"/>
    <w:rsid w:val="000B7B4C"/>
    <w:rsid w:val="000B7F4A"/>
    <w:rsid w:val="000C0261"/>
    <w:rsid w:val="000C0E61"/>
    <w:rsid w:val="000C1001"/>
    <w:rsid w:val="000C16C6"/>
    <w:rsid w:val="000C222B"/>
    <w:rsid w:val="000C36BA"/>
    <w:rsid w:val="000C3771"/>
    <w:rsid w:val="000C37F8"/>
    <w:rsid w:val="000C4F22"/>
    <w:rsid w:val="000C5904"/>
    <w:rsid w:val="000C5E46"/>
    <w:rsid w:val="000C5E6D"/>
    <w:rsid w:val="000C7217"/>
    <w:rsid w:val="000D0E2F"/>
    <w:rsid w:val="000D1000"/>
    <w:rsid w:val="000D10AA"/>
    <w:rsid w:val="000D156E"/>
    <w:rsid w:val="000D177B"/>
    <w:rsid w:val="000D1D86"/>
    <w:rsid w:val="000D23E0"/>
    <w:rsid w:val="000D24EF"/>
    <w:rsid w:val="000D264A"/>
    <w:rsid w:val="000D2D80"/>
    <w:rsid w:val="000D33C9"/>
    <w:rsid w:val="000D405F"/>
    <w:rsid w:val="000D5003"/>
    <w:rsid w:val="000D5AB4"/>
    <w:rsid w:val="000D614F"/>
    <w:rsid w:val="000D62D3"/>
    <w:rsid w:val="000D7FF5"/>
    <w:rsid w:val="000E0285"/>
    <w:rsid w:val="000E0552"/>
    <w:rsid w:val="000E0659"/>
    <w:rsid w:val="000E0BDA"/>
    <w:rsid w:val="000E24BA"/>
    <w:rsid w:val="000E292A"/>
    <w:rsid w:val="000E2C7D"/>
    <w:rsid w:val="000E2E24"/>
    <w:rsid w:val="000E348C"/>
    <w:rsid w:val="000E3B0A"/>
    <w:rsid w:val="000E4130"/>
    <w:rsid w:val="000E41A5"/>
    <w:rsid w:val="000E5256"/>
    <w:rsid w:val="000E5915"/>
    <w:rsid w:val="000E5B8C"/>
    <w:rsid w:val="000E6D70"/>
    <w:rsid w:val="000E7067"/>
    <w:rsid w:val="000E7207"/>
    <w:rsid w:val="000E7D93"/>
    <w:rsid w:val="000F2900"/>
    <w:rsid w:val="000F2A1D"/>
    <w:rsid w:val="000F2FA9"/>
    <w:rsid w:val="000F35DA"/>
    <w:rsid w:val="000F3974"/>
    <w:rsid w:val="000F602C"/>
    <w:rsid w:val="000F6C4C"/>
    <w:rsid w:val="000F6D78"/>
    <w:rsid w:val="000F7826"/>
    <w:rsid w:val="00101138"/>
    <w:rsid w:val="00101BAA"/>
    <w:rsid w:val="001021A5"/>
    <w:rsid w:val="00102A33"/>
    <w:rsid w:val="00103045"/>
    <w:rsid w:val="00103236"/>
    <w:rsid w:val="00103EC7"/>
    <w:rsid w:val="0010420B"/>
    <w:rsid w:val="00105532"/>
    <w:rsid w:val="001056E1"/>
    <w:rsid w:val="00107181"/>
    <w:rsid w:val="00112EF8"/>
    <w:rsid w:val="00113894"/>
    <w:rsid w:val="00113A2E"/>
    <w:rsid w:val="00113E38"/>
    <w:rsid w:val="0011444F"/>
    <w:rsid w:val="001163BC"/>
    <w:rsid w:val="001165EC"/>
    <w:rsid w:val="0011774B"/>
    <w:rsid w:val="00117848"/>
    <w:rsid w:val="00117A92"/>
    <w:rsid w:val="00117CFF"/>
    <w:rsid w:val="001203B0"/>
    <w:rsid w:val="001215B7"/>
    <w:rsid w:val="00121DF1"/>
    <w:rsid w:val="00124526"/>
    <w:rsid w:val="00124FFB"/>
    <w:rsid w:val="00126BA7"/>
    <w:rsid w:val="001272C4"/>
    <w:rsid w:val="001276DC"/>
    <w:rsid w:val="001277B7"/>
    <w:rsid w:val="0013030D"/>
    <w:rsid w:val="0013033F"/>
    <w:rsid w:val="0013060A"/>
    <w:rsid w:val="00130D75"/>
    <w:rsid w:val="00131388"/>
    <w:rsid w:val="00131CDF"/>
    <w:rsid w:val="001324D2"/>
    <w:rsid w:val="001329DE"/>
    <w:rsid w:val="0013302B"/>
    <w:rsid w:val="0013402B"/>
    <w:rsid w:val="00134579"/>
    <w:rsid w:val="00134E06"/>
    <w:rsid w:val="00137533"/>
    <w:rsid w:val="00140038"/>
    <w:rsid w:val="00140809"/>
    <w:rsid w:val="00140B70"/>
    <w:rsid w:val="001416BF"/>
    <w:rsid w:val="0014220A"/>
    <w:rsid w:val="0014274E"/>
    <w:rsid w:val="0014440E"/>
    <w:rsid w:val="00144EA1"/>
    <w:rsid w:val="00144FF8"/>
    <w:rsid w:val="001457CB"/>
    <w:rsid w:val="00145E44"/>
    <w:rsid w:val="00150694"/>
    <w:rsid w:val="001507BC"/>
    <w:rsid w:val="00151564"/>
    <w:rsid w:val="0015421C"/>
    <w:rsid w:val="00154411"/>
    <w:rsid w:val="00154886"/>
    <w:rsid w:val="00155BE4"/>
    <w:rsid w:val="00155C5D"/>
    <w:rsid w:val="00157012"/>
    <w:rsid w:val="00157631"/>
    <w:rsid w:val="001604A8"/>
    <w:rsid w:val="00160C20"/>
    <w:rsid w:val="00161571"/>
    <w:rsid w:val="00161C1E"/>
    <w:rsid w:val="001626F9"/>
    <w:rsid w:val="00162838"/>
    <w:rsid w:val="00162F11"/>
    <w:rsid w:val="00163C2F"/>
    <w:rsid w:val="00163EEE"/>
    <w:rsid w:val="00164697"/>
    <w:rsid w:val="001659C2"/>
    <w:rsid w:val="00165A58"/>
    <w:rsid w:val="00166593"/>
    <w:rsid w:val="0016684B"/>
    <w:rsid w:val="00167030"/>
    <w:rsid w:val="00167CCF"/>
    <w:rsid w:val="001705FF"/>
    <w:rsid w:val="00171246"/>
    <w:rsid w:val="00171A73"/>
    <w:rsid w:val="00173A9D"/>
    <w:rsid w:val="00173D91"/>
    <w:rsid w:val="00173F63"/>
    <w:rsid w:val="00175A78"/>
    <w:rsid w:val="001764BA"/>
    <w:rsid w:val="00176FE7"/>
    <w:rsid w:val="00177513"/>
    <w:rsid w:val="001775CA"/>
    <w:rsid w:val="00177CEC"/>
    <w:rsid w:val="0018045B"/>
    <w:rsid w:val="00180716"/>
    <w:rsid w:val="001807B4"/>
    <w:rsid w:val="00181576"/>
    <w:rsid w:val="001828AF"/>
    <w:rsid w:val="001830B5"/>
    <w:rsid w:val="0018315F"/>
    <w:rsid w:val="00183706"/>
    <w:rsid w:val="00185A03"/>
    <w:rsid w:val="00185A0F"/>
    <w:rsid w:val="00186288"/>
    <w:rsid w:val="00186F97"/>
    <w:rsid w:val="00187126"/>
    <w:rsid w:val="001877FF"/>
    <w:rsid w:val="00190835"/>
    <w:rsid w:val="001908EF"/>
    <w:rsid w:val="00192EA7"/>
    <w:rsid w:val="00193660"/>
    <w:rsid w:val="001939C0"/>
    <w:rsid w:val="00193F59"/>
    <w:rsid w:val="0019506B"/>
    <w:rsid w:val="001954C9"/>
    <w:rsid w:val="00195B77"/>
    <w:rsid w:val="00196E48"/>
    <w:rsid w:val="00197A45"/>
    <w:rsid w:val="001A07FB"/>
    <w:rsid w:val="001A1E92"/>
    <w:rsid w:val="001A2526"/>
    <w:rsid w:val="001A2CEA"/>
    <w:rsid w:val="001A2D89"/>
    <w:rsid w:val="001A4949"/>
    <w:rsid w:val="001A4EE3"/>
    <w:rsid w:val="001A5E12"/>
    <w:rsid w:val="001A6B07"/>
    <w:rsid w:val="001A6C70"/>
    <w:rsid w:val="001A793C"/>
    <w:rsid w:val="001A7F25"/>
    <w:rsid w:val="001A7FCE"/>
    <w:rsid w:val="001A7FF7"/>
    <w:rsid w:val="001B08D1"/>
    <w:rsid w:val="001B1582"/>
    <w:rsid w:val="001B2507"/>
    <w:rsid w:val="001B3CBB"/>
    <w:rsid w:val="001B3FD8"/>
    <w:rsid w:val="001B442A"/>
    <w:rsid w:val="001B4572"/>
    <w:rsid w:val="001B4698"/>
    <w:rsid w:val="001B5FFB"/>
    <w:rsid w:val="001B6EA4"/>
    <w:rsid w:val="001B6F44"/>
    <w:rsid w:val="001C1C04"/>
    <w:rsid w:val="001C1D31"/>
    <w:rsid w:val="001C1E71"/>
    <w:rsid w:val="001C1FC7"/>
    <w:rsid w:val="001C2498"/>
    <w:rsid w:val="001C2FE1"/>
    <w:rsid w:val="001C313C"/>
    <w:rsid w:val="001C6512"/>
    <w:rsid w:val="001C6B63"/>
    <w:rsid w:val="001C6FFE"/>
    <w:rsid w:val="001C72E2"/>
    <w:rsid w:val="001C7D1A"/>
    <w:rsid w:val="001D09BA"/>
    <w:rsid w:val="001D154D"/>
    <w:rsid w:val="001D4026"/>
    <w:rsid w:val="001D4602"/>
    <w:rsid w:val="001D6561"/>
    <w:rsid w:val="001D761E"/>
    <w:rsid w:val="001D7CFC"/>
    <w:rsid w:val="001D7D6D"/>
    <w:rsid w:val="001E1158"/>
    <w:rsid w:val="001E1A09"/>
    <w:rsid w:val="001E20C5"/>
    <w:rsid w:val="001E285A"/>
    <w:rsid w:val="001E3DDC"/>
    <w:rsid w:val="001E58C9"/>
    <w:rsid w:val="001E5BF8"/>
    <w:rsid w:val="001E710B"/>
    <w:rsid w:val="001E7F2E"/>
    <w:rsid w:val="001F0B30"/>
    <w:rsid w:val="001F22B7"/>
    <w:rsid w:val="001F36A7"/>
    <w:rsid w:val="001F4027"/>
    <w:rsid w:val="001F4310"/>
    <w:rsid w:val="001F4840"/>
    <w:rsid w:val="001F501C"/>
    <w:rsid w:val="001F5932"/>
    <w:rsid w:val="001F5E44"/>
    <w:rsid w:val="001F5F78"/>
    <w:rsid w:val="001F602A"/>
    <w:rsid w:val="001F670C"/>
    <w:rsid w:val="001F67DA"/>
    <w:rsid w:val="001F7437"/>
    <w:rsid w:val="001F749E"/>
    <w:rsid w:val="001F766C"/>
    <w:rsid w:val="001F783A"/>
    <w:rsid w:val="002001E4"/>
    <w:rsid w:val="00200244"/>
    <w:rsid w:val="002005CA"/>
    <w:rsid w:val="00200EA2"/>
    <w:rsid w:val="00201266"/>
    <w:rsid w:val="00201350"/>
    <w:rsid w:val="002015DE"/>
    <w:rsid w:val="002024D7"/>
    <w:rsid w:val="00204234"/>
    <w:rsid w:val="00205531"/>
    <w:rsid w:val="00206176"/>
    <w:rsid w:val="002061DF"/>
    <w:rsid w:val="00207771"/>
    <w:rsid w:val="00207E95"/>
    <w:rsid w:val="0021045F"/>
    <w:rsid w:val="00210591"/>
    <w:rsid w:val="00212AD4"/>
    <w:rsid w:val="00214224"/>
    <w:rsid w:val="00214B67"/>
    <w:rsid w:val="00214B6F"/>
    <w:rsid w:val="002157A8"/>
    <w:rsid w:val="00215B5D"/>
    <w:rsid w:val="00217036"/>
    <w:rsid w:val="00217084"/>
    <w:rsid w:val="00217399"/>
    <w:rsid w:val="0021751E"/>
    <w:rsid w:val="00217809"/>
    <w:rsid w:val="00220263"/>
    <w:rsid w:val="0022041A"/>
    <w:rsid w:val="00220B24"/>
    <w:rsid w:val="00220E9B"/>
    <w:rsid w:val="0022180F"/>
    <w:rsid w:val="00222074"/>
    <w:rsid w:val="0022214A"/>
    <w:rsid w:val="0022279A"/>
    <w:rsid w:val="00223032"/>
    <w:rsid w:val="002232D1"/>
    <w:rsid w:val="002235BC"/>
    <w:rsid w:val="0022502A"/>
    <w:rsid w:val="0022671C"/>
    <w:rsid w:val="00226B97"/>
    <w:rsid w:val="00226DA7"/>
    <w:rsid w:val="00227B6B"/>
    <w:rsid w:val="00230311"/>
    <w:rsid w:val="00230D8E"/>
    <w:rsid w:val="00231366"/>
    <w:rsid w:val="00232841"/>
    <w:rsid w:val="00233209"/>
    <w:rsid w:val="00233407"/>
    <w:rsid w:val="0023376A"/>
    <w:rsid w:val="00233A8D"/>
    <w:rsid w:val="00234CB7"/>
    <w:rsid w:val="00234F5D"/>
    <w:rsid w:val="002357B4"/>
    <w:rsid w:val="002366E1"/>
    <w:rsid w:val="00236A27"/>
    <w:rsid w:val="00240DAA"/>
    <w:rsid w:val="00241821"/>
    <w:rsid w:val="00241CF1"/>
    <w:rsid w:val="00242A08"/>
    <w:rsid w:val="002442B5"/>
    <w:rsid w:val="0024591A"/>
    <w:rsid w:val="00245F82"/>
    <w:rsid w:val="00246EA1"/>
    <w:rsid w:val="0024778E"/>
    <w:rsid w:val="002503B9"/>
    <w:rsid w:val="00250C21"/>
    <w:rsid w:val="002515D7"/>
    <w:rsid w:val="002518D8"/>
    <w:rsid w:val="00251978"/>
    <w:rsid w:val="00252684"/>
    <w:rsid w:val="00252A93"/>
    <w:rsid w:val="0025322B"/>
    <w:rsid w:val="00253289"/>
    <w:rsid w:val="00253545"/>
    <w:rsid w:val="002540AA"/>
    <w:rsid w:val="002562BC"/>
    <w:rsid w:val="0025705F"/>
    <w:rsid w:val="00260040"/>
    <w:rsid w:val="0026044B"/>
    <w:rsid w:val="0026124C"/>
    <w:rsid w:val="00261C34"/>
    <w:rsid w:val="00261DD9"/>
    <w:rsid w:val="0026345B"/>
    <w:rsid w:val="00264688"/>
    <w:rsid w:val="00265A23"/>
    <w:rsid w:val="00267C72"/>
    <w:rsid w:val="00267ED6"/>
    <w:rsid w:val="00271FA3"/>
    <w:rsid w:val="002723FE"/>
    <w:rsid w:val="002725B5"/>
    <w:rsid w:val="00272B5A"/>
    <w:rsid w:val="002733B2"/>
    <w:rsid w:val="0027364F"/>
    <w:rsid w:val="00273CFE"/>
    <w:rsid w:val="00273E0F"/>
    <w:rsid w:val="002755CE"/>
    <w:rsid w:val="00275F14"/>
    <w:rsid w:val="002768BA"/>
    <w:rsid w:val="00277F73"/>
    <w:rsid w:val="00281ACD"/>
    <w:rsid w:val="00281ED3"/>
    <w:rsid w:val="00282199"/>
    <w:rsid w:val="00283B76"/>
    <w:rsid w:val="00284EC4"/>
    <w:rsid w:val="0028507E"/>
    <w:rsid w:val="002855C1"/>
    <w:rsid w:val="0028586D"/>
    <w:rsid w:val="002870E8"/>
    <w:rsid w:val="00287621"/>
    <w:rsid w:val="0028765F"/>
    <w:rsid w:val="00290887"/>
    <w:rsid w:val="00292322"/>
    <w:rsid w:val="002928AF"/>
    <w:rsid w:val="00292DA6"/>
    <w:rsid w:val="00294E45"/>
    <w:rsid w:val="002965AC"/>
    <w:rsid w:val="002967F5"/>
    <w:rsid w:val="002A2EFE"/>
    <w:rsid w:val="002A352E"/>
    <w:rsid w:val="002A5F3A"/>
    <w:rsid w:val="002A63FA"/>
    <w:rsid w:val="002A65B5"/>
    <w:rsid w:val="002A7054"/>
    <w:rsid w:val="002B005E"/>
    <w:rsid w:val="002B0094"/>
    <w:rsid w:val="002B0CE2"/>
    <w:rsid w:val="002B15DC"/>
    <w:rsid w:val="002B1C3B"/>
    <w:rsid w:val="002B252C"/>
    <w:rsid w:val="002B3E1E"/>
    <w:rsid w:val="002B45F9"/>
    <w:rsid w:val="002B480F"/>
    <w:rsid w:val="002B4E8E"/>
    <w:rsid w:val="002B5A8B"/>
    <w:rsid w:val="002B5E76"/>
    <w:rsid w:val="002B605B"/>
    <w:rsid w:val="002B6868"/>
    <w:rsid w:val="002B6E12"/>
    <w:rsid w:val="002B7950"/>
    <w:rsid w:val="002C0855"/>
    <w:rsid w:val="002C2E56"/>
    <w:rsid w:val="002C3069"/>
    <w:rsid w:val="002C30C2"/>
    <w:rsid w:val="002C3843"/>
    <w:rsid w:val="002C4E58"/>
    <w:rsid w:val="002C4EA0"/>
    <w:rsid w:val="002C51F9"/>
    <w:rsid w:val="002D1820"/>
    <w:rsid w:val="002D4179"/>
    <w:rsid w:val="002D4F09"/>
    <w:rsid w:val="002D5010"/>
    <w:rsid w:val="002D5284"/>
    <w:rsid w:val="002D57BC"/>
    <w:rsid w:val="002D61A9"/>
    <w:rsid w:val="002D6565"/>
    <w:rsid w:val="002D6A9A"/>
    <w:rsid w:val="002D7FFB"/>
    <w:rsid w:val="002E1661"/>
    <w:rsid w:val="002E1AB1"/>
    <w:rsid w:val="002E30C5"/>
    <w:rsid w:val="002E469D"/>
    <w:rsid w:val="002E4D45"/>
    <w:rsid w:val="002E665A"/>
    <w:rsid w:val="002E67FD"/>
    <w:rsid w:val="002E7979"/>
    <w:rsid w:val="002F002C"/>
    <w:rsid w:val="002F0167"/>
    <w:rsid w:val="002F0A7C"/>
    <w:rsid w:val="002F0C57"/>
    <w:rsid w:val="002F0E48"/>
    <w:rsid w:val="002F2E28"/>
    <w:rsid w:val="002F4F19"/>
    <w:rsid w:val="002F6966"/>
    <w:rsid w:val="002F6D0A"/>
    <w:rsid w:val="002F7197"/>
    <w:rsid w:val="002F7601"/>
    <w:rsid w:val="002F782F"/>
    <w:rsid w:val="002F7888"/>
    <w:rsid w:val="0030027B"/>
    <w:rsid w:val="0030056E"/>
    <w:rsid w:val="003009F5"/>
    <w:rsid w:val="003010CF"/>
    <w:rsid w:val="00302222"/>
    <w:rsid w:val="0030263D"/>
    <w:rsid w:val="0030321E"/>
    <w:rsid w:val="00303B20"/>
    <w:rsid w:val="00303CFB"/>
    <w:rsid w:val="00306311"/>
    <w:rsid w:val="00307479"/>
    <w:rsid w:val="0031020B"/>
    <w:rsid w:val="003117AC"/>
    <w:rsid w:val="00311B4C"/>
    <w:rsid w:val="003125E2"/>
    <w:rsid w:val="00312FF3"/>
    <w:rsid w:val="00314051"/>
    <w:rsid w:val="00314147"/>
    <w:rsid w:val="003143B1"/>
    <w:rsid w:val="00315C09"/>
    <w:rsid w:val="00320E65"/>
    <w:rsid w:val="00320EEA"/>
    <w:rsid w:val="0032182D"/>
    <w:rsid w:val="00322287"/>
    <w:rsid w:val="00323EB3"/>
    <w:rsid w:val="00323F46"/>
    <w:rsid w:val="00325131"/>
    <w:rsid w:val="00325DB6"/>
    <w:rsid w:val="003260DA"/>
    <w:rsid w:val="003262B6"/>
    <w:rsid w:val="003263DB"/>
    <w:rsid w:val="0032698B"/>
    <w:rsid w:val="0033038D"/>
    <w:rsid w:val="00331032"/>
    <w:rsid w:val="003317E2"/>
    <w:rsid w:val="0033193E"/>
    <w:rsid w:val="003327B5"/>
    <w:rsid w:val="003344DE"/>
    <w:rsid w:val="003359BC"/>
    <w:rsid w:val="00336DF7"/>
    <w:rsid w:val="00336E35"/>
    <w:rsid w:val="00337335"/>
    <w:rsid w:val="00337B42"/>
    <w:rsid w:val="00337EE1"/>
    <w:rsid w:val="0034097E"/>
    <w:rsid w:val="00341BE6"/>
    <w:rsid w:val="00341DA6"/>
    <w:rsid w:val="00341F83"/>
    <w:rsid w:val="003420A4"/>
    <w:rsid w:val="00343F38"/>
    <w:rsid w:val="003443D7"/>
    <w:rsid w:val="00344A1A"/>
    <w:rsid w:val="0034513E"/>
    <w:rsid w:val="003466DA"/>
    <w:rsid w:val="00346D1D"/>
    <w:rsid w:val="00347464"/>
    <w:rsid w:val="00347742"/>
    <w:rsid w:val="00347C70"/>
    <w:rsid w:val="003506A2"/>
    <w:rsid w:val="0035110C"/>
    <w:rsid w:val="00351E38"/>
    <w:rsid w:val="003522D3"/>
    <w:rsid w:val="00352869"/>
    <w:rsid w:val="00352911"/>
    <w:rsid w:val="00352A3C"/>
    <w:rsid w:val="00354652"/>
    <w:rsid w:val="00354769"/>
    <w:rsid w:val="00355682"/>
    <w:rsid w:val="00355DCA"/>
    <w:rsid w:val="00357999"/>
    <w:rsid w:val="0036160A"/>
    <w:rsid w:val="00361A27"/>
    <w:rsid w:val="00363BD6"/>
    <w:rsid w:val="00363E41"/>
    <w:rsid w:val="00363E7F"/>
    <w:rsid w:val="003641DB"/>
    <w:rsid w:val="00365219"/>
    <w:rsid w:val="003652B8"/>
    <w:rsid w:val="0036639E"/>
    <w:rsid w:val="003705AA"/>
    <w:rsid w:val="003724FE"/>
    <w:rsid w:val="00372DA4"/>
    <w:rsid w:val="0037362E"/>
    <w:rsid w:val="003743B7"/>
    <w:rsid w:val="00374776"/>
    <w:rsid w:val="00374DA2"/>
    <w:rsid w:val="0037509E"/>
    <w:rsid w:val="003755E9"/>
    <w:rsid w:val="0037576E"/>
    <w:rsid w:val="00375BCE"/>
    <w:rsid w:val="003774DC"/>
    <w:rsid w:val="0037750B"/>
    <w:rsid w:val="00377809"/>
    <w:rsid w:val="0038131A"/>
    <w:rsid w:val="00382ABC"/>
    <w:rsid w:val="00383480"/>
    <w:rsid w:val="003838AE"/>
    <w:rsid w:val="00383A00"/>
    <w:rsid w:val="00384188"/>
    <w:rsid w:val="0038425C"/>
    <w:rsid w:val="0038553D"/>
    <w:rsid w:val="00385928"/>
    <w:rsid w:val="00386131"/>
    <w:rsid w:val="00386410"/>
    <w:rsid w:val="003877A8"/>
    <w:rsid w:val="0039062C"/>
    <w:rsid w:val="003906B0"/>
    <w:rsid w:val="00392C36"/>
    <w:rsid w:val="00393102"/>
    <w:rsid w:val="00394387"/>
    <w:rsid w:val="003944EE"/>
    <w:rsid w:val="00394C4B"/>
    <w:rsid w:val="00394E49"/>
    <w:rsid w:val="00394ED3"/>
    <w:rsid w:val="00395AA7"/>
    <w:rsid w:val="00395E8F"/>
    <w:rsid w:val="003969FD"/>
    <w:rsid w:val="00396DFE"/>
    <w:rsid w:val="003971BD"/>
    <w:rsid w:val="003972CE"/>
    <w:rsid w:val="00397B34"/>
    <w:rsid w:val="003A0F38"/>
    <w:rsid w:val="003A248F"/>
    <w:rsid w:val="003A59CA"/>
    <w:rsid w:val="003A61CF"/>
    <w:rsid w:val="003A7BA1"/>
    <w:rsid w:val="003B10CE"/>
    <w:rsid w:val="003B16AE"/>
    <w:rsid w:val="003B2BDD"/>
    <w:rsid w:val="003B3170"/>
    <w:rsid w:val="003B3250"/>
    <w:rsid w:val="003B5748"/>
    <w:rsid w:val="003B60A3"/>
    <w:rsid w:val="003B754A"/>
    <w:rsid w:val="003C0631"/>
    <w:rsid w:val="003C0BC8"/>
    <w:rsid w:val="003C19B0"/>
    <w:rsid w:val="003C1BD0"/>
    <w:rsid w:val="003C1D86"/>
    <w:rsid w:val="003C2270"/>
    <w:rsid w:val="003C2EF0"/>
    <w:rsid w:val="003C3608"/>
    <w:rsid w:val="003C4698"/>
    <w:rsid w:val="003C71C6"/>
    <w:rsid w:val="003C7BDB"/>
    <w:rsid w:val="003D083A"/>
    <w:rsid w:val="003D17BB"/>
    <w:rsid w:val="003D1D12"/>
    <w:rsid w:val="003D2C12"/>
    <w:rsid w:val="003D4D2A"/>
    <w:rsid w:val="003D50F2"/>
    <w:rsid w:val="003D5972"/>
    <w:rsid w:val="003D6FBE"/>
    <w:rsid w:val="003D725C"/>
    <w:rsid w:val="003D7D0A"/>
    <w:rsid w:val="003E027F"/>
    <w:rsid w:val="003E049E"/>
    <w:rsid w:val="003E07A0"/>
    <w:rsid w:val="003E0877"/>
    <w:rsid w:val="003E099D"/>
    <w:rsid w:val="003E13EE"/>
    <w:rsid w:val="003E1460"/>
    <w:rsid w:val="003E1CB3"/>
    <w:rsid w:val="003E26DB"/>
    <w:rsid w:val="003E2EF5"/>
    <w:rsid w:val="003E4574"/>
    <w:rsid w:val="003E5EFD"/>
    <w:rsid w:val="003F03F4"/>
    <w:rsid w:val="003F175C"/>
    <w:rsid w:val="003F1AFD"/>
    <w:rsid w:val="003F243B"/>
    <w:rsid w:val="003F31AF"/>
    <w:rsid w:val="003F37A2"/>
    <w:rsid w:val="003F3ED0"/>
    <w:rsid w:val="003F470C"/>
    <w:rsid w:val="003F48A2"/>
    <w:rsid w:val="003F5212"/>
    <w:rsid w:val="003F6392"/>
    <w:rsid w:val="003F7996"/>
    <w:rsid w:val="00400A0D"/>
    <w:rsid w:val="00401CA7"/>
    <w:rsid w:val="0040293A"/>
    <w:rsid w:val="004029D7"/>
    <w:rsid w:val="00403D82"/>
    <w:rsid w:val="00404631"/>
    <w:rsid w:val="00404B0E"/>
    <w:rsid w:val="00404CAE"/>
    <w:rsid w:val="00405BED"/>
    <w:rsid w:val="00406824"/>
    <w:rsid w:val="00407568"/>
    <w:rsid w:val="004100C6"/>
    <w:rsid w:val="00410562"/>
    <w:rsid w:val="00411F3B"/>
    <w:rsid w:val="0041225A"/>
    <w:rsid w:val="00412E27"/>
    <w:rsid w:val="0041304B"/>
    <w:rsid w:val="004136A7"/>
    <w:rsid w:val="00414219"/>
    <w:rsid w:val="0041446B"/>
    <w:rsid w:val="004151EC"/>
    <w:rsid w:val="00415ED2"/>
    <w:rsid w:val="004166E7"/>
    <w:rsid w:val="00416787"/>
    <w:rsid w:val="00416F87"/>
    <w:rsid w:val="00417142"/>
    <w:rsid w:val="00417553"/>
    <w:rsid w:val="004203A9"/>
    <w:rsid w:val="00421116"/>
    <w:rsid w:val="00421FAE"/>
    <w:rsid w:val="0042217D"/>
    <w:rsid w:val="00422416"/>
    <w:rsid w:val="0042313C"/>
    <w:rsid w:val="00424A32"/>
    <w:rsid w:val="00425111"/>
    <w:rsid w:val="00427223"/>
    <w:rsid w:val="004277C5"/>
    <w:rsid w:val="0043008C"/>
    <w:rsid w:val="0043134F"/>
    <w:rsid w:val="004329FD"/>
    <w:rsid w:val="00432C34"/>
    <w:rsid w:val="00432DCE"/>
    <w:rsid w:val="004335A7"/>
    <w:rsid w:val="00434D25"/>
    <w:rsid w:val="004358D6"/>
    <w:rsid w:val="00435C73"/>
    <w:rsid w:val="00435F7F"/>
    <w:rsid w:val="00437806"/>
    <w:rsid w:val="00437922"/>
    <w:rsid w:val="00437D80"/>
    <w:rsid w:val="0044028F"/>
    <w:rsid w:val="00440AFD"/>
    <w:rsid w:val="00440D41"/>
    <w:rsid w:val="00440D7B"/>
    <w:rsid w:val="004427B7"/>
    <w:rsid w:val="00443A3A"/>
    <w:rsid w:val="00443F08"/>
    <w:rsid w:val="00445DFF"/>
    <w:rsid w:val="004466BA"/>
    <w:rsid w:val="004514C4"/>
    <w:rsid w:val="004517BF"/>
    <w:rsid w:val="00452A44"/>
    <w:rsid w:val="004549DF"/>
    <w:rsid w:val="00454BBD"/>
    <w:rsid w:val="00454FD8"/>
    <w:rsid w:val="004566E2"/>
    <w:rsid w:val="00456E50"/>
    <w:rsid w:val="00457215"/>
    <w:rsid w:val="00457D31"/>
    <w:rsid w:val="00460014"/>
    <w:rsid w:val="00460802"/>
    <w:rsid w:val="0046116D"/>
    <w:rsid w:val="00461539"/>
    <w:rsid w:val="00464AD2"/>
    <w:rsid w:val="00465513"/>
    <w:rsid w:val="00466A16"/>
    <w:rsid w:val="00466F97"/>
    <w:rsid w:val="0046708E"/>
    <w:rsid w:val="0046775D"/>
    <w:rsid w:val="00470D31"/>
    <w:rsid w:val="00471349"/>
    <w:rsid w:val="00471646"/>
    <w:rsid w:val="0047178A"/>
    <w:rsid w:val="00471795"/>
    <w:rsid w:val="00471C14"/>
    <w:rsid w:val="00471F50"/>
    <w:rsid w:val="00472F0D"/>
    <w:rsid w:val="004734E2"/>
    <w:rsid w:val="00473960"/>
    <w:rsid w:val="0047436A"/>
    <w:rsid w:val="00474E20"/>
    <w:rsid w:val="00475202"/>
    <w:rsid w:val="00475D61"/>
    <w:rsid w:val="004769F4"/>
    <w:rsid w:val="00476EC9"/>
    <w:rsid w:val="0047724E"/>
    <w:rsid w:val="00477891"/>
    <w:rsid w:val="00477A0E"/>
    <w:rsid w:val="00480975"/>
    <w:rsid w:val="00480AB8"/>
    <w:rsid w:val="00482120"/>
    <w:rsid w:val="004825CE"/>
    <w:rsid w:val="00483371"/>
    <w:rsid w:val="004833EE"/>
    <w:rsid w:val="00483C95"/>
    <w:rsid w:val="00484622"/>
    <w:rsid w:val="004867A4"/>
    <w:rsid w:val="004868C5"/>
    <w:rsid w:val="00487585"/>
    <w:rsid w:val="0049198C"/>
    <w:rsid w:val="004925B8"/>
    <w:rsid w:val="00493202"/>
    <w:rsid w:val="0049342E"/>
    <w:rsid w:val="00493D0C"/>
    <w:rsid w:val="00493D4A"/>
    <w:rsid w:val="0049509F"/>
    <w:rsid w:val="00495643"/>
    <w:rsid w:val="00496F19"/>
    <w:rsid w:val="00497621"/>
    <w:rsid w:val="00497B5A"/>
    <w:rsid w:val="004A0865"/>
    <w:rsid w:val="004A10C5"/>
    <w:rsid w:val="004A1822"/>
    <w:rsid w:val="004A2857"/>
    <w:rsid w:val="004A38FC"/>
    <w:rsid w:val="004A3FFE"/>
    <w:rsid w:val="004A453D"/>
    <w:rsid w:val="004B0734"/>
    <w:rsid w:val="004B1E00"/>
    <w:rsid w:val="004B5761"/>
    <w:rsid w:val="004B590F"/>
    <w:rsid w:val="004B5F71"/>
    <w:rsid w:val="004B696B"/>
    <w:rsid w:val="004C03AF"/>
    <w:rsid w:val="004C16F3"/>
    <w:rsid w:val="004C18E2"/>
    <w:rsid w:val="004C291A"/>
    <w:rsid w:val="004C3C3D"/>
    <w:rsid w:val="004C3E46"/>
    <w:rsid w:val="004C3F0E"/>
    <w:rsid w:val="004C4022"/>
    <w:rsid w:val="004C56E3"/>
    <w:rsid w:val="004C5ABB"/>
    <w:rsid w:val="004C5B5C"/>
    <w:rsid w:val="004C5F2E"/>
    <w:rsid w:val="004C6A74"/>
    <w:rsid w:val="004C7FD3"/>
    <w:rsid w:val="004D0458"/>
    <w:rsid w:val="004D0598"/>
    <w:rsid w:val="004D101A"/>
    <w:rsid w:val="004D1D96"/>
    <w:rsid w:val="004D2303"/>
    <w:rsid w:val="004D293B"/>
    <w:rsid w:val="004D45CB"/>
    <w:rsid w:val="004D47A1"/>
    <w:rsid w:val="004D5497"/>
    <w:rsid w:val="004D5A86"/>
    <w:rsid w:val="004D6301"/>
    <w:rsid w:val="004D63F9"/>
    <w:rsid w:val="004D688E"/>
    <w:rsid w:val="004D6FA5"/>
    <w:rsid w:val="004D7C5E"/>
    <w:rsid w:val="004E0072"/>
    <w:rsid w:val="004E19BA"/>
    <w:rsid w:val="004E1DCA"/>
    <w:rsid w:val="004E3612"/>
    <w:rsid w:val="004E439D"/>
    <w:rsid w:val="004E4846"/>
    <w:rsid w:val="004E6419"/>
    <w:rsid w:val="004E6944"/>
    <w:rsid w:val="004E6A0C"/>
    <w:rsid w:val="004F13A8"/>
    <w:rsid w:val="004F203E"/>
    <w:rsid w:val="004F206A"/>
    <w:rsid w:val="004F2F38"/>
    <w:rsid w:val="004F43A2"/>
    <w:rsid w:val="004F647D"/>
    <w:rsid w:val="004F64A6"/>
    <w:rsid w:val="004F6BEA"/>
    <w:rsid w:val="005006F3"/>
    <w:rsid w:val="00501B36"/>
    <w:rsid w:val="00501EFB"/>
    <w:rsid w:val="0050215F"/>
    <w:rsid w:val="00502AA5"/>
    <w:rsid w:val="005031E2"/>
    <w:rsid w:val="00503863"/>
    <w:rsid w:val="00503985"/>
    <w:rsid w:val="00503A09"/>
    <w:rsid w:val="00505A93"/>
    <w:rsid w:val="00506C1C"/>
    <w:rsid w:val="00510A1F"/>
    <w:rsid w:val="00510E9B"/>
    <w:rsid w:val="00511A4A"/>
    <w:rsid w:val="00511FCC"/>
    <w:rsid w:val="00512139"/>
    <w:rsid w:val="005141E5"/>
    <w:rsid w:val="005160A1"/>
    <w:rsid w:val="0051614E"/>
    <w:rsid w:val="00516829"/>
    <w:rsid w:val="00520D17"/>
    <w:rsid w:val="0052100B"/>
    <w:rsid w:val="00521D70"/>
    <w:rsid w:val="00522253"/>
    <w:rsid w:val="00524BE2"/>
    <w:rsid w:val="00526F19"/>
    <w:rsid w:val="00530789"/>
    <w:rsid w:val="005311B3"/>
    <w:rsid w:val="00531FBC"/>
    <w:rsid w:val="0053272A"/>
    <w:rsid w:val="0053324C"/>
    <w:rsid w:val="00533966"/>
    <w:rsid w:val="00533A8F"/>
    <w:rsid w:val="00533B1A"/>
    <w:rsid w:val="00533B70"/>
    <w:rsid w:val="005340CE"/>
    <w:rsid w:val="005343B4"/>
    <w:rsid w:val="005364AE"/>
    <w:rsid w:val="00536956"/>
    <w:rsid w:val="00537419"/>
    <w:rsid w:val="00537D65"/>
    <w:rsid w:val="00540482"/>
    <w:rsid w:val="005404B2"/>
    <w:rsid w:val="0054073B"/>
    <w:rsid w:val="00541991"/>
    <w:rsid w:val="0054216A"/>
    <w:rsid w:val="00542664"/>
    <w:rsid w:val="00543790"/>
    <w:rsid w:val="00543D87"/>
    <w:rsid w:val="00544F17"/>
    <w:rsid w:val="0054519B"/>
    <w:rsid w:val="0054771B"/>
    <w:rsid w:val="00547CE9"/>
    <w:rsid w:val="005517AC"/>
    <w:rsid w:val="005539B3"/>
    <w:rsid w:val="00553BAC"/>
    <w:rsid w:val="00553C24"/>
    <w:rsid w:val="0055416B"/>
    <w:rsid w:val="00555AAA"/>
    <w:rsid w:val="00557447"/>
    <w:rsid w:val="00560498"/>
    <w:rsid w:val="00560E80"/>
    <w:rsid w:val="005624AC"/>
    <w:rsid w:val="0056327E"/>
    <w:rsid w:val="00563327"/>
    <w:rsid w:val="00563AA0"/>
    <w:rsid w:val="005646B5"/>
    <w:rsid w:val="005653BF"/>
    <w:rsid w:val="00565796"/>
    <w:rsid w:val="005658F2"/>
    <w:rsid w:val="0056600F"/>
    <w:rsid w:val="00566931"/>
    <w:rsid w:val="00566CE8"/>
    <w:rsid w:val="00570882"/>
    <w:rsid w:val="005718A3"/>
    <w:rsid w:val="005730A4"/>
    <w:rsid w:val="005740B7"/>
    <w:rsid w:val="0057506E"/>
    <w:rsid w:val="00575430"/>
    <w:rsid w:val="00576057"/>
    <w:rsid w:val="00576299"/>
    <w:rsid w:val="005762C2"/>
    <w:rsid w:val="00577108"/>
    <w:rsid w:val="005771BD"/>
    <w:rsid w:val="00577D6A"/>
    <w:rsid w:val="00577D96"/>
    <w:rsid w:val="0058053A"/>
    <w:rsid w:val="005813DA"/>
    <w:rsid w:val="00581917"/>
    <w:rsid w:val="0058250F"/>
    <w:rsid w:val="0058405D"/>
    <w:rsid w:val="005842F9"/>
    <w:rsid w:val="00584FA5"/>
    <w:rsid w:val="00585105"/>
    <w:rsid w:val="005852EE"/>
    <w:rsid w:val="00585468"/>
    <w:rsid w:val="005871FC"/>
    <w:rsid w:val="00590A52"/>
    <w:rsid w:val="00590ED5"/>
    <w:rsid w:val="0059156D"/>
    <w:rsid w:val="0059206E"/>
    <w:rsid w:val="00592349"/>
    <w:rsid w:val="0059259B"/>
    <w:rsid w:val="005927BF"/>
    <w:rsid w:val="005949C3"/>
    <w:rsid w:val="00596AC6"/>
    <w:rsid w:val="00596F36"/>
    <w:rsid w:val="0059764D"/>
    <w:rsid w:val="00597DB1"/>
    <w:rsid w:val="00597ED3"/>
    <w:rsid w:val="00597FD8"/>
    <w:rsid w:val="005A3417"/>
    <w:rsid w:val="005A6BCA"/>
    <w:rsid w:val="005A6E1F"/>
    <w:rsid w:val="005A6F5D"/>
    <w:rsid w:val="005B09DA"/>
    <w:rsid w:val="005B10E1"/>
    <w:rsid w:val="005B12D4"/>
    <w:rsid w:val="005B1AAE"/>
    <w:rsid w:val="005B1C53"/>
    <w:rsid w:val="005B3157"/>
    <w:rsid w:val="005B597C"/>
    <w:rsid w:val="005B6F49"/>
    <w:rsid w:val="005B71B0"/>
    <w:rsid w:val="005C1918"/>
    <w:rsid w:val="005C1E15"/>
    <w:rsid w:val="005C354F"/>
    <w:rsid w:val="005C405C"/>
    <w:rsid w:val="005C458F"/>
    <w:rsid w:val="005C4E68"/>
    <w:rsid w:val="005C4FEF"/>
    <w:rsid w:val="005C59E4"/>
    <w:rsid w:val="005C6256"/>
    <w:rsid w:val="005C6A97"/>
    <w:rsid w:val="005C744B"/>
    <w:rsid w:val="005C7A0C"/>
    <w:rsid w:val="005D1527"/>
    <w:rsid w:val="005D21B7"/>
    <w:rsid w:val="005D2918"/>
    <w:rsid w:val="005D301F"/>
    <w:rsid w:val="005D31D3"/>
    <w:rsid w:val="005D33B0"/>
    <w:rsid w:val="005D37DE"/>
    <w:rsid w:val="005D380B"/>
    <w:rsid w:val="005D3E9A"/>
    <w:rsid w:val="005D48BF"/>
    <w:rsid w:val="005D6DB9"/>
    <w:rsid w:val="005D74AC"/>
    <w:rsid w:val="005E17FF"/>
    <w:rsid w:val="005E35D1"/>
    <w:rsid w:val="005E38C7"/>
    <w:rsid w:val="005E4373"/>
    <w:rsid w:val="005E53F1"/>
    <w:rsid w:val="005E6B61"/>
    <w:rsid w:val="005F20FD"/>
    <w:rsid w:val="005F210F"/>
    <w:rsid w:val="005F25C2"/>
    <w:rsid w:val="005F26F4"/>
    <w:rsid w:val="005F273E"/>
    <w:rsid w:val="005F3BAC"/>
    <w:rsid w:val="005F48D0"/>
    <w:rsid w:val="005F4F4C"/>
    <w:rsid w:val="005F5AB7"/>
    <w:rsid w:val="005F6973"/>
    <w:rsid w:val="005F6BBF"/>
    <w:rsid w:val="005F6C1C"/>
    <w:rsid w:val="005F7CBA"/>
    <w:rsid w:val="00600DC9"/>
    <w:rsid w:val="0060119C"/>
    <w:rsid w:val="00601363"/>
    <w:rsid w:val="00601575"/>
    <w:rsid w:val="00601EFE"/>
    <w:rsid w:val="0060256A"/>
    <w:rsid w:val="006028C7"/>
    <w:rsid w:val="00602DF2"/>
    <w:rsid w:val="00603944"/>
    <w:rsid w:val="00603BA4"/>
    <w:rsid w:val="00605EFF"/>
    <w:rsid w:val="00606FB9"/>
    <w:rsid w:val="00611E0D"/>
    <w:rsid w:val="00613617"/>
    <w:rsid w:val="00613828"/>
    <w:rsid w:val="00613A25"/>
    <w:rsid w:val="00613A78"/>
    <w:rsid w:val="006142FD"/>
    <w:rsid w:val="00615326"/>
    <w:rsid w:val="00615D37"/>
    <w:rsid w:val="00615F02"/>
    <w:rsid w:val="0061758C"/>
    <w:rsid w:val="0062070E"/>
    <w:rsid w:val="006211D0"/>
    <w:rsid w:val="006216BB"/>
    <w:rsid w:val="00622CF4"/>
    <w:rsid w:val="0062434C"/>
    <w:rsid w:val="00625C3C"/>
    <w:rsid w:val="00626C97"/>
    <w:rsid w:val="00627DE3"/>
    <w:rsid w:val="00630CF1"/>
    <w:rsid w:val="006312A5"/>
    <w:rsid w:val="006312ED"/>
    <w:rsid w:val="00633F7D"/>
    <w:rsid w:val="00634501"/>
    <w:rsid w:val="006348B4"/>
    <w:rsid w:val="00634F20"/>
    <w:rsid w:val="00635120"/>
    <w:rsid w:val="00637E5F"/>
    <w:rsid w:val="00640C8D"/>
    <w:rsid w:val="006415A8"/>
    <w:rsid w:val="00641AA0"/>
    <w:rsid w:val="006423EA"/>
    <w:rsid w:val="00642A27"/>
    <w:rsid w:val="00642C4C"/>
    <w:rsid w:val="006431C5"/>
    <w:rsid w:val="0064345C"/>
    <w:rsid w:val="00645B3F"/>
    <w:rsid w:val="00645DA9"/>
    <w:rsid w:val="0064652E"/>
    <w:rsid w:val="0064771A"/>
    <w:rsid w:val="00647C13"/>
    <w:rsid w:val="0065009E"/>
    <w:rsid w:val="006505BA"/>
    <w:rsid w:val="006506CA"/>
    <w:rsid w:val="00653DF1"/>
    <w:rsid w:val="006540EB"/>
    <w:rsid w:val="00654923"/>
    <w:rsid w:val="00654B0D"/>
    <w:rsid w:val="00655595"/>
    <w:rsid w:val="00655712"/>
    <w:rsid w:val="00655F01"/>
    <w:rsid w:val="00656A8C"/>
    <w:rsid w:val="00657CAC"/>
    <w:rsid w:val="006609D6"/>
    <w:rsid w:val="00661451"/>
    <w:rsid w:val="00661453"/>
    <w:rsid w:val="00663272"/>
    <w:rsid w:val="00664487"/>
    <w:rsid w:val="006647CA"/>
    <w:rsid w:val="00665B6B"/>
    <w:rsid w:val="00665F83"/>
    <w:rsid w:val="00666793"/>
    <w:rsid w:val="00670245"/>
    <w:rsid w:val="00671043"/>
    <w:rsid w:val="00671583"/>
    <w:rsid w:val="00671A1F"/>
    <w:rsid w:val="0067234B"/>
    <w:rsid w:val="00673069"/>
    <w:rsid w:val="00675328"/>
    <w:rsid w:val="00676043"/>
    <w:rsid w:val="006760E4"/>
    <w:rsid w:val="0067654C"/>
    <w:rsid w:val="00676A84"/>
    <w:rsid w:val="0067766B"/>
    <w:rsid w:val="0067767B"/>
    <w:rsid w:val="00677D1F"/>
    <w:rsid w:val="00680B4A"/>
    <w:rsid w:val="00681733"/>
    <w:rsid w:val="00681A7A"/>
    <w:rsid w:val="00682991"/>
    <w:rsid w:val="00682EF4"/>
    <w:rsid w:val="006836F7"/>
    <w:rsid w:val="00683740"/>
    <w:rsid w:val="00683FCD"/>
    <w:rsid w:val="00684AEB"/>
    <w:rsid w:val="00684E36"/>
    <w:rsid w:val="006851BB"/>
    <w:rsid w:val="00686BBF"/>
    <w:rsid w:val="006905A1"/>
    <w:rsid w:val="00691361"/>
    <w:rsid w:val="006931B4"/>
    <w:rsid w:val="00693B5D"/>
    <w:rsid w:val="006941B5"/>
    <w:rsid w:val="00694674"/>
    <w:rsid w:val="00694B75"/>
    <w:rsid w:val="006955D2"/>
    <w:rsid w:val="0069592A"/>
    <w:rsid w:val="00695C9E"/>
    <w:rsid w:val="00696725"/>
    <w:rsid w:val="00696BF6"/>
    <w:rsid w:val="006978C3"/>
    <w:rsid w:val="00697CEA"/>
    <w:rsid w:val="00697D3C"/>
    <w:rsid w:val="00697DAB"/>
    <w:rsid w:val="006A1309"/>
    <w:rsid w:val="006A2CC0"/>
    <w:rsid w:val="006A2E78"/>
    <w:rsid w:val="006A2F89"/>
    <w:rsid w:val="006A4E24"/>
    <w:rsid w:val="006A5CB0"/>
    <w:rsid w:val="006A708D"/>
    <w:rsid w:val="006B062A"/>
    <w:rsid w:val="006B1A72"/>
    <w:rsid w:val="006B1F74"/>
    <w:rsid w:val="006B2563"/>
    <w:rsid w:val="006B26F8"/>
    <w:rsid w:val="006B40B4"/>
    <w:rsid w:val="006B40B5"/>
    <w:rsid w:val="006B46E4"/>
    <w:rsid w:val="006B4987"/>
    <w:rsid w:val="006B7839"/>
    <w:rsid w:val="006B7F69"/>
    <w:rsid w:val="006C081B"/>
    <w:rsid w:val="006C1367"/>
    <w:rsid w:val="006C1B86"/>
    <w:rsid w:val="006C2DE8"/>
    <w:rsid w:val="006C3406"/>
    <w:rsid w:val="006C595D"/>
    <w:rsid w:val="006C6BFE"/>
    <w:rsid w:val="006C7090"/>
    <w:rsid w:val="006C7276"/>
    <w:rsid w:val="006C7EB0"/>
    <w:rsid w:val="006C7ED9"/>
    <w:rsid w:val="006D0B72"/>
    <w:rsid w:val="006D3533"/>
    <w:rsid w:val="006D4F3E"/>
    <w:rsid w:val="006D6835"/>
    <w:rsid w:val="006D6A49"/>
    <w:rsid w:val="006D7C6A"/>
    <w:rsid w:val="006E036D"/>
    <w:rsid w:val="006E0D79"/>
    <w:rsid w:val="006E2A29"/>
    <w:rsid w:val="006E2CF8"/>
    <w:rsid w:val="006E4C59"/>
    <w:rsid w:val="006E625E"/>
    <w:rsid w:val="006E6CC3"/>
    <w:rsid w:val="006F0759"/>
    <w:rsid w:val="006F0EE8"/>
    <w:rsid w:val="006F1763"/>
    <w:rsid w:val="006F1F52"/>
    <w:rsid w:val="006F210A"/>
    <w:rsid w:val="006F28A2"/>
    <w:rsid w:val="006F2EDE"/>
    <w:rsid w:val="006F404A"/>
    <w:rsid w:val="006F584C"/>
    <w:rsid w:val="006F7621"/>
    <w:rsid w:val="00700F81"/>
    <w:rsid w:val="00701194"/>
    <w:rsid w:val="007013A1"/>
    <w:rsid w:val="0070241B"/>
    <w:rsid w:val="007028C8"/>
    <w:rsid w:val="00702A1D"/>
    <w:rsid w:val="00702AF4"/>
    <w:rsid w:val="007035EA"/>
    <w:rsid w:val="00703D29"/>
    <w:rsid w:val="00705B42"/>
    <w:rsid w:val="00711137"/>
    <w:rsid w:val="007143AC"/>
    <w:rsid w:val="007144A2"/>
    <w:rsid w:val="007149ED"/>
    <w:rsid w:val="007160EF"/>
    <w:rsid w:val="00716E46"/>
    <w:rsid w:val="00717027"/>
    <w:rsid w:val="00717061"/>
    <w:rsid w:val="0071706E"/>
    <w:rsid w:val="007171EE"/>
    <w:rsid w:val="00717315"/>
    <w:rsid w:val="00717AE3"/>
    <w:rsid w:val="00717F61"/>
    <w:rsid w:val="00721B8B"/>
    <w:rsid w:val="0072203E"/>
    <w:rsid w:val="00723462"/>
    <w:rsid w:val="00723633"/>
    <w:rsid w:val="00723F02"/>
    <w:rsid w:val="00725DC8"/>
    <w:rsid w:val="00725ED5"/>
    <w:rsid w:val="00727EB7"/>
    <w:rsid w:val="00731998"/>
    <w:rsid w:val="00731B59"/>
    <w:rsid w:val="00733503"/>
    <w:rsid w:val="007343CF"/>
    <w:rsid w:val="007343E6"/>
    <w:rsid w:val="00734935"/>
    <w:rsid w:val="007349AE"/>
    <w:rsid w:val="00735186"/>
    <w:rsid w:val="007369A7"/>
    <w:rsid w:val="0073751D"/>
    <w:rsid w:val="00737B59"/>
    <w:rsid w:val="00740F2C"/>
    <w:rsid w:val="00741092"/>
    <w:rsid w:val="00741C53"/>
    <w:rsid w:val="007437B6"/>
    <w:rsid w:val="00743D7A"/>
    <w:rsid w:val="00744790"/>
    <w:rsid w:val="007447EF"/>
    <w:rsid w:val="00744D2B"/>
    <w:rsid w:val="00745773"/>
    <w:rsid w:val="00747F41"/>
    <w:rsid w:val="00750032"/>
    <w:rsid w:val="00750041"/>
    <w:rsid w:val="007514E4"/>
    <w:rsid w:val="007515C0"/>
    <w:rsid w:val="007515E7"/>
    <w:rsid w:val="007522CD"/>
    <w:rsid w:val="00752583"/>
    <w:rsid w:val="007528CC"/>
    <w:rsid w:val="00754BE0"/>
    <w:rsid w:val="007560F1"/>
    <w:rsid w:val="00756831"/>
    <w:rsid w:val="007575B9"/>
    <w:rsid w:val="00757A36"/>
    <w:rsid w:val="00757C76"/>
    <w:rsid w:val="007601DD"/>
    <w:rsid w:val="00760633"/>
    <w:rsid w:val="007609D2"/>
    <w:rsid w:val="00760F5E"/>
    <w:rsid w:val="0076109C"/>
    <w:rsid w:val="0076112D"/>
    <w:rsid w:val="00761948"/>
    <w:rsid w:val="00762A30"/>
    <w:rsid w:val="007631EF"/>
    <w:rsid w:val="007640DD"/>
    <w:rsid w:val="0076414E"/>
    <w:rsid w:val="00764746"/>
    <w:rsid w:val="007647FE"/>
    <w:rsid w:val="00764C85"/>
    <w:rsid w:val="007656DC"/>
    <w:rsid w:val="00765BD8"/>
    <w:rsid w:val="00766020"/>
    <w:rsid w:val="0076670D"/>
    <w:rsid w:val="007679EC"/>
    <w:rsid w:val="00771B88"/>
    <w:rsid w:val="00772047"/>
    <w:rsid w:val="00772740"/>
    <w:rsid w:val="007731B3"/>
    <w:rsid w:val="0077322A"/>
    <w:rsid w:val="00773913"/>
    <w:rsid w:val="00774BC8"/>
    <w:rsid w:val="007753D2"/>
    <w:rsid w:val="0077588D"/>
    <w:rsid w:val="00776C75"/>
    <w:rsid w:val="00777617"/>
    <w:rsid w:val="007778D2"/>
    <w:rsid w:val="00780795"/>
    <w:rsid w:val="0078080D"/>
    <w:rsid w:val="00783B82"/>
    <w:rsid w:val="00784613"/>
    <w:rsid w:val="00786141"/>
    <w:rsid w:val="007861A4"/>
    <w:rsid w:val="0078765F"/>
    <w:rsid w:val="0078767D"/>
    <w:rsid w:val="00790014"/>
    <w:rsid w:val="00790BA6"/>
    <w:rsid w:val="00791DEC"/>
    <w:rsid w:val="00792895"/>
    <w:rsid w:val="00792AEE"/>
    <w:rsid w:val="00792E88"/>
    <w:rsid w:val="00792F60"/>
    <w:rsid w:val="0079308A"/>
    <w:rsid w:val="007938E3"/>
    <w:rsid w:val="00793C30"/>
    <w:rsid w:val="00793DC4"/>
    <w:rsid w:val="00793DEB"/>
    <w:rsid w:val="00794AE3"/>
    <w:rsid w:val="00796BB0"/>
    <w:rsid w:val="007A2579"/>
    <w:rsid w:val="007A45B1"/>
    <w:rsid w:val="007A46CB"/>
    <w:rsid w:val="007A4CEC"/>
    <w:rsid w:val="007A4EEE"/>
    <w:rsid w:val="007A5A72"/>
    <w:rsid w:val="007A6CB5"/>
    <w:rsid w:val="007A7BD5"/>
    <w:rsid w:val="007A7C98"/>
    <w:rsid w:val="007B04D5"/>
    <w:rsid w:val="007B090C"/>
    <w:rsid w:val="007B1362"/>
    <w:rsid w:val="007B162C"/>
    <w:rsid w:val="007B360A"/>
    <w:rsid w:val="007B39EE"/>
    <w:rsid w:val="007B4323"/>
    <w:rsid w:val="007B5F4D"/>
    <w:rsid w:val="007B6A44"/>
    <w:rsid w:val="007B6B76"/>
    <w:rsid w:val="007B6F1F"/>
    <w:rsid w:val="007C0498"/>
    <w:rsid w:val="007C1699"/>
    <w:rsid w:val="007C2CA7"/>
    <w:rsid w:val="007C3A0B"/>
    <w:rsid w:val="007C4384"/>
    <w:rsid w:val="007C5040"/>
    <w:rsid w:val="007C5471"/>
    <w:rsid w:val="007C5F55"/>
    <w:rsid w:val="007C68FE"/>
    <w:rsid w:val="007C699E"/>
    <w:rsid w:val="007C6CDF"/>
    <w:rsid w:val="007C7BB8"/>
    <w:rsid w:val="007D0721"/>
    <w:rsid w:val="007D1EB1"/>
    <w:rsid w:val="007D208D"/>
    <w:rsid w:val="007D2FFC"/>
    <w:rsid w:val="007D490B"/>
    <w:rsid w:val="007D68B0"/>
    <w:rsid w:val="007D7191"/>
    <w:rsid w:val="007D78D9"/>
    <w:rsid w:val="007D7AED"/>
    <w:rsid w:val="007E00E8"/>
    <w:rsid w:val="007E1776"/>
    <w:rsid w:val="007E18E1"/>
    <w:rsid w:val="007E3C8A"/>
    <w:rsid w:val="007E3CA4"/>
    <w:rsid w:val="007E4204"/>
    <w:rsid w:val="007E4D6C"/>
    <w:rsid w:val="007E5A26"/>
    <w:rsid w:val="007E5A75"/>
    <w:rsid w:val="007E6764"/>
    <w:rsid w:val="007E67B3"/>
    <w:rsid w:val="007E69A6"/>
    <w:rsid w:val="007F0837"/>
    <w:rsid w:val="007F08FC"/>
    <w:rsid w:val="007F0FD5"/>
    <w:rsid w:val="007F16E9"/>
    <w:rsid w:val="007F180E"/>
    <w:rsid w:val="007F18CE"/>
    <w:rsid w:val="007F1D80"/>
    <w:rsid w:val="007F23FC"/>
    <w:rsid w:val="007F2B50"/>
    <w:rsid w:val="007F2F40"/>
    <w:rsid w:val="007F5D93"/>
    <w:rsid w:val="00800757"/>
    <w:rsid w:val="00801714"/>
    <w:rsid w:val="00802219"/>
    <w:rsid w:val="008022E0"/>
    <w:rsid w:val="0080264B"/>
    <w:rsid w:val="008036BD"/>
    <w:rsid w:val="0080407C"/>
    <w:rsid w:val="00804322"/>
    <w:rsid w:val="0080442F"/>
    <w:rsid w:val="00804FAA"/>
    <w:rsid w:val="008053FA"/>
    <w:rsid w:val="00805A31"/>
    <w:rsid w:val="00806806"/>
    <w:rsid w:val="008072BB"/>
    <w:rsid w:val="00807A3F"/>
    <w:rsid w:val="00807C29"/>
    <w:rsid w:val="0081129B"/>
    <w:rsid w:val="00811E41"/>
    <w:rsid w:val="00811EC0"/>
    <w:rsid w:val="008122B2"/>
    <w:rsid w:val="008143C0"/>
    <w:rsid w:val="0081580A"/>
    <w:rsid w:val="00815C20"/>
    <w:rsid w:val="00816017"/>
    <w:rsid w:val="008166D2"/>
    <w:rsid w:val="0081765C"/>
    <w:rsid w:val="008176FD"/>
    <w:rsid w:val="00817D27"/>
    <w:rsid w:val="0082011B"/>
    <w:rsid w:val="0082113C"/>
    <w:rsid w:val="00821C06"/>
    <w:rsid w:val="0082368F"/>
    <w:rsid w:val="008236F1"/>
    <w:rsid w:val="00824F78"/>
    <w:rsid w:val="00825138"/>
    <w:rsid w:val="0082547C"/>
    <w:rsid w:val="00825626"/>
    <w:rsid w:val="00825E33"/>
    <w:rsid w:val="00826C57"/>
    <w:rsid w:val="00827BB1"/>
    <w:rsid w:val="00827F3E"/>
    <w:rsid w:val="008318BF"/>
    <w:rsid w:val="008338F0"/>
    <w:rsid w:val="00835EF8"/>
    <w:rsid w:val="0083765C"/>
    <w:rsid w:val="0083769D"/>
    <w:rsid w:val="0083792E"/>
    <w:rsid w:val="00840733"/>
    <w:rsid w:val="00840AF2"/>
    <w:rsid w:val="00840D05"/>
    <w:rsid w:val="008415CC"/>
    <w:rsid w:val="0084274F"/>
    <w:rsid w:val="00844D3E"/>
    <w:rsid w:val="0084682B"/>
    <w:rsid w:val="00847542"/>
    <w:rsid w:val="008479D5"/>
    <w:rsid w:val="00847E02"/>
    <w:rsid w:val="00850106"/>
    <w:rsid w:val="008502E3"/>
    <w:rsid w:val="008511C7"/>
    <w:rsid w:val="00851AAA"/>
    <w:rsid w:val="00851D41"/>
    <w:rsid w:val="00851D4F"/>
    <w:rsid w:val="008522AC"/>
    <w:rsid w:val="00854AB4"/>
    <w:rsid w:val="008555E6"/>
    <w:rsid w:val="00855F04"/>
    <w:rsid w:val="008578DD"/>
    <w:rsid w:val="00860B68"/>
    <w:rsid w:val="00861239"/>
    <w:rsid w:val="00861881"/>
    <w:rsid w:val="00861BE5"/>
    <w:rsid w:val="00861FAA"/>
    <w:rsid w:val="00862337"/>
    <w:rsid w:val="00862608"/>
    <w:rsid w:val="00862AC0"/>
    <w:rsid w:val="00862D72"/>
    <w:rsid w:val="008642D1"/>
    <w:rsid w:val="008644FB"/>
    <w:rsid w:val="00864CCA"/>
    <w:rsid w:val="00864E51"/>
    <w:rsid w:val="00865A25"/>
    <w:rsid w:val="00865BBF"/>
    <w:rsid w:val="00865E30"/>
    <w:rsid w:val="0086738C"/>
    <w:rsid w:val="00870CA8"/>
    <w:rsid w:val="00872057"/>
    <w:rsid w:val="008721C5"/>
    <w:rsid w:val="0087314A"/>
    <w:rsid w:val="00873A65"/>
    <w:rsid w:val="00873D25"/>
    <w:rsid w:val="0087476B"/>
    <w:rsid w:val="0087476F"/>
    <w:rsid w:val="00874972"/>
    <w:rsid w:val="00877229"/>
    <w:rsid w:val="00877F5A"/>
    <w:rsid w:val="00880EC1"/>
    <w:rsid w:val="00881D81"/>
    <w:rsid w:val="00881DD9"/>
    <w:rsid w:val="0088234C"/>
    <w:rsid w:val="0088295D"/>
    <w:rsid w:val="00883890"/>
    <w:rsid w:val="008838B5"/>
    <w:rsid w:val="0088491A"/>
    <w:rsid w:val="0088556B"/>
    <w:rsid w:val="00885927"/>
    <w:rsid w:val="00885B3E"/>
    <w:rsid w:val="00885D76"/>
    <w:rsid w:val="008869E2"/>
    <w:rsid w:val="008875EB"/>
    <w:rsid w:val="008906EE"/>
    <w:rsid w:val="008910F2"/>
    <w:rsid w:val="00891351"/>
    <w:rsid w:val="00891AB3"/>
    <w:rsid w:val="008922D7"/>
    <w:rsid w:val="00892995"/>
    <w:rsid w:val="008929BA"/>
    <w:rsid w:val="00892AB7"/>
    <w:rsid w:val="008935FF"/>
    <w:rsid w:val="00893984"/>
    <w:rsid w:val="00893FB2"/>
    <w:rsid w:val="00895456"/>
    <w:rsid w:val="008954E6"/>
    <w:rsid w:val="00895671"/>
    <w:rsid w:val="00895AF3"/>
    <w:rsid w:val="00896DBB"/>
    <w:rsid w:val="00896E43"/>
    <w:rsid w:val="00897771"/>
    <w:rsid w:val="00897E93"/>
    <w:rsid w:val="008A09FB"/>
    <w:rsid w:val="008A0DBE"/>
    <w:rsid w:val="008A1BE6"/>
    <w:rsid w:val="008A1D3D"/>
    <w:rsid w:val="008A1D4B"/>
    <w:rsid w:val="008A2004"/>
    <w:rsid w:val="008A215F"/>
    <w:rsid w:val="008A5C0C"/>
    <w:rsid w:val="008A5C46"/>
    <w:rsid w:val="008A6E40"/>
    <w:rsid w:val="008A7071"/>
    <w:rsid w:val="008A7A88"/>
    <w:rsid w:val="008B0223"/>
    <w:rsid w:val="008B0638"/>
    <w:rsid w:val="008B087A"/>
    <w:rsid w:val="008B0ADE"/>
    <w:rsid w:val="008B1589"/>
    <w:rsid w:val="008B1D15"/>
    <w:rsid w:val="008B2ED8"/>
    <w:rsid w:val="008B3846"/>
    <w:rsid w:val="008B40BC"/>
    <w:rsid w:val="008B41B0"/>
    <w:rsid w:val="008B4514"/>
    <w:rsid w:val="008B4ACB"/>
    <w:rsid w:val="008B54AC"/>
    <w:rsid w:val="008B59E0"/>
    <w:rsid w:val="008B5F81"/>
    <w:rsid w:val="008B6198"/>
    <w:rsid w:val="008B6649"/>
    <w:rsid w:val="008B7466"/>
    <w:rsid w:val="008B75FD"/>
    <w:rsid w:val="008B7897"/>
    <w:rsid w:val="008C0DC6"/>
    <w:rsid w:val="008C0FE5"/>
    <w:rsid w:val="008C2271"/>
    <w:rsid w:val="008C2C11"/>
    <w:rsid w:val="008C2FA3"/>
    <w:rsid w:val="008C4287"/>
    <w:rsid w:val="008C494E"/>
    <w:rsid w:val="008C4B71"/>
    <w:rsid w:val="008C4FC9"/>
    <w:rsid w:val="008C577E"/>
    <w:rsid w:val="008C6F55"/>
    <w:rsid w:val="008C77C8"/>
    <w:rsid w:val="008D0144"/>
    <w:rsid w:val="008D15E5"/>
    <w:rsid w:val="008D2EB0"/>
    <w:rsid w:val="008D3635"/>
    <w:rsid w:val="008D3B11"/>
    <w:rsid w:val="008D4092"/>
    <w:rsid w:val="008D435C"/>
    <w:rsid w:val="008D716C"/>
    <w:rsid w:val="008E1474"/>
    <w:rsid w:val="008E1D44"/>
    <w:rsid w:val="008E4891"/>
    <w:rsid w:val="008E4E22"/>
    <w:rsid w:val="008E4EB7"/>
    <w:rsid w:val="008E4F01"/>
    <w:rsid w:val="008E55BC"/>
    <w:rsid w:val="008E6468"/>
    <w:rsid w:val="008E678C"/>
    <w:rsid w:val="008F011E"/>
    <w:rsid w:val="008F2C15"/>
    <w:rsid w:val="008F3A0C"/>
    <w:rsid w:val="008F3D7F"/>
    <w:rsid w:val="008F3F98"/>
    <w:rsid w:val="008F4570"/>
    <w:rsid w:val="008F4715"/>
    <w:rsid w:val="008F4A60"/>
    <w:rsid w:val="008F51B3"/>
    <w:rsid w:val="008F52A0"/>
    <w:rsid w:val="008F531B"/>
    <w:rsid w:val="008F5897"/>
    <w:rsid w:val="009004EE"/>
    <w:rsid w:val="00901DD2"/>
    <w:rsid w:val="00901E52"/>
    <w:rsid w:val="00903087"/>
    <w:rsid w:val="00903310"/>
    <w:rsid w:val="00903F66"/>
    <w:rsid w:val="0091214A"/>
    <w:rsid w:val="00913E24"/>
    <w:rsid w:val="00914240"/>
    <w:rsid w:val="00914792"/>
    <w:rsid w:val="00914FBA"/>
    <w:rsid w:val="0091584C"/>
    <w:rsid w:val="0091680B"/>
    <w:rsid w:val="0091788B"/>
    <w:rsid w:val="00917D02"/>
    <w:rsid w:val="009201C1"/>
    <w:rsid w:val="00920314"/>
    <w:rsid w:val="00920681"/>
    <w:rsid w:val="00920E63"/>
    <w:rsid w:val="009217A4"/>
    <w:rsid w:val="00922CBA"/>
    <w:rsid w:val="009230F2"/>
    <w:rsid w:val="0092338E"/>
    <w:rsid w:val="00923C97"/>
    <w:rsid w:val="00923CAE"/>
    <w:rsid w:val="00924391"/>
    <w:rsid w:val="00924889"/>
    <w:rsid w:val="009254E6"/>
    <w:rsid w:val="00925916"/>
    <w:rsid w:val="009259C2"/>
    <w:rsid w:val="00925E26"/>
    <w:rsid w:val="00926666"/>
    <w:rsid w:val="00926E9F"/>
    <w:rsid w:val="00927565"/>
    <w:rsid w:val="009279A2"/>
    <w:rsid w:val="009305BC"/>
    <w:rsid w:val="009306A5"/>
    <w:rsid w:val="00930710"/>
    <w:rsid w:val="009307E5"/>
    <w:rsid w:val="009308AC"/>
    <w:rsid w:val="00931090"/>
    <w:rsid w:val="00931541"/>
    <w:rsid w:val="009328E3"/>
    <w:rsid w:val="00932913"/>
    <w:rsid w:val="00932F04"/>
    <w:rsid w:val="0093353A"/>
    <w:rsid w:val="0093408B"/>
    <w:rsid w:val="00934A00"/>
    <w:rsid w:val="00934E99"/>
    <w:rsid w:val="00935CD0"/>
    <w:rsid w:val="00936CC4"/>
    <w:rsid w:val="0094044D"/>
    <w:rsid w:val="009408AE"/>
    <w:rsid w:val="00940F56"/>
    <w:rsid w:val="0094256D"/>
    <w:rsid w:val="0094276B"/>
    <w:rsid w:val="00942939"/>
    <w:rsid w:val="009450D1"/>
    <w:rsid w:val="00945211"/>
    <w:rsid w:val="00946105"/>
    <w:rsid w:val="00946D73"/>
    <w:rsid w:val="00946FF1"/>
    <w:rsid w:val="00947B7D"/>
    <w:rsid w:val="009507E6"/>
    <w:rsid w:val="00951840"/>
    <w:rsid w:val="00951AFF"/>
    <w:rsid w:val="00952351"/>
    <w:rsid w:val="009527C7"/>
    <w:rsid w:val="009535DC"/>
    <w:rsid w:val="009537EE"/>
    <w:rsid w:val="009548FC"/>
    <w:rsid w:val="00954C85"/>
    <w:rsid w:val="00954F64"/>
    <w:rsid w:val="00955915"/>
    <w:rsid w:val="00956248"/>
    <w:rsid w:val="00960255"/>
    <w:rsid w:val="009623B0"/>
    <w:rsid w:val="0096328D"/>
    <w:rsid w:val="009634EF"/>
    <w:rsid w:val="009639C5"/>
    <w:rsid w:val="00964BCD"/>
    <w:rsid w:val="00965DF8"/>
    <w:rsid w:val="00967D52"/>
    <w:rsid w:val="009717BD"/>
    <w:rsid w:val="009724F4"/>
    <w:rsid w:val="0097265A"/>
    <w:rsid w:val="00972BBC"/>
    <w:rsid w:val="00973A3B"/>
    <w:rsid w:val="009760FA"/>
    <w:rsid w:val="009763F0"/>
    <w:rsid w:val="009765A3"/>
    <w:rsid w:val="0097686F"/>
    <w:rsid w:val="00976E37"/>
    <w:rsid w:val="009774E7"/>
    <w:rsid w:val="00980EC5"/>
    <w:rsid w:val="00981655"/>
    <w:rsid w:val="00981B02"/>
    <w:rsid w:val="00981C0C"/>
    <w:rsid w:val="00981CE9"/>
    <w:rsid w:val="0098208D"/>
    <w:rsid w:val="00982A16"/>
    <w:rsid w:val="00982D32"/>
    <w:rsid w:val="00982F44"/>
    <w:rsid w:val="00983F9C"/>
    <w:rsid w:val="00984AD4"/>
    <w:rsid w:val="00985F22"/>
    <w:rsid w:val="009862CA"/>
    <w:rsid w:val="009864EE"/>
    <w:rsid w:val="009901BA"/>
    <w:rsid w:val="009924BD"/>
    <w:rsid w:val="00994377"/>
    <w:rsid w:val="0099504F"/>
    <w:rsid w:val="00995864"/>
    <w:rsid w:val="009959CF"/>
    <w:rsid w:val="00995BD0"/>
    <w:rsid w:val="009976CA"/>
    <w:rsid w:val="009A0C53"/>
    <w:rsid w:val="009A2EE8"/>
    <w:rsid w:val="009A312D"/>
    <w:rsid w:val="009A3B51"/>
    <w:rsid w:val="009A4EB1"/>
    <w:rsid w:val="009A51B2"/>
    <w:rsid w:val="009A63AA"/>
    <w:rsid w:val="009A64F2"/>
    <w:rsid w:val="009A6A63"/>
    <w:rsid w:val="009A7E7C"/>
    <w:rsid w:val="009B01F4"/>
    <w:rsid w:val="009B088A"/>
    <w:rsid w:val="009B0D2F"/>
    <w:rsid w:val="009B14FE"/>
    <w:rsid w:val="009B1A5F"/>
    <w:rsid w:val="009B2111"/>
    <w:rsid w:val="009B21EC"/>
    <w:rsid w:val="009B30E6"/>
    <w:rsid w:val="009B3402"/>
    <w:rsid w:val="009B46C1"/>
    <w:rsid w:val="009B4D0B"/>
    <w:rsid w:val="009B4D62"/>
    <w:rsid w:val="009B4D70"/>
    <w:rsid w:val="009B653E"/>
    <w:rsid w:val="009B6755"/>
    <w:rsid w:val="009B6FD6"/>
    <w:rsid w:val="009B74E7"/>
    <w:rsid w:val="009B75F7"/>
    <w:rsid w:val="009C1866"/>
    <w:rsid w:val="009C1C76"/>
    <w:rsid w:val="009C36C1"/>
    <w:rsid w:val="009C4E64"/>
    <w:rsid w:val="009C52A0"/>
    <w:rsid w:val="009C6143"/>
    <w:rsid w:val="009C6B7D"/>
    <w:rsid w:val="009C6D59"/>
    <w:rsid w:val="009C6E4E"/>
    <w:rsid w:val="009C76EC"/>
    <w:rsid w:val="009C7B4C"/>
    <w:rsid w:val="009D06B6"/>
    <w:rsid w:val="009D1343"/>
    <w:rsid w:val="009D2447"/>
    <w:rsid w:val="009D43E7"/>
    <w:rsid w:val="009D4C2C"/>
    <w:rsid w:val="009D5821"/>
    <w:rsid w:val="009D6811"/>
    <w:rsid w:val="009D6AFD"/>
    <w:rsid w:val="009D6C90"/>
    <w:rsid w:val="009D7824"/>
    <w:rsid w:val="009E06ED"/>
    <w:rsid w:val="009E1D9C"/>
    <w:rsid w:val="009E2526"/>
    <w:rsid w:val="009E4329"/>
    <w:rsid w:val="009E4EFF"/>
    <w:rsid w:val="009E61D7"/>
    <w:rsid w:val="009E6CF8"/>
    <w:rsid w:val="009F056A"/>
    <w:rsid w:val="009F13A0"/>
    <w:rsid w:val="009F2BD6"/>
    <w:rsid w:val="009F2E96"/>
    <w:rsid w:val="009F3141"/>
    <w:rsid w:val="009F4FE0"/>
    <w:rsid w:val="009F59E4"/>
    <w:rsid w:val="009F6DF3"/>
    <w:rsid w:val="009F71BF"/>
    <w:rsid w:val="00A012E0"/>
    <w:rsid w:val="00A01E56"/>
    <w:rsid w:val="00A02C35"/>
    <w:rsid w:val="00A02E52"/>
    <w:rsid w:val="00A02E67"/>
    <w:rsid w:val="00A03110"/>
    <w:rsid w:val="00A03EE1"/>
    <w:rsid w:val="00A04765"/>
    <w:rsid w:val="00A0492F"/>
    <w:rsid w:val="00A05561"/>
    <w:rsid w:val="00A057F8"/>
    <w:rsid w:val="00A05A7A"/>
    <w:rsid w:val="00A05AFD"/>
    <w:rsid w:val="00A06642"/>
    <w:rsid w:val="00A071F7"/>
    <w:rsid w:val="00A07633"/>
    <w:rsid w:val="00A12BBE"/>
    <w:rsid w:val="00A147D0"/>
    <w:rsid w:val="00A15769"/>
    <w:rsid w:val="00A16820"/>
    <w:rsid w:val="00A1717C"/>
    <w:rsid w:val="00A172AF"/>
    <w:rsid w:val="00A17C18"/>
    <w:rsid w:val="00A2055F"/>
    <w:rsid w:val="00A22615"/>
    <w:rsid w:val="00A23301"/>
    <w:rsid w:val="00A23E0B"/>
    <w:rsid w:val="00A24CDA"/>
    <w:rsid w:val="00A26D1C"/>
    <w:rsid w:val="00A26DC6"/>
    <w:rsid w:val="00A31D54"/>
    <w:rsid w:val="00A322AE"/>
    <w:rsid w:val="00A3286B"/>
    <w:rsid w:val="00A3303E"/>
    <w:rsid w:val="00A345AE"/>
    <w:rsid w:val="00A34AA7"/>
    <w:rsid w:val="00A34C35"/>
    <w:rsid w:val="00A34FD4"/>
    <w:rsid w:val="00A35929"/>
    <w:rsid w:val="00A35A26"/>
    <w:rsid w:val="00A35A42"/>
    <w:rsid w:val="00A35BA9"/>
    <w:rsid w:val="00A36080"/>
    <w:rsid w:val="00A40DD3"/>
    <w:rsid w:val="00A41037"/>
    <w:rsid w:val="00A42596"/>
    <w:rsid w:val="00A4303A"/>
    <w:rsid w:val="00A435B9"/>
    <w:rsid w:val="00A43746"/>
    <w:rsid w:val="00A4480F"/>
    <w:rsid w:val="00A451F0"/>
    <w:rsid w:val="00A45406"/>
    <w:rsid w:val="00A4692F"/>
    <w:rsid w:val="00A47AE4"/>
    <w:rsid w:val="00A47DAC"/>
    <w:rsid w:val="00A500DD"/>
    <w:rsid w:val="00A5068B"/>
    <w:rsid w:val="00A51AFE"/>
    <w:rsid w:val="00A54F23"/>
    <w:rsid w:val="00A55524"/>
    <w:rsid w:val="00A56086"/>
    <w:rsid w:val="00A564AC"/>
    <w:rsid w:val="00A57F98"/>
    <w:rsid w:val="00A6048C"/>
    <w:rsid w:val="00A61B6D"/>
    <w:rsid w:val="00A61FE8"/>
    <w:rsid w:val="00A64856"/>
    <w:rsid w:val="00A64EC6"/>
    <w:rsid w:val="00A65260"/>
    <w:rsid w:val="00A658E7"/>
    <w:rsid w:val="00A65E92"/>
    <w:rsid w:val="00A66E18"/>
    <w:rsid w:val="00A66EA8"/>
    <w:rsid w:val="00A673ED"/>
    <w:rsid w:val="00A67B29"/>
    <w:rsid w:val="00A701E8"/>
    <w:rsid w:val="00A7052A"/>
    <w:rsid w:val="00A708DA"/>
    <w:rsid w:val="00A73CE8"/>
    <w:rsid w:val="00A73D20"/>
    <w:rsid w:val="00A76A8C"/>
    <w:rsid w:val="00A76FFC"/>
    <w:rsid w:val="00A81B58"/>
    <w:rsid w:val="00A81D1A"/>
    <w:rsid w:val="00A826D9"/>
    <w:rsid w:val="00A827B5"/>
    <w:rsid w:val="00A835A1"/>
    <w:rsid w:val="00A83BB5"/>
    <w:rsid w:val="00A83D20"/>
    <w:rsid w:val="00A83DD4"/>
    <w:rsid w:val="00A85498"/>
    <w:rsid w:val="00A8580C"/>
    <w:rsid w:val="00A85CBB"/>
    <w:rsid w:val="00A85DE1"/>
    <w:rsid w:val="00A866C6"/>
    <w:rsid w:val="00A874C2"/>
    <w:rsid w:val="00A90ADB"/>
    <w:rsid w:val="00A92613"/>
    <w:rsid w:val="00A94B73"/>
    <w:rsid w:val="00A951D0"/>
    <w:rsid w:val="00A9549D"/>
    <w:rsid w:val="00A9558A"/>
    <w:rsid w:val="00A9585D"/>
    <w:rsid w:val="00A97124"/>
    <w:rsid w:val="00A9728B"/>
    <w:rsid w:val="00A97A9B"/>
    <w:rsid w:val="00AA0D66"/>
    <w:rsid w:val="00AA2A37"/>
    <w:rsid w:val="00AA2B9D"/>
    <w:rsid w:val="00AA2C0D"/>
    <w:rsid w:val="00AA3E62"/>
    <w:rsid w:val="00AA4A40"/>
    <w:rsid w:val="00AA506E"/>
    <w:rsid w:val="00AA6054"/>
    <w:rsid w:val="00AA75E6"/>
    <w:rsid w:val="00AA78E7"/>
    <w:rsid w:val="00AA7E81"/>
    <w:rsid w:val="00AA7F77"/>
    <w:rsid w:val="00AB0562"/>
    <w:rsid w:val="00AB0A8A"/>
    <w:rsid w:val="00AB1BD1"/>
    <w:rsid w:val="00AB1E92"/>
    <w:rsid w:val="00AB245B"/>
    <w:rsid w:val="00AB29EC"/>
    <w:rsid w:val="00AB372A"/>
    <w:rsid w:val="00AB3C51"/>
    <w:rsid w:val="00AB3F78"/>
    <w:rsid w:val="00AB4F66"/>
    <w:rsid w:val="00AB5288"/>
    <w:rsid w:val="00AB64D4"/>
    <w:rsid w:val="00AC25A6"/>
    <w:rsid w:val="00AC33A8"/>
    <w:rsid w:val="00AC3B0E"/>
    <w:rsid w:val="00AC48CC"/>
    <w:rsid w:val="00AC5BC5"/>
    <w:rsid w:val="00AC5D7C"/>
    <w:rsid w:val="00AC64CE"/>
    <w:rsid w:val="00AC6A12"/>
    <w:rsid w:val="00AD0661"/>
    <w:rsid w:val="00AD0A31"/>
    <w:rsid w:val="00AD18AE"/>
    <w:rsid w:val="00AD19CD"/>
    <w:rsid w:val="00AD39FE"/>
    <w:rsid w:val="00AD3EAC"/>
    <w:rsid w:val="00AD4A36"/>
    <w:rsid w:val="00AD5C94"/>
    <w:rsid w:val="00AD6691"/>
    <w:rsid w:val="00AD719D"/>
    <w:rsid w:val="00AE026E"/>
    <w:rsid w:val="00AE1493"/>
    <w:rsid w:val="00AE264E"/>
    <w:rsid w:val="00AE27BD"/>
    <w:rsid w:val="00AE2C30"/>
    <w:rsid w:val="00AE4663"/>
    <w:rsid w:val="00AE5ACA"/>
    <w:rsid w:val="00AE5BC4"/>
    <w:rsid w:val="00AE749A"/>
    <w:rsid w:val="00AF0B77"/>
    <w:rsid w:val="00AF0DB0"/>
    <w:rsid w:val="00AF27E3"/>
    <w:rsid w:val="00AF2D59"/>
    <w:rsid w:val="00AF3390"/>
    <w:rsid w:val="00AF445A"/>
    <w:rsid w:val="00AF4C7C"/>
    <w:rsid w:val="00AF5114"/>
    <w:rsid w:val="00AF5E39"/>
    <w:rsid w:val="00AF623D"/>
    <w:rsid w:val="00AF63DE"/>
    <w:rsid w:val="00AF6A81"/>
    <w:rsid w:val="00AF6B27"/>
    <w:rsid w:val="00AF6E28"/>
    <w:rsid w:val="00AF70CE"/>
    <w:rsid w:val="00AF76BC"/>
    <w:rsid w:val="00AF7C71"/>
    <w:rsid w:val="00B01398"/>
    <w:rsid w:val="00B01AEF"/>
    <w:rsid w:val="00B02416"/>
    <w:rsid w:val="00B02D14"/>
    <w:rsid w:val="00B035EB"/>
    <w:rsid w:val="00B040A1"/>
    <w:rsid w:val="00B04511"/>
    <w:rsid w:val="00B053DD"/>
    <w:rsid w:val="00B05966"/>
    <w:rsid w:val="00B05DB5"/>
    <w:rsid w:val="00B06834"/>
    <w:rsid w:val="00B070E0"/>
    <w:rsid w:val="00B07916"/>
    <w:rsid w:val="00B1079B"/>
    <w:rsid w:val="00B10A35"/>
    <w:rsid w:val="00B10F70"/>
    <w:rsid w:val="00B12FA9"/>
    <w:rsid w:val="00B1301A"/>
    <w:rsid w:val="00B135C7"/>
    <w:rsid w:val="00B1394F"/>
    <w:rsid w:val="00B149CB"/>
    <w:rsid w:val="00B152B9"/>
    <w:rsid w:val="00B15303"/>
    <w:rsid w:val="00B1556F"/>
    <w:rsid w:val="00B15800"/>
    <w:rsid w:val="00B15D58"/>
    <w:rsid w:val="00B15D6F"/>
    <w:rsid w:val="00B164AE"/>
    <w:rsid w:val="00B170E5"/>
    <w:rsid w:val="00B20733"/>
    <w:rsid w:val="00B21364"/>
    <w:rsid w:val="00B21BF3"/>
    <w:rsid w:val="00B22034"/>
    <w:rsid w:val="00B22234"/>
    <w:rsid w:val="00B23385"/>
    <w:rsid w:val="00B237C8"/>
    <w:rsid w:val="00B25BC4"/>
    <w:rsid w:val="00B269FE"/>
    <w:rsid w:val="00B26D1D"/>
    <w:rsid w:val="00B27887"/>
    <w:rsid w:val="00B31AFC"/>
    <w:rsid w:val="00B353C0"/>
    <w:rsid w:val="00B36619"/>
    <w:rsid w:val="00B3694C"/>
    <w:rsid w:val="00B36FA7"/>
    <w:rsid w:val="00B37AE1"/>
    <w:rsid w:val="00B37C71"/>
    <w:rsid w:val="00B410EA"/>
    <w:rsid w:val="00B4193F"/>
    <w:rsid w:val="00B43002"/>
    <w:rsid w:val="00B438D5"/>
    <w:rsid w:val="00B4472D"/>
    <w:rsid w:val="00B44741"/>
    <w:rsid w:val="00B44CCC"/>
    <w:rsid w:val="00B45261"/>
    <w:rsid w:val="00B50BAA"/>
    <w:rsid w:val="00B51881"/>
    <w:rsid w:val="00B51C41"/>
    <w:rsid w:val="00B54BB6"/>
    <w:rsid w:val="00B54C7B"/>
    <w:rsid w:val="00B54CED"/>
    <w:rsid w:val="00B54EAB"/>
    <w:rsid w:val="00B54EDE"/>
    <w:rsid w:val="00B554B5"/>
    <w:rsid w:val="00B5796D"/>
    <w:rsid w:val="00B57D4A"/>
    <w:rsid w:val="00B60698"/>
    <w:rsid w:val="00B60F92"/>
    <w:rsid w:val="00B61017"/>
    <w:rsid w:val="00B61583"/>
    <w:rsid w:val="00B622C5"/>
    <w:rsid w:val="00B626DB"/>
    <w:rsid w:val="00B63512"/>
    <w:rsid w:val="00B640A7"/>
    <w:rsid w:val="00B65625"/>
    <w:rsid w:val="00B65C7B"/>
    <w:rsid w:val="00B662A8"/>
    <w:rsid w:val="00B66830"/>
    <w:rsid w:val="00B66F61"/>
    <w:rsid w:val="00B67515"/>
    <w:rsid w:val="00B67546"/>
    <w:rsid w:val="00B67868"/>
    <w:rsid w:val="00B67921"/>
    <w:rsid w:val="00B71183"/>
    <w:rsid w:val="00B71D7C"/>
    <w:rsid w:val="00B71DBA"/>
    <w:rsid w:val="00B71F61"/>
    <w:rsid w:val="00B72188"/>
    <w:rsid w:val="00B7406F"/>
    <w:rsid w:val="00B75AFD"/>
    <w:rsid w:val="00B770E3"/>
    <w:rsid w:val="00B775C4"/>
    <w:rsid w:val="00B805E9"/>
    <w:rsid w:val="00B8221D"/>
    <w:rsid w:val="00B823CC"/>
    <w:rsid w:val="00B82666"/>
    <w:rsid w:val="00B8276B"/>
    <w:rsid w:val="00B84D6F"/>
    <w:rsid w:val="00B85171"/>
    <w:rsid w:val="00B8538E"/>
    <w:rsid w:val="00B85991"/>
    <w:rsid w:val="00B85B4F"/>
    <w:rsid w:val="00B86D08"/>
    <w:rsid w:val="00B87689"/>
    <w:rsid w:val="00B87B82"/>
    <w:rsid w:val="00B902BB"/>
    <w:rsid w:val="00B904F2"/>
    <w:rsid w:val="00B909CC"/>
    <w:rsid w:val="00B9219D"/>
    <w:rsid w:val="00B93993"/>
    <w:rsid w:val="00B93BB9"/>
    <w:rsid w:val="00B93C56"/>
    <w:rsid w:val="00B949B3"/>
    <w:rsid w:val="00B94FF9"/>
    <w:rsid w:val="00B959B3"/>
    <w:rsid w:val="00B96022"/>
    <w:rsid w:val="00B96690"/>
    <w:rsid w:val="00B97726"/>
    <w:rsid w:val="00BA2168"/>
    <w:rsid w:val="00BA2495"/>
    <w:rsid w:val="00BA2975"/>
    <w:rsid w:val="00BA2B42"/>
    <w:rsid w:val="00BA31CE"/>
    <w:rsid w:val="00BA38F5"/>
    <w:rsid w:val="00BA3E3E"/>
    <w:rsid w:val="00BA42BD"/>
    <w:rsid w:val="00BA51B5"/>
    <w:rsid w:val="00BA5807"/>
    <w:rsid w:val="00BA6881"/>
    <w:rsid w:val="00BA7CDF"/>
    <w:rsid w:val="00BB03B2"/>
    <w:rsid w:val="00BB0859"/>
    <w:rsid w:val="00BB16F1"/>
    <w:rsid w:val="00BB1807"/>
    <w:rsid w:val="00BB1886"/>
    <w:rsid w:val="00BB2F2E"/>
    <w:rsid w:val="00BB31DE"/>
    <w:rsid w:val="00BB335C"/>
    <w:rsid w:val="00BB34D5"/>
    <w:rsid w:val="00BB366F"/>
    <w:rsid w:val="00BB3D73"/>
    <w:rsid w:val="00BB4E52"/>
    <w:rsid w:val="00BB6265"/>
    <w:rsid w:val="00BB6D8F"/>
    <w:rsid w:val="00BC1092"/>
    <w:rsid w:val="00BC11DE"/>
    <w:rsid w:val="00BC3104"/>
    <w:rsid w:val="00BC409A"/>
    <w:rsid w:val="00BC506B"/>
    <w:rsid w:val="00BC5D05"/>
    <w:rsid w:val="00BC6347"/>
    <w:rsid w:val="00BC6DE7"/>
    <w:rsid w:val="00BC6F8C"/>
    <w:rsid w:val="00BC78C2"/>
    <w:rsid w:val="00BC7A0A"/>
    <w:rsid w:val="00BD06A6"/>
    <w:rsid w:val="00BD0BDF"/>
    <w:rsid w:val="00BD2671"/>
    <w:rsid w:val="00BD2FBD"/>
    <w:rsid w:val="00BD3A8A"/>
    <w:rsid w:val="00BD4541"/>
    <w:rsid w:val="00BD73C4"/>
    <w:rsid w:val="00BE072D"/>
    <w:rsid w:val="00BE20AA"/>
    <w:rsid w:val="00BE23C1"/>
    <w:rsid w:val="00BE2F95"/>
    <w:rsid w:val="00BE3E2C"/>
    <w:rsid w:val="00BE51EE"/>
    <w:rsid w:val="00BE697C"/>
    <w:rsid w:val="00BF08FB"/>
    <w:rsid w:val="00BF2843"/>
    <w:rsid w:val="00BF40AB"/>
    <w:rsid w:val="00BF4990"/>
    <w:rsid w:val="00BF54F7"/>
    <w:rsid w:val="00BF59CF"/>
    <w:rsid w:val="00BF6483"/>
    <w:rsid w:val="00BF6CBB"/>
    <w:rsid w:val="00C00395"/>
    <w:rsid w:val="00C01E50"/>
    <w:rsid w:val="00C01F03"/>
    <w:rsid w:val="00C025E3"/>
    <w:rsid w:val="00C031B0"/>
    <w:rsid w:val="00C03472"/>
    <w:rsid w:val="00C037A4"/>
    <w:rsid w:val="00C037A7"/>
    <w:rsid w:val="00C03AAC"/>
    <w:rsid w:val="00C040B4"/>
    <w:rsid w:val="00C04B37"/>
    <w:rsid w:val="00C04CC5"/>
    <w:rsid w:val="00C053F7"/>
    <w:rsid w:val="00C0546B"/>
    <w:rsid w:val="00C06865"/>
    <w:rsid w:val="00C077C1"/>
    <w:rsid w:val="00C1018F"/>
    <w:rsid w:val="00C10B23"/>
    <w:rsid w:val="00C11020"/>
    <w:rsid w:val="00C11563"/>
    <w:rsid w:val="00C1193F"/>
    <w:rsid w:val="00C11B0C"/>
    <w:rsid w:val="00C1299C"/>
    <w:rsid w:val="00C12A19"/>
    <w:rsid w:val="00C14EE0"/>
    <w:rsid w:val="00C1526F"/>
    <w:rsid w:val="00C158B6"/>
    <w:rsid w:val="00C161C8"/>
    <w:rsid w:val="00C16257"/>
    <w:rsid w:val="00C1646F"/>
    <w:rsid w:val="00C20353"/>
    <w:rsid w:val="00C206EC"/>
    <w:rsid w:val="00C20F17"/>
    <w:rsid w:val="00C20F67"/>
    <w:rsid w:val="00C21DAD"/>
    <w:rsid w:val="00C2235D"/>
    <w:rsid w:val="00C22AB5"/>
    <w:rsid w:val="00C2358C"/>
    <w:rsid w:val="00C2440C"/>
    <w:rsid w:val="00C24637"/>
    <w:rsid w:val="00C2515B"/>
    <w:rsid w:val="00C254AD"/>
    <w:rsid w:val="00C26AB3"/>
    <w:rsid w:val="00C30367"/>
    <w:rsid w:val="00C30C8B"/>
    <w:rsid w:val="00C30D40"/>
    <w:rsid w:val="00C30D9B"/>
    <w:rsid w:val="00C316FC"/>
    <w:rsid w:val="00C31D63"/>
    <w:rsid w:val="00C31FC8"/>
    <w:rsid w:val="00C327B1"/>
    <w:rsid w:val="00C35086"/>
    <w:rsid w:val="00C352F3"/>
    <w:rsid w:val="00C35378"/>
    <w:rsid w:val="00C373F0"/>
    <w:rsid w:val="00C37D1F"/>
    <w:rsid w:val="00C4007D"/>
    <w:rsid w:val="00C40128"/>
    <w:rsid w:val="00C40840"/>
    <w:rsid w:val="00C40E94"/>
    <w:rsid w:val="00C41496"/>
    <w:rsid w:val="00C41BB4"/>
    <w:rsid w:val="00C41DEB"/>
    <w:rsid w:val="00C423A3"/>
    <w:rsid w:val="00C43BE8"/>
    <w:rsid w:val="00C43CB5"/>
    <w:rsid w:val="00C44438"/>
    <w:rsid w:val="00C4469A"/>
    <w:rsid w:val="00C448BB"/>
    <w:rsid w:val="00C4497D"/>
    <w:rsid w:val="00C4558B"/>
    <w:rsid w:val="00C46B10"/>
    <w:rsid w:val="00C474EC"/>
    <w:rsid w:val="00C47B8B"/>
    <w:rsid w:val="00C5002F"/>
    <w:rsid w:val="00C520F4"/>
    <w:rsid w:val="00C52C9E"/>
    <w:rsid w:val="00C531AF"/>
    <w:rsid w:val="00C53C05"/>
    <w:rsid w:val="00C55883"/>
    <w:rsid w:val="00C55CF8"/>
    <w:rsid w:val="00C55DCC"/>
    <w:rsid w:val="00C564DE"/>
    <w:rsid w:val="00C577E1"/>
    <w:rsid w:val="00C611A2"/>
    <w:rsid w:val="00C61AED"/>
    <w:rsid w:val="00C62072"/>
    <w:rsid w:val="00C6214D"/>
    <w:rsid w:val="00C62A41"/>
    <w:rsid w:val="00C63263"/>
    <w:rsid w:val="00C6330C"/>
    <w:rsid w:val="00C64736"/>
    <w:rsid w:val="00C64C3A"/>
    <w:rsid w:val="00C64C5D"/>
    <w:rsid w:val="00C65C48"/>
    <w:rsid w:val="00C67165"/>
    <w:rsid w:val="00C67A31"/>
    <w:rsid w:val="00C70023"/>
    <w:rsid w:val="00C712C4"/>
    <w:rsid w:val="00C71C42"/>
    <w:rsid w:val="00C72C36"/>
    <w:rsid w:val="00C72F0F"/>
    <w:rsid w:val="00C7399F"/>
    <w:rsid w:val="00C74248"/>
    <w:rsid w:val="00C74B0A"/>
    <w:rsid w:val="00C75E1E"/>
    <w:rsid w:val="00C769E2"/>
    <w:rsid w:val="00C771A7"/>
    <w:rsid w:val="00C77491"/>
    <w:rsid w:val="00C77B3A"/>
    <w:rsid w:val="00C805FB"/>
    <w:rsid w:val="00C80C0E"/>
    <w:rsid w:val="00C81EB3"/>
    <w:rsid w:val="00C81F07"/>
    <w:rsid w:val="00C81F08"/>
    <w:rsid w:val="00C8230D"/>
    <w:rsid w:val="00C828FD"/>
    <w:rsid w:val="00C82C2F"/>
    <w:rsid w:val="00C82EE1"/>
    <w:rsid w:val="00C82F57"/>
    <w:rsid w:val="00C847AB"/>
    <w:rsid w:val="00C84BF2"/>
    <w:rsid w:val="00C8563C"/>
    <w:rsid w:val="00C85AD0"/>
    <w:rsid w:val="00C86988"/>
    <w:rsid w:val="00C86B30"/>
    <w:rsid w:val="00C90805"/>
    <w:rsid w:val="00C9143D"/>
    <w:rsid w:val="00C921F8"/>
    <w:rsid w:val="00C925A4"/>
    <w:rsid w:val="00C958A3"/>
    <w:rsid w:val="00C95A55"/>
    <w:rsid w:val="00C95BAE"/>
    <w:rsid w:val="00C96267"/>
    <w:rsid w:val="00C96855"/>
    <w:rsid w:val="00C968B8"/>
    <w:rsid w:val="00C975A9"/>
    <w:rsid w:val="00CA0331"/>
    <w:rsid w:val="00CA06AB"/>
    <w:rsid w:val="00CA0A0F"/>
    <w:rsid w:val="00CA2C07"/>
    <w:rsid w:val="00CA2E7D"/>
    <w:rsid w:val="00CA3612"/>
    <w:rsid w:val="00CA46E1"/>
    <w:rsid w:val="00CA4CE2"/>
    <w:rsid w:val="00CA4F65"/>
    <w:rsid w:val="00CA64F2"/>
    <w:rsid w:val="00CA7417"/>
    <w:rsid w:val="00CA79E8"/>
    <w:rsid w:val="00CB049B"/>
    <w:rsid w:val="00CB09E3"/>
    <w:rsid w:val="00CB1889"/>
    <w:rsid w:val="00CB1F7A"/>
    <w:rsid w:val="00CB2532"/>
    <w:rsid w:val="00CB2A3F"/>
    <w:rsid w:val="00CB328B"/>
    <w:rsid w:val="00CB39D4"/>
    <w:rsid w:val="00CB4103"/>
    <w:rsid w:val="00CB5862"/>
    <w:rsid w:val="00CB6094"/>
    <w:rsid w:val="00CB6D62"/>
    <w:rsid w:val="00CB6E6E"/>
    <w:rsid w:val="00CC1C21"/>
    <w:rsid w:val="00CC1EF9"/>
    <w:rsid w:val="00CC4814"/>
    <w:rsid w:val="00CC48C6"/>
    <w:rsid w:val="00CC4ABD"/>
    <w:rsid w:val="00CC5936"/>
    <w:rsid w:val="00CC59DE"/>
    <w:rsid w:val="00CC60C7"/>
    <w:rsid w:val="00CC629E"/>
    <w:rsid w:val="00CD17DC"/>
    <w:rsid w:val="00CD21C3"/>
    <w:rsid w:val="00CD304C"/>
    <w:rsid w:val="00CD3802"/>
    <w:rsid w:val="00CD5389"/>
    <w:rsid w:val="00CD6268"/>
    <w:rsid w:val="00CD66FF"/>
    <w:rsid w:val="00CE0F83"/>
    <w:rsid w:val="00CE108E"/>
    <w:rsid w:val="00CE205A"/>
    <w:rsid w:val="00CE22E9"/>
    <w:rsid w:val="00CE233E"/>
    <w:rsid w:val="00CE298B"/>
    <w:rsid w:val="00CE325F"/>
    <w:rsid w:val="00CE3365"/>
    <w:rsid w:val="00CE364E"/>
    <w:rsid w:val="00CE4339"/>
    <w:rsid w:val="00CE56B5"/>
    <w:rsid w:val="00CE5FD2"/>
    <w:rsid w:val="00CE6076"/>
    <w:rsid w:val="00CE6D2A"/>
    <w:rsid w:val="00CF0089"/>
    <w:rsid w:val="00CF0A14"/>
    <w:rsid w:val="00CF1B61"/>
    <w:rsid w:val="00CF1BBB"/>
    <w:rsid w:val="00CF1F3B"/>
    <w:rsid w:val="00CF256C"/>
    <w:rsid w:val="00CF36C3"/>
    <w:rsid w:val="00CF3C68"/>
    <w:rsid w:val="00CF4495"/>
    <w:rsid w:val="00CF5D6F"/>
    <w:rsid w:val="00CF69F2"/>
    <w:rsid w:val="00D0059A"/>
    <w:rsid w:val="00D007E8"/>
    <w:rsid w:val="00D01F92"/>
    <w:rsid w:val="00D032BC"/>
    <w:rsid w:val="00D03A56"/>
    <w:rsid w:val="00D03DDE"/>
    <w:rsid w:val="00D04789"/>
    <w:rsid w:val="00D04A79"/>
    <w:rsid w:val="00D04AE6"/>
    <w:rsid w:val="00D051F1"/>
    <w:rsid w:val="00D060EC"/>
    <w:rsid w:val="00D064AA"/>
    <w:rsid w:val="00D065B0"/>
    <w:rsid w:val="00D06B96"/>
    <w:rsid w:val="00D06C1D"/>
    <w:rsid w:val="00D06C71"/>
    <w:rsid w:val="00D07F97"/>
    <w:rsid w:val="00D10B9C"/>
    <w:rsid w:val="00D10DEC"/>
    <w:rsid w:val="00D11253"/>
    <w:rsid w:val="00D11BA5"/>
    <w:rsid w:val="00D136A9"/>
    <w:rsid w:val="00D13D6F"/>
    <w:rsid w:val="00D13EFE"/>
    <w:rsid w:val="00D14C98"/>
    <w:rsid w:val="00D15087"/>
    <w:rsid w:val="00D15944"/>
    <w:rsid w:val="00D1610C"/>
    <w:rsid w:val="00D16467"/>
    <w:rsid w:val="00D16668"/>
    <w:rsid w:val="00D176A1"/>
    <w:rsid w:val="00D20680"/>
    <w:rsid w:val="00D21691"/>
    <w:rsid w:val="00D216B4"/>
    <w:rsid w:val="00D21DEE"/>
    <w:rsid w:val="00D222E0"/>
    <w:rsid w:val="00D22AE5"/>
    <w:rsid w:val="00D23034"/>
    <w:rsid w:val="00D23181"/>
    <w:rsid w:val="00D258BD"/>
    <w:rsid w:val="00D27CA6"/>
    <w:rsid w:val="00D3017E"/>
    <w:rsid w:val="00D30281"/>
    <w:rsid w:val="00D303B5"/>
    <w:rsid w:val="00D305AB"/>
    <w:rsid w:val="00D3209E"/>
    <w:rsid w:val="00D335BC"/>
    <w:rsid w:val="00D33768"/>
    <w:rsid w:val="00D3454C"/>
    <w:rsid w:val="00D35F62"/>
    <w:rsid w:val="00D36324"/>
    <w:rsid w:val="00D36E76"/>
    <w:rsid w:val="00D3705B"/>
    <w:rsid w:val="00D37308"/>
    <w:rsid w:val="00D374E7"/>
    <w:rsid w:val="00D37B63"/>
    <w:rsid w:val="00D402F8"/>
    <w:rsid w:val="00D4062A"/>
    <w:rsid w:val="00D408BC"/>
    <w:rsid w:val="00D42AE7"/>
    <w:rsid w:val="00D4330F"/>
    <w:rsid w:val="00D43696"/>
    <w:rsid w:val="00D436BE"/>
    <w:rsid w:val="00D437CA"/>
    <w:rsid w:val="00D43AC9"/>
    <w:rsid w:val="00D43F31"/>
    <w:rsid w:val="00D44789"/>
    <w:rsid w:val="00D4501F"/>
    <w:rsid w:val="00D45460"/>
    <w:rsid w:val="00D45F4C"/>
    <w:rsid w:val="00D469B2"/>
    <w:rsid w:val="00D469BF"/>
    <w:rsid w:val="00D47026"/>
    <w:rsid w:val="00D4770F"/>
    <w:rsid w:val="00D47CC3"/>
    <w:rsid w:val="00D53742"/>
    <w:rsid w:val="00D5397B"/>
    <w:rsid w:val="00D56369"/>
    <w:rsid w:val="00D573C2"/>
    <w:rsid w:val="00D57EFB"/>
    <w:rsid w:val="00D61BF2"/>
    <w:rsid w:val="00D62010"/>
    <w:rsid w:val="00D621A2"/>
    <w:rsid w:val="00D6233B"/>
    <w:rsid w:val="00D63751"/>
    <w:rsid w:val="00D63912"/>
    <w:rsid w:val="00D63B50"/>
    <w:rsid w:val="00D64277"/>
    <w:rsid w:val="00D64AD4"/>
    <w:rsid w:val="00D65B26"/>
    <w:rsid w:val="00D66831"/>
    <w:rsid w:val="00D66FA6"/>
    <w:rsid w:val="00D679D0"/>
    <w:rsid w:val="00D70483"/>
    <w:rsid w:val="00D705B2"/>
    <w:rsid w:val="00D70708"/>
    <w:rsid w:val="00D71F99"/>
    <w:rsid w:val="00D73F37"/>
    <w:rsid w:val="00D74498"/>
    <w:rsid w:val="00D746B2"/>
    <w:rsid w:val="00D74EFB"/>
    <w:rsid w:val="00D75D8C"/>
    <w:rsid w:val="00D778C7"/>
    <w:rsid w:val="00D80043"/>
    <w:rsid w:val="00D80478"/>
    <w:rsid w:val="00D812BC"/>
    <w:rsid w:val="00D812F1"/>
    <w:rsid w:val="00D823B8"/>
    <w:rsid w:val="00D825F1"/>
    <w:rsid w:val="00D8282B"/>
    <w:rsid w:val="00D84F3A"/>
    <w:rsid w:val="00D86557"/>
    <w:rsid w:val="00D902B0"/>
    <w:rsid w:val="00D915C0"/>
    <w:rsid w:val="00D951E2"/>
    <w:rsid w:val="00D954D7"/>
    <w:rsid w:val="00D955A5"/>
    <w:rsid w:val="00D95844"/>
    <w:rsid w:val="00D95C97"/>
    <w:rsid w:val="00D9627F"/>
    <w:rsid w:val="00D97F50"/>
    <w:rsid w:val="00DA11D7"/>
    <w:rsid w:val="00DA1D28"/>
    <w:rsid w:val="00DA31DE"/>
    <w:rsid w:val="00DA3FDC"/>
    <w:rsid w:val="00DA45BE"/>
    <w:rsid w:val="00DA5B6A"/>
    <w:rsid w:val="00DA5C67"/>
    <w:rsid w:val="00DA7132"/>
    <w:rsid w:val="00DB1AC1"/>
    <w:rsid w:val="00DB1EBF"/>
    <w:rsid w:val="00DB2118"/>
    <w:rsid w:val="00DB2318"/>
    <w:rsid w:val="00DB39F4"/>
    <w:rsid w:val="00DB483D"/>
    <w:rsid w:val="00DB4C3F"/>
    <w:rsid w:val="00DB5E80"/>
    <w:rsid w:val="00DB67E9"/>
    <w:rsid w:val="00DB7649"/>
    <w:rsid w:val="00DC0021"/>
    <w:rsid w:val="00DC12F8"/>
    <w:rsid w:val="00DC35D0"/>
    <w:rsid w:val="00DC375D"/>
    <w:rsid w:val="00DC3765"/>
    <w:rsid w:val="00DC5B34"/>
    <w:rsid w:val="00DC5FBE"/>
    <w:rsid w:val="00DC7276"/>
    <w:rsid w:val="00DC733C"/>
    <w:rsid w:val="00DC742E"/>
    <w:rsid w:val="00DC79B6"/>
    <w:rsid w:val="00DD03BB"/>
    <w:rsid w:val="00DD0477"/>
    <w:rsid w:val="00DD0523"/>
    <w:rsid w:val="00DD061F"/>
    <w:rsid w:val="00DD0E64"/>
    <w:rsid w:val="00DD1325"/>
    <w:rsid w:val="00DD14FE"/>
    <w:rsid w:val="00DD1694"/>
    <w:rsid w:val="00DD1FC8"/>
    <w:rsid w:val="00DD29D7"/>
    <w:rsid w:val="00DD33A4"/>
    <w:rsid w:val="00DD54CF"/>
    <w:rsid w:val="00DD671E"/>
    <w:rsid w:val="00DD6C0B"/>
    <w:rsid w:val="00DD6D1E"/>
    <w:rsid w:val="00DD6DEC"/>
    <w:rsid w:val="00DD7A21"/>
    <w:rsid w:val="00DE0430"/>
    <w:rsid w:val="00DE17DE"/>
    <w:rsid w:val="00DE1B5F"/>
    <w:rsid w:val="00DE22F3"/>
    <w:rsid w:val="00DE2A7A"/>
    <w:rsid w:val="00DE3980"/>
    <w:rsid w:val="00DE5785"/>
    <w:rsid w:val="00DE5886"/>
    <w:rsid w:val="00DE5B3D"/>
    <w:rsid w:val="00DE6974"/>
    <w:rsid w:val="00DE6B7D"/>
    <w:rsid w:val="00DE6CF3"/>
    <w:rsid w:val="00DE7723"/>
    <w:rsid w:val="00DE7D26"/>
    <w:rsid w:val="00DF0011"/>
    <w:rsid w:val="00DF0D4C"/>
    <w:rsid w:val="00DF14EB"/>
    <w:rsid w:val="00DF1EC1"/>
    <w:rsid w:val="00DF2CD0"/>
    <w:rsid w:val="00DF4B80"/>
    <w:rsid w:val="00DF5922"/>
    <w:rsid w:val="00DF5DF5"/>
    <w:rsid w:val="00DF656F"/>
    <w:rsid w:val="00DF67E8"/>
    <w:rsid w:val="00DF7408"/>
    <w:rsid w:val="00DF775A"/>
    <w:rsid w:val="00E00022"/>
    <w:rsid w:val="00E009AC"/>
    <w:rsid w:val="00E00A48"/>
    <w:rsid w:val="00E00EFD"/>
    <w:rsid w:val="00E01F80"/>
    <w:rsid w:val="00E028FC"/>
    <w:rsid w:val="00E0398C"/>
    <w:rsid w:val="00E03BFA"/>
    <w:rsid w:val="00E04026"/>
    <w:rsid w:val="00E046E4"/>
    <w:rsid w:val="00E04A73"/>
    <w:rsid w:val="00E04FF7"/>
    <w:rsid w:val="00E05677"/>
    <w:rsid w:val="00E10AFE"/>
    <w:rsid w:val="00E113B6"/>
    <w:rsid w:val="00E11562"/>
    <w:rsid w:val="00E12FE1"/>
    <w:rsid w:val="00E135F2"/>
    <w:rsid w:val="00E140A6"/>
    <w:rsid w:val="00E1443F"/>
    <w:rsid w:val="00E14523"/>
    <w:rsid w:val="00E14537"/>
    <w:rsid w:val="00E164AC"/>
    <w:rsid w:val="00E16A2C"/>
    <w:rsid w:val="00E17260"/>
    <w:rsid w:val="00E17CFC"/>
    <w:rsid w:val="00E20A9F"/>
    <w:rsid w:val="00E21844"/>
    <w:rsid w:val="00E21988"/>
    <w:rsid w:val="00E225F2"/>
    <w:rsid w:val="00E22AFC"/>
    <w:rsid w:val="00E22B3C"/>
    <w:rsid w:val="00E22E9B"/>
    <w:rsid w:val="00E23910"/>
    <w:rsid w:val="00E26327"/>
    <w:rsid w:val="00E26661"/>
    <w:rsid w:val="00E26E16"/>
    <w:rsid w:val="00E27024"/>
    <w:rsid w:val="00E27484"/>
    <w:rsid w:val="00E3006C"/>
    <w:rsid w:val="00E308CE"/>
    <w:rsid w:val="00E319FB"/>
    <w:rsid w:val="00E33343"/>
    <w:rsid w:val="00E33497"/>
    <w:rsid w:val="00E3356E"/>
    <w:rsid w:val="00E348D3"/>
    <w:rsid w:val="00E36520"/>
    <w:rsid w:val="00E36E8E"/>
    <w:rsid w:val="00E3778F"/>
    <w:rsid w:val="00E37B14"/>
    <w:rsid w:val="00E37BB2"/>
    <w:rsid w:val="00E4023C"/>
    <w:rsid w:val="00E407D8"/>
    <w:rsid w:val="00E419FF"/>
    <w:rsid w:val="00E42755"/>
    <w:rsid w:val="00E4374F"/>
    <w:rsid w:val="00E43A39"/>
    <w:rsid w:val="00E44623"/>
    <w:rsid w:val="00E45287"/>
    <w:rsid w:val="00E45B02"/>
    <w:rsid w:val="00E46744"/>
    <w:rsid w:val="00E468C6"/>
    <w:rsid w:val="00E4742D"/>
    <w:rsid w:val="00E50534"/>
    <w:rsid w:val="00E50AE0"/>
    <w:rsid w:val="00E514F4"/>
    <w:rsid w:val="00E51875"/>
    <w:rsid w:val="00E52EAA"/>
    <w:rsid w:val="00E53710"/>
    <w:rsid w:val="00E53877"/>
    <w:rsid w:val="00E5464F"/>
    <w:rsid w:val="00E54D92"/>
    <w:rsid w:val="00E57D9A"/>
    <w:rsid w:val="00E6048E"/>
    <w:rsid w:val="00E61042"/>
    <w:rsid w:val="00E618A1"/>
    <w:rsid w:val="00E6240E"/>
    <w:rsid w:val="00E62D16"/>
    <w:rsid w:val="00E63CF8"/>
    <w:rsid w:val="00E65D88"/>
    <w:rsid w:val="00E677E1"/>
    <w:rsid w:val="00E67C49"/>
    <w:rsid w:val="00E7020B"/>
    <w:rsid w:val="00E702FB"/>
    <w:rsid w:val="00E708C0"/>
    <w:rsid w:val="00E70E00"/>
    <w:rsid w:val="00E727F2"/>
    <w:rsid w:val="00E73191"/>
    <w:rsid w:val="00E73285"/>
    <w:rsid w:val="00E7460F"/>
    <w:rsid w:val="00E753EB"/>
    <w:rsid w:val="00E75A4F"/>
    <w:rsid w:val="00E776EB"/>
    <w:rsid w:val="00E77968"/>
    <w:rsid w:val="00E77FDF"/>
    <w:rsid w:val="00E8059A"/>
    <w:rsid w:val="00E807D0"/>
    <w:rsid w:val="00E8091A"/>
    <w:rsid w:val="00E80C97"/>
    <w:rsid w:val="00E80CF4"/>
    <w:rsid w:val="00E80D29"/>
    <w:rsid w:val="00E81376"/>
    <w:rsid w:val="00E81958"/>
    <w:rsid w:val="00E81D64"/>
    <w:rsid w:val="00E83E3C"/>
    <w:rsid w:val="00E83F10"/>
    <w:rsid w:val="00E8417E"/>
    <w:rsid w:val="00E84DE9"/>
    <w:rsid w:val="00E85589"/>
    <w:rsid w:val="00E85A11"/>
    <w:rsid w:val="00E90121"/>
    <w:rsid w:val="00E91541"/>
    <w:rsid w:val="00E91F42"/>
    <w:rsid w:val="00E93659"/>
    <w:rsid w:val="00E960CC"/>
    <w:rsid w:val="00E9693B"/>
    <w:rsid w:val="00E96B08"/>
    <w:rsid w:val="00E979B4"/>
    <w:rsid w:val="00EA08C5"/>
    <w:rsid w:val="00EA0937"/>
    <w:rsid w:val="00EA25EB"/>
    <w:rsid w:val="00EA6E2C"/>
    <w:rsid w:val="00EA7A24"/>
    <w:rsid w:val="00EB16DA"/>
    <w:rsid w:val="00EB170E"/>
    <w:rsid w:val="00EB18FE"/>
    <w:rsid w:val="00EB2AE1"/>
    <w:rsid w:val="00EB395C"/>
    <w:rsid w:val="00EB3C07"/>
    <w:rsid w:val="00EB3C7A"/>
    <w:rsid w:val="00EB40C8"/>
    <w:rsid w:val="00EB414C"/>
    <w:rsid w:val="00EB46F5"/>
    <w:rsid w:val="00EB4D72"/>
    <w:rsid w:val="00EB4E8F"/>
    <w:rsid w:val="00EB673B"/>
    <w:rsid w:val="00EC0390"/>
    <w:rsid w:val="00EC1219"/>
    <w:rsid w:val="00EC13F2"/>
    <w:rsid w:val="00EC165C"/>
    <w:rsid w:val="00EC2273"/>
    <w:rsid w:val="00EC562E"/>
    <w:rsid w:val="00EC5BDA"/>
    <w:rsid w:val="00EC5DF8"/>
    <w:rsid w:val="00EC6C9E"/>
    <w:rsid w:val="00EC6FCE"/>
    <w:rsid w:val="00EC71BF"/>
    <w:rsid w:val="00ED01C0"/>
    <w:rsid w:val="00ED2C07"/>
    <w:rsid w:val="00ED3045"/>
    <w:rsid w:val="00ED76BA"/>
    <w:rsid w:val="00ED793B"/>
    <w:rsid w:val="00EE03E1"/>
    <w:rsid w:val="00EE0C3D"/>
    <w:rsid w:val="00EE0CF9"/>
    <w:rsid w:val="00EE109D"/>
    <w:rsid w:val="00EE1637"/>
    <w:rsid w:val="00EE164A"/>
    <w:rsid w:val="00EE2B9E"/>
    <w:rsid w:val="00EE2DB1"/>
    <w:rsid w:val="00EE3CFD"/>
    <w:rsid w:val="00EE4996"/>
    <w:rsid w:val="00EE5B6F"/>
    <w:rsid w:val="00EE5F7D"/>
    <w:rsid w:val="00EE6382"/>
    <w:rsid w:val="00EE6A20"/>
    <w:rsid w:val="00EE7A0D"/>
    <w:rsid w:val="00EE7D5B"/>
    <w:rsid w:val="00EF09A2"/>
    <w:rsid w:val="00EF1AF4"/>
    <w:rsid w:val="00EF2556"/>
    <w:rsid w:val="00EF497A"/>
    <w:rsid w:val="00EF6A49"/>
    <w:rsid w:val="00EF6C24"/>
    <w:rsid w:val="00EF7186"/>
    <w:rsid w:val="00EF7A7A"/>
    <w:rsid w:val="00F00785"/>
    <w:rsid w:val="00F0250E"/>
    <w:rsid w:val="00F033D1"/>
    <w:rsid w:val="00F03FAF"/>
    <w:rsid w:val="00F04169"/>
    <w:rsid w:val="00F05206"/>
    <w:rsid w:val="00F05933"/>
    <w:rsid w:val="00F05A2D"/>
    <w:rsid w:val="00F06CDB"/>
    <w:rsid w:val="00F07504"/>
    <w:rsid w:val="00F07620"/>
    <w:rsid w:val="00F10554"/>
    <w:rsid w:val="00F108B8"/>
    <w:rsid w:val="00F116EB"/>
    <w:rsid w:val="00F12620"/>
    <w:rsid w:val="00F1356D"/>
    <w:rsid w:val="00F13DD2"/>
    <w:rsid w:val="00F16668"/>
    <w:rsid w:val="00F16C7A"/>
    <w:rsid w:val="00F205A3"/>
    <w:rsid w:val="00F21893"/>
    <w:rsid w:val="00F2233C"/>
    <w:rsid w:val="00F22756"/>
    <w:rsid w:val="00F2328E"/>
    <w:rsid w:val="00F234B7"/>
    <w:rsid w:val="00F239D5"/>
    <w:rsid w:val="00F2444B"/>
    <w:rsid w:val="00F24E93"/>
    <w:rsid w:val="00F25C78"/>
    <w:rsid w:val="00F25E22"/>
    <w:rsid w:val="00F26840"/>
    <w:rsid w:val="00F26A6D"/>
    <w:rsid w:val="00F31594"/>
    <w:rsid w:val="00F32373"/>
    <w:rsid w:val="00F345DF"/>
    <w:rsid w:val="00F3644A"/>
    <w:rsid w:val="00F36DFE"/>
    <w:rsid w:val="00F36F55"/>
    <w:rsid w:val="00F40550"/>
    <w:rsid w:val="00F40E27"/>
    <w:rsid w:val="00F41490"/>
    <w:rsid w:val="00F428C7"/>
    <w:rsid w:val="00F42A7A"/>
    <w:rsid w:val="00F42D20"/>
    <w:rsid w:val="00F43175"/>
    <w:rsid w:val="00F4330F"/>
    <w:rsid w:val="00F43433"/>
    <w:rsid w:val="00F43540"/>
    <w:rsid w:val="00F44053"/>
    <w:rsid w:val="00F4449E"/>
    <w:rsid w:val="00F46388"/>
    <w:rsid w:val="00F465CE"/>
    <w:rsid w:val="00F47090"/>
    <w:rsid w:val="00F472B2"/>
    <w:rsid w:val="00F502C8"/>
    <w:rsid w:val="00F5032B"/>
    <w:rsid w:val="00F5033F"/>
    <w:rsid w:val="00F50685"/>
    <w:rsid w:val="00F51BC5"/>
    <w:rsid w:val="00F51C85"/>
    <w:rsid w:val="00F52421"/>
    <w:rsid w:val="00F53A20"/>
    <w:rsid w:val="00F542FC"/>
    <w:rsid w:val="00F56431"/>
    <w:rsid w:val="00F5648C"/>
    <w:rsid w:val="00F574DA"/>
    <w:rsid w:val="00F57D6D"/>
    <w:rsid w:val="00F6019A"/>
    <w:rsid w:val="00F602E8"/>
    <w:rsid w:val="00F60D0A"/>
    <w:rsid w:val="00F610DC"/>
    <w:rsid w:val="00F61C69"/>
    <w:rsid w:val="00F6201B"/>
    <w:rsid w:val="00F626F3"/>
    <w:rsid w:val="00F62AE9"/>
    <w:rsid w:val="00F64E56"/>
    <w:rsid w:val="00F6520C"/>
    <w:rsid w:val="00F667E0"/>
    <w:rsid w:val="00F66C86"/>
    <w:rsid w:val="00F66CD4"/>
    <w:rsid w:val="00F676A8"/>
    <w:rsid w:val="00F67815"/>
    <w:rsid w:val="00F70A81"/>
    <w:rsid w:val="00F710E8"/>
    <w:rsid w:val="00F7173E"/>
    <w:rsid w:val="00F717D0"/>
    <w:rsid w:val="00F72255"/>
    <w:rsid w:val="00F725E0"/>
    <w:rsid w:val="00F728DF"/>
    <w:rsid w:val="00F72C39"/>
    <w:rsid w:val="00F74853"/>
    <w:rsid w:val="00F74A05"/>
    <w:rsid w:val="00F74C7A"/>
    <w:rsid w:val="00F7509A"/>
    <w:rsid w:val="00F765DF"/>
    <w:rsid w:val="00F76C3C"/>
    <w:rsid w:val="00F80246"/>
    <w:rsid w:val="00F809B8"/>
    <w:rsid w:val="00F80AD8"/>
    <w:rsid w:val="00F80D6C"/>
    <w:rsid w:val="00F80E05"/>
    <w:rsid w:val="00F8201F"/>
    <w:rsid w:val="00F821EE"/>
    <w:rsid w:val="00F83B27"/>
    <w:rsid w:val="00F83BBA"/>
    <w:rsid w:val="00F84EB6"/>
    <w:rsid w:val="00F8539F"/>
    <w:rsid w:val="00F85453"/>
    <w:rsid w:val="00F8596F"/>
    <w:rsid w:val="00F92224"/>
    <w:rsid w:val="00F93BED"/>
    <w:rsid w:val="00F94D74"/>
    <w:rsid w:val="00F95517"/>
    <w:rsid w:val="00F95829"/>
    <w:rsid w:val="00F958F3"/>
    <w:rsid w:val="00F97166"/>
    <w:rsid w:val="00F977D7"/>
    <w:rsid w:val="00F97B12"/>
    <w:rsid w:val="00FA1115"/>
    <w:rsid w:val="00FA1C3D"/>
    <w:rsid w:val="00FA1CA3"/>
    <w:rsid w:val="00FA3FF1"/>
    <w:rsid w:val="00FA518D"/>
    <w:rsid w:val="00FA7618"/>
    <w:rsid w:val="00FB108B"/>
    <w:rsid w:val="00FB2165"/>
    <w:rsid w:val="00FB3CCD"/>
    <w:rsid w:val="00FB5672"/>
    <w:rsid w:val="00FB6510"/>
    <w:rsid w:val="00FB675D"/>
    <w:rsid w:val="00FB797E"/>
    <w:rsid w:val="00FB7F3B"/>
    <w:rsid w:val="00FC130A"/>
    <w:rsid w:val="00FC156A"/>
    <w:rsid w:val="00FC2324"/>
    <w:rsid w:val="00FC23DB"/>
    <w:rsid w:val="00FC2B53"/>
    <w:rsid w:val="00FC2CC4"/>
    <w:rsid w:val="00FC3382"/>
    <w:rsid w:val="00FC3F41"/>
    <w:rsid w:val="00FC3FE3"/>
    <w:rsid w:val="00FC428A"/>
    <w:rsid w:val="00FC5983"/>
    <w:rsid w:val="00FC5AA6"/>
    <w:rsid w:val="00FC600C"/>
    <w:rsid w:val="00FC60CE"/>
    <w:rsid w:val="00FC6A7D"/>
    <w:rsid w:val="00FC7662"/>
    <w:rsid w:val="00FD3253"/>
    <w:rsid w:val="00FD3FC0"/>
    <w:rsid w:val="00FD43B0"/>
    <w:rsid w:val="00FD4996"/>
    <w:rsid w:val="00FD4AAA"/>
    <w:rsid w:val="00FD4E7A"/>
    <w:rsid w:val="00FD595F"/>
    <w:rsid w:val="00FD76FB"/>
    <w:rsid w:val="00FE01A3"/>
    <w:rsid w:val="00FE24B1"/>
    <w:rsid w:val="00FE2CB3"/>
    <w:rsid w:val="00FE33AA"/>
    <w:rsid w:val="00FE3797"/>
    <w:rsid w:val="00FE3AB9"/>
    <w:rsid w:val="00FE3ABB"/>
    <w:rsid w:val="00FE5777"/>
    <w:rsid w:val="00FE70E8"/>
    <w:rsid w:val="00FE742D"/>
    <w:rsid w:val="00FF0B7F"/>
    <w:rsid w:val="00FF0DB1"/>
    <w:rsid w:val="00FF16FE"/>
    <w:rsid w:val="00FF1B76"/>
    <w:rsid w:val="00FF1FE4"/>
    <w:rsid w:val="00FF268C"/>
    <w:rsid w:val="00FF39AF"/>
    <w:rsid w:val="00FF3AA9"/>
    <w:rsid w:val="00FF40EE"/>
    <w:rsid w:val="00FF6ACD"/>
    <w:rsid w:val="00FF6ADB"/>
    <w:rsid w:val="00FF6C3B"/>
    <w:rsid w:val="00FF7607"/>
    <w:rsid w:val="00FF7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8EFB31"/>
  <w15:chartTrackingRefBased/>
  <w15:docId w15:val="{D2D535D2-7BBD-4041-8905-6FE50B630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68C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4D7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3B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mln.com/practice-and-procedure/tort-claims/article20466.ece" TargetMode="External" /><Relationship Id="rId13" Type="http://schemas.openxmlformats.org/officeDocument/2006/relationships/hyperlink" Target="https://www.482pe539799u3ynseg2hl1r3-wpengine.netdna-ssl.com/wp-content/uploads/2012/11/2012-november-drawing-the-fault-line.pdf" TargetMode="External" /><Relationship Id="rId18" Type="http://schemas.openxmlformats.org/officeDocument/2006/relationships/hyperlink" Target="https://www.hempsons.co.uk/news-articles/foreseeability-and-causation-in-clinical-negligence-cases/" TargetMode="External" /><Relationship Id="rId26" Type="http://schemas.openxmlformats.org/officeDocument/2006/relationships/theme" Target="theme/theme1.xml" /><Relationship Id="rId3" Type="http://schemas.openxmlformats.org/officeDocument/2006/relationships/settings" Target="settings.xml" /><Relationship Id="rId21" Type="http://schemas.openxmlformats.org/officeDocument/2006/relationships/hyperlink" Target="https://www.nadr.co.uk/articles/published/shipping/004CHAPTERFOURTRADE2.pdf" TargetMode="External" /><Relationship Id="rId7" Type="http://schemas.openxmlformats.org/officeDocument/2006/relationships/hyperlink" Target="https://www.jstor.org/stable/1094303?seq=1" TargetMode="External" /><Relationship Id="rId12" Type="http://schemas.openxmlformats.org/officeDocument/2006/relationships/hyperlink" Target="https://www.digitalcommons.imu.edu/cgi/viewcontent.cgi?article=2215%25context=llr&amp;httpsredir=1&amp;referer=" TargetMode="External" /><Relationship Id="rId17" Type="http://schemas.openxmlformats.org/officeDocument/2006/relationships/hyperlink" Target="https://www.etheses.dur.ac.uk/3693/1/3693_1254.pdf?UkUDh:CyT=" TargetMode="External" /><Relationship Id="rId25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hyperlink" Target="https://www.lawbhoomi.com/novus-actus-interveniens" TargetMode="External" /><Relationship Id="rId20" Type="http://schemas.openxmlformats.org/officeDocument/2006/relationships/hyperlink" Target="https://www.onlinelibrary.wiley.com/doi/pdf10.1111/j.1468-2230.1977.tb02429.x" TargetMode="External" /><Relationship Id="rId1" Type="http://schemas.openxmlformats.org/officeDocument/2006/relationships/numbering" Target="numbering.xml" /><Relationship Id="rId6" Type="http://schemas.openxmlformats.org/officeDocument/2006/relationships/hyperlink" Target="https://www.casemine.com/judgement/uk/5a938b3f60d03e5f6b82bc55/amp" TargetMode="External" /><Relationship Id="rId11" Type="http://schemas.openxmlformats.org/officeDocument/2006/relationships/hyperlink" Target="https://www.hallellis.co.uk/causation-loss-damages/" TargetMode="External" /><Relationship Id="rId24" Type="http://schemas.openxmlformats.org/officeDocument/2006/relationships/hyperlink" Target="https://open.spotify.com/episode/5YWxJIqV44YZ2chExHcHku?si=BADkqlDPR2SYvTabjAyh6g" TargetMode="External" /><Relationship Id="rId5" Type="http://schemas.openxmlformats.org/officeDocument/2006/relationships/hyperlink" Target="https://www.newlawjournal.co.uk/docs/default-source/article_files/012_nlj_7804_specialist_negligence_buckley.pdf?sfvrsn=146d16ca_2" TargetMode="External" /><Relationship Id="rId15" Type="http://schemas.openxmlformats.org/officeDocument/2006/relationships/hyperlink" Target="https://www.google.co.uk/amp/s/swarb.co.uk/carslogie-steamship-co-ltd-v-royal-norwegian-government-hl-1952/amp/" TargetMode="External" /><Relationship Id="rId23" Type="http://schemas.openxmlformats.org/officeDocument/2006/relationships/hyperlink" Target="https://wwwsupremecourt.uk/docs/speech-170513.pdf" TargetMode="External" /><Relationship Id="rId10" Type="http://schemas.openxmlformats.org/officeDocument/2006/relationships/hyperlink" Target="https://www.gov.uk/hmrc-internal-manuals/enquiry-manual/em5125" TargetMode="External" /><Relationship Id="rId19" Type="http://schemas.openxmlformats.org/officeDocument/2006/relationships/hyperlink" Target="https://www.oxfordreference.com/view/10.1093/oi/authority.20110803100240793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enablelaw.com/news/expert-opinion/everything-you-need-to-know-about-causation-in-medical-negligence-cases/" TargetMode="External" /><Relationship Id="rId14" Type="http://schemas.openxmlformats.org/officeDocument/2006/relationships/hyperlink" Target="https://www.hoganlovells.com/en/publications/novus-actus-interveniens" TargetMode="External" /><Relationship Id="rId22" Type="http://schemas.openxmlformats.org/officeDocument/2006/relationships/hyperlink" Target="https://www.collinsandlacy.com/application-of-intervening-and-superseding-act-in-negligence-cases-as-a-basis-for-summary-judgement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15519</TotalTime>
  <Pages>21</Pages>
  <Words>3968</Words>
  <Characters>22619</Characters>
  <Application>Microsoft Office Word</Application>
  <DocSecurity>0</DocSecurity>
  <Lines>188</Lines>
  <Paragraphs>53</Paragraphs>
  <ScaleCrop>false</ScaleCrop>
  <Company/>
  <LinksUpToDate>false</LinksUpToDate>
  <CharactersWithSpaces>26534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Curry (1900085)</dc:creator>
  <cp:keywords/>
  <dc:description/>
  <cp:lastModifiedBy>Shauna Curry</cp:lastModifiedBy>
  <cp:revision>2933</cp:revision>
  <dcterms:created xsi:type="dcterms:W3CDTF">2020-10-25T13:49:00Z</dcterms:created>
  <dcterms:modified xsi:type="dcterms:W3CDTF">2020-11-06T23:29:00Z</dcterms:modified>
</cp:coreProperties>
</file>