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0DBAB" w14:textId="77777777" w:rsidR="00F074F8" w:rsidRDefault="00F074F8" w:rsidP="00E27F84">
      <w:pPr>
        <w:spacing w:line="360" w:lineRule="auto"/>
        <w:jc w:val="both"/>
        <w:rPr>
          <w:rFonts w:ascii="Arial" w:hAnsi="Arial" w:cs="Arial"/>
          <w:b/>
          <w:bCs/>
          <w:sz w:val="22"/>
          <w:szCs w:val="22"/>
        </w:rPr>
      </w:pPr>
    </w:p>
    <w:p w14:paraId="193E3595" w14:textId="2A02CFF6" w:rsidR="00494C35" w:rsidRPr="00E27F84" w:rsidRDefault="00E27F84" w:rsidP="00E27F84">
      <w:pPr>
        <w:spacing w:line="360" w:lineRule="auto"/>
        <w:jc w:val="both"/>
        <w:rPr>
          <w:rFonts w:ascii="Arial" w:hAnsi="Arial" w:cs="Arial"/>
          <w:b/>
          <w:bCs/>
          <w:sz w:val="22"/>
          <w:szCs w:val="22"/>
        </w:rPr>
      </w:pPr>
      <w:r>
        <w:rPr>
          <w:noProof/>
        </w:rPr>
        <w:drawing>
          <wp:inline distT="0" distB="0" distL="0" distR="0" wp14:anchorId="2414CD20" wp14:editId="4D0E04E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0D78345A" w14:textId="77777777" w:rsidR="00494C35" w:rsidRPr="00E27F84" w:rsidRDefault="00494C35" w:rsidP="00E27F84">
      <w:pPr>
        <w:spacing w:line="360" w:lineRule="auto"/>
        <w:jc w:val="both"/>
        <w:rPr>
          <w:rFonts w:ascii="Arial" w:hAnsi="Arial" w:cs="Arial"/>
          <w:b/>
          <w:bCs/>
          <w:sz w:val="22"/>
          <w:szCs w:val="22"/>
        </w:rPr>
      </w:pPr>
    </w:p>
    <w:p w14:paraId="7FD51CA1" w14:textId="761820ED" w:rsidR="00E27F84" w:rsidRPr="00E27F84" w:rsidRDefault="00E27F84" w:rsidP="00F074F8">
      <w:pPr>
        <w:spacing w:after="0" w:line="360" w:lineRule="auto"/>
        <w:jc w:val="center"/>
        <w:rPr>
          <w:rFonts w:ascii="Georgia" w:hAnsi="Georgia" w:cs="Arial"/>
          <w:b/>
          <w:bCs/>
          <w:sz w:val="28"/>
          <w:szCs w:val="28"/>
        </w:rPr>
      </w:pPr>
      <w:r w:rsidRPr="00E27F84">
        <w:rPr>
          <w:rFonts w:ascii="Georgia" w:hAnsi="Georgia" w:cs="Arial"/>
          <w:b/>
          <w:bCs/>
          <w:sz w:val="28"/>
          <w:szCs w:val="28"/>
        </w:rPr>
        <w:t>BMHP5016</w:t>
      </w:r>
      <w:r w:rsidRPr="00F074F8">
        <w:rPr>
          <w:rFonts w:ascii="Georgia" w:hAnsi="Georgia" w:cs="Arial"/>
          <w:b/>
          <w:bCs/>
          <w:sz w:val="28"/>
          <w:szCs w:val="28"/>
        </w:rPr>
        <w:t xml:space="preserve">: </w:t>
      </w:r>
      <w:r w:rsidRPr="00E27F84">
        <w:rPr>
          <w:rFonts w:ascii="Georgia" w:hAnsi="Georgia" w:cs="Arial"/>
          <w:b/>
          <w:bCs/>
          <w:sz w:val="28"/>
          <w:szCs w:val="28"/>
        </w:rPr>
        <w:t>Principles of Health and Social Care Practice</w:t>
      </w:r>
    </w:p>
    <w:p w14:paraId="728D43E6" w14:textId="0ADA4E65" w:rsidR="00494C35" w:rsidRPr="00F074F8" w:rsidRDefault="00E27F84" w:rsidP="00F074F8">
      <w:pPr>
        <w:spacing w:after="0" w:line="360" w:lineRule="auto"/>
        <w:jc w:val="center"/>
        <w:rPr>
          <w:rFonts w:ascii="Georgia" w:hAnsi="Georgia" w:cs="Arial"/>
          <w:b/>
          <w:bCs/>
          <w:sz w:val="40"/>
          <w:szCs w:val="40"/>
        </w:rPr>
      </w:pPr>
      <w:r w:rsidRPr="00F074F8">
        <w:rPr>
          <w:rFonts w:ascii="Georgia" w:hAnsi="Georgia" w:cs="Arial"/>
          <w:b/>
          <w:bCs/>
          <w:sz w:val="40"/>
          <w:szCs w:val="40"/>
        </w:rPr>
        <w:t>Component 2</w:t>
      </w:r>
    </w:p>
    <w:p w14:paraId="2E7013F2" w14:textId="77777777" w:rsidR="00F074F8" w:rsidRPr="00494C35" w:rsidRDefault="00F074F8" w:rsidP="00F074F8">
      <w:pPr>
        <w:spacing w:line="360" w:lineRule="auto"/>
        <w:jc w:val="center"/>
        <w:rPr>
          <w:rFonts w:ascii="Arial" w:hAnsi="Arial" w:cs="Arial"/>
          <w:b/>
          <w:bCs/>
          <w:sz w:val="22"/>
          <w:szCs w:val="22"/>
        </w:rPr>
      </w:pPr>
      <w:r w:rsidRPr="00494C35">
        <w:rPr>
          <w:rFonts w:ascii="Arial" w:hAnsi="Arial" w:cs="Arial"/>
          <w:b/>
          <w:bCs/>
          <w:sz w:val="22"/>
          <w:szCs w:val="22"/>
        </w:rPr>
        <w:t>Person-Centred Care and Partnership Working in Community Adult Social Care Services</w:t>
      </w:r>
    </w:p>
    <w:p w14:paraId="3C5F1DA9" w14:textId="77777777" w:rsidR="00494C35" w:rsidRPr="00E27F84" w:rsidRDefault="00494C35" w:rsidP="00E27F84">
      <w:pPr>
        <w:spacing w:line="360" w:lineRule="auto"/>
        <w:rPr>
          <w:rFonts w:ascii="Arial" w:hAnsi="Arial" w:cs="Arial"/>
          <w:b/>
          <w:bCs/>
          <w:sz w:val="22"/>
          <w:szCs w:val="22"/>
        </w:rPr>
      </w:pPr>
    </w:p>
    <w:p w14:paraId="2D1452B3" w14:textId="77777777" w:rsidR="00F074F8" w:rsidRDefault="00F074F8" w:rsidP="00E27F84">
      <w:pPr>
        <w:spacing w:line="360" w:lineRule="auto"/>
        <w:rPr>
          <w:rFonts w:ascii="Arial" w:hAnsi="Arial" w:cs="Arial"/>
          <w:b/>
          <w:bCs/>
          <w:sz w:val="22"/>
          <w:szCs w:val="22"/>
        </w:rPr>
      </w:pPr>
    </w:p>
    <w:p w14:paraId="4BB670F6" w14:textId="77777777" w:rsidR="00F074F8" w:rsidRDefault="00494C35" w:rsidP="00E27F84">
      <w:pPr>
        <w:spacing w:line="360" w:lineRule="auto"/>
        <w:rPr>
          <w:rFonts w:ascii="Arial" w:hAnsi="Arial" w:cs="Arial"/>
          <w:b/>
          <w:bCs/>
          <w:sz w:val="22"/>
          <w:szCs w:val="22"/>
        </w:rPr>
      </w:pPr>
      <w:r w:rsidRPr="00494C35">
        <w:rPr>
          <w:rFonts w:ascii="Arial" w:hAnsi="Arial" w:cs="Arial"/>
          <w:b/>
          <w:bCs/>
          <w:sz w:val="22"/>
          <w:szCs w:val="22"/>
        </w:rPr>
        <w:t xml:space="preserve">Name: Ejiro P. </w:t>
      </w:r>
      <w:proofErr w:type="spellStart"/>
      <w:r w:rsidRPr="00494C35">
        <w:rPr>
          <w:rFonts w:ascii="Arial" w:hAnsi="Arial" w:cs="Arial"/>
          <w:b/>
          <w:bCs/>
          <w:sz w:val="22"/>
          <w:szCs w:val="22"/>
        </w:rPr>
        <w:t>Opiri</w:t>
      </w:r>
      <w:proofErr w:type="spellEnd"/>
      <w:r w:rsidRPr="00494C35">
        <w:rPr>
          <w:rFonts w:ascii="Arial" w:hAnsi="Arial" w:cs="Arial"/>
          <w:b/>
          <w:bCs/>
          <w:sz w:val="22"/>
          <w:szCs w:val="22"/>
        </w:rPr>
        <w:t xml:space="preserve"> Odi</w:t>
      </w:r>
      <w:r w:rsidRPr="00494C35">
        <w:rPr>
          <w:rFonts w:ascii="Arial" w:hAnsi="Arial" w:cs="Arial"/>
          <w:b/>
          <w:bCs/>
          <w:sz w:val="22"/>
          <w:szCs w:val="22"/>
        </w:rPr>
        <w:br/>
        <w:t>Student ID: 2309592</w:t>
      </w:r>
      <w:r w:rsidRPr="00494C35">
        <w:rPr>
          <w:rFonts w:ascii="Arial" w:hAnsi="Arial" w:cs="Arial"/>
          <w:b/>
          <w:bCs/>
          <w:sz w:val="22"/>
          <w:szCs w:val="22"/>
        </w:rPr>
        <w:br/>
      </w:r>
    </w:p>
    <w:p w14:paraId="12D70FED" w14:textId="77777777" w:rsidR="00F074F8" w:rsidRDefault="00F074F8" w:rsidP="00E27F84">
      <w:pPr>
        <w:spacing w:line="360" w:lineRule="auto"/>
        <w:rPr>
          <w:rFonts w:ascii="Arial" w:hAnsi="Arial" w:cs="Arial"/>
          <w:b/>
          <w:bCs/>
          <w:sz w:val="22"/>
          <w:szCs w:val="22"/>
        </w:rPr>
      </w:pPr>
    </w:p>
    <w:p w14:paraId="662056AD" w14:textId="77777777" w:rsidR="00F074F8" w:rsidRDefault="00F074F8" w:rsidP="00E27F84">
      <w:pPr>
        <w:spacing w:line="360" w:lineRule="auto"/>
        <w:rPr>
          <w:rFonts w:ascii="Arial" w:hAnsi="Arial" w:cs="Arial"/>
          <w:b/>
          <w:bCs/>
          <w:sz w:val="22"/>
          <w:szCs w:val="22"/>
        </w:rPr>
      </w:pPr>
    </w:p>
    <w:p w14:paraId="74710F5D" w14:textId="77777777" w:rsidR="00F074F8" w:rsidRDefault="00F074F8" w:rsidP="00E27F84">
      <w:pPr>
        <w:spacing w:line="360" w:lineRule="auto"/>
        <w:rPr>
          <w:rFonts w:ascii="Arial" w:hAnsi="Arial" w:cs="Arial"/>
          <w:b/>
          <w:bCs/>
          <w:sz w:val="22"/>
          <w:szCs w:val="22"/>
        </w:rPr>
      </w:pPr>
    </w:p>
    <w:p w14:paraId="067EC188" w14:textId="77777777" w:rsidR="00F074F8" w:rsidRDefault="00F074F8" w:rsidP="00E27F84">
      <w:pPr>
        <w:spacing w:line="360" w:lineRule="auto"/>
        <w:rPr>
          <w:rFonts w:ascii="Arial" w:hAnsi="Arial" w:cs="Arial"/>
          <w:b/>
          <w:bCs/>
          <w:sz w:val="22"/>
          <w:szCs w:val="22"/>
        </w:rPr>
      </w:pPr>
    </w:p>
    <w:p w14:paraId="0C2A9CE8" w14:textId="77777777" w:rsidR="00F074F8" w:rsidRDefault="00F074F8" w:rsidP="00E27F84">
      <w:pPr>
        <w:spacing w:line="360" w:lineRule="auto"/>
        <w:rPr>
          <w:rFonts w:ascii="Arial" w:hAnsi="Arial" w:cs="Arial"/>
          <w:b/>
          <w:bCs/>
          <w:sz w:val="22"/>
          <w:szCs w:val="22"/>
        </w:rPr>
      </w:pPr>
    </w:p>
    <w:p w14:paraId="6E3F74CF" w14:textId="77777777" w:rsidR="00F074F8" w:rsidRDefault="00F074F8" w:rsidP="00E27F84">
      <w:pPr>
        <w:spacing w:line="360" w:lineRule="auto"/>
        <w:rPr>
          <w:rFonts w:ascii="Arial" w:hAnsi="Arial" w:cs="Arial"/>
          <w:b/>
          <w:bCs/>
          <w:sz w:val="22"/>
          <w:szCs w:val="22"/>
        </w:rPr>
      </w:pPr>
    </w:p>
    <w:p w14:paraId="75B8D879" w14:textId="77777777" w:rsidR="00F074F8" w:rsidRDefault="00F074F8" w:rsidP="00E27F84">
      <w:pPr>
        <w:spacing w:line="360" w:lineRule="auto"/>
        <w:rPr>
          <w:rFonts w:ascii="Arial" w:hAnsi="Arial" w:cs="Arial"/>
          <w:b/>
          <w:bCs/>
          <w:sz w:val="22"/>
          <w:szCs w:val="22"/>
        </w:rPr>
      </w:pPr>
    </w:p>
    <w:p w14:paraId="1F2529F5" w14:textId="77777777" w:rsidR="00F074F8" w:rsidRDefault="00F074F8" w:rsidP="00E27F84">
      <w:pPr>
        <w:spacing w:line="360" w:lineRule="auto"/>
        <w:rPr>
          <w:rFonts w:ascii="Arial" w:hAnsi="Arial" w:cs="Arial"/>
          <w:b/>
          <w:bCs/>
          <w:sz w:val="22"/>
          <w:szCs w:val="22"/>
        </w:rPr>
      </w:pPr>
    </w:p>
    <w:p w14:paraId="4C049612" w14:textId="77777777" w:rsidR="00F074F8" w:rsidRDefault="00F074F8" w:rsidP="00E27F84">
      <w:pPr>
        <w:spacing w:line="360" w:lineRule="auto"/>
        <w:rPr>
          <w:rFonts w:ascii="Arial" w:hAnsi="Arial" w:cs="Arial"/>
          <w:b/>
          <w:bCs/>
          <w:sz w:val="22"/>
          <w:szCs w:val="22"/>
        </w:rPr>
      </w:pPr>
    </w:p>
    <w:p w14:paraId="3C4B2C9E" w14:textId="77777777" w:rsidR="00F074F8" w:rsidRDefault="00F074F8" w:rsidP="00E27F84">
      <w:pPr>
        <w:spacing w:line="360" w:lineRule="auto"/>
        <w:rPr>
          <w:rFonts w:ascii="Arial" w:hAnsi="Arial" w:cs="Arial"/>
          <w:b/>
          <w:bCs/>
          <w:sz w:val="22"/>
          <w:szCs w:val="22"/>
        </w:rPr>
      </w:pPr>
    </w:p>
    <w:p w14:paraId="0AC1B10C" w14:textId="77777777" w:rsidR="00F074F8" w:rsidRDefault="00F074F8" w:rsidP="00E27F84">
      <w:pPr>
        <w:spacing w:line="360" w:lineRule="auto"/>
        <w:rPr>
          <w:rFonts w:ascii="Arial" w:hAnsi="Arial" w:cs="Arial"/>
          <w:b/>
          <w:bCs/>
          <w:sz w:val="22"/>
          <w:szCs w:val="22"/>
        </w:rPr>
      </w:pPr>
    </w:p>
    <w:p w14:paraId="176DBB05" w14:textId="77777777" w:rsidR="00F074F8" w:rsidRDefault="00F074F8" w:rsidP="00E27F84">
      <w:pPr>
        <w:spacing w:line="360" w:lineRule="auto"/>
        <w:rPr>
          <w:rFonts w:ascii="Arial" w:hAnsi="Arial" w:cs="Arial"/>
          <w:b/>
          <w:bCs/>
          <w:sz w:val="22"/>
          <w:szCs w:val="22"/>
        </w:rPr>
      </w:pPr>
    </w:p>
    <w:p w14:paraId="74DAA8D0" w14:textId="5559A25C" w:rsidR="00494C35" w:rsidRPr="00494C35" w:rsidRDefault="00494C35" w:rsidP="00E27F84">
      <w:pPr>
        <w:spacing w:line="360" w:lineRule="auto"/>
        <w:rPr>
          <w:rFonts w:ascii="Arial" w:hAnsi="Arial" w:cs="Arial"/>
          <w:b/>
          <w:bCs/>
          <w:sz w:val="22"/>
          <w:szCs w:val="22"/>
        </w:rPr>
      </w:pPr>
      <w:r w:rsidRPr="00494C35">
        <w:rPr>
          <w:rFonts w:ascii="Arial" w:hAnsi="Arial" w:cs="Arial"/>
          <w:b/>
          <w:bCs/>
          <w:sz w:val="22"/>
          <w:szCs w:val="22"/>
        </w:rPr>
        <w:t>Word Count:</w:t>
      </w:r>
      <w:r w:rsidRPr="00E27F84">
        <w:rPr>
          <w:rFonts w:ascii="Arial" w:hAnsi="Arial" w:cs="Arial"/>
          <w:b/>
          <w:bCs/>
          <w:sz w:val="22"/>
          <w:szCs w:val="22"/>
        </w:rPr>
        <w:t xml:space="preserve"> </w:t>
      </w:r>
      <w:r w:rsidR="00C83E4F">
        <w:rPr>
          <w:rFonts w:ascii="Arial" w:hAnsi="Arial" w:cs="Arial"/>
          <w:b/>
          <w:bCs/>
          <w:sz w:val="22"/>
          <w:szCs w:val="22"/>
        </w:rPr>
        <w:t>2102</w:t>
      </w:r>
    </w:p>
    <w:sdt>
      <w:sdtPr>
        <w:rPr>
          <w:rFonts w:ascii="Arial" w:hAnsi="Arial" w:cs="Arial"/>
          <w:b/>
          <w:bCs/>
          <w:color w:val="auto"/>
          <w:sz w:val="28"/>
          <w:szCs w:val="28"/>
          <w:u w:val="single"/>
        </w:rPr>
        <w:id w:val="1338737522"/>
        <w:docPartObj>
          <w:docPartGallery w:val="Table of Contents"/>
          <w:docPartUnique/>
        </w:docPartObj>
      </w:sdtPr>
      <w:sdtEndPr>
        <w:rPr>
          <w:rFonts w:eastAsiaTheme="minorHAnsi"/>
          <w:noProof/>
          <w:sz w:val="22"/>
          <w:szCs w:val="22"/>
          <w:u w:val="none"/>
          <w:lang w:val="en-GB"/>
          <w14:ligatures w14:val="standardContextual"/>
        </w:rPr>
      </w:sdtEndPr>
      <w:sdtContent>
        <w:p w14:paraId="5A7743C0" w14:textId="2BD898E9" w:rsidR="00C83E4F" w:rsidRPr="00C83E4F" w:rsidRDefault="00C83E4F" w:rsidP="00C83E4F">
          <w:pPr>
            <w:pStyle w:val="TOCHeading"/>
            <w:spacing w:line="360" w:lineRule="auto"/>
            <w:rPr>
              <w:rFonts w:ascii="Arial" w:hAnsi="Arial" w:cs="Arial"/>
              <w:b/>
              <w:bCs/>
              <w:color w:val="auto"/>
              <w:sz w:val="28"/>
              <w:szCs w:val="28"/>
              <w:u w:val="single"/>
            </w:rPr>
          </w:pPr>
          <w:r w:rsidRPr="00C83E4F">
            <w:rPr>
              <w:rFonts w:ascii="Arial" w:hAnsi="Arial" w:cs="Arial"/>
              <w:b/>
              <w:bCs/>
              <w:color w:val="auto"/>
              <w:sz w:val="28"/>
              <w:szCs w:val="28"/>
              <w:u w:val="single"/>
            </w:rPr>
            <w:t>Table of Contents</w:t>
          </w:r>
        </w:p>
        <w:p w14:paraId="221DE4F9" w14:textId="1CFDCCC0" w:rsidR="00C83E4F" w:rsidRPr="00C83E4F" w:rsidRDefault="00C83E4F" w:rsidP="00C83E4F">
          <w:pPr>
            <w:pStyle w:val="TOC1"/>
            <w:tabs>
              <w:tab w:val="right" w:leader="dot" w:pos="9016"/>
            </w:tabs>
            <w:spacing w:line="360" w:lineRule="auto"/>
            <w:rPr>
              <w:rFonts w:ascii="Arial" w:hAnsi="Arial" w:cs="Arial"/>
              <w:noProof/>
              <w:sz w:val="22"/>
              <w:szCs w:val="22"/>
            </w:rPr>
          </w:pPr>
          <w:r w:rsidRPr="00C83E4F">
            <w:rPr>
              <w:rFonts w:ascii="Arial" w:hAnsi="Arial" w:cs="Arial"/>
              <w:sz w:val="22"/>
              <w:szCs w:val="22"/>
            </w:rPr>
            <w:fldChar w:fldCharType="begin"/>
          </w:r>
          <w:r w:rsidRPr="00C83E4F">
            <w:rPr>
              <w:rFonts w:ascii="Arial" w:hAnsi="Arial" w:cs="Arial"/>
              <w:sz w:val="22"/>
              <w:szCs w:val="22"/>
            </w:rPr>
            <w:instrText xml:space="preserve"> TOC \o "1-3" \h \z \u </w:instrText>
          </w:r>
          <w:r w:rsidRPr="00C83E4F">
            <w:rPr>
              <w:rFonts w:ascii="Arial" w:hAnsi="Arial" w:cs="Arial"/>
              <w:sz w:val="22"/>
              <w:szCs w:val="22"/>
            </w:rPr>
            <w:fldChar w:fldCharType="separate"/>
          </w:r>
          <w:hyperlink w:anchor="_Toc214195076" w:history="1">
            <w:r w:rsidRPr="00C83E4F">
              <w:rPr>
                <w:rStyle w:val="Hyperlink"/>
                <w:rFonts w:ascii="Arial" w:hAnsi="Arial" w:cs="Arial"/>
                <w:noProof/>
                <w:color w:val="auto"/>
                <w:sz w:val="22"/>
                <w:szCs w:val="22"/>
              </w:rPr>
              <w:t>Abstract</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_Toc214195076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3</w:t>
            </w:r>
            <w:r w:rsidRPr="00C83E4F">
              <w:rPr>
                <w:rFonts w:ascii="Arial" w:hAnsi="Arial" w:cs="Arial"/>
                <w:noProof/>
                <w:webHidden/>
                <w:sz w:val="22"/>
                <w:szCs w:val="22"/>
              </w:rPr>
              <w:fldChar w:fldCharType="end"/>
            </w:r>
          </w:hyperlink>
        </w:p>
        <w:p w14:paraId="6FE5E232" w14:textId="7B5BFCF1"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77" w:history="1">
            <w:r w:rsidRPr="00C83E4F">
              <w:rPr>
                <w:rStyle w:val="Hyperlink"/>
                <w:rFonts w:ascii="Arial" w:hAnsi="Arial" w:cs="Arial"/>
                <w:noProof/>
                <w:color w:val="auto"/>
                <w:sz w:val="22"/>
                <w:szCs w:val="22"/>
              </w:rPr>
              <w:t>Introduction</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_Toc214195077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4</w:t>
            </w:r>
            <w:r w:rsidRPr="00C83E4F">
              <w:rPr>
                <w:rFonts w:ascii="Arial" w:hAnsi="Arial" w:cs="Arial"/>
                <w:noProof/>
                <w:webHidden/>
                <w:sz w:val="22"/>
                <w:szCs w:val="22"/>
              </w:rPr>
              <w:fldChar w:fldCharType="end"/>
            </w:r>
          </w:hyperlink>
        </w:p>
        <w:p w14:paraId="61238BC7" w14:textId="0D3572A4"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78" w:history="1">
            <w:r w:rsidRPr="00C83E4F">
              <w:rPr>
                <w:rStyle w:val="Hyperlink"/>
                <w:rFonts w:ascii="Arial" w:hAnsi="Arial" w:cs="Arial"/>
                <w:noProof/>
                <w:color w:val="auto"/>
                <w:sz w:val="22"/>
                <w:szCs w:val="22"/>
              </w:rPr>
              <w:t>Defining Person-Centred Care: Benefits and Limitations</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_Toc214195078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4</w:t>
            </w:r>
            <w:r w:rsidRPr="00C83E4F">
              <w:rPr>
                <w:rFonts w:ascii="Arial" w:hAnsi="Arial" w:cs="Arial"/>
                <w:noProof/>
                <w:webHidden/>
                <w:sz w:val="22"/>
                <w:szCs w:val="22"/>
              </w:rPr>
              <w:fldChar w:fldCharType="end"/>
            </w:r>
          </w:hyperlink>
        </w:p>
        <w:p w14:paraId="2BB635A0" w14:textId="63D98585"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79" w:history="1">
            <w:r w:rsidRPr="00C83E4F">
              <w:rPr>
                <w:rStyle w:val="Hyperlink"/>
                <w:rFonts w:ascii="Arial" w:hAnsi="Arial" w:cs="Arial"/>
                <w:noProof/>
                <w:color w:val="auto"/>
                <w:sz w:val="22"/>
                <w:szCs w:val="22"/>
              </w:rPr>
              <w:t>Theoretical Frameworks Underpinning PCC</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_Toc214195079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5</w:t>
            </w:r>
            <w:r w:rsidRPr="00C83E4F">
              <w:rPr>
                <w:rFonts w:ascii="Arial" w:hAnsi="Arial" w:cs="Arial"/>
                <w:noProof/>
                <w:webHidden/>
                <w:sz w:val="22"/>
                <w:szCs w:val="22"/>
              </w:rPr>
              <w:fldChar w:fldCharType="end"/>
            </w:r>
          </w:hyperlink>
        </w:p>
        <w:p w14:paraId="0833F6EC" w14:textId="107CCD78" w:rsidR="00C83E4F" w:rsidRPr="00C83E4F" w:rsidRDefault="00C83E4F" w:rsidP="00C83E4F">
          <w:pPr>
            <w:pStyle w:val="TOC2"/>
            <w:tabs>
              <w:tab w:val="right" w:leader="dot" w:pos="9016"/>
            </w:tabs>
            <w:spacing w:line="360" w:lineRule="auto"/>
            <w:rPr>
              <w:rFonts w:ascii="Arial" w:hAnsi="Arial" w:cs="Arial"/>
              <w:noProof/>
              <w:sz w:val="22"/>
              <w:szCs w:val="22"/>
            </w:rPr>
          </w:pPr>
          <w:hyperlink w:anchor="_Toc214195080" w:history="1">
            <w:r w:rsidRPr="00C83E4F">
              <w:rPr>
                <w:rStyle w:val="Hyperlink"/>
                <w:rFonts w:ascii="Arial" w:hAnsi="Arial" w:cs="Arial"/>
                <w:noProof/>
                <w:color w:val="auto"/>
                <w:sz w:val="22"/>
                <w:szCs w:val="22"/>
              </w:rPr>
              <w:t>Maslow’s Hierarchy of Needs</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_Toc214195080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5</w:t>
            </w:r>
            <w:r w:rsidRPr="00C83E4F">
              <w:rPr>
                <w:rFonts w:ascii="Arial" w:hAnsi="Arial" w:cs="Arial"/>
                <w:noProof/>
                <w:webHidden/>
                <w:sz w:val="22"/>
                <w:szCs w:val="22"/>
              </w:rPr>
              <w:fldChar w:fldCharType="end"/>
            </w:r>
          </w:hyperlink>
        </w:p>
        <w:p w14:paraId="4C946D43" w14:textId="09BC00C7"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1" w:history="1">
            <w:r w:rsidRPr="00C83E4F">
              <w:rPr>
                <w:rStyle w:val="Hyperlink"/>
                <w:rFonts w:ascii="Arial" w:hAnsi="Arial" w:cs="Arial"/>
                <w:noProof/>
                <w:color w:val="auto"/>
                <w:sz w:val="22"/>
                <w:szCs w:val="22"/>
              </w:rPr>
              <w:t>Ethical Fundamentals in PCC and PW</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_Toc214195081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6</w:t>
            </w:r>
            <w:r w:rsidRPr="00C83E4F">
              <w:rPr>
                <w:rFonts w:ascii="Arial" w:hAnsi="Arial" w:cs="Arial"/>
                <w:noProof/>
                <w:webHidden/>
                <w:sz w:val="22"/>
                <w:szCs w:val="22"/>
              </w:rPr>
              <w:fldChar w:fldCharType="end"/>
            </w:r>
          </w:hyperlink>
        </w:p>
        <w:p w14:paraId="75307FA6" w14:textId="3A5B43B6"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2" w:history="1">
            <w:r w:rsidRPr="00C83E4F">
              <w:rPr>
                <w:rStyle w:val="Hyperlink"/>
                <w:rFonts w:ascii="Arial" w:hAnsi="Arial" w:cs="Arial"/>
                <w:noProof/>
                <w:color w:val="auto"/>
                <w:sz w:val="22"/>
                <w:szCs w:val="22"/>
              </w:rPr>
              <w:t>Evaluation of Partnership Working</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_Toc214195082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7</w:t>
            </w:r>
            <w:r w:rsidRPr="00C83E4F">
              <w:rPr>
                <w:rFonts w:ascii="Arial" w:hAnsi="Arial" w:cs="Arial"/>
                <w:noProof/>
                <w:webHidden/>
                <w:sz w:val="22"/>
                <w:szCs w:val="22"/>
              </w:rPr>
              <w:fldChar w:fldCharType="end"/>
            </w:r>
          </w:hyperlink>
        </w:p>
        <w:p w14:paraId="609DFB1D" w14:textId="1DCDB78C"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3" w:history="1">
            <w:r w:rsidRPr="00C83E4F">
              <w:rPr>
                <w:rStyle w:val="Hyperlink"/>
                <w:rFonts w:ascii="Arial" w:hAnsi="Arial" w:cs="Arial"/>
                <w:noProof/>
                <w:color w:val="auto"/>
                <w:sz w:val="22"/>
                <w:szCs w:val="22"/>
              </w:rPr>
              <w:t>Policy and Legislation</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_Toc214195083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8</w:t>
            </w:r>
            <w:r w:rsidRPr="00C83E4F">
              <w:rPr>
                <w:rFonts w:ascii="Arial" w:hAnsi="Arial" w:cs="Arial"/>
                <w:noProof/>
                <w:webHidden/>
                <w:sz w:val="22"/>
                <w:szCs w:val="22"/>
              </w:rPr>
              <w:fldChar w:fldCharType="end"/>
            </w:r>
          </w:hyperlink>
        </w:p>
        <w:p w14:paraId="27B77276" w14:textId="48339E1C"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4" w:history="1">
            <w:r w:rsidRPr="00C83E4F">
              <w:rPr>
                <w:rStyle w:val="Hyperlink"/>
                <w:rFonts w:ascii="Arial" w:hAnsi="Arial" w:cs="Arial"/>
                <w:noProof/>
                <w:color w:val="auto"/>
                <w:sz w:val="22"/>
                <w:szCs w:val="22"/>
              </w:rPr>
              <w:t>Recommendations</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_Toc214195084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8</w:t>
            </w:r>
            <w:r w:rsidRPr="00C83E4F">
              <w:rPr>
                <w:rFonts w:ascii="Arial" w:hAnsi="Arial" w:cs="Arial"/>
                <w:noProof/>
                <w:webHidden/>
                <w:sz w:val="22"/>
                <w:szCs w:val="22"/>
              </w:rPr>
              <w:fldChar w:fldCharType="end"/>
            </w:r>
          </w:hyperlink>
        </w:p>
        <w:p w14:paraId="43AED410" w14:textId="259875BF"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5" w:history="1">
            <w:r w:rsidRPr="00C83E4F">
              <w:rPr>
                <w:rStyle w:val="Hyperlink"/>
                <w:rFonts w:ascii="Arial" w:hAnsi="Arial" w:cs="Arial"/>
                <w:noProof/>
                <w:color w:val="auto"/>
                <w:sz w:val="22"/>
                <w:szCs w:val="22"/>
              </w:rPr>
              <w:t>Conclusion</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_Toc214195085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9</w:t>
            </w:r>
            <w:r w:rsidRPr="00C83E4F">
              <w:rPr>
                <w:rFonts w:ascii="Arial" w:hAnsi="Arial" w:cs="Arial"/>
                <w:noProof/>
                <w:webHidden/>
                <w:sz w:val="22"/>
                <w:szCs w:val="22"/>
              </w:rPr>
              <w:fldChar w:fldCharType="end"/>
            </w:r>
          </w:hyperlink>
        </w:p>
        <w:p w14:paraId="250A3052" w14:textId="7DFAE2B5" w:rsidR="00C83E4F" w:rsidRPr="00C83E4F" w:rsidRDefault="00C83E4F" w:rsidP="00C83E4F">
          <w:pPr>
            <w:pStyle w:val="TOC1"/>
            <w:tabs>
              <w:tab w:val="right" w:leader="dot" w:pos="9016"/>
            </w:tabs>
            <w:spacing w:line="360" w:lineRule="auto"/>
            <w:rPr>
              <w:rFonts w:ascii="Arial" w:hAnsi="Arial" w:cs="Arial"/>
              <w:noProof/>
              <w:sz w:val="22"/>
              <w:szCs w:val="22"/>
            </w:rPr>
          </w:pPr>
          <w:hyperlink w:anchor="_Toc214195086" w:history="1">
            <w:r w:rsidRPr="00C83E4F">
              <w:rPr>
                <w:rStyle w:val="Hyperlink"/>
                <w:rFonts w:ascii="Arial" w:hAnsi="Arial" w:cs="Arial"/>
                <w:noProof/>
                <w:color w:val="auto"/>
                <w:sz w:val="22"/>
                <w:szCs w:val="22"/>
              </w:rPr>
              <w:t>References</w:t>
            </w:r>
            <w:r w:rsidRPr="00C83E4F">
              <w:rPr>
                <w:rFonts w:ascii="Arial" w:hAnsi="Arial" w:cs="Arial"/>
                <w:noProof/>
                <w:webHidden/>
                <w:sz w:val="22"/>
                <w:szCs w:val="22"/>
              </w:rPr>
              <w:tab/>
            </w:r>
            <w:r w:rsidRPr="00C83E4F">
              <w:rPr>
                <w:rFonts w:ascii="Arial" w:hAnsi="Arial" w:cs="Arial"/>
                <w:noProof/>
                <w:webHidden/>
                <w:sz w:val="22"/>
                <w:szCs w:val="22"/>
              </w:rPr>
              <w:fldChar w:fldCharType="begin"/>
            </w:r>
            <w:r w:rsidRPr="00C83E4F">
              <w:rPr>
                <w:rFonts w:ascii="Arial" w:hAnsi="Arial" w:cs="Arial"/>
                <w:noProof/>
                <w:webHidden/>
                <w:sz w:val="22"/>
                <w:szCs w:val="22"/>
              </w:rPr>
              <w:instrText xml:space="preserve"> PAGEREF _Toc214195086 \h </w:instrText>
            </w:r>
            <w:r w:rsidRPr="00C83E4F">
              <w:rPr>
                <w:rFonts w:ascii="Arial" w:hAnsi="Arial" w:cs="Arial"/>
                <w:noProof/>
                <w:webHidden/>
                <w:sz w:val="22"/>
                <w:szCs w:val="22"/>
              </w:rPr>
            </w:r>
            <w:r w:rsidRPr="00C83E4F">
              <w:rPr>
                <w:rFonts w:ascii="Arial" w:hAnsi="Arial" w:cs="Arial"/>
                <w:noProof/>
                <w:webHidden/>
                <w:sz w:val="22"/>
                <w:szCs w:val="22"/>
              </w:rPr>
              <w:fldChar w:fldCharType="separate"/>
            </w:r>
            <w:r w:rsidRPr="00C83E4F">
              <w:rPr>
                <w:rFonts w:ascii="Arial" w:hAnsi="Arial" w:cs="Arial"/>
                <w:noProof/>
                <w:webHidden/>
                <w:sz w:val="22"/>
                <w:szCs w:val="22"/>
              </w:rPr>
              <w:t>10</w:t>
            </w:r>
            <w:r w:rsidRPr="00C83E4F">
              <w:rPr>
                <w:rFonts w:ascii="Arial" w:hAnsi="Arial" w:cs="Arial"/>
                <w:noProof/>
                <w:webHidden/>
                <w:sz w:val="22"/>
                <w:szCs w:val="22"/>
              </w:rPr>
              <w:fldChar w:fldCharType="end"/>
            </w:r>
          </w:hyperlink>
        </w:p>
        <w:p w14:paraId="2C6F0161" w14:textId="1CD82A39" w:rsidR="00C83E4F" w:rsidRPr="00C83E4F" w:rsidRDefault="00C83E4F" w:rsidP="00C83E4F">
          <w:pPr>
            <w:spacing w:line="360" w:lineRule="auto"/>
            <w:rPr>
              <w:rFonts w:ascii="Arial" w:hAnsi="Arial" w:cs="Arial"/>
              <w:sz w:val="22"/>
              <w:szCs w:val="22"/>
            </w:rPr>
          </w:pPr>
          <w:r w:rsidRPr="00C83E4F">
            <w:rPr>
              <w:rFonts w:ascii="Arial" w:hAnsi="Arial" w:cs="Arial"/>
              <w:b/>
              <w:bCs/>
              <w:noProof/>
              <w:sz w:val="22"/>
              <w:szCs w:val="22"/>
            </w:rPr>
            <w:fldChar w:fldCharType="end"/>
          </w:r>
        </w:p>
      </w:sdtContent>
    </w:sdt>
    <w:p w14:paraId="74788D20" w14:textId="77777777" w:rsidR="00494C35" w:rsidRPr="00C83E4F" w:rsidRDefault="00494C35" w:rsidP="00C83E4F">
      <w:pPr>
        <w:spacing w:line="360" w:lineRule="auto"/>
        <w:rPr>
          <w:rFonts w:ascii="Arial" w:hAnsi="Arial" w:cs="Arial"/>
          <w:b/>
          <w:bCs/>
          <w:sz w:val="22"/>
          <w:szCs w:val="22"/>
        </w:rPr>
      </w:pPr>
    </w:p>
    <w:p w14:paraId="36777074" w14:textId="77777777" w:rsidR="00494C35" w:rsidRPr="00E27F84" w:rsidRDefault="00494C35" w:rsidP="00E27F84">
      <w:pPr>
        <w:spacing w:line="360" w:lineRule="auto"/>
        <w:jc w:val="both"/>
        <w:rPr>
          <w:rFonts w:ascii="Arial" w:hAnsi="Arial" w:cs="Arial"/>
          <w:b/>
          <w:bCs/>
          <w:sz w:val="22"/>
          <w:szCs w:val="22"/>
        </w:rPr>
      </w:pPr>
    </w:p>
    <w:p w14:paraId="71C040DD" w14:textId="77777777" w:rsidR="00494C35" w:rsidRPr="00E27F84" w:rsidRDefault="00494C35" w:rsidP="00E27F84">
      <w:pPr>
        <w:spacing w:line="360" w:lineRule="auto"/>
        <w:jc w:val="both"/>
        <w:rPr>
          <w:rFonts w:ascii="Arial" w:hAnsi="Arial" w:cs="Arial"/>
          <w:b/>
          <w:bCs/>
          <w:sz w:val="22"/>
          <w:szCs w:val="22"/>
        </w:rPr>
      </w:pPr>
    </w:p>
    <w:p w14:paraId="5141E1D8" w14:textId="77777777" w:rsidR="00494C35" w:rsidRDefault="00494C35" w:rsidP="00E27F84">
      <w:pPr>
        <w:spacing w:line="360" w:lineRule="auto"/>
        <w:jc w:val="both"/>
        <w:rPr>
          <w:rFonts w:ascii="Arial" w:hAnsi="Arial" w:cs="Arial"/>
          <w:b/>
          <w:bCs/>
          <w:sz w:val="22"/>
          <w:szCs w:val="22"/>
        </w:rPr>
      </w:pPr>
    </w:p>
    <w:p w14:paraId="61816AB8" w14:textId="77777777" w:rsidR="00F074F8" w:rsidRDefault="00F074F8" w:rsidP="00E27F84">
      <w:pPr>
        <w:spacing w:line="360" w:lineRule="auto"/>
        <w:jc w:val="both"/>
        <w:rPr>
          <w:rFonts w:ascii="Arial" w:hAnsi="Arial" w:cs="Arial"/>
          <w:b/>
          <w:bCs/>
          <w:sz w:val="22"/>
          <w:szCs w:val="22"/>
        </w:rPr>
      </w:pPr>
    </w:p>
    <w:p w14:paraId="6ED0FC58" w14:textId="77777777" w:rsidR="00F074F8" w:rsidRDefault="00F074F8" w:rsidP="00E27F84">
      <w:pPr>
        <w:spacing w:line="360" w:lineRule="auto"/>
        <w:jc w:val="both"/>
        <w:rPr>
          <w:rFonts w:ascii="Arial" w:hAnsi="Arial" w:cs="Arial"/>
          <w:b/>
          <w:bCs/>
          <w:sz w:val="22"/>
          <w:szCs w:val="22"/>
        </w:rPr>
      </w:pPr>
    </w:p>
    <w:p w14:paraId="509CB064" w14:textId="77777777" w:rsidR="00C83E4F" w:rsidRDefault="00C83E4F" w:rsidP="00E27F84">
      <w:pPr>
        <w:spacing w:line="360" w:lineRule="auto"/>
        <w:jc w:val="both"/>
        <w:rPr>
          <w:rFonts w:ascii="Arial" w:hAnsi="Arial" w:cs="Arial"/>
          <w:b/>
          <w:bCs/>
          <w:sz w:val="22"/>
          <w:szCs w:val="22"/>
        </w:rPr>
      </w:pPr>
    </w:p>
    <w:p w14:paraId="60C19C15" w14:textId="77777777" w:rsidR="00C83E4F" w:rsidRDefault="00C83E4F" w:rsidP="00E27F84">
      <w:pPr>
        <w:spacing w:line="360" w:lineRule="auto"/>
        <w:jc w:val="both"/>
        <w:rPr>
          <w:rFonts w:ascii="Arial" w:hAnsi="Arial" w:cs="Arial"/>
          <w:b/>
          <w:bCs/>
          <w:sz w:val="22"/>
          <w:szCs w:val="22"/>
        </w:rPr>
      </w:pPr>
    </w:p>
    <w:p w14:paraId="1E1A13B2" w14:textId="77777777" w:rsidR="00C83E4F" w:rsidRDefault="00C83E4F" w:rsidP="00E27F84">
      <w:pPr>
        <w:spacing w:line="360" w:lineRule="auto"/>
        <w:jc w:val="both"/>
        <w:rPr>
          <w:rFonts w:ascii="Arial" w:hAnsi="Arial" w:cs="Arial"/>
          <w:b/>
          <w:bCs/>
          <w:sz w:val="22"/>
          <w:szCs w:val="22"/>
        </w:rPr>
      </w:pPr>
    </w:p>
    <w:p w14:paraId="6372DB78" w14:textId="77777777" w:rsidR="00C83E4F" w:rsidRDefault="00C83E4F" w:rsidP="00E27F84">
      <w:pPr>
        <w:spacing w:line="360" w:lineRule="auto"/>
        <w:jc w:val="both"/>
        <w:rPr>
          <w:rFonts w:ascii="Arial" w:hAnsi="Arial" w:cs="Arial"/>
          <w:b/>
          <w:bCs/>
          <w:sz w:val="22"/>
          <w:szCs w:val="22"/>
        </w:rPr>
      </w:pPr>
    </w:p>
    <w:p w14:paraId="4FE57B52" w14:textId="77777777" w:rsidR="00C83E4F" w:rsidRDefault="00C83E4F" w:rsidP="00E27F84">
      <w:pPr>
        <w:spacing w:line="360" w:lineRule="auto"/>
        <w:jc w:val="both"/>
        <w:rPr>
          <w:rFonts w:ascii="Arial" w:hAnsi="Arial" w:cs="Arial"/>
          <w:b/>
          <w:bCs/>
          <w:sz w:val="22"/>
          <w:szCs w:val="22"/>
        </w:rPr>
      </w:pPr>
    </w:p>
    <w:p w14:paraId="1D1B9DA4" w14:textId="77777777" w:rsidR="00C83E4F" w:rsidRDefault="00C83E4F" w:rsidP="00E27F84">
      <w:pPr>
        <w:spacing w:line="360" w:lineRule="auto"/>
        <w:jc w:val="both"/>
        <w:rPr>
          <w:rFonts w:ascii="Arial" w:hAnsi="Arial" w:cs="Arial"/>
          <w:b/>
          <w:bCs/>
          <w:sz w:val="22"/>
          <w:szCs w:val="22"/>
        </w:rPr>
      </w:pPr>
    </w:p>
    <w:p w14:paraId="64641098" w14:textId="77777777" w:rsidR="00C83E4F" w:rsidRDefault="00C83E4F" w:rsidP="00E27F84">
      <w:pPr>
        <w:spacing w:line="360" w:lineRule="auto"/>
        <w:jc w:val="both"/>
        <w:rPr>
          <w:rFonts w:ascii="Arial" w:hAnsi="Arial" w:cs="Arial"/>
          <w:b/>
          <w:bCs/>
          <w:sz w:val="22"/>
          <w:szCs w:val="22"/>
        </w:rPr>
      </w:pPr>
    </w:p>
    <w:p w14:paraId="4C85B057" w14:textId="77777777" w:rsidR="00F074F8" w:rsidRPr="00E27F84" w:rsidRDefault="00F074F8" w:rsidP="00E27F84">
      <w:pPr>
        <w:spacing w:line="360" w:lineRule="auto"/>
        <w:jc w:val="both"/>
        <w:rPr>
          <w:rFonts w:ascii="Arial" w:hAnsi="Arial" w:cs="Arial"/>
          <w:b/>
          <w:bCs/>
          <w:sz w:val="22"/>
          <w:szCs w:val="22"/>
        </w:rPr>
      </w:pPr>
    </w:p>
    <w:p w14:paraId="19B90247" w14:textId="48C77722" w:rsidR="00494C35" w:rsidRPr="00494C35" w:rsidRDefault="00494C35" w:rsidP="00F074F8">
      <w:pPr>
        <w:pStyle w:val="Heading1"/>
      </w:pPr>
      <w:bookmarkStart w:id="0" w:name="_Toc214195076"/>
      <w:r w:rsidRPr="00494C35">
        <w:lastRenderedPageBreak/>
        <w:t>Abstract</w:t>
      </w:r>
      <w:bookmarkEnd w:id="0"/>
    </w:p>
    <w:p w14:paraId="11EC9C66" w14:textId="77777777" w:rsidR="00F074F8" w:rsidRPr="00F074F8" w:rsidRDefault="00F074F8" w:rsidP="00F074F8">
      <w:pPr>
        <w:spacing w:line="360" w:lineRule="auto"/>
        <w:jc w:val="both"/>
        <w:rPr>
          <w:rFonts w:ascii="Arial" w:hAnsi="Arial" w:cs="Arial"/>
          <w:sz w:val="22"/>
          <w:szCs w:val="22"/>
        </w:rPr>
      </w:pPr>
      <w:r w:rsidRPr="00F074F8">
        <w:rPr>
          <w:rFonts w:ascii="Arial" w:hAnsi="Arial" w:cs="Arial"/>
          <w:sz w:val="22"/>
          <w:szCs w:val="22"/>
        </w:rPr>
        <w:t>Person-centred care (PCC) and partnership working (PW) are two key principles supporting health and social care policy and practice in the UK. This report critically reviews PCC and PW in relation to theory, ethics, regulation and practice especially in the context of community adult social care services, where service users often have complex, long-term, needs. Using community social care as the case study, the report focuses on the promotion of autonomy, dignity, choice and wellbeing through PCC and the structural, resourcing and organisational barriers to the successful operationalisation of PCC. Maslow's Hierarchy of Needs and the Social Model of Health are presented as the theoretical framework for the analysis of PCC in action. The moral and legal principles of autonomy, beneficence, non-maleficence and justice are studied through case studies on safeguarding, mental capacity assessments and risk-benefit assessments. Additional topics include partnership working, integrated care systems, interagency working and interprofessional communication. The report also considers other legislation and policies, including the Care Act 2014, the Health and Care Act 2022 and the Equality Act 2010 and evidence-based recommendations for further improvement of PCC and PW in the UK, including digital enablers, the workforce and co-production with service users.</w:t>
      </w:r>
    </w:p>
    <w:p w14:paraId="7551A0EC" w14:textId="77777777" w:rsidR="00F074F8" w:rsidRDefault="00F074F8" w:rsidP="00E27F84">
      <w:pPr>
        <w:spacing w:line="360" w:lineRule="auto"/>
        <w:jc w:val="both"/>
        <w:rPr>
          <w:rFonts w:ascii="Arial" w:hAnsi="Arial" w:cs="Arial"/>
          <w:b/>
          <w:bCs/>
          <w:sz w:val="22"/>
          <w:szCs w:val="22"/>
        </w:rPr>
      </w:pPr>
    </w:p>
    <w:p w14:paraId="41861E40" w14:textId="77777777" w:rsidR="00F074F8" w:rsidRDefault="00F074F8" w:rsidP="00E27F84">
      <w:pPr>
        <w:spacing w:line="360" w:lineRule="auto"/>
        <w:jc w:val="both"/>
        <w:rPr>
          <w:rFonts w:ascii="Arial" w:hAnsi="Arial" w:cs="Arial"/>
          <w:b/>
          <w:bCs/>
          <w:sz w:val="22"/>
          <w:szCs w:val="22"/>
        </w:rPr>
      </w:pPr>
    </w:p>
    <w:p w14:paraId="21034CED" w14:textId="77777777" w:rsidR="00F074F8" w:rsidRDefault="00F074F8" w:rsidP="00E27F84">
      <w:pPr>
        <w:spacing w:line="360" w:lineRule="auto"/>
        <w:jc w:val="both"/>
        <w:rPr>
          <w:rFonts w:ascii="Arial" w:hAnsi="Arial" w:cs="Arial"/>
          <w:b/>
          <w:bCs/>
          <w:sz w:val="22"/>
          <w:szCs w:val="22"/>
        </w:rPr>
      </w:pPr>
    </w:p>
    <w:p w14:paraId="3238C370" w14:textId="77777777" w:rsidR="00F074F8" w:rsidRDefault="00F074F8" w:rsidP="00E27F84">
      <w:pPr>
        <w:spacing w:line="360" w:lineRule="auto"/>
        <w:jc w:val="both"/>
        <w:rPr>
          <w:rFonts w:ascii="Arial" w:hAnsi="Arial" w:cs="Arial"/>
          <w:b/>
          <w:bCs/>
          <w:sz w:val="22"/>
          <w:szCs w:val="22"/>
        </w:rPr>
      </w:pPr>
    </w:p>
    <w:p w14:paraId="2D371033" w14:textId="77777777" w:rsidR="00F074F8" w:rsidRDefault="00F074F8" w:rsidP="00E27F84">
      <w:pPr>
        <w:spacing w:line="360" w:lineRule="auto"/>
        <w:jc w:val="both"/>
        <w:rPr>
          <w:rFonts w:ascii="Arial" w:hAnsi="Arial" w:cs="Arial"/>
          <w:b/>
          <w:bCs/>
          <w:sz w:val="22"/>
          <w:szCs w:val="22"/>
        </w:rPr>
      </w:pPr>
    </w:p>
    <w:p w14:paraId="1368FC88" w14:textId="77777777" w:rsidR="00F074F8" w:rsidRDefault="00F074F8" w:rsidP="00E27F84">
      <w:pPr>
        <w:spacing w:line="360" w:lineRule="auto"/>
        <w:jc w:val="both"/>
        <w:rPr>
          <w:rFonts w:ascii="Arial" w:hAnsi="Arial" w:cs="Arial"/>
          <w:b/>
          <w:bCs/>
          <w:sz w:val="22"/>
          <w:szCs w:val="22"/>
        </w:rPr>
      </w:pPr>
    </w:p>
    <w:p w14:paraId="22265577" w14:textId="77777777" w:rsidR="00F074F8" w:rsidRDefault="00F074F8" w:rsidP="00E27F84">
      <w:pPr>
        <w:spacing w:line="360" w:lineRule="auto"/>
        <w:jc w:val="both"/>
        <w:rPr>
          <w:rFonts w:ascii="Arial" w:hAnsi="Arial" w:cs="Arial"/>
          <w:b/>
          <w:bCs/>
          <w:sz w:val="22"/>
          <w:szCs w:val="22"/>
        </w:rPr>
      </w:pPr>
    </w:p>
    <w:p w14:paraId="09652719" w14:textId="77777777" w:rsidR="00F074F8" w:rsidRDefault="00F074F8" w:rsidP="00E27F84">
      <w:pPr>
        <w:spacing w:line="360" w:lineRule="auto"/>
        <w:jc w:val="both"/>
        <w:rPr>
          <w:rFonts w:ascii="Arial" w:hAnsi="Arial" w:cs="Arial"/>
          <w:b/>
          <w:bCs/>
          <w:sz w:val="22"/>
          <w:szCs w:val="22"/>
        </w:rPr>
      </w:pPr>
    </w:p>
    <w:p w14:paraId="065B5E5A" w14:textId="77777777" w:rsidR="00F074F8" w:rsidRDefault="00F074F8" w:rsidP="00E27F84">
      <w:pPr>
        <w:spacing w:line="360" w:lineRule="auto"/>
        <w:jc w:val="both"/>
        <w:rPr>
          <w:rFonts w:ascii="Arial" w:hAnsi="Arial" w:cs="Arial"/>
          <w:b/>
          <w:bCs/>
          <w:sz w:val="22"/>
          <w:szCs w:val="22"/>
        </w:rPr>
      </w:pPr>
    </w:p>
    <w:p w14:paraId="6B0D6553" w14:textId="77777777" w:rsidR="00F074F8" w:rsidRDefault="00F074F8" w:rsidP="00E27F84">
      <w:pPr>
        <w:spacing w:line="360" w:lineRule="auto"/>
        <w:jc w:val="both"/>
        <w:rPr>
          <w:rFonts w:ascii="Arial" w:hAnsi="Arial" w:cs="Arial"/>
          <w:b/>
          <w:bCs/>
          <w:sz w:val="22"/>
          <w:szCs w:val="22"/>
        </w:rPr>
      </w:pPr>
    </w:p>
    <w:p w14:paraId="065DEE30" w14:textId="77777777" w:rsidR="00F074F8" w:rsidRDefault="00F074F8" w:rsidP="00E27F84">
      <w:pPr>
        <w:spacing w:line="360" w:lineRule="auto"/>
        <w:jc w:val="both"/>
        <w:rPr>
          <w:rFonts w:ascii="Arial" w:hAnsi="Arial" w:cs="Arial"/>
          <w:b/>
          <w:bCs/>
          <w:sz w:val="22"/>
          <w:szCs w:val="22"/>
        </w:rPr>
      </w:pPr>
    </w:p>
    <w:p w14:paraId="50A909D1" w14:textId="77777777" w:rsidR="00F074F8" w:rsidRDefault="00F074F8" w:rsidP="00E27F84">
      <w:pPr>
        <w:spacing w:line="360" w:lineRule="auto"/>
        <w:jc w:val="both"/>
        <w:rPr>
          <w:rFonts w:ascii="Arial" w:hAnsi="Arial" w:cs="Arial"/>
          <w:b/>
          <w:bCs/>
          <w:sz w:val="22"/>
          <w:szCs w:val="22"/>
        </w:rPr>
      </w:pPr>
    </w:p>
    <w:p w14:paraId="463D9624" w14:textId="77777777" w:rsidR="00F074F8" w:rsidRDefault="00F074F8" w:rsidP="00E27F84">
      <w:pPr>
        <w:spacing w:line="360" w:lineRule="auto"/>
        <w:jc w:val="both"/>
        <w:rPr>
          <w:rFonts w:ascii="Arial" w:hAnsi="Arial" w:cs="Arial"/>
          <w:b/>
          <w:bCs/>
          <w:sz w:val="22"/>
          <w:szCs w:val="22"/>
        </w:rPr>
      </w:pPr>
    </w:p>
    <w:p w14:paraId="2FDDC0DF" w14:textId="77777777" w:rsidR="00F074F8" w:rsidRDefault="00F074F8" w:rsidP="00E27F84">
      <w:pPr>
        <w:spacing w:line="360" w:lineRule="auto"/>
        <w:jc w:val="both"/>
        <w:rPr>
          <w:rFonts w:ascii="Arial" w:hAnsi="Arial" w:cs="Arial"/>
          <w:b/>
          <w:bCs/>
          <w:sz w:val="22"/>
          <w:szCs w:val="22"/>
        </w:rPr>
      </w:pPr>
    </w:p>
    <w:p w14:paraId="38948F8A" w14:textId="2B99551E" w:rsidR="00F074F8" w:rsidRPr="00F074F8" w:rsidRDefault="00494C35" w:rsidP="00F074F8">
      <w:pPr>
        <w:pStyle w:val="Heading1"/>
      </w:pPr>
      <w:bookmarkStart w:id="1" w:name="_Toc214195077"/>
      <w:r w:rsidRPr="00494C35">
        <w:lastRenderedPageBreak/>
        <w:t>Introduction</w:t>
      </w:r>
      <w:bookmarkEnd w:id="1"/>
    </w:p>
    <w:p w14:paraId="36536BFD" w14:textId="77777777" w:rsidR="00F074F8" w:rsidRPr="00F074F8" w:rsidRDefault="00F074F8" w:rsidP="00F074F8">
      <w:pPr>
        <w:spacing w:line="360" w:lineRule="auto"/>
        <w:jc w:val="both"/>
        <w:rPr>
          <w:rFonts w:ascii="Arial" w:hAnsi="Arial" w:cs="Arial"/>
          <w:sz w:val="22"/>
          <w:szCs w:val="22"/>
        </w:rPr>
      </w:pPr>
      <w:r w:rsidRPr="00F074F8">
        <w:rPr>
          <w:rFonts w:ascii="Arial" w:hAnsi="Arial" w:cs="Arial"/>
          <w:sz w:val="22"/>
          <w:szCs w:val="22"/>
        </w:rPr>
        <w:t>Person-centred care (PCC) and partnership working (PW) are key principles and priorities of UK health and social care. PCC is embedded in community adult social care services, in which people who have care and support needs are assisted to live as independently as possible, stay well and take part in their communities. PCC entails providing care in a manner that treats people with dignity, respect and compassion and is tailored to each person (Health Foundation, 2016). PW denotes collaborative working between professionals, organisations, families and service users to achieve shared goals, reduce fragmentation and improve outcomes (Glasby &amp; Dickinson, 2014).</w:t>
      </w:r>
    </w:p>
    <w:p w14:paraId="39628DFF" w14:textId="77777777" w:rsidR="00F074F8" w:rsidRPr="00F074F8" w:rsidRDefault="00F074F8" w:rsidP="00F074F8">
      <w:pPr>
        <w:spacing w:line="360" w:lineRule="auto"/>
        <w:jc w:val="both"/>
        <w:rPr>
          <w:rFonts w:ascii="Arial" w:hAnsi="Arial" w:cs="Arial"/>
          <w:sz w:val="22"/>
          <w:szCs w:val="22"/>
        </w:rPr>
      </w:pPr>
      <w:r w:rsidRPr="00F074F8">
        <w:rPr>
          <w:rFonts w:ascii="Arial" w:hAnsi="Arial" w:cs="Arial"/>
          <w:sz w:val="22"/>
          <w:szCs w:val="22"/>
        </w:rPr>
        <w:t>Undertaking the PCC and PW tests from theoretical, ethical, legal, and real-world perspectives shows that the most suitable specific context is community adult social care services, especially home-care services, reablement, and community mental health services and adult safeguarding services, as these services specifically serve adults with long-term impairments, mental health conditions, or long-term conditions. Many of these services were in regular contact with the NHS, voluntary organisations, carers, and local authorities, which made it the ideal context in which to examine PCC and PW.</w:t>
      </w:r>
    </w:p>
    <w:p w14:paraId="4F4EBFF3" w14:textId="346333F8" w:rsidR="00494C35" w:rsidRDefault="00F074F8" w:rsidP="00F074F8">
      <w:pPr>
        <w:spacing w:line="360" w:lineRule="auto"/>
        <w:jc w:val="both"/>
        <w:rPr>
          <w:rFonts w:ascii="Arial" w:hAnsi="Arial" w:cs="Arial"/>
          <w:sz w:val="22"/>
          <w:szCs w:val="22"/>
        </w:rPr>
      </w:pPr>
      <w:r w:rsidRPr="00F074F8">
        <w:rPr>
          <w:rFonts w:ascii="Arial" w:hAnsi="Arial" w:cs="Arial"/>
          <w:sz w:val="22"/>
          <w:szCs w:val="22"/>
        </w:rPr>
        <w:t>The paper describes PCC, its pros and cons, its theoretical background and the ethical principles and their application. It also critically examines the practice of PW in the context of integrated community services. Relevant policy and legislation (e.g. Care Act 2014 and Health and Care Act 2022) are considered to show how national policy and legislation can enable and/or constrain PCC and PW. Evidence-based recommendations are provided in relation to supporting the integration of PCC and PW within the developing adult social care landscape in the UK.</w:t>
      </w:r>
    </w:p>
    <w:p w14:paraId="533291B0" w14:textId="77777777" w:rsidR="00F074F8" w:rsidRPr="00494C35" w:rsidRDefault="00F074F8" w:rsidP="00F074F8">
      <w:pPr>
        <w:spacing w:line="360" w:lineRule="auto"/>
        <w:jc w:val="both"/>
        <w:rPr>
          <w:rFonts w:ascii="Arial" w:hAnsi="Arial" w:cs="Arial"/>
          <w:sz w:val="22"/>
          <w:szCs w:val="22"/>
        </w:rPr>
      </w:pPr>
    </w:p>
    <w:p w14:paraId="1B26ACF7" w14:textId="2C57A5E7" w:rsidR="00494C35" w:rsidRPr="00494C35" w:rsidRDefault="00494C35" w:rsidP="00810807">
      <w:pPr>
        <w:pStyle w:val="Heading1"/>
      </w:pPr>
      <w:bookmarkStart w:id="2" w:name="_Toc214195078"/>
      <w:r w:rsidRPr="00494C35">
        <w:t>Defining Person-Centred Care: Benefits and Limitations</w:t>
      </w:r>
      <w:bookmarkEnd w:id="2"/>
      <w:r w:rsidRPr="00494C35">
        <w:t xml:space="preserve"> </w:t>
      </w:r>
    </w:p>
    <w:p w14:paraId="792D9FC9" w14:textId="25AF68AD"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 xml:space="preserve">Person-centred care (PCC) </w:t>
      </w:r>
      <w:r>
        <w:rPr>
          <w:rFonts w:ascii="Arial" w:hAnsi="Arial" w:cs="Arial"/>
          <w:sz w:val="22"/>
          <w:szCs w:val="22"/>
        </w:rPr>
        <w:t>refers to</w:t>
      </w:r>
      <w:r w:rsidRPr="00810807">
        <w:rPr>
          <w:rFonts w:ascii="Arial" w:hAnsi="Arial" w:cs="Arial"/>
          <w:sz w:val="22"/>
          <w:szCs w:val="22"/>
        </w:rPr>
        <w:t xml:space="preserve"> care which is focused on the needs, preferences, values and lived experiences of the individual receiving care. The Health Foundation (2016) describe PCC as dignified, compassionate, respectful, coordinated, personalised, and empowering. In community adult social </w:t>
      </w:r>
      <w:r w:rsidRPr="00810807">
        <w:rPr>
          <w:rFonts w:ascii="Arial" w:hAnsi="Arial" w:cs="Arial"/>
          <w:sz w:val="22"/>
          <w:szCs w:val="22"/>
        </w:rPr>
        <w:t>care,</w:t>
      </w:r>
      <w:r w:rsidRPr="00810807">
        <w:rPr>
          <w:rFonts w:ascii="Arial" w:hAnsi="Arial" w:cs="Arial"/>
          <w:sz w:val="22"/>
          <w:szCs w:val="22"/>
        </w:rPr>
        <w:t xml:space="preserve"> it is used for joint assessment and strengths-based support planning to assist independence.</w:t>
      </w:r>
    </w:p>
    <w:p w14:paraId="6657CCB7" w14:textId="4A18EC43"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 xml:space="preserve">PCC has been associated with wellbeing, satisfaction and quality of life. It has also been shown that those who receive personalised care plans show active involvement in </w:t>
      </w:r>
      <w:r w:rsidRPr="00810807">
        <w:rPr>
          <w:rFonts w:ascii="Arial" w:hAnsi="Arial" w:cs="Arial"/>
          <w:sz w:val="22"/>
          <w:szCs w:val="22"/>
        </w:rPr>
        <w:t>decision-making,</w:t>
      </w:r>
      <w:r w:rsidRPr="00810807">
        <w:rPr>
          <w:rFonts w:ascii="Arial" w:hAnsi="Arial" w:cs="Arial"/>
          <w:sz w:val="22"/>
          <w:szCs w:val="22"/>
        </w:rPr>
        <w:t xml:space="preserve"> and this improve their overall experience (Coulter et al., 2015). PCC can lead to greater trust, better communication and fewer complaints (Hudson et al., 2019). A strengths-based approach in community settings encourages people to use their social networks, skills </w:t>
      </w:r>
      <w:r w:rsidRPr="00810807">
        <w:rPr>
          <w:rFonts w:ascii="Arial" w:hAnsi="Arial" w:cs="Arial"/>
          <w:sz w:val="22"/>
          <w:szCs w:val="22"/>
        </w:rPr>
        <w:lastRenderedPageBreak/>
        <w:t>and assets to improve their level of independence (Department of Health &amp; Social Care, 2018). PCC has been associated with reduced hospital admissions, better clinical outcomes, and greater efficiency (NHS England, 2022).</w:t>
      </w:r>
    </w:p>
    <w:p w14:paraId="51557B7F" w14:textId="77777777"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Workforce shortages, time constraints and high workloads in adult social care show that PCC may not always be achieved according to Skills for Care, 2023. A culture that values efficiency and manages risk more than choosing individually can weaken PCC, and obstacles impairing senses, language and cognition make expression of views difficult for people involved in decisions regarding their care and support (Manthorpe &amp; Iliffe, 2020). Funding cuts and a constrained resource environment, on the other hand, can impact the availability of personalised services and community-based support within (House of Commons Health and Social Care Committee, 2022).</w:t>
      </w:r>
    </w:p>
    <w:p w14:paraId="576F8A02" w14:textId="77777777"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In practice, PCC involves care plans co-production, strengths-based assessments conduction, individuals supporting to live independently, and working with families or other support networks when needed. For example, when a person is receiving home-care as an older adult, support may be given to choose when the carer will visit or undertake various tasks. However, where services are under-resourced and rigidly timed, PCC, while a key principle of adult social care, cannot practically be expected to deliver the behavioural, attitudinal, organisational and cultural change required to best help service users.</w:t>
      </w:r>
    </w:p>
    <w:p w14:paraId="6D0E4484" w14:textId="77777777" w:rsidR="00810807" w:rsidRPr="00810807" w:rsidRDefault="00810807" w:rsidP="00810807">
      <w:pPr>
        <w:spacing w:line="360" w:lineRule="auto"/>
        <w:jc w:val="both"/>
        <w:rPr>
          <w:rFonts w:ascii="Arial" w:hAnsi="Arial" w:cs="Arial"/>
          <w:sz w:val="22"/>
          <w:szCs w:val="22"/>
        </w:rPr>
      </w:pPr>
    </w:p>
    <w:p w14:paraId="02FFCB27" w14:textId="579F7C2D" w:rsidR="00494C35" w:rsidRPr="00494C35" w:rsidRDefault="00494C35" w:rsidP="00810807">
      <w:pPr>
        <w:pStyle w:val="Heading1"/>
      </w:pPr>
      <w:bookmarkStart w:id="3" w:name="_Toc214195079"/>
      <w:r w:rsidRPr="00494C35">
        <w:t>Theoretical Frameworks Underpinning PCC</w:t>
      </w:r>
      <w:bookmarkEnd w:id="3"/>
    </w:p>
    <w:p w14:paraId="2A214267" w14:textId="77777777" w:rsidR="00494C35" w:rsidRPr="00494C35" w:rsidRDefault="00494C35" w:rsidP="00810807">
      <w:pPr>
        <w:pStyle w:val="Heading2"/>
      </w:pPr>
      <w:bookmarkStart w:id="4" w:name="_Toc214195080"/>
      <w:r w:rsidRPr="00494C35">
        <w:t>Maslow’s Hierarchy of Needs</w:t>
      </w:r>
      <w:bookmarkEnd w:id="4"/>
    </w:p>
    <w:p w14:paraId="074EB94A" w14:textId="77777777"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Maslow's (1943) Hierarchy of Needs model is used as a reference in PCC to understand the importance of meeting basic needs before addressing higher-level psychological and self-fulfilment needs. Maslow described five levels of need including physiological, safety, love/belonging, regard, and self-actualisation. Maslow's hierarchy is used within community adult social care to support holistic assessment such as considering an individual's nutrition and safety needs prior to socialising or reaching personal goals.</w:t>
      </w:r>
    </w:p>
    <w:p w14:paraId="7226F983" w14:textId="77777777"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t>Maslow's hierarchy outlines the goals of person-centred care. These goals include personal recognition, respect, individualised support, and shared decision-making. His hierarchy stresses the individuality of these needs. They will vary based on an individual's unique situation (McLeod, 2020). A homeless person may prioritise safety and security for instance and this knowledge may prompt practitioners to create service plans that fit their clients' needs better.</w:t>
      </w:r>
    </w:p>
    <w:p w14:paraId="5C3F082E" w14:textId="77777777" w:rsidR="00810807" w:rsidRPr="00810807" w:rsidRDefault="00810807" w:rsidP="00810807">
      <w:pPr>
        <w:spacing w:line="360" w:lineRule="auto"/>
        <w:jc w:val="both"/>
        <w:rPr>
          <w:rFonts w:ascii="Arial" w:hAnsi="Arial" w:cs="Arial"/>
          <w:sz w:val="22"/>
          <w:szCs w:val="22"/>
        </w:rPr>
      </w:pPr>
      <w:r w:rsidRPr="00810807">
        <w:rPr>
          <w:rFonts w:ascii="Arial" w:hAnsi="Arial" w:cs="Arial"/>
          <w:sz w:val="22"/>
          <w:szCs w:val="22"/>
        </w:rPr>
        <w:lastRenderedPageBreak/>
        <w:t>Maslow's model has been used for its simplicity and the inclusion of psychosocial needs, relevant to the Care Act 2014's (United Kingdom) wellbeing principle. However, the proposed hierarchy of needs has been criticised. Needs are not necessarily represented in a deterministic order (Tay &amp; Diener, 2011). There are also cultural differences in priorities for certain needs. Furthermore, needs in certain social care situations, such as safeguarding or mental health emergencies, may not fit neatly into a progression.</w:t>
      </w:r>
    </w:p>
    <w:p w14:paraId="7929B4A2" w14:textId="77777777" w:rsidR="00810807" w:rsidRDefault="00810807" w:rsidP="00810807">
      <w:pPr>
        <w:spacing w:line="360" w:lineRule="auto"/>
        <w:jc w:val="both"/>
        <w:rPr>
          <w:rFonts w:ascii="Arial" w:hAnsi="Arial" w:cs="Arial"/>
          <w:b/>
          <w:bCs/>
          <w:sz w:val="22"/>
          <w:szCs w:val="22"/>
        </w:rPr>
      </w:pPr>
      <w:r w:rsidRPr="00810807">
        <w:rPr>
          <w:rFonts w:ascii="Arial" w:hAnsi="Arial" w:cs="Arial"/>
          <w:sz w:val="22"/>
          <w:szCs w:val="22"/>
        </w:rPr>
        <w:t>In practice, Maslow's theory can be used to apply a needs-led and strengths-based approach. For example, a social worker designing a plan for a physical disability might first meet housing needs, then personal assistance with activities to support employment or social opportunities. Likewise, Maslow informs reablement services where, to regain independence, needs for safety, confidence and motivation require intervention. Thus, despite its limitations, Maslow also has some utility as a guide to PCC.</w:t>
      </w:r>
    </w:p>
    <w:p w14:paraId="31459CDC" w14:textId="77777777" w:rsidR="001F5EC1" w:rsidRDefault="001F5EC1" w:rsidP="00E27F84">
      <w:pPr>
        <w:spacing w:line="360" w:lineRule="auto"/>
        <w:jc w:val="both"/>
        <w:rPr>
          <w:rFonts w:ascii="Arial" w:hAnsi="Arial" w:cs="Arial"/>
          <w:b/>
          <w:bCs/>
          <w:sz w:val="22"/>
          <w:szCs w:val="22"/>
        </w:rPr>
      </w:pPr>
    </w:p>
    <w:p w14:paraId="112F928C" w14:textId="77A307D1" w:rsidR="00494C35" w:rsidRPr="00494C35" w:rsidRDefault="00494C35" w:rsidP="00855D8F">
      <w:pPr>
        <w:pStyle w:val="Heading1"/>
      </w:pPr>
      <w:bookmarkStart w:id="5" w:name="_Toc214195081"/>
      <w:r w:rsidRPr="00494C35">
        <w:t>Ethical Fundamentals in PCC and PW</w:t>
      </w:r>
      <w:bookmarkEnd w:id="5"/>
      <w:r w:rsidRPr="00494C35">
        <w:t xml:space="preserve"> </w:t>
      </w:r>
    </w:p>
    <w:p w14:paraId="014A4439"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Ethics support the delivery of a safe and person-centred community adult social care service, with the four biomedical principles of autonomy, beneficence, non-maleficence and justice (Beauchamp &amp; Childress, 2019) determining the ethical approach to decision-making.</w:t>
      </w:r>
    </w:p>
    <w:p w14:paraId="1927F688"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Practitioners respect people's autonomy, where this is appropriate, for example by allowing them to participate in care planning and by gaining informed consent. Practitioners should support individuals in the expression of their preferences. For example, an adult with a learning disability may choose their support worker along with daily activities.</w:t>
      </w:r>
    </w:p>
    <w:p w14:paraId="2D297F3F"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Beneficence means to act in the person's best interest and non-maleficence means to do no harm. These concepts guide decisions in balancing safety and independence. For example, the person may want to cook alone despite that they may have a history of burns. Practitioners should also think about how to help lower the risk without hurting independence, like providing assistive equipment.</w:t>
      </w:r>
    </w:p>
    <w:p w14:paraId="2C036FF0" w14:textId="419D406B"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Justice is </w:t>
      </w:r>
      <w:r w:rsidRPr="00855D8F">
        <w:rPr>
          <w:rFonts w:ascii="Arial" w:hAnsi="Arial" w:cs="Arial"/>
          <w:sz w:val="22"/>
          <w:szCs w:val="22"/>
        </w:rPr>
        <w:t>equity or</w:t>
      </w:r>
      <w:r w:rsidRPr="00855D8F">
        <w:rPr>
          <w:rFonts w:ascii="Arial" w:hAnsi="Arial" w:cs="Arial"/>
          <w:sz w:val="22"/>
          <w:szCs w:val="22"/>
        </w:rPr>
        <w:t xml:space="preserve"> being fair and impartial. In adult social care, people can expect to have a non-discriminatory assessment of their needs and receive services irrespective of their age, disability, ethnicity or socioeconomic status (Equality Act 2010).</w:t>
      </w:r>
    </w:p>
    <w:p w14:paraId="1AEA166E" w14:textId="7FEB7655"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Some examples of </w:t>
      </w:r>
      <w:r w:rsidRPr="00855D8F">
        <w:rPr>
          <w:rFonts w:ascii="Arial" w:hAnsi="Arial" w:cs="Arial"/>
          <w:sz w:val="22"/>
          <w:szCs w:val="22"/>
        </w:rPr>
        <w:t>real-world</w:t>
      </w:r>
      <w:r w:rsidRPr="00855D8F">
        <w:rPr>
          <w:rFonts w:ascii="Arial" w:hAnsi="Arial" w:cs="Arial"/>
          <w:sz w:val="22"/>
          <w:szCs w:val="22"/>
        </w:rPr>
        <w:t xml:space="preserve"> dilemmas include assessing the meaning of 'capacity' in mental health, safeguarding dilemmas between autonomy and safety, and dilemmas regarding the rights of one person against those of the second person, such as in resource allocation. A person with fluctuating mental capacity refuses home care as an example. Practitioners must balance autonomy, protection, and legal obligations under ethical principles, such as effective </w:t>
      </w:r>
      <w:r w:rsidRPr="00855D8F">
        <w:rPr>
          <w:rFonts w:ascii="Arial" w:hAnsi="Arial" w:cs="Arial"/>
          <w:sz w:val="22"/>
          <w:szCs w:val="22"/>
        </w:rPr>
        <w:lastRenderedPageBreak/>
        <w:t xml:space="preserve">communication, shared responsibility, and openness. Ethical dilemmas happen when practitioners possess different risk or the person's </w:t>
      </w:r>
      <w:r w:rsidRPr="00855D8F">
        <w:rPr>
          <w:rFonts w:ascii="Arial" w:hAnsi="Arial" w:cs="Arial"/>
          <w:sz w:val="22"/>
          <w:szCs w:val="22"/>
        </w:rPr>
        <w:t>interests’</w:t>
      </w:r>
      <w:r w:rsidRPr="00855D8F">
        <w:rPr>
          <w:rFonts w:ascii="Arial" w:hAnsi="Arial" w:cs="Arial"/>
          <w:sz w:val="22"/>
          <w:szCs w:val="22"/>
        </w:rPr>
        <w:t xml:space="preserve"> assessments. Ethical PW stresses documentation, joint meetings, and respecting differing opinions.</w:t>
      </w:r>
    </w:p>
    <w:p w14:paraId="216B39B1" w14:textId="77777777" w:rsidR="00855D8F" w:rsidRPr="00855D8F" w:rsidRDefault="00855D8F" w:rsidP="00855D8F">
      <w:pPr>
        <w:spacing w:line="360" w:lineRule="auto"/>
        <w:jc w:val="both"/>
        <w:rPr>
          <w:rFonts w:ascii="Arial" w:hAnsi="Arial" w:cs="Arial"/>
          <w:sz w:val="22"/>
          <w:szCs w:val="22"/>
        </w:rPr>
      </w:pPr>
    </w:p>
    <w:p w14:paraId="6A9BC279" w14:textId="747E5688" w:rsidR="00494C35" w:rsidRPr="00494C35" w:rsidRDefault="00494C35" w:rsidP="00855D8F">
      <w:pPr>
        <w:pStyle w:val="Heading1"/>
      </w:pPr>
      <w:bookmarkStart w:id="6" w:name="_Toc214195082"/>
      <w:r w:rsidRPr="00494C35">
        <w:t>Evaluation of Partnership Working</w:t>
      </w:r>
      <w:bookmarkEnd w:id="6"/>
      <w:r w:rsidRPr="00494C35">
        <w:t xml:space="preserve"> </w:t>
      </w:r>
    </w:p>
    <w:p w14:paraId="7606832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Partnership working (PW) is a term used to describe different forms of collaboration between professionals, organizations, service-users and informal carers to achieve a mutually agreed outcome. In community adult social care, PW is a key component for people with complex and interrelated health and social care needs.</w:t>
      </w:r>
    </w:p>
    <w:p w14:paraId="72E19B8C"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Effective PW increases service coordination, minimises service duplication, and improves outcomes for adults with multiple needs (Glasby &amp; Dickinson, 2014), while multi-disciplinary working improves early interventions, safeguarding responses and reduces hospital admissions (NICE, 2016). Integrated, coordinated care with multi-disciplinary teams (including community nurses, housing and social services, voluntary and community groups and mental health professionals) can improve communication, overcome professional isolation and improve decision-making.</w:t>
      </w:r>
    </w:p>
    <w:p w14:paraId="54192EC9"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However, PW may face barriers to implementation such as communication issues, different organisational cultures, and information technology systems. Other barriers include time constraints, confusion over professional roles, funding, and insufficient staff (The King's Fund, 2022). Power dynamics, such as between doctors and social workers, may inhibit shared decision making, and affect the timeliness, fragmentation and consistency of services.</w:t>
      </w:r>
    </w:p>
    <w:p w14:paraId="6524C8A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In practice, this often covers what someone does to safeguard, </w:t>
      </w:r>
      <w:proofErr w:type="spellStart"/>
      <w:r w:rsidRPr="00855D8F">
        <w:rPr>
          <w:rFonts w:ascii="Arial" w:hAnsi="Arial" w:cs="Arial"/>
          <w:sz w:val="22"/>
          <w:szCs w:val="22"/>
        </w:rPr>
        <w:t>reable</w:t>
      </w:r>
      <w:proofErr w:type="spellEnd"/>
      <w:r w:rsidRPr="00855D8F">
        <w:rPr>
          <w:rFonts w:ascii="Arial" w:hAnsi="Arial" w:cs="Arial"/>
          <w:sz w:val="22"/>
          <w:szCs w:val="22"/>
        </w:rPr>
        <w:t>, plan a discharge, and support adults with disabilities and long-term health conditions such as a person with dementia in their own home whom social workers, community nurses, occupational therapists, voluntary sector befriending services, and family carers may support. The Health and Care Act 2022 created Integrated Care Systems which unite NHS organisations, local authorities and community partners to advance joint working across health and care.</w:t>
      </w:r>
    </w:p>
    <w:p w14:paraId="4F31D31B" w14:textId="77777777" w:rsidR="00855D8F" w:rsidRDefault="00855D8F" w:rsidP="00855D8F">
      <w:pPr>
        <w:spacing w:line="360" w:lineRule="auto"/>
        <w:jc w:val="both"/>
        <w:rPr>
          <w:rFonts w:ascii="Arial" w:hAnsi="Arial" w:cs="Arial"/>
          <w:b/>
          <w:bCs/>
          <w:sz w:val="22"/>
          <w:szCs w:val="22"/>
        </w:rPr>
      </w:pPr>
      <w:r w:rsidRPr="00855D8F">
        <w:rPr>
          <w:rFonts w:ascii="Arial" w:hAnsi="Arial" w:cs="Arial"/>
          <w:sz w:val="22"/>
          <w:szCs w:val="22"/>
        </w:rPr>
        <w:t>Nevertheless, despite meaningful regional variation and despite many professionals reporting that structural collaboration has not yet translated into improved communication on the frontline (Local Government Association, 2023), effective PW requires not just structural, but relational collaboration. This is supported by shared goals, trust, and co-produced care planning with service users.</w:t>
      </w:r>
    </w:p>
    <w:p w14:paraId="14B6BABC" w14:textId="77777777" w:rsidR="001F5EC1" w:rsidRDefault="001F5EC1" w:rsidP="00E27F84">
      <w:pPr>
        <w:spacing w:line="360" w:lineRule="auto"/>
        <w:jc w:val="both"/>
        <w:rPr>
          <w:rFonts w:ascii="Arial" w:hAnsi="Arial" w:cs="Arial"/>
          <w:sz w:val="22"/>
          <w:szCs w:val="22"/>
        </w:rPr>
      </w:pPr>
    </w:p>
    <w:p w14:paraId="4D12176B" w14:textId="29FAC726" w:rsidR="00494C35" w:rsidRPr="00494C35" w:rsidRDefault="00494C35" w:rsidP="00C83E4F">
      <w:pPr>
        <w:pStyle w:val="Heading1"/>
      </w:pPr>
      <w:bookmarkStart w:id="7" w:name="_Toc214195083"/>
      <w:r w:rsidRPr="00494C35">
        <w:lastRenderedPageBreak/>
        <w:t>Policy and Legislation</w:t>
      </w:r>
      <w:bookmarkEnd w:id="7"/>
    </w:p>
    <w:p w14:paraId="2B1C5A22" w14:textId="28852CE6"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 xml:space="preserve">Policy and legislation support PCC and PW in adult social care, with the main legislation for adult social care in England being the Care Act 2014. It embeds wellbeing, prevention and personalisation as statutory duties. Local authorities must choose individually, stand independently, dignify others, and work in partnerships with other agencies for services co-produced with individuals and their </w:t>
      </w:r>
      <w:r w:rsidRPr="00C83E4F">
        <w:rPr>
          <w:rFonts w:ascii="Arial" w:hAnsi="Arial" w:cs="Arial"/>
          <w:sz w:val="22"/>
          <w:szCs w:val="22"/>
        </w:rPr>
        <w:t>careers</w:t>
      </w:r>
      <w:r w:rsidRPr="00C83E4F">
        <w:rPr>
          <w:rFonts w:ascii="Arial" w:hAnsi="Arial" w:cs="Arial"/>
          <w:sz w:val="22"/>
          <w:szCs w:val="22"/>
        </w:rPr>
        <w:t>.</w:t>
      </w:r>
    </w:p>
    <w:p w14:paraId="79BAA1F1"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The Health and Care Act 2022 created the Integrated Care Systems (ICSs) to formally work together. Local authorities, NHS bodies and community partners act for fragmentation reduction.</w:t>
      </w:r>
    </w:p>
    <w:p w14:paraId="07E3815B"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The Equality Act 2010 protects against discrimination and allows equal access to services with the Human Rights Act 1998, which enshrines dignity, autonomy and respect, key principles of PCC.</w:t>
      </w:r>
    </w:p>
    <w:p w14:paraId="3DE63BA1"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The Mental Capacity Act 2005 lets one assess capacity and decide best-interest for a goal of autonomy whenever possible.</w:t>
      </w:r>
    </w:p>
    <w:p w14:paraId="448A5279"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The GDPR and DPA 2018 require personal data processing to ensure appropriate security and integrity. This applies to sensitive information one gathers in assessments, to what one enquires to safeguard and to what one communicates among multiple agencies in community adult social care. Although people respect confidentiality to build trust, legislation allows sharing information for protecting individuals and the public.</w:t>
      </w:r>
    </w:p>
    <w:p w14:paraId="098AD4A3"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The Health and Social Care Act 2012 gave local authorities specific duties for public health, introduced more choice for the service user and encouraged efficiency, economy and accountability for health and care services. It has been criticised because it fragments but also credited when it integrates.</w:t>
      </w:r>
    </w:p>
    <w:p w14:paraId="2E0C1B2D"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Safeguarding Vulnerable Groups Act 2006 and Care Act 2014 authorise multi-agency safeguarding partnerships. Police, NHS, social care, housing and voluntary organizations often work together in safeguarding adults in the community.</w:t>
      </w:r>
    </w:p>
    <w:p w14:paraId="7FAA62B6" w14:textId="77777777" w:rsidR="00C83E4F" w:rsidRDefault="00C83E4F" w:rsidP="00E27F84">
      <w:pPr>
        <w:spacing w:line="360" w:lineRule="auto"/>
        <w:jc w:val="both"/>
        <w:rPr>
          <w:rFonts w:ascii="Arial" w:hAnsi="Arial" w:cs="Arial"/>
          <w:b/>
          <w:bCs/>
          <w:sz w:val="22"/>
          <w:szCs w:val="22"/>
        </w:rPr>
      </w:pPr>
    </w:p>
    <w:p w14:paraId="367BAB1A" w14:textId="73758CE0" w:rsidR="00494C35" w:rsidRPr="00494C35" w:rsidRDefault="00494C35" w:rsidP="00C83E4F">
      <w:pPr>
        <w:pStyle w:val="Heading1"/>
      </w:pPr>
      <w:bookmarkStart w:id="8" w:name="_Toc214195084"/>
      <w:r w:rsidRPr="00494C35">
        <w:t>Recommendations</w:t>
      </w:r>
      <w:bookmarkEnd w:id="8"/>
    </w:p>
    <w:p w14:paraId="427ECC86" w14:textId="26A718F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A review of the PCC and PW used in community adult social care makes recommendations for evidence-based practice improvements.</w:t>
      </w:r>
    </w:p>
    <w:p w14:paraId="1519E5F8" w14:textId="28177318"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 xml:space="preserve">The workforce needs to be supported with investment in pay, training and working conditions to deliver PCC. Workforce shortages restrict personalisation, continuity of care and integrated working - and government investment in recruitment and retention must be increased (Skills </w:t>
      </w:r>
      <w:r w:rsidRPr="00C83E4F">
        <w:rPr>
          <w:rFonts w:ascii="Arial" w:hAnsi="Arial" w:cs="Arial"/>
          <w:sz w:val="22"/>
          <w:szCs w:val="22"/>
        </w:rPr>
        <w:lastRenderedPageBreak/>
        <w:t>for Care, 2023).</w:t>
      </w:r>
      <w:r>
        <w:rPr>
          <w:rFonts w:ascii="Arial" w:hAnsi="Arial" w:cs="Arial"/>
          <w:sz w:val="22"/>
          <w:szCs w:val="22"/>
        </w:rPr>
        <w:t xml:space="preserve"> </w:t>
      </w:r>
      <w:r w:rsidRPr="00C83E4F">
        <w:rPr>
          <w:rFonts w:ascii="Arial" w:hAnsi="Arial" w:cs="Arial"/>
          <w:sz w:val="22"/>
          <w:szCs w:val="22"/>
        </w:rPr>
        <w:t>Integrated Care Systems should embed interoperability, enabling information sharing between the NHS, social care and voluntary services, as fragmented IT systems are an important barrier for PW (The King's Fund, 2022).</w:t>
      </w:r>
    </w:p>
    <w:p w14:paraId="4665DD89" w14:textId="74645CC0"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Involving service users in service design, care planning and evaluation supports PCC and leads to meaningful support plans (Think Local Act Personal 2021).</w:t>
      </w:r>
      <w:r>
        <w:rPr>
          <w:rFonts w:ascii="Arial" w:hAnsi="Arial" w:cs="Arial"/>
          <w:sz w:val="22"/>
          <w:szCs w:val="22"/>
        </w:rPr>
        <w:t xml:space="preserve"> </w:t>
      </w:r>
      <w:r w:rsidRPr="00C83E4F">
        <w:rPr>
          <w:rFonts w:ascii="Arial" w:hAnsi="Arial" w:cs="Arial"/>
          <w:sz w:val="22"/>
          <w:szCs w:val="22"/>
        </w:rPr>
        <w:t>Funding cuts to preventative services, including day centres, social opportunities and early intervention, have weakened PCC (House of Commons, 2022). Increasing early support can help prevent crises which lead to hospital admissions and life-long dependency.</w:t>
      </w:r>
    </w:p>
    <w:p w14:paraId="2811CC6A" w14:textId="77777777" w:rsidR="001F5EC1" w:rsidRDefault="001F5EC1" w:rsidP="00E27F84">
      <w:pPr>
        <w:spacing w:line="360" w:lineRule="auto"/>
        <w:jc w:val="both"/>
        <w:rPr>
          <w:rFonts w:ascii="Arial" w:hAnsi="Arial" w:cs="Arial"/>
          <w:b/>
          <w:bCs/>
          <w:sz w:val="22"/>
          <w:szCs w:val="22"/>
        </w:rPr>
      </w:pPr>
    </w:p>
    <w:p w14:paraId="653D2B88" w14:textId="748B88F3" w:rsidR="00494C35" w:rsidRPr="00494C35" w:rsidRDefault="00494C35" w:rsidP="00C83E4F">
      <w:pPr>
        <w:pStyle w:val="Heading1"/>
      </w:pPr>
      <w:bookmarkStart w:id="9" w:name="_Toc214195085"/>
      <w:r w:rsidRPr="00494C35">
        <w:t>Conclusion</w:t>
      </w:r>
      <w:bookmarkEnd w:id="9"/>
    </w:p>
    <w:p w14:paraId="181841B5"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This report has considered person-centred care (PCC) and partnership working (PW) in delivering community adult social care services to help people keep their dignity, independence, wellbeing and choice. To optimise the outcomes from PCC, staff need the appropriate resources and training, and the organization needs to embrace person-centred, strengths-based care as part of its culture. Maslow's hierarchy of needs and the social model of health are frameworks for understanding patient needs and for providing patient-centred holistic care.</w:t>
      </w:r>
    </w:p>
    <w:p w14:paraId="759D8189" w14:textId="77777777" w:rsidR="00C83E4F" w:rsidRPr="00C83E4F" w:rsidRDefault="00C83E4F" w:rsidP="00C83E4F">
      <w:pPr>
        <w:spacing w:line="360" w:lineRule="auto"/>
        <w:jc w:val="both"/>
        <w:rPr>
          <w:rFonts w:ascii="Arial" w:hAnsi="Arial" w:cs="Arial"/>
          <w:sz w:val="22"/>
          <w:szCs w:val="22"/>
        </w:rPr>
      </w:pPr>
      <w:r w:rsidRPr="00C83E4F">
        <w:rPr>
          <w:rFonts w:ascii="Arial" w:hAnsi="Arial" w:cs="Arial"/>
          <w:sz w:val="22"/>
          <w:szCs w:val="22"/>
        </w:rPr>
        <w:t>Ethics is central to all PCC and PW, especially the balance between autonomy, safety and equity. PW is key to community adult social care as people with interdependent, diverse needs often require a multi-agency response. Structural fragmentation, communication barriers, and workforce pressures do continue to exist.</w:t>
      </w:r>
    </w:p>
    <w:p w14:paraId="367F5B3B" w14:textId="77777777" w:rsidR="00C83E4F" w:rsidRDefault="00C83E4F" w:rsidP="00C83E4F">
      <w:pPr>
        <w:spacing w:line="360" w:lineRule="auto"/>
        <w:jc w:val="both"/>
        <w:rPr>
          <w:rFonts w:ascii="Arial" w:hAnsi="Arial" w:cs="Arial"/>
          <w:sz w:val="22"/>
          <w:szCs w:val="22"/>
        </w:rPr>
      </w:pPr>
      <w:r w:rsidRPr="00C83E4F">
        <w:rPr>
          <w:rFonts w:ascii="Arial" w:hAnsi="Arial" w:cs="Arial"/>
          <w:sz w:val="22"/>
          <w:szCs w:val="22"/>
        </w:rPr>
        <w:t>Care Act 2014, Health and Care Act 2022, Equality Act 2010, and MCA 2005 provide a strong legal basis under which PCC and PW operate, though England implements that basis variably. The recommendations support further development of PCC and PW across the adult social care workforce. Improving PCC and PW is necessary to deliver compassionate, effective and fair adult social care in the UK.</w:t>
      </w:r>
    </w:p>
    <w:p w14:paraId="7BEEB3B1" w14:textId="77777777" w:rsidR="001F5EC1" w:rsidRDefault="001F5EC1" w:rsidP="00E27F84">
      <w:pPr>
        <w:spacing w:line="360" w:lineRule="auto"/>
        <w:jc w:val="both"/>
        <w:rPr>
          <w:rFonts w:ascii="Arial" w:hAnsi="Arial" w:cs="Arial"/>
          <w:sz w:val="22"/>
          <w:szCs w:val="22"/>
        </w:rPr>
      </w:pPr>
    </w:p>
    <w:p w14:paraId="1E0E935C" w14:textId="77777777" w:rsidR="00C83E4F" w:rsidRDefault="00C83E4F" w:rsidP="00E27F84">
      <w:pPr>
        <w:spacing w:line="360" w:lineRule="auto"/>
        <w:jc w:val="both"/>
        <w:rPr>
          <w:rFonts w:ascii="Arial" w:hAnsi="Arial" w:cs="Arial"/>
          <w:sz w:val="22"/>
          <w:szCs w:val="22"/>
        </w:rPr>
      </w:pPr>
    </w:p>
    <w:p w14:paraId="6B26209D" w14:textId="77777777" w:rsidR="00C83E4F" w:rsidRDefault="00C83E4F" w:rsidP="00E27F84">
      <w:pPr>
        <w:spacing w:line="360" w:lineRule="auto"/>
        <w:jc w:val="both"/>
        <w:rPr>
          <w:rFonts w:ascii="Arial" w:hAnsi="Arial" w:cs="Arial"/>
          <w:sz w:val="22"/>
          <w:szCs w:val="22"/>
        </w:rPr>
      </w:pPr>
    </w:p>
    <w:p w14:paraId="05FD6EA3" w14:textId="77777777" w:rsidR="00C83E4F" w:rsidRDefault="00C83E4F" w:rsidP="00E27F84">
      <w:pPr>
        <w:spacing w:line="360" w:lineRule="auto"/>
        <w:jc w:val="both"/>
        <w:rPr>
          <w:rFonts w:ascii="Arial" w:hAnsi="Arial" w:cs="Arial"/>
          <w:sz w:val="22"/>
          <w:szCs w:val="22"/>
        </w:rPr>
      </w:pPr>
    </w:p>
    <w:p w14:paraId="5C24E3FF" w14:textId="77777777" w:rsidR="00C83E4F" w:rsidRDefault="00C83E4F" w:rsidP="00E27F84">
      <w:pPr>
        <w:spacing w:line="360" w:lineRule="auto"/>
        <w:jc w:val="both"/>
        <w:rPr>
          <w:rFonts w:ascii="Arial" w:hAnsi="Arial" w:cs="Arial"/>
          <w:sz w:val="22"/>
          <w:szCs w:val="22"/>
        </w:rPr>
      </w:pPr>
    </w:p>
    <w:p w14:paraId="02EC813F" w14:textId="77777777" w:rsidR="00C83E4F" w:rsidRDefault="00C83E4F" w:rsidP="00E27F84">
      <w:pPr>
        <w:spacing w:line="360" w:lineRule="auto"/>
        <w:jc w:val="both"/>
        <w:rPr>
          <w:rFonts w:ascii="Arial" w:hAnsi="Arial" w:cs="Arial"/>
          <w:sz w:val="22"/>
          <w:szCs w:val="22"/>
        </w:rPr>
      </w:pPr>
    </w:p>
    <w:p w14:paraId="4173D594" w14:textId="05251DA3" w:rsidR="00494C35" w:rsidRPr="00494C35" w:rsidRDefault="00494C35" w:rsidP="001F5EC1">
      <w:pPr>
        <w:pStyle w:val="Heading1"/>
      </w:pPr>
      <w:bookmarkStart w:id="10" w:name="_Toc214195086"/>
      <w:r w:rsidRPr="00494C35">
        <w:lastRenderedPageBreak/>
        <w:t>Reference</w:t>
      </w:r>
      <w:r w:rsidR="001F5EC1">
        <w:t>s</w:t>
      </w:r>
      <w:bookmarkEnd w:id="10"/>
    </w:p>
    <w:p w14:paraId="5F266DD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Amnesty International UK (2022) </w:t>
      </w:r>
      <w:r w:rsidRPr="00855D8F">
        <w:rPr>
          <w:rFonts w:ascii="Arial" w:hAnsi="Arial" w:cs="Arial"/>
          <w:i/>
          <w:iCs/>
          <w:sz w:val="22"/>
          <w:szCs w:val="22"/>
        </w:rPr>
        <w:t>Social care and human rights in the UK</w:t>
      </w:r>
      <w:r w:rsidRPr="00855D8F">
        <w:rPr>
          <w:rFonts w:ascii="Arial" w:hAnsi="Arial" w:cs="Arial"/>
          <w:sz w:val="22"/>
          <w:szCs w:val="22"/>
        </w:rPr>
        <w:t>. London: Amnesty.</w:t>
      </w:r>
    </w:p>
    <w:p w14:paraId="604FEB5A"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Beauchamp, T.L. and Childress, J.F. (2019) </w:t>
      </w:r>
      <w:r w:rsidRPr="00855D8F">
        <w:rPr>
          <w:rFonts w:ascii="Arial" w:hAnsi="Arial" w:cs="Arial"/>
          <w:i/>
          <w:iCs/>
          <w:sz w:val="22"/>
          <w:szCs w:val="22"/>
        </w:rPr>
        <w:t>Principles of biomedical ethics</w:t>
      </w:r>
      <w:r w:rsidRPr="00855D8F">
        <w:rPr>
          <w:rFonts w:ascii="Arial" w:hAnsi="Arial" w:cs="Arial"/>
          <w:sz w:val="22"/>
          <w:szCs w:val="22"/>
        </w:rPr>
        <w:t xml:space="preserve">. 8th </w:t>
      </w:r>
      <w:proofErr w:type="spellStart"/>
      <w:r w:rsidRPr="00855D8F">
        <w:rPr>
          <w:rFonts w:ascii="Arial" w:hAnsi="Arial" w:cs="Arial"/>
          <w:sz w:val="22"/>
          <w:szCs w:val="22"/>
        </w:rPr>
        <w:t>edn</w:t>
      </w:r>
      <w:proofErr w:type="spellEnd"/>
      <w:r w:rsidRPr="00855D8F">
        <w:rPr>
          <w:rFonts w:ascii="Arial" w:hAnsi="Arial" w:cs="Arial"/>
          <w:sz w:val="22"/>
          <w:szCs w:val="22"/>
        </w:rPr>
        <w:t>. New York: Oxford University Press.</w:t>
      </w:r>
    </w:p>
    <w:p w14:paraId="7504C245"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Bogg, D. (2020) </w:t>
      </w:r>
      <w:r w:rsidRPr="00855D8F">
        <w:rPr>
          <w:rFonts w:ascii="Arial" w:hAnsi="Arial" w:cs="Arial"/>
          <w:i/>
          <w:iCs/>
          <w:sz w:val="22"/>
          <w:szCs w:val="22"/>
        </w:rPr>
        <w:t>Adult social care policy and practice</w:t>
      </w:r>
      <w:r w:rsidRPr="00855D8F">
        <w:rPr>
          <w:rFonts w:ascii="Arial" w:hAnsi="Arial" w:cs="Arial"/>
          <w:sz w:val="22"/>
          <w:szCs w:val="22"/>
        </w:rPr>
        <w:t>. London: Macmillan.</w:t>
      </w:r>
    </w:p>
    <w:p w14:paraId="529DC475"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Care Quality Commission (2022) </w:t>
      </w:r>
      <w:r w:rsidRPr="00855D8F">
        <w:rPr>
          <w:rFonts w:ascii="Arial" w:hAnsi="Arial" w:cs="Arial"/>
          <w:i/>
          <w:iCs/>
          <w:sz w:val="22"/>
          <w:szCs w:val="22"/>
        </w:rPr>
        <w:t>The state of health care and adult social care in England</w:t>
      </w:r>
      <w:r w:rsidRPr="00855D8F">
        <w:rPr>
          <w:rFonts w:ascii="Arial" w:hAnsi="Arial" w:cs="Arial"/>
          <w:sz w:val="22"/>
          <w:szCs w:val="22"/>
        </w:rPr>
        <w:t>. Newcastle: CQC.</w:t>
      </w:r>
    </w:p>
    <w:p w14:paraId="09868BDB"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Coulter, A., Roberts, S. and Dixon, A. (2015) </w:t>
      </w:r>
      <w:r w:rsidRPr="00855D8F">
        <w:rPr>
          <w:rFonts w:ascii="Arial" w:hAnsi="Arial" w:cs="Arial"/>
          <w:i/>
          <w:iCs/>
          <w:sz w:val="22"/>
          <w:szCs w:val="22"/>
        </w:rPr>
        <w:t>Delivering better services for people with long-term conditions</w:t>
      </w:r>
      <w:r w:rsidRPr="00855D8F">
        <w:rPr>
          <w:rFonts w:ascii="Arial" w:hAnsi="Arial" w:cs="Arial"/>
          <w:sz w:val="22"/>
          <w:szCs w:val="22"/>
        </w:rPr>
        <w:t>. London: The King’s Fund.</w:t>
      </w:r>
    </w:p>
    <w:p w14:paraId="09B011C0"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Department of Health and Social Care (2018) </w:t>
      </w:r>
      <w:r w:rsidRPr="00855D8F">
        <w:rPr>
          <w:rFonts w:ascii="Arial" w:hAnsi="Arial" w:cs="Arial"/>
          <w:i/>
          <w:iCs/>
          <w:sz w:val="22"/>
          <w:szCs w:val="22"/>
        </w:rPr>
        <w:t>Strengths-based social work practice</w:t>
      </w:r>
      <w:r w:rsidRPr="00855D8F">
        <w:rPr>
          <w:rFonts w:ascii="Arial" w:hAnsi="Arial" w:cs="Arial"/>
          <w:sz w:val="22"/>
          <w:szCs w:val="22"/>
        </w:rPr>
        <w:t>. London: DHSC.</w:t>
      </w:r>
    </w:p>
    <w:p w14:paraId="42A5A746"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Department of Health and Social Care (2022) </w:t>
      </w:r>
      <w:r w:rsidRPr="00855D8F">
        <w:rPr>
          <w:rFonts w:ascii="Arial" w:hAnsi="Arial" w:cs="Arial"/>
          <w:i/>
          <w:iCs/>
          <w:sz w:val="22"/>
          <w:szCs w:val="22"/>
        </w:rPr>
        <w:t>People at the heart of care: white paper</w:t>
      </w:r>
      <w:r w:rsidRPr="00855D8F">
        <w:rPr>
          <w:rFonts w:ascii="Arial" w:hAnsi="Arial" w:cs="Arial"/>
          <w:sz w:val="22"/>
          <w:szCs w:val="22"/>
        </w:rPr>
        <w:t>. London: DHSC.</w:t>
      </w:r>
    </w:p>
    <w:p w14:paraId="680F0EEE"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Equality and Human Rights Commission (2020) </w:t>
      </w:r>
      <w:r w:rsidRPr="00855D8F">
        <w:rPr>
          <w:rFonts w:ascii="Arial" w:hAnsi="Arial" w:cs="Arial"/>
          <w:i/>
          <w:iCs/>
          <w:sz w:val="22"/>
          <w:szCs w:val="22"/>
        </w:rPr>
        <w:t>Equality Act 2010 guidance</w:t>
      </w:r>
      <w:r w:rsidRPr="00855D8F">
        <w:rPr>
          <w:rFonts w:ascii="Arial" w:hAnsi="Arial" w:cs="Arial"/>
          <w:sz w:val="22"/>
          <w:szCs w:val="22"/>
        </w:rPr>
        <w:t>. London: EHRC.</w:t>
      </w:r>
    </w:p>
    <w:p w14:paraId="24BCACE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Glasby, J. (2017) </w:t>
      </w:r>
      <w:r w:rsidRPr="00855D8F">
        <w:rPr>
          <w:rFonts w:ascii="Arial" w:hAnsi="Arial" w:cs="Arial"/>
          <w:i/>
          <w:iCs/>
          <w:sz w:val="22"/>
          <w:szCs w:val="22"/>
        </w:rPr>
        <w:t>Understanding health and social care</w:t>
      </w:r>
      <w:r w:rsidRPr="00855D8F">
        <w:rPr>
          <w:rFonts w:ascii="Arial" w:hAnsi="Arial" w:cs="Arial"/>
          <w:sz w:val="22"/>
          <w:szCs w:val="22"/>
        </w:rPr>
        <w:t xml:space="preserve">. 3rd </w:t>
      </w:r>
      <w:proofErr w:type="spellStart"/>
      <w:r w:rsidRPr="00855D8F">
        <w:rPr>
          <w:rFonts w:ascii="Arial" w:hAnsi="Arial" w:cs="Arial"/>
          <w:sz w:val="22"/>
          <w:szCs w:val="22"/>
        </w:rPr>
        <w:t>edn</w:t>
      </w:r>
      <w:proofErr w:type="spellEnd"/>
      <w:r w:rsidRPr="00855D8F">
        <w:rPr>
          <w:rFonts w:ascii="Arial" w:hAnsi="Arial" w:cs="Arial"/>
          <w:sz w:val="22"/>
          <w:szCs w:val="22"/>
        </w:rPr>
        <w:t>. London: Policy Press.</w:t>
      </w:r>
    </w:p>
    <w:p w14:paraId="75412D9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Glasby, J. and Dickinson, H. (2014) </w:t>
      </w:r>
      <w:r w:rsidRPr="00855D8F">
        <w:rPr>
          <w:rFonts w:ascii="Arial" w:hAnsi="Arial" w:cs="Arial"/>
          <w:i/>
          <w:iCs/>
          <w:sz w:val="22"/>
          <w:szCs w:val="22"/>
        </w:rPr>
        <w:t>Partnership working in health and social care</w:t>
      </w:r>
      <w:r w:rsidRPr="00855D8F">
        <w:rPr>
          <w:rFonts w:ascii="Arial" w:hAnsi="Arial" w:cs="Arial"/>
          <w:sz w:val="22"/>
          <w:szCs w:val="22"/>
        </w:rPr>
        <w:t xml:space="preserve">. 2nd </w:t>
      </w:r>
      <w:proofErr w:type="spellStart"/>
      <w:r w:rsidRPr="00855D8F">
        <w:rPr>
          <w:rFonts w:ascii="Arial" w:hAnsi="Arial" w:cs="Arial"/>
          <w:sz w:val="22"/>
          <w:szCs w:val="22"/>
        </w:rPr>
        <w:t>edn</w:t>
      </w:r>
      <w:proofErr w:type="spellEnd"/>
      <w:r w:rsidRPr="00855D8F">
        <w:rPr>
          <w:rFonts w:ascii="Arial" w:hAnsi="Arial" w:cs="Arial"/>
          <w:sz w:val="22"/>
          <w:szCs w:val="22"/>
        </w:rPr>
        <w:t>. Bristol: Policy Press.</w:t>
      </w:r>
    </w:p>
    <w:p w14:paraId="607E2137"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Health Foundation (2016) </w:t>
      </w:r>
      <w:r w:rsidRPr="00855D8F">
        <w:rPr>
          <w:rFonts w:ascii="Arial" w:hAnsi="Arial" w:cs="Arial"/>
          <w:i/>
          <w:iCs/>
          <w:sz w:val="22"/>
          <w:szCs w:val="22"/>
        </w:rPr>
        <w:t>Person-centred care made simple</w:t>
      </w:r>
      <w:r w:rsidRPr="00855D8F">
        <w:rPr>
          <w:rFonts w:ascii="Arial" w:hAnsi="Arial" w:cs="Arial"/>
          <w:sz w:val="22"/>
          <w:szCs w:val="22"/>
        </w:rPr>
        <w:t>. London: The Health Foundation.</w:t>
      </w:r>
    </w:p>
    <w:p w14:paraId="61CD1977"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Health Foundation (2020) </w:t>
      </w:r>
      <w:r w:rsidRPr="00855D8F">
        <w:rPr>
          <w:rFonts w:ascii="Arial" w:hAnsi="Arial" w:cs="Arial"/>
          <w:i/>
          <w:iCs/>
          <w:sz w:val="22"/>
          <w:szCs w:val="22"/>
        </w:rPr>
        <w:t>Social care funding options</w:t>
      </w:r>
      <w:r w:rsidRPr="00855D8F">
        <w:rPr>
          <w:rFonts w:ascii="Arial" w:hAnsi="Arial" w:cs="Arial"/>
          <w:sz w:val="22"/>
          <w:szCs w:val="22"/>
        </w:rPr>
        <w:t>. London: Health Foundation.</w:t>
      </w:r>
    </w:p>
    <w:p w14:paraId="1456C5F2"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House of Commons Health and Social Care Committee (2022) </w:t>
      </w:r>
      <w:r w:rsidRPr="00855D8F">
        <w:rPr>
          <w:rFonts w:ascii="Arial" w:hAnsi="Arial" w:cs="Arial"/>
          <w:i/>
          <w:iCs/>
          <w:sz w:val="22"/>
          <w:szCs w:val="22"/>
        </w:rPr>
        <w:t>Workforce: recruitment, training and retention in health and social care</w:t>
      </w:r>
      <w:r w:rsidRPr="00855D8F">
        <w:rPr>
          <w:rFonts w:ascii="Arial" w:hAnsi="Arial" w:cs="Arial"/>
          <w:sz w:val="22"/>
          <w:szCs w:val="22"/>
        </w:rPr>
        <w:t>. London: Parliament.</w:t>
      </w:r>
    </w:p>
    <w:p w14:paraId="5FF494FA"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Hudson, B., Hunter, D. and Peckham, S. (2019) ‘Policy failure and the NHS’, </w:t>
      </w:r>
      <w:r w:rsidRPr="00855D8F">
        <w:rPr>
          <w:rFonts w:ascii="Arial" w:hAnsi="Arial" w:cs="Arial"/>
          <w:i/>
          <w:iCs/>
          <w:sz w:val="22"/>
          <w:szCs w:val="22"/>
        </w:rPr>
        <w:t>The British Journal of Health Care Management</w:t>
      </w:r>
      <w:r w:rsidRPr="00855D8F">
        <w:rPr>
          <w:rFonts w:ascii="Arial" w:hAnsi="Arial" w:cs="Arial"/>
          <w:sz w:val="22"/>
          <w:szCs w:val="22"/>
        </w:rPr>
        <w:t>, 25(1), pp. 12–18.</w:t>
      </w:r>
    </w:p>
    <w:p w14:paraId="45042046"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Local Government Association (2023) </w:t>
      </w:r>
      <w:r w:rsidRPr="00855D8F">
        <w:rPr>
          <w:rFonts w:ascii="Arial" w:hAnsi="Arial" w:cs="Arial"/>
          <w:i/>
          <w:iCs/>
          <w:sz w:val="22"/>
          <w:szCs w:val="22"/>
        </w:rPr>
        <w:t>Integrated Care Systems and local government</w:t>
      </w:r>
      <w:r w:rsidRPr="00855D8F">
        <w:rPr>
          <w:rFonts w:ascii="Arial" w:hAnsi="Arial" w:cs="Arial"/>
          <w:sz w:val="22"/>
          <w:szCs w:val="22"/>
        </w:rPr>
        <w:t>. London: LGA.</w:t>
      </w:r>
    </w:p>
    <w:p w14:paraId="4A56F505"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Manthorpe, J. and Iliffe, S. (2020) </w:t>
      </w:r>
      <w:r w:rsidRPr="00855D8F">
        <w:rPr>
          <w:rFonts w:ascii="Arial" w:hAnsi="Arial" w:cs="Arial"/>
          <w:i/>
          <w:iCs/>
          <w:sz w:val="22"/>
          <w:szCs w:val="22"/>
        </w:rPr>
        <w:t>The future of adult social care</w:t>
      </w:r>
      <w:r w:rsidRPr="00855D8F">
        <w:rPr>
          <w:rFonts w:ascii="Arial" w:hAnsi="Arial" w:cs="Arial"/>
          <w:sz w:val="22"/>
          <w:szCs w:val="22"/>
        </w:rPr>
        <w:t>. London: Routledge.</w:t>
      </w:r>
    </w:p>
    <w:p w14:paraId="0502A79F"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Maslow, A. (1943) ‘A theory of human motivation’, </w:t>
      </w:r>
      <w:r w:rsidRPr="00855D8F">
        <w:rPr>
          <w:rFonts w:ascii="Arial" w:hAnsi="Arial" w:cs="Arial"/>
          <w:i/>
          <w:iCs/>
          <w:sz w:val="22"/>
          <w:szCs w:val="22"/>
        </w:rPr>
        <w:t>Psychological Review</w:t>
      </w:r>
      <w:r w:rsidRPr="00855D8F">
        <w:rPr>
          <w:rFonts w:ascii="Arial" w:hAnsi="Arial" w:cs="Arial"/>
          <w:sz w:val="22"/>
          <w:szCs w:val="22"/>
        </w:rPr>
        <w:t>, 50(4), pp. 370–396.</w:t>
      </w:r>
    </w:p>
    <w:p w14:paraId="51E53A54"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McLeod, S. (2020) </w:t>
      </w:r>
      <w:r w:rsidRPr="00855D8F">
        <w:rPr>
          <w:rFonts w:ascii="Arial" w:hAnsi="Arial" w:cs="Arial"/>
          <w:i/>
          <w:iCs/>
          <w:sz w:val="22"/>
          <w:szCs w:val="22"/>
        </w:rPr>
        <w:t>Maslow’s hierarchy of needs</w:t>
      </w:r>
      <w:r w:rsidRPr="00855D8F">
        <w:rPr>
          <w:rFonts w:ascii="Arial" w:hAnsi="Arial" w:cs="Arial"/>
          <w:sz w:val="22"/>
          <w:szCs w:val="22"/>
        </w:rPr>
        <w:t xml:space="preserve">. Available at: </w:t>
      </w:r>
      <w:hyperlink r:id="rId8" w:tgtFrame="_new" w:history="1">
        <w:r w:rsidRPr="00855D8F">
          <w:rPr>
            <w:rStyle w:val="Hyperlink"/>
            <w:rFonts w:ascii="Arial" w:hAnsi="Arial" w:cs="Arial"/>
            <w:sz w:val="22"/>
            <w:szCs w:val="22"/>
          </w:rPr>
          <w:t>https://www.simplypsychology.org/maslow</w:t>
        </w:r>
      </w:hyperlink>
      <w:r w:rsidRPr="00855D8F">
        <w:rPr>
          <w:rFonts w:ascii="Arial" w:hAnsi="Arial" w:cs="Arial"/>
          <w:sz w:val="22"/>
          <w:szCs w:val="22"/>
        </w:rPr>
        <w:t xml:space="preserve"> (Accessed: 10 November 2024).</w:t>
      </w:r>
    </w:p>
    <w:p w14:paraId="61FB91DD"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lastRenderedPageBreak/>
        <w:t xml:space="preserve">NHS England (2022) </w:t>
      </w:r>
      <w:r w:rsidRPr="00855D8F">
        <w:rPr>
          <w:rFonts w:ascii="Arial" w:hAnsi="Arial" w:cs="Arial"/>
          <w:i/>
          <w:iCs/>
          <w:sz w:val="22"/>
          <w:szCs w:val="22"/>
        </w:rPr>
        <w:t>Universal personalised care: implementing the comprehensive model</w:t>
      </w:r>
      <w:r w:rsidRPr="00855D8F">
        <w:rPr>
          <w:rFonts w:ascii="Arial" w:hAnsi="Arial" w:cs="Arial"/>
          <w:sz w:val="22"/>
          <w:szCs w:val="22"/>
        </w:rPr>
        <w:t>. London: NHSE.</w:t>
      </w:r>
    </w:p>
    <w:p w14:paraId="0B17B3F7"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NICE (2016) </w:t>
      </w:r>
      <w:r w:rsidRPr="00855D8F">
        <w:rPr>
          <w:rFonts w:ascii="Arial" w:hAnsi="Arial" w:cs="Arial"/>
          <w:i/>
          <w:iCs/>
          <w:sz w:val="22"/>
          <w:szCs w:val="22"/>
        </w:rPr>
        <w:t>Multimorbidity: clinical assessment and management</w:t>
      </w:r>
      <w:r w:rsidRPr="00855D8F">
        <w:rPr>
          <w:rFonts w:ascii="Arial" w:hAnsi="Arial" w:cs="Arial"/>
          <w:sz w:val="22"/>
          <w:szCs w:val="22"/>
        </w:rPr>
        <w:t>. NG56. London: NICE.</w:t>
      </w:r>
    </w:p>
    <w:p w14:paraId="275FB4B1"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Office for National Statistics (2021) </w:t>
      </w:r>
      <w:r w:rsidRPr="00855D8F">
        <w:rPr>
          <w:rFonts w:ascii="Arial" w:hAnsi="Arial" w:cs="Arial"/>
          <w:i/>
          <w:iCs/>
          <w:sz w:val="22"/>
          <w:szCs w:val="22"/>
        </w:rPr>
        <w:t>Adult social care statistics in England</w:t>
      </w:r>
      <w:r w:rsidRPr="00855D8F">
        <w:rPr>
          <w:rFonts w:ascii="Arial" w:hAnsi="Arial" w:cs="Arial"/>
          <w:sz w:val="22"/>
          <w:szCs w:val="22"/>
        </w:rPr>
        <w:t>. London: ONS.</w:t>
      </w:r>
    </w:p>
    <w:p w14:paraId="1DA3B95A"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Public Health England (2020) </w:t>
      </w:r>
      <w:r w:rsidRPr="00855D8F">
        <w:rPr>
          <w:rFonts w:ascii="Arial" w:hAnsi="Arial" w:cs="Arial"/>
          <w:i/>
          <w:iCs/>
          <w:sz w:val="22"/>
          <w:szCs w:val="22"/>
        </w:rPr>
        <w:t>Health inequalities: place-based approaches</w:t>
      </w:r>
      <w:r w:rsidRPr="00855D8F">
        <w:rPr>
          <w:rFonts w:ascii="Arial" w:hAnsi="Arial" w:cs="Arial"/>
          <w:sz w:val="22"/>
          <w:szCs w:val="22"/>
        </w:rPr>
        <w:t>. London: PHE.</w:t>
      </w:r>
    </w:p>
    <w:p w14:paraId="2D0A7D60"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Scope (2020) </w:t>
      </w:r>
      <w:r w:rsidRPr="00855D8F">
        <w:rPr>
          <w:rFonts w:ascii="Arial" w:hAnsi="Arial" w:cs="Arial"/>
          <w:i/>
          <w:iCs/>
          <w:sz w:val="22"/>
          <w:szCs w:val="22"/>
        </w:rPr>
        <w:t>The social model of disability</w:t>
      </w:r>
      <w:r w:rsidRPr="00855D8F">
        <w:rPr>
          <w:rFonts w:ascii="Arial" w:hAnsi="Arial" w:cs="Arial"/>
          <w:sz w:val="22"/>
          <w:szCs w:val="22"/>
        </w:rPr>
        <w:t>. London: Scope.</w:t>
      </w:r>
    </w:p>
    <w:p w14:paraId="067890E3"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Skills for Care (2023) </w:t>
      </w:r>
      <w:r w:rsidRPr="00855D8F">
        <w:rPr>
          <w:rFonts w:ascii="Arial" w:hAnsi="Arial" w:cs="Arial"/>
          <w:i/>
          <w:iCs/>
          <w:sz w:val="22"/>
          <w:szCs w:val="22"/>
        </w:rPr>
        <w:t>The state of the adult social care sector and workforce in England</w:t>
      </w:r>
      <w:r w:rsidRPr="00855D8F">
        <w:rPr>
          <w:rFonts w:ascii="Arial" w:hAnsi="Arial" w:cs="Arial"/>
          <w:sz w:val="22"/>
          <w:szCs w:val="22"/>
        </w:rPr>
        <w:t xml:space="preserve">. Leeds: </w:t>
      </w:r>
      <w:proofErr w:type="spellStart"/>
      <w:r w:rsidRPr="00855D8F">
        <w:rPr>
          <w:rFonts w:ascii="Arial" w:hAnsi="Arial" w:cs="Arial"/>
          <w:sz w:val="22"/>
          <w:szCs w:val="22"/>
        </w:rPr>
        <w:t>SfC</w:t>
      </w:r>
      <w:proofErr w:type="spellEnd"/>
      <w:r w:rsidRPr="00855D8F">
        <w:rPr>
          <w:rFonts w:ascii="Arial" w:hAnsi="Arial" w:cs="Arial"/>
          <w:sz w:val="22"/>
          <w:szCs w:val="22"/>
        </w:rPr>
        <w:t>.</w:t>
      </w:r>
    </w:p>
    <w:p w14:paraId="5A5B131B"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Tay, L. and Diener, E. (2011) ‘Needs and subjective wellbeing’, </w:t>
      </w:r>
      <w:r w:rsidRPr="00855D8F">
        <w:rPr>
          <w:rFonts w:ascii="Arial" w:hAnsi="Arial" w:cs="Arial"/>
          <w:i/>
          <w:iCs/>
          <w:sz w:val="22"/>
          <w:szCs w:val="22"/>
        </w:rPr>
        <w:t>Journal of Personality and Social Psychology</w:t>
      </w:r>
      <w:r w:rsidRPr="00855D8F">
        <w:rPr>
          <w:rFonts w:ascii="Arial" w:hAnsi="Arial" w:cs="Arial"/>
          <w:sz w:val="22"/>
          <w:szCs w:val="22"/>
        </w:rPr>
        <w:t>, 101(2), pp. 354–365.</w:t>
      </w:r>
    </w:p>
    <w:p w14:paraId="72F8C6F3"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The King’s Fund (2020) </w:t>
      </w:r>
      <w:r w:rsidRPr="00855D8F">
        <w:rPr>
          <w:rFonts w:ascii="Arial" w:hAnsi="Arial" w:cs="Arial"/>
          <w:i/>
          <w:iCs/>
          <w:sz w:val="22"/>
          <w:szCs w:val="22"/>
        </w:rPr>
        <w:t>Priorities for the future of health and social care</w:t>
      </w:r>
      <w:r w:rsidRPr="00855D8F">
        <w:rPr>
          <w:rFonts w:ascii="Arial" w:hAnsi="Arial" w:cs="Arial"/>
          <w:sz w:val="22"/>
          <w:szCs w:val="22"/>
        </w:rPr>
        <w:t>. London: The King’s Fund.</w:t>
      </w:r>
    </w:p>
    <w:p w14:paraId="4CF557CE"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The King’s Fund (2022) </w:t>
      </w:r>
      <w:r w:rsidRPr="00855D8F">
        <w:rPr>
          <w:rFonts w:ascii="Arial" w:hAnsi="Arial" w:cs="Arial"/>
          <w:i/>
          <w:iCs/>
          <w:sz w:val="22"/>
          <w:szCs w:val="22"/>
        </w:rPr>
        <w:t>Integrated care systems explained</w:t>
      </w:r>
      <w:r w:rsidRPr="00855D8F">
        <w:rPr>
          <w:rFonts w:ascii="Arial" w:hAnsi="Arial" w:cs="Arial"/>
          <w:sz w:val="22"/>
          <w:szCs w:val="22"/>
        </w:rPr>
        <w:t>. London: The King’s Fund.</w:t>
      </w:r>
    </w:p>
    <w:p w14:paraId="7B3659AA"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Think Local Act Personal (2021) </w:t>
      </w:r>
      <w:r w:rsidRPr="00855D8F">
        <w:rPr>
          <w:rFonts w:ascii="Arial" w:hAnsi="Arial" w:cs="Arial"/>
          <w:i/>
          <w:iCs/>
          <w:sz w:val="22"/>
          <w:szCs w:val="22"/>
        </w:rPr>
        <w:t>Making it real framework</w:t>
      </w:r>
      <w:r w:rsidRPr="00855D8F">
        <w:rPr>
          <w:rFonts w:ascii="Arial" w:hAnsi="Arial" w:cs="Arial"/>
          <w:sz w:val="22"/>
          <w:szCs w:val="22"/>
        </w:rPr>
        <w:t>. London: TLAP.</w:t>
      </w:r>
    </w:p>
    <w:p w14:paraId="6F1ADB2C"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UK Government (2014) </w:t>
      </w:r>
      <w:r w:rsidRPr="00855D8F">
        <w:rPr>
          <w:rFonts w:ascii="Arial" w:hAnsi="Arial" w:cs="Arial"/>
          <w:i/>
          <w:iCs/>
          <w:sz w:val="22"/>
          <w:szCs w:val="22"/>
        </w:rPr>
        <w:t>Care Act 2014</w:t>
      </w:r>
      <w:r w:rsidRPr="00855D8F">
        <w:rPr>
          <w:rFonts w:ascii="Arial" w:hAnsi="Arial" w:cs="Arial"/>
          <w:sz w:val="22"/>
          <w:szCs w:val="22"/>
        </w:rPr>
        <w:t>. London: The Stationery Office.</w:t>
      </w:r>
    </w:p>
    <w:p w14:paraId="7457101B"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UK Government (2022) </w:t>
      </w:r>
      <w:r w:rsidRPr="00855D8F">
        <w:rPr>
          <w:rFonts w:ascii="Arial" w:hAnsi="Arial" w:cs="Arial"/>
          <w:i/>
          <w:iCs/>
          <w:sz w:val="22"/>
          <w:szCs w:val="22"/>
        </w:rPr>
        <w:t>Health and Care Act 2022</w:t>
      </w:r>
      <w:r w:rsidRPr="00855D8F">
        <w:rPr>
          <w:rFonts w:ascii="Arial" w:hAnsi="Arial" w:cs="Arial"/>
          <w:sz w:val="22"/>
          <w:szCs w:val="22"/>
        </w:rPr>
        <w:t>. London: The Stationery Office.</w:t>
      </w:r>
    </w:p>
    <w:p w14:paraId="4B11D604" w14:textId="77777777" w:rsidR="00855D8F" w:rsidRPr="00855D8F" w:rsidRDefault="00855D8F" w:rsidP="00855D8F">
      <w:pPr>
        <w:spacing w:line="360" w:lineRule="auto"/>
        <w:jc w:val="both"/>
        <w:rPr>
          <w:rFonts w:ascii="Arial" w:hAnsi="Arial" w:cs="Arial"/>
          <w:sz w:val="22"/>
          <w:szCs w:val="22"/>
        </w:rPr>
      </w:pPr>
      <w:r w:rsidRPr="00855D8F">
        <w:rPr>
          <w:rFonts w:ascii="Arial" w:hAnsi="Arial" w:cs="Arial"/>
          <w:sz w:val="22"/>
          <w:szCs w:val="22"/>
        </w:rPr>
        <w:t xml:space="preserve">United Nations (2006) </w:t>
      </w:r>
      <w:r w:rsidRPr="00855D8F">
        <w:rPr>
          <w:rFonts w:ascii="Arial" w:hAnsi="Arial" w:cs="Arial"/>
          <w:i/>
          <w:iCs/>
          <w:sz w:val="22"/>
          <w:szCs w:val="22"/>
        </w:rPr>
        <w:t>Convention on the Rights of Persons with Disabilities</w:t>
      </w:r>
      <w:r w:rsidRPr="00855D8F">
        <w:rPr>
          <w:rFonts w:ascii="Arial" w:hAnsi="Arial" w:cs="Arial"/>
          <w:sz w:val="22"/>
          <w:szCs w:val="22"/>
        </w:rPr>
        <w:t>. New York: UN.</w:t>
      </w:r>
    </w:p>
    <w:p w14:paraId="47860B98" w14:textId="77777777" w:rsidR="00E51ABF" w:rsidRPr="00E27F84" w:rsidRDefault="00E51ABF" w:rsidP="00E27F84">
      <w:pPr>
        <w:spacing w:line="360" w:lineRule="auto"/>
        <w:jc w:val="both"/>
        <w:rPr>
          <w:rFonts w:ascii="Arial" w:hAnsi="Arial" w:cs="Arial"/>
          <w:sz w:val="22"/>
          <w:szCs w:val="22"/>
        </w:rPr>
      </w:pPr>
    </w:p>
    <w:sectPr w:rsidR="00E51ABF" w:rsidRPr="00E27F84" w:rsidSect="00730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263E69"/>
    <w:multiLevelType w:val="multilevel"/>
    <w:tmpl w:val="073E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2531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C35"/>
    <w:rsid w:val="001F5EC1"/>
    <w:rsid w:val="00233328"/>
    <w:rsid w:val="00331CB3"/>
    <w:rsid w:val="00494C35"/>
    <w:rsid w:val="004E7710"/>
    <w:rsid w:val="00730FAE"/>
    <w:rsid w:val="00810807"/>
    <w:rsid w:val="00855D8F"/>
    <w:rsid w:val="00B559EA"/>
    <w:rsid w:val="00C83E4F"/>
    <w:rsid w:val="00DC1E02"/>
    <w:rsid w:val="00E27F84"/>
    <w:rsid w:val="00E51ABF"/>
    <w:rsid w:val="00E7050A"/>
    <w:rsid w:val="00F074F8"/>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4737"/>
  <w15:chartTrackingRefBased/>
  <w15:docId w15:val="{9AAC8D52-049E-45EC-B5F9-EBDE820D3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4F8"/>
    <w:pPr>
      <w:spacing w:after="0"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unhideWhenUsed/>
    <w:qFormat/>
    <w:rsid w:val="00810807"/>
    <w:pPr>
      <w:spacing w:after="0" w:line="360" w:lineRule="auto"/>
      <w:jc w:val="both"/>
      <w:outlineLvl w:val="1"/>
    </w:pPr>
    <w:rPr>
      <w:rFonts w:ascii="Arial" w:hAnsi="Arial" w:cs="Arial"/>
      <w:b/>
      <w:bCs/>
      <w:sz w:val="22"/>
      <w:szCs w:val="22"/>
    </w:rPr>
  </w:style>
  <w:style w:type="paragraph" w:styleId="Heading3">
    <w:name w:val="heading 3"/>
    <w:basedOn w:val="Normal"/>
    <w:next w:val="Normal"/>
    <w:link w:val="Heading3Char"/>
    <w:uiPriority w:val="9"/>
    <w:semiHidden/>
    <w:unhideWhenUsed/>
    <w:qFormat/>
    <w:rsid w:val="00494C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4C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4C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4C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C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C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C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4F8"/>
    <w:rPr>
      <w:rFonts w:ascii="Arial" w:hAnsi="Arial" w:cs="Arial"/>
      <w:b/>
      <w:bCs/>
      <w:sz w:val="22"/>
      <w:szCs w:val="22"/>
    </w:rPr>
  </w:style>
  <w:style w:type="character" w:customStyle="1" w:styleId="Heading2Char">
    <w:name w:val="Heading 2 Char"/>
    <w:basedOn w:val="DefaultParagraphFont"/>
    <w:link w:val="Heading2"/>
    <w:uiPriority w:val="9"/>
    <w:rsid w:val="00810807"/>
    <w:rPr>
      <w:rFonts w:ascii="Arial" w:hAnsi="Arial" w:cs="Arial"/>
      <w:b/>
      <w:bCs/>
      <w:sz w:val="22"/>
      <w:szCs w:val="22"/>
    </w:rPr>
  </w:style>
  <w:style w:type="character" w:customStyle="1" w:styleId="Heading3Char">
    <w:name w:val="Heading 3 Char"/>
    <w:basedOn w:val="DefaultParagraphFont"/>
    <w:link w:val="Heading3"/>
    <w:uiPriority w:val="9"/>
    <w:semiHidden/>
    <w:rsid w:val="00494C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4C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4C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4C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C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C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C35"/>
    <w:rPr>
      <w:rFonts w:eastAsiaTheme="majorEastAsia" w:cstheme="majorBidi"/>
      <w:color w:val="272727" w:themeColor="text1" w:themeTint="D8"/>
    </w:rPr>
  </w:style>
  <w:style w:type="paragraph" w:styleId="Title">
    <w:name w:val="Title"/>
    <w:basedOn w:val="Normal"/>
    <w:next w:val="Normal"/>
    <w:link w:val="TitleChar"/>
    <w:uiPriority w:val="10"/>
    <w:qFormat/>
    <w:rsid w:val="00494C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C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C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C35"/>
    <w:pPr>
      <w:spacing w:before="160"/>
      <w:jc w:val="center"/>
    </w:pPr>
    <w:rPr>
      <w:i/>
      <w:iCs/>
      <w:color w:val="404040" w:themeColor="text1" w:themeTint="BF"/>
    </w:rPr>
  </w:style>
  <w:style w:type="character" w:customStyle="1" w:styleId="QuoteChar">
    <w:name w:val="Quote Char"/>
    <w:basedOn w:val="DefaultParagraphFont"/>
    <w:link w:val="Quote"/>
    <w:uiPriority w:val="29"/>
    <w:rsid w:val="00494C35"/>
    <w:rPr>
      <w:i/>
      <w:iCs/>
      <w:color w:val="404040" w:themeColor="text1" w:themeTint="BF"/>
    </w:rPr>
  </w:style>
  <w:style w:type="paragraph" w:styleId="ListParagraph">
    <w:name w:val="List Paragraph"/>
    <w:basedOn w:val="Normal"/>
    <w:uiPriority w:val="34"/>
    <w:qFormat/>
    <w:rsid w:val="00494C35"/>
    <w:pPr>
      <w:ind w:left="720"/>
      <w:contextualSpacing/>
    </w:pPr>
  </w:style>
  <w:style w:type="character" w:styleId="IntenseEmphasis">
    <w:name w:val="Intense Emphasis"/>
    <w:basedOn w:val="DefaultParagraphFont"/>
    <w:uiPriority w:val="21"/>
    <w:qFormat/>
    <w:rsid w:val="00494C35"/>
    <w:rPr>
      <w:i/>
      <w:iCs/>
      <w:color w:val="2F5496" w:themeColor="accent1" w:themeShade="BF"/>
    </w:rPr>
  </w:style>
  <w:style w:type="paragraph" w:styleId="IntenseQuote">
    <w:name w:val="Intense Quote"/>
    <w:basedOn w:val="Normal"/>
    <w:next w:val="Normal"/>
    <w:link w:val="IntenseQuoteChar"/>
    <w:uiPriority w:val="30"/>
    <w:qFormat/>
    <w:rsid w:val="00494C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4C35"/>
    <w:rPr>
      <w:i/>
      <w:iCs/>
      <w:color w:val="2F5496" w:themeColor="accent1" w:themeShade="BF"/>
    </w:rPr>
  </w:style>
  <w:style w:type="character" w:styleId="IntenseReference">
    <w:name w:val="Intense Reference"/>
    <w:basedOn w:val="DefaultParagraphFont"/>
    <w:uiPriority w:val="32"/>
    <w:qFormat/>
    <w:rsid w:val="00494C35"/>
    <w:rPr>
      <w:b/>
      <w:bCs/>
      <w:smallCaps/>
      <w:color w:val="2F5496" w:themeColor="accent1" w:themeShade="BF"/>
      <w:spacing w:val="5"/>
    </w:rPr>
  </w:style>
  <w:style w:type="character" w:styleId="Hyperlink">
    <w:name w:val="Hyperlink"/>
    <w:basedOn w:val="DefaultParagraphFont"/>
    <w:uiPriority w:val="99"/>
    <w:unhideWhenUsed/>
    <w:rsid w:val="00855D8F"/>
    <w:rPr>
      <w:color w:val="0563C1" w:themeColor="hyperlink"/>
      <w:u w:val="single"/>
    </w:rPr>
  </w:style>
  <w:style w:type="character" w:styleId="UnresolvedMention">
    <w:name w:val="Unresolved Mention"/>
    <w:basedOn w:val="DefaultParagraphFont"/>
    <w:uiPriority w:val="99"/>
    <w:semiHidden/>
    <w:unhideWhenUsed/>
    <w:rsid w:val="00855D8F"/>
    <w:rPr>
      <w:color w:val="605E5C"/>
      <w:shd w:val="clear" w:color="auto" w:fill="E1DFDD"/>
    </w:rPr>
  </w:style>
  <w:style w:type="paragraph" w:styleId="TOCHeading">
    <w:name w:val="TOC Heading"/>
    <w:basedOn w:val="Heading1"/>
    <w:next w:val="Normal"/>
    <w:uiPriority w:val="39"/>
    <w:unhideWhenUsed/>
    <w:qFormat/>
    <w:rsid w:val="00C83E4F"/>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C83E4F"/>
    <w:pPr>
      <w:spacing w:after="100"/>
    </w:pPr>
  </w:style>
  <w:style w:type="paragraph" w:styleId="TOC2">
    <w:name w:val="toc 2"/>
    <w:basedOn w:val="Normal"/>
    <w:next w:val="Normal"/>
    <w:autoRedefine/>
    <w:uiPriority w:val="39"/>
    <w:unhideWhenUsed/>
    <w:rsid w:val="00C83E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C5EDB-DACE-4203-A78A-903CD776C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11</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2025-11-16T10:28:00Z</dcterms:created>
  <dcterms:modified xsi:type="dcterms:W3CDTF">2025-11-16T13:18:00Z</dcterms:modified>
</cp:coreProperties>
</file>