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E7ABC" w:rsidRDefault="006E7ABC" w:rsidP="006E7ABC">
      <w:pPr>
        <w:pStyle w:val="NormalWeb"/>
        <w:shd w:val="clear" w:color="auto" w:fill="FFFFFF"/>
        <w:spacing w:before="0" w:beforeAutospacing="0" w:after="0" w:afterAutospacing="0"/>
      </w:pPr>
      <w:r>
        <w:rPr>
          <w:rFonts w:ascii="Arial" w:hAnsi="Arial" w:cs="Arial"/>
          <w:color w:val="222222"/>
          <w:sz w:val="22"/>
          <w:szCs w:val="22"/>
        </w:rPr>
        <w:t>1.1</w:t>
      </w:r>
    </w:p>
    <w:p w:rsidR="006E7ABC" w:rsidRDefault="006E7ABC" w:rsidP="006E7ABC">
      <w:pPr>
        <w:pStyle w:val="NormalWeb"/>
        <w:shd w:val="clear" w:color="auto" w:fill="FFFFFF"/>
        <w:spacing w:before="0" w:beforeAutospacing="0" w:after="0" w:afterAutospacing="0"/>
      </w:pPr>
      <w:r>
        <w:rPr>
          <w:rFonts w:ascii="Arial" w:hAnsi="Arial" w:cs="Arial"/>
          <w:color w:val="222222"/>
          <w:sz w:val="22"/>
          <w:szCs w:val="22"/>
        </w:rPr>
        <w:t> </w:t>
      </w:r>
    </w:p>
    <w:p w:rsidR="006E7ABC" w:rsidRDefault="006E7ABC" w:rsidP="006E7ABC">
      <w:pPr>
        <w:pStyle w:val="NormalWeb"/>
        <w:spacing w:before="0" w:beforeAutospacing="0" w:after="160" w:afterAutospacing="0"/>
      </w:pPr>
      <w:r>
        <w:rPr>
          <w:rFonts w:ascii="Arial" w:hAnsi="Arial" w:cs="Arial"/>
          <w:color w:val="000000"/>
          <w:sz w:val="22"/>
          <w:szCs w:val="22"/>
        </w:rPr>
        <w:t>Employee involvement and employee participation are usually referred to collectively as employee involvement and participation (EIP), but there is a slight distinction in the meaning of involvement and participation. Both terms can be best understood as an escalator, with employee involvement on the bottom, and employee participation on the top; they are closely linked by the steps in the middle which escalate by the degree to which employees can influence organisational decisions (</w:t>
      </w:r>
      <w:proofErr w:type="spellStart"/>
      <w:r>
        <w:rPr>
          <w:rFonts w:ascii="Arial" w:hAnsi="Arial" w:cs="Arial"/>
          <w:color w:val="000000"/>
          <w:sz w:val="22"/>
          <w:szCs w:val="22"/>
        </w:rPr>
        <w:t>Marchington</w:t>
      </w:r>
      <w:proofErr w:type="spellEnd"/>
      <w:r>
        <w:rPr>
          <w:rFonts w:ascii="Arial" w:hAnsi="Arial" w:cs="Arial"/>
          <w:color w:val="000000"/>
          <w:sz w:val="22"/>
          <w:szCs w:val="22"/>
        </w:rPr>
        <w:t xml:space="preserve"> et al., 1992).</w:t>
      </w:r>
    </w:p>
    <w:p w:rsidR="006E7ABC" w:rsidRDefault="006E7ABC" w:rsidP="006E7ABC">
      <w:pPr>
        <w:pStyle w:val="NormalWeb"/>
        <w:spacing w:before="0" w:beforeAutospacing="0" w:after="160" w:afterAutospacing="0"/>
      </w:pPr>
      <w:r>
        <w:rPr>
          <w:rFonts w:ascii="Arial" w:hAnsi="Arial" w:cs="Arial"/>
          <w:color w:val="000000"/>
          <w:sz w:val="22"/>
          <w:szCs w:val="22"/>
        </w:rPr>
        <w:t xml:space="preserve">Employee involvement at its core focuses on consultation and sharing knowledge with employees beyond senior management, with a top-down approach. Examples of this employee involvement at its most basic form include team briefings or newsletters that communicate key organisational information to broaden employee understanding of the current operations of the business, regardless to its relevance to the </w:t>
      </w:r>
      <w:proofErr w:type="gramStart"/>
      <w:r>
        <w:rPr>
          <w:rFonts w:ascii="Arial" w:hAnsi="Arial" w:cs="Arial"/>
          <w:color w:val="000000"/>
          <w:sz w:val="22"/>
          <w:szCs w:val="22"/>
        </w:rPr>
        <w:t>employees</w:t>
      </w:r>
      <w:proofErr w:type="gramEnd"/>
      <w:r>
        <w:rPr>
          <w:rFonts w:ascii="Arial" w:hAnsi="Arial" w:cs="Arial"/>
          <w:color w:val="000000"/>
          <w:sz w:val="22"/>
          <w:szCs w:val="22"/>
        </w:rPr>
        <w:t xml:space="preserve"> day-to-day tasks (</w:t>
      </w:r>
      <w:proofErr w:type="spellStart"/>
      <w:r>
        <w:rPr>
          <w:rFonts w:ascii="Arial" w:hAnsi="Arial" w:cs="Arial"/>
          <w:color w:val="000000"/>
          <w:sz w:val="22"/>
          <w:szCs w:val="22"/>
        </w:rPr>
        <w:t>Johnstone</w:t>
      </w:r>
      <w:proofErr w:type="spellEnd"/>
      <w:r>
        <w:rPr>
          <w:rFonts w:ascii="Arial" w:hAnsi="Arial" w:cs="Arial"/>
          <w:color w:val="000000"/>
          <w:sz w:val="22"/>
          <w:szCs w:val="22"/>
        </w:rPr>
        <w:t xml:space="preserve"> &amp; Ackers, 2015; </w:t>
      </w:r>
      <w:proofErr w:type="spellStart"/>
      <w:r>
        <w:rPr>
          <w:rFonts w:ascii="Arial" w:hAnsi="Arial" w:cs="Arial"/>
          <w:color w:val="000000"/>
          <w:sz w:val="22"/>
          <w:szCs w:val="22"/>
        </w:rPr>
        <w:t>Marchington</w:t>
      </w:r>
      <w:proofErr w:type="spellEnd"/>
      <w:r>
        <w:rPr>
          <w:rFonts w:ascii="Arial" w:hAnsi="Arial" w:cs="Arial"/>
          <w:color w:val="000000"/>
          <w:sz w:val="22"/>
          <w:szCs w:val="22"/>
        </w:rPr>
        <w:t xml:space="preserve"> et al., 1992). During this process, all final decision-making power remains with management, however, employees may sometimes be allowed to express their input and feedback, whether directly, or via surveys or focus groups, which managers may or may not take on board. This is still considered to be employee involvement, but is one step up on the escalator due to the feedback channels (</w:t>
      </w:r>
      <w:proofErr w:type="spellStart"/>
      <w:r>
        <w:rPr>
          <w:rFonts w:ascii="Arial" w:hAnsi="Arial" w:cs="Arial"/>
          <w:color w:val="000000"/>
          <w:sz w:val="22"/>
          <w:szCs w:val="22"/>
        </w:rPr>
        <w:t>Marchington</w:t>
      </w:r>
      <w:proofErr w:type="spellEnd"/>
      <w:r>
        <w:rPr>
          <w:rFonts w:ascii="Arial" w:hAnsi="Arial" w:cs="Arial"/>
          <w:color w:val="000000"/>
          <w:sz w:val="22"/>
          <w:szCs w:val="22"/>
        </w:rPr>
        <w:t xml:space="preserve"> et al., 1992). </w:t>
      </w:r>
    </w:p>
    <w:p w:rsidR="006E7ABC" w:rsidRDefault="006E7ABC" w:rsidP="006E7ABC">
      <w:pPr>
        <w:pStyle w:val="NormalWeb"/>
        <w:spacing w:before="0" w:beforeAutospacing="0" w:after="160" w:afterAutospacing="0"/>
      </w:pPr>
      <w:r>
        <w:rPr>
          <w:rFonts w:ascii="Arial" w:hAnsi="Arial" w:cs="Arial"/>
          <w:color w:val="000000"/>
          <w:sz w:val="22"/>
          <w:szCs w:val="22"/>
        </w:rPr>
        <w:t>On the other hand, employee participation has a more bottom-up approach, with the distinction lying in employees being granted the ability to share or influence decision-making power through codetermination and collaboration with management. This can include directly involving single or groups of employees in projects revolving around work design for example, or quality circles (</w:t>
      </w:r>
      <w:proofErr w:type="spellStart"/>
      <w:r>
        <w:rPr>
          <w:rFonts w:ascii="Arial" w:hAnsi="Arial" w:cs="Arial"/>
          <w:color w:val="000000"/>
          <w:sz w:val="22"/>
          <w:szCs w:val="22"/>
        </w:rPr>
        <w:t>Marchington</w:t>
      </w:r>
      <w:proofErr w:type="spellEnd"/>
      <w:r>
        <w:rPr>
          <w:rFonts w:ascii="Arial" w:hAnsi="Arial" w:cs="Arial"/>
          <w:color w:val="000000"/>
          <w:sz w:val="22"/>
          <w:szCs w:val="22"/>
        </w:rPr>
        <w:t xml:space="preserve"> et al., 1992). </w:t>
      </w:r>
    </w:p>
    <w:p w:rsidR="006E7ABC" w:rsidRDefault="006E7ABC" w:rsidP="006E7ABC">
      <w:pPr>
        <w:pStyle w:val="NormalWeb"/>
        <w:spacing w:before="0" w:beforeAutospacing="0" w:after="160" w:afterAutospacing="0"/>
      </w:pPr>
      <w:r>
        <w:rPr>
          <w:rFonts w:ascii="Arial" w:hAnsi="Arial" w:cs="Arial"/>
          <w:color w:val="000000"/>
          <w:sz w:val="22"/>
          <w:szCs w:val="22"/>
        </w:rPr>
        <w:t>At the peak of the escalator is organisational or industrial democracy, which is based on the principle that workers have a right to participate in decision-making at work, as it is something that concerns them all (</w:t>
      </w:r>
      <w:proofErr w:type="spellStart"/>
      <w:r>
        <w:rPr>
          <w:rFonts w:ascii="Arial" w:hAnsi="Arial" w:cs="Arial"/>
          <w:color w:val="000000"/>
          <w:sz w:val="22"/>
          <w:szCs w:val="22"/>
        </w:rPr>
        <w:t>Marchington</w:t>
      </w:r>
      <w:proofErr w:type="spellEnd"/>
      <w:r>
        <w:rPr>
          <w:rFonts w:ascii="Arial" w:hAnsi="Arial" w:cs="Arial"/>
          <w:color w:val="000000"/>
          <w:sz w:val="22"/>
          <w:szCs w:val="22"/>
        </w:rPr>
        <w:t xml:space="preserve"> et al., 1992; Cathcart, 2013). An example of this form of participation is John Lewis, which has adopted shared knowledge, gain and power since the formation of its constitution in 1929, bestowing each employee the title of “partner”, which grants them benefits such as a share of company profits, and elected officials that can challenge senior management on matters concerning the business. However, researchers have observed degradation in the prevalence of these shared rights, as the demand for efficiency overrides the voice of lower-level partners (Cathcart, 2013).</w:t>
      </w:r>
    </w:p>
    <w:p w:rsidR="006E7ABC" w:rsidRDefault="006E7ABC" w:rsidP="006E7ABC">
      <w:pPr>
        <w:pStyle w:val="NormalWeb"/>
        <w:spacing w:before="0" w:beforeAutospacing="0" w:after="160" w:afterAutospacing="0"/>
      </w:pPr>
      <w:r>
        <w:rPr>
          <w:rFonts w:ascii="Arial" w:hAnsi="Arial" w:cs="Arial"/>
          <w:color w:val="000000"/>
          <w:sz w:val="22"/>
          <w:szCs w:val="22"/>
        </w:rPr>
        <w:t>Within the context of a public sector merger, top-down involvement alone may not be enough to maintain trust and stability. In a volatile and changing contest like a merger, participative mechanisms enhancing voice are crucial to maintaining harmony and reducing risks of conflict.</w:t>
      </w:r>
    </w:p>
    <w:p w:rsidR="006E7ABC" w:rsidRDefault="006E7ABC" w:rsidP="006E7ABC"/>
    <w:p w:rsidR="006E7ABC" w:rsidRDefault="006E7ABC" w:rsidP="006E7ABC">
      <w:pPr>
        <w:pStyle w:val="NormalWeb"/>
        <w:shd w:val="clear" w:color="auto" w:fill="FFFFFF"/>
        <w:spacing w:before="0" w:beforeAutospacing="0" w:after="0" w:afterAutospacing="0"/>
      </w:pPr>
      <w:r>
        <w:rPr>
          <w:rFonts w:ascii="Arial" w:hAnsi="Arial" w:cs="Arial"/>
          <w:color w:val="222222"/>
          <w:sz w:val="22"/>
          <w:szCs w:val="22"/>
        </w:rPr>
        <w:t>1.2</w:t>
      </w:r>
    </w:p>
    <w:p w:rsidR="006E7ABC" w:rsidRDefault="006E7ABC" w:rsidP="006E7ABC">
      <w:pPr>
        <w:pStyle w:val="NormalWeb"/>
        <w:shd w:val="clear" w:color="auto" w:fill="FFFFFF"/>
        <w:spacing w:before="0" w:beforeAutospacing="0" w:after="0" w:afterAutospacing="0"/>
      </w:pPr>
    </w:p>
    <w:p w:rsidR="006E7ABC" w:rsidRDefault="006E7ABC" w:rsidP="006E7ABC">
      <w:pPr>
        <w:pStyle w:val="NormalWeb"/>
        <w:shd w:val="clear" w:color="auto" w:fill="FFFFFF"/>
        <w:spacing w:before="0" w:beforeAutospacing="0" w:after="0" w:afterAutospacing="0"/>
      </w:pPr>
      <w:r>
        <w:rPr>
          <w:rFonts w:ascii="Arial" w:hAnsi="Arial" w:cs="Arial"/>
          <w:color w:val="222222"/>
          <w:sz w:val="22"/>
          <w:szCs w:val="22"/>
        </w:rPr>
        <w:t xml:space="preserve">Non-union employee representation can come in many different forms, including staff surveys and focus groups. Another form is a works council or forum, either set up proactively by the employer or formed following a formal request by at least 15 employees or 2% of the workforce. As set out in the Information and Consultation of Employees (ICE) Regulations of 2004, any organisations with 50 or more employees, by law, must make consultation arrangements upon request, to keep them informed about key organisational issues aside from TUPE, redundancy, health and safety and pensions, which should all have separate consultation channels (CIPD, 2022; CIPD, 2025; ICE Regulations, 2004). The best practice is allowing employees to elect staff representatives to ensure a democratic process, rather </w:t>
      </w:r>
      <w:r>
        <w:rPr>
          <w:rFonts w:ascii="Arial" w:hAnsi="Arial" w:cs="Arial"/>
          <w:color w:val="222222"/>
          <w:sz w:val="22"/>
          <w:szCs w:val="22"/>
        </w:rPr>
        <w:lastRenderedPageBreak/>
        <w:t>than having management appoint representatives themselves, although this is not a strict requirement of the ICE regulations.</w:t>
      </w:r>
    </w:p>
    <w:p w:rsidR="006E7ABC" w:rsidRDefault="006E7ABC" w:rsidP="006E7ABC">
      <w:pPr>
        <w:pStyle w:val="NormalWeb"/>
        <w:shd w:val="clear" w:color="auto" w:fill="FFFFFF"/>
        <w:spacing w:before="0" w:beforeAutospacing="0" w:after="0" w:afterAutospacing="0"/>
      </w:pPr>
      <w:r>
        <w:rPr>
          <w:rFonts w:ascii="Arial" w:hAnsi="Arial" w:cs="Arial"/>
          <w:color w:val="222222"/>
          <w:sz w:val="22"/>
          <w:szCs w:val="22"/>
        </w:rPr>
        <w:t xml:space="preserve">ICE forums are meant for the purpose of improving workforce communication by keeping workers informed of organisational goals and </w:t>
      </w:r>
      <w:proofErr w:type="spellStart"/>
      <w:r>
        <w:rPr>
          <w:rFonts w:ascii="Arial" w:hAnsi="Arial" w:cs="Arial"/>
          <w:color w:val="222222"/>
          <w:sz w:val="22"/>
          <w:szCs w:val="22"/>
        </w:rPr>
        <w:t>ongoing</w:t>
      </w:r>
      <w:proofErr w:type="spellEnd"/>
      <w:r>
        <w:rPr>
          <w:rFonts w:ascii="Arial" w:hAnsi="Arial" w:cs="Arial"/>
          <w:color w:val="222222"/>
          <w:sz w:val="22"/>
          <w:szCs w:val="22"/>
        </w:rPr>
        <w:t xml:space="preserve"> changes, and allowing employees to voice ideas and concerns. However, ICE forums are not designed for negotiating over contracts and </w:t>
      </w:r>
      <w:proofErr w:type="gramStart"/>
      <w:r>
        <w:rPr>
          <w:rFonts w:ascii="Arial" w:hAnsi="Arial" w:cs="Arial"/>
          <w:color w:val="222222"/>
          <w:sz w:val="22"/>
          <w:szCs w:val="22"/>
        </w:rPr>
        <w:t>pay,</w:t>
      </w:r>
      <w:proofErr w:type="gramEnd"/>
      <w:r>
        <w:rPr>
          <w:rFonts w:ascii="Arial" w:hAnsi="Arial" w:cs="Arial"/>
          <w:color w:val="222222"/>
          <w:sz w:val="22"/>
          <w:szCs w:val="22"/>
        </w:rPr>
        <w:t xml:space="preserve"> this should only be done through the collective bargaining power of trade unions (CIPD, 2022).</w:t>
      </w:r>
    </w:p>
    <w:p w:rsidR="006E7ABC" w:rsidRDefault="006E7ABC" w:rsidP="006E7ABC">
      <w:pPr>
        <w:pStyle w:val="NormalWeb"/>
        <w:shd w:val="clear" w:color="auto" w:fill="FFFFFF"/>
        <w:spacing w:before="0" w:beforeAutospacing="0" w:after="0" w:afterAutospacing="0"/>
      </w:pPr>
      <w:r>
        <w:rPr>
          <w:rFonts w:ascii="Arial" w:hAnsi="Arial" w:cs="Arial"/>
          <w:color w:val="222222"/>
          <w:sz w:val="22"/>
          <w:szCs w:val="22"/>
        </w:rPr>
        <w:t>Trade unions are external bodies that represent their members, offering their expertise in settling trade disputes, and generally attempting to improve conditions for workers. They can assist in individual or collective disputes surrounding all sorts of issues including terms and conditions of employment, matters of discipline, negotiation, termination and suspension and more, however, the trade union must be officially recognised by the employer to engage in collective bargaining (Bell, 2021; CIPD, 2024; TUC 2023). Trade union recognition and representation is far more common in public sector organisations at 30%, with only 12% of private sector organisations (CIPD, 2022). Leaders should be aware of this, and be prepared to work constructively alongside unions during the merger. Research suggests that workplaces with collective bargaining typically have higher pay, better health and safety, and other benefits such as holiday and family-friendly measures (Bell, 2021).</w:t>
      </w:r>
    </w:p>
    <w:p w:rsidR="006E7ABC" w:rsidRDefault="006E7ABC" w:rsidP="006E7ABC"/>
    <w:p w:rsidR="006E7ABC" w:rsidRDefault="006E7ABC" w:rsidP="006E7ABC">
      <w:pPr>
        <w:pStyle w:val="NormalWeb"/>
        <w:spacing w:before="0" w:beforeAutospacing="0" w:after="200" w:afterAutospacing="0"/>
      </w:pPr>
      <w:r>
        <w:rPr>
          <w:rFonts w:ascii="Arial" w:hAnsi="Arial" w:cs="Arial"/>
          <w:color w:val="000000"/>
          <w:sz w:val="22"/>
          <w:szCs w:val="22"/>
        </w:rPr>
        <w:t>1.3 </w:t>
      </w:r>
    </w:p>
    <w:p w:rsidR="006E7ABC" w:rsidRDefault="006E7ABC" w:rsidP="006E7ABC">
      <w:pPr>
        <w:pStyle w:val="NormalWeb"/>
        <w:shd w:val="clear" w:color="auto" w:fill="FFFFFF"/>
        <w:spacing w:before="0" w:beforeAutospacing="0" w:after="0" w:afterAutospacing="0"/>
      </w:pPr>
      <w:r>
        <w:rPr>
          <w:rFonts w:ascii="Arial" w:hAnsi="Arial" w:cs="Arial"/>
          <w:color w:val="222222"/>
          <w:sz w:val="22"/>
          <w:szCs w:val="22"/>
        </w:rPr>
        <w:t>Employee voice is a way for employees to express their viewpoints, ideas and concerns on work-related matters and can include individual or collective voice as well as direct and</w:t>
      </w:r>
    </w:p>
    <w:p w:rsidR="006E7ABC" w:rsidRDefault="006E7ABC" w:rsidP="006E7ABC">
      <w:pPr>
        <w:pStyle w:val="NormalWeb"/>
        <w:shd w:val="clear" w:color="auto" w:fill="FFFFFF"/>
        <w:spacing w:before="0" w:beforeAutospacing="0" w:after="0" w:afterAutospacing="0"/>
      </w:pPr>
      <w:proofErr w:type="gramStart"/>
      <w:r>
        <w:rPr>
          <w:rFonts w:ascii="Arial" w:hAnsi="Arial" w:cs="Arial"/>
          <w:color w:val="222222"/>
          <w:sz w:val="22"/>
          <w:szCs w:val="22"/>
        </w:rPr>
        <w:t>indirect</w:t>
      </w:r>
      <w:proofErr w:type="gramEnd"/>
      <w:r>
        <w:rPr>
          <w:rFonts w:ascii="Arial" w:hAnsi="Arial" w:cs="Arial"/>
          <w:color w:val="222222"/>
          <w:sz w:val="22"/>
          <w:szCs w:val="22"/>
        </w:rPr>
        <w:t xml:space="preserve"> channels. In essence, employee voice facilitates a dialogue between management</w:t>
      </w:r>
    </w:p>
    <w:p w:rsidR="006E7ABC" w:rsidRDefault="006E7ABC" w:rsidP="006E7ABC">
      <w:pPr>
        <w:pStyle w:val="NormalWeb"/>
        <w:shd w:val="clear" w:color="auto" w:fill="FFFFFF"/>
        <w:spacing w:before="0" w:beforeAutospacing="0" w:after="0" w:afterAutospacing="0"/>
      </w:pPr>
      <w:proofErr w:type="gramStart"/>
      <w:r>
        <w:rPr>
          <w:rFonts w:ascii="Arial" w:hAnsi="Arial" w:cs="Arial"/>
          <w:color w:val="222222"/>
          <w:sz w:val="22"/>
          <w:szCs w:val="22"/>
        </w:rPr>
        <w:t>and</w:t>
      </w:r>
      <w:proofErr w:type="gramEnd"/>
      <w:r>
        <w:rPr>
          <w:rFonts w:ascii="Arial" w:hAnsi="Arial" w:cs="Arial"/>
          <w:color w:val="222222"/>
          <w:sz w:val="22"/>
          <w:szCs w:val="22"/>
        </w:rPr>
        <w:t xml:space="preserve"> the workforce, ensuring employees are informed and consulted about relevant</w:t>
      </w:r>
    </w:p>
    <w:p w:rsidR="006E7ABC" w:rsidRDefault="006E7ABC" w:rsidP="006E7ABC">
      <w:pPr>
        <w:pStyle w:val="NormalWeb"/>
        <w:shd w:val="clear" w:color="auto" w:fill="FFFFFF"/>
        <w:spacing w:before="0" w:beforeAutospacing="0" w:after="0" w:afterAutospacing="0"/>
      </w:pPr>
      <w:proofErr w:type="gramStart"/>
      <w:r>
        <w:rPr>
          <w:rFonts w:ascii="Arial" w:hAnsi="Arial" w:cs="Arial"/>
          <w:color w:val="222222"/>
          <w:sz w:val="22"/>
          <w:szCs w:val="22"/>
        </w:rPr>
        <w:t>developments</w:t>
      </w:r>
      <w:proofErr w:type="gramEnd"/>
      <w:r>
        <w:rPr>
          <w:rFonts w:ascii="Arial" w:hAnsi="Arial" w:cs="Arial"/>
          <w:color w:val="222222"/>
          <w:sz w:val="22"/>
          <w:szCs w:val="22"/>
        </w:rPr>
        <w:t>, and can allow employees to influence and shape their own working life, as</w:t>
      </w:r>
    </w:p>
    <w:p w:rsidR="006E7ABC" w:rsidRDefault="006E7ABC" w:rsidP="006E7ABC">
      <w:pPr>
        <w:pStyle w:val="NormalWeb"/>
        <w:shd w:val="clear" w:color="auto" w:fill="FFFFFF"/>
        <w:spacing w:before="0" w:beforeAutospacing="0" w:after="0" w:afterAutospacing="0"/>
      </w:pPr>
      <w:proofErr w:type="gramStart"/>
      <w:r>
        <w:rPr>
          <w:rFonts w:ascii="Arial" w:hAnsi="Arial" w:cs="Arial"/>
          <w:color w:val="222222"/>
          <w:sz w:val="22"/>
          <w:szCs w:val="22"/>
        </w:rPr>
        <w:t>well</w:t>
      </w:r>
      <w:proofErr w:type="gramEnd"/>
      <w:r>
        <w:rPr>
          <w:rFonts w:ascii="Arial" w:hAnsi="Arial" w:cs="Arial"/>
          <w:color w:val="222222"/>
          <w:sz w:val="22"/>
          <w:szCs w:val="22"/>
        </w:rPr>
        <w:t xml:space="preserve"> as make suggestions towards improving organisational performance, which may offer a</w:t>
      </w:r>
    </w:p>
    <w:p w:rsidR="006E7ABC" w:rsidRDefault="006E7ABC" w:rsidP="006E7ABC">
      <w:pPr>
        <w:pStyle w:val="NormalWeb"/>
        <w:shd w:val="clear" w:color="auto" w:fill="FFFFFF"/>
        <w:spacing w:before="0" w:beforeAutospacing="0" w:after="0" w:afterAutospacing="0"/>
      </w:pPr>
      <w:proofErr w:type="gramStart"/>
      <w:r>
        <w:rPr>
          <w:rFonts w:ascii="Arial" w:hAnsi="Arial" w:cs="Arial"/>
          <w:color w:val="222222"/>
          <w:sz w:val="22"/>
          <w:szCs w:val="22"/>
        </w:rPr>
        <w:t>unique</w:t>
      </w:r>
      <w:proofErr w:type="gramEnd"/>
      <w:r>
        <w:rPr>
          <w:rFonts w:ascii="Arial" w:hAnsi="Arial" w:cs="Arial"/>
          <w:color w:val="222222"/>
          <w:sz w:val="22"/>
          <w:szCs w:val="22"/>
        </w:rPr>
        <w:t xml:space="preserve"> perspective to ideas expressed at a managerial level, that can be leveraged into a</w:t>
      </w:r>
    </w:p>
    <w:p w:rsidR="006E7ABC" w:rsidRDefault="006E7ABC" w:rsidP="006E7ABC">
      <w:pPr>
        <w:pStyle w:val="NormalWeb"/>
        <w:shd w:val="clear" w:color="auto" w:fill="FFFFFF"/>
        <w:spacing w:before="0" w:beforeAutospacing="0" w:after="0" w:afterAutospacing="0"/>
      </w:pPr>
      <w:proofErr w:type="gramStart"/>
      <w:r>
        <w:rPr>
          <w:rFonts w:ascii="Arial" w:hAnsi="Arial" w:cs="Arial"/>
          <w:color w:val="222222"/>
          <w:sz w:val="22"/>
          <w:szCs w:val="22"/>
        </w:rPr>
        <w:t>competitive</w:t>
      </w:r>
      <w:proofErr w:type="gramEnd"/>
      <w:r>
        <w:rPr>
          <w:rFonts w:ascii="Arial" w:hAnsi="Arial" w:cs="Arial"/>
          <w:color w:val="222222"/>
          <w:sz w:val="22"/>
          <w:szCs w:val="22"/>
        </w:rPr>
        <w:t xml:space="preserve"> advantage (Kim and Cho, 2023; Mori et al., 2022; CIPD, 2025; Young and Tong,</w:t>
      </w:r>
    </w:p>
    <w:p w:rsidR="006E7ABC" w:rsidRDefault="006E7ABC" w:rsidP="006E7ABC">
      <w:pPr>
        <w:pStyle w:val="NormalWeb"/>
        <w:shd w:val="clear" w:color="auto" w:fill="FFFFFF"/>
        <w:spacing w:before="0" w:beforeAutospacing="0" w:after="0" w:afterAutospacing="0"/>
      </w:pPr>
      <w:r>
        <w:rPr>
          <w:rFonts w:ascii="Arial" w:hAnsi="Arial" w:cs="Arial"/>
          <w:color w:val="222222"/>
          <w:sz w:val="22"/>
          <w:szCs w:val="22"/>
        </w:rPr>
        <w:t>2025).</w:t>
      </w:r>
    </w:p>
    <w:p w:rsidR="006E7ABC" w:rsidRDefault="006E7ABC" w:rsidP="006E7ABC">
      <w:pPr>
        <w:pStyle w:val="NormalWeb"/>
        <w:shd w:val="clear" w:color="auto" w:fill="FFFFFF"/>
        <w:spacing w:before="0" w:beforeAutospacing="0" w:after="0" w:afterAutospacing="0"/>
      </w:pPr>
      <w:r>
        <w:rPr>
          <w:rFonts w:ascii="Arial" w:hAnsi="Arial" w:cs="Arial"/>
          <w:color w:val="222222"/>
          <w:sz w:val="22"/>
          <w:szCs w:val="22"/>
        </w:rPr>
        <w:t xml:space="preserve">Employee voice is </w:t>
      </w:r>
      <w:proofErr w:type="gramStart"/>
      <w:r>
        <w:rPr>
          <w:rFonts w:ascii="Arial" w:hAnsi="Arial" w:cs="Arial"/>
          <w:color w:val="222222"/>
          <w:sz w:val="22"/>
          <w:szCs w:val="22"/>
        </w:rPr>
        <w:t>key</w:t>
      </w:r>
      <w:proofErr w:type="gramEnd"/>
      <w:r>
        <w:rPr>
          <w:rFonts w:ascii="Arial" w:hAnsi="Arial" w:cs="Arial"/>
          <w:color w:val="222222"/>
          <w:sz w:val="22"/>
          <w:szCs w:val="22"/>
        </w:rPr>
        <w:t xml:space="preserve"> to eliminating conflict between employers and employees, and having an avenue to effectively resolve issues may reduce turnover due to dissatisfaction.</w:t>
      </w:r>
    </w:p>
    <w:p w:rsidR="006E7ABC" w:rsidRDefault="006E7ABC" w:rsidP="006E7ABC">
      <w:pPr>
        <w:pStyle w:val="NormalWeb"/>
        <w:shd w:val="clear" w:color="auto" w:fill="FFFFFF"/>
        <w:spacing w:before="0" w:beforeAutospacing="0" w:after="0" w:afterAutospacing="0"/>
      </w:pPr>
      <w:r>
        <w:rPr>
          <w:rFonts w:ascii="Arial" w:hAnsi="Arial" w:cs="Arial"/>
          <w:color w:val="222222"/>
          <w:sz w:val="22"/>
          <w:szCs w:val="22"/>
        </w:rPr>
        <w:t xml:space="preserve">Hirschman developed a theory called exit-voice-loyalty, stating that </w:t>
      </w:r>
      <w:proofErr w:type="gramStart"/>
      <w:r>
        <w:rPr>
          <w:rFonts w:ascii="Arial" w:hAnsi="Arial" w:cs="Arial"/>
          <w:color w:val="222222"/>
          <w:sz w:val="22"/>
          <w:szCs w:val="22"/>
        </w:rPr>
        <w:t>employees</w:t>
      </w:r>
      <w:proofErr w:type="gramEnd"/>
      <w:r>
        <w:rPr>
          <w:rFonts w:ascii="Arial" w:hAnsi="Arial" w:cs="Arial"/>
          <w:color w:val="222222"/>
          <w:sz w:val="22"/>
          <w:szCs w:val="22"/>
        </w:rPr>
        <w:t xml:space="preserve"> respond two</w:t>
      </w:r>
    </w:p>
    <w:p w:rsidR="006E7ABC" w:rsidRDefault="006E7ABC" w:rsidP="006E7ABC">
      <w:pPr>
        <w:pStyle w:val="NormalWeb"/>
        <w:shd w:val="clear" w:color="auto" w:fill="FFFFFF"/>
        <w:spacing w:before="0" w:beforeAutospacing="0" w:after="0" w:afterAutospacing="0"/>
      </w:pPr>
      <w:proofErr w:type="gramStart"/>
      <w:r>
        <w:rPr>
          <w:rFonts w:ascii="Arial" w:hAnsi="Arial" w:cs="Arial"/>
          <w:color w:val="222222"/>
          <w:sz w:val="22"/>
          <w:szCs w:val="22"/>
        </w:rPr>
        <w:t>ways</w:t>
      </w:r>
      <w:proofErr w:type="gramEnd"/>
      <w:r>
        <w:rPr>
          <w:rFonts w:ascii="Arial" w:hAnsi="Arial" w:cs="Arial"/>
          <w:color w:val="222222"/>
          <w:sz w:val="22"/>
          <w:szCs w:val="22"/>
        </w:rPr>
        <w:t xml:space="preserve"> to unsatisfactory conditions at work; either by leaving the organisation, or by</w:t>
      </w:r>
    </w:p>
    <w:p w:rsidR="006E7ABC" w:rsidRDefault="006E7ABC" w:rsidP="006E7ABC">
      <w:pPr>
        <w:pStyle w:val="NormalWeb"/>
        <w:shd w:val="clear" w:color="auto" w:fill="FFFFFF"/>
        <w:spacing w:before="0" w:beforeAutospacing="0" w:after="0" w:afterAutospacing="0"/>
      </w:pPr>
      <w:proofErr w:type="gramStart"/>
      <w:r>
        <w:rPr>
          <w:rFonts w:ascii="Arial" w:hAnsi="Arial" w:cs="Arial"/>
          <w:color w:val="222222"/>
          <w:sz w:val="22"/>
          <w:szCs w:val="22"/>
        </w:rPr>
        <w:t>expressing</w:t>
      </w:r>
      <w:proofErr w:type="gramEnd"/>
      <w:r>
        <w:rPr>
          <w:rFonts w:ascii="Arial" w:hAnsi="Arial" w:cs="Arial"/>
          <w:color w:val="222222"/>
          <w:sz w:val="22"/>
          <w:szCs w:val="22"/>
        </w:rPr>
        <w:t xml:space="preserve"> their concerns so that they can be addressed and the organisation can be</w:t>
      </w:r>
    </w:p>
    <w:p w:rsidR="006E7ABC" w:rsidRDefault="006E7ABC" w:rsidP="006E7ABC">
      <w:pPr>
        <w:pStyle w:val="NormalWeb"/>
        <w:shd w:val="clear" w:color="auto" w:fill="FFFFFF"/>
        <w:spacing w:before="0" w:beforeAutospacing="0" w:after="0" w:afterAutospacing="0"/>
      </w:pPr>
      <w:proofErr w:type="gramStart"/>
      <w:r>
        <w:rPr>
          <w:rFonts w:ascii="Arial" w:hAnsi="Arial" w:cs="Arial"/>
          <w:color w:val="222222"/>
          <w:sz w:val="22"/>
          <w:szCs w:val="22"/>
        </w:rPr>
        <w:t>improved</w:t>
      </w:r>
      <w:proofErr w:type="gramEnd"/>
      <w:r>
        <w:rPr>
          <w:rFonts w:ascii="Arial" w:hAnsi="Arial" w:cs="Arial"/>
          <w:color w:val="222222"/>
          <w:sz w:val="22"/>
          <w:szCs w:val="22"/>
        </w:rPr>
        <w:t xml:space="preserve"> (</w:t>
      </w:r>
      <w:proofErr w:type="spellStart"/>
      <w:r>
        <w:rPr>
          <w:rFonts w:ascii="Arial" w:hAnsi="Arial" w:cs="Arial"/>
          <w:color w:val="222222"/>
          <w:sz w:val="22"/>
          <w:szCs w:val="22"/>
        </w:rPr>
        <w:t>Nwizia</w:t>
      </w:r>
      <w:proofErr w:type="spellEnd"/>
      <w:r>
        <w:rPr>
          <w:rFonts w:ascii="Arial" w:hAnsi="Arial" w:cs="Arial"/>
          <w:color w:val="222222"/>
          <w:sz w:val="22"/>
          <w:szCs w:val="22"/>
        </w:rPr>
        <w:t xml:space="preserve"> and Saale, 2022; Hirschman, 1970).</w:t>
      </w:r>
    </w:p>
    <w:p w:rsidR="006E7ABC" w:rsidRDefault="006E7ABC" w:rsidP="006E7ABC">
      <w:pPr>
        <w:pStyle w:val="NormalWeb"/>
        <w:shd w:val="clear" w:color="auto" w:fill="FFFFFF"/>
        <w:spacing w:before="0" w:beforeAutospacing="0" w:after="0" w:afterAutospacing="0"/>
      </w:pPr>
      <w:r>
        <w:rPr>
          <w:rFonts w:ascii="Arial" w:hAnsi="Arial" w:cs="Arial"/>
          <w:color w:val="222222"/>
          <w:sz w:val="22"/>
          <w:szCs w:val="22"/>
        </w:rPr>
        <w:t>Morrison (2023) conceptualised ‘silence’, in reference to when employees do not speak up about work-related issues, problems and unfair treatment. They may remain silent due to the</w:t>
      </w:r>
    </w:p>
    <w:p w:rsidR="006E7ABC" w:rsidRDefault="006E7ABC" w:rsidP="006E7ABC">
      <w:pPr>
        <w:pStyle w:val="NormalWeb"/>
        <w:shd w:val="clear" w:color="auto" w:fill="FFFFFF"/>
        <w:spacing w:before="0" w:beforeAutospacing="0" w:after="0" w:afterAutospacing="0"/>
      </w:pPr>
      <w:proofErr w:type="gramStart"/>
      <w:r>
        <w:rPr>
          <w:rFonts w:ascii="Arial" w:hAnsi="Arial" w:cs="Arial"/>
          <w:color w:val="222222"/>
          <w:sz w:val="22"/>
          <w:szCs w:val="22"/>
        </w:rPr>
        <w:t>culture</w:t>
      </w:r>
      <w:proofErr w:type="gramEnd"/>
      <w:r>
        <w:rPr>
          <w:rFonts w:ascii="Arial" w:hAnsi="Arial" w:cs="Arial"/>
          <w:color w:val="222222"/>
          <w:sz w:val="22"/>
          <w:szCs w:val="22"/>
        </w:rPr>
        <w:t xml:space="preserve"> of the organisation, whether they feel that there is enough encouragement or</w:t>
      </w:r>
    </w:p>
    <w:p w:rsidR="006E7ABC" w:rsidRDefault="006E7ABC" w:rsidP="006E7ABC">
      <w:pPr>
        <w:pStyle w:val="NormalWeb"/>
        <w:shd w:val="clear" w:color="auto" w:fill="FFFFFF"/>
        <w:spacing w:before="0" w:beforeAutospacing="0" w:after="0" w:afterAutospacing="0"/>
      </w:pPr>
      <w:proofErr w:type="gramStart"/>
      <w:r>
        <w:rPr>
          <w:rFonts w:ascii="Arial" w:hAnsi="Arial" w:cs="Arial"/>
          <w:color w:val="222222"/>
          <w:sz w:val="22"/>
          <w:szCs w:val="22"/>
        </w:rPr>
        <w:t>psychological</w:t>
      </w:r>
      <w:proofErr w:type="gramEnd"/>
      <w:r>
        <w:rPr>
          <w:rFonts w:ascii="Arial" w:hAnsi="Arial" w:cs="Arial"/>
          <w:color w:val="222222"/>
          <w:sz w:val="22"/>
          <w:szCs w:val="22"/>
        </w:rPr>
        <w:t xml:space="preserve"> safety to voice their opinion or actually be listened to by their employers</w:t>
      </w:r>
    </w:p>
    <w:p w:rsidR="006E7ABC" w:rsidRDefault="006E7ABC" w:rsidP="006E7ABC">
      <w:pPr>
        <w:pStyle w:val="NormalWeb"/>
        <w:shd w:val="clear" w:color="auto" w:fill="FFFFFF"/>
        <w:spacing w:before="0" w:beforeAutospacing="0" w:after="0" w:afterAutospacing="0"/>
      </w:pPr>
      <w:proofErr w:type="gramStart"/>
      <w:r>
        <w:rPr>
          <w:rFonts w:ascii="Arial" w:hAnsi="Arial" w:cs="Arial"/>
          <w:color w:val="222222"/>
          <w:sz w:val="22"/>
          <w:szCs w:val="22"/>
        </w:rPr>
        <w:t xml:space="preserve">(Morrison, 2023; Kim and Cho, 2023; </w:t>
      </w:r>
      <w:proofErr w:type="spellStart"/>
      <w:r>
        <w:rPr>
          <w:rFonts w:ascii="Arial" w:hAnsi="Arial" w:cs="Arial"/>
          <w:color w:val="222222"/>
          <w:sz w:val="22"/>
          <w:szCs w:val="22"/>
        </w:rPr>
        <w:t>IPAa</w:t>
      </w:r>
      <w:proofErr w:type="spellEnd"/>
      <w:r>
        <w:rPr>
          <w:rFonts w:ascii="Arial" w:hAnsi="Arial" w:cs="Arial"/>
          <w:color w:val="222222"/>
          <w:sz w:val="22"/>
          <w:szCs w:val="22"/>
        </w:rPr>
        <w:t xml:space="preserve">, </w:t>
      </w:r>
      <w:proofErr w:type="spellStart"/>
      <w:r>
        <w:rPr>
          <w:rFonts w:ascii="Arial" w:hAnsi="Arial" w:cs="Arial"/>
          <w:color w:val="222222"/>
          <w:sz w:val="22"/>
          <w:szCs w:val="22"/>
        </w:rPr>
        <w:t>n.d.</w:t>
      </w:r>
      <w:proofErr w:type="spellEnd"/>
      <w:r>
        <w:rPr>
          <w:rFonts w:ascii="Arial" w:hAnsi="Arial" w:cs="Arial"/>
          <w:color w:val="222222"/>
          <w:sz w:val="22"/>
          <w:szCs w:val="22"/>
        </w:rPr>
        <w:t>; CIPD, 2025).</w:t>
      </w:r>
      <w:proofErr w:type="gramEnd"/>
      <w:r>
        <w:rPr>
          <w:rFonts w:ascii="Arial" w:hAnsi="Arial" w:cs="Arial"/>
          <w:color w:val="222222"/>
          <w:sz w:val="22"/>
          <w:szCs w:val="22"/>
        </w:rPr>
        <w:t xml:space="preserve"> Willingness to express voice</w:t>
      </w:r>
    </w:p>
    <w:p w:rsidR="006E7ABC" w:rsidRDefault="006E7ABC" w:rsidP="006E7ABC">
      <w:pPr>
        <w:pStyle w:val="NormalWeb"/>
        <w:shd w:val="clear" w:color="auto" w:fill="FFFFFF"/>
        <w:spacing w:before="0" w:beforeAutospacing="0" w:after="0" w:afterAutospacing="0"/>
      </w:pPr>
      <w:proofErr w:type="gramStart"/>
      <w:r>
        <w:rPr>
          <w:rFonts w:ascii="Arial" w:hAnsi="Arial" w:cs="Arial"/>
          <w:color w:val="222222"/>
          <w:sz w:val="22"/>
          <w:szCs w:val="22"/>
        </w:rPr>
        <w:t>could</w:t>
      </w:r>
      <w:proofErr w:type="gramEnd"/>
      <w:r>
        <w:rPr>
          <w:rFonts w:ascii="Arial" w:hAnsi="Arial" w:cs="Arial"/>
          <w:color w:val="222222"/>
          <w:sz w:val="22"/>
          <w:szCs w:val="22"/>
        </w:rPr>
        <w:t xml:space="preserve"> depend on the cultural distance, which is whether or not employees feel as though</w:t>
      </w:r>
    </w:p>
    <w:p w:rsidR="006E7ABC" w:rsidRDefault="006E7ABC" w:rsidP="006E7ABC">
      <w:pPr>
        <w:pStyle w:val="NormalWeb"/>
        <w:shd w:val="clear" w:color="auto" w:fill="FFFFFF"/>
        <w:spacing w:before="0" w:beforeAutospacing="0" w:after="0" w:afterAutospacing="0"/>
      </w:pPr>
      <w:proofErr w:type="gramStart"/>
      <w:r>
        <w:rPr>
          <w:rFonts w:ascii="Arial" w:hAnsi="Arial" w:cs="Arial"/>
          <w:color w:val="222222"/>
          <w:sz w:val="22"/>
          <w:szCs w:val="22"/>
        </w:rPr>
        <w:t>they</w:t>
      </w:r>
      <w:proofErr w:type="gramEnd"/>
      <w:r>
        <w:rPr>
          <w:rFonts w:ascii="Arial" w:hAnsi="Arial" w:cs="Arial"/>
          <w:color w:val="222222"/>
          <w:sz w:val="22"/>
          <w:szCs w:val="22"/>
        </w:rPr>
        <w:t xml:space="preserve"> can make suggestions without it being misinterpreted or perceived as a challenge to the</w:t>
      </w:r>
    </w:p>
    <w:p w:rsidR="006E7ABC" w:rsidRDefault="006E7ABC" w:rsidP="006E7ABC">
      <w:pPr>
        <w:pStyle w:val="NormalWeb"/>
        <w:shd w:val="clear" w:color="auto" w:fill="FFFFFF"/>
        <w:spacing w:before="0" w:beforeAutospacing="0" w:after="0" w:afterAutospacing="0"/>
      </w:pPr>
      <w:proofErr w:type="gramStart"/>
      <w:r>
        <w:rPr>
          <w:rFonts w:ascii="Arial" w:hAnsi="Arial" w:cs="Arial"/>
          <w:color w:val="222222"/>
          <w:sz w:val="22"/>
          <w:szCs w:val="22"/>
        </w:rPr>
        <w:t>status</w:t>
      </w:r>
      <w:proofErr w:type="gramEnd"/>
      <w:r>
        <w:rPr>
          <w:rFonts w:ascii="Arial" w:hAnsi="Arial" w:cs="Arial"/>
          <w:color w:val="222222"/>
          <w:sz w:val="22"/>
          <w:szCs w:val="22"/>
        </w:rPr>
        <w:t xml:space="preserve"> quo by their superiors (Mori et al., 2022; </w:t>
      </w:r>
      <w:proofErr w:type="spellStart"/>
      <w:r>
        <w:rPr>
          <w:rFonts w:ascii="Arial" w:hAnsi="Arial" w:cs="Arial"/>
          <w:color w:val="222222"/>
          <w:sz w:val="22"/>
          <w:szCs w:val="22"/>
        </w:rPr>
        <w:t>IPAa</w:t>
      </w:r>
      <w:proofErr w:type="spellEnd"/>
      <w:r>
        <w:rPr>
          <w:rFonts w:ascii="Arial" w:hAnsi="Arial" w:cs="Arial"/>
          <w:color w:val="222222"/>
          <w:sz w:val="22"/>
          <w:szCs w:val="22"/>
        </w:rPr>
        <w:t xml:space="preserve">, </w:t>
      </w:r>
      <w:proofErr w:type="spellStart"/>
      <w:r>
        <w:rPr>
          <w:rFonts w:ascii="Arial" w:hAnsi="Arial" w:cs="Arial"/>
          <w:color w:val="222222"/>
          <w:sz w:val="22"/>
          <w:szCs w:val="22"/>
        </w:rPr>
        <w:t>n.d.</w:t>
      </w:r>
      <w:proofErr w:type="spellEnd"/>
      <w:r>
        <w:rPr>
          <w:rFonts w:ascii="Arial" w:hAnsi="Arial" w:cs="Arial"/>
          <w:color w:val="222222"/>
          <w:sz w:val="22"/>
          <w:szCs w:val="22"/>
        </w:rPr>
        <w:t>; CIPD, 2025).</w:t>
      </w:r>
    </w:p>
    <w:p w:rsidR="006E7ABC" w:rsidRDefault="006E7ABC" w:rsidP="006E7ABC">
      <w:pPr>
        <w:pStyle w:val="NormalWeb"/>
        <w:shd w:val="clear" w:color="auto" w:fill="FFFFFF"/>
        <w:spacing w:before="0" w:beforeAutospacing="0" w:after="0" w:afterAutospacing="0"/>
      </w:pPr>
      <w:r>
        <w:rPr>
          <w:rFonts w:ascii="Arial" w:hAnsi="Arial" w:cs="Arial"/>
          <w:color w:val="222222"/>
          <w:sz w:val="22"/>
          <w:szCs w:val="22"/>
        </w:rPr>
        <w:t>It is important to note that quality of voice, from a strategic perspective, especially within</w:t>
      </w:r>
      <w:proofErr w:type="gramStart"/>
      <w:r>
        <w:rPr>
          <w:rFonts w:ascii="Arial" w:hAnsi="Arial" w:cs="Arial"/>
          <w:color w:val="222222"/>
          <w:sz w:val="22"/>
          <w:szCs w:val="22"/>
        </w:rPr>
        <w:t>  collective</w:t>
      </w:r>
      <w:proofErr w:type="gramEnd"/>
      <w:r>
        <w:rPr>
          <w:rFonts w:ascii="Arial" w:hAnsi="Arial" w:cs="Arial"/>
          <w:color w:val="222222"/>
          <w:sz w:val="22"/>
          <w:szCs w:val="22"/>
        </w:rPr>
        <w:t xml:space="preserve"> voice channels such as trade union and ICE representation, can be hindered as</w:t>
      </w:r>
      <w:r>
        <w:rPr>
          <w:rFonts w:ascii="Arial" w:hAnsi="Arial" w:cs="Arial"/>
          <w:color w:val="000000"/>
          <w:sz w:val="22"/>
          <w:szCs w:val="22"/>
        </w:rPr>
        <w:t xml:space="preserve"> </w:t>
      </w:r>
      <w:r>
        <w:rPr>
          <w:rFonts w:ascii="Arial" w:hAnsi="Arial" w:cs="Arial"/>
          <w:color w:val="222222"/>
          <w:sz w:val="22"/>
          <w:szCs w:val="22"/>
        </w:rPr>
        <w:t>conversation is dominated by trivial issues or lists of demands from employees, leaving little</w:t>
      </w:r>
      <w:r>
        <w:rPr>
          <w:rFonts w:ascii="Arial" w:hAnsi="Arial" w:cs="Arial"/>
          <w:color w:val="000000"/>
          <w:sz w:val="22"/>
          <w:szCs w:val="22"/>
        </w:rPr>
        <w:t xml:space="preserve"> </w:t>
      </w:r>
      <w:r>
        <w:rPr>
          <w:rFonts w:ascii="Arial" w:hAnsi="Arial" w:cs="Arial"/>
          <w:color w:val="222222"/>
          <w:sz w:val="22"/>
          <w:szCs w:val="22"/>
        </w:rPr>
        <w:t>room for strategic dialogue and partnership between senior management and frontline</w:t>
      </w:r>
      <w:r>
        <w:rPr>
          <w:rFonts w:ascii="Arial" w:hAnsi="Arial" w:cs="Arial"/>
          <w:color w:val="000000"/>
          <w:sz w:val="22"/>
          <w:szCs w:val="22"/>
        </w:rPr>
        <w:t xml:space="preserve"> </w:t>
      </w:r>
      <w:r>
        <w:rPr>
          <w:rFonts w:ascii="Arial" w:hAnsi="Arial" w:cs="Arial"/>
          <w:color w:val="222222"/>
          <w:sz w:val="22"/>
          <w:szCs w:val="22"/>
        </w:rPr>
        <w:t>workers (</w:t>
      </w:r>
      <w:proofErr w:type="spellStart"/>
      <w:r>
        <w:rPr>
          <w:rFonts w:ascii="Arial" w:hAnsi="Arial" w:cs="Arial"/>
          <w:color w:val="222222"/>
          <w:sz w:val="22"/>
          <w:szCs w:val="22"/>
        </w:rPr>
        <w:t>IPAb</w:t>
      </w:r>
      <w:proofErr w:type="spellEnd"/>
      <w:r>
        <w:rPr>
          <w:rFonts w:ascii="Arial" w:hAnsi="Arial" w:cs="Arial"/>
          <w:color w:val="222222"/>
          <w:sz w:val="22"/>
          <w:szCs w:val="22"/>
        </w:rPr>
        <w:t xml:space="preserve">, </w:t>
      </w:r>
      <w:proofErr w:type="spellStart"/>
      <w:r>
        <w:rPr>
          <w:rFonts w:ascii="Arial" w:hAnsi="Arial" w:cs="Arial"/>
          <w:color w:val="222222"/>
          <w:sz w:val="22"/>
          <w:szCs w:val="22"/>
        </w:rPr>
        <w:t>n.d</w:t>
      </w:r>
      <w:proofErr w:type="spellEnd"/>
      <w:r>
        <w:rPr>
          <w:rFonts w:ascii="Arial" w:hAnsi="Arial" w:cs="Arial"/>
          <w:color w:val="222222"/>
          <w:sz w:val="22"/>
          <w:szCs w:val="22"/>
        </w:rPr>
        <w:t>). To enable this, employers need to be proactive in their consultation and</w:t>
      </w:r>
      <w:r>
        <w:rPr>
          <w:rFonts w:ascii="Arial" w:hAnsi="Arial" w:cs="Arial"/>
          <w:color w:val="000000"/>
          <w:sz w:val="22"/>
          <w:szCs w:val="22"/>
        </w:rPr>
        <w:t xml:space="preserve"> </w:t>
      </w:r>
      <w:r>
        <w:rPr>
          <w:rFonts w:ascii="Arial" w:hAnsi="Arial" w:cs="Arial"/>
          <w:color w:val="222222"/>
          <w:sz w:val="22"/>
          <w:szCs w:val="22"/>
        </w:rPr>
        <w:t>information regarding organisational performance and strategy, thoroughly disclosing why</w:t>
      </w:r>
      <w:r>
        <w:rPr>
          <w:rFonts w:ascii="Arial" w:hAnsi="Arial" w:cs="Arial"/>
          <w:color w:val="000000"/>
          <w:sz w:val="22"/>
          <w:szCs w:val="22"/>
        </w:rPr>
        <w:t xml:space="preserve"> </w:t>
      </w:r>
      <w:r>
        <w:rPr>
          <w:rFonts w:ascii="Arial" w:hAnsi="Arial" w:cs="Arial"/>
          <w:color w:val="222222"/>
          <w:sz w:val="22"/>
          <w:szCs w:val="22"/>
        </w:rPr>
        <w:t>changes and decisions are made, including discussion of rejected alternatives, to build trust</w:t>
      </w:r>
      <w:r>
        <w:rPr>
          <w:rFonts w:ascii="Arial" w:hAnsi="Arial" w:cs="Arial"/>
          <w:color w:val="000000"/>
          <w:sz w:val="22"/>
          <w:szCs w:val="22"/>
        </w:rPr>
        <w:t xml:space="preserve"> </w:t>
      </w:r>
      <w:r>
        <w:rPr>
          <w:rFonts w:ascii="Arial" w:hAnsi="Arial" w:cs="Arial"/>
          <w:color w:val="222222"/>
          <w:sz w:val="22"/>
          <w:szCs w:val="22"/>
        </w:rPr>
        <w:t>and confidence and to eliminate speculation and secrecy, and promoting participation in</w:t>
      </w:r>
      <w:r>
        <w:rPr>
          <w:rFonts w:ascii="Arial" w:hAnsi="Arial" w:cs="Arial"/>
          <w:color w:val="000000"/>
          <w:sz w:val="22"/>
          <w:szCs w:val="22"/>
        </w:rPr>
        <w:t xml:space="preserve"> </w:t>
      </w:r>
      <w:r>
        <w:rPr>
          <w:rFonts w:ascii="Arial" w:hAnsi="Arial" w:cs="Arial"/>
          <w:color w:val="222222"/>
          <w:sz w:val="22"/>
          <w:szCs w:val="22"/>
        </w:rPr>
        <w:t>problem-solving and decision-making (</w:t>
      </w:r>
      <w:proofErr w:type="spellStart"/>
      <w:r>
        <w:rPr>
          <w:rFonts w:ascii="Arial" w:hAnsi="Arial" w:cs="Arial"/>
          <w:color w:val="222222"/>
          <w:sz w:val="22"/>
          <w:szCs w:val="22"/>
        </w:rPr>
        <w:t>Nwizia</w:t>
      </w:r>
      <w:proofErr w:type="spellEnd"/>
      <w:r>
        <w:rPr>
          <w:rFonts w:ascii="Arial" w:hAnsi="Arial" w:cs="Arial"/>
          <w:color w:val="222222"/>
          <w:sz w:val="22"/>
          <w:szCs w:val="22"/>
        </w:rPr>
        <w:t xml:space="preserve"> and Saale, 2022; </w:t>
      </w:r>
      <w:proofErr w:type="spellStart"/>
      <w:r>
        <w:rPr>
          <w:rFonts w:ascii="Arial" w:hAnsi="Arial" w:cs="Arial"/>
          <w:color w:val="222222"/>
          <w:sz w:val="22"/>
          <w:szCs w:val="22"/>
        </w:rPr>
        <w:t>IPAb</w:t>
      </w:r>
      <w:proofErr w:type="spellEnd"/>
      <w:r>
        <w:rPr>
          <w:rFonts w:ascii="Arial" w:hAnsi="Arial" w:cs="Arial"/>
          <w:color w:val="222222"/>
          <w:sz w:val="22"/>
          <w:szCs w:val="22"/>
        </w:rPr>
        <w:t xml:space="preserve">, </w:t>
      </w:r>
      <w:proofErr w:type="spellStart"/>
      <w:r>
        <w:rPr>
          <w:rFonts w:ascii="Arial" w:hAnsi="Arial" w:cs="Arial"/>
          <w:color w:val="222222"/>
          <w:sz w:val="22"/>
          <w:szCs w:val="22"/>
        </w:rPr>
        <w:t>n.d.</w:t>
      </w:r>
      <w:proofErr w:type="spellEnd"/>
      <w:r>
        <w:rPr>
          <w:rFonts w:ascii="Arial" w:hAnsi="Arial" w:cs="Arial"/>
          <w:color w:val="222222"/>
          <w:sz w:val="22"/>
          <w:szCs w:val="22"/>
        </w:rPr>
        <w:t>).</w:t>
      </w:r>
    </w:p>
    <w:p w:rsidR="006E7ABC" w:rsidRDefault="006E7ABC" w:rsidP="006E7ABC">
      <w:pPr>
        <w:pStyle w:val="NormalWeb"/>
        <w:shd w:val="clear" w:color="auto" w:fill="FFFFFF"/>
        <w:spacing w:before="0" w:beforeAutospacing="0" w:after="0" w:afterAutospacing="0"/>
      </w:pPr>
      <w:r>
        <w:rPr>
          <w:rFonts w:ascii="Arial" w:hAnsi="Arial" w:cs="Arial"/>
          <w:color w:val="222222"/>
          <w:sz w:val="22"/>
          <w:szCs w:val="22"/>
        </w:rPr>
        <w:lastRenderedPageBreak/>
        <w:t xml:space="preserve">Employee voice channels and transparent </w:t>
      </w:r>
      <w:proofErr w:type="spellStart"/>
      <w:r>
        <w:rPr>
          <w:rFonts w:ascii="Arial" w:hAnsi="Arial" w:cs="Arial"/>
          <w:color w:val="222222"/>
          <w:sz w:val="22"/>
          <w:szCs w:val="22"/>
        </w:rPr>
        <w:t>consulation</w:t>
      </w:r>
      <w:proofErr w:type="spellEnd"/>
      <w:r>
        <w:rPr>
          <w:rFonts w:ascii="Arial" w:hAnsi="Arial" w:cs="Arial"/>
          <w:color w:val="222222"/>
          <w:sz w:val="22"/>
          <w:szCs w:val="22"/>
        </w:rPr>
        <w:t xml:space="preserve"> are crucial during a merger to ensure that trust and psychological safety are maintained, and that the workforce stays engaged.</w:t>
      </w:r>
    </w:p>
    <w:p w:rsidR="006E7ABC" w:rsidRDefault="006E7ABC" w:rsidP="006E7ABC">
      <w:pPr>
        <w:pStyle w:val="NormalWeb"/>
        <w:shd w:val="clear" w:color="auto" w:fill="FFFFFF"/>
        <w:spacing w:before="0" w:beforeAutospacing="0" w:after="0" w:afterAutospacing="0"/>
      </w:pPr>
    </w:p>
    <w:p w:rsidR="006E7ABC" w:rsidRDefault="006E7ABC" w:rsidP="006E7ABC">
      <w:pPr>
        <w:pStyle w:val="NormalWeb"/>
        <w:shd w:val="clear" w:color="auto" w:fill="FFFFFF"/>
        <w:spacing w:before="0" w:beforeAutospacing="0" w:after="0" w:afterAutospacing="0"/>
      </w:pPr>
      <w:r>
        <w:rPr>
          <w:rFonts w:ascii="Arial" w:hAnsi="Arial" w:cs="Arial"/>
          <w:color w:val="222222"/>
          <w:sz w:val="22"/>
          <w:szCs w:val="22"/>
        </w:rPr>
        <w:t>1.4 </w:t>
      </w:r>
    </w:p>
    <w:p w:rsidR="006E7ABC" w:rsidRDefault="006E7ABC" w:rsidP="006E7ABC">
      <w:pPr>
        <w:pStyle w:val="NormalWeb"/>
        <w:shd w:val="clear" w:color="auto" w:fill="FFFFFF"/>
        <w:spacing w:before="0" w:beforeAutospacing="0" w:after="0" w:afterAutospacing="0"/>
      </w:pPr>
    </w:p>
    <w:p w:rsidR="006E7ABC" w:rsidRDefault="006E7ABC" w:rsidP="006E7ABC">
      <w:pPr>
        <w:pStyle w:val="NormalWeb"/>
        <w:shd w:val="clear" w:color="auto" w:fill="FFFFFF"/>
        <w:spacing w:before="0" w:beforeAutospacing="0" w:after="0" w:afterAutospacing="0"/>
      </w:pPr>
      <w:r>
        <w:rPr>
          <w:rFonts w:ascii="Arial" w:hAnsi="Arial" w:cs="Arial"/>
          <w:color w:val="222222"/>
          <w:sz w:val="22"/>
          <w:szCs w:val="22"/>
        </w:rPr>
        <w:t>The concept of better working lives is striving for “good work”, which in essence means a working environment that is of high quality, productive and meaningful to employees. Firstly, good work can be defined as work that is fairly rewarded and is a means to securely make a living. Good work should include opportunities for individuals to develop their skillset and progress in a fulfilling career. The working environment should be supportive but constructive, and employees should also feel that they can safely express their voice and have the autonomy to make choices surrounding their working lives. Good work should be physically and mentally healthy for workers, and they should be able to maintain a work-life balance. Finally, good work should be accessible for all (CIPD, 2025).</w:t>
      </w:r>
    </w:p>
    <w:p w:rsidR="006E7ABC" w:rsidRDefault="006E7ABC" w:rsidP="006E7ABC">
      <w:pPr>
        <w:pStyle w:val="NormalWeb"/>
        <w:shd w:val="clear" w:color="auto" w:fill="FFFFFF"/>
        <w:spacing w:before="0" w:beforeAutospacing="0" w:after="0" w:afterAutospacing="0"/>
      </w:pPr>
      <w:r>
        <w:rPr>
          <w:rFonts w:ascii="Arial" w:hAnsi="Arial" w:cs="Arial"/>
          <w:color w:val="222222"/>
          <w:sz w:val="22"/>
          <w:szCs w:val="22"/>
        </w:rPr>
        <w:t>Good or better work is influenced by HR, management and the employees themselves, and can be determined by seven dimensions that include pay and benefits, contracts, work-life balance, relationships at work, employee voice, health and wellbeing, and job design (Young and Tong, 2025; Irvine et al., 2024).</w:t>
      </w:r>
    </w:p>
    <w:p w:rsidR="006E7ABC" w:rsidRDefault="006E7ABC" w:rsidP="006E7ABC">
      <w:pPr>
        <w:pStyle w:val="NormalWeb"/>
        <w:shd w:val="clear" w:color="auto" w:fill="FFFFFF"/>
        <w:spacing w:before="0" w:beforeAutospacing="0" w:after="0" w:afterAutospacing="0"/>
      </w:pPr>
      <w:r>
        <w:rPr>
          <w:rFonts w:ascii="Arial" w:hAnsi="Arial" w:cs="Arial"/>
          <w:color w:val="222222"/>
          <w:sz w:val="22"/>
          <w:szCs w:val="22"/>
        </w:rPr>
        <w:t> </w:t>
      </w:r>
    </w:p>
    <w:p w:rsidR="006E7ABC" w:rsidRDefault="006E7ABC" w:rsidP="006E7ABC">
      <w:pPr>
        <w:pStyle w:val="NormalWeb"/>
        <w:shd w:val="clear" w:color="auto" w:fill="FFFFFF"/>
        <w:spacing w:before="0" w:beforeAutospacing="0" w:after="0" w:afterAutospacing="0"/>
      </w:pPr>
      <w:r>
        <w:rPr>
          <w:rFonts w:ascii="Arial" w:hAnsi="Arial" w:cs="Arial"/>
          <w:color w:val="222222"/>
          <w:sz w:val="22"/>
          <w:szCs w:val="22"/>
        </w:rPr>
        <w:t xml:space="preserve">The </w:t>
      </w:r>
      <w:proofErr w:type="gramStart"/>
      <w:r>
        <w:rPr>
          <w:rFonts w:ascii="Arial" w:hAnsi="Arial" w:cs="Arial"/>
          <w:color w:val="222222"/>
          <w:sz w:val="22"/>
          <w:szCs w:val="22"/>
        </w:rPr>
        <w:t>nature of the work itself, and how jobs are designed for workers, are</w:t>
      </w:r>
      <w:proofErr w:type="gramEnd"/>
      <w:r>
        <w:rPr>
          <w:rFonts w:ascii="Arial" w:hAnsi="Arial" w:cs="Arial"/>
          <w:color w:val="222222"/>
          <w:sz w:val="22"/>
          <w:szCs w:val="22"/>
        </w:rPr>
        <w:t xml:space="preserve"> critical aspects of what can be defined as good work. Finding alternatives to repetitive and boring tasks, such as using AI, can improve job satisfaction and mental health, and installing resources and support to prevent work demands from becoming too overwhelming and exhausting, can improve retention and attraction, reducing staff’s likelihood to quit (CIPD, 2025).</w:t>
      </w:r>
      <w:r>
        <w:rPr>
          <w:rFonts w:ascii="Arial" w:hAnsi="Arial" w:cs="Arial"/>
          <w:color w:val="222222"/>
          <w:sz w:val="22"/>
          <w:szCs w:val="22"/>
        </w:rPr>
        <w:br/>
        <w:t>The idea of job design itself, the structure of the work that employees perform, is a topic that has been highly researched and theorised for almost two centuries (Oldham and Fried, 2016). Motivation-Hygiene Theory (MHT) Requisite Task Attributes (RTA) and Job Characteristics Theory (JCT) came about to challenge earlier writings on job design such as Taylor’s Scientific Management (SM), where in essence it was argued that limiting each individual’s work to a handful of simple standardised operations, would focus attention and improve employee efficiency (Oldham and Fried, 2016; Herzberg et al., 1959; Herzberg, 1966; Turner and Lawrence, 1965; Hackman and Oldham, 1976; Taylor, 1911). MHT, RTA and JCT all argue that rather than simplifying job design, creating avenues within the work for traits, not limited to, growth, autonomy, feedback, variety and significance, can have positive effects on employee outcomes. This can include fostering qualities such as performance, job satisfaction, internal motivation, productivity and engagement, all of which are factors that contribute to better working lives (Oldham and Fried, 2016). Prioritising better working lives can protect morale and stabilise engagement during periods of change. </w:t>
      </w:r>
    </w:p>
    <w:p w:rsidR="006E7ABC" w:rsidRDefault="006E7ABC" w:rsidP="006E7ABC">
      <w:pPr>
        <w:pStyle w:val="NormalWeb"/>
        <w:shd w:val="clear" w:color="auto" w:fill="FFFFFF"/>
        <w:spacing w:before="0" w:beforeAutospacing="0" w:after="0" w:afterAutospacing="0"/>
      </w:pPr>
      <w:r>
        <w:rPr>
          <w:rFonts w:ascii="Arial" w:hAnsi="Arial" w:cs="Arial"/>
          <w:color w:val="222222"/>
          <w:sz w:val="22"/>
          <w:szCs w:val="22"/>
        </w:rPr>
        <w:t> </w:t>
      </w:r>
    </w:p>
    <w:p w:rsidR="006E7ABC" w:rsidRDefault="006E7ABC" w:rsidP="006E7ABC">
      <w:pPr>
        <w:pStyle w:val="NormalWeb"/>
        <w:shd w:val="clear" w:color="auto" w:fill="FFFFFF"/>
        <w:spacing w:before="0" w:beforeAutospacing="0" w:after="0" w:afterAutospacing="0"/>
      </w:pPr>
      <w:r>
        <w:rPr>
          <w:rFonts w:ascii="Arial" w:hAnsi="Arial" w:cs="Arial"/>
          <w:color w:val="000000"/>
          <w:sz w:val="22"/>
          <w:szCs w:val="22"/>
        </w:rPr>
        <w:t>2.1</w:t>
      </w:r>
    </w:p>
    <w:p w:rsidR="006E7ABC" w:rsidRDefault="006E7ABC" w:rsidP="006E7ABC">
      <w:pPr>
        <w:pStyle w:val="NormalWeb"/>
        <w:shd w:val="clear" w:color="auto" w:fill="FFFFFF"/>
        <w:spacing w:before="0" w:beforeAutospacing="0" w:after="0" w:afterAutospacing="0"/>
      </w:pPr>
    </w:p>
    <w:p w:rsidR="006E7ABC" w:rsidRDefault="006E7ABC" w:rsidP="006E7ABC">
      <w:pPr>
        <w:pStyle w:val="NormalWeb"/>
        <w:shd w:val="clear" w:color="auto" w:fill="FFFFFF"/>
        <w:spacing w:before="0" w:beforeAutospacing="0" w:after="0" w:afterAutospacing="0"/>
      </w:pPr>
      <w:r>
        <w:rPr>
          <w:rFonts w:ascii="Arial" w:hAnsi="Arial" w:cs="Arial"/>
          <w:color w:val="222222"/>
          <w:sz w:val="22"/>
          <w:szCs w:val="22"/>
        </w:rPr>
        <w:t>Organisational misbehaviour (OMB) encompasses a broad range of workplace behaviours where one violates norms, rules and regulations, and such behaviours can have negative individual or organisational consequences (</w:t>
      </w:r>
      <w:proofErr w:type="spellStart"/>
      <w:r>
        <w:rPr>
          <w:rFonts w:ascii="Arial" w:hAnsi="Arial" w:cs="Arial"/>
          <w:color w:val="222222"/>
          <w:sz w:val="22"/>
          <w:szCs w:val="22"/>
        </w:rPr>
        <w:t>Dadavoyev</w:t>
      </w:r>
      <w:proofErr w:type="spellEnd"/>
      <w:r>
        <w:rPr>
          <w:rFonts w:ascii="Arial" w:hAnsi="Arial" w:cs="Arial"/>
          <w:color w:val="222222"/>
          <w:sz w:val="22"/>
          <w:szCs w:val="22"/>
        </w:rPr>
        <w:t xml:space="preserve"> and </w:t>
      </w:r>
      <w:proofErr w:type="spellStart"/>
      <w:r>
        <w:rPr>
          <w:rFonts w:ascii="Arial" w:hAnsi="Arial" w:cs="Arial"/>
          <w:color w:val="222222"/>
          <w:sz w:val="22"/>
          <w:szCs w:val="22"/>
        </w:rPr>
        <w:t>Baek</w:t>
      </w:r>
      <w:proofErr w:type="spellEnd"/>
      <w:r>
        <w:rPr>
          <w:rFonts w:ascii="Arial" w:hAnsi="Arial" w:cs="Arial"/>
          <w:color w:val="222222"/>
          <w:sz w:val="22"/>
          <w:szCs w:val="22"/>
        </w:rPr>
        <w:t>, 2022). There are several distinct reasons why individuals may choose to engage in OMB; they may have something to personally gain from the behaviour, such as a promotion in exchange for a bribe. Some misbehaviour is seen to be for the benefit of the organisation as a whole, as is the case of ‘necessary evils’ and unethical pro-organisational behaviour. Other times, misbehaviour is done to benefit the wider society, such as in cases where non-disclosure is breached when reporting unethical or illegal behaviour. Finally, misbehaviour can sometimes occur due to an individual’s desire and intention to simply cause damage to the organisation, such as vandalism (</w:t>
      </w:r>
      <w:proofErr w:type="spellStart"/>
      <w:r>
        <w:rPr>
          <w:rFonts w:ascii="Arial" w:hAnsi="Arial" w:cs="Arial"/>
          <w:color w:val="222222"/>
          <w:sz w:val="22"/>
          <w:szCs w:val="22"/>
        </w:rPr>
        <w:t>Dadaboyev</w:t>
      </w:r>
      <w:proofErr w:type="spellEnd"/>
      <w:r>
        <w:rPr>
          <w:rFonts w:ascii="Arial" w:hAnsi="Arial" w:cs="Arial"/>
          <w:color w:val="222222"/>
          <w:sz w:val="22"/>
          <w:szCs w:val="22"/>
        </w:rPr>
        <w:t xml:space="preserve"> and </w:t>
      </w:r>
      <w:proofErr w:type="spellStart"/>
      <w:r>
        <w:rPr>
          <w:rFonts w:ascii="Arial" w:hAnsi="Arial" w:cs="Arial"/>
          <w:color w:val="222222"/>
          <w:sz w:val="22"/>
          <w:szCs w:val="22"/>
        </w:rPr>
        <w:t>Baek</w:t>
      </w:r>
      <w:proofErr w:type="spellEnd"/>
      <w:r>
        <w:rPr>
          <w:rFonts w:ascii="Arial" w:hAnsi="Arial" w:cs="Arial"/>
          <w:color w:val="222222"/>
          <w:sz w:val="22"/>
          <w:szCs w:val="22"/>
        </w:rPr>
        <w:t>, 2022). </w:t>
      </w:r>
    </w:p>
    <w:p w:rsidR="006E7ABC" w:rsidRDefault="006E7ABC" w:rsidP="006E7ABC">
      <w:pPr>
        <w:pStyle w:val="NormalWeb"/>
        <w:shd w:val="clear" w:color="auto" w:fill="FFFFFF"/>
        <w:spacing w:before="0" w:beforeAutospacing="0" w:after="0" w:afterAutospacing="0"/>
      </w:pPr>
      <w:r>
        <w:rPr>
          <w:rFonts w:ascii="Arial" w:hAnsi="Arial" w:cs="Arial"/>
          <w:color w:val="222222"/>
          <w:sz w:val="22"/>
          <w:szCs w:val="22"/>
        </w:rPr>
        <w:t> </w:t>
      </w:r>
    </w:p>
    <w:p w:rsidR="006E7ABC" w:rsidRDefault="006E7ABC" w:rsidP="006E7ABC">
      <w:pPr>
        <w:pStyle w:val="NormalWeb"/>
        <w:shd w:val="clear" w:color="auto" w:fill="FFFFFF"/>
        <w:spacing w:before="0" w:beforeAutospacing="0" w:after="0" w:afterAutospacing="0"/>
      </w:pPr>
      <w:r>
        <w:rPr>
          <w:rFonts w:ascii="Arial" w:hAnsi="Arial" w:cs="Arial"/>
          <w:color w:val="222222"/>
          <w:sz w:val="22"/>
          <w:szCs w:val="22"/>
        </w:rPr>
        <w:lastRenderedPageBreak/>
        <w:t xml:space="preserve">Organisational conflict, on the other hand, refers to disagreements individually or collectively within an organisation, including between the employers and </w:t>
      </w:r>
      <w:r>
        <w:rPr>
          <w:rFonts w:ascii="Arial" w:hAnsi="Arial" w:cs="Arial"/>
          <w:color w:val="000000"/>
          <w:sz w:val="22"/>
          <w:szCs w:val="22"/>
        </w:rPr>
        <w:t>employees (</w:t>
      </w:r>
      <w:proofErr w:type="spellStart"/>
      <w:r>
        <w:rPr>
          <w:rFonts w:ascii="Arial" w:hAnsi="Arial" w:cs="Arial"/>
          <w:color w:val="000000"/>
          <w:sz w:val="22"/>
          <w:szCs w:val="22"/>
        </w:rPr>
        <w:t>Suff</w:t>
      </w:r>
      <w:proofErr w:type="spellEnd"/>
      <w:r>
        <w:rPr>
          <w:rFonts w:ascii="Arial" w:hAnsi="Arial" w:cs="Arial"/>
          <w:color w:val="000000"/>
          <w:sz w:val="22"/>
          <w:szCs w:val="22"/>
        </w:rPr>
        <w:t>, 2020;</w:t>
      </w:r>
      <w:r>
        <w:rPr>
          <w:rFonts w:ascii="Arial" w:hAnsi="Arial" w:cs="Arial"/>
          <w:color w:val="222222"/>
          <w:sz w:val="22"/>
          <w:szCs w:val="22"/>
        </w:rPr>
        <w:t xml:space="preserve"> Roche, Teague and Colvin, 2014</w:t>
      </w:r>
      <w:r>
        <w:rPr>
          <w:rFonts w:ascii="Arial" w:hAnsi="Arial" w:cs="Arial"/>
          <w:color w:val="000000"/>
          <w:sz w:val="22"/>
          <w:szCs w:val="22"/>
        </w:rPr>
        <w:t xml:space="preserve">). Within </w:t>
      </w:r>
      <w:r>
        <w:rPr>
          <w:rFonts w:ascii="Arial" w:hAnsi="Arial" w:cs="Arial"/>
          <w:color w:val="222222"/>
          <w:sz w:val="22"/>
          <w:szCs w:val="22"/>
        </w:rPr>
        <w:t xml:space="preserve">any organisation, there will be a diverse group of individuals, each with diverse experiences and perspectives, which will inevitably lead to disagreements at some level.  While disagreement can be a positive thing, allowing space to think critically and explore differing options and perspectives, often giving way to individual and organisational growth, it becomes a problem when it escalates into poor treatment and behaviour towards others, or an </w:t>
      </w:r>
      <w:proofErr w:type="spellStart"/>
      <w:r>
        <w:rPr>
          <w:rFonts w:ascii="Arial" w:hAnsi="Arial" w:cs="Arial"/>
          <w:color w:val="222222"/>
          <w:sz w:val="22"/>
          <w:szCs w:val="22"/>
        </w:rPr>
        <w:t>ongoing</w:t>
      </w:r>
      <w:proofErr w:type="spellEnd"/>
      <w:r>
        <w:rPr>
          <w:rFonts w:ascii="Arial" w:hAnsi="Arial" w:cs="Arial"/>
          <w:color w:val="222222"/>
          <w:sz w:val="22"/>
          <w:szCs w:val="22"/>
        </w:rPr>
        <w:t xml:space="preserve"> long-term tension if it isn’t addressed appropriately (</w:t>
      </w:r>
      <w:proofErr w:type="spellStart"/>
      <w:r>
        <w:rPr>
          <w:rFonts w:ascii="Arial" w:hAnsi="Arial" w:cs="Arial"/>
          <w:color w:val="222222"/>
          <w:sz w:val="22"/>
          <w:szCs w:val="22"/>
        </w:rPr>
        <w:t>Suff</w:t>
      </w:r>
      <w:proofErr w:type="spellEnd"/>
      <w:r>
        <w:rPr>
          <w:rFonts w:ascii="Arial" w:hAnsi="Arial" w:cs="Arial"/>
          <w:color w:val="222222"/>
          <w:sz w:val="22"/>
          <w:szCs w:val="22"/>
        </w:rPr>
        <w:t xml:space="preserve">, 2020; Adams and </w:t>
      </w:r>
      <w:proofErr w:type="spellStart"/>
      <w:r>
        <w:rPr>
          <w:rFonts w:ascii="Arial" w:hAnsi="Arial" w:cs="Arial"/>
          <w:color w:val="222222"/>
          <w:sz w:val="22"/>
          <w:szCs w:val="22"/>
        </w:rPr>
        <w:t>Laursen</w:t>
      </w:r>
      <w:proofErr w:type="spellEnd"/>
      <w:r>
        <w:rPr>
          <w:rFonts w:ascii="Arial" w:hAnsi="Arial" w:cs="Arial"/>
          <w:color w:val="222222"/>
          <w:sz w:val="22"/>
          <w:szCs w:val="22"/>
        </w:rPr>
        <w:t>, 2007).</w:t>
      </w:r>
      <w:r>
        <w:rPr>
          <w:rFonts w:ascii="Arial" w:hAnsi="Arial" w:cs="Arial"/>
          <w:color w:val="FF0000"/>
          <w:sz w:val="22"/>
          <w:szCs w:val="22"/>
        </w:rPr>
        <w:t xml:space="preserve"> </w:t>
      </w:r>
      <w:r>
        <w:rPr>
          <w:rFonts w:ascii="Arial" w:hAnsi="Arial" w:cs="Arial"/>
          <w:color w:val="222222"/>
          <w:sz w:val="22"/>
          <w:szCs w:val="22"/>
        </w:rPr>
        <w:t>These types of disagreements can have a negative impact on workplace relationships and morale and can shift focus away from organisational goals. A study found that over a third of employees have experienced an interpersonal conflict at work, implying that this is a common occurrence (</w:t>
      </w:r>
      <w:proofErr w:type="spellStart"/>
      <w:r>
        <w:rPr>
          <w:rFonts w:ascii="Arial" w:hAnsi="Arial" w:cs="Arial"/>
          <w:color w:val="222222"/>
          <w:sz w:val="22"/>
          <w:szCs w:val="22"/>
        </w:rPr>
        <w:t>Suff</w:t>
      </w:r>
      <w:proofErr w:type="spellEnd"/>
      <w:r>
        <w:rPr>
          <w:rFonts w:ascii="Arial" w:hAnsi="Arial" w:cs="Arial"/>
          <w:color w:val="222222"/>
          <w:sz w:val="22"/>
          <w:szCs w:val="22"/>
        </w:rPr>
        <w:t>, 2020).</w:t>
      </w:r>
    </w:p>
    <w:p w:rsidR="006E7ABC" w:rsidRDefault="006E7ABC" w:rsidP="006E7ABC">
      <w:pPr>
        <w:pStyle w:val="NormalWeb"/>
        <w:shd w:val="clear" w:color="auto" w:fill="FFFFFF"/>
        <w:spacing w:before="0" w:beforeAutospacing="0" w:after="0" w:afterAutospacing="0"/>
      </w:pPr>
      <w:r>
        <w:rPr>
          <w:rFonts w:ascii="Arial" w:hAnsi="Arial" w:cs="Arial"/>
          <w:color w:val="222222"/>
          <w:sz w:val="22"/>
          <w:szCs w:val="22"/>
        </w:rPr>
        <w:t> </w:t>
      </w:r>
    </w:p>
    <w:p w:rsidR="006E7ABC" w:rsidRDefault="006E7ABC" w:rsidP="006E7ABC">
      <w:pPr>
        <w:pStyle w:val="NormalWeb"/>
        <w:shd w:val="clear" w:color="auto" w:fill="FFFFFF"/>
        <w:spacing w:before="0" w:beforeAutospacing="0" w:after="0" w:afterAutospacing="0"/>
      </w:pPr>
      <w:r>
        <w:rPr>
          <w:rFonts w:ascii="Arial" w:hAnsi="Arial" w:cs="Arial"/>
          <w:color w:val="222222"/>
          <w:sz w:val="22"/>
          <w:szCs w:val="22"/>
        </w:rPr>
        <w:t>Although conflict may present challenges to performance and relationships, it does not necessarily break any rules, whereas misbehaviour does. Conflict may be resolved informally or through a grievance procedure, whereas misbehaviour will need to be addressed through the disciplinary route (</w:t>
      </w:r>
      <w:proofErr w:type="spellStart"/>
      <w:r>
        <w:rPr>
          <w:rFonts w:ascii="Arial" w:hAnsi="Arial" w:cs="Arial"/>
          <w:color w:val="222222"/>
          <w:sz w:val="22"/>
          <w:szCs w:val="22"/>
        </w:rPr>
        <w:t>Acas</w:t>
      </w:r>
      <w:proofErr w:type="spellEnd"/>
      <w:r>
        <w:rPr>
          <w:rFonts w:ascii="Arial" w:hAnsi="Arial" w:cs="Arial"/>
          <w:color w:val="222222"/>
          <w:sz w:val="22"/>
          <w:szCs w:val="22"/>
        </w:rPr>
        <w:t>, 2015). During periods of uncertainty, including mergers and leadership change, disagreements may increase; it is important that these are managed early. </w:t>
      </w:r>
    </w:p>
    <w:p w:rsidR="006E7ABC" w:rsidRDefault="006E7ABC" w:rsidP="006E7ABC">
      <w:pPr>
        <w:pStyle w:val="NormalWeb"/>
        <w:shd w:val="clear" w:color="auto" w:fill="FFFFFF"/>
        <w:spacing w:before="0" w:beforeAutospacing="0" w:after="0" w:afterAutospacing="0"/>
      </w:pPr>
      <w:r>
        <w:rPr>
          <w:rFonts w:ascii="Arial" w:hAnsi="Arial" w:cs="Arial"/>
          <w:color w:val="222222"/>
          <w:sz w:val="22"/>
          <w:szCs w:val="22"/>
        </w:rPr>
        <w:t> </w:t>
      </w:r>
    </w:p>
    <w:p w:rsidR="006E7ABC" w:rsidRDefault="006E7ABC" w:rsidP="006E7ABC">
      <w:pPr>
        <w:pStyle w:val="NormalWeb"/>
        <w:shd w:val="clear" w:color="auto" w:fill="FFFFFF"/>
        <w:spacing w:before="0" w:beforeAutospacing="0" w:after="0" w:afterAutospacing="0"/>
      </w:pPr>
    </w:p>
    <w:p w:rsidR="006E7ABC" w:rsidRDefault="006E7ABC" w:rsidP="006E7ABC">
      <w:pPr>
        <w:pStyle w:val="NormalWeb"/>
        <w:shd w:val="clear" w:color="auto" w:fill="FFFFFF"/>
        <w:spacing w:before="0" w:beforeAutospacing="0" w:after="0" w:afterAutospacing="0"/>
      </w:pPr>
      <w:r>
        <w:rPr>
          <w:rFonts w:ascii="Arial" w:hAnsi="Arial" w:cs="Arial"/>
          <w:color w:val="000000"/>
          <w:sz w:val="22"/>
          <w:szCs w:val="22"/>
        </w:rPr>
        <w:t>2.2</w:t>
      </w:r>
    </w:p>
    <w:p w:rsidR="006E7ABC" w:rsidRDefault="006E7ABC" w:rsidP="006E7ABC">
      <w:pPr>
        <w:pStyle w:val="NormalWeb"/>
        <w:shd w:val="clear" w:color="auto" w:fill="FFFFFF"/>
        <w:spacing w:before="0" w:beforeAutospacing="0" w:after="0" w:afterAutospacing="0"/>
      </w:pPr>
    </w:p>
    <w:p w:rsidR="006E7ABC" w:rsidRDefault="006E7ABC" w:rsidP="006E7ABC">
      <w:pPr>
        <w:pStyle w:val="NormalWeb"/>
        <w:shd w:val="clear" w:color="auto" w:fill="FFFFFF"/>
        <w:spacing w:before="0" w:beforeAutospacing="0" w:after="0" w:afterAutospacing="0"/>
      </w:pPr>
      <w:r>
        <w:rPr>
          <w:rFonts w:ascii="Arial" w:hAnsi="Arial" w:cs="Arial"/>
          <w:color w:val="222222"/>
          <w:sz w:val="22"/>
          <w:szCs w:val="22"/>
        </w:rPr>
        <w:t>Although union membership has been declining in the UK and many other countries since the 1980s, in 2022 and 2023, workers in the public sector took more industrial action than seen over the last 30, influenced by pay and working conditions and macroeconomic factors such as inflation (</w:t>
      </w:r>
      <w:proofErr w:type="spellStart"/>
      <w:r>
        <w:rPr>
          <w:rFonts w:ascii="Arial" w:hAnsi="Arial" w:cs="Arial"/>
          <w:color w:val="222222"/>
          <w:sz w:val="22"/>
          <w:szCs w:val="22"/>
        </w:rPr>
        <w:t>Trentini</w:t>
      </w:r>
      <w:proofErr w:type="spellEnd"/>
      <w:r>
        <w:rPr>
          <w:rFonts w:ascii="Arial" w:hAnsi="Arial" w:cs="Arial"/>
          <w:color w:val="222222"/>
          <w:sz w:val="22"/>
          <w:szCs w:val="22"/>
        </w:rPr>
        <w:t xml:space="preserve">, 2021; DBT, 2024; </w:t>
      </w:r>
      <w:proofErr w:type="spellStart"/>
      <w:r>
        <w:rPr>
          <w:rFonts w:ascii="Arial" w:hAnsi="Arial" w:cs="Arial"/>
          <w:color w:val="222222"/>
          <w:sz w:val="22"/>
          <w:szCs w:val="22"/>
        </w:rPr>
        <w:t>Lyddon</w:t>
      </w:r>
      <w:proofErr w:type="spellEnd"/>
      <w:r>
        <w:rPr>
          <w:rFonts w:ascii="Arial" w:hAnsi="Arial" w:cs="Arial"/>
          <w:color w:val="222222"/>
          <w:sz w:val="22"/>
          <w:szCs w:val="22"/>
        </w:rPr>
        <w:t>, 2025).</w:t>
      </w:r>
    </w:p>
    <w:p w:rsidR="006E7ABC" w:rsidRDefault="006E7ABC" w:rsidP="006E7ABC">
      <w:pPr>
        <w:pStyle w:val="NormalWeb"/>
        <w:shd w:val="clear" w:color="auto" w:fill="FFFFFF"/>
        <w:spacing w:before="0" w:beforeAutospacing="0" w:after="0" w:afterAutospacing="0"/>
      </w:pPr>
    </w:p>
    <w:p w:rsidR="006E7ABC" w:rsidRDefault="006E7ABC" w:rsidP="006E7ABC">
      <w:pPr>
        <w:pStyle w:val="NormalWeb"/>
        <w:shd w:val="clear" w:color="auto" w:fill="FFFFFF"/>
        <w:spacing w:before="0" w:beforeAutospacing="0" w:after="0" w:afterAutospacing="0"/>
      </w:pPr>
      <w:r>
        <w:rPr>
          <w:rFonts w:ascii="Arial" w:hAnsi="Arial" w:cs="Arial"/>
          <w:color w:val="222222"/>
          <w:sz w:val="22"/>
          <w:szCs w:val="22"/>
        </w:rPr>
        <w:t xml:space="preserve">The new Employment Rights Act that was brought into law in December, 2025 introduces a series of changes to employment law that will have a phased implementation. Within this bill there were several changes to trade union laws, including the repeal of the Strikes (Minimum Service Levels) Act 2023, where previously, in relevant public sectors such as health, education and transport, employers could apply for only a limited number of workers to participate in a strike in order to keep the sector running, however, it was not widely used due to the </w:t>
      </w:r>
      <w:proofErr w:type="spellStart"/>
      <w:r>
        <w:rPr>
          <w:rFonts w:ascii="Arial" w:hAnsi="Arial" w:cs="Arial"/>
          <w:color w:val="222222"/>
          <w:sz w:val="22"/>
          <w:szCs w:val="22"/>
        </w:rPr>
        <w:t>administerial</w:t>
      </w:r>
      <w:proofErr w:type="spellEnd"/>
      <w:r>
        <w:rPr>
          <w:rFonts w:ascii="Arial" w:hAnsi="Arial" w:cs="Arial"/>
          <w:color w:val="222222"/>
          <w:sz w:val="22"/>
          <w:szCs w:val="22"/>
        </w:rPr>
        <w:t xml:space="preserve"> burden on employers and HR to give work notices (DBT, 2024a; Hare, 2024). The repeal of this act now means that there will be no limit to how many workers can participate in a strike. </w:t>
      </w:r>
    </w:p>
    <w:p w:rsidR="006E7ABC" w:rsidRDefault="006E7ABC" w:rsidP="006E7ABC">
      <w:pPr>
        <w:pStyle w:val="NormalWeb"/>
        <w:shd w:val="clear" w:color="auto" w:fill="FFFFFF"/>
        <w:spacing w:before="0" w:beforeAutospacing="0" w:after="0" w:afterAutospacing="0"/>
      </w:pPr>
    </w:p>
    <w:p w:rsidR="006E7ABC" w:rsidRDefault="006E7ABC" w:rsidP="006E7ABC">
      <w:pPr>
        <w:pStyle w:val="NormalWeb"/>
        <w:shd w:val="clear" w:color="auto" w:fill="FFFFFF"/>
        <w:spacing w:before="0" w:beforeAutospacing="0" w:after="0" w:afterAutospacing="0"/>
      </w:pPr>
      <w:r>
        <w:rPr>
          <w:rFonts w:ascii="Arial" w:hAnsi="Arial" w:cs="Arial"/>
          <w:color w:val="222222"/>
          <w:sz w:val="22"/>
          <w:szCs w:val="22"/>
        </w:rPr>
        <w:t xml:space="preserve">Also to be repealed are specific provisions of the Trade Union Act of 2016, leading to changes such as shortening the required notice period for industrial action from 14 days to 10 days (Moss, 2025; DBT, 2024b). Furthermore, the Employment Rights Act aims to simplify the trade union recognition process and introduce a duty on employers to inform new workers of their right to join a trade union, amongst other changes (DBT, 2024c). The intent of these changes is to protect industrial relations with trade unions from deterioration and strengthen collective voice and bargaining power, and the government hopes that this will result in less industrial action going forward, however, more of a burden will be placed on workplaces in the event that employees do strike, as they have less time to prepare, and an unlimited proportion of the workforce could partake (Bruce &amp; </w:t>
      </w:r>
      <w:proofErr w:type="spellStart"/>
      <w:r>
        <w:rPr>
          <w:rFonts w:ascii="Arial" w:hAnsi="Arial" w:cs="Arial"/>
          <w:color w:val="222222"/>
          <w:sz w:val="22"/>
          <w:szCs w:val="22"/>
        </w:rPr>
        <w:t>Ingham</w:t>
      </w:r>
      <w:proofErr w:type="spellEnd"/>
      <w:r>
        <w:rPr>
          <w:rFonts w:ascii="Arial" w:hAnsi="Arial" w:cs="Arial"/>
          <w:color w:val="222222"/>
          <w:sz w:val="22"/>
          <w:szCs w:val="22"/>
        </w:rPr>
        <w:t>, 2026). </w:t>
      </w:r>
      <w:r>
        <w:rPr>
          <w:rFonts w:ascii="Arial" w:hAnsi="Arial" w:cs="Arial"/>
          <w:color w:val="000000"/>
          <w:sz w:val="22"/>
          <w:szCs w:val="22"/>
        </w:rPr>
        <w:t>Within the public sector, which has higher levels of union membership and activity, leaders should prioritise constructive engagement with recognised trade unions to minimise disruption. </w:t>
      </w:r>
    </w:p>
    <w:p w:rsidR="006E7ABC" w:rsidRDefault="006E7ABC" w:rsidP="006E7ABC">
      <w:pPr>
        <w:pStyle w:val="NormalWeb"/>
        <w:shd w:val="clear" w:color="auto" w:fill="FFFFFF"/>
        <w:spacing w:before="0" w:beforeAutospacing="0" w:after="0" w:afterAutospacing="0"/>
      </w:pPr>
    </w:p>
    <w:p w:rsidR="006E7ABC" w:rsidRDefault="006E7ABC" w:rsidP="006E7ABC">
      <w:pPr>
        <w:pStyle w:val="NormalWeb"/>
        <w:shd w:val="clear" w:color="auto" w:fill="FFFFFF"/>
        <w:spacing w:before="0" w:beforeAutospacing="0" w:after="0" w:afterAutospacing="0"/>
      </w:pPr>
      <w:r>
        <w:rPr>
          <w:rFonts w:ascii="Arial" w:hAnsi="Arial" w:cs="Arial"/>
          <w:color w:val="000000"/>
          <w:sz w:val="22"/>
          <w:szCs w:val="22"/>
        </w:rPr>
        <w:t>2.3 </w:t>
      </w:r>
    </w:p>
    <w:p w:rsidR="006E7ABC" w:rsidRDefault="006E7ABC" w:rsidP="006E7ABC">
      <w:pPr>
        <w:pStyle w:val="NormalWeb"/>
        <w:shd w:val="clear" w:color="auto" w:fill="FFFFFF"/>
        <w:spacing w:before="0" w:beforeAutospacing="0" w:after="0" w:afterAutospacing="0"/>
      </w:pPr>
      <w:r>
        <w:rPr>
          <w:rFonts w:ascii="Arial" w:hAnsi="Arial" w:cs="Arial"/>
          <w:color w:val="222222"/>
          <w:sz w:val="22"/>
          <w:szCs w:val="22"/>
        </w:rPr>
        <w:t> </w:t>
      </w:r>
    </w:p>
    <w:p w:rsidR="006E7ABC" w:rsidRDefault="006E7ABC" w:rsidP="006E7ABC">
      <w:pPr>
        <w:pStyle w:val="NormalWeb"/>
        <w:shd w:val="clear" w:color="auto" w:fill="FFFFFF"/>
        <w:spacing w:before="0" w:beforeAutospacing="0" w:after="0" w:afterAutospacing="0"/>
      </w:pPr>
      <w:r>
        <w:rPr>
          <w:rFonts w:ascii="Arial" w:hAnsi="Arial" w:cs="Arial"/>
          <w:color w:val="222222"/>
          <w:sz w:val="22"/>
          <w:szCs w:val="22"/>
        </w:rPr>
        <w:lastRenderedPageBreak/>
        <w:t>Conciliation, mediation and arbitration are three distinct kinds of alternate dispute resolutions, where an independent third-party intervenes to facilitate negotiations and overcome stalemates between two parties such as an employer and employee. In all cases, the third-party acts impartially to help both sides come to a form of agreement (Roche et al., 2016).</w:t>
      </w:r>
    </w:p>
    <w:p w:rsidR="006E7ABC" w:rsidRDefault="006E7ABC" w:rsidP="006E7ABC">
      <w:pPr>
        <w:pStyle w:val="NormalWeb"/>
        <w:shd w:val="clear" w:color="auto" w:fill="FFFFFF"/>
        <w:spacing w:before="0" w:beforeAutospacing="0" w:after="0" w:afterAutospacing="0"/>
      </w:pPr>
      <w:r>
        <w:rPr>
          <w:rFonts w:ascii="Arial" w:hAnsi="Arial" w:cs="Arial"/>
          <w:color w:val="222222"/>
          <w:sz w:val="22"/>
          <w:szCs w:val="22"/>
        </w:rPr>
        <w:t>Conciliation is usually the first port of call before mediation and arbitration, and can happen before or after an employment tribunal, the former known as ‘early conciliation’ and the latter as ‘conciliation’ (Blain et al.</w:t>
      </w:r>
      <w:proofErr w:type="gramStart"/>
      <w:r>
        <w:rPr>
          <w:rFonts w:ascii="Arial" w:hAnsi="Arial" w:cs="Arial"/>
          <w:color w:val="222222"/>
          <w:sz w:val="22"/>
          <w:szCs w:val="22"/>
        </w:rPr>
        <w:t>,1986</w:t>
      </w:r>
      <w:proofErr w:type="gramEnd"/>
      <w:r>
        <w:rPr>
          <w:rFonts w:ascii="Arial" w:hAnsi="Arial" w:cs="Arial"/>
          <w:color w:val="222222"/>
          <w:sz w:val="22"/>
          <w:szCs w:val="22"/>
        </w:rPr>
        <w:t xml:space="preserve">; </w:t>
      </w:r>
      <w:hyperlink r:id="rId6" w:history="1">
        <w:r>
          <w:rPr>
            <w:rStyle w:val="Hyperlink"/>
            <w:rFonts w:ascii="Arial" w:hAnsi="Arial" w:cs="Arial"/>
            <w:color w:val="1155CC"/>
            <w:sz w:val="22"/>
            <w:szCs w:val="22"/>
          </w:rPr>
          <w:t>GOV.UK</w:t>
        </w:r>
      </w:hyperlink>
      <w:r>
        <w:rPr>
          <w:rFonts w:ascii="Arial" w:hAnsi="Arial" w:cs="Arial"/>
          <w:color w:val="222222"/>
          <w:sz w:val="22"/>
          <w:szCs w:val="22"/>
        </w:rPr>
        <w:t xml:space="preserve">, 2025; Ibsen, 2019). Conciliators may facilitate discussions and advise on any relevant laws or precedents, and aim to help both parties find an amicable agreement where a tribunal has failed. Additionally, </w:t>
      </w:r>
      <w:proofErr w:type="spellStart"/>
      <w:r>
        <w:rPr>
          <w:rFonts w:ascii="Arial" w:hAnsi="Arial" w:cs="Arial"/>
          <w:color w:val="222222"/>
          <w:sz w:val="22"/>
          <w:szCs w:val="22"/>
        </w:rPr>
        <w:t>concilliators</w:t>
      </w:r>
      <w:proofErr w:type="spellEnd"/>
      <w:r>
        <w:rPr>
          <w:rFonts w:ascii="Arial" w:hAnsi="Arial" w:cs="Arial"/>
          <w:color w:val="222222"/>
          <w:sz w:val="22"/>
          <w:szCs w:val="22"/>
        </w:rPr>
        <w:t xml:space="preserve"> may avoid a tribunal, by suggesting their own or trying to get both parties to mutually agree on a settlement, although this solution is not legally binding (</w:t>
      </w:r>
      <w:hyperlink r:id="rId7" w:history="1">
        <w:r>
          <w:rPr>
            <w:rStyle w:val="Hyperlink"/>
            <w:rFonts w:ascii="Arial" w:hAnsi="Arial" w:cs="Arial"/>
            <w:color w:val="1155CC"/>
            <w:sz w:val="22"/>
            <w:szCs w:val="22"/>
          </w:rPr>
          <w:t>GOV.UK</w:t>
        </w:r>
      </w:hyperlink>
      <w:r>
        <w:rPr>
          <w:rFonts w:ascii="Arial" w:hAnsi="Arial" w:cs="Arial"/>
          <w:color w:val="222222"/>
          <w:sz w:val="22"/>
          <w:szCs w:val="22"/>
        </w:rPr>
        <w:t>, 2025; Roche et al., 2016).</w:t>
      </w:r>
    </w:p>
    <w:p w:rsidR="006E7ABC" w:rsidRDefault="006E7ABC" w:rsidP="006E7ABC">
      <w:pPr>
        <w:pStyle w:val="NormalWeb"/>
        <w:shd w:val="clear" w:color="auto" w:fill="FFFFFF"/>
        <w:spacing w:before="0" w:beforeAutospacing="0" w:after="0" w:afterAutospacing="0"/>
      </w:pPr>
      <w:r>
        <w:rPr>
          <w:rFonts w:ascii="Arial" w:hAnsi="Arial" w:cs="Arial"/>
          <w:color w:val="222222"/>
          <w:sz w:val="22"/>
          <w:szCs w:val="22"/>
        </w:rPr>
        <w:t>During mediation, a third party will facilitate a discussion of a problem or disagreement with those involved, seeking solutions on how to work together in the future and move forward without judging who is right or wrong (</w:t>
      </w:r>
      <w:proofErr w:type="spellStart"/>
      <w:r>
        <w:rPr>
          <w:rFonts w:ascii="Arial" w:hAnsi="Arial" w:cs="Arial"/>
          <w:color w:val="222222"/>
          <w:sz w:val="22"/>
          <w:szCs w:val="22"/>
        </w:rPr>
        <w:t>Acas</w:t>
      </w:r>
      <w:proofErr w:type="spellEnd"/>
      <w:r>
        <w:rPr>
          <w:rFonts w:ascii="Arial" w:hAnsi="Arial" w:cs="Arial"/>
          <w:color w:val="222222"/>
          <w:sz w:val="22"/>
          <w:szCs w:val="22"/>
        </w:rPr>
        <w:t xml:space="preserve">, 2022; Ibsen, 2019; </w:t>
      </w:r>
      <w:hyperlink r:id="rId8" w:history="1">
        <w:r>
          <w:rPr>
            <w:rStyle w:val="Hyperlink"/>
            <w:rFonts w:ascii="Arial" w:hAnsi="Arial" w:cs="Arial"/>
            <w:color w:val="1155CC"/>
            <w:sz w:val="22"/>
            <w:szCs w:val="22"/>
          </w:rPr>
          <w:t>GOV.UK</w:t>
        </w:r>
      </w:hyperlink>
      <w:r>
        <w:rPr>
          <w:rFonts w:ascii="Arial" w:hAnsi="Arial" w:cs="Arial"/>
          <w:color w:val="222222"/>
          <w:sz w:val="22"/>
          <w:szCs w:val="22"/>
        </w:rPr>
        <w:t>, 2025). This method can be effective in resolving communication issues and personality clashes, and repairing relationships following a grievance (</w:t>
      </w:r>
      <w:proofErr w:type="spellStart"/>
      <w:r>
        <w:rPr>
          <w:rFonts w:ascii="Arial" w:hAnsi="Arial" w:cs="Arial"/>
          <w:color w:val="222222"/>
          <w:sz w:val="22"/>
          <w:szCs w:val="22"/>
        </w:rPr>
        <w:t>Acas</w:t>
      </w:r>
      <w:proofErr w:type="spellEnd"/>
      <w:r>
        <w:rPr>
          <w:rFonts w:ascii="Arial" w:hAnsi="Arial" w:cs="Arial"/>
          <w:color w:val="222222"/>
          <w:sz w:val="22"/>
          <w:szCs w:val="22"/>
        </w:rPr>
        <w:t>, 2022). The mediation process allows both parties to talk directly with each other, and the presence of a mediator may reduce the risk of further harm, however, due to the face-to-face nature, this method of dispute resolution is inappropriate for serious situations dealing with criminal activity, or power imbalances such as within sexual harassment cases (McKenzie, 2015). Mediators will support mutually agreed solutions, but similarly to conciliation, they are not legally binding and do not have to be accepted (</w:t>
      </w:r>
      <w:hyperlink r:id="rId9" w:history="1">
        <w:r>
          <w:rPr>
            <w:rStyle w:val="Hyperlink"/>
            <w:rFonts w:ascii="Arial" w:hAnsi="Arial" w:cs="Arial"/>
            <w:color w:val="1155CC"/>
            <w:sz w:val="22"/>
            <w:szCs w:val="22"/>
          </w:rPr>
          <w:t>GOV.UK</w:t>
        </w:r>
      </w:hyperlink>
      <w:r>
        <w:rPr>
          <w:rFonts w:ascii="Arial" w:hAnsi="Arial" w:cs="Arial"/>
          <w:color w:val="222222"/>
          <w:sz w:val="22"/>
          <w:szCs w:val="22"/>
        </w:rPr>
        <w:t xml:space="preserve">, 2025; </w:t>
      </w:r>
      <w:proofErr w:type="spellStart"/>
      <w:r>
        <w:rPr>
          <w:rFonts w:ascii="Arial" w:hAnsi="Arial" w:cs="Arial"/>
          <w:color w:val="222222"/>
          <w:sz w:val="22"/>
          <w:szCs w:val="22"/>
        </w:rPr>
        <w:t>Acas</w:t>
      </w:r>
      <w:proofErr w:type="spellEnd"/>
      <w:r>
        <w:rPr>
          <w:rFonts w:ascii="Arial" w:hAnsi="Arial" w:cs="Arial"/>
          <w:color w:val="222222"/>
          <w:sz w:val="22"/>
          <w:szCs w:val="22"/>
        </w:rPr>
        <w:t>, 2022).</w:t>
      </w:r>
    </w:p>
    <w:p w:rsidR="006E7ABC" w:rsidRDefault="006E7ABC" w:rsidP="006E7ABC">
      <w:pPr>
        <w:pStyle w:val="NormalWeb"/>
        <w:shd w:val="clear" w:color="auto" w:fill="FFFFFF"/>
        <w:spacing w:before="0" w:beforeAutospacing="0" w:after="0" w:afterAutospacing="0"/>
      </w:pPr>
      <w:r>
        <w:rPr>
          <w:rFonts w:ascii="Arial" w:hAnsi="Arial" w:cs="Arial"/>
          <w:color w:val="222222"/>
          <w:sz w:val="22"/>
          <w:szCs w:val="22"/>
        </w:rPr>
        <w:t xml:space="preserve">Arbitration is the most formal of all the resolutions, where arbitrators will hold a hearing to hear both sides of the story. The parties must accept the arbitrators decision before the arbitration process starts, and submit written statements as well as attend a discussion with the arbitrator at the hearing, before the arbitrator makes a final decision which is called an ‘award’. In contrast to conciliators and mediators, the decision made by the arbitrator is legally binding, whereas the parties involved do not have to accept the solution in the other forms of dispute resolutions (Roche et al., 2016; </w:t>
      </w:r>
      <w:hyperlink r:id="rId10" w:history="1">
        <w:r>
          <w:rPr>
            <w:rStyle w:val="Hyperlink"/>
            <w:rFonts w:ascii="Arial" w:hAnsi="Arial" w:cs="Arial"/>
            <w:color w:val="1155CC"/>
            <w:sz w:val="22"/>
            <w:szCs w:val="22"/>
          </w:rPr>
          <w:t>GOV.UK</w:t>
        </w:r>
      </w:hyperlink>
      <w:r>
        <w:rPr>
          <w:rFonts w:ascii="Arial" w:hAnsi="Arial" w:cs="Arial"/>
          <w:color w:val="222222"/>
          <w:sz w:val="22"/>
          <w:szCs w:val="22"/>
        </w:rPr>
        <w:t>, 2025; Ibsen, 2019). Understanding these distinctions is critical for managing disputes appropriately when tensions and disputes arise during turbulent times. </w:t>
      </w:r>
    </w:p>
    <w:p w:rsidR="006E7ABC" w:rsidRDefault="006E7ABC" w:rsidP="006E7ABC">
      <w:pPr>
        <w:pStyle w:val="NormalWeb"/>
        <w:shd w:val="clear" w:color="auto" w:fill="FFFFFF"/>
        <w:spacing w:before="0" w:beforeAutospacing="0" w:after="0" w:afterAutospacing="0"/>
      </w:pPr>
    </w:p>
    <w:p w:rsidR="006E7ABC" w:rsidRDefault="006E7ABC" w:rsidP="006E7ABC">
      <w:pPr>
        <w:pStyle w:val="NormalWeb"/>
        <w:shd w:val="clear" w:color="auto" w:fill="FFFFFF"/>
        <w:spacing w:before="0" w:beforeAutospacing="0" w:after="0" w:afterAutospacing="0"/>
      </w:pPr>
      <w:r>
        <w:rPr>
          <w:rFonts w:ascii="Arial" w:hAnsi="Arial" w:cs="Arial"/>
          <w:color w:val="222222"/>
          <w:sz w:val="22"/>
          <w:szCs w:val="22"/>
        </w:rPr>
        <w:t>3.1</w:t>
      </w:r>
    </w:p>
    <w:p w:rsidR="006E7ABC" w:rsidRDefault="006E7ABC" w:rsidP="006E7ABC">
      <w:pPr>
        <w:pStyle w:val="NormalWeb"/>
        <w:shd w:val="clear" w:color="auto" w:fill="FFFFFF"/>
        <w:spacing w:before="0" w:beforeAutospacing="0" w:after="0" w:afterAutospacing="0"/>
      </w:pPr>
    </w:p>
    <w:p w:rsidR="006E7ABC" w:rsidRDefault="006E7ABC" w:rsidP="006E7ABC">
      <w:pPr>
        <w:pStyle w:val="NormalWeb"/>
        <w:shd w:val="clear" w:color="auto" w:fill="FFFFFF"/>
        <w:spacing w:before="0" w:beforeAutospacing="0" w:after="0" w:afterAutospacing="0"/>
      </w:pPr>
      <w:r>
        <w:rPr>
          <w:rFonts w:ascii="Arial" w:hAnsi="Arial" w:cs="Arial"/>
          <w:color w:val="222222"/>
          <w:sz w:val="22"/>
          <w:szCs w:val="22"/>
        </w:rPr>
        <w:t>Any employee with two years or more of continuous service has a right not to be unfairly</w:t>
      </w:r>
    </w:p>
    <w:p w:rsidR="006E7ABC" w:rsidRDefault="006E7ABC" w:rsidP="006E7ABC">
      <w:pPr>
        <w:pStyle w:val="NormalWeb"/>
        <w:shd w:val="clear" w:color="auto" w:fill="FFFFFF"/>
        <w:spacing w:before="0" w:beforeAutospacing="0" w:after="0" w:afterAutospacing="0"/>
      </w:pPr>
      <w:proofErr w:type="gramStart"/>
      <w:r>
        <w:rPr>
          <w:rFonts w:ascii="Arial" w:hAnsi="Arial" w:cs="Arial"/>
          <w:color w:val="222222"/>
          <w:sz w:val="22"/>
          <w:szCs w:val="22"/>
        </w:rPr>
        <w:t>dismissed</w:t>
      </w:r>
      <w:proofErr w:type="gramEnd"/>
      <w:r>
        <w:rPr>
          <w:rFonts w:ascii="Arial" w:hAnsi="Arial" w:cs="Arial"/>
          <w:color w:val="222222"/>
          <w:sz w:val="22"/>
          <w:szCs w:val="22"/>
        </w:rPr>
        <w:t xml:space="preserve"> under the Employment Rights Act 1996. When an unfair dismissal claim is made, the onus is on the employer to prove that the reason for dismissal was </w:t>
      </w:r>
      <w:proofErr w:type="gramStart"/>
      <w:r>
        <w:rPr>
          <w:rFonts w:ascii="Arial" w:hAnsi="Arial" w:cs="Arial"/>
          <w:color w:val="222222"/>
          <w:sz w:val="22"/>
          <w:szCs w:val="22"/>
        </w:rPr>
        <w:t>fair,</w:t>
      </w:r>
      <w:proofErr w:type="gramEnd"/>
      <w:r>
        <w:rPr>
          <w:rFonts w:ascii="Arial" w:hAnsi="Arial" w:cs="Arial"/>
          <w:color w:val="222222"/>
          <w:sz w:val="22"/>
          <w:szCs w:val="22"/>
        </w:rPr>
        <w:t xml:space="preserve"> and that they acted reasonably and followed a fair procedure. There are five fair reasons for dismissal, two of which are capability and conduct (</w:t>
      </w:r>
      <w:proofErr w:type="spellStart"/>
      <w:r>
        <w:rPr>
          <w:rFonts w:ascii="Arial" w:hAnsi="Arial" w:cs="Arial"/>
          <w:color w:val="222222"/>
          <w:sz w:val="22"/>
          <w:szCs w:val="22"/>
        </w:rPr>
        <w:t>Ayling</w:t>
      </w:r>
      <w:proofErr w:type="spellEnd"/>
      <w:r>
        <w:rPr>
          <w:rFonts w:ascii="Arial" w:hAnsi="Arial" w:cs="Arial"/>
          <w:color w:val="222222"/>
          <w:sz w:val="22"/>
          <w:szCs w:val="22"/>
        </w:rPr>
        <w:t xml:space="preserve"> and </w:t>
      </w:r>
      <w:proofErr w:type="spellStart"/>
      <w:r>
        <w:rPr>
          <w:rFonts w:ascii="Arial" w:hAnsi="Arial" w:cs="Arial"/>
          <w:color w:val="222222"/>
          <w:sz w:val="22"/>
          <w:szCs w:val="22"/>
        </w:rPr>
        <w:t>Suff</w:t>
      </w:r>
      <w:proofErr w:type="spellEnd"/>
      <w:r>
        <w:rPr>
          <w:rFonts w:ascii="Arial" w:hAnsi="Arial" w:cs="Arial"/>
          <w:color w:val="222222"/>
          <w:sz w:val="22"/>
          <w:szCs w:val="22"/>
        </w:rPr>
        <w:t>, 2023; Employment Rights Act, 1996). It is important to manage dismissals fairly in order to protect the trust from legal risk. </w:t>
      </w:r>
    </w:p>
    <w:p w:rsidR="006E7ABC" w:rsidRDefault="006E7ABC" w:rsidP="006E7ABC">
      <w:pPr>
        <w:pStyle w:val="NormalWeb"/>
        <w:shd w:val="clear" w:color="auto" w:fill="FFFFFF"/>
        <w:spacing w:before="0" w:beforeAutospacing="0" w:after="0" w:afterAutospacing="0"/>
      </w:pPr>
      <w:r>
        <w:rPr>
          <w:rFonts w:ascii="Arial" w:hAnsi="Arial" w:cs="Arial"/>
          <w:color w:val="222222"/>
          <w:sz w:val="22"/>
          <w:szCs w:val="22"/>
        </w:rPr>
        <w:t xml:space="preserve">Capability dismissals refer to when an employee is unable to fulfil the role to the required standard for reasons related to lack of capability, due to skill, aptitude or health. This can apply to technical or professional qualifications critical to the role that were overstated in an applicant’s CV, revoked after hiring or not obtained within a certain timeframe when required as a condition in their terms of employment particulars (CIPD, 2024; GOV.UK, </w:t>
      </w:r>
      <w:proofErr w:type="spellStart"/>
      <w:r>
        <w:rPr>
          <w:rFonts w:ascii="Arial" w:hAnsi="Arial" w:cs="Arial"/>
          <w:color w:val="222222"/>
          <w:sz w:val="22"/>
          <w:szCs w:val="22"/>
        </w:rPr>
        <w:t>n.d.</w:t>
      </w:r>
      <w:proofErr w:type="spellEnd"/>
      <w:r>
        <w:rPr>
          <w:rFonts w:ascii="Arial" w:hAnsi="Arial" w:cs="Arial"/>
          <w:color w:val="222222"/>
          <w:sz w:val="22"/>
          <w:szCs w:val="22"/>
        </w:rPr>
        <w:t xml:space="preserve">; </w:t>
      </w:r>
      <w:proofErr w:type="spellStart"/>
      <w:r>
        <w:rPr>
          <w:rFonts w:ascii="Arial" w:hAnsi="Arial" w:cs="Arial"/>
          <w:color w:val="222222"/>
          <w:sz w:val="22"/>
          <w:szCs w:val="22"/>
        </w:rPr>
        <w:t>Ayling</w:t>
      </w:r>
      <w:proofErr w:type="spellEnd"/>
      <w:r>
        <w:rPr>
          <w:rFonts w:ascii="Arial" w:hAnsi="Arial" w:cs="Arial"/>
          <w:color w:val="222222"/>
          <w:sz w:val="22"/>
          <w:szCs w:val="22"/>
        </w:rPr>
        <w:t xml:space="preserve"> and </w:t>
      </w:r>
      <w:proofErr w:type="spellStart"/>
      <w:r>
        <w:rPr>
          <w:rFonts w:ascii="Arial" w:hAnsi="Arial" w:cs="Arial"/>
          <w:color w:val="222222"/>
          <w:sz w:val="22"/>
          <w:szCs w:val="22"/>
        </w:rPr>
        <w:t>Suff</w:t>
      </w:r>
      <w:proofErr w:type="spellEnd"/>
      <w:r>
        <w:rPr>
          <w:rFonts w:ascii="Arial" w:hAnsi="Arial" w:cs="Arial"/>
          <w:color w:val="222222"/>
          <w:sz w:val="22"/>
          <w:szCs w:val="22"/>
        </w:rPr>
        <w:t>, 2023).</w:t>
      </w:r>
    </w:p>
    <w:p w:rsidR="006E7ABC" w:rsidRDefault="006E7ABC" w:rsidP="006E7ABC">
      <w:pPr>
        <w:pStyle w:val="NormalWeb"/>
        <w:shd w:val="clear" w:color="auto" w:fill="FFFFFF"/>
        <w:spacing w:before="0" w:beforeAutospacing="0" w:after="0" w:afterAutospacing="0"/>
      </w:pPr>
      <w:r>
        <w:rPr>
          <w:rFonts w:ascii="Arial" w:hAnsi="Arial" w:cs="Arial"/>
          <w:color w:val="222222"/>
          <w:sz w:val="22"/>
          <w:szCs w:val="22"/>
        </w:rPr>
        <w:t>Reasons pertaining to illness, incompetence or poor performance can also be considered as</w:t>
      </w:r>
    </w:p>
    <w:p w:rsidR="006E7ABC" w:rsidRDefault="006E7ABC" w:rsidP="006E7ABC">
      <w:pPr>
        <w:pStyle w:val="NormalWeb"/>
        <w:shd w:val="clear" w:color="auto" w:fill="FFFFFF"/>
        <w:spacing w:before="0" w:beforeAutospacing="0" w:after="0" w:afterAutospacing="0"/>
      </w:pPr>
      <w:proofErr w:type="gramStart"/>
      <w:r>
        <w:rPr>
          <w:rFonts w:ascii="Arial" w:hAnsi="Arial" w:cs="Arial"/>
          <w:color w:val="222222"/>
          <w:sz w:val="22"/>
          <w:szCs w:val="22"/>
        </w:rPr>
        <w:t>a</w:t>
      </w:r>
      <w:proofErr w:type="gramEnd"/>
      <w:r>
        <w:rPr>
          <w:rFonts w:ascii="Arial" w:hAnsi="Arial" w:cs="Arial"/>
          <w:color w:val="222222"/>
          <w:sz w:val="22"/>
          <w:szCs w:val="22"/>
        </w:rPr>
        <w:t xml:space="preserve"> lack of capability, providing that employers take reasonable steps before resorting to</w:t>
      </w:r>
    </w:p>
    <w:p w:rsidR="006E7ABC" w:rsidRDefault="006E7ABC" w:rsidP="006E7ABC">
      <w:pPr>
        <w:pStyle w:val="NormalWeb"/>
        <w:shd w:val="clear" w:color="auto" w:fill="FFFFFF"/>
        <w:spacing w:before="0" w:beforeAutospacing="0" w:after="0" w:afterAutospacing="0"/>
      </w:pPr>
      <w:proofErr w:type="gramStart"/>
      <w:r>
        <w:rPr>
          <w:rFonts w:ascii="Arial" w:hAnsi="Arial" w:cs="Arial"/>
          <w:color w:val="222222"/>
          <w:sz w:val="22"/>
          <w:szCs w:val="22"/>
        </w:rPr>
        <w:t>dismissal</w:t>
      </w:r>
      <w:proofErr w:type="gramEnd"/>
      <w:r>
        <w:rPr>
          <w:rFonts w:ascii="Arial" w:hAnsi="Arial" w:cs="Arial"/>
          <w:color w:val="222222"/>
          <w:sz w:val="22"/>
          <w:szCs w:val="22"/>
        </w:rPr>
        <w:t>, such as finding out whether the issue in question is caused by the employee</w:t>
      </w:r>
    </w:p>
    <w:p w:rsidR="006E7ABC" w:rsidRDefault="006E7ABC" w:rsidP="006E7ABC">
      <w:pPr>
        <w:pStyle w:val="NormalWeb"/>
        <w:shd w:val="clear" w:color="auto" w:fill="FFFFFF"/>
        <w:spacing w:before="0" w:beforeAutospacing="0" w:after="0" w:afterAutospacing="0"/>
      </w:pPr>
      <w:proofErr w:type="gramStart"/>
      <w:r>
        <w:rPr>
          <w:rFonts w:ascii="Arial" w:hAnsi="Arial" w:cs="Arial"/>
          <w:color w:val="222222"/>
          <w:sz w:val="22"/>
          <w:szCs w:val="22"/>
        </w:rPr>
        <w:t>having</w:t>
      </w:r>
      <w:proofErr w:type="gramEnd"/>
      <w:r>
        <w:rPr>
          <w:rFonts w:ascii="Arial" w:hAnsi="Arial" w:cs="Arial"/>
          <w:color w:val="222222"/>
          <w:sz w:val="22"/>
          <w:szCs w:val="22"/>
        </w:rPr>
        <w:t xml:space="preserve"> a disability under the Equality Act 2010, and if so, whether reasonable adjustments</w:t>
      </w:r>
    </w:p>
    <w:p w:rsidR="006E7ABC" w:rsidRDefault="006E7ABC" w:rsidP="006E7ABC">
      <w:pPr>
        <w:pStyle w:val="NormalWeb"/>
        <w:shd w:val="clear" w:color="auto" w:fill="FFFFFF"/>
        <w:spacing w:before="0" w:beforeAutospacing="0" w:after="0" w:afterAutospacing="0"/>
      </w:pPr>
      <w:proofErr w:type="gramStart"/>
      <w:r>
        <w:rPr>
          <w:rFonts w:ascii="Arial" w:hAnsi="Arial" w:cs="Arial"/>
          <w:color w:val="222222"/>
          <w:sz w:val="22"/>
          <w:szCs w:val="22"/>
        </w:rPr>
        <w:t>could</w:t>
      </w:r>
      <w:proofErr w:type="gramEnd"/>
      <w:r>
        <w:rPr>
          <w:rFonts w:ascii="Arial" w:hAnsi="Arial" w:cs="Arial"/>
          <w:color w:val="222222"/>
          <w:sz w:val="22"/>
          <w:szCs w:val="22"/>
        </w:rPr>
        <w:t xml:space="preserve"> be made. Furthermore, employers should be providing adequate training to allow</w:t>
      </w:r>
    </w:p>
    <w:p w:rsidR="006E7ABC" w:rsidRDefault="006E7ABC" w:rsidP="006E7ABC">
      <w:pPr>
        <w:pStyle w:val="NormalWeb"/>
        <w:shd w:val="clear" w:color="auto" w:fill="FFFFFF"/>
        <w:spacing w:before="0" w:beforeAutospacing="0" w:after="0" w:afterAutospacing="0"/>
      </w:pPr>
      <w:proofErr w:type="gramStart"/>
      <w:r>
        <w:rPr>
          <w:rFonts w:ascii="Arial" w:hAnsi="Arial" w:cs="Arial"/>
          <w:color w:val="222222"/>
          <w:sz w:val="22"/>
          <w:szCs w:val="22"/>
        </w:rPr>
        <w:t>employees</w:t>
      </w:r>
      <w:proofErr w:type="gramEnd"/>
      <w:r>
        <w:rPr>
          <w:rFonts w:ascii="Arial" w:hAnsi="Arial" w:cs="Arial"/>
          <w:color w:val="222222"/>
          <w:sz w:val="22"/>
          <w:szCs w:val="22"/>
        </w:rPr>
        <w:t xml:space="preserve"> to understand how to fulfil their roles, as this might in fact be the cause of poor</w:t>
      </w:r>
    </w:p>
    <w:p w:rsidR="006E7ABC" w:rsidRDefault="006E7ABC" w:rsidP="006E7ABC">
      <w:pPr>
        <w:pStyle w:val="NormalWeb"/>
        <w:shd w:val="clear" w:color="auto" w:fill="FFFFFF"/>
        <w:spacing w:before="0" w:beforeAutospacing="0" w:after="0" w:afterAutospacing="0"/>
      </w:pPr>
      <w:proofErr w:type="gramStart"/>
      <w:r>
        <w:rPr>
          <w:rFonts w:ascii="Arial" w:hAnsi="Arial" w:cs="Arial"/>
          <w:color w:val="222222"/>
          <w:sz w:val="22"/>
          <w:szCs w:val="22"/>
        </w:rPr>
        <w:t>performance</w:t>
      </w:r>
      <w:proofErr w:type="gramEnd"/>
      <w:r>
        <w:rPr>
          <w:rFonts w:ascii="Arial" w:hAnsi="Arial" w:cs="Arial"/>
          <w:color w:val="222222"/>
          <w:sz w:val="22"/>
          <w:szCs w:val="22"/>
        </w:rPr>
        <w:t>, which would not be a capability issue (</w:t>
      </w:r>
      <w:proofErr w:type="spellStart"/>
      <w:r>
        <w:rPr>
          <w:rFonts w:ascii="Arial" w:hAnsi="Arial" w:cs="Arial"/>
          <w:color w:val="222222"/>
          <w:sz w:val="22"/>
          <w:szCs w:val="22"/>
        </w:rPr>
        <w:t>Acas</w:t>
      </w:r>
      <w:proofErr w:type="spellEnd"/>
      <w:r>
        <w:rPr>
          <w:rFonts w:ascii="Arial" w:hAnsi="Arial" w:cs="Arial"/>
          <w:color w:val="222222"/>
          <w:sz w:val="22"/>
          <w:szCs w:val="22"/>
        </w:rPr>
        <w:t>, 2022; CIPD, 2024; Equality Act,</w:t>
      </w:r>
    </w:p>
    <w:p w:rsidR="006E7ABC" w:rsidRDefault="006E7ABC" w:rsidP="006E7ABC">
      <w:pPr>
        <w:pStyle w:val="NormalWeb"/>
        <w:shd w:val="clear" w:color="auto" w:fill="FFFFFF"/>
        <w:spacing w:before="0" w:beforeAutospacing="0" w:after="0" w:afterAutospacing="0"/>
      </w:pPr>
      <w:r>
        <w:rPr>
          <w:rFonts w:ascii="Arial" w:hAnsi="Arial" w:cs="Arial"/>
          <w:color w:val="222222"/>
          <w:sz w:val="22"/>
          <w:szCs w:val="22"/>
        </w:rPr>
        <w:lastRenderedPageBreak/>
        <w:t>2010).</w:t>
      </w:r>
    </w:p>
    <w:p w:rsidR="006E7ABC" w:rsidRDefault="006E7ABC" w:rsidP="006E7ABC">
      <w:pPr>
        <w:pStyle w:val="NormalWeb"/>
        <w:shd w:val="clear" w:color="auto" w:fill="FFFFFF"/>
        <w:spacing w:before="0" w:beforeAutospacing="0" w:after="0" w:afterAutospacing="0"/>
      </w:pPr>
      <w:r>
        <w:rPr>
          <w:rFonts w:ascii="Arial" w:hAnsi="Arial" w:cs="Arial"/>
          <w:color w:val="222222"/>
          <w:sz w:val="22"/>
          <w:szCs w:val="22"/>
        </w:rPr>
        <w:t>As capability issues may not be the fault of the employee in question, disciplinary action does not apply, but welfare, absence or performance meetings are usually the way to find out all the information before deciding to dismiss someone (</w:t>
      </w:r>
      <w:proofErr w:type="spellStart"/>
      <w:r>
        <w:rPr>
          <w:rFonts w:ascii="Arial" w:hAnsi="Arial" w:cs="Arial"/>
          <w:color w:val="222222"/>
          <w:sz w:val="22"/>
          <w:szCs w:val="22"/>
        </w:rPr>
        <w:t>Acas</w:t>
      </w:r>
      <w:proofErr w:type="spellEnd"/>
      <w:r>
        <w:rPr>
          <w:rFonts w:ascii="Arial" w:hAnsi="Arial" w:cs="Arial"/>
          <w:color w:val="222222"/>
          <w:sz w:val="22"/>
          <w:szCs w:val="22"/>
        </w:rPr>
        <w:t>, 2022).</w:t>
      </w:r>
    </w:p>
    <w:p w:rsidR="006E7ABC" w:rsidRDefault="006E7ABC" w:rsidP="006E7ABC">
      <w:pPr>
        <w:pStyle w:val="NormalWeb"/>
        <w:shd w:val="clear" w:color="auto" w:fill="FFFFFF"/>
        <w:spacing w:before="0" w:beforeAutospacing="0" w:after="0" w:afterAutospacing="0"/>
      </w:pPr>
      <w:r>
        <w:rPr>
          <w:rFonts w:ascii="Arial" w:hAnsi="Arial" w:cs="Arial"/>
          <w:color w:val="222222"/>
          <w:sz w:val="22"/>
          <w:szCs w:val="22"/>
        </w:rPr>
        <w:t>On the other hand, conduct issues should be dealt with by following a disciplinary procedure after an initial reasonable investigation. Employers should refer to their disciplinary policy to gauge what sanction would be a consistent and policy-aligned response to this level of misconduct, for example, gross misconduct may be a fair reason for dismissal, but dismissal for minor misconduct would only be appropriate when there is a pattern of misconduct and warnings issued (</w:t>
      </w:r>
      <w:proofErr w:type="spellStart"/>
      <w:r>
        <w:rPr>
          <w:rFonts w:ascii="Arial" w:hAnsi="Arial" w:cs="Arial"/>
          <w:color w:val="222222"/>
          <w:sz w:val="22"/>
          <w:szCs w:val="22"/>
        </w:rPr>
        <w:t>Acas</w:t>
      </w:r>
      <w:proofErr w:type="spellEnd"/>
      <w:r>
        <w:rPr>
          <w:rFonts w:ascii="Arial" w:hAnsi="Arial" w:cs="Arial"/>
          <w:color w:val="222222"/>
          <w:sz w:val="22"/>
          <w:szCs w:val="22"/>
        </w:rPr>
        <w:t>, 2015).</w:t>
      </w:r>
    </w:p>
    <w:p w:rsidR="006E7ABC" w:rsidRDefault="006E7ABC" w:rsidP="006E7ABC">
      <w:pPr>
        <w:pStyle w:val="NormalWeb"/>
        <w:shd w:val="clear" w:color="auto" w:fill="FFFFFF"/>
        <w:spacing w:before="0" w:beforeAutospacing="0" w:after="0" w:afterAutospacing="0"/>
      </w:pPr>
      <w:r>
        <w:rPr>
          <w:rFonts w:ascii="Arial" w:hAnsi="Arial" w:cs="Arial"/>
          <w:color w:val="222222"/>
          <w:sz w:val="22"/>
          <w:szCs w:val="22"/>
        </w:rPr>
        <w:t>An additional element to a fair process is honouring the right of an employee to be accompanied by a colleague, or trade union official or representative to the disciplinary. The employer must postpone the meeting to allow the companion to attend; failure to do so could result in an unfair dismissal claim on the grounds of unfair process. This precedent was established in an employment tribunal, where, although the reason for dismissal was fair, the employer had failed to take a reasonable action to delay the meeting so the employee could be accompanied (Talon Engineering Ltd v Smith, 2018; ACAS, 2015). </w:t>
      </w:r>
    </w:p>
    <w:p w:rsidR="006E7ABC" w:rsidRDefault="006E7ABC" w:rsidP="006E7ABC">
      <w:pPr>
        <w:pStyle w:val="NormalWeb"/>
        <w:shd w:val="clear" w:color="auto" w:fill="FFFFFF"/>
        <w:spacing w:before="0" w:beforeAutospacing="0" w:after="0" w:afterAutospacing="0"/>
      </w:pPr>
    </w:p>
    <w:p w:rsidR="006E7ABC" w:rsidRDefault="006E7ABC" w:rsidP="006E7ABC">
      <w:pPr>
        <w:pStyle w:val="NormalWeb"/>
        <w:shd w:val="clear" w:color="auto" w:fill="FFFFFF"/>
        <w:spacing w:before="0" w:beforeAutospacing="0" w:after="0" w:afterAutospacing="0"/>
      </w:pPr>
    </w:p>
    <w:p w:rsidR="006E7ABC" w:rsidRDefault="006E7ABC" w:rsidP="006E7ABC">
      <w:pPr>
        <w:pStyle w:val="NormalWeb"/>
        <w:shd w:val="clear" w:color="auto" w:fill="FFFFFF"/>
        <w:spacing w:before="0" w:beforeAutospacing="0" w:after="0" w:afterAutospacing="0"/>
      </w:pPr>
      <w:r>
        <w:rPr>
          <w:rFonts w:ascii="Arial" w:hAnsi="Arial" w:cs="Arial"/>
          <w:color w:val="000000"/>
          <w:sz w:val="22"/>
          <w:szCs w:val="22"/>
        </w:rPr>
        <w:t>3.2</w:t>
      </w:r>
    </w:p>
    <w:p w:rsidR="006E7ABC" w:rsidRDefault="006E7ABC" w:rsidP="006E7ABC">
      <w:pPr>
        <w:pStyle w:val="NormalWeb"/>
        <w:spacing w:before="0" w:beforeAutospacing="0" w:after="160" w:afterAutospacing="0"/>
      </w:pPr>
      <w:r>
        <w:rPr>
          <w:rFonts w:ascii="Arial" w:hAnsi="Arial" w:cs="Arial"/>
          <w:color w:val="000000"/>
          <w:sz w:val="22"/>
          <w:szCs w:val="22"/>
        </w:rPr>
        <w:t>Within the context of a merger, grievance triggers may intensify due to the uncertainty and changes that occurs during the harmonisation process of two trusts and the introduction of new leadership. Poor relationships between employees and their managers, and how employees are treated by their managers is one of the top causes of grievances (Webber, 2023). Having a good working relationship with managers is an integral part of employee wellbeing, with poor management being directly linked to negative mental health and stress (</w:t>
      </w:r>
      <w:proofErr w:type="spellStart"/>
      <w:r>
        <w:rPr>
          <w:rFonts w:ascii="Arial" w:hAnsi="Arial" w:cs="Arial"/>
          <w:color w:val="000000"/>
          <w:sz w:val="22"/>
          <w:szCs w:val="22"/>
        </w:rPr>
        <w:t>Levington</w:t>
      </w:r>
      <w:proofErr w:type="spellEnd"/>
      <w:r>
        <w:rPr>
          <w:rFonts w:ascii="Arial" w:hAnsi="Arial" w:cs="Arial"/>
          <w:color w:val="000000"/>
          <w:sz w:val="22"/>
          <w:szCs w:val="22"/>
        </w:rPr>
        <w:t xml:space="preserve">, 2022; CIPD, 2023; CIPD, 2019). Furthermore, it was found that employees valued managerial qualities such as being treated fairly or with respect above factors such as receiving learning and development activities from their managers (CIPD, 2023). Poor treatment from managers along with their effort to maintain a good working </w:t>
      </w:r>
      <w:proofErr w:type="gramStart"/>
      <w:r>
        <w:rPr>
          <w:rFonts w:ascii="Arial" w:hAnsi="Arial" w:cs="Arial"/>
          <w:color w:val="000000"/>
          <w:sz w:val="22"/>
          <w:szCs w:val="22"/>
        </w:rPr>
        <w:t>relationship,</w:t>
      </w:r>
      <w:proofErr w:type="gramEnd"/>
      <w:r>
        <w:rPr>
          <w:rFonts w:ascii="Arial" w:hAnsi="Arial" w:cs="Arial"/>
          <w:color w:val="000000"/>
          <w:sz w:val="22"/>
          <w:szCs w:val="22"/>
        </w:rPr>
        <w:t xml:space="preserve"> can be perceived as a breach or violation of the psychological contract by the employee, which could escalate into a grievance (CIPD, 2025; </w:t>
      </w:r>
      <w:proofErr w:type="spellStart"/>
      <w:r>
        <w:rPr>
          <w:rFonts w:ascii="Arial" w:hAnsi="Arial" w:cs="Arial"/>
          <w:color w:val="000000"/>
          <w:sz w:val="22"/>
          <w:szCs w:val="22"/>
        </w:rPr>
        <w:t>Topa</w:t>
      </w:r>
      <w:proofErr w:type="spellEnd"/>
      <w:r>
        <w:rPr>
          <w:rFonts w:ascii="Arial" w:hAnsi="Arial" w:cs="Arial"/>
          <w:color w:val="000000"/>
          <w:sz w:val="22"/>
          <w:szCs w:val="22"/>
        </w:rPr>
        <w:t xml:space="preserve"> et al., 2022). While there is potential for management to abuse their power over employees, it’s important to note that sometimes, legitimate performance management actions can wrongly be reported as bullying by employees. Difficult conversations to bring awareness to unacceptable or below-standard behaviour and performance are necessary, and clear, constructive communication in these instances is crucial to avoid breaching the psychological contract (CIPD, 2024). </w:t>
      </w:r>
    </w:p>
    <w:p w:rsidR="006E7ABC" w:rsidRDefault="006E7ABC" w:rsidP="006E7ABC">
      <w:pPr>
        <w:pStyle w:val="NormalWeb"/>
        <w:spacing w:before="0" w:beforeAutospacing="0" w:after="160" w:afterAutospacing="0"/>
      </w:pPr>
      <w:r>
        <w:rPr>
          <w:rFonts w:ascii="Arial" w:hAnsi="Arial" w:cs="Arial"/>
          <w:color w:val="000000"/>
          <w:sz w:val="22"/>
          <w:szCs w:val="22"/>
        </w:rPr>
        <w:t xml:space="preserve">In a survey, 37% of respondents named pay and grading as a main cause of employee grievance (Webber, 2023). A study focusing on the experience of young workers in Australia found that the most common pay-related issues were to do with unpaid wages coming in at over half (57%). This includes non-payment of overtime, sick pay and annual leave, and wrongful deductions for mistakes or damages (McDonald et al., 2007). Pay related issues are valid grievance causes and should always be dealt with formally. Workers are protected from unlawful pay practices by UK legislation, such as the </w:t>
      </w:r>
      <w:r>
        <w:rPr>
          <w:rFonts w:ascii="Arial" w:hAnsi="Arial" w:cs="Arial"/>
          <w:i/>
          <w:iCs/>
          <w:color w:val="000000"/>
          <w:sz w:val="22"/>
          <w:szCs w:val="22"/>
        </w:rPr>
        <w:t xml:space="preserve">Employment Rights Act 1996 </w:t>
      </w:r>
      <w:r>
        <w:rPr>
          <w:rFonts w:ascii="Arial" w:hAnsi="Arial" w:cs="Arial"/>
          <w:color w:val="000000"/>
          <w:sz w:val="22"/>
          <w:szCs w:val="22"/>
        </w:rPr>
        <w:t>which sets out a workers’ right not to suffer unauthorised deductions from their wages, and their right to receive an itemised payslip explaining any deductions that are made (</w:t>
      </w:r>
      <w:proofErr w:type="spellStart"/>
      <w:r>
        <w:rPr>
          <w:rFonts w:ascii="Arial" w:hAnsi="Arial" w:cs="Arial"/>
          <w:color w:val="000000"/>
          <w:sz w:val="22"/>
          <w:szCs w:val="22"/>
        </w:rPr>
        <w:t>Uk</w:t>
      </w:r>
      <w:proofErr w:type="spellEnd"/>
      <w:r>
        <w:rPr>
          <w:rFonts w:ascii="Arial" w:hAnsi="Arial" w:cs="Arial"/>
          <w:color w:val="000000"/>
          <w:sz w:val="22"/>
          <w:szCs w:val="22"/>
        </w:rPr>
        <w:t xml:space="preserve"> Government, 1996; </w:t>
      </w:r>
      <w:proofErr w:type="spellStart"/>
      <w:r>
        <w:rPr>
          <w:rFonts w:ascii="Arial" w:hAnsi="Arial" w:cs="Arial"/>
          <w:color w:val="000000"/>
          <w:sz w:val="22"/>
          <w:szCs w:val="22"/>
        </w:rPr>
        <w:t>Acas</w:t>
      </w:r>
      <w:proofErr w:type="spellEnd"/>
      <w:r>
        <w:rPr>
          <w:rFonts w:ascii="Arial" w:hAnsi="Arial" w:cs="Arial"/>
          <w:color w:val="000000"/>
          <w:sz w:val="22"/>
          <w:szCs w:val="22"/>
        </w:rPr>
        <w:t>, 2025).</w:t>
      </w:r>
    </w:p>
    <w:p w:rsidR="006E7ABC" w:rsidRDefault="006E7ABC" w:rsidP="006E7ABC">
      <w:pPr>
        <w:pStyle w:val="NormalWeb"/>
        <w:spacing w:before="0" w:beforeAutospacing="0" w:after="160" w:afterAutospacing="0"/>
      </w:pPr>
      <w:r>
        <w:rPr>
          <w:rFonts w:ascii="Arial" w:hAnsi="Arial" w:cs="Arial"/>
          <w:color w:val="000000"/>
          <w:sz w:val="22"/>
          <w:szCs w:val="22"/>
        </w:rPr>
        <w:t>Poor relationships between co-workers are a common cause of workplace grievances, particularly where interpersonal conflict escalates into persistent tension, exclusion, or inappropriate behaviour. While differences in personality and working styles are inevitable in collaborative environments, conflict becomes problematic when it is poorly managed, undermining trust, psychological safety, and employee wellbeing (</w:t>
      </w:r>
      <w:proofErr w:type="spellStart"/>
      <w:r>
        <w:rPr>
          <w:rFonts w:ascii="Arial" w:hAnsi="Arial" w:cs="Arial"/>
          <w:color w:val="000000"/>
          <w:sz w:val="22"/>
          <w:szCs w:val="22"/>
        </w:rPr>
        <w:t>Suff</w:t>
      </w:r>
      <w:proofErr w:type="spellEnd"/>
      <w:r>
        <w:rPr>
          <w:rFonts w:ascii="Arial" w:hAnsi="Arial" w:cs="Arial"/>
          <w:color w:val="000000"/>
          <w:sz w:val="22"/>
          <w:szCs w:val="22"/>
        </w:rPr>
        <w:t xml:space="preserve">, 2020; Adams and </w:t>
      </w:r>
      <w:proofErr w:type="spellStart"/>
      <w:r>
        <w:rPr>
          <w:rFonts w:ascii="Arial" w:hAnsi="Arial" w:cs="Arial"/>
          <w:color w:val="000000"/>
          <w:sz w:val="22"/>
          <w:szCs w:val="22"/>
        </w:rPr>
        <w:t>Laursen</w:t>
      </w:r>
      <w:proofErr w:type="spellEnd"/>
      <w:r>
        <w:rPr>
          <w:rFonts w:ascii="Arial" w:hAnsi="Arial" w:cs="Arial"/>
          <w:color w:val="000000"/>
          <w:sz w:val="22"/>
          <w:szCs w:val="22"/>
        </w:rPr>
        <w:t xml:space="preserve">, 2007). Unresolved relationship conflict between colleagues has been linked to </w:t>
      </w:r>
      <w:r>
        <w:rPr>
          <w:rFonts w:ascii="Arial" w:hAnsi="Arial" w:cs="Arial"/>
          <w:color w:val="000000"/>
          <w:sz w:val="22"/>
          <w:szCs w:val="22"/>
        </w:rPr>
        <w:lastRenderedPageBreak/>
        <w:t>increased stress, disengagement, and the escalation of behaviours such as bullying or harassment, which may constitute legitimate grounds for a formal grievance (CIPD, 2023). Where managers fail to intervene effectively, employees may perceive a breach of the psychological contract, increasing the likelihood of grievances being raised. Effective grievance management therefore requires organisations to distinguish between constructive task-related conflict and harmful relationship conflict, set clear behavioural expectations, and address interpersonal issues early through informal resolution mechanisms such as mediation before escalation occurs (CIPD, 2024).</w:t>
      </w:r>
    </w:p>
    <w:p w:rsidR="006E7ABC" w:rsidRDefault="006E7ABC" w:rsidP="006E7ABC">
      <w:pPr>
        <w:pStyle w:val="NormalWeb"/>
        <w:shd w:val="clear" w:color="auto" w:fill="FFFFFF"/>
        <w:spacing w:before="0" w:beforeAutospacing="0" w:after="0" w:afterAutospacing="0"/>
      </w:pPr>
    </w:p>
    <w:p w:rsidR="006E7ABC" w:rsidRDefault="006E7ABC" w:rsidP="006E7ABC">
      <w:pPr>
        <w:pStyle w:val="NormalWeb"/>
        <w:shd w:val="clear" w:color="auto" w:fill="FFFFFF"/>
        <w:spacing w:before="0" w:beforeAutospacing="0" w:after="0" w:afterAutospacing="0"/>
      </w:pPr>
      <w:r>
        <w:rPr>
          <w:rFonts w:ascii="Arial" w:hAnsi="Arial" w:cs="Arial"/>
          <w:color w:val="000000"/>
          <w:sz w:val="22"/>
          <w:szCs w:val="22"/>
        </w:rPr>
        <w:t>3.3</w:t>
      </w:r>
    </w:p>
    <w:p w:rsidR="006E7ABC" w:rsidRDefault="006E7ABC" w:rsidP="006E7ABC">
      <w:pPr>
        <w:pStyle w:val="NormalWeb"/>
        <w:shd w:val="clear" w:color="auto" w:fill="FFFFFF"/>
        <w:spacing w:before="0" w:beforeAutospacing="0" w:after="0" w:afterAutospacing="0"/>
      </w:pPr>
    </w:p>
    <w:p w:rsidR="006E7ABC" w:rsidRDefault="006E7ABC" w:rsidP="006E7ABC">
      <w:pPr>
        <w:pStyle w:val="NormalWeb"/>
        <w:shd w:val="clear" w:color="auto" w:fill="FFFFFF"/>
        <w:spacing w:before="0" w:beforeAutospacing="0" w:after="0" w:afterAutospacing="0"/>
      </w:pPr>
      <w:r>
        <w:rPr>
          <w:rFonts w:ascii="Arial" w:hAnsi="Arial" w:cs="Arial"/>
          <w:color w:val="222222"/>
          <w:sz w:val="22"/>
          <w:szCs w:val="22"/>
        </w:rPr>
        <w:t xml:space="preserve">Grievances are usually a formal result of problems or complaints raised by employees that were unable to be resolved informally, or too serious of an issue to be resolved informally. Trying to revolve things informally when appropriate is usually best practice, as grievances can be a costly process, with an estimated average cost of £951 in management time, per formal grievance (ACAS, 2024; </w:t>
      </w:r>
      <w:proofErr w:type="spellStart"/>
      <w:r>
        <w:rPr>
          <w:rFonts w:ascii="Arial" w:hAnsi="Arial" w:cs="Arial"/>
          <w:color w:val="222222"/>
          <w:sz w:val="22"/>
          <w:szCs w:val="22"/>
        </w:rPr>
        <w:t>Saundry</w:t>
      </w:r>
      <w:proofErr w:type="spellEnd"/>
      <w:r>
        <w:rPr>
          <w:rFonts w:ascii="Arial" w:hAnsi="Arial" w:cs="Arial"/>
          <w:color w:val="222222"/>
          <w:sz w:val="22"/>
          <w:szCs w:val="22"/>
        </w:rPr>
        <w:t xml:space="preserve"> and </w:t>
      </w:r>
      <w:proofErr w:type="spellStart"/>
      <w:r>
        <w:rPr>
          <w:rFonts w:ascii="Arial" w:hAnsi="Arial" w:cs="Arial"/>
          <w:color w:val="222222"/>
          <w:sz w:val="22"/>
          <w:szCs w:val="22"/>
        </w:rPr>
        <w:t>Urwin</w:t>
      </w:r>
      <w:proofErr w:type="spellEnd"/>
      <w:r>
        <w:rPr>
          <w:rFonts w:ascii="Arial" w:hAnsi="Arial" w:cs="Arial"/>
          <w:color w:val="222222"/>
          <w:sz w:val="22"/>
          <w:szCs w:val="22"/>
        </w:rPr>
        <w:t>, 2021). However, many HR practitioners may be less confident dealing with an issue informally than through a formal grievance, due to lack of skills or training in informal approaches (CIPD, 2015).</w:t>
      </w:r>
    </w:p>
    <w:p w:rsidR="006E7ABC" w:rsidRDefault="006E7ABC" w:rsidP="006E7ABC">
      <w:pPr>
        <w:pStyle w:val="NormalWeb"/>
        <w:shd w:val="clear" w:color="auto" w:fill="FFFFFF"/>
        <w:spacing w:before="0" w:beforeAutospacing="0" w:after="0" w:afterAutospacing="0"/>
      </w:pPr>
      <w:r>
        <w:rPr>
          <w:rFonts w:ascii="Arial" w:hAnsi="Arial" w:cs="Arial"/>
          <w:color w:val="222222"/>
          <w:sz w:val="22"/>
          <w:szCs w:val="22"/>
        </w:rPr>
        <w:t>Whether formal or informal, complaints should always be taken seriously and handled appropriately to maintain employee trust and morale, motivation and job performance (</w:t>
      </w:r>
      <w:proofErr w:type="spellStart"/>
      <w:r>
        <w:rPr>
          <w:rFonts w:ascii="Arial" w:hAnsi="Arial" w:cs="Arial"/>
          <w:color w:val="222222"/>
          <w:sz w:val="22"/>
          <w:szCs w:val="22"/>
        </w:rPr>
        <w:t>Acas</w:t>
      </w:r>
      <w:proofErr w:type="spellEnd"/>
      <w:r>
        <w:rPr>
          <w:rFonts w:ascii="Arial" w:hAnsi="Arial" w:cs="Arial"/>
          <w:color w:val="222222"/>
          <w:sz w:val="22"/>
          <w:szCs w:val="22"/>
        </w:rPr>
        <w:t xml:space="preserve">, 2015; </w:t>
      </w:r>
      <w:proofErr w:type="spellStart"/>
      <w:r>
        <w:rPr>
          <w:rFonts w:ascii="Arial" w:hAnsi="Arial" w:cs="Arial"/>
          <w:color w:val="222222"/>
          <w:sz w:val="22"/>
          <w:szCs w:val="22"/>
        </w:rPr>
        <w:t>Wesonga</w:t>
      </w:r>
      <w:proofErr w:type="spellEnd"/>
      <w:r>
        <w:rPr>
          <w:rFonts w:ascii="Arial" w:hAnsi="Arial" w:cs="Arial"/>
          <w:color w:val="222222"/>
          <w:sz w:val="22"/>
          <w:szCs w:val="22"/>
        </w:rPr>
        <w:t xml:space="preserve"> &amp; Van Der </w:t>
      </w:r>
      <w:proofErr w:type="spellStart"/>
      <w:r>
        <w:rPr>
          <w:rFonts w:ascii="Arial" w:hAnsi="Arial" w:cs="Arial"/>
          <w:color w:val="222222"/>
          <w:sz w:val="22"/>
          <w:szCs w:val="22"/>
        </w:rPr>
        <w:t>Westhuizen</w:t>
      </w:r>
      <w:proofErr w:type="spellEnd"/>
      <w:r>
        <w:rPr>
          <w:rFonts w:ascii="Arial" w:hAnsi="Arial" w:cs="Arial"/>
          <w:color w:val="222222"/>
          <w:sz w:val="22"/>
          <w:szCs w:val="22"/>
        </w:rPr>
        <w:t>, 2024). During a formal grievance, investigations must take place to establish the facts and review the evidence. Invites to meetings, outcomes or further escalation should be communicated in writing (ACAS, 2015). </w:t>
      </w:r>
    </w:p>
    <w:p w:rsidR="00620378" w:rsidRPr="00620378" w:rsidRDefault="006E7ABC" w:rsidP="006E7ABC">
      <w:pPr>
        <w:pStyle w:val="NormalWeb"/>
        <w:shd w:val="clear" w:color="auto" w:fill="FFFFFF"/>
        <w:spacing w:before="0" w:beforeAutospacing="0" w:after="0" w:afterAutospacing="0"/>
        <w:rPr>
          <w:rFonts w:ascii="Arial" w:hAnsi="Arial" w:cs="Arial"/>
          <w:sz w:val="22"/>
          <w:szCs w:val="22"/>
        </w:rPr>
      </w:pPr>
      <w:r>
        <w:rPr>
          <w:rFonts w:ascii="Arial" w:hAnsi="Arial" w:cs="Arial"/>
          <w:color w:val="222222"/>
          <w:sz w:val="22"/>
          <w:szCs w:val="22"/>
        </w:rPr>
        <w:t>When a substantive workplace issue is raised, there may be a genuine legal risk to the employer. If taken to tribunal, employers will face an average bill of £8,500, whereas the average settlement will cost £5,400; handling grievances internally in an effective manner and settling early is much more cost efficient than allowing them to escalate to tribunal (Lord, 2015). Mishandled or unfair processes can cause an additional risk of litigation, highlighting the importance of acting reasonably. Many organisations develop their own grievance procedures, closely based on the ACAS Code of Practice, to promote consistency and procedural efficiency in how grievances are handled and resolved internally before they are escalated to tribunal (Wood et al., 2017). In addition to legal risk and costs, escalation to tribunal is public and may cause damage to the employer brand and reputation (</w:t>
      </w:r>
      <w:hyperlink r:id="rId11" w:history="1">
        <w:r>
          <w:rPr>
            <w:rStyle w:val="Hyperlink"/>
            <w:rFonts w:ascii="Arial" w:hAnsi="Arial" w:cs="Arial"/>
            <w:color w:val="1155CC"/>
            <w:sz w:val="22"/>
            <w:szCs w:val="22"/>
          </w:rPr>
          <w:t>Gov.uk</w:t>
        </w:r>
      </w:hyperlink>
      <w:r>
        <w:rPr>
          <w:rFonts w:ascii="Arial" w:hAnsi="Arial" w:cs="Arial"/>
          <w:color w:val="222222"/>
          <w:sz w:val="22"/>
          <w:szCs w:val="22"/>
        </w:rPr>
        <w:t>, 2017). Handling grievances appropriately is crucial to mitigating legal risks, but also for maintaining trust with the workforce by acting with transparency and fairness.</w:t>
      </w:r>
    </w:p>
    <w:p w:rsidR="00620378" w:rsidRPr="00620378" w:rsidRDefault="00620378" w:rsidP="00620378">
      <w:pPr>
        <w:pStyle w:val="NormalWeb"/>
        <w:shd w:val="clear" w:color="auto" w:fill="FFFFFF"/>
        <w:spacing w:before="0" w:beforeAutospacing="0" w:after="0" w:afterAutospacing="0"/>
        <w:rPr>
          <w:rFonts w:ascii="Arial" w:hAnsi="Arial" w:cs="Arial"/>
          <w:sz w:val="22"/>
          <w:szCs w:val="22"/>
        </w:rPr>
      </w:pPr>
    </w:p>
    <w:p w:rsidR="00620378" w:rsidRPr="00620378" w:rsidRDefault="00620378" w:rsidP="00620378">
      <w:pPr>
        <w:pStyle w:val="NormalWeb"/>
        <w:shd w:val="clear" w:color="auto" w:fill="FFFFFF"/>
        <w:spacing w:before="0" w:beforeAutospacing="0" w:after="0" w:afterAutospacing="0"/>
        <w:rPr>
          <w:rFonts w:ascii="Arial" w:hAnsi="Arial" w:cs="Arial"/>
          <w:sz w:val="22"/>
          <w:szCs w:val="22"/>
          <w:u w:val="single"/>
        </w:rPr>
      </w:pPr>
      <w:r w:rsidRPr="00620378">
        <w:rPr>
          <w:rFonts w:ascii="Arial" w:hAnsi="Arial" w:cs="Arial"/>
          <w:sz w:val="22"/>
          <w:szCs w:val="22"/>
          <w:u w:val="single"/>
        </w:rPr>
        <w:t>Bibliography</w:t>
      </w:r>
    </w:p>
    <w:p w:rsidR="00A92A24" w:rsidRPr="00A92A24" w:rsidRDefault="00A92A24" w:rsidP="00A92A24">
      <w:pPr>
        <w:pStyle w:val="NormalWeb"/>
        <w:rPr>
          <w:rFonts w:asciiTheme="minorHAnsi" w:hAnsiTheme="minorHAnsi" w:cstheme="minorHAnsi"/>
        </w:rPr>
      </w:pPr>
      <w:proofErr w:type="spellStart"/>
      <w:r w:rsidRPr="00A92A24">
        <w:rPr>
          <w:rFonts w:asciiTheme="minorHAnsi" w:hAnsiTheme="minorHAnsi" w:cstheme="minorHAnsi"/>
        </w:rPr>
        <w:t>Acas</w:t>
      </w:r>
      <w:proofErr w:type="spellEnd"/>
      <w:r w:rsidRPr="00A92A24">
        <w:rPr>
          <w:rFonts w:asciiTheme="minorHAnsi" w:hAnsiTheme="minorHAnsi" w:cstheme="minorHAnsi"/>
        </w:rPr>
        <w:t xml:space="preserve"> (2015) </w:t>
      </w:r>
      <w:r w:rsidRPr="00A92A24">
        <w:rPr>
          <w:rStyle w:val="Emphasis"/>
          <w:rFonts w:asciiTheme="minorHAnsi" w:hAnsiTheme="minorHAnsi" w:cstheme="minorHAnsi"/>
        </w:rPr>
        <w:t>Code of Practice on Disciplinary and Grievance Procedures</w:t>
      </w:r>
      <w:r w:rsidRPr="00A92A24">
        <w:rPr>
          <w:rFonts w:asciiTheme="minorHAnsi" w:hAnsiTheme="minorHAnsi" w:cstheme="minorHAnsi"/>
        </w:rPr>
        <w:t>. [</w:t>
      </w:r>
      <w:proofErr w:type="gramStart"/>
      <w:r w:rsidRPr="00A92A24">
        <w:rPr>
          <w:rFonts w:asciiTheme="minorHAnsi" w:hAnsiTheme="minorHAnsi" w:cstheme="minorHAnsi"/>
        </w:rPr>
        <w:t>online</w:t>
      </w:r>
      <w:proofErr w:type="gramEnd"/>
      <w:r w:rsidRPr="00A92A24">
        <w:rPr>
          <w:rFonts w:asciiTheme="minorHAnsi" w:hAnsiTheme="minorHAnsi" w:cstheme="minorHAnsi"/>
        </w:rPr>
        <w:t xml:space="preserve">] </w:t>
      </w:r>
      <w:proofErr w:type="spellStart"/>
      <w:proofErr w:type="gramStart"/>
      <w:r w:rsidRPr="00A92A24">
        <w:rPr>
          <w:rFonts w:asciiTheme="minorHAnsi" w:hAnsiTheme="minorHAnsi" w:cstheme="minorHAnsi"/>
        </w:rPr>
        <w:t>Acas</w:t>
      </w:r>
      <w:proofErr w:type="spellEnd"/>
      <w:r w:rsidRPr="00A92A24">
        <w:rPr>
          <w:rFonts w:asciiTheme="minorHAnsi" w:hAnsiTheme="minorHAnsi" w:cstheme="minorHAnsi"/>
        </w:rPr>
        <w:t>.</w:t>
      </w:r>
      <w:proofErr w:type="gramEnd"/>
      <w:r w:rsidRPr="00A92A24">
        <w:rPr>
          <w:rFonts w:asciiTheme="minorHAnsi" w:hAnsiTheme="minorHAnsi" w:cstheme="minorHAnsi"/>
        </w:rPr>
        <w:t xml:space="preserve"> Available at: </w:t>
      </w:r>
      <w:hyperlink r:id="rId12" w:tgtFrame="_new" w:history="1">
        <w:r w:rsidRPr="00A92A24">
          <w:rPr>
            <w:rStyle w:val="Hyperlink"/>
            <w:rFonts w:asciiTheme="minorHAnsi" w:hAnsiTheme="minorHAnsi" w:cstheme="minorHAnsi"/>
          </w:rPr>
          <w:t>https://www.acas.org.uk/acas-code-of-practice-on-disciplinary-and-grievance-procedures/html</w:t>
        </w:r>
      </w:hyperlink>
      <w:r w:rsidRPr="00A92A24">
        <w:rPr>
          <w:rFonts w:asciiTheme="minorHAnsi" w:hAnsiTheme="minorHAnsi" w:cstheme="minorHAnsi"/>
        </w:rPr>
        <w:t>.</w:t>
      </w:r>
    </w:p>
    <w:p w:rsidR="00A92A24" w:rsidRPr="00A92A24" w:rsidRDefault="00A92A24" w:rsidP="00A92A24">
      <w:pPr>
        <w:pStyle w:val="NormalWeb"/>
        <w:rPr>
          <w:rFonts w:asciiTheme="minorHAnsi" w:hAnsiTheme="minorHAnsi" w:cstheme="minorHAnsi"/>
        </w:rPr>
      </w:pPr>
      <w:proofErr w:type="spellStart"/>
      <w:proofErr w:type="gramStart"/>
      <w:r w:rsidRPr="00A92A24">
        <w:rPr>
          <w:rFonts w:asciiTheme="minorHAnsi" w:hAnsiTheme="minorHAnsi" w:cstheme="minorHAnsi"/>
        </w:rPr>
        <w:t>Acas</w:t>
      </w:r>
      <w:proofErr w:type="spellEnd"/>
      <w:r w:rsidRPr="00A92A24">
        <w:rPr>
          <w:rFonts w:asciiTheme="minorHAnsi" w:hAnsiTheme="minorHAnsi" w:cstheme="minorHAnsi"/>
        </w:rPr>
        <w:t xml:space="preserve"> (2022) </w:t>
      </w:r>
      <w:r w:rsidRPr="00A92A24">
        <w:rPr>
          <w:rStyle w:val="Emphasis"/>
          <w:rFonts w:asciiTheme="minorHAnsi" w:hAnsiTheme="minorHAnsi" w:cstheme="minorHAnsi"/>
        </w:rPr>
        <w:t>Conduct and Capa</w:t>
      </w:r>
      <w:bookmarkStart w:id="0" w:name="_GoBack"/>
      <w:bookmarkEnd w:id="0"/>
      <w:r w:rsidRPr="00A92A24">
        <w:rPr>
          <w:rStyle w:val="Emphasis"/>
          <w:rFonts w:asciiTheme="minorHAnsi" w:hAnsiTheme="minorHAnsi" w:cstheme="minorHAnsi"/>
        </w:rPr>
        <w:t>bility Procedures When Managing Performance</w:t>
      </w:r>
      <w:r w:rsidRPr="00A92A24">
        <w:rPr>
          <w:rFonts w:asciiTheme="minorHAnsi" w:hAnsiTheme="minorHAnsi" w:cstheme="minorHAnsi"/>
        </w:rPr>
        <w:t>.</w:t>
      </w:r>
      <w:proofErr w:type="gramEnd"/>
      <w:r w:rsidRPr="00A92A24">
        <w:rPr>
          <w:rFonts w:asciiTheme="minorHAnsi" w:hAnsiTheme="minorHAnsi" w:cstheme="minorHAnsi"/>
        </w:rPr>
        <w:t xml:space="preserve"> [</w:t>
      </w:r>
      <w:proofErr w:type="gramStart"/>
      <w:r w:rsidRPr="00A92A24">
        <w:rPr>
          <w:rFonts w:asciiTheme="minorHAnsi" w:hAnsiTheme="minorHAnsi" w:cstheme="minorHAnsi"/>
        </w:rPr>
        <w:t>online</w:t>
      </w:r>
      <w:proofErr w:type="gramEnd"/>
      <w:r w:rsidRPr="00A92A24">
        <w:rPr>
          <w:rFonts w:asciiTheme="minorHAnsi" w:hAnsiTheme="minorHAnsi" w:cstheme="minorHAnsi"/>
        </w:rPr>
        <w:t xml:space="preserve">] </w:t>
      </w:r>
      <w:proofErr w:type="spellStart"/>
      <w:proofErr w:type="gramStart"/>
      <w:r w:rsidRPr="00A92A24">
        <w:rPr>
          <w:rFonts w:asciiTheme="minorHAnsi" w:hAnsiTheme="minorHAnsi" w:cstheme="minorHAnsi"/>
        </w:rPr>
        <w:t>Acas</w:t>
      </w:r>
      <w:proofErr w:type="spellEnd"/>
      <w:r w:rsidRPr="00A92A24">
        <w:rPr>
          <w:rFonts w:asciiTheme="minorHAnsi" w:hAnsiTheme="minorHAnsi" w:cstheme="minorHAnsi"/>
        </w:rPr>
        <w:t>.</w:t>
      </w:r>
      <w:proofErr w:type="gramEnd"/>
    </w:p>
    <w:p w:rsidR="00A92A24" w:rsidRPr="00A92A24" w:rsidRDefault="00A92A24" w:rsidP="00A92A24">
      <w:pPr>
        <w:pStyle w:val="NormalWeb"/>
        <w:rPr>
          <w:rFonts w:asciiTheme="minorHAnsi" w:hAnsiTheme="minorHAnsi" w:cstheme="minorHAnsi"/>
        </w:rPr>
      </w:pPr>
      <w:proofErr w:type="spellStart"/>
      <w:proofErr w:type="gramStart"/>
      <w:r w:rsidRPr="00A92A24">
        <w:rPr>
          <w:rFonts w:asciiTheme="minorHAnsi" w:hAnsiTheme="minorHAnsi" w:cstheme="minorHAnsi"/>
        </w:rPr>
        <w:t>Acas</w:t>
      </w:r>
      <w:proofErr w:type="spellEnd"/>
      <w:r w:rsidRPr="00A92A24">
        <w:rPr>
          <w:rFonts w:asciiTheme="minorHAnsi" w:hAnsiTheme="minorHAnsi" w:cstheme="minorHAnsi"/>
        </w:rPr>
        <w:t xml:space="preserve"> (2022) </w:t>
      </w:r>
      <w:r w:rsidRPr="00A92A24">
        <w:rPr>
          <w:rStyle w:val="Emphasis"/>
          <w:rFonts w:asciiTheme="minorHAnsi" w:hAnsiTheme="minorHAnsi" w:cstheme="minorHAnsi"/>
        </w:rPr>
        <w:t>Mediation at Work</w:t>
      </w:r>
      <w:r w:rsidRPr="00A92A24">
        <w:rPr>
          <w:rFonts w:asciiTheme="minorHAnsi" w:hAnsiTheme="minorHAnsi" w:cstheme="minorHAnsi"/>
        </w:rPr>
        <w:t>.</w:t>
      </w:r>
      <w:proofErr w:type="gramEnd"/>
      <w:r w:rsidRPr="00A92A24">
        <w:rPr>
          <w:rFonts w:asciiTheme="minorHAnsi" w:hAnsiTheme="minorHAnsi" w:cstheme="minorHAnsi"/>
        </w:rPr>
        <w:t xml:space="preserve"> [</w:t>
      </w:r>
      <w:proofErr w:type="gramStart"/>
      <w:r w:rsidRPr="00A92A24">
        <w:rPr>
          <w:rFonts w:asciiTheme="minorHAnsi" w:hAnsiTheme="minorHAnsi" w:cstheme="minorHAnsi"/>
        </w:rPr>
        <w:t>online</w:t>
      </w:r>
      <w:proofErr w:type="gramEnd"/>
      <w:r w:rsidRPr="00A92A24">
        <w:rPr>
          <w:rFonts w:asciiTheme="minorHAnsi" w:hAnsiTheme="minorHAnsi" w:cstheme="minorHAnsi"/>
        </w:rPr>
        <w:t xml:space="preserve">] </w:t>
      </w:r>
      <w:proofErr w:type="spellStart"/>
      <w:proofErr w:type="gramStart"/>
      <w:r w:rsidRPr="00A92A24">
        <w:rPr>
          <w:rFonts w:asciiTheme="minorHAnsi" w:hAnsiTheme="minorHAnsi" w:cstheme="minorHAnsi"/>
        </w:rPr>
        <w:t>Acas</w:t>
      </w:r>
      <w:proofErr w:type="spellEnd"/>
      <w:r w:rsidRPr="00A92A24">
        <w:rPr>
          <w:rFonts w:asciiTheme="minorHAnsi" w:hAnsiTheme="minorHAnsi" w:cstheme="minorHAnsi"/>
        </w:rPr>
        <w:t>.</w:t>
      </w:r>
      <w:proofErr w:type="gramEnd"/>
    </w:p>
    <w:p w:rsidR="00A92A24" w:rsidRPr="00A92A24" w:rsidRDefault="00A92A24" w:rsidP="00A92A24">
      <w:pPr>
        <w:pStyle w:val="NormalWeb"/>
        <w:rPr>
          <w:rFonts w:asciiTheme="minorHAnsi" w:hAnsiTheme="minorHAnsi" w:cstheme="minorHAnsi"/>
        </w:rPr>
      </w:pPr>
      <w:proofErr w:type="spellStart"/>
      <w:r w:rsidRPr="00A92A24">
        <w:rPr>
          <w:rFonts w:asciiTheme="minorHAnsi" w:hAnsiTheme="minorHAnsi" w:cstheme="minorHAnsi"/>
        </w:rPr>
        <w:t>Acas</w:t>
      </w:r>
      <w:proofErr w:type="spellEnd"/>
      <w:r w:rsidRPr="00A92A24">
        <w:rPr>
          <w:rFonts w:asciiTheme="minorHAnsi" w:hAnsiTheme="minorHAnsi" w:cstheme="minorHAnsi"/>
        </w:rPr>
        <w:t xml:space="preserve"> (2024) </w:t>
      </w:r>
      <w:r w:rsidRPr="00A92A24">
        <w:rPr>
          <w:rStyle w:val="Emphasis"/>
          <w:rFonts w:asciiTheme="minorHAnsi" w:hAnsiTheme="minorHAnsi" w:cstheme="minorHAnsi"/>
        </w:rPr>
        <w:t>Formal Grievance Procedure: Step by Step</w:t>
      </w:r>
      <w:r w:rsidRPr="00A92A24">
        <w:rPr>
          <w:rFonts w:asciiTheme="minorHAnsi" w:hAnsiTheme="minorHAnsi" w:cstheme="minorHAnsi"/>
        </w:rPr>
        <w:t>. [</w:t>
      </w:r>
      <w:proofErr w:type="gramStart"/>
      <w:r w:rsidRPr="00A92A24">
        <w:rPr>
          <w:rFonts w:asciiTheme="minorHAnsi" w:hAnsiTheme="minorHAnsi" w:cstheme="minorHAnsi"/>
        </w:rPr>
        <w:t>online</w:t>
      </w:r>
      <w:proofErr w:type="gramEnd"/>
      <w:r w:rsidRPr="00A92A24">
        <w:rPr>
          <w:rFonts w:asciiTheme="minorHAnsi" w:hAnsiTheme="minorHAnsi" w:cstheme="minorHAnsi"/>
        </w:rPr>
        <w:t xml:space="preserve">] </w:t>
      </w:r>
      <w:proofErr w:type="spellStart"/>
      <w:proofErr w:type="gramStart"/>
      <w:r w:rsidRPr="00A92A24">
        <w:rPr>
          <w:rFonts w:asciiTheme="minorHAnsi" w:hAnsiTheme="minorHAnsi" w:cstheme="minorHAnsi"/>
        </w:rPr>
        <w:t>Acas</w:t>
      </w:r>
      <w:proofErr w:type="spellEnd"/>
      <w:r w:rsidRPr="00A92A24">
        <w:rPr>
          <w:rFonts w:asciiTheme="minorHAnsi" w:hAnsiTheme="minorHAnsi" w:cstheme="minorHAnsi"/>
        </w:rPr>
        <w:t>.</w:t>
      </w:r>
      <w:proofErr w:type="gramEnd"/>
    </w:p>
    <w:p w:rsidR="00A92A24" w:rsidRPr="00A92A24" w:rsidRDefault="00A92A24" w:rsidP="00A92A24">
      <w:pPr>
        <w:pStyle w:val="NormalWeb"/>
        <w:rPr>
          <w:rFonts w:asciiTheme="minorHAnsi" w:hAnsiTheme="minorHAnsi" w:cstheme="minorHAnsi"/>
        </w:rPr>
      </w:pPr>
      <w:proofErr w:type="spellStart"/>
      <w:proofErr w:type="gramStart"/>
      <w:r w:rsidRPr="00A92A24">
        <w:rPr>
          <w:rFonts w:asciiTheme="minorHAnsi" w:hAnsiTheme="minorHAnsi" w:cstheme="minorHAnsi"/>
        </w:rPr>
        <w:t>Acas</w:t>
      </w:r>
      <w:proofErr w:type="spellEnd"/>
      <w:r w:rsidRPr="00A92A24">
        <w:rPr>
          <w:rFonts w:asciiTheme="minorHAnsi" w:hAnsiTheme="minorHAnsi" w:cstheme="minorHAnsi"/>
        </w:rPr>
        <w:t xml:space="preserve"> (2025) </w:t>
      </w:r>
      <w:r w:rsidRPr="00A92A24">
        <w:rPr>
          <w:rStyle w:val="Emphasis"/>
          <w:rFonts w:asciiTheme="minorHAnsi" w:hAnsiTheme="minorHAnsi" w:cstheme="minorHAnsi"/>
        </w:rPr>
        <w:t>Raising an issue with your employer – If wages are not paid</w:t>
      </w:r>
      <w:r w:rsidRPr="00A92A24">
        <w:rPr>
          <w:rFonts w:asciiTheme="minorHAnsi" w:hAnsiTheme="minorHAnsi" w:cstheme="minorHAnsi"/>
        </w:rPr>
        <w:t>.</w:t>
      </w:r>
      <w:proofErr w:type="gramEnd"/>
      <w:r w:rsidRPr="00A92A24">
        <w:rPr>
          <w:rFonts w:asciiTheme="minorHAnsi" w:hAnsiTheme="minorHAnsi" w:cstheme="minorHAnsi"/>
        </w:rPr>
        <w:t xml:space="preserve"> [</w:t>
      </w:r>
      <w:proofErr w:type="gramStart"/>
      <w:r w:rsidRPr="00A92A24">
        <w:rPr>
          <w:rFonts w:asciiTheme="minorHAnsi" w:hAnsiTheme="minorHAnsi" w:cstheme="minorHAnsi"/>
        </w:rPr>
        <w:t>online</w:t>
      </w:r>
      <w:proofErr w:type="gramEnd"/>
      <w:r w:rsidRPr="00A92A24">
        <w:rPr>
          <w:rFonts w:asciiTheme="minorHAnsi" w:hAnsiTheme="minorHAnsi" w:cstheme="minorHAnsi"/>
        </w:rPr>
        <w:t xml:space="preserve">] </w:t>
      </w:r>
      <w:proofErr w:type="spellStart"/>
      <w:proofErr w:type="gramStart"/>
      <w:r w:rsidRPr="00A92A24">
        <w:rPr>
          <w:rFonts w:asciiTheme="minorHAnsi" w:hAnsiTheme="minorHAnsi" w:cstheme="minorHAnsi"/>
        </w:rPr>
        <w:t>Acas</w:t>
      </w:r>
      <w:proofErr w:type="spellEnd"/>
      <w:r w:rsidRPr="00A92A24">
        <w:rPr>
          <w:rFonts w:asciiTheme="minorHAnsi" w:hAnsiTheme="minorHAnsi" w:cstheme="minorHAnsi"/>
        </w:rPr>
        <w:t>.</w:t>
      </w:r>
      <w:proofErr w:type="gramEnd"/>
    </w:p>
    <w:p w:rsidR="00A92A24" w:rsidRPr="00A92A24" w:rsidRDefault="00A92A24" w:rsidP="00A92A24">
      <w:pPr>
        <w:pStyle w:val="NormalWeb"/>
        <w:rPr>
          <w:rFonts w:asciiTheme="minorHAnsi" w:hAnsiTheme="minorHAnsi" w:cstheme="minorHAnsi"/>
        </w:rPr>
      </w:pPr>
      <w:r w:rsidRPr="00A92A24">
        <w:rPr>
          <w:rFonts w:asciiTheme="minorHAnsi" w:hAnsiTheme="minorHAnsi" w:cstheme="minorHAnsi"/>
        </w:rPr>
        <w:t xml:space="preserve">Adams, R.E. and </w:t>
      </w:r>
      <w:proofErr w:type="spellStart"/>
      <w:r w:rsidRPr="00A92A24">
        <w:rPr>
          <w:rFonts w:asciiTheme="minorHAnsi" w:hAnsiTheme="minorHAnsi" w:cstheme="minorHAnsi"/>
        </w:rPr>
        <w:t>Laursen</w:t>
      </w:r>
      <w:proofErr w:type="spellEnd"/>
      <w:r w:rsidRPr="00A92A24">
        <w:rPr>
          <w:rFonts w:asciiTheme="minorHAnsi" w:hAnsiTheme="minorHAnsi" w:cstheme="minorHAnsi"/>
        </w:rPr>
        <w:t>, B. (2007) ‘</w:t>
      </w:r>
      <w:proofErr w:type="gramStart"/>
      <w:r w:rsidRPr="00A92A24">
        <w:rPr>
          <w:rFonts w:asciiTheme="minorHAnsi" w:hAnsiTheme="minorHAnsi" w:cstheme="minorHAnsi"/>
        </w:rPr>
        <w:t>The</w:t>
      </w:r>
      <w:proofErr w:type="gramEnd"/>
      <w:r w:rsidRPr="00A92A24">
        <w:rPr>
          <w:rFonts w:asciiTheme="minorHAnsi" w:hAnsiTheme="minorHAnsi" w:cstheme="minorHAnsi"/>
        </w:rPr>
        <w:t xml:space="preserve"> correlates of conflict: Disagreement is not necessarily detrimental’, </w:t>
      </w:r>
      <w:r w:rsidRPr="00A92A24">
        <w:rPr>
          <w:rStyle w:val="Emphasis"/>
          <w:rFonts w:asciiTheme="minorHAnsi" w:hAnsiTheme="minorHAnsi" w:cstheme="minorHAnsi"/>
        </w:rPr>
        <w:t>Journal of Family Psychology</w:t>
      </w:r>
      <w:r w:rsidRPr="00A92A24">
        <w:rPr>
          <w:rFonts w:asciiTheme="minorHAnsi" w:hAnsiTheme="minorHAnsi" w:cstheme="minorHAnsi"/>
        </w:rPr>
        <w:t>, 21(3), pp.445–458.</w:t>
      </w:r>
    </w:p>
    <w:p w:rsidR="00A92A24" w:rsidRPr="00A92A24" w:rsidRDefault="00A92A24" w:rsidP="00A92A24">
      <w:pPr>
        <w:pStyle w:val="NormalWeb"/>
        <w:rPr>
          <w:rFonts w:asciiTheme="minorHAnsi" w:hAnsiTheme="minorHAnsi" w:cstheme="minorHAnsi"/>
        </w:rPr>
      </w:pPr>
      <w:proofErr w:type="spellStart"/>
      <w:proofErr w:type="gramStart"/>
      <w:r w:rsidRPr="00A92A24">
        <w:rPr>
          <w:rFonts w:asciiTheme="minorHAnsi" w:hAnsiTheme="minorHAnsi" w:cstheme="minorHAnsi"/>
        </w:rPr>
        <w:lastRenderedPageBreak/>
        <w:t>Ayling</w:t>
      </w:r>
      <w:proofErr w:type="spellEnd"/>
      <w:r w:rsidRPr="00A92A24">
        <w:rPr>
          <w:rFonts w:asciiTheme="minorHAnsi" w:hAnsiTheme="minorHAnsi" w:cstheme="minorHAnsi"/>
        </w:rPr>
        <w:t xml:space="preserve">, L. and </w:t>
      </w:r>
      <w:proofErr w:type="spellStart"/>
      <w:r w:rsidRPr="00A92A24">
        <w:rPr>
          <w:rFonts w:asciiTheme="minorHAnsi" w:hAnsiTheme="minorHAnsi" w:cstheme="minorHAnsi"/>
        </w:rPr>
        <w:t>Suff</w:t>
      </w:r>
      <w:proofErr w:type="spellEnd"/>
      <w:r w:rsidRPr="00A92A24">
        <w:rPr>
          <w:rFonts w:asciiTheme="minorHAnsi" w:hAnsiTheme="minorHAnsi" w:cstheme="minorHAnsi"/>
        </w:rPr>
        <w:t xml:space="preserve">, R. (2023) </w:t>
      </w:r>
      <w:r w:rsidRPr="00A92A24">
        <w:rPr>
          <w:rStyle w:val="Emphasis"/>
          <w:rFonts w:asciiTheme="minorHAnsi" w:hAnsiTheme="minorHAnsi" w:cstheme="minorHAnsi"/>
        </w:rPr>
        <w:t>Dismissal procedures</w:t>
      </w:r>
      <w:r w:rsidRPr="00A92A24">
        <w:rPr>
          <w:rFonts w:asciiTheme="minorHAnsi" w:hAnsiTheme="minorHAnsi" w:cstheme="minorHAnsi"/>
        </w:rPr>
        <w:t>.</w:t>
      </w:r>
      <w:proofErr w:type="gramEnd"/>
      <w:r w:rsidRPr="00A92A24">
        <w:rPr>
          <w:rFonts w:asciiTheme="minorHAnsi" w:hAnsiTheme="minorHAnsi" w:cstheme="minorHAnsi"/>
        </w:rPr>
        <w:t xml:space="preserve"> [</w:t>
      </w:r>
      <w:proofErr w:type="gramStart"/>
      <w:r w:rsidRPr="00A92A24">
        <w:rPr>
          <w:rFonts w:asciiTheme="minorHAnsi" w:hAnsiTheme="minorHAnsi" w:cstheme="minorHAnsi"/>
        </w:rPr>
        <w:t>online</w:t>
      </w:r>
      <w:proofErr w:type="gramEnd"/>
      <w:r w:rsidRPr="00A92A24">
        <w:rPr>
          <w:rFonts w:asciiTheme="minorHAnsi" w:hAnsiTheme="minorHAnsi" w:cstheme="minorHAnsi"/>
        </w:rPr>
        <w:t xml:space="preserve">] </w:t>
      </w:r>
      <w:proofErr w:type="gramStart"/>
      <w:r w:rsidRPr="00A92A24">
        <w:rPr>
          <w:rFonts w:asciiTheme="minorHAnsi" w:hAnsiTheme="minorHAnsi" w:cstheme="minorHAnsi"/>
        </w:rPr>
        <w:t>CIPD.</w:t>
      </w:r>
      <w:proofErr w:type="gramEnd"/>
    </w:p>
    <w:p w:rsidR="00A92A24" w:rsidRPr="00A92A24" w:rsidRDefault="00A92A24" w:rsidP="00A92A24">
      <w:pPr>
        <w:pStyle w:val="NormalWeb"/>
        <w:rPr>
          <w:rFonts w:asciiTheme="minorHAnsi" w:hAnsiTheme="minorHAnsi" w:cstheme="minorHAnsi"/>
        </w:rPr>
      </w:pPr>
      <w:r w:rsidRPr="00A92A24">
        <w:rPr>
          <w:rFonts w:asciiTheme="minorHAnsi" w:hAnsiTheme="minorHAnsi" w:cstheme="minorHAnsi"/>
        </w:rPr>
        <w:t xml:space="preserve">Baker, K. (2010) ‘Bad employee relations cited as main cause of grievances’, </w:t>
      </w:r>
      <w:r w:rsidRPr="00A92A24">
        <w:rPr>
          <w:rStyle w:val="Emphasis"/>
          <w:rFonts w:asciiTheme="minorHAnsi" w:hAnsiTheme="minorHAnsi" w:cstheme="minorHAnsi"/>
        </w:rPr>
        <w:t>Personnel Today</w:t>
      </w:r>
      <w:r w:rsidRPr="00A92A24">
        <w:rPr>
          <w:rFonts w:asciiTheme="minorHAnsi" w:hAnsiTheme="minorHAnsi" w:cstheme="minorHAnsi"/>
        </w:rPr>
        <w:t>.</w:t>
      </w:r>
    </w:p>
    <w:p w:rsidR="00A92A24" w:rsidRPr="00A92A24" w:rsidRDefault="00A92A24" w:rsidP="00A92A24">
      <w:pPr>
        <w:pStyle w:val="NormalWeb"/>
        <w:rPr>
          <w:rFonts w:asciiTheme="minorHAnsi" w:hAnsiTheme="minorHAnsi" w:cstheme="minorHAnsi"/>
        </w:rPr>
      </w:pPr>
      <w:r w:rsidRPr="00A92A24">
        <w:rPr>
          <w:rFonts w:asciiTheme="minorHAnsi" w:hAnsiTheme="minorHAnsi" w:cstheme="minorHAnsi"/>
        </w:rPr>
        <w:t>Bell, K. (2021) ‘What role can trade unions play in building back better?</w:t>
      </w:r>
      <w:proofErr w:type="gramStart"/>
      <w:r w:rsidRPr="00A92A24">
        <w:rPr>
          <w:rFonts w:asciiTheme="minorHAnsi" w:hAnsiTheme="minorHAnsi" w:cstheme="minorHAnsi"/>
        </w:rPr>
        <w:t>’,</w:t>
      </w:r>
      <w:proofErr w:type="gramEnd"/>
      <w:r w:rsidRPr="00A92A24">
        <w:rPr>
          <w:rFonts w:asciiTheme="minorHAnsi" w:hAnsiTheme="minorHAnsi" w:cstheme="minorHAnsi"/>
        </w:rPr>
        <w:t xml:space="preserve"> </w:t>
      </w:r>
      <w:r w:rsidRPr="00A92A24">
        <w:rPr>
          <w:rStyle w:val="Emphasis"/>
          <w:rFonts w:asciiTheme="minorHAnsi" w:hAnsiTheme="minorHAnsi" w:cstheme="minorHAnsi"/>
        </w:rPr>
        <w:t>IPPR Progressive Review</w:t>
      </w:r>
      <w:r w:rsidRPr="00A92A24">
        <w:rPr>
          <w:rFonts w:asciiTheme="minorHAnsi" w:hAnsiTheme="minorHAnsi" w:cstheme="minorHAnsi"/>
        </w:rPr>
        <w:t>, 28(3).</w:t>
      </w:r>
    </w:p>
    <w:p w:rsidR="00A92A24" w:rsidRPr="00A92A24" w:rsidRDefault="00A92A24" w:rsidP="00A92A24">
      <w:pPr>
        <w:pStyle w:val="NormalWeb"/>
        <w:rPr>
          <w:rFonts w:asciiTheme="minorHAnsi" w:hAnsiTheme="minorHAnsi" w:cstheme="minorHAnsi"/>
        </w:rPr>
      </w:pPr>
      <w:r w:rsidRPr="00A92A24">
        <w:rPr>
          <w:rFonts w:asciiTheme="minorHAnsi" w:hAnsiTheme="minorHAnsi" w:cstheme="minorHAnsi"/>
        </w:rPr>
        <w:t xml:space="preserve">Blain, N., Goodman, J.C. and </w:t>
      </w:r>
      <w:proofErr w:type="spellStart"/>
      <w:r w:rsidRPr="00A92A24">
        <w:rPr>
          <w:rFonts w:asciiTheme="minorHAnsi" w:hAnsiTheme="minorHAnsi" w:cstheme="minorHAnsi"/>
        </w:rPr>
        <w:t>Loewenberg</w:t>
      </w:r>
      <w:proofErr w:type="spellEnd"/>
      <w:r w:rsidRPr="00A92A24">
        <w:rPr>
          <w:rFonts w:asciiTheme="minorHAnsi" w:hAnsiTheme="minorHAnsi" w:cstheme="minorHAnsi"/>
        </w:rPr>
        <w:t xml:space="preserve">, J. (1986) ‘Mediation, conciliation and arbitration: An international comparison of Australia, Great Britain, and the USA’, </w:t>
      </w:r>
      <w:r w:rsidRPr="00A92A24">
        <w:rPr>
          <w:rStyle w:val="Emphasis"/>
          <w:rFonts w:asciiTheme="minorHAnsi" w:hAnsiTheme="minorHAnsi" w:cstheme="minorHAnsi"/>
        </w:rPr>
        <w:t>International Labour Review</w:t>
      </w:r>
      <w:r w:rsidRPr="00A92A24">
        <w:rPr>
          <w:rFonts w:asciiTheme="minorHAnsi" w:hAnsiTheme="minorHAnsi" w:cstheme="minorHAnsi"/>
        </w:rPr>
        <w:t>, 126(2).</w:t>
      </w:r>
    </w:p>
    <w:p w:rsidR="00A92A24" w:rsidRPr="00A92A24" w:rsidRDefault="00A92A24" w:rsidP="00A92A24">
      <w:pPr>
        <w:pStyle w:val="NormalWeb"/>
        <w:rPr>
          <w:rFonts w:asciiTheme="minorHAnsi" w:hAnsiTheme="minorHAnsi" w:cstheme="minorHAnsi"/>
        </w:rPr>
      </w:pPr>
      <w:r w:rsidRPr="00A92A24">
        <w:rPr>
          <w:rFonts w:asciiTheme="minorHAnsi" w:hAnsiTheme="minorHAnsi" w:cstheme="minorHAnsi"/>
        </w:rPr>
        <w:t xml:space="preserve">Bruce, M. and </w:t>
      </w:r>
      <w:proofErr w:type="spellStart"/>
      <w:r w:rsidRPr="00A92A24">
        <w:rPr>
          <w:rFonts w:asciiTheme="minorHAnsi" w:hAnsiTheme="minorHAnsi" w:cstheme="minorHAnsi"/>
        </w:rPr>
        <w:t>Ingham</w:t>
      </w:r>
      <w:proofErr w:type="spellEnd"/>
      <w:r w:rsidRPr="00A92A24">
        <w:rPr>
          <w:rFonts w:asciiTheme="minorHAnsi" w:hAnsiTheme="minorHAnsi" w:cstheme="minorHAnsi"/>
        </w:rPr>
        <w:t xml:space="preserve">, F. (2026) </w:t>
      </w:r>
      <w:r w:rsidRPr="00A92A24">
        <w:rPr>
          <w:rStyle w:val="Emphasis"/>
          <w:rFonts w:asciiTheme="minorHAnsi" w:hAnsiTheme="minorHAnsi" w:cstheme="minorHAnsi"/>
        </w:rPr>
        <w:t>Upcoming Changes Under the Employment Rights Act 2025</w:t>
      </w:r>
      <w:r w:rsidRPr="00A92A24">
        <w:rPr>
          <w:rFonts w:asciiTheme="minorHAnsi" w:hAnsiTheme="minorHAnsi" w:cstheme="minorHAnsi"/>
        </w:rPr>
        <w:t>. [</w:t>
      </w:r>
      <w:proofErr w:type="gramStart"/>
      <w:r w:rsidRPr="00A92A24">
        <w:rPr>
          <w:rFonts w:asciiTheme="minorHAnsi" w:hAnsiTheme="minorHAnsi" w:cstheme="minorHAnsi"/>
        </w:rPr>
        <w:t>online</w:t>
      </w:r>
      <w:proofErr w:type="gramEnd"/>
      <w:r w:rsidRPr="00A92A24">
        <w:rPr>
          <w:rFonts w:asciiTheme="minorHAnsi" w:hAnsiTheme="minorHAnsi" w:cstheme="minorHAnsi"/>
        </w:rPr>
        <w:t>] Mayer Brown.</w:t>
      </w:r>
    </w:p>
    <w:p w:rsidR="00A92A24" w:rsidRPr="00A92A24" w:rsidRDefault="00A92A24" w:rsidP="00A92A24">
      <w:pPr>
        <w:pStyle w:val="NormalWeb"/>
        <w:rPr>
          <w:rFonts w:asciiTheme="minorHAnsi" w:hAnsiTheme="minorHAnsi" w:cstheme="minorHAnsi"/>
        </w:rPr>
      </w:pPr>
      <w:r w:rsidRPr="00A92A24">
        <w:rPr>
          <w:rFonts w:asciiTheme="minorHAnsi" w:hAnsiTheme="minorHAnsi" w:cstheme="minorHAnsi"/>
        </w:rPr>
        <w:t xml:space="preserve">Cathcart, A. (2013) ‘Directing democracy: Competing interests and contested terrain in the John Lewis Partnership’, </w:t>
      </w:r>
      <w:r w:rsidRPr="00A92A24">
        <w:rPr>
          <w:rStyle w:val="Emphasis"/>
          <w:rFonts w:asciiTheme="minorHAnsi" w:hAnsiTheme="minorHAnsi" w:cstheme="minorHAnsi"/>
        </w:rPr>
        <w:t>Journal of Industrial Relations</w:t>
      </w:r>
      <w:r w:rsidRPr="00A92A24">
        <w:rPr>
          <w:rFonts w:asciiTheme="minorHAnsi" w:hAnsiTheme="minorHAnsi" w:cstheme="minorHAnsi"/>
        </w:rPr>
        <w:t>, 55(4), pp.601–620.</w:t>
      </w:r>
    </w:p>
    <w:p w:rsidR="00A92A24" w:rsidRPr="00A92A24" w:rsidRDefault="00A92A24" w:rsidP="00A92A24">
      <w:pPr>
        <w:pStyle w:val="NormalWeb"/>
        <w:rPr>
          <w:rFonts w:asciiTheme="minorHAnsi" w:hAnsiTheme="minorHAnsi" w:cstheme="minorHAnsi"/>
        </w:rPr>
      </w:pPr>
      <w:r w:rsidRPr="00A92A24">
        <w:rPr>
          <w:rFonts w:asciiTheme="minorHAnsi" w:hAnsiTheme="minorHAnsi" w:cstheme="minorHAnsi"/>
        </w:rPr>
        <w:t xml:space="preserve">CIPD (2015) </w:t>
      </w:r>
      <w:r w:rsidRPr="00A92A24">
        <w:rPr>
          <w:rStyle w:val="Emphasis"/>
          <w:rFonts w:asciiTheme="minorHAnsi" w:hAnsiTheme="minorHAnsi" w:cstheme="minorHAnsi"/>
        </w:rPr>
        <w:t>Conflict Management: A Shift in Direction</w:t>
      </w:r>
      <w:r w:rsidRPr="00A92A24">
        <w:rPr>
          <w:rFonts w:asciiTheme="minorHAnsi" w:hAnsiTheme="minorHAnsi" w:cstheme="minorHAnsi"/>
        </w:rPr>
        <w:t>. London: CIPD.</w:t>
      </w:r>
    </w:p>
    <w:p w:rsidR="00A92A24" w:rsidRPr="00A92A24" w:rsidRDefault="00A92A24" w:rsidP="00A92A24">
      <w:pPr>
        <w:pStyle w:val="NormalWeb"/>
        <w:rPr>
          <w:rFonts w:asciiTheme="minorHAnsi" w:hAnsiTheme="minorHAnsi" w:cstheme="minorHAnsi"/>
        </w:rPr>
      </w:pPr>
      <w:r w:rsidRPr="00A92A24">
        <w:rPr>
          <w:rFonts w:asciiTheme="minorHAnsi" w:hAnsiTheme="minorHAnsi" w:cstheme="minorHAnsi"/>
        </w:rPr>
        <w:t>CIPD (2019) ‘Rise in stress at work linked to poor management’. [</w:t>
      </w:r>
      <w:proofErr w:type="gramStart"/>
      <w:r w:rsidRPr="00A92A24">
        <w:rPr>
          <w:rFonts w:asciiTheme="minorHAnsi" w:hAnsiTheme="minorHAnsi" w:cstheme="minorHAnsi"/>
        </w:rPr>
        <w:t>online</w:t>
      </w:r>
      <w:proofErr w:type="gramEnd"/>
      <w:r w:rsidRPr="00A92A24">
        <w:rPr>
          <w:rFonts w:asciiTheme="minorHAnsi" w:hAnsiTheme="minorHAnsi" w:cstheme="minorHAnsi"/>
        </w:rPr>
        <w:t xml:space="preserve">] </w:t>
      </w:r>
      <w:proofErr w:type="gramStart"/>
      <w:r w:rsidRPr="00A92A24">
        <w:rPr>
          <w:rFonts w:asciiTheme="minorHAnsi" w:hAnsiTheme="minorHAnsi" w:cstheme="minorHAnsi"/>
        </w:rPr>
        <w:t>CIPD.</w:t>
      </w:r>
      <w:proofErr w:type="gramEnd"/>
    </w:p>
    <w:p w:rsidR="00A92A24" w:rsidRPr="00A92A24" w:rsidRDefault="00A92A24" w:rsidP="00A92A24">
      <w:pPr>
        <w:pStyle w:val="NormalWeb"/>
        <w:rPr>
          <w:rFonts w:asciiTheme="minorHAnsi" w:hAnsiTheme="minorHAnsi" w:cstheme="minorHAnsi"/>
        </w:rPr>
      </w:pPr>
      <w:r w:rsidRPr="00A92A24">
        <w:rPr>
          <w:rFonts w:asciiTheme="minorHAnsi" w:hAnsiTheme="minorHAnsi" w:cstheme="minorHAnsi"/>
        </w:rPr>
        <w:t xml:space="preserve">CIPD (2022) </w:t>
      </w:r>
      <w:r w:rsidRPr="00A92A24">
        <w:rPr>
          <w:rStyle w:val="Emphasis"/>
          <w:rFonts w:asciiTheme="minorHAnsi" w:hAnsiTheme="minorHAnsi" w:cstheme="minorHAnsi"/>
        </w:rPr>
        <w:t>Collective employee voice: Recommendations for working with employee representatives for mutual gain</w:t>
      </w:r>
      <w:r w:rsidRPr="00A92A24">
        <w:rPr>
          <w:rFonts w:asciiTheme="minorHAnsi" w:hAnsiTheme="minorHAnsi" w:cstheme="minorHAnsi"/>
        </w:rPr>
        <w:t>. London: CIPD.</w:t>
      </w:r>
    </w:p>
    <w:p w:rsidR="00A92A24" w:rsidRPr="00A92A24" w:rsidRDefault="00A92A24" w:rsidP="00A92A24">
      <w:pPr>
        <w:pStyle w:val="NormalWeb"/>
        <w:rPr>
          <w:rFonts w:asciiTheme="minorHAnsi" w:hAnsiTheme="minorHAnsi" w:cstheme="minorHAnsi"/>
        </w:rPr>
      </w:pPr>
      <w:r w:rsidRPr="00A92A24">
        <w:rPr>
          <w:rFonts w:asciiTheme="minorHAnsi" w:hAnsiTheme="minorHAnsi" w:cstheme="minorHAnsi"/>
        </w:rPr>
        <w:t xml:space="preserve">CIPD (2023) </w:t>
      </w:r>
      <w:proofErr w:type="gramStart"/>
      <w:r w:rsidRPr="00A92A24">
        <w:rPr>
          <w:rStyle w:val="Emphasis"/>
          <w:rFonts w:asciiTheme="minorHAnsi" w:hAnsiTheme="minorHAnsi" w:cstheme="minorHAnsi"/>
        </w:rPr>
        <w:t>The</w:t>
      </w:r>
      <w:proofErr w:type="gramEnd"/>
      <w:r w:rsidRPr="00A92A24">
        <w:rPr>
          <w:rStyle w:val="Emphasis"/>
          <w:rFonts w:asciiTheme="minorHAnsi" w:hAnsiTheme="minorHAnsi" w:cstheme="minorHAnsi"/>
        </w:rPr>
        <w:t xml:space="preserve"> importance of people management: Analysis of its impact on employees</w:t>
      </w:r>
      <w:r w:rsidRPr="00A92A24">
        <w:rPr>
          <w:rFonts w:asciiTheme="minorHAnsi" w:hAnsiTheme="minorHAnsi" w:cstheme="minorHAnsi"/>
        </w:rPr>
        <w:t>. London: CIPD.</w:t>
      </w:r>
    </w:p>
    <w:p w:rsidR="00A92A24" w:rsidRPr="00A92A24" w:rsidRDefault="00A92A24" w:rsidP="00A92A24">
      <w:pPr>
        <w:pStyle w:val="NormalWeb"/>
        <w:rPr>
          <w:rFonts w:asciiTheme="minorHAnsi" w:hAnsiTheme="minorHAnsi" w:cstheme="minorHAnsi"/>
        </w:rPr>
      </w:pPr>
      <w:proofErr w:type="gramStart"/>
      <w:r w:rsidRPr="00A92A24">
        <w:rPr>
          <w:rFonts w:asciiTheme="minorHAnsi" w:hAnsiTheme="minorHAnsi" w:cstheme="minorHAnsi"/>
        </w:rPr>
        <w:t>CIPD (2023) ‘Poor managers bad for workers’ mental health and performance’.</w:t>
      </w:r>
      <w:proofErr w:type="gramEnd"/>
      <w:r w:rsidRPr="00A92A24">
        <w:rPr>
          <w:rFonts w:asciiTheme="minorHAnsi" w:hAnsiTheme="minorHAnsi" w:cstheme="minorHAnsi"/>
        </w:rPr>
        <w:t xml:space="preserve"> [</w:t>
      </w:r>
      <w:proofErr w:type="gramStart"/>
      <w:r w:rsidRPr="00A92A24">
        <w:rPr>
          <w:rFonts w:asciiTheme="minorHAnsi" w:hAnsiTheme="minorHAnsi" w:cstheme="minorHAnsi"/>
        </w:rPr>
        <w:t>online</w:t>
      </w:r>
      <w:proofErr w:type="gramEnd"/>
      <w:r w:rsidRPr="00A92A24">
        <w:rPr>
          <w:rFonts w:asciiTheme="minorHAnsi" w:hAnsiTheme="minorHAnsi" w:cstheme="minorHAnsi"/>
        </w:rPr>
        <w:t xml:space="preserve">] </w:t>
      </w:r>
      <w:proofErr w:type="gramStart"/>
      <w:r w:rsidRPr="00A92A24">
        <w:rPr>
          <w:rFonts w:asciiTheme="minorHAnsi" w:hAnsiTheme="minorHAnsi" w:cstheme="minorHAnsi"/>
        </w:rPr>
        <w:t>CIPD.</w:t>
      </w:r>
      <w:proofErr w:type="gramEnd"/>
    </w:p>
    <w:p w:rsidR="00A92A24" w:rsidRPr="00A92A24" w:rsidRDefault="00A92A24" w:rsidP="00A92A24">
      <w:pPr>
        <w:pStyle w:val="NormalWeb"/>
        <w:rPr>
          <w:rFonts w:asciiTheme="minorHAnsi" w:hAnsiTheme="minorHAnsi" w:cstheme="minorHAnsi"/>
        </w:rPr>
      </w:pPr>
      <w:r w:rsidRPr="00A92A24">
        <w:rPr>
          <w:rFonts w:asciiTheme="minorHAnsi" w:hAnsiTheme="minorHAnsi" w:cstheme="minorHAnsi"/>
        </w:rPr>
        <w:t xml:space="preserve">CIPD (2024) </w:t>
      </w:r>
      <w:r w:rsidRPr="00A92A24">
        <w:rPr>
          <w:rStyle w:val="Emphasis"/>
          <w:rFonts w:asciiTheme="minorHAnsi" w:hAnsiTheme="minorHAnsi" w:cstheme="minorHAnsi"/>
        </w:rPr>
        <w:t>Trade Union Recognition and Industrial Action: UK Employment Law</w:t>
      </w:r>
      <w:r w:rsidRPr="00A92A24">
        <w:rPr>
          <w:rFonts w:asciiTheme="minorHAnsi" w:hAnsiTheme="minorHAnsi" w:cstheme="minorHAnsi"/>
        </w:rPr>
        <w:t>. [</w:t>
      </w:r>
      <w:proofErr w:type="gramStart"/>
      <w:r w:rsidRPr="00A92A24">
        <w:rPr>
          <w:rFonts w:asciiTheme="minorHAnsi" w:hAnsiTheme="minorHAnsi" w:cstheme="minorHAnsi"/>
        </w:rPr>
        <w:t>online</w:t>
      </w:r>
      <w:proofErr w:type="gramEnd"/>
      <w:r w:rsidRPr="00A92A24">
        <w:rPr>
          <w:rFonts w:asciiTheme="minorHAnsi" w:hAnsiTheme="minorHAnsi" w:cstheme="minorHAnsi"/>
        </w:rPr>
        <w:t xml:space="preserve">] </w:t>
      </w:r>
      <w:proofErr w:type="gramStart"/>
      <w:r w:rsidRPr="00A92A24">
        <w:rPr>
          <w:rFonts w:asciiTheme="minorHAnsi" w:hAnsiTheme="minorHAnsi" w:cstheme="minorHAnsi"/>
        </w:rPr>
        <w:t>CIPD.</w:t>
      </w:r>
      <w:proofErr w:type="gramEnd"/>
    </w:p>
    <w:p w:rsidR="00A92A24" w:rsidRPr="00A92A24" w:rsidRDefault="00A92A24" w:rsidP="00A92A24">
      <w:pPr>
        <w:pStyle w:val="NormalWeb"/>
        <w:rPr>
          <w:rFonts w:asciiTheme="minorHAnsi" w:hAnsiTheme="minorHAnsi" w:cstheme="minorHAnsi"/>
        </w:rPr>
      </w:pPr>
      <w:proofErr w:type="gramStart"/>
      <w:r w:rsidRPr="00A92A24">
        <w:rPr>
          <w:rFonts w:asciiTheme="minorHAnsi" w:hAnsiTheme="minorHAnsi" w:cstheme="minorHAnsi"/>
        </w:rPr>
        <w:t xml:space="preserve">CIPD (2024b) </w:t>
      </w:r>
      <w:r w:rsidRPr="00A92A24">
        <w:rPr>
          <w:rStyle w:val="Emphasis"/>
          <w:rFonts w:asciiTheme="minorHAnsi" w:hAnsiTheme="minorHAnsi" w:cstheme="minorHAnsi"/>
        </w:rPr>
        <w:t>Tackling bullying and conflict at work</w:t>
      </w:r>
      <w:r w:rsidRPr="00A92A24">
        <w:rPr>
          <w:rFonts w:asciiTheme="minorHAnsi" w:hAnsiTheme="minorHAnsi" w:cstheme="minorHAnsi"/>
        </w:rPr>
        <w:t>.</w:t>
      </w:r>
      <w:proofErr w:type="gramEnd"/>
      <w:r w:rsidRPr="00A92A24">
        <w:rPr>
          <w:rFonts w:asciiTheme="minorHAnsi" w:hAnsiTheme="minorHAnsi" w:cstheme="minorHAnsi"/>
        </w:rPr>
        <w:t xml:space="preserve"> [</w:t>
      </w:r>
      <w:proofErr w:type="gramStart"/>
      <w:r w:rsidRPr="00A92A24">
        <w:rPr>
          <w:rFonts w:asciiTheme="minorHAnsi" w:hAnsiTheme="minorHAnsi" w:cstheme="minorHAnsi"/>
        </w:rPr>
        <w:t>online</w:t>
      </w:r>
      <w:proofErr w:type="gramEnd"/>
      <w:r w:rsidRPr="00A92A24">
        <w:rPr>
          <w:rFonts w:asciiTheme="minorHAnsi" w:hAnsiTheme="minorHAnsi" w:cstheme="minorHAnsi"/>
        </w:rPr>
        <w:t xml:space="preserve">] </w:t>
      </w:r>
      <w:proofErr w:type="gramStart"/>
      <w:r w:rsidRPr="00A92A24">
        <w:rPr>
          <w:rFonts w:asciiTheme="minorHAnsi" w:hAnsiTheme="minorHAnsi" w:cstheme="minorHAnsi"/>
        </w:rPr>
        <w:t>CIPD.</w:t>
      </w:r>
      <w:proofErr w:type="gramEnd"/>
    </w:p>
    <w:p w:rsidR="00A92A24" w:rsidRPr="00A92A24" w:rsidRDefault="00A92A24" w:rsidP="00A92A24">
      <w:pPr>
        <w:pStyle w:val="NormalWeb"/>
        <w:rPr>
          <w:rFonts w:asciiTheme="minorHAnsi" w:hAnsiTheme="minorHAnsi" w:cstheme="minorHAnsi"/>
        </w:rPr>
      </w:pPr>
      <w:proofErr w:type="gramStart"/>
      <w:r w:rsidRPr="00A92A24">
        <w:rPr>
          <w:rFonts w:asciiTheme="minorHAnsi" w:hAnsiTheme="minorHAnsi" w:cstheme="minorHAnsi"/>
        </w:rPr>
        <w:t xml:space="preserve">CIPD (2025) </w:t>
      </w:r>
      <w:r w:rsidRPr="00A92A24">
        <w:rPr>
          <w:rStyle w:val="Emphasis"/>
          <w:rFonts w:asciiTheme="minorHAnsi" w:hAnsiTheme="minorHAnsi" w:cstheme="minorHAnsi"/>
        </w:rPr>
        <w:t>Employee Voice</w:t>
      </w:r>
      <w:r w:rsidRPr="00A92A24">
        <w:rPr>
          <w:rFonts w:asciiTheme="minorHAnsi" w:hAnsiTheme="minorHAnsi" w:cstheme="minorHAnsi"/>
        </w:rPr>
        <w:t>.</w:t>
      </w:r>
      <w:proofErr w:type="gramEnd"/>
      <w:r w:rsidRPr="00A92A24">
        <w:rPr>
          <w:rFonts w:asciiTheme="minorHAnsi" w:hAnsiTheme="minorHAnsi" w:cstheme="minorHAnsi"/>
        </w:rPr>
        <w:t xml:space="preserve"> [</w:t>
      </w:r>
      <w:proofErr w:type="gramStart"/>
      <w:r w:rsidRPr="00A92A24">
        <w:rPr>
          <w:rFonts w:asciiTheme="minorHAnsi" w:hAnsiTheme="minorHAnsi" w:cstheme="minorHAnsi"/>
        </w:rPr>
        <w:t>online</w:t>
      </w:r>
      <w:proofErr w:type="gramEnd"/>
      <w:r w:rsidRPr="00A92A24">
        <w:rPr>
          <w:rFonts w:asciiTheme="minorHAnsi" w:hAnsiTheme="minorHAnsi" w:cstheme="minorHAnsi"/>
        </w:rPr>
        <w:t xml:space="preserve">] </w:t>
      </w:r>
      <w:proofErr w:type="gramStart"/>
      <w:r w:rsidRPr="00A92A24">
        <w:rPr>
          <w:rFonts w:asciiTheme="minorHAnsi" w:hAnsiTheme="minorHAnsi" w:cstheme="minorHAnsi"/>
        </w:rPr>
        <w:t>CIPD.</w:t>
      </w:r>
      <w:proofErr w:type="gramEnd"/>
    </w:p>
    <w:p w:rsidR="00A92A24" w:rsidRPr="00A92A24" w:rsidRDefault="00A92A24" w:rsidP="00A92A24">
      <w:pPr>
        <w:pStyle w:val="NormalWeb"/>
        <w:rPr>
          <w:rFonts w:asciiTheme="minorHAnsi" w:hAnsiTheme="minorHAnsi" w:cstheme="minorHAnsi"/>
        </w:rPr>
      </w:pPr>
      <w:proofErr w:type="gramStart"/>
      <w:r w:rsidRPr="00A92A24">
        <w:rPr>
          <w:rFonts w:asciiTheme="minorHAnsi" w:hAnsiTheme="minorHAnsi" w:cstheme="minorHAnsi"/>
        </w:rPr>
        <w:t xml:space="preserve">CIPD (2025) </w:t>
      </w:r>
      <w:r w:rsidRPr="00A92A24">
        <w:rPr>
          <w:rStyle w:val="Emphasis"/>
          <w:rFonts w:asciiTheme="minorHAnsi" w:hAnsiTheme="minorHAnsi" w:cstheme="minorHAnsi"/>
        </w:rPr>
        <w:t>Information and Consultation of Employees</w:t>
      </w:r>
      <w:r w:rsidRPr="00A92A24">
        <w:rPr>
          <w:rFonts w:asciiTheme="minorHAnsi" w:hAnsiTheme="minorHAnsi" w:cstheme="minorHAnsi"/>
        </w:rPr>
        <w:t>.</w:t>
      </w:r>
      <w:proofErr w:type="gramEnd"/>
      <w:r w:rsidRPr="00A92A24">
        <w:rPr>
          <w:rFonts w:asciiTheme="minorHAnsi" w:hAnsiTheme="minorHAnsi" w:cstheme="minorHAnsi"/>
        </w:rPr>
        <w:t xml:space="preserve"> [</w:t>
      </w:r>
      <w:proofErr w:type="gramStart"/>
      <w:r w:rsidRPr="00A92A24">
        <w:rPr>
          <w:rFonts w:asciiTheme="minorHAnsi" w:hAnsiTheme="minorHAnsi" w:cstheme="minorHAnsi"/>
        </w:rPr>
        <w:t>online</w:t>
      </w:r>
      <w:proofErr w:type="gramEnd"/>
      <w:r w:rsidRPr="00A92A24">
        <w:rPr>
          <w:rFonts w:asciiTheme="minorHAnsi" w:hAnsiTheme="minorHAnsi" w:cstheme="minorHAnsi"/>
        </w:rPr>
        <w:t xml:space="preserve">] </w:t>
      </w:r>
      <w:proofErr w:type="gramStart"/>
      <w:r w:rsidRPr="00A92A24">
        <w:rPr>
          <w:rFonts w:asciiTheme="minorHAnsi" w:hAnsiTheme="minorHAnsi" w:cstheme="minorHAnsi"/>
        </w:rPr>
        <w:t>CIPD.</w:t>
      </w:r>
      <w:proofErr w:type="gramEnd"/>
    </w:p>
    <w:p w:rsidR="00A92A24" w:rsidRPr="00A92A24" w:rsidRDefault="00A92A24" w:rsidP="00A92A24">
      <w:pPr>
        <w:pStyle w:val="NormalWeb"/>
        <w:rPr>
          <w:rFonts w:asciiTheme="minorHAnsi" w:hAnsiTheme="minorHAnsi" w:cstheme="minorHAnsi"/>
        </w:rPr>
      </w:pPr>
      <w:proofErr w:type="gramStart"/>
      <w:r w:rsidRPr="00A92A24">
        <w:rPr>
          <w:rFonts w:asciiTheme="minorHAnsi" w:hAnsiTheme="minorHAnsi" w:cstheme="minorHAnsi"/>
        </w:rPr>
        <w:t xml:space="preserve">CIPD (2025a) </w:t>
      </w:r>
      <w:r w:rsidRPr="00A92A24">
        <w:rPr>
          <w:rStyle w:val="Emphasis"/>
          <w:rFonts w:asciiTheme="minorHAnsi" w:hAnsiTheme="minorHAnsi" w:cstheme="minorHAnsi"/>
        </w:rPr>
        <w:t>Psychological Contract</w:t>
      </w:r>
      <w:r w:rsidRPr="00A92A24">
        <w:rPr>
          <w:rFonts w:asciiTheme="minorHAnsi" w:hAnsiTheme="minorHAnsi" w:cstheme="minorHAnsi"/>
        </w:rPr>
        <w:t>.</w:t>
      </w:r>
      <w:proofErr w:type="gramEnd"/>
      <w:r w:rsidRPr="00A92A24">
        <w:rPr>
          <w:rFonts w:asciiTheme="minorHAnsi" w:hAnsiTheme="minorHAnsi" w:cstheme="minorHAnsi"/>
        </w:rPr>
        <w:t xml:space="preserve"> [</w:t>
      </w:r>
      <w:proofErr w:type="gramStart"/>
      <w:r w:rsidRPr="00A92A24">
        <w:rPr>
          <w:rFonts w:asciiTheme="minorHAnsi" w:hAnsiTheme="minorHAnsi" w:cstheme="minorHAnsi"/>
        </w:rPr>
        <w:t>online</w:t>
      </w:r>
      <w:proofErr w:type="gramEnd"/>
      <w:r w:rsidRPr="00A92A24">
        <w:rPr>
          <w:rFonts w:asciiTheme="minorHAnsi" w:hAnsiTheme="minorHAnsi" w:cstheme="minorHAnsi"/>
        </w:rPr>
        <w:t xml:space="preserve">] </w:t>
      </w:r>
      <w:proofErr w:type="gramStart"/>
      <w:r w:rsidRPr="00A92A24">
        <w:rPr>
          <w:rFonts w:asciiTheme="minorHAnsi" w:hAnsiTheme="minorHAnsi" w:cstheme="minorHAnsi"/>
        </w:rPr>
        <w:t>CIPD.</w:t>
      </w:r>
      <w:proofErr w:type="gramEnd"/>
    </w:p>
    <w:p w:rsidR="00A92A24" w:rsidRPr="00A92A24" w:rsidRDefault="00A92A24" w:rsidP="00A92A24">
      <w:pPr>
        <w:pStyle w:val="NormalWeb"/>
        <w:rPr>
          <w:rFonts w:asciiTheme="minorHAnsi" w:hAnsiTheme="minorHAnsi" w:cstheme="minorHAnsi"/>
        </w:rPr>
      </w:pPr>
      <w:proofErr w:type="gramStart"/>
      <w:r w:rsidRPr="00A92A24">
        <w:rPr>
          <w:rFonts w:asciiTheme="minorHAnsi" w:hAnsiTheme="minorHAnsi" w:cstheme="minorHAnsi"/>
        </w:rPr>
        <w:t>23–25.</w:t>
      </w:r>
      <w:proofErr w:type="gramEnd"/>
      <w:r w:rsidRPr="00A92A24">
        <w:rPr>
          <w:rFonts w:asciiTheme="minorHAnsi" w:hAnsiTheme="minorHAnsi" w:cstheme="minorHAnsi"/>
        </w:rPr>
        <w:t xml:space="preserve"> Department for Business and Trade (2024a–c) Titles should be italicised as reports.</w:t>
      </w:r>
    </w:p>
    <w:p w:rsidR="00A92A24" w:rsidRPr="00A92A24" w:rsidRDefault="00A92A24" w:rsidP="00A92A24">
      <w:pPr>
        <w:pStyle w:val="NormalWeb"/>
        <w:rPr>
          <w:rFonts w:asciiTheme="minorHAnsi" w:hAnsiTheme="minorHAnsi" w:cstheme="minorHAnsi"/>
        </w:rPr>
      </w:pPr>
      <w:r w:rsidRPr="00A92A24">
        <w:rPr>
          <w:rFonts w:asciiTheme="minorHAnsi" w:hAnsiTheme="minorHAnsi" w:cstheme="minorHAnsi"/>
        </w:rPr>
        <w:t>Employment Rights Act 1996, c.18.</w:t>
      </w:r>
    </w:p>
    <w:p w:rsidR="00A92A24" w:rsidRPr="00A92A24" w:rsidRDefault="00A92A24" w:rsidP="00A92A24">
      <w:pPr>
        <w:pStyle w:val="NormalWeb"/>
        <w:rPr>
          <w:rFonts w:asciiTheme="minorHAnsi" w:hAnsiTheme="minorHAnsi" w:cstheme="minorHAnsi"/>
        </w:rPr>
      </w:pPr>
      <w:proofErr w:type="gramStart"/>
      <w:r w:rsidRPr="00A92A24">
        <w:rPr>
          <w:rFonts w:asciiTheme="minorHAnsi" w:hAnsiTheme="minorHAnsi" w:cstheme="minorHAnsi"/>
        </w:rPr>
        <w:t>Equality Act 2010, c.15.</w:t>
      </w:r>
      <w:proofErr w:type="gramEnd"/>
    </w:p>
    <w:p w:rsidR="00A92A24" w:rsidRPr="00A92A24" w:rsidRDefault="00A92A24" w:rsidP="00A92A24">
      <w:pPr>
        <w:pStyle w:val="NormalWeb"/>
        <w:rPr>
          <w:rFonts w:asciiTheme="minorHAnsi" w:hAnsiTheme="minorHAnsi" w:cstheme="minorHAnsi"/>
        </w:rPr>
      </w:pPr>
      <w:proofErr w:type="gramStart"/>
      <w:r w:rsidRPr="00A92A24">
        <w:rPr>
          <w:rFonts w:asciiTheme="minorHAnsi" w:hAnsiTheme="minorHAnsi" w:cstheme="minorHAnsi"/>
        </w:rPr>
        <w:lastRenderedPageBreak/>
        <w:t>28–30.</w:t>
      </w:r>
      <w:proofErr w:type="gramEnd"/>
      <w:r w:rsidRPr="00A92A24">
        <w:rPr>
          <w:rFonts w:asciiTheme="minorHAnsi" w:hAnsiTheme="minorHAnsi" w:cstheme="minorHAnsi"/>
        </w:rPr>
        <w:t xml:space="preserve"> Gov.uk entries – not italicised (web pages).</w:t>
      </w:r>
    </w:p>
    <w:p w:rsidR="00A92A24" w:rsidRPr="00A92A24" w:rsidRDefault="00A92A24" w:rsidP="00A92A24">
      <w:pPr>
        <w:pStyle w:val="NormalWeb"/>
        <w:rPr>
          <w:rFonts w:asciiTheme="minorHAnsi" w:hAnsiTheme="minorHAnsi" w:cstheme="minorHAnsi"/>
        </w:rPr>
      </w:pPr>
      <w:r w:rsidRPr="00A92A24">
        <w:rPr>
          <w:rFonts w:asciiTheme="minorHAnsi" w:hAnsiTheme="minorHAnsi" w:cstheme="minorHAnsi"/>
        </w:rPr>
        <w:t xml:space="preserve">Hackman, J.R. and Oldham, G.R. (1976) ‘Motivation through the design of work: Test of a theory’, </w:t>
      </w:r>
      <w:r w:rsidRPr="00A92A24">
        <w:rPr>
          <w:rStyle w:val="Emphasis"/>
          <w:rFonts w:asciiTheme="minorHAnsi" w:hAnsiTheme="minorHAnsi" w:cstheme="minorHAnsi"/>
        </w:rPr>
        <w:t xml:space="preserve">Organizational </w:t>
      </w:r>
      <w:proofErr w:type="spellStart"/>
      <w:r w:rsidRPr="00A92A24">
        <w:rPr>
          <w:rStyle w:val="Emphasis"/>
          <w:rFonts w:asciiTheme="minorHAnsi" w:hAnsiTheme="minorHAnsi" w:cstheme="minorHAnsi"/>
        </w:rPr>
        <w:t>Behavior</w:t>
      </w:r>
      <w:proofErr w:type="spellEnd"/>
      <w:r w:rsidRPr="00A92A24">
        <w:rPr>
          <w:rStyle w:val="Emphasis"/>
          <w:rFonts w:asciiTheme="minorHAnsi" w:hAnsiTheme="minorHAnsi" w:cstheme="minorHAnsi"/>
        </w:rPr>
        <w:t xml:space="preserve"> and Human Performance</w:t>
      </w:r>
      <w:r w:rsidRPr="00A92A24">
        <w:rPr>
          <w:rFonts w:asciiTheme="minorHAnsi" w:hAnsiTheme="minorHAnsi" w:cstheme="minorHAnsi"/>
        </w:rPr>
        <w:t>, 16(2), pp.250–279.</w:t>
      </w:r>
    </w:p>
    <w:p w:rsidR="00A92A24" w:rsidRPr="00A92A24" w:rsidRDefault="00A92A24" w:rsidP="00A92A24">
      <w:pPr>
        <w:pStyle w:val="NormalWeb"/>
        <w:rPr>
          <w:rFonts w:asciiTheme="minorHAnsi" w:hAnsiTheme="minorHAnsi" w:cstheme="minorHAnsi"/>
        </w:rPr>
      </w:pPr>
      <w:r w:rsidRPr="00A92A24">
        <w:rPr>
          <w:rFonts w:asciiTheme="minorHAnsi" w:hAnsiTheme="minorHAnsi" w:cstheme="minorHAnsi"/>
        </w:rPr>
        <w:t xml:space="preserve">Herzberg, F. (1966) </w:t>
      </w:r>
      <w:r w:rsidRPr="00A92A24">
        <w:rPr>
          <w:rStyle w:val="Emphasis"/>
          <w:rFonts w:asciiTheme="minorHAnsi" w:hAnsiTheme="minorHAnsi" w:cstheme="minorHAnsi"/>
        </w:rPr>
        <w:t>Work and the Nature of Man</w:t>
      </w:r>
      <w:r w:rsidRPr="00A92A24">
        <w:rPr>
          <w:rFonts w:asciiTheme="minorHAnsi" w:hAnsiTheme="minorHAnsi" w:cstheme="minorHAnsi"/>
        </w:rPr>
        <w:t>. London: Crosby Lockwood Staples.</w:t>
      </w:r>
    </w:p>
    <w:p w:rsidR="00A92A24" w:rsidRPr="00A92A24" w:rsidRDefault="00A92A24" w:rsidP="00A92A24">
      <w:pPr>
        <w:pStyle w:val="NormalWeb"/>
        <w:rPr>
          <w:rFonts w:asciiTheme="minorHAnsi" w:hAnsiTheme="minorHAnsi" w:cstheme="minorHAnsi"/>
        </w:rPr>
      </w:pPr>
      <w:r w:rsidRPr="00A92A24">
        <w:rPr>
          <w:rFonts w:asciiTheme="minorHAnsi" w:hAnsiTheme="minorHAnsi" w:cstheme="minorHAnsi"/>
        </w:rPr>
        <w:t xml:space="preserve">Herzberg, F., </w:t>
      </w:r>
      <w:proofErr w:type="spellStart"/>
      <w:r w:rsidRPr="00A92A24">
        <w:rPr>
          <w:rFonts w:asciiTheme="minorHAnsi" w:hAnsiTheme="minorHAnsi" w:cstheme="minorHAnsi"/>
        </w:rPr>
        <w:t>Mausner</w:t>
      </w:r>
      <w:proofErr w:type="spellEnd"/>
      <w:r w:rsidRPr="00A92A24">
        <w:rPr>
          <w:rFonts w:asciiTheme="minorHAnsi" w:hAnsiTheme="minorHAnsi" w:cstheme="minorHAnsi"/>
        </w:rPr>
        <w:t xml:space="preserve">, B. and </w:t>
      </w:r>
      <w:proofErr w:type="spellStart"/>
      <w:r w:rsidRPr="00A92A24">
        <w:rPr>
          <w:rFonts w:asciiTheme="minorHAnsi" w:hAnsiTheme="minorHAnsi" w:cstheme="minorHAnsi"/>
        </w:rPr>
        <w:t>Snyderman</w:t>
      </w:r>
      <w:proofErr w:type="spellEnd"/>
      <w:r w:rsidRPr="00A92A24">
        <w:rPr>
          <w:rFonts w:asciiTheme="minorHAnsi" w:hAnsiTheme="minorHAnsi" w:cstheme="minorHAnsi"/>
        </w:rPr>
        <w:t xml:space="preserve">, B.B. (1959) </w:t>
      </w:r>
      <w:proofErr w:type="gramStart"/>
      <w:r w:rsidRPr="00A92A24">
        <w:rPr>
          <w:rStyle w:val="Emphasis"/>
          <w:rFonts w:asciiTheme="minorHAnsi" w:hAnsiTheme="minorHAnsi" w:cstheme="minorHAnsi"/>
        </w:rPr>
        <w:t>The</w:t>
      </w:r>
      <w:proofErr w:type="gramEnd"/>
      <w:r w:rsidRPr="00A92A24">
        <w:rPr>
          <w:rStyle w:val="Emphasis"/>
          <w:rFonts w:asciiTheme="minorHAnsi" w:hAnsiTheme="minorHAnsi" w:cstheme="minorHAnsi"/>
        </w:rPr>
        <w:t xml:space="preserve"> Motivation to Work</w:t>
      </w:r>
      <w:r w:rsidRPr="00A92A24">
        <w:rPr>
          <w:rFonts w:asciiTheme="minorHAnsi" w:hAnsiTheme="minorHAnsi" w:cstheme="minorHAnsi"/>
        </w:rPr>
        <w:t xml:space="preserve">. 2nd </w:t>
      </w:r>
      <w:proofErr w:type="gramStart"/>
      <w:r w:rsidRPr="00A92A24">
        <w:rPr>
          <w:rFonts w:asciiTheme="minorHAnsi" w:hAnsiTheme="minorHAnsi" w:cstheme="minorHAnsi"/>
        </w:rPr>
        <w:t>ed</w:t>
      </w:r>
      <w:proofErr w:type="gramEnd"/>
      <w:r w:rsidRPr="00A92A24">
        <w:rPr>
          <w:rFonts w:asciiTheme="minorHAnsi" w:hAnsiTheme="minorHAnsi" w:cstheme="minorHAnsi"/>
        </w:rPr>
        <w:t>. New York: John Wiley &amp; Sons.</w:t>
      </w:r>
    </w:p>
    <w:p w:rsidR="00A92A24" w:rsidRPr="00A92A24" w:rsidRDefault="00A92A24" w:rsidP="00A92A24">
      <w:pPr>
        <w:pStyle w:val="NormalWeb"/>
        <w:rPr>
          <w:rFonts w:asciiTheme="minorHAnsi" w:hAnsiTheme="minorHAnsi" w:cstheme="minorHAnsi"/>
        </w:rPr>
      </w:pPr>
      <w:proofErr w:type="gramStart"/>
      <w:r w:rsidRPr="00A92A24">
        <w:rPr>
          <w:rFonts w:asciiTheme="minorHAnsi" w:hAnsiTheme="minorHAnsi" w:cstheme="minorHAnsi"/>
        </w:rPr>
        <w:t xml:space="preserve">Hirschman, A.O. (1970) </w:t>
      </w:r>
      <w:r w:rsidRPr="00A92A24">
        <w:rPr>
          <w:rStyle w:val="Emphasis"/>
          <w:rFonts w:asciiTheme="minorHAnsi" w:hAnsiTheme="minorHAnsi" w:cstheme="minorHAnsi"/>
        </w:rPr>
        <w:t>Exit, Voice, and Loyalty</w:t>
      </w:r>
      <w:r w:rsidRPr="00A92A24">
        <w:rPr>
          <w:rFonts w:asciiTheme="minorHAnsi" w:hAnsiTheme="minorHAnsi" w:cstheme="minorHAnsi"/>
        </w:rPr>
        <w:t>.</w:t>
      </w:r>
      <w:proofErr w:type="gramEnd"/>
      <w:r w:rsidRPr="00A92A24">
        <w:rPr>
          <w:rFonts w:asciiTheme="minorHAnsi" w:hAnsiTheme="minorHAnsi" w:cstheme="minorHAnsi"/>
        </w:rPr>
        <w:t xml:space="preserve"> Cambridge, MA: Harvard University Press.</w:t>
      </w:r>
    </w:p>
    <w:p w:rsidR="00A92A24" w:rsidRPr="00A92A24" w:rsidRDefault="00A92A24" w:rsidP="00A92A24">
      <w:pPr>
        <w:pStyle w:val="NormalWeb"/>
        <w:rPr>
          <w:rFonts w:asciiTheme="minorHAnsi" w:hAnsiTheme="minorHAnsi" w:cstheme="minorHAnsi"/>
        </w:rPr>
      </w:pPr>
      <w:proofErr w:type="spellStart"/>
      <w:r w:rsidRPr="00A92A24">
        <w:rPr>
          <w:rFonts w:asciiTheme="minorHAnsi" w:hAnsiTheme="minorHAnsi" w:cstheme="minorHAnsi"/>
        </w:rPr>
        <w:t>Johnstone</w:t>
      </w:r>
      <w:proofErr w:type="spellEnd"/>
      <w:r w:rsidRPr="00A92A24">
        <w:rPr>
          <w:rFonts w:asciiTheme="minorHAnsi" w:hAnsiTheme="minorHAnsi" w:cstheme="minorHAnsi"/>
        </w:rPr>
        <w:t xml:space="preserve">, S. and Ackers, P. (2015) </w:t>
      </w:r>
      <w:r w:rsidRPr="00A92A24">
        <w:rPr>
          <w:rStyle w:val="Emphasis"/>
          <w:rFonts w:asciiTheme="minorHAnsi" w:hAnsiTheme="minorHAnsi" w:cstheme="minorHAnsi"/>
        </w:rPr>
        <w:t>Finding a Voice at Work?</w:t>
      </w:r>
      <w:r w:rsidRPr="00A92A24">
        <w:rPr>
          <w:rFonts w:asciiTheme="minorHAnsi" w:hAnsiTheme="minorHAnsi" w:cstheme="minorHAnsi"/>
        </w:rPr>
        <w:t xml:space="preserve"> Oxford: Oxford University Press.</w:t>
      </w:r>
    </w:p>
    <w:p w:rsidR="00A92A24" w:rsidRPr="00A92A24" w:rsidRDefault="00A92A24" w:rsidP="00A92A24">
      <w:pPr>
        <w:pStyle w:val="NormalWeb"/>
        <w:rPr>
          <w:rFonts w:asciiTheme="minorHAnsi" w:hAnsiTheme="minorHAnsi" w:cstheme="minorHAnsi"/>
        </w:rPr>
      </w:pPr>
      <w:r w:rsidRPr="00A92A24">
        <w:rPr>
          <w:rFonts w:asciiTheme="minorHAnsi" w:hAnsiTheme="minorHAnsi" w:cstheme="minorHAnsi"/>
        </w:rPr>
        <w:t xml:space="preserve">Lord, J. (2015) </w:t>
      </w:r>
      <w:r w:rsidRPr="00A92A24">
        <w:rPr>
          <w:rStyle w:val="Emphasis"/>
          <w:rFonts w:asciiTheme="minorHAnsi" w:hAnsiTheme="minorHAnsi" w:cstheme="minorHAnsi"/>
        </w:rPr>
        <w:t>From Calculator to Computer</w:t>
      </w:r>
      <w:r w:rsidRPr="00A92A24">
        <w:rPr>
          <w:rFonts w:asciiTheme="minorHAnsi" w:hAnsiTheme="minorHAnsi" w:cstheme="minorHAnsi"/>
        </w:rPr>
        <w:t xml:space="preserve">. </w:t>
      </w:r>
      <w:proofErr w:type="spellStart"/>
      <w:r w:rsidRPr="00A92A24">
        <w:rPr>
          <w:rFonts w:asciiTheme="minorHAnsi" w:hAnsiTheme="minorHAnsi" w:cstheme="minorHAnsi"/>
        </w:rPr>
        <w:t>Kidmore</w:t>
      </w:r>
      <w:proofErr w:type="spellEnd"/>
      <w:r w:rsidRPr="00A92A24">
        <w:rPr>
          <w:rFonts w:asciiTheme="minorHAnsi" w:hAnsiTheme="minorHAnsi" w:cstheme="minorHAnsi"/>
        </w:rPr>
        <w:t xml:space="preserve"> End: Academic Conferences International.</w:t>
      </w:r>
    </w:p>
    <w:p w:rsidR="00A92A24" w:rsidRPr="00A92A24" w:rsidRDefault="00A92A24" w:rsidP="00A92A24">
      <w:pPr>
        <w:pStyle w:val="NormalWeb"/>
        <w:rPr>
          <w:rFonts w:asciiTheme="minorHAnsi" w:hAnsiTheme="minorHAnsi" w:cstheme="minorHAnsi"/>
        </w:rPr>
      </w:pPr>
      <w:proofErr w:type="spellStart"/>
      <w:proofErr w:type="gramStart"/>
      <w:r w:rsidRPr="00A92A24">
        <w:rPr>
          <w:rFonts w:asciiTheme="minorHAnsi" w:hAnsiTheme="minorHAnsi" w:cstheme="minorHAnsi"/>
        </w:rPr>
        <w:t>Marchington</w:t>
      </w:r>
      <w:proofErr w:type="spellEnd"/>
      <w:r w:rsidRPr="00A92A24">
        <w:rPr>
          <w:rFonts w:asciiTheme="minorHAnsi" w:hAnsiTheme="minorHAnsi" w:cstheme="minorHAnsi"/>
        </w:rPr>
        <w:t xml:space="preserve">, M. et al. (1992) ‘New developments in employee involvement’, </w:t>
      </w:r>
      <w:r w:rsidRPr="00A92A24">
        <w:rPr>
          <w:rStyle w:val="Emphasis"/>
          <w:rFonts w:asciiTheme="minorHAnsi" w:hAnsiTheme="minorHAnsi" w:cstheme="minorHAnsi"/>
        </w:rPr>
        <w:t>Management Research News</w:t>
      </w:r>
      <w:r w:rsidRPr="00A92A24">
        <w:rPr>
          <w:rFonts w:asciiTheme="minorHAnsi" w:hAnsiTheme="minorHAnsi" w:cstheme="minorHAnsi"/>
        </w:rPr>
        <w:t>, 14(1/2), pp.34–37.</w:t>
      </w:r>
      <w:proofErr w:type="gramEnd"/>
    </w:p>
    <w:p w:rsidR="00A92A24" w:rsidRPr="00A92A24" w:rsidRDefault="00A92A24" w:rsidP="00A92A24">
      <w:pPr>
        <w:pStyle w:val="NormalWeb"/>
        <w:rPr>
          <w:rFonts w:asciiTheme="minorHAnsi" w:hAnsiTheme="minorHAnsi" w:cstheme="minorHAnsi"/>
        </w:rPr>
      </w:pPr>
      <w:r w:rsidRPr="00A92A24">
        <w:rPr>
          <w:rFonts w:asciiTheme="minorHAnsi" w:hAnsiTheme="minorHAnsi" w:cstheme="minorHAnsi"/>
        </w:rPr>
        <w:t xml:space="preserve">Roche, W.K., Teague, P. and Colvin, A.J. (2014) </w:t>
      </w:r>
      <w:proofErr w:type="gramStart"/>
      <w:r w:rsidRPr="00A92A24">
        <w:rPr>
          <w:rStyle w:val="Emphasis"/>
          <w:rFonts w:asciiTheme="minorHAnsi" w:hAnsiTheme="minorHAnsi" w:cstheme="minorHAnsi"/>
        </w:rPr>
        <w:t>The</w:t>
      </w:r>
      <w:proofErr w:type="gramEnd"/>
      <w:r w:rsidRPr="00A92A24">
        <w:rPr>
          <w:rStyle w:val="Emphasis"/>
          <w:rFonts w:asciiTheme="minorHAnsi" w:hAnsiTheme="minorHAnsi" w:cstheme="minorHAnsi"/>
        </w:rPr>
        <w:t xml:space="preserve"> Oxford Handbook of Conflict Management in Organizations</w:t>
      </w:r>
      <w:r w:rsidRPr="00A92A24">
        <w:rPr>
          <w:rFonts w:asciiTheme="minorHAnsi" w:hAnsiTheme="minorHAnsi" w:cstheme="minorHAnsi"/>
        </w:rPr>
        <w:t>. Oxford: Oxford University Press.</w:t>
      </w:r>
    </w:p>
    <w:p w:rsidR="00A92A24" w:rsidRPr="00A92A24" w:rsidRDefault="00A92A24" w:rsidP="00A92A24">
      <w:pPr>
        <w:pStyle w:val="NormalWeb"/>
        <w:rPr>
          <w:rFonts w:asciiTheme="minorHAnsi" w:hAnsiTheme="minorHAnsi" w:cstheme="minorHAnsi"/>
        </w:rPr>
      </w:pPr>
      <w:r w:rsidRPr="00A92A24">
        <w:rPr>
          <w:rFonts w:asciiTheme="minorHAnsi" w:hAnsiTheme="minorHAnsi" w:cstheme="minorHAnsi"/>
        </w:rPr>
        <w:t xml:space="preserve">Taylor, F.W. (1911) </w:t>
      </w:r>
      <w:proofErr w:type="gramStart"/>
      <w:r w:rsidRPr="00A92A24">
        <w:rPr>
          <w:rStyle w:val="Emphasis"/>
          <w:rFonts w:asciiTheme="minorHAnsi" w:hAnsiTheme="minorHAnsi" w:cstheme="minorHAnsi"/>
        </w:rPr>
        <w:t>The</w:t>
      </w:r>
      <w:proofErr w:type="gramEnd"/>
      <w:r w:rsidRPr="00A92A24">
        <w:rPr>
          <w:rStyle w:val="Emphasis"/>
          <w:rFonts w:asciiTheme="minorHAnsi" w:hAnsiTheme="minorHAnsi" w:cstheme="minorHAnsi"/>
        </w:rPr>
        <w:t xml:space="preserve"> Principles of Scientific Management</w:t>
      </w:r>
      <w:r w:rsidRPr="00A92A24">
        <w:rPr>
          <w:rFonts w:asciiTheme="minorHAnsi" w:hAnsiTheme="minorHAnsi" w:cstheme="minorHAnsi"/>
        </w:rPr>
        <w:t>. New York: Harper &amp; Brothers.</w:t>
      </w:r>
    </w:p>
    <w:p w:rsidR="00A92A24" w:rsidRPr="00A92A24" w:rsidRDefault="00A92A24" w:rsidP="00A92A24">
      <w:pPr>
        <w:pStyle w:val="NormalWeb"/>
        <w:rPr>
          <w:rFonts w:asciiTheme="minorHAnsi" w:hAnsiTheme="minorHAnsi" w:cstheme="minorHAnsi"/>
        </w:rPr>
      </w:pPr>
      <w:proofErr w:type="gramStart"/>
      <w:r w:rsidRPr="00A92A24">
        <w:rPr>
          <w:rStyle w:val="Emphasis"/>
          <w:rFonts w:asciiTheme="minorHAnsi" w:hAnsiTheme="minorHAnsi" w:cstheme="minorHAnsi"/>
        </w:rPr>
        <w:t>Talon Engineering Ltd v Smith</w:t>
      </w:r>
      <w:r w:rsidRPr="00A92A24">
        <w:rPr>
          <w:rFonts w:asciiTheme="minorHAnsi" w:hAnsiTheme="minorHAnsi" w:cstheme="minorHAnsi"/>
        </w:rPr>
        <w:t xml:space="preserve"> (2018) UKEAT/0236/17/BA (EAT).</w:t>
      </w:r>
      <w:proofErr w:type="gramEnd"/>
    </w:p>
    <w:p w:rsidR="00620378" w:rsidRPr="00620378" w:rsidRDefault="00620378" w:rsidP="00A92A24">
      <w:pPr>
        <w:pStyle w:val="NormalWeb"/>
        <w:ind w:left="720"/>
        <w:rPr>
          <w:rFonts w:ascii="Arial" w:hAnsi="Arial" w:cs="Arial"/>
          <w:sz w:val="22"/>
          <w:szCs w:val="22"/>
        </w:rPr>
      </w:pPr>
    </w:p>
    <w:sectPr w:rsidR="00620378" w:rsidRPr="0062037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2651CBE"/>
    <w:multiLevelType w:val="hybridMultilevel"/>
    <w:tmpl w:val="A544A2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4BA366B9"/>
    <w:multiLevelType w:val="multilevel"/>
    <w:tmpl w:val="08A03F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4F2F040F"/>
    <w:multiLevelType w:val="multilevel"/>
    <w:tmpl w:val="BA4EBE8E"/>
    <w:lvl w:ilvl="0">
      <w:start w:val="2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539F31A0"/>
    <w:multiLevelType w:val="hybridMultilevel"/>
    <w:tmpl w:val="27A2DB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74BE76F9"/>
    <w:multiLevelType w:val="multilevel"/>
    <w:tmpl w:val="F7D07C14"/>
    <w:lvl w:ilvl="0">
      <w:start w:val="3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
  </w:num>
  <w:num w:numId="2">
    <w:abstractNumId w:val="1"/>
  </w:num>
  <w:num w:numId="3">
    <w:abstractNumId w:val="2"/>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20378"/>
    <w:rsid w:val="001F16BB"/>
    <w:rsid w:val="00620378"/>
    <w:rsid w:val="006E7ABC"/>
    <w:rsid w:val="00A92A24"/>
    <w:rsid w:val="00C47728"/>
    <w:rsid w:val="00F845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2037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620378"/>
    <w:rPr>
      <w:color w:val="0000FF"/>
      <w:u w:val="single"/>
    </w:rPr>
  </w:style>
  <w:style w:type="character" w:styleId="Emphasis">
    <w:name w:val="Emphasis"/>
    <w:basedOn w:val="DefaultParagraphFont"/>
    <w:uiPriority w:val="20"/>
    <w:qFormat/>
    <w:rsid w:val="00620378"/>
    <w:rPr>
      <w:i/>
      <w:i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2037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620378"/>
    <w:rPr>
      <w:color w:val="0000FF"/>
      <w:u w:val="single"/>
    </w:rPr>
  </w:style>
  <w:style w:type="character" w:styleId="Emphasis">
    <w:name w:val="Emphasis"/>
    <w:basedOn w:val="DefaultParagraphFont"/>
    <w:uiPriority w:val="20"/>
    <w:qFormat/>
    <w:rsid w:val="0062037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8114826">
      <w:bodyDiv w:val="1"/>
      <w:marLeft w:val="0"/>
      <w:marRight w:val="0"/>
      <w:marTop w:val="0"/>
      <w:marBottom w:val="0"/>
      <w:divBdr>
        <w:top w:val="none" w:sz="0" w:space="0" w:color="auto"/>
        <w:left w:val="none" w:sz="0" w:space="0" w:color="auto"/>
        <w:bottom w:val="none" w:sz="0" w:space="0" w:color="auto"/>
        <w:right w:val="none" w:sz="0" w:space="0" w:color="auto"/>
      </w:divBdr>
    </w:div>
    <w:div w:id="412749172">
      <w:bodyDiv w:val="1"/>
      <w:marLeft w:val="0"/>
      <w:marRight w:val="0"/>
      <w:marTop w:val="0"/>
      <w:marBottom w:val="0"/>
      <w:divBdr>
        <w:top w:val="none" w:sz="0" w:space="0" w:color="auto"/>
        <w:left w:val="none" w:sz="0" w:space="0" w:color="auto"/>
        <w:bottom w:val="none" w:sz="0" w:space="0" w:color="auto"/>
        <w:right w:val="none" w:sz="0" w:space="0" w:color="auto"/>
      </w:divBdr>
    </w:div>
    <w:div w:id="474030367">
      <w:bodyDiv w:val="1"/>
      <w:marLeft w:val="0"/>
      <w:marRight w:val="0"/>
      <w:marTop w:val="0"/>
      <w:marBottom w:val="0"/>
      <w:divBdr>
        <w:top w:val="none" w:sz="0" w:space="0" w:color="auto"/>
        <w:left w:val="none" w:sz="0" w:space="0" w:color="auto"/>
        <w:bottom w:val="none" w:sz="0" w:space="0" w:color="auto"/>
        <w:right w:val="none" w:sz="0" w:space="0" w:color="auto"/>
      </w:divBdr>
    </w:div>
    <w:div w:id="653606080">
      <w:bodyDiv w:val="1"/>
      <w:marLeft w:val="0"/>
      <w:marRight w:val="0"/>
      <w:marTop w:val="0"/>
      <w:marBottom w:val="0"/>
      <w:divBdr>
        <w:top w:val="none" w:sz="0" w:space="0" w:color="auto"/>
        <w:left w:val="none" w:sz="0" w:space="0" w:color="auto"/>
        <w:bottom w:val="none" w:sz="0" w:space="0" w:color="auto"/>
        <w:right w:val="none" w:sz="0" w:space="0" w:color="auto"/>
      </w:divBdr>
    </w:div>
    <w:div w:id="905459330">
      <w:bodyDiv w:val="1"/>
      <w:marLeft w:val="0"/>
      <w:marRight w:val="0"/>
      <w:marTop w:val="0"/>
      <w:marBottom w:val="0"/>
      <w:divBdr>
        <w:top w:val="none" w:sz="0" w:space="0" w:color="auto"/>
        <w:left w:val="none" w:sz="0" w:space="0" w:color="auto"/>
        <w:bottom w:val="none" w:sz="0" w:space="0" w:color="auto"/>
        <w:right w:val="none" w:sz="0" w:space="0" w:color="auto"/>
      </w:divBdr>
    </w:div>
    <w:div w:id="982781764">
      <w:bodyDiv w:val="1"/>
      <w:marLeft w:val="0"/>
      <w:marRight w:val="0"/>
      <w:marTop w:val="0"/>
      <w:marBottom w:val="0"/>
      <w:divBdr>
        <w:top w:val="none" w:sz="0" w:space="0" w:color="auto"/>
        <w:left w:val="none" w:sz="0" w:space="0" w:color="auto"/>
        <w:bottom w:val="none" w:sz="0" w:space="0" w:color="auto"/>
        <w:right w:val="none" w:sz="0" w:space="0" w:color="auto"/>
      </w:divBdr>
    </w:div>
    <w:div w:id="989480922">
      <w:bodyDiv w:val="1"/>
      <w:marLeft w:val="0"/>
      <w:marRight w:val="0"/>
      <w:marTop w:val="0"/>
      <w:marBottom w:val="0"/>
      <w:divBdr>
        <w:top w:val="none" w:sz="0" w:space="0" w:color="auto"/>
        <w:left w:val="none" w:sz="0" w:space="0" w:color="auto"/>
        <w:bottom w:val="none" w:sz="0" w:space="0" w:color="auto"/>
        <w:right w:val="none" w:sz="0" w:space="0" w:color="auto"/>
      </w:divBdr>
    </w:div>
    <w:div w:id="1131822434">
      <w:bodyDiv w:val="1"/>
      <w:marLeft w:val="0"/>
      <w:marRight w:val="0"/>
      <w:marTop w:val="0"/>
      <w:marBottom w:val="0"/>
      <w:divBdr>
        <w:top w:val="none" w:sz="0" w:space="0" w:color="auto"/>
        <w:left w:val="none" w:sz="0" w:space="0" w:color="auto"/>
        <w:bottom w:val="none" w:sz="0" w:space="0" w:color="auto"/>
        <w:right w:val="none" w:sz="0" w:space="0" w:color="auto"/>
      </w:divBdr>
    </w:div>
    <w:div w:id="1315986993">
      <w:bodyDiv w:val="1"/>
      <w:marLeft w:val="0"/>
      <w:marRight w:val="0"/>
      <w:marTop w:val="0"/>
      <w:marBottom w:val="0"/>
      <w:divBdr>
        <w:top w:val="none" w:sz="0" w:space="0" w:color="auto"/>
        <w:left w:val="none" w:sz="0" w:space="0" w:color="auto"/>
        <w:bottom w:val="none" w:sz="0" w:space="0" w:color="auto"/>
        <w:right w:val="none" w:sz="0" w:space="0" w:color="auto"/>
      </w:divBdr>
    </w:div>
    <w:div w:id="1473206356">
      <w:bodyDiv w:val="1"/>
      <w:marLeft w:val="0"/>
      <w:marRight w:val="0"/>
      <w:marTop w:val="0"/>
      <w:marBottom w:val="0"/>
      <w:divBdr>
        <w:top w:val="none" w:sz="0" w:space="0" w:color="auto"/>
        <w:left w:val="none" w:sz="0" w:space="0" w:color="auto"/>
        <w:bottom w:val="none" w:sz="0" w:space="0" w:color="auto"/>
        <w:right w:val="none" w:sz="0" w:space="0" w:color="auto"/>
      </w:divBdr>
    </w:div>
    <w:div w:id="1696927690">
      <w:bodyDiv w:val="1"/>
      <w:marLeft w:val="0"/>
      <w:marRight w:val="0"/>
      <w:marTop w:val="0"/>
      <w:marBottom w:val="0"/>
      <w:divBdr>
        <w:top w:val="none" w:sz="0" w:space="0" w:color="auto"/>
        <w:left w:val="none" w:sz="0" w:space="0" w:color="auto"/>
        <w:bottom w:val="none" w:sz="0" w:space="0" w:color="auto"/>
        <w:right w:val="none" w:sz="0" w:space="0" w:color="auto"/>
      </w:divBdr>
    </w:div>
    <w:div w:id="1727870972">
      <w:bodyDiv w:val="1"/>
      <w:marLeft w:val="0"/>
      <w:marRight w:val="0"/>
      <w:marTop w:val="0"/>
      <w:marBottom w:val="0"/>
      <w:divBdr>
        <w:top w:val="none" w:sz="0" w:space="0" w:color="auto"/>
        <w:left w:val="none" w:sz="0" w:space="0" w:color="auto"/>
        <w:bottom w:val="none" w:sz="0" w:space="0" w:color="auto"/>
        <w:right w:val="none" w:sz="0" w:space="0" w:color="auto"/>
      </w:divBdr>
    </w:div>
    <w:div w:id="18959677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gov.uk/" TargetMode="External"/><Relationship Id="rId13"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hyperlink" Target="http://gov.uk/" TargetMode="External"/><Relationship Id="rId12" Type="http://schemas.openxmlformats.org/officeDocument/2006/relationships/hyperlink" Target="https://www.acas.org.uk/acas-code-of-practice-on-disciplinary-and-grievance-procedures/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gov.uk/" TargetMode="External"/><Relationship Id="rId11" Type="http://schemas.openxmlformats.org/officeDocument/2006/relationships/hyperlink" Target="http://gov.uk" TargetMode="External"/><Relationship Id="rId5" Type="http://schemas.openxmlformats.org/officeDocument/2006/relationships/webSettings" Target="webSettings.xml"/><Relationship Id="rId10" Type="http://schemas.openxmlformats.org/officeDocument/2006/relationships/hyperlink" Target="http://gov.uk/" TargetMode="External"/><Relationship Id="rId4" Type="http://schemas.openxmlformats.org/officeDocument/2006/relationships/settings" Target="settings.xml"/><Relationship Id="rId9" Type="http://schemas.openxmlformats.org/officeDocument/2006/relationships/hyperlink" Target="http://gov.uk/"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15</TotalTime>
  <Pages>9</Pages>
  <Words>4574</Words>
  <Characters>26077</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30590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Lowri</dc:creator>
  <cp:lastModifiedBy>Lowri</cp:lastModifiedBy>
  <cp:revision>3</cp:revision>
  <dcterms:created xsi:type="dcterms:W3CDTF">2026-02-04T22:29:00Z</dcterms:created>
  <dcterms:modified xsi:type="dcterms:W3CDTF">2026-02-23T20:26:00Z</dcterms:modified>
</cp:coreProperties>
</file>